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82BFD3" w14:textId="4C01A6AB" w:rsidR="002D42E1" w:rsidRDefault="00C005B4" w:rsidP="00D47AB2">
      <w:pPr>
        <w:pStyle w:val="AHRCImagecaption"/>
      </w:pPr>
      <w:bookmarkStart w:id="0" w:name="_GoBack"/>
      <w:bookmarkEnd w:id="0"/>
      <w:r>
        <w:rPr>
          <w:noProof/>
        </w:rPr>
        <w:drawing>
          <wp:inline distT="0" distB="0" distL="0" distR="0" wp14:anchorId="678FF476" wp14:editId="41F7423E">
            <wp:extent cx="6085324" cy="8611262"/>
            <wp:effectExtent l="0" t="0" r="0" b="0"/>
            <wp:docPr id="1877712104" name="Picture 1877712104" descr="Australian Human Rights Commission&#10;Annual Report 2022-2023&#10;&#10;Featuring Mahboba Rawi and Nawid Cina, winners of the Human Rights Medal at the Commission 2023 Human Rights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12104" name="Picture 1877712104" descr="Australian Human Rights Commission&#10;Annual Report 2022-2023&#10;&#10;Featuring Mahboba Rawi and Nawid Cina, winners of the Human Rights Medal at the Commission 2023 Human Rights Award."/>
                    <pic:cNvPicPr/>
                  </pic:nvPicPr>
                  <pic:blipFill>
                    <a:blip r:embed="rId14">
                      <a:extLst>
                        <a:ext uri="{28A0092B-C50C-407E-A947-70E740481C1C}">
                          <a14:useLocalDpi xmlns:a14="http://schemas.microsoft.com/office/drawing/2010/main" val="0"/>
                        </a:ext>
                      </a:extLst>
                    </a:blip>
                    <a:stretch>
                      <a:fillRect/>
                    </a:stretch>
                  </pic:blipFill>
                  <pic:spPr>
                    <a:xfrm>
                      <a:off x="0" y="0"/>
                      <a:ext cx="6087522" cy="8614372"/>
                    </a:xfrm>
                    <a:prstGeom prst="rect">
                      <a:avLst/>
                    </a:prstGeom>
                  </pic:spPr>
                </pic:pic>
              </a:graphicData>
            </a:graphic>
          </wp:inline>
        </w:drawing>
      </w:r>
    </w:p>
    <w:p w14:paraId="7330BF7B" w14:textId="77777777" w:rsidR="00B000FA" w:rsidRDefault="00B000FA" w:rsidP="00B000FA">
      <w:pPr>
        <w:pStyle w:val="CopyrightText"/>
      </w:pPr>
      <w:bookmarkStart w:id="1" w:name="_Toc209316062"/>
      <w:bookmarkEnd w:id="1"/>
      <w:r>
        <w:lastRenderedPageBreak/>
        <w:t>The Australian Human Rights Commission encourages the dissemination and exchange of information presented in this publication.</w:t>
      </w:r>
    </w:p>
    <w:p w14:paraId="302EC872" w14:textId="77777777" w:rsidR="00B000FA" w:rsidRPr="00BA5884" w:rsidRDefault="00B000FA" w:rsidP="00B000FA">
      <w:pPr>
        <w:pStyle w:val="CopyrightText"/>
      </w:pPr>
      <w:r>
        <w:rPr>
          <w:noProof/>
          <w:lang w:val="en-AU"/>
        </w:rPr>
        <w:drawing>
          <wp:inline distT="0" distB="0" distL="0" distR="0" wp14:anchorId="585C7516" wp14:editId="6E04C34D">
            <wp:extent cx="892885" cy="317306"/>
            <wp:effectExtent l="0" t="0" r="0" b="635"/>
            <wp:docPr id="175312684" name="Picture 175312684" descr="CCBY Logo - 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12684" name="Immagine 1" descr="CCBY Logo - Creative Commons"/>
                    <pic:cNvPicPr/>
                  </pic:nvPicPr>
                  <pic:blipFill>
                    <a:blip r:embed="rId15">
                      <a:extLst>
                        <a:ext uri="{28A0092B-C50C-407E-A947-70E740481C1C}">
                          <a14:useLocalDpi xmlns:a14="http://schemas.microsoft.com/office/drawing/2010/main" val="0"/>
                        </a:ext>
                      </a:extLst>
                    </a:blip>
                    <a:stretch>
                      <a:fillRect/>
                    </a:stretch>
                  </pic:blipFill>
                  <pic:spPr>
                    <a:xfrm>
                      <a:off x="0" y="0"/>
                      <a:ext cx="935190" cy="332340"/>
                    </a:xfrm>
                    <a:prstGeom prst="rect">
                      <a:avLst/>
                    </a:prstGeom>
                  </pic:spPr>
                </pic:pic>
              </a:graphicData>
            </a:graphic>
          </wp:inline>
        </w:drawing>
      </w:r>
    </w:p>
    <w:p w14:paraId="0DCC9383" w14:textId="77777777" w:rsidR="00B000FA" w:rsidRPr="00BA5884" w:rsidRDefault="00B000FA" w:rsidP="00B000FA">
      <w:pPr>
        <w:pStyle w:val="CopyrightText"/>
      </w:pPr>
      <w:r w:rsidRPr="00BA5884">
        <w:t>All material presented in this publication is licensed under the Creative Commons Attribution 4.0 International Licence, with the exception of:</w:t>
      </w:r>
    </w:p>
    <w:p w14:paraId="7C43B0C0" w14:textId="77777777" w:rsidR="00B000FA" w:rsidRPr="00BA5884" w:rsidRDefault="00B000FA" w:rsidP="00B000FA">
      <w:pPr>
        <w:pStyle w:val="CopyrightTextBullets"/>
      </w:pPr>
      <w:r w:rsidRPr="00BA5884">
        <w:t>photographs and images</w:t>
      </w:r>
    </w:p>
    <w:p w14:paraId="4BE09D60" w14:textId="77777777" w:rsidR="00B000FA" w:rsidRPr="00BA5884" w:rsidRDefault="00B000FA" w:rsidP="00B000FA">
      <w:pPr>
        <w:pStyle w:val="CopyrightTextBullets"/>
      </w:pPr>
      <w:r w:rsidRPr="00BA5884">
        <w:t>the Commission’s logo, any branding or trademarks</w:t>
      </w:r>
    </w:p>
    <w:p w14:paraId="03024DCF" w14:textId="77777777" w:rsidR="00B000FA" w:rsidRPr="00BA5884" w:rsidRDefault="00B000FA" w:rsidP="00B000FA">
      <w:pPr>
        <w:pStyle w:val="CopyrightTextBullets"/>
      </w:pPr>
      <w:r w:rsidRPr="00BA5884">
        <w:t>where otherwise indicated.</w:t>
      </w:r>
    </w:p>
    <w:p w14:paraId="0A6FC130" w14:textId="77777777" w:rsidR="00B000FA" w:rsidRDefault="00B000FA" w:rsidP="00B000FA">
      <w:pPr>
        <w:pStyle w:val="CopyrightText"/>
      </w:pPr>
      <w:r>
        <w:t xml:space="preserve">To view a copy of this licence, visit </w:t>
      </w:r>
      <w:hyperlink r:id="rId16" w:history="1">
        <w:r w:rsidRPr="00BA5884">
          <w:rPr>
            <w:rStyle w:val="Hyperlink"/>
          </w:rPr>
          <w:t>https://creativecommons.org/licenses/by/4.0/legalcode</w:t>
        </w:r>
      </w:hyperlink>
      <w:r>
        <w:t>.</w:t>
      </w:r>
    </w:p>
    <w:p w14:paraId="7C5310BF" w14:textId="77777777" w:rsidR="00B000FA" w:rsidRDefault="00B000FA" w:rsidP="00B000FA">
      <w:pPr>
        <w:pStyle w:val="CopyrightText"/>
      </w:pPr>
      <w:r>
        <w:t>In essence, you are free to copy, communicate and adapt the publication, as long as you attribute the Australian Human Rights Commission and abide by the other licence terms.</w:t>
      </w:r>
    </w:p>
    <w:p w14:paraId="19B67D12" w14:textId="77777777" w:rsidR="00B000FA" w:rsidRDefault="00B000FA" w:rsidP="00B000FA">
      <w:pPr>
        <w:pStyle w:val="CopyrightText"/>
      </w:pPr>
      <w:r>
        <w:rPr>
          <w:rStyle w:val="Strong"/>
          <w:rFonts w:eastAsia="MS Mincho"/>
        </w:rPr>
        <w:t>Please give attribution to:</w:t>
      </w:r>
      <w:r>
        <w:t xml:space="preserve"> © Australian Human Rights Commission 2023.</w:t>
      </w:r>
    </w:p>
    <w:p w14:paraId="08E8D251" w14:textId="34E34DC0" w:rsidR="00B000FA" w:rsidRDefault="00B000FA" w:rsidP="00B000FA">
      <w:pPr>
        <w:pStyle w:val="CopyrightText"/>
        <w:rPr>
          <w:rStyle w:val="Strong"/>
          <w:rFonts w:eastAsia="MS Mincho"/>
        </w:rPr>
      </w:pPr>
      <w:r w:rsidRPr="00FE1B20">
        <w:rPr>
          <w:rStyle w:val="Strong"/>
          <w:rFonts w:eastAsia="MS Mincho"/>
        </w:rPr>
        <w:t>Annual Report 2022–2023</w:t>
      </w:r>
    </w:p>
    <w:p w14:paraId="293CA3DD" w14:textId="0F1C603C" w:rsidR="00FE1B20" w:rsidRDefault="00B000FA" w:rsidP="00B000FA">
      <w:pPr>
        <w:pStyle w:val="CopyrightText"/>
        <w:rPr>
          <w:lang w:bidi="ar-YE"/>
        </w:rPr>
      </w:pPr>
      <w:r>
        <w:rPr>
          <w:lang w:bidi="ar-YE"/>
        </w:rPr>
        <w:t xml:space="preserve">ISBN </w:t>
      </w:r>
      <w:r w:rsidR="007A7D4A" w:rsidRPr="2EB1F5EC">
        <w:rPr>
          <w:lang w:bidi="ar-YE"/>
        </w:rPr>
        <w:t>1837-6444</w:t>
      </w:r>
    </w:p>
    <w:p w14:paraId="53638CD4" w14:textId="46C72AB7" w:rsidR="00B000FA" w:rsidRPr="00B000FA" w:rsidRDefault="00B000FA" w:rsidP="00B000FA">
      <w:pPr>
        <w:pStyle w:val="CopyrightText"/>
        <w:rPr>
          <w:rStyle w:val="Strong"/>
        </w:rPr>
      </w:pPr>
      <w:r w:rsidRPr="00B000FA">
        <w:rPr>
          <w:rStyle w:val="Strong"/>
        </w:rPr>
        <w:t>Electronic format</w:t>
      </w:r>
    </w:p>
    <w:p w14:paraId="3F360B97" w14:textId="06DFD10D" w:rsidR="00B000FA" w:rsidRDefault="00B000FA" w:rsidP="00B000FA">
      <w:pPr>
        <w:pStyle w:val="CopyrightText"/>
      </w:pPr>
      <w:r>
        <w:t xml:space="preserve">This publication can be found in electronic format on the Australian Human Rights Commission’s website at </w:t>
      </w:r>
      <w:hyperlink r:id="rId17" w:history="1">
        <w:r w:rsidRPr="00A2365A">
          <w:rPr>
            <w:rStyle w:val="Hyperlink"/>
          </w:rPr>
          <w:t>https://humanrights.gov.au/our-work/technology-and-human-rights</w:t>
        </w:r>
      </w:hyperlink>
      <w:r>
        <w:t>.</w:t>
      </w:r>
    </w:p>
    <w:p w14:paraId="1767866F" w14:textId="77777777" w:rsidR="00B000FA" w:rsidRDefault="00B000FA" w:rsidP="00B000FA">
      <w:pPr>
        <w:pStyle w:val="CopyrightText"/>
      </w:pPr>
      <w:r>
        <w:t>For further information about the Australian Human Rights Commission or copyright in this publication, please contact:</w:t>
      </w:r>
    </w:p>
    <w:p w14:paraId="799D1D59" w14:textId="77777777" w:rsidR="00B000FA" w:rsidRDefault="00B000FA" w:rsidP="00B000FA">
      <w:pPr>
        <w:pStyle w:val="CopyrightAddress"/>
      </w:pPr>
      <w:r>
        <w:t>Australian Human Rights Commission</w:t>
      </w:r>
    </w:p>
    <w:p w14:paraId="1B7BD50C" w14:textId="77777777" w:rsidR="00B000FA" w:rsidRDefault="00B000FA" w:rsidP="00B000FA">
      <w:pPr>
        <w:pStyle w:val="CopyrightAddress"/>
      </w:pPr>
      <w:r>
        <w:t>GPO Box 5218</w:t>
      </w:r>
    </w:p>
    <w:p w14:paraId="78A8EE9E" w14:textId="77777777" w:rsidR="00B000FA" w:rsidRDefault="00B000FA" w:rsidP="00B000FA">
      <w:pPr>
        <w:pStyle w:val="CopyrightAddress"/>
      </w:pPr>
      <w:r>
        <w:t>SYDNEY NSW 2001</w:t>
      </w:r>
    </w:p>
    <w:p w14:paraId="03D72B9F" w14:textId="77777777" w:rsidR="00B000FA" w:rsidRDefault="00B000FA" w:rsidP="00B000FA">
      <w:pPr>
        <w:pStyle w:val="CopyrightAddress"/>
      </w:pPr>
      <w:r>
        <w:t>Telephone: (02) 9284 9600</w:t>
      </w:r>
    </w:p>
    <w:p w14:paraId="70B12EC7" w14:textId="77777777" w:rsidR="00B000FA" w:rsidRDefault="00B000FA" w:rsidP="00B000FA">
      <w:pPr>
        <w:pStyle w:val="CopyrightAddress"/>
      </w:pPr>
      <w:r>
        <w:t xml:space="preserve">Email: </w:t>
      </w:r>
      <w:hyperlink r:id="rId18" w:history="1">
        <w:r w:rsidRPr="00D5449F">
          <w:rPr>
            <w:rStyle w:val="Hyperlink"/>
          </w:rPr>
          <w:t>communications@humanrights.gov.au</w:t>
        </w:r>
      </w:hyperlink>
    </w:p>
    <w:p w14:paraId="0FA20291" w14:textId="7E1321AE" w:rsidR="00A056B8" w:rsidRDefault="00FE1B20" w:rsidP="00FE1B20">
      <w:pPr>
        <w:pStyle w:val="CopyrightText"/>
      </w:pPr>
      <w:r w:rsidRPr="00FE1B20">
        <w:rPr>
          <w:rStyle w:val="Strong"/>
        </w:rPr>
        <w:t>Design and layout</w:t>
      </w:r>
      <w:r>
        <w:t xml:space="preserve"> Dancingirl Designs</w:t>
      </w:r>
    </w:p>
    <w:p w14:paraId="7E018104" w14:textId="0E1DF953" w:rsidR="00FE1B20" w:rsidRDefault="00FE1B20" w:rsidP="4199275F">
      <w:pPr>
        <w:pStyle w:val="CopyrightText"/>
        <w:rPr>
          <w:highlight w:val="yellow"/>
        </w:rPr>
      </w:pPr>
      <w:r w:rsidRPr="4199275F">
        <w:rPr>
          <w:rStyle w:val="Strong"/>
        </w:rPr>
        <w:t>Printer</w:t>
      </w:r>
      <w:r>
        <w:t xml:space="preserve"> </w:t>
      </w:r>
      <w:r w:rsidR="335CBA97" w:rsidRPr="00E8256E">
        <w:t>Elect Printing</w:t>
      </w:r>
    </w:p>
    <w:p w14:paraId="43CEC911" w14:textId="68C1E3E0" w:rsidR="00FE1B20" w:rsidRDefault="00FE1B20">
      <w:pPr>
        <w:pStyle w:val="CopyrightText"/>
      </w:pPr>
      <w:r w:rsidRPr="4327C3A9">
        <w:rPr>
          <w:rStyle w:val="Strong"/>
        </w:rPr>
        <w:t>Cover image</w:t>
      </w:r>
      <w:r>
        <w:t xml:space="preserve"> </w:t>
      </w:r>
      <w:r w:rsidR="1F779BDB" w:rsidRPr="00595FD5">
        <w:rPr>
          <w:rFonts w:eastAsia="Open Sans"/>
          <w:szCs w:val="20"/>
        </w:rPr>
        <w:t>Mahboba Rawi and Nawid Cina, winners</w:t>
      </w:r>
      <w:r w:rsidR="1F779BDB" w:rsidRPr="4327C3A9">
        <w:rPr>
          <w:rFonts w:eastAsia="Open Sans"/>
          <w:sz w:val="24"/>
          <w:szCs w:val="24"/>
        </w:rPr>
        <w:t xml:space="preserve"> </w:t>
      </w:r>
      <w:r w:rsidR="00FD1250">
        <w:t xml:space="preserve">of the Human Rights Medal </w:t>
      </w:r>
      <w:r w:rsidR="009774BD">
        <w:t>at the Commission 202</w:t>
      </w:r>
      <w:r w:rsidR="00737159">
        <w:t>2</w:t>
      </w:r>
      <w:r w:rsidR="009774BD">
        <w:t xml:space="preserve"> Human Rights Award</w:t>
      </w:r>
      <w:r w:rsidR="004C6A84">
        <w:t>. Photographer: Matthew Syres.</w:t>
      </w:r>
    </w:p>
    <w:p w14:paraId="683A6694" w14:textId="057A3D77" w:rsidR="00FE1B20" w:rsidRDefault="00FE1B20" w:rsidP="00FE1B20">
      <w:pPr>
        <w:pStyle w:val="CopyrightText"/>
      </w:pPr>
      <w:r w:rsidRPr="00FE1B20">
        <w:rPr>
          <w:rStyle w:val="Strong"/>
        </w:rPr>
        <w:t>Internal photography</w:t>
      </w:r>
      <w:r>
        <w:t xml:space="preserve"> </w:t>
      </w:r>
      <w:r w:rsidR="005B7E57">
        <w:t>Australian Human Rights Commission staff. Awards photography: Mattew Syres.</w:t>
      </w:r>
    </w:p>
    <w:p w14:paraId="3B96D25A" w14:textId="77777777" w:rsidR="00FE1B20" w:rsidRPr="007A7D4A" w:rsidRDefault="00FE1B20" w:rsidP="00A056B8">
      <w:pPr>
        <w:spacing w:before="0" w:after="0" w:line="240" w:lineRule="auto"/>
        <w:rPr>
          <w:lang w:val="en-US"/>
        </w:rPr>
      </w:pPr>
    </w:p>
    <w:p w14:paraId="50E08807" w14:textId="0ED5CFF0" w:rsidR="00A056B8" w:rsidRPr="00A056B8" w:rsidRDefault="00A056B8" w:rsidP="00A056B8">
      <w:pPr>
        <w:spacing w:before="0" w:after="0" w:line="240" w:lineRule="auto"/>
      </w:pPr>
      <w:r>
        <w:br w:type="page"/>
      </w:r>
    </w:p>
    <w:p w14:paraId="35039AB3" w14:textId="26744030" w:rsidR="003423F4" w:rsidRPr="007A6A69" w:rsidRDefault="000B5B68" w:rsidP="002F16FD">
      <w:pPr>
        <w:pStyle w:val="TOCHeading"/>
      </w:pPr>
      <w:r>
        <w:lastRenderedPageBreak/>
        <w:t>Contents</w:t>
      </w:r>
    </w:p>
    <w:p w14:paraId="4E03B37C" w14:textId="6779FC90" w:rsidR="002B442E" w:rsidRDefault="00F365E2">
      <w:pPr>
        <w:pStyle w:val="TOC1"/>
        <w:rPr>
          <w:rFonts w:asciiTheme="minorHAnsi" w:eastAsiaTheme="minorEastAsia" w:hAnsiTheme="minorHAnsi" w:cstheme="minorBidi"/>
          <w:b w:val="0"/>
          <w:kern w:val="2"/>
          <w:sz w:val="24"/>
          <w:lang w:val="it-IT" w:eastAsia="it-IT"/>
          <w14:ligatures w14:val="standardContextual"/>
        </w:rPr>
      </w:pPr>
      <w:r>
        <w:fldChar w:fldCharType="begin"/>
      </w:r>
      <w:r>
        <w:instrText xml:space="preserve"> TOC \h \z \t "Titolo 1;1;Titolo 2;2;Titolo 7;2" </w:instrText>
      </w:r>
      <w:r>
        <w:fldChar w:fldCharType="separate"/>
      </w:r>
      <w:hyperlink w:anchor="_Toc146437025" w:history="1">
        <w:r w:rsidR="002B442E" w:rsidRPr="00EE1D8F">
          <w:rPr>
            <w:rStyle w:val="Hyperlink"/>
          </w:rPr>
          <w:t>1</w:t>
        </w:r>
        <w:r w:rsidR="002B442E">
          <w:rPr>
            <w:rFonts w:asciiTheme="minorHAnsi" w:eastAsiaTheme="minorEastAsia" w:hAnsiTheme="minorHAnsi" w:cstheme="minorBidi"/>
            <w:b w:val="0"/>
            <w:kern w:val="2"/>
            <w:sz w:val="24"/>
            <w:lang w:val="it-IT" w:eastAsia="it-IT"/>
            <w14:ligatures w14:val="standardContextual"/>
          </w:rPr>
          <w:tab/>
        </w:r>
        <w:r w:rsidR="002B442E" w:rsidRPr="00EE1D8F">
          <w:rPr>
            <w:rStyle w:val="Hyperlink"/>
          </w:rPr>
          <w:t>About the Commission</w:t>
        </w:r>
        <w:r w:rsidR="002B442E">
          <w:rPr>
            <w:webHidden/>
          </w:rPr>
          <w:tab/>
        </w:r>
        <w:r w:rsidR="002B442E">
          <w:rPr>
            <w:webHidden/>
          </w:rPr>
          <w:fldChar w:fldCharType="begin"/>
        </w:r>
        <w:r w:rsidR="002B442E">
          <w:rPr>
            <w:webHidden/>
          </w:rPr>
          <w:instrText xml:space="preserve"> PAGEREF _Toc146437025 \h </w:instrText>
        </w:r>
        <w:r w:rsidR="002B442E">
          <w:rPr>
            <w:webHidden/>
          </w:rPr>
        </w:r>
        <w:r w:rsidR="002B442E">
          <w:rPr>
            <w:webHidden/>
          </w:rPr>
          <w:fldChar w:fldCharType="separate"/>
        </w:r>
        <w:r w:rsidR="002B442E">
          <w:rPr>
            <w:webHidden/>
          </w:rPr>
          <w:t>6</w:t>
        </w:r>
        <w:r w:rsidR="002B442E">
          <w:rPr>
            <w:webHidden/>
          </w:rPr>
          <w:fldChar w:fldCharType="end"/>
        </w:r>
      </w:hyperlink>
    </w:p>
    <w:p w14:paraId="7F098611" w14:textId="485F156B"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26" w:history="1">
        <w:r w:rsidR="002B442E" w:rsidRPr="00EE1D8F">
          <w:rPr>
            <w:rStyle w:val="Hyperlink"/>
          </w:rPr>
          <w:t>1.1</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rPr>
          <w:t>Our Purpose</w:t>
        </w:r>
        <w:r w:rsidR="002B442E">
          <w:rPr>
            <w:webHidden/>
          </w:rPr>
          <w:tab/>
        </w:r>
        <w:r w:rsidR="002B442E">
          <w:rPr>
            <w:webHidden/>
          </w:rPr>
          <w:fldChar w:fldCharType="begin"/>
        </w:r>
        <w:r w:rsidR="002B442E">
          <w:rPr>
            <w:webHidden/>
          </w:rPr>
          <w:instrText xml:space="preserve"> PAGEREF _Toc146437026 \h </w:instrText>
        </w:r>
        <w:r w:rsidR="002B442E">
          <w:rPr>
            <w:webHidden/>
          </w:rPr>
        </w:r>
        <w:r w:rsidR="002B442E">
          <w:rPr>
            <w:webHidden/>
          </w:rPr>
          <w:fldChar w:fldCharType="separate"/>
        </w:r>
        <w:r w:rsidR="002B442E">
          <w:rPr>
            <w:webHidden/>
          </w:rPr>
          <w:t>6</w:t>
        </w:r>
        <w:r w:rsidR="002B442E">
          <w:rPr>
            <w:webHidden/>
          </w:rPr>
          <w:fldChar w:fldCharType="end"/>
        </w:r>
      </w:hyperlink>
    </w:p>
    <w:p w14:paraId="2B693B34" w14:textId="2773E059"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27" w:history="1">
        <w:r w:rsidR="002B442E" w:rsidRPr="00EE1D8F">
          <w:rPr>
            <w:rStyle w:val="Hyperlink"/>
          </w:rPr>
          <w:t>1.2</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rPr>
          <w:t>Achieving our Purpose</w:t>
        </w:r>
        <w:r w:rsidR="002B442E">
          <w:rPr>
            <w:webHidden/>
          </w:rPr>
          <w:tab/>
        </w:r>
        <w:r w:rsidR="002B442E">
          <w:rPr>
            <w:webHidden/>
          </w:rPr>
          <w:fldChar w:fldCharType="begin"/>
        </w:r>
        <w:r w:rsidR="002B442E">
          <w:rPr>
            <w:webHidden/>
          </w:rPr>
          <w:instrText xml:space="preserve"> PAGEREF _Toc146437027 \h </w:instrText>
        </w:r>
        <w:r w:rsidR="002B442E">
          <w:rPr>
            <w:webHidden/>
          </w:rPr>
        </w:r>
        <w:r w:rsidR="002B442E">
          <w:rPr>
            <w:webHidden/>
          </w:rPr>
          <w:fldChar w:fldCharType="separate"/>
        </w:r>
        <w:r w:rsidR="002B442E">
          <w:rPr>
            <w:webHidden/>
          </w:rPr>
          <w:t>7</w:t>
        </w:r>
        <w:r w:rsidR="002B442E">
          <w:rPr>
            <w:webHidden/>
          </w:rPr>
          <w:fldChar w:fldCharType="end"/>
        </w:r>
      </w:hyperlink>
    </w:p>
    <w:p w14:paraId="7F110B7C" w14:textId="7CF17C9A" w:rsidR="002B442E" w:rsidRDefault="00B7010F">
      <w:pPr>
        <w:pStyle w:val="TOC1"/>
        <w:rPr>
          <w:rFonts w:asciiTheme="minorHAnsi" w:eastAsiaTheme="minorEastAsia" w:hAnsiTheme="minorHAnsi" w:cstheme="minorBidi"/>
          <w:b w:val="0"/>
          <w:kern w:val="2"/>
          <w:sz w:val="24"/>
          <w:lang w:val="it-IT" w:eastAsia="it-IT"/>
          <w14:ligatures w14:val="standardContextual"/>
        </w:rPr>
      </w:pPr>
      <w:hyperlink w:anchor="_Toc146437028" w:history="1">
        <w:r w:rsidR="002B442E" w:rsidRPr="00EE1D8F">
          <w:rPr>
            <w:rStyle w:val="Hyperlink"/>
          </w:rPr>
          <w:t>2</w:t>
        </w:r>
        <w:r w:rsidR="002B442E">
          <w:rPr>
            <w:rFonts w:asciiTheme="minorHAnsi" w:eastAsiaTheme="minorEastAsia" w:hAnsiTheme="minorHAnsi" w:cstheme="minorBidi"/>
            <w:b w:val="0"/>
            <w:kern w:val="2"/>
            <w:sz w:val="24"/>
            <w:lang w:val="it-IT" w:eastAsia="it-IT"/>
            <w14:ligatures w14:val="standardContextual"/>
          </w:rPr>
          <w:tab/>
        </w:r>
        <w:r w:rsidR="002B442E" w:rsidRPr="00EE1D8F">
          <w:rPr>
            <w:rStyle w:val="Hyperlink"/>
          </w:rPr>
          <w:t>Our Structure and Governance</w:t>
        </w:r>
        <w:r w:rsidR="002B442E">
          <w:rPr>
            <w:webHidden/>
          </w:rPr>
          <w:tab/>
        </w:r>
        <w:r w:rsidR="002B442E">
          <w:rPr>
            <w:webHidden/>
          </w:rPr>
          <w:fldChar w:fldCharType="begin"/>
        </w:r>
        <w:r w:rsidR="002B442E">
          <w:rPr>
            <w:webHidden/>
          </w:rPr>
          <w:instrText xml:space="preserve"> PAGEREF _Toc146437028 \h </w:instrText>
        </w:r>
        <w:r w:rsidR="002B442E">
          <w:rPr>
            <w:webHidden/>
          </w:rPr>
        </w:r>
        <w:r w:rsidR="002B442E">
          <w:rPr>
            <w:webHidden/>
          </w:rPr>
          <w:fldChar w:fldCharType="separate"/>
        </w:r>
        <w:r w:rsidR="002B442E">
          <w:rPr>
            <w:webHidden/>
          </w:rPr>
          <w:t>9</w:t>
        </w:r>
        <w:r w:rsidR="002B442E">
          <w:rPr>
            <w:webHidden/>
          </w:rPr>
          <w:fldChar w:fldCharType="end"/>
        </w:r>
      </w:hyperlink>
    </w:p>
    <w:p w14:paraId="4BF28CD5" w14:textId="26EF135C"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29" w:history="1">
        <w:r w:rsidR="002B442E" w:rsidRPr="00EE1D8F">
          <w:rPr>
            <w:rStyle w:val="Hyperlink"/>
          </w:rPr>
          <w:t>2.1</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rPr>
          <w:t>Organisational Structure 2022-23</w:t>
        </w:r>
        <w:r w:rsidR="002B442E">
          <w:rPr>
            <w:webHidden/>
          </w:rPr>
          <w:tab/>
        </w:r>
        <w:r w:rsidR="002B442E">
          <w:rPr>
            <w:webHidden/>
          </w:rPr>
          <w:fldChar w:fldCharType="begin"/>
        </w:r>
        <w:r w:rsidR="002B442E">
          <w:rPr>
            <w:webHidden/>
          </w:rPr>
          <w:instrText xml:space="preserve"> PAGEREF _Toc146437029 \h </w:instrText>
        </w:r>
        <w:r w:rsidR="002B442E">
          <w:rPr>
            <w:webHidden/>
          </w:rPr>
        </w:r>
        <w:r w:rsidR="002B442E">
          <w:rPr>
            <w:webHidden/>
          </w:rPr>
          <w:fldChar w:fldCharType="separate"/>
        </w:r>
        <w:r w:rsidR="002B442E">
          <w:rPr>
            <w:webHidden/>
          </w:rPr>
          <w:t>9</w:t>
        </w:r>
        <w:r w:rsidR="002B442E">
          <w:rPr>
            <w:webHidden/>
          </w:rPr>
          <w:fldChar w:fldCharType="end"/>
        </w:r>
      </w:hyperlink>
    </w:p>
    <w:p w14:paraId="331199BA" w14:textId="2694435B"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30" w:history="1">
        <w:r w:rsidR="002B442E" w:rsidRPr="00EE1D8F">
          <w:rPr>
            <w:rStyle w:val="Hyperlink"/>
          </w:rPr>
          <w:t>2.2</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rPr>
          <w:t>President, Commissioners and Chief Executive over the 2022–23 period</w:t>
        </w:r>
        <w:r w:rsidR="002B442E">
          <w:rPr>
            <w:webHidden/>
          </w:rPr>
          <w:tab/>
        </w:r>
        <w:r w:rsidR="002B442E">
          <w:rPr>
            <w:webHidden/>
          </w:rPr>
          <w:fldChar w:fldCharType="begin"/>
        </w:r>
        <w:r w:rsidR="002B442E">
          <w:rPr>
            <w:webHidden/>
          </w:rPr>
          <w:instrText xml:space="preserve"> PAGEREF _Toc146437030 \h </w:instrText>
        </w:r>
        <w:r w:rsidR="002B442E">
          <w:rPr>
            <w:webHidden/>
          </w:rPr>
        </w:r>
        <w:r w:rsidR="002B442E">
          <w:rPr>
            <w:webHidden/>
          </w:rPr>
          <w:fldChar w:fldCharType="separate"/>
        </w:r>
        <w:r w:rsidR="002B442E">
          <w:rPr>
            <w:webHidden/>
          </w:rPr>
          <w:t>10</w:t>
        </w:r>
        <w:r w:rsidR="002B442E">
          <w:rPr>
            <w:webHidden/>
          </w:rPr>
          <w:fldChar w:fldCharType="end"/>
        </w:r>
      </w:hyperlink>
    </w:p>
    <w:p w14:paraId="45433FF3" w14:textId="280B11C8"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31" w:history="1">
        <w:r w:rsidR="002B442E" w:rsidRPr="00EE1D8F">
          <w:rPr>
            <w:rStyle w:val="Hyperlink"/>
            <w:lang w:val="en-US"/>
          </w:rPr>
          <w:t>2.3</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lang w:val="en-US"/>
          </w:rPr>
          <w:t>Location and National Reach</w:t>
        </w:r>
        <w:r w:rsidR="002B442E">
          <w:rPr>
            <w:webHidden/>
          </w:rPr>
          <w:tab/>
        </w:r>
        <w:r w:rsidR="002B442E">
          <w:rPr>
            <w:webHidden/>
          </w:rPr>
          <w:fldChar w:fldCharType="begin"/>
        </w:r>
        <w:r w:rsidR="002B442E">
          <w:rPr>
            <w:webHidden/>
          </w:rPr>
          <w:instrText xml:space="preserve"> PAGEREF _Toc146437031 \h </w:instrText>
        </w:r>
        <w:r w:rsidR="002B442E">
          <w:rPr>
            <w:webHidden/>
          </w:rPr>
        </w:r>
        <w:r w:rsidR="002B442E">
          <w:rPr>
            <w:webHidden/>
          </w:rPr>
          <w:fldChar w:fldCharType="separate"/>
        </w:r>
        <w:r w:rsidR="002B442E">
          <w:rPr>
            <w:webHidden/>
          </w:rPr>
          <w:t>11</w:t>
        </w:r>
        <w:r w:rsidR="002B442E">
          <w:rPr>
            <w:webHidden/>
          </w:rPr>
          <w:fldChar w:fldCharType="end"/>
        </w:r>
      </w:hyperlink>
    </w:p>
    <w:p w14:paraId="3FF91CC7" w14:textId="16F4122E"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32" w:history="1">
        <w:r w:rsidR="002B442E" w:rsidRPr="00EE1D8F">
          <w:rPr>
            <w:rStyle w:val="Hyperlink"/>
            <w:lang w:val="en-US"/>
          </w:rPr>
          <w:t>2.4</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lang w:val="en-US"/>
          </w:rPr>
          <w:t>Governance</w:t>
        </w:r>
        <w:r w:rsidR="002B442E">
          <w:rPr>
            <w:webHidden/>
          </w:rPr>
          <w:tab/>
        </w:r>
        <w:r w:rsidR="002B442E">
          <w:rPr>
            <w:webHidden/>
          </w:rPr>
          <w:fldChar w:fldCharType="begin"/>
        </w:r>
        <w:r w:rsidR="002B442E">
          <w:rPr>
            <w:webHidden/>
          </w:rPr>
          <w:instrText xml:space="preserve"> PAGEREF _Toc146437032 \h </w:instrText>
        </w:r>
        <w:r w:rsidR="002B442E">
          <w:rPr>
            <w:webHidden/>
          </w:rPr>
        </w:r>
        <w:r w:rsidR="002B442E">
          <w:rPr>
            <w:webHidden/>
          </w:rPr>
          <w:fldChar w:fldCharType="separate"/>
        </w:r>
        <w:r w:rsidR="002B442E">
          <w:rPr>
            <w:webHidden/>
          </w:rPr>
          <w:t>11</w:t>
        </w:r>
        <w:r w:rsidR="002B442E">
          <w:rPr>
            <w:webHidden/>
          </w:rPr>
          <w:fldChar w:fldCharType="end"/>
        </w:r>
      </w:hyperlink>
    </w:p>
    <w:p w14:paraId="52D1CD6B" w14:textId="09750D80"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33" w:history="1">
        <w:r w:rsidR="002B442E" w:rsidRPr="00EE1D8F">
          <w:rPr>
            <w:rStyle w:val="Hyperlink"/>
            <w:lang w:val="en-US"/>
          </w:rPr>
          <w:t>2.5</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rPr>
          <w:t>Audit</w:t>
        </w:r>
        <w:r w:rsidR="002B442E" w:rsidRPr="00EE1D8F">
          <w:rPr>
            <w:rStyle w:val="Hyperlink"/>
            <w:lang w:val="en-US"/>
          </w:rPr>
          <w:t xml:space="preserve"> and Risk Committee</w:t>
        </w:r>
        <w:r w:rsidR="002B442E">
          <w:rPr>
            <w:webHidden/>
          </w:rPr>
          <w:tab/>
        </w:r>
        <w:r w:rsidR="002B442E">
          <w:rPr>
            <w:webHidden/>
          </w:rPr>
          <w:fldChar w:fldCharType="begin"/>
        </w:r>
        <w:r w:rsidR="002B442E">
          <w:rPr>
            <w:webHidden/>
          </w:rPr>
          <w:instrText xml:space="preserve"> PAGEREF _Toc146437033 \h </w:instrText>
        </w:r>
        <w:r w:rsidR="002B442E">
          <w:rPr>
            <w:webHidden/>
          </w:rPr>
        </w:r>
        <w:r w:rsidR="002B442E">
          <w:rPr>
            <w:webHidden/>
          </w:rPr>
          <w:fldChar w:fldCharType="separate"/>
        </w:r>
        <w:r w:rsidR="002B442E">
          <w:rPr>
            <w:webHidden/>
          </w:rPr>
          <w:t>12</w:t>
        </w:r>
        <w:r w:rsidR="002B442E">
          <w:rPr>
            <w:webHidden/>
          </w:rPr>
          <w:fldChar w:fldCharType="end"/>
        </w:r>
      </w:hyperlink>
    </w:p>
    <w:p w14:paraId="55C25484" w14:textId="3C359103" w:rsidR="002B442E" w:rsidRDefault="00B7010F">
      <w:pPr>
        <w:pStyle w:val="TOC1"/>
        <w:rPr>
          <w:rFonts w:asciiTheme="minorHAnsi" w:eastAsiaTheme="minorEastAsia" w:hAnsiTheme="minorHAnsi" w:cstheme="minorBidi"/>
          <w:b w:val="0"/>
          <w:kern w:val="2"/>
          <w:sz w:val="24"/>
          <w:lang w:val="it-IT" w:eastAsia="it-IT"/>
          <w14:ligatures w14:val="standardContextual"/>
        </w:rPr>
      </w:pPr>
      <w:hyperlink w:anchor="_Toc146437034" w:history="1">
        <w:r w:rsidR="002B442E" w:rsidRPr="00EE1D8F">
          <w:rPr>
            <w:rStyle w:val="Hyperlink"/>
          </w:rPr>
          <w:t>3</w:t>
        </w:r>
        <w:r w:rsidR="002B442E">
          <w:rPr>
            <w:rFonts w:asciiTheme="minorHAnsi" w:eastAsiaTheme="minorEastAsia" w:hAnsiTheme="minorHAnsi" w:cstheme="minorBidi"/>
            <w:b w:val="0"/>
            <w:kern w:val="2"/>
            <w:sz w:val="24"/>
            <w:lang w:val="it-IT" w:eastAsia="it-IT"/>
            <w14:ligatures w14:val="standardContextual"/>
          </w:rPr>
          <w:tab/>
        </w:r>
        <w:r w:rsidR="002B442E" w:rsidRPr="00EE1D8F">
          <w:rPr>
            <w:rStyle w:val="Hyperlink"/>
          </w:rPr>
          <w:t>Our Legislation and Functions</w:t>
        </w:r>
        <w:r w:rsidR="002B442E">
          <w:rPr>
            <w:webHidden/>
          </w:rPr>
          <w:tab/>
        </w:r>
        <w:r w:rsidR="002B442E">
          <w:rPr>
            <w:webHidden/>
          </w:rPr>
          <w:fldChar w:fldCharType="begin"/>
        </w:r>
        <w:r w:rsidR="002B442E">
          <w:rPr>
            <w:webHidden/>
          </w:rPr>
          <w:instrText xml:space="preserve"> PAGEREF _Toc146437034 \h </w:instrText>
        </w:r>
        <w:r w:rsidR="002B442E">
          <w:rPr>
            <w:webHidden/>
          </w:rPr>
        </w:r>
        <w:r w:rsidR="002B442E">
          <w:rPr>
            <w:webHidden/>
          </w:rPr>
          <w:fldChar w:fldCharType="separate"/>
        </w:r>
        <w:r w:rsidR="002B442E">
          <w:rPr>
            <w:webHidden/>
          </w:rPr>
          <w:t>14</w:t>
        </w:r>
        <w:r w:rsidR="002B442E">
          <w:rPr>
            <w:webHidden/>
          </w:rPr>
          <w:fldChar w:fldCharType="end"/>
        </w:r>
      </w:hyperlink>
    </w:p>
    <w:p w14:paraId="1B313335" w14:textId="00289F5D"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35" w:history="1">
        <w:r w:rsidR="002B442E" w:rsidRPr="00EE1D8F">
          <w:rPr>
            <w:rStyle w:val="Hyperlink"/>
          </w:rPr>
          <w:t>3.1</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rPr>
          <w:t>Legislation</w:t>
        </w:r>
        <w:r w:rsidR="002B442E">
          <w:rPr>
            <w:webHidden/>
          </w:rPr>
          <w:tab/>
        </w:r>
        <w:r w:rsidR="002B442E">
          <w:rPr>
            <w:webHidden/>
          </w:rPr>
          <w:fldChar w:fldCharType="begin"/>
        </w:r>
        <w:r w:rsidR="002B442E">
          <w:rPr>
            <w:webHidden/>
          </w:rPr>
          <w:instrText xml:space="preserve"> PAGEREF _Toc146437035 \h </w:instrText>
        </w:r>
        <w:r w:rsidR="002B442E">
          <w:rPr>
            <w:webHidden/>
          </w:rPr>
        </w:r>
        <w:r w:rsidR="002B442E">
          <w:rPr>
            <w:webHidden/>
          </w:rPr>
          <w:fldChar w:fldCharType="separate"/>
        </w:r>
        <w:r w:rsidR="002B442E">
          <w:rPr>
            <w:webHidden/>
          </w:rPr>
          <w:t>14</w:t>
        </w:r>
        <w:r w:rsidR="002B442E">
          <w:rPr>
            <w:webHidden/>
          </w:rPr>
          <w:fldChar w:fldCharType="end"/>
        </w:r>
      </w:hyperlink>
    </w:p>
    <w:p w14:paraId="49863745" w14:textId="244272F3"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36" w:history="1">
        <w:r w:rsidR="002B442E" w:rsidRPr="00EE1D8F">
          <w:rPr>
            <w:rStyle w:val="Hyperlink"/>
          </w:rPr>
          <w:t>3.2</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rPr>
          <w:t>Functions</w:t>
        </w:r>
        <w:r w:rsidR="002B442E">
          <w:rPr>
            <w:webHidden/>
          </w:rPr>
          <w:tab/>
        </w:r>
        <w:r w:rsidR="002B442E">
          <w:rPr>
            <w:webHidden/>
          </w:rPr>
          <w:fldChar w:fldCharType="begin"/>
        </w:r>
        <w:r w:rsidR="002B442E">
          <w:rPr>
            <w:webHidden/>
          </w:rPr>
          <w:instrText xml:space="preserve"> PAGEREF _Toc146437036 \h </w:instrText>
        </w:r>
        <w:r w:rsidR="002B442E">
          <w:rPr>
            <w:webHidden/>
          </w:rPr>
        </w:r>
        <w:r w:rsidR="002B442E">
          <w:rPr>
            <w:webHidden/>
          </w:rPr>
          <w:fldChar w:fldCharType="separate"/>
        </w:r>
        <w:r w:rsidR="002B442E">
          <w:rPr>
            <w:webHidden/>
          </w:rPr>
          <w:t>15</w:t>
        </w:r>
        <w:r w:rsidR="002B442E">
          <w:rPr>
            <w:webHidden/>
          </w:rPr>
          <w:fldChar w:fldCharType="end"/>
        </w:r>
      </w:hyperlink>
    </w:p>
    <w:p w14:paraId="3D0322B1" w14:textId="6C6278C3"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37" w:history="1">
        <w:r w:rsidR="002B442E" w:rsidRPr="00EE1D8F">
          <w:rPr>
            <w:rStyle w:val="Hyperlink"/>
          </w:rPr>
          <w:t>3.3</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rPr>
          <w:t>Approach to exercising our Functions</w:t>
        </w:r>
        <w:r w:rsidR="002B442E">
          <w:rPr>
            <w:webHidden/>
          </w:rPr>
          <w:tab/>
        </w:r>
        <w:r w:rsidR="002B442E">
          <w:rPr>
            <w:webHidden/>
          </w:rPr>
          <w:fldChar w:fldCharType="begin"/>
        </w:r>
        <w:r w:rsidR="002B442E">
          <w:rPr>
            <w:webHidden/>
          </w:rPr>
          <w:instrText xml:space="preserve"> PAGEREF _Toc146437037 \h </w:instrText>
        </w:r>
        <w:r w:rsidR="002B442E">
          <w:rPr>
            <w:webHidden/>
          </w:rPr>
        </w:r>
        <w:r w:rsidR="002B442E">
          <w:rPr>
            <w:webHidden/>
          </w:rPr>
          <w:fldChar w:fldCharType="separate"/>
        </w:r>
        <w:r w:rsidR="002B442E">
          <w:rPr>
            <w:webHidden/>
          </w:rPr>
          <w:t>20</w:t>
        </w:r>
        <w:r w:rsidR="002B442E">
          <w:rPr>
            <w:webHidden/>
          </w:rPr>
          <w:fldChar w:fldCharType="end"/>
        </w:r>
      </w:hyperlink>
    </w:p>
    <w:p w14:paraId="3C56A4DC" w14:textId="4932922E"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38" w:history="1">
        <w:r w:rsidR="002B442E" w:rsidRPr="00EE1D8F">
          <w:rPr>
            <w:rStyle w:val="Hyperlink"/>
          </w:rPr>
          <w:t>3.4</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rPr>
          <w:t>Responsible Minister</w:t>
        </w:r>
        <w:r w:rsidR="002B442E">
          <w:rPr>
            <w:webHidden/>
          </w:rPr>
          <w:tab/>
        </w:r>
        <w:r w:rsidR="002B442E">
          <w:rPr>
            <w:webHidden/>
          </w:rPr>
          <w:fldChar w:fldCharType="begin"/>
        </w:r>
        <w:r w:rsidR="002B442E">
          <w:rPr>
            <w:webHidden/>
          </w:rPr>
          <w:instrText xml:space="preserve"> PAGEREF _Toc146437038 \h </w:instrText>
        </w:r>
        <w:r w:rsidR="002B442E">
          <w:rPr>
            <w:webHidden/>
          </w:rPr>
        </w:r>
        <w:r w:rsidR="002B442E">
          <w:rPr>
            <w:webHidden/>
          </w:rPr>
          <w:fldChar w:fldCharType="separate"/>
        </w:r>
        <w:r w:rsidR="002B442E">
          <w:rPr>
            <w:webHidden/>
          </w:rPr>
          <w:t>20</w:t>
        </w:r>
        <w:r w:rsidR="002B442E">
          <w:rPr>
            <w:webHidden/>
          </w:rPr>
          <w:fldChar w:fldCharType="end"/>
        </w:r>
      </w:hyperlink>
    </w:p>
    <w:p w14:paraId="62FF6D7A" w14:textId="44909EE5" w:rsidR="002B442E" w:rsidRDefault="00B7010F">
      <w:pPr>
        <w:pStyle w:val="TOC1"/>
        <w:rPr>
          <w:rFonts w:asciiTheme="minorHAnsi" w:eastAsiaTheme="minorEastAsia" w:hAnsiTheme="minorHAnsi" w:cstheme="minorBidi"/>
          <w:b w:val="0"/>
          <w:kern w:val="2"/>
          <w:sz w:val="24"/>
          <w:lang w:val="it-IT" w:eastAsia="it-IT"/>
          <w14:ligatures w14:val="standardContextual"/>
        </w:rPr>
      </w:pPr>
      <w:hyperlink w:anchor="_Toc146437039" w:history="1">
        <w:r w:rsidR="002B442E" w:rsidRPr="00EE1D8F">
          <w:rPr>
            <w:rStyle w:val="Hyperlink"/>
          </w:rPr>
          <w:t>4</w:t>
        </w:r>
        <w:r w:rsidR="002B442E">
          <w:rPr>
            <w:rFonts w:asciiTheme="minorHAnsi" w:eastAsiaTheme="minorEastAsia" w:hAnsiTheme="minorHAnsi" w:cstheme="minorBidi"/>
            <w:b w:val="0"/>
            <w:kern w:val="2"/>
            <w:sz w:val="24"/>
            <w:lang w:val="it-IT" w:eastAsia="it-IT"/>
            <w14:ligatures w14:val="standardContextual"/>
          </w:rPr>
          <w:tab/>
        </w:r>
        <w:r w:rsidR="002B442E" w:rsidRPr="00EE1D8F">
          <w:rPr>
            <w:rStyle w:val="Hyperlink"/>
          </w:rPr>
          <w:t>The year in review</w:t>
        </w:r>
        <w:r w:rsidR="002B442E">
          <w:rPr>
            <w:webHidden/>
          </w:rPr>
          <w:tab/>
        </w:r>
        <w:r w:rsidR="002B442E">
          <w:rPr>
            <w:webHidden/>
          </w:rPr>
          <w:fldChar w:fldCharType="begin"/>
        </w:r>
        <w:r w:rsidR="002B442E">
          <w:rPr>
            <w:webHidden/>
          </w:rPr>
          <w:instrText xml:space="preserve"> PAGEREF _Toc146437039 \h </w:instrText>
        </w:r>
        <w:r w:rsidR="002B442E">
          <w:rPr>
            <w:webHidden/>
          </w:rPr>
        </w:r>
        <w:r w:rsidR="002B442E">
          <w:rPr>
            <w:webHidden/>
          </w:rPr>
          <w:fldChar w:fldCharType="separate"/>
        </w:r>
        <w:r w:rsidR="002B442E">
          <w:rPr>
            <w:webHidden/>
          </w:rPr>
          <w:t>21</w:t>
        </w:r>
        <w:r w:rsidR="002B442E">
          <w:rPr>
            <w:webHidden/>
          </w:rPr>
          <w:fldChar w:fldCharType="end"/>
        </w:r>
      </w:hyperlink>
    </w:p>
    <w:p w14:paraId="7C17CE30" w14:textId="0ABEC2C1"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40" w:history="1">
        <w:r w:rsidR="002B442E" w:rsidRPr="00EE1D8F">
          <w:rPr>
            <w:rStyle w:val="Hyperlink"/>
          </w:rPr>
          <w:t>4.1</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rPr>
          <w:t>From the President</w:t>
        </w:r>
        <w:r w:rsidR="002B442E">
          <w:rPr>
            <w:webHidden/>
          </w:rPr>
          <w:tab/>
        </w:r>
        <w:r w:rsidR="002B442E">
          <w:rPr>
            <w:webHidden/>
          </w:rPr>
          <w:fldChar w:fldCharType="begin"/>
        </w:r>
        <w:r w:rsidR="002B442E">
          <w:rPr>
            <w:webHidden/>
          </w:rPr>
          <w:instrText xml:space="preserve"> PAGEREF _Toc146437040 \h </w:instrText>
        </w:r>
        <w:r w:rsidR="002B442E">
          <w:rPr>
            <w:webHidden/>
          </w:rPr>
        </w:r>
        <w:r w:rsidR="002B442E">
          <w:rPr>
            <w:webHidden/>
          </w:rPr>
          <w:fldChar w:fldCharType="separate"/>
        </w:r>
        <w:r w:rsidR="002B442E">
          <w:rPr>
            <w:webHidden/>
          </w:rPr>
          <w:t>21</w:t>
        </w:r>
        <w:r w:rsidR="002B442E">
          <w:rPr>
            <w:webHidden/>
          </w:rPr>
          <w:fldChar w:fldCharType="end"/>
        </w:r>
      </w:hyperlink>
    </w:p>
    <w:p w14:paraId="384E04B8" w14:textId="5F1444AE" w:rsidR="002B442E" w:rsidRDefault="00B7010F">
      <w:pPr>
        <w:pStyle w:val="TOC1"/>
        <w:rPr>
          <w:rFonts w:asciiTheme="minorHAnsi" w:eastAsiaTheme="minorEastAsia" w:hAnsiTheme="minorHAnsi" w:cstheme="minorBidi"/>
          <w:b w:val="0"/>
          <w:kern w:val="2"/>
          <w:sz w:val="24"/>
          <w:lang w:val="it-IT" w:eastAsia="it-IT"/>
          <w14:ligatures w14:val="standardContextual"/>
        </w:rPr>
      </w:pPr>
      <w:hyperlink w:anchor="_Toc146437041" w:history="1">
        <w:r w:rsidR="002B442E" w:rsidRPr="00EE1D8F">
          <w:rPr>
            <w:rStyle w:val="Hyperlink"/>
          </w:rPr>
          <w:t>5</w:t>
        </w:r>
        <w:r w:rsidR="002B442E">
          <w:rPr>
            <w:rFonts w:asciiTheme="minorHAnsi" w:eastAsiaTheme="minorEastAsia" w:hAnsiTheme="minorHAnsi" w:cstheme="minorBidi"/>
            <w:b w:val="0"/>
            <w:kern w:val="2"/>
            <w:sz w:val="24"/>
            <w:lang w:val="it-IT" w:eastAsia="it-IT"/>
            <w14:ligatures w14:val="standardContextual"/>
          </w:rPr>
          <w:tab/>
        </w:r>
        <w:r w:rsidR="002B442E" w:rsidRPr="00EE1D8F">
          <w:rPr>
            <w:rStyle w:val="Hyperlink"/>
          </w:rPr>
          <w:t>Annual Performance Statement</w:t>
        </w:r>
        <w:r w:rsidR="002B442E">
          <w:rPr>
            <w:webHidden/>
          </w:rPr>
          <w:tab/>
        </w:r>
        <w:r w:rsidR="002B442E">
          <w:rPr>
            <w:webHidden/>
          </w:rPr>
          <w:fldChar w:fldCharType="begin"/>
        </w:r>
        <w:r w:rsidR="002B442E">
          <w:rPr>
            <w:webHidden/>
          </w:rPr>
          <w:instrText xml:space="preserve"> PAGEREF _Toc146437041 \h </w:instrText>
        </w:r>
        <w:r w:rsidR="002B442E">
          <w:rPr>
            <w:webHidden/>
          </w:rPr>
        </w:r>
        <w:r w:rsidR="002B442E">
          <w:rPr>
            <w:webHidden/>
          </w:rPr>
          <w:fldChar w:fldCharType="separate"/>
        </w:r>
        <w:r w:rsidR="002B442E">
          <w:rPr>
            <w:webHidden/>
          </w:rPr>
          <w:t>28</w:t>
        </w:r>
        <w:r w:rsidR="002B442E">
          <w:rPr>
            <w:webHidden/>
          </w:rPr>
          <w:fldChar w:fldCharType="end"/>
        </w:r>
      </w:hyperlink>
    </w:p>
    <w:p w14:paraId="2417D54C" w14:textId="24CDFE4A"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42" w:history="1">
        <w:r w:rsidR="002B442E" w:rsidRPr="00EE1D8F">
          <w:rPr>
            <w:rStyle w:val="Hyperlink"/>
          </w:rPr>
          <w:t>5.1</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rPr>
          <w:t>Introduction to Results</w:t>
        </w:r>
        <w:r w:rsidR="002B442E">
          <w:rPr>
            <w:webHidden/>
          </w:rPr>
          <w:tab/>
        </w:r>
        <w:r w:rsidR="002B442E">
          <w:rPr>
            <w:webHidden/>
          </w:rPr>
          <w:fldChar w:fldCharType="begin"/>
        </w:r>
        <w:r w:rsidR="002B442E">
          <w:rPr>
            <w:webHidden/>
          </w:rPr>
          <w:instrText xml:space="preserve"> PAGEREF _Toc146437042 \h </w:instrText>
        </w:r>
        <w:r w:rsidR="002B442E">
          <w:rPr>
            <w:webHidden/>
          </w:rPr>
        </w:r>
        <w:r w:rsidR="002B442E">
          <w:rPr>
            <w:webHidden/>
          </w:rPr>
          <w:fldChar w:fldCharType="separate"/>
        </w:r>
        <w:r w:rsidR="002B442E">
          <w:rPr>
            <w:webHidden/>
          </w:rPr>
          <w:t>29</w:t>
        </w:r>
        <w:r w:rsidR="002B442E">
          <w:rPr>
            <w:webHidden/>
          </w:rPr>
          <w:fldChar w:fldCharType="end"/>
        </w:r>
      </w:hyperlink>
    </w:p>
    <w:p w14:paraId="415E7EE7" w14:textId="2D482E18"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43" w:history="1">
        <w:r w:rsidR="002B442E" w:rsidRPr="00EE1D8F">
          <w:rPr>
            <w:rStyle w:val="Hyperlink"/>
          </w:rPr>
          <w:t>5.2</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rPr>
          <w:t>Statement Against Outcomes</w:t>
        </w:r>
        <w:r w:rsidR="002B442E">
          <w:rPr>
            <w:webHidden/>
          </w:rPr>
          <w:tab/>
        </w:r>
        <w:r w:rsidR="002B442E">
          <w:rPr>
            <w:webHidden/>
          </w:rPr>
          <w:fldChar w:fldCharType="begin"/>
        </w:r>
        <w:r w:rsidR="002B442E">
          <w:rPr>
            <w:webHidden/>
          </w:rPr>
          <w:instrText xml:space="preserve"> PAGEREF _Toc146437043 \h </w:instrText>
        </w:r>
        <w:r w:rsidR="002B442E">
          <w:rPr>
            <w:webHidden/>
          </w:rPr>
        </w:r>
        <w:r w:rsidR="002B442E">
          <w:rPr>
            <w:webHidden/>
          </w:rPr>
          <w:fldChar w:fldCharType="separate"/>
        </w:r>
        <w:r w:rsidR="002B442E">
          <w:rPr>
            <w:webHidden/>
          </w:rPr>
          <w:t>30</w:t>
        </w:r>
        <w:r w:rsidR="002B442E">
          <w:rPr>
            <w:webHidden/>
          </w:rPr>
          <w:fldChar w:fldCharType="end"/>
        </w:r>
      </w:hyperlink>
    </w:p>
    <w:p w14:paraId="613749E5" w14:textId="480E75D6" w:rsidR="002B442E" w:rsidRDefault="00B7010F">
      <w:pPr>
        <w:pStyle w:val="TOC1"/>
        <w:rPr>
          <w:rFonts w:asciiTheme="minorHAnsi" w:eastAsiaTheme="minorEastAsia" w:hAnsiTheme="minorHAnsi" w:cstheme="minorBidi"/>
          <w:b w:val="0"/>
          <w:kern w:val="2"/>
          <w:sz w:val="24"/>
          <w:lang w:val="it-IT" w:eastAsia="it-IT"/>
          <w14:ligatures w14:val="standardContextual"/>
        </w:rPr>
      </w:pPr>
      <w:hyperlink w:anchor="_Toc146437044" w:history="1">
        <w:r w:rsidR="002B442E" w:rsidRPr="00EE1D8F">
          <w:rPr>
            <w:rStyle w:val="Hyperlink"/>
          </w:rPr>
          <w:t>6</w:t>
        </w:r>
        <w:r w:rsidR="002B442E">
          <w:rPr>
            <w:rFonts w:asciiTheme="minorHAnsi" w:eastAsiaTheme="minorEastAsia" w:hAnsiTheme="minorHAnsi" w:cstheme="minorBidi"/>
            <w:b w:val="0"/>
            <w:kern w:val="2"/>
            <w:sz w:val="24"/>
            <w:lang w:val="it-IT" w:eastAsia="it-IT"/>
            <w14:ligatures w14:val="standardContextual"/>
          </w:rPr>
          <w:tab/>
        </w:r>
        <w:r w:rsidR="002B442E" w:rsidRPr="00EE1D8F">
          <w:rPr>
            <w:rStyle w:val="Hyperlink"/>
          </w:rPr>
          <w:t>Financial Statements</w:t>
        </w:r>
        <w:r w:rsidR="002B442E">
          <w:rPr>
            <w:webHidden/>
          </w:rPr>
          <w:tab/>
        </w:r>
        <w:r w:rsidR="002B442E">
          <w:rPr>
            <w:webHidden/>
          </w:rPr>
          <w:fldChar w:fldCharType="begin"/>
        </w:r>
        <w:r w:rsidR="002B442E">
          <w:rPr>
            <w:webHidden/>
          </w:rPr>
          <w:instrText xml:space="preserve"> PAGEREF _Toc146437044 \h </w:instrText>
        </w:r>
        <w:r w:rsidR="002B442E">
          <w:rPr>
            <w:webHidden/>
          </w:rPr>
        </w:r>
        <w:r w:rsidR="002B442E">
          <w:rPr>
            <w:webHidden/>
          </w:rPr>
          <w:fldChar w:fldCharType="separate"/>
        </w:r>
        <w:r w:rsidR="002B442E">
          <w:rPr>
            <w:webHidden/>
          </w:rPr>
          <w:t>84</w:t>
        </w:r>
        <w:r w:rsidR="002B442E">
          <w:rPr>
            <w:webHidden/>
          </w:rPr>
          <w:fldChar w:fldCharType="end"/>
        </w:r>
      </w:hyperlink>
    </w:p>
    <w:p w14:paraId="211AB833" w14:textId="6E8FEE54"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45" w:history="1">
        <w:r w:rsidR="002B442E" w:rsidRPr="00EE1D8F">
          <w:rPr>
            <w:rStyle w:val="Hyperlink"/>
          </w:rPr>
          <w:t>Independent Audit Report</w:t>
        </w:r>
        <w:r w:rsidR="002B442E">
          <w:rPr>
            <w:webHidden/>
          </w:rPr>
          <w:tab/>
        </w:r>
        <w:r w:rsidR="002B442E">
          <w:rPr>
            <w:webHidden/>
          </w:rPr>
          <w:fldChar w:fldCharType="begin"/>
        </w:r>
        <w:r w:rsidR="002B442E">
          <w:rPr>
            <w:webHidden/>
          </w:rPr>
          <w:instrText xml:space="preserve"> PAGEREF _Toc146437045 \h </w:instrText>
        </w:r>
        <w:r w:rsidR="002B442E">
          <w:rPr>
            <w:webHidden/>
          </w:rPr>
        </w:r>
        <w:r w:rsidR="002B442E">
          <w:rPr>
            <w:webHidden/>
          </w:rPr>
          <w:fldChar w:fldCharType="separate"/>
        </w:r>
        <w:r w:rsidR="002B442E">
          <w:rPr>
            <w:webHidden/>
          </w:rPr>
          <w:t>84</w:t>
        </w:r>
        <w:r w:rsidR="002B442E">
          <w:rPr>
            <w:webHidden/>
          </w:rPr>
          <w:fldChar w:fldCharType="end"/>
        </w:r>
      </w:hyperlink>
    </w:p>
    <w:p w14:paraId="1919467C" w14:textId="7ABE9112"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46" w:history="1">
        <w:r w:rsidR="002B442E" w:rsidRPr="00EE1D8F">
          <w:rPr>
            <w:rStyle w:val="Hyperlink"/>
          </w:rPr>
          <w:t>Statement by the Accountable Authority, Chief Executive and Chief Financial Officer</w:t>
        </w:r>
        <w:r w:rsidR="002B442E">
          <w:rPr>
            <w:webHidden/>
          </w:rPr>
          <w:tab/>
        </w:r>
        <w:r w:rsidR="002B442E">
          <w:rPr>
            <w:webHidden/>
          </w:rPr>
          <w:fldChar w:fldCharType="begin"/>
        </w:r>
        <w:r w:rsidR="002B442E">
          <w:rPr>
            <w:webHidden/>
          </w:rPr>
          <w:instrText xml:space="preserve"> PAGEREF _Toc146437046 \h </w:instrText>
        </w:r>
        <w:r w:rsidR="002B442E">
          <w:rPr>
            <w:webHidden/>
          </w:rPr>
        </w:r>
        <w:r w:rsidR="002B442E">
          <w:rPr>
            <w:webHidden/>
          </w:rPr>
          <w:fldChar w:fldCharType="separate"/>
        </w:r>
        <w:r w:rsidR="002B442E">
          <w:rPr>
            <w:webHidden/>
          </w:rPr>
          <w:t>86</w:t>
        </w:r>
        <w:r w:rsidR="002B442E">
          <w:rPr>
            <w:webHidden/>
          </w:rPr>
          <w:fldChar w:fldCharType="end"/>
        </w:r>
      </w:hyperlink>
    </w:p>
    <w:p w14:paraId="79B1C13C" w14:textId="1FAF78A0"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47" w:history="1">
        <w:r w:rsidR="002B442E" w:rsidRPr="00EE1D8F">
          <w:rPr>
            <w:rStyle w:val="Hyperlink"/>
          </w:rPr>
          <w:t>Statement of Comprehensive Income</w:t>
        </w:r>
        <w:r w:rsidR="002B442E">
          <w:rPr>
            <w:webHidden/>
          </w:rPr>
          <w:tab/>
        </w:r>
        <w:r w:rsidR="002B442E">
          <w:rPr>
            <w:webHidden/>
          </w:rPr>
          <w:fldChar w:fldCharType="begin"/>
        </w:r>
        <w:r w:rsidR="002B442E">
          <w:rPr>
            <w:webHidden/>
          </w:rPr>
          <w:instrText xml:space="preserve"> PAGEREF _Toc146437047 \h </w:instrText>
        </w:r>
        <w:r w:rsidR="002B442E">
          <w:rPr>
            <w:webHidden/>
          </w:rPr>
        </w:r>
        <w:r w:rsidR="002B442E">
          <w:rPr>
            <w:webHidden/>
          </w:rPr>
          <w:fldChar w:fldCharType="separate"/>
        </w:r>
        <w:r w:rsidR="002B442E">
          <w:rPr>
            <w:webHidden/>
          </w:rPr>
          <w:t>87</w:t>
        </w:r>
        <w:r w:rsidR="002B442E">
          <w:rPr>
            <w:webHidden/>
          </w:rPr>
          <w:fldChar w:fldCharType="end"/>
        </w:r>
      </w:hyperlink>
    </w:p>
    <w:p w14:paraId="334F11DC" w14:textId="7EF0C000"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48" w:history="1">
        <w:r w:rsidR="002B442E" w:rsidRPr="00EE1D8F">
          <w:rPr>
            <w:rStyle w:val="Hyperlink"/>
            <w:lang w:eastAsia="en-US"/>
          </w:rPr>
          <w:t>Statement of Financial Position</w:t>
        </w:r>
        <w:r w:rsidR="002B442E">
          <w:rPr>
            <w:webHidden/>
          </w:rPr>
          <w:tab/>
        </w:r>
        <w:r w:rsidR="002B442E">
          <w:rPr>
            <w:webHidden/>
          </w:rPr>
          <w:fldChar w:fldCharType="begin"/>
        </w:r>
        <w:r w:rsidR="002B442E">
          <w:rPr>
            <w:webHidden/>
          </w:rPr>
          <w:instrText xml:space="preserve"> PAGEREF _Toc146437048 \h </w:instrText>
        </w:r>
        <w:r w:rsidR="002B442E">
          <w:rPr>
            <w:webHidden/>
          </w:rPr>
        </w:r>
        <w:r w:rsidR="002B442E">
          <w:rPr>
            <w:webHidden/>
          </w:rPr>
          <w:fldChar w:fldCharType="separate"/>
        </w:r>
        <w:r w:rsidR="002B442E">
          <w:rPr>
            <w:webHidden/>
          </w:rPr>
          <w:t>89</w:t>
        </w:r>
        <w:r w:rsidR="002B442E">
          <w:rPr>
            <w:webHidden/>
          </w:rPr>
          <w:fldChar w:fldCharType="end"/>
        </w:r>
      </w:hyperlink>
    </w:p>
    <w:p w14:paraId="7B6CF085" w14:textId="41050024"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49" w:history="1">
        <w:r w:rsidR="002B442E" w:rsidRPr="00EE1D8F">
          <w:rPr>
            <w:rStyle w:val="Hyperlink"/>
            <w:lang w:eastAsia="en-US"/>
          </w:rPr>
          <w:t>Statement of Changes in Equity</w:t>
        </w:r>
        <w:r w:rsidR="002B442E">
          <w:rPr>
            <w:webHidden/>
          </w:rPr>
          <w:tab/>
        </w:r>
        <w:r w:rsidR="002B442E">
          <w:rPr>
            <w:webHidden/>
          </w:rPr>
          <w:fldChar w:fldCharType="begin"/>
        </w:r>
        <w:r w:rsidR="002B442E">
          <w:rPr>
            <w:webHidden/>
          </w:rPr>
          <w:instrText xml:space="preserve"> PAGEREF _Toc146437049 \h </w:instrText>
        </w:r>
        <w:r w:rsidR="002B442E">
          <w:rPr>
            <w:webHidden/>
          </w:rPr>
        </w:r>
        <w:r w:rsidR="002B442E">
          <w:rPr>
            <w:webHidden/>
          </w:rPr>
          <w:fldChar w:fldCharType="separate"/>
        </w:r>
        <w:r w:rsidR="002B442E">
          <w:rPr>
            <w:webHidden/>
          </w:rPr>
          <w:t>91</w:t>
        </w:r>
        <w:r w:rsidR="002B442E">
          <w:rPr>
            <w:webHidden/>
          </w:rPr>
          <w:fldChar w:fldCharType="end"/>
        </w:r>
      </w:hyperlink>
    </w:p>
    <w:p w14:paraId="1D542916" w14:textId="01D1C50C"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50" w:history="1">
        <w:r w:rsidR="002B442E" w:rsidRPr="00EE1D8F">
          <w:rPr>
            <w:rStyle w:val="Hyperlink"/>
            <w:lang w:eastAsia="en-US"/>
          </w:rPr>
          <w:t>Cash Flow Statement</w:t>
        </w:r>
        <w:r w:rsidR="002B442E">
          <w:rPr>
            <w:webHidden/>
          </w:rPr>
          <w:tab/>
        </w:r>
        <w:r w:rsidR="002B442E">
          <w:rPr>
            <w:webHidden/>
          </w:rPr>
          <w:fldChar w:fldCharType="begin"/>
        </w:r>
        <w:r w:rsidR="002B442E">
          <w:rPr>
            <w:webHidden/>
          </w:rPr>
          <w:instrText xml:space="preserve"> PAGEREF _Toc146437050 \h </w:instrText>
        </w:r>
        <w:r w:rsidR="002B442E">
          <w:rPr>
            <w:webHidden/>
          </w:rPr>
        </w:r>
        <w:r w:rsidR="002B442E">
          <w:rPr>
            <w:webHidden/>
          </w:rPr>
          <w:fldChar w:fldCharType="separate"/>
        </w:r>
        <w:r w:rsidR="002B442E">
          <w:rPr>
            <w:webHidden/>
          </w:rPr>
          <w:t>93</w:t>
        </w:r>
        <w:r w:rsidR="002B442E">
          <w:rPr>
            <w:webHidden/>
          </w:rPr>
          <w:fldChar w:fldCharType="end"/>
        </w:r>
      </w:hyperlink>
    </w:p>
    <w:p w14:paraId="40B8F3C1" w14:textId="0F4B0995"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51" w:history="1">
        <w:r w:rsidR="002B442E" w:rsidRPr="00EE1D8F">
          <w:rPr>
            <w:rStyle w:val="Hyperlink"/>
            <w:lang w:eastAsia="en-US"/>
          </w:rPr>
          <w:t>Overview</w:t>
        </w:r>
        <w:r w:rsidR="002B442E">
          <w:rPr>
            <w:webHidden/>
          </w:rPr>
          <w:tab/>
        </w:r>
        <w:r w:rsidR="002B442E">
          <w:rPr>
            <w:webHidden/>
          </w:rPr>
          <w:fldChar w:fldCharType="begin"/>
        </w:r>
        <w:r w:rsidR="002B442E">
          <w:rPr>
            <w:webHidden/>
          </w:rPr>
          <w:instrText xml:space="preserve"> PAGEREF _Toc146437051 \h </w:instrText>
        </w:r>
        <w:r w:rsidR="002B442E">
          <w:rPr>
            <w:webHidden/>
          </w:rPr>
        </w:r>
        <w:r w:rsidR="002B442E">
          <w:rPr>
            <w:webHidden/>
          </w:rPr>
          <w:fldChar w:fldCharType="separate"/>
        </w:r>
        <w:r w:rsidR="002B442E">
          <w:rPr>
            <w:webHidden/>
          </w:rPr>
          <w:t>95</w:t>
        </w:r>
        <w:r w:rsidR="002B442E">
          <w:rPr>
            <w:webHidden/>
          </w:rPr>
          <w:fldChar w:fldCharType="end"/>
        </w:r>
      </w:hyperlink>
    </w:p>
    <w:p w14:paraId="126C06E3" w14:textId="40821E1D"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52" w:history="1">
        <w:r w:rsidR="002B442E" w:rsidRPr="00EE1D8F">
          <w:rPr>
            <w:rStyle w:val="Hyperlink"/>
            <w:lang w:eastAsia="en-US"/>
          </w:rPr>
          <w:t>Financial Performance</w:t>
        </w:r>
        <w:r w:rsidR="002B442E">
          <w:rPr>
            <w:webHidden/>
          </w:rPr>
          <w:tab/>
        </w:r>
        <w:r w:rsidR="002B442E">
          <w:rPr>
            <w:webHidden/>
          </w:rPr>
          <w:fldChar w:fldCharType="begin"/>
        </w:r>
        <w:r w:rsidR="002B442E">
          <w:rPr>
            <w:webHidden/>
          </w:rPr>
          <w:instrText xml:space="preserve"> PAGEREF _Toc146437052 \h </w:instrText>
        </w:r>
        <w:r w:rsidR="002B442E">
          <w:rPr>
            <w:webHidden/>
          </w:rPr>
        </w:r>
        <w:r w:rsidR="002B442E">
          <w:rPr>
            <w:webHidden/>
          </w:rPr>
          <w:fldChar w:fldCharType="separate"/>
        </w:r>
        <w:r w:rsidR="002B442E">
          <w:rPr>
            <w:webHidden/>
          </w:rPr>
          <w:t>97</w:t>
        </w:r>
        <w:r w:rsidR="002B442E">
          <w:rPr>
            <w:webHidden/>
          </w:rPr>
          <w:fldChar w:fldCharType="end"/>
        </w:r>
      </w:hyperlink>
    </w:p>
    <w:p w14:paraId="5550E8C9" w14:textId="423CF1F2"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53" w:history="1">
        <w:r w:rsidR="002B442E" w:rsidRPr="00EE1D8F">
          <w:rPr>
            <w:rStyle w:val="Hyperlink"/>
          </w:rPr>
          <w:t>Financial Position</w:t>
        </w:r>
        <w:r w:rsidR="002B442E">
          <w:rPr>
            <w:webHidden/>
          </w:rPr>
          <w:tab/>
        </w:r>
        <w:r w:rsidR="002B442E">
          <w:rPr>
            <w:webHidden/>
          </w:rPr>
          <w:fldChar w:fldCharType="begin"/>
        </w:r>
        <w:r w:rsidR="002B442E">
          <w:rPr>
            <w:webHidden/>
          </w:rPr>
          <w:instrText xml:space="preserve"> PAGEREF _Toc146437053 \h </w:instrText>
        </w:r>
        <w:r w:rsidR="002B442E">
          <w:rPr>
            <w:webHidden/>
          </w:rPr>
        </w:r>
        <w:r w:rsidR="002B442E">
          <w:rPr>
            <w:webHidden/>
          </w:rPr>
          <w:fldChar w:fldCharType="separate"/>
        </w:r>
        <w:r w:rsidR="002B442E">
          <w:rPr>
            <w:webHidden/>
          </w:rPr>
          <w:t>102</w:t>
        </w:r>
        <w:r w:rsidR="002B442E">
          <w:rPr>
            <w:webHidden/>
          </w:rPr>
          <w:fldChar w:fldCharType="end"/>
        </w:r>
      </w:hyperlink>
    </w:p>
    <w:p w14:paraId="1BFF5B50" w14:textId="771856CA"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54" w:history="1">
        <w:r w:rsidR="002B442E" w:rsidRPr="00EE1D8F">
          <w:rPr>
            <w:rStyle w:val="Hyperlink"/>
          </w:rPr>
          <w:t>People and Relationships</w:t>
        </w:r>
        <w:r w:rsidR="002B442E">
          <w:rPr>
            <w:webHidden/>
          </w:rPr>
          <w:tab/>
        </w:r>
        <w:r w:rsidR="002B442E">
          <w:rPr>
            <w:webHidden/>
          </w:rPr>
          <w:fldChar w:fldCharType="begin"/>
        </w:r>
        <w:r w:rsidR="002B442E">
          <w:rPr>
            <w:webHidden/>
          </w:rPr>
          <w:instrText xml:space="preserve"> PAGEREF _Toc146437054 \h </w:instrText>
        </w:r>
        <w:r w:rsidR="002B442E">
          <w:rPr>
            <w:webHidden/>
          </w:rPr>
        </w:r>
        <w:r w:rsidR="002B442E">
          <w:rPr>
            <w:webHidden/>
          </w:rPr>
          <w:fldChar w:fldCharType="separate"/>
        </w:r>
        <w:r w:rsidR="002B442E">
          <w:rPr>
            <w:webHidden/>
          </w:rPr>
          <w:t>109</w:t>
        </w:r>
        <w:r w:rsidR="002B442E">
          <w:rPr>
            <w:webHidden/>
          </w:rPr>
          <w:fldChar w:fldCharType="end"/>
        </w:r>
      </w:hyperlink>
    </w:p>
    <w:p w14:paraId="2E5EBBF1" w14:textId="0F1F1781"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55" w:history="1">
        <w:r w:rsidR="002B442E" w:rsidRPr="00EE1D8F">
          <w:rPr>
            <w:rStyle w:val="Hyperlink"/>
          </w:rPr>
          <w:t>Managing Uncertainties</w:t>
        </w:r>
        <w:r w:rsidR="002B442E">
          <w:rPr>
            <w:webHidden/>
          </w:rPr>
          <w:tab/>
        </w:r>
        <w:r w:rsidR="002B442E">
          <w:rPr>
            <w:webHidden/>
          </w:rPr>
          <w:fldChar w:fldCharType="begin"/>
        </w:r>
        <w:r w:rsidR="002B442E">
          <w:rPr>
            <w:webHidden/>
          </w:rPr>
          <w:instrText xml:space="preserve"> PAGEREF _Toc146437055 \h </w:instrText>
        </w:r>
        <w:r w:rsidR="002B442E">
          <w:rPr>
            <w:webHidden/>
          </w:rPr>
        </w:r>
        <w:r w:rsidR="002B442E">
          <w:rPr>
            <w:webHidden/>
          </w:rPr>
          <w:fldChar w:fldCharType="separate"/>
        </w:r>
        <w:r w:rsidR="002B442E">
          <w:rPr>
            <w:webHidden/>
          </w:rPr>
          <w:t>112</w:t>
        </w:r>
        <w:r w:rsidR="002B442E">
          <w:rPr>
            <w:webHidden/>
          </w:rPr>
          <w:fldChar w:fldCharType="end"/>
        </w:r>
      </w:hyperlink>
    </w:p>
    <w:p w14:paraId="035CE904" w14:textId="3A366D85"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56" w:history="1">
        <w:r w:rsidR="002B442E" w:rsidRPr="00EE1D8F">
          <w:rPr>
            <w:rStyle w:val="Hyperlink"/>
          </w:rPr>
          <w:t>Other Information</w:t>
        </w:r>
        <w:r w:rsidR="002B442E">
          <w:rPr>
            <w:webHidden/>
          </w:rPr>
          <w:tab/>
        </w:r>
        <w:r w:rsidR="002B442E">
          <w:rPr>
            <w:webHidden/>
          </w:rPr>
          <w:fldChar w:fldCharType="begin"/>
        </w:r>
        <w:r w:rsidR="002B442E">
          <w:rPr>
            <w:webHidden/>
          </w:rPr>
          <w:instrText xml:space="preserve"> PAGEREF _Toc146437056 \h </w:instrText>
        </w:r>
        <w:r w:rsidR="002B442E">
          <w:rPr>
            <w:webHidden/>
          </w:rPr>
        </w:r>
        <w:r w:rsidR="002B442E">
          <w:rPr>
            <w:webHidden/>
          </w:rPr>
          <w:fldChar w:fldCharType="separate"/>
        </w:r>
        <w:r w:rsidR="002B442E">
          <w:rPr>
            <w:webHidden/>
          </w:rPr>
          <w:t>115</w:t>
        </w:r>
        <w:r w:rsidR="002B442E">
          <w:rPr>
            <w:webHidden/>
          </w:rPr>
          <w:fldChar w:fldCharType="end"/>
        </w:r>
      </w:hyperlink>
    </w:p>
    <w:p w14:paraId="1E63F77A" w14:textId="7F0EEFE0" w:rsidR="002B442E" w:rsidRDefault="00B7010F">
      <w:pPr>
        <w:pStyle w:val="TOC1"/>
        <w:rPr>
          <w:rFonts w:asciiTheme="minorHAnsi" w:eastAsiaTheme="minorEastAsia" w:hAnsiTheme="minorHAnsi" w:cstheme="minorBidi"/>
          <w:b w:val="0"/>
          <w:kern w:val="2"/>
          <w:sz w:val="24"/>
          <w:lang w:val="it-IT" w:eastAsia="it-IT"/>
          <w14:ligatures w14:val="standardContextual"/>
        </w:rPr>
      </w:pPr>
      <w:hyperlink w:anchor="_Toc146437057" w:history="1">
        <w:r w:rsidR="002B442E" w:rsidRPr="00EE1D8F">
          <w:rPr>
            <w:rStyle w:val="Hyperlink"/>
            <w:lang w:eastAsia="en-US"/>
          </w:rPr>
          <w:t>7</w:t>
        </w:r>
        <w:r w:rsidR="002B442E">
          <w:rPr>
            <w:rFonts w:asciiTheme="minorHAnsi" w:eastAsiaTheme="minorEastAsia" w:hAnsiTheme="minorHAnsi" w:cstheme="minorBidi"/>
            <w:b w:val="0"/>
            <w:kern w:val="2"/>
            <w:sz w:val="24"/>
            <w:lang w:val="it-IT" w:eastAsia="it-IT"/>
            <w14:ligatures w14:val="standardContextual"/>
          </w:rPr>
          <w:tab/>
        </w:r>
        <w:r w:rsidR="002B442E" w:rsidRPr="00EE1D8F">
          <w:rPr>
            <w:rStyle w:val="Hyperlink"/>
            <w:lang w:eastAsia="en-US"/>
          </w:rPr>
          <w:t>Executive Remuneration</w:t>
        </w:r>
        <w:r w:rsidR="002B442E">
          <w:rPr>
            <w:webHidden/>
          </w:rPr>
          <w:tab/>
        </w:r>
        <w:r w:rsidR="002B442E">
          <w:rPr>
            <w:webHidden/>
          </w:rPr>
          <w:fldChar w:fldCharType="begin"/>
        </w:r>
        <w:r w:rsidR="002B442E">
          <w:rPr>
            <w:webHidden/>
          </w:rPr>
          <w:instrText xml:space="preserve"> PAGEREF _Toc146437057 \h </w:instrText>
        </w:r>
        <w:r w:rsidR="002B442E">
          <w:rPr>
            <w:webHidden/>
          </w:rPr>
        </w:r>
        <w:r w:rsidR="002B442E">
          <w:rPr>
            <w:webHidden/>
          </w:rPr>
          <w:fldChar w:fldCharType="separate"/>
        </w:r>
        <w:r w:rsidR="002B442E">
          <w:rPr>
            <w:webHidden/>
          </w:rPr>
          <w:t>116</w:t>
        </w:r>
        <w:r w:rsidR="002B442E">
          <w:rPr>
            <w:webHidden/>
          </w:rPr>
          <w:fldChar w:fldCharType="end"/>
        </w:r>
      </w:hyperlink>
    </w:p>
    <w:p w14:paraId="7C19BF8F" w14:textId="1C1DC111"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58" w:history="1">
        <w:r w:rsidR="002B442E" w:rsidRPr="00EE1D8F">
          <w:rPr>
            <w:rStyle w:val="Hyperlink"/>
            <w:lang w:eastAsia="en-US"/>
          </w:rPr>
          <w:t>7.1</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lang w:eastAsia="en-US"/>
          </w:rPr>
          <w:t>Introduction</w:t>
        </w:r>
        <w:r w:rsidR="002B442E">
          <w:rPr>
            <w:webHidden/>
          </w:rPr>
          <w:tab/>
        </w:r>
        <w:r w:rsidR="002B442E">
          <w:rPr>
            <w:webHidden/>
          </w:rPr>
          <w:fldChar w:fldCharType="begin"/>
        </w:r>
        <w:r w:rsidR="002B442E">
          <w:rPr>
            <w:webHidden/>
          </w:rPr>
          <w:instrText xml:space="preserve"> PAGEREF _Toc146437058 \h </w:instrText>
        </w:r>
        <w:r w:rsidR="002B442E">
          <w:rPr>
            <w:webHidden/>
          </w:rPr>
        </w:r>
        <w:r w:rsidR="002B442E">
          <w:rPr>
            <w:webHidden/>
          </w:rPr>
          <w:fldChar w:fldCharType="separate"/>
        </w:r>
        <w:r w:rsidR="002B442E">
          <w:rPr>
            <w:webHidden/>
          </w:rPr>
          <w:t>116</w:t>
        </w:r>
        <w:r w:rsidR="002B442E">
          <w:rPr>
            <w:webHidden/>
          </w:rPr>
          <w:fldChar w:fldCharType="end"/>
        </w:r>
      </w:hyperlink>
    </w:p>
    <w:p w14:paraId="02D6D2A7" w14:textId="61858B49"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59" w:history="1">
        <w:r w:rsidR="002B442E" w:rsidRPr="00EE1D8F">
          <w:rPr>
            <w:rStyle w:val="Hyperlink"/>
            <w:lang w:eastAsia="en-US"/>
          </w:rPr>
          <w:t>7.2</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lang w:eastAsia="en-US"/>
          </w:rPr>
          <w:t>Remuneration Policies and Practices</w:t>
        </w:r>
        <w:r w:rsidR="002B442E">
          <w:rPr>
            <w:webHidden/>
          </w:rPr>
          <w:tab/>
        </w:r>
        <w:r w:rsidR="002B442E">
          <w:rPr>
            <w:webHidden/>
          </w:rPr>
          <w:fldChar w:fldCharType="begin"/>
        </w:r>
        <w:r w:rsidR="002B442E">
          <w:rPr>
            <w:webHidden/>
          </w:rPr>
          <w:instrText xml:space="preserve"> PAGEREF _Toc146437059 \h </w:instrText>
        </w:r>
        <w:r w:rsidR="002B442E">
          <w:rPr>
            <w:webHidden/>
          </w:rPr>
        </w:r>
        <w:r w:rsidR="002B442E">
          <w:rPr>
            <w:webHidden/>
          </w:rPr>
          <w:fldChar w:fldCharType="separate"/>
        </w:r>
        <w:r w:rsidR="002B442E">
          <w:rPr>
            <w:webHidden/>
          </w:rPr>
          <w:t>116</w:t>
        </w:r>
        <w:r w:rsidR="002B442E">
          <w:rPr>
            <w:webHidden/>
          </w:rPr>
          <w:fldChar w:fldCharType="end"/>
        </w:r>
      </w:hyperlink>
    </w:p>
    <w:p w14:paraId="065C1455" w14:textId="7C4A2A79" w:rsidR="002B442E" w:rsidRDefault="00B7010F">
      <w:pPr>
        <w:pStyle w:val="TOC1"/>
        <w:rPr>
          <w:rFonts w:asciiTheme="minorHAnsi" w:eastAsiaTheme="minorEastAsia" w:hAnsiTheme="minorHAnsi" w:cstheme="minorBidi"/>
          <w:b w:val="0"/>
          <w:kern w:val="2"/>
          <w:sz w:val="24"/>
          <w:lang w:val="it-IT" w:eastAsia="it-IT"/>
          <w14:ligatures w14:val="standardContextual"/>
        </w:rPr>
      </w:pPr>
      <w:hyperlink w:anchor="_Toc146437060" w:history="1">
        <w:r w:rsidR="002B442E" w:rsidRPr="00EE1D8F">
          <w:rPr>
            <w:rStyle w:val="Hyperlink"/>
            <w:lang w:eastAsia="en-US"/>
          </w:rPr>
          <w:t>8</w:t>
        </w:r>
        <w:r w:rsidR="002B442E">
          <w:rPr>
            <w:rFonts w:asciiTheme="minorHAnsi" w:eastAsiaTheme="minorEastAsia" w:hAnsiTheme="minorHAnsi" w:cstheme="minorBidi"/>
            <w:b w:val="0"/>
            <w:kern w:val="2"/>
            <w:sz w:val="24"/>
            <w:lang w:val="it-IT" w:eastAsia="it-IT"/>
            <w14:ligatures w14:val="standardContextual"/>
          </w:rPr>
          <w:tab/>
        </w:r>
        <w:r w:rsidR="002B442E" w:rsidRPr="00EE1D8F">
          <w:rPr>
            <w:rStyle w:val="Hyperlink"/>
            <w:lang w:eastAsia="en-US"/>
          </w:rPr>
          <w:t>Other Reporting Requirements</w:t>
        </w:r>
        <w:r w:rsidR="002B442E">
          <w:rPr>
            <w:webHidden/>
          </w:rPr>
          <w:tab/>
        </w:r>
        <w:r w:rsidR="002B442E">
          <w:rPr>
            <w:webHidden/>
          </w:rPr>
          <w:fldChar w:fldCharType="begin"/>
        </w:r>
        <w:r w:rsidR="002B442E">
          <w:rPr>
            <w:webHidden/>
          </w:rPr>
          <w:instrText xml:space="preserve"> PAGEREF _Toc146437060 \h </w:instrText>
        </w:r>
        <w:r w:rsidR="002B442E">
          <w:rPr>
            <w:webHidden/>
          </w:rPr>
        </w:r>
        <w:r w:rsidR="002B442E">
          <w:rPr>
            <w:webHidden/>
          </w:rPr>
          <w:fldChar w:fldCharType="separate"/>
        </w:r>
        <w:r w:rsidR="002B442E">
          <w:rPr>
            <w:webHidden/>
          </w:rPr>
          <w:t>118</w:t>
        </w:r>
        <w:r w:rsidR="002B442E">
          <w:rPr>
            <w:webHidden/>
          </w:rPr>
          <w:fldChar w:fldCharType="end"/>
        </w:r>
      </w:hyperlink>
    </w:p>
    <w:p w14:paraId="1584B52F" w14:textId="33C422B2"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61" w:history="1">
        <w:r w:rsidR="002B442E" w:rsidRPr="00EE1D8F">
          <w:rPr>
            <w:rStyle w:val="Hyperlink"/>
          </w:rPr>
          <w:t>8.1</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rPr>
          <w:t>Environment Statement</w:t>
        </w:r>
        <w:r w:rsidR="002B442E">
          <w:rPr>
            <w:webHidden/>
          </w:rPr>
          <w:tab/>
        </w:r>
        <w:r w:rsidR="002B442E">
          <w:rPr>
            <w:webHidden/>
          </w:rPr>
          <w:fldChar w:fldCharType="begin"/>
        </w:r>
        <w:r w:rsidR="002B442E">
          <w:rPr>
            <w:webHidden/>
          </w:rPr>
          <w:instrText xml:space="preserve"> PAGEREF _Toc146437061 \h </w:instrText>
        </w:r>
        <w:r w:rsidR="002B442E">
          <w:rPr>
            <w:webHidden/>
          </w:rPr>
        </w:r>
        <w:r w:rsidR="002B442E">
          <w:rPr>
            <w:webHidden/>
          </w:rPr>
          <w:fldChar w:fldCharType="separate"/>
        </w:r>
        <w:r w:rsidR="002B442E">
          <w:rPr>
            <w:webHidden/>
          </w:rPr>
          <w:t>118</w:t>
        </w:r>
        <w:r w:rsidR="002B442E">
          <w:rPr>
            <w:webHidden/>
          </w:rPr>
          <w:fldChar w:fldCharType="end"/>
        </w:r>
      </w:hyperlink>
    </w:p>
    <w:p w14:paraId="1F278E4F" w14:textId="7B6FA1DC"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62" w:history="1">
        <w:r w:rsidR="002B442E" w:rsidRPr="00EE1D8F">
          <w:rPr>
            <w:rStyle w:val="Hyperlink"/>
          </w:rPr>
          <w:t>8.2</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rPr>
          <w:t>Workplace Health and Safety</w:t>
        </w:r>
        <w:r w:rsidR="002B442E">
          <w:rPr>
            <w:webHidden/>
          </w:rPr>
          <w:tab/>
        </w:r>
        <w:r w:rsidR="002B442E">
          <w:rPr>
            <w:webHidden/>
          </w:rPr>
          <w:fldChar w:fldCharType="begin"/>
        </w:r>
        <w:r w:rsidR="002B442E">
          <w:rPr>
            <w:webHidden/>
          </w:rPr>
          <w:instrText xml:space="preserve"> PAGEREF _Toc146437062 \h </w:instrText>
        </w:r>
        <w:r w:rsidR="002B442E">
          <w:rPr>
            <w:webHidden/>
          </w:rPr>
        </w:r>
        <w:r w:rsidR="002B442E">
          <w:rPr>
            <w:webHidden/>
          </w:rPr>
          <w:fldChar w:fldCharType="separate"/>
        </w:r>
        <w:r w:rsidR="002B442E">
          <w:rPr>
            <w:webHidden/>
          </w:rPr>
          <w:t>120</w:t>
        </w:r>
        <w:r w:rsidR="002B442E">
          <w:rPr>
            <w:webHidden/>
          </w:rPr>
          <w:fldChar w:fldCharType="end"/>
        </w:r>
      </w:hyperlink>
    </w:p>
    <w:p w14:paraId="4B8B2E6E" w14:textId="2AC7038D" w:rsidR="002B442E" w:rsidRDefault="00B7010F">
      <w:pPr>
        <w:pStyle w:val="TOC2"/>
        <w:tabs>
          <w:tab w:val="left" w:pos="1134"/>
        </w:tabs>
        <w:rPr>
          <w:rFonts w:asciiTheme="minorHAnsi" w:eastAsiaTheme="minorEastAsia" w:hAnsiTheme="minorHAnsi" w:cstheme="minorBidi"/>
          <w:kern w:val="2"/>
          <w:sz w:val="24"/>
          <w:lang w:val="it-IT" w:eastAsia="it-IT"/>
          <w14:ligatures w14:val="standardContextual"/>
        </w:rPr>
      </w:pPr>
      <w:hyperlink w:anchor="_Toc146437063" w:history="1">
        <w:r w:rsidR="002B442E" w:rsidRPr="00EE1D8F">
          <w:rPr>
            <w:rStyle w:val="Hyperlink"/>
          </w:rPr>
          <w:t>8.3</w:t>
        </w:r>
        <w:r w:rsidR="002B442E">
          <w:rPr>
            <w:rFonts w:asciiTheme="minorHAnsi" w:eastAsiaTheme="minorEastAsia" w:hAnsiTheme="minorHAnsi" w:cstheme="minorBidi"/>
            <w:kern w:val="2"/>
            <w:sz w:val="24"/>
            <w:lang w:val="it-IT" w:eastAsia="it-IT"/>
            <w14:ligatures w14:val="standardContextual"/>
          </w:rPr>
          <w:tab/>
        </w:r>
        <w:r w:rsidR="002B442E" w:rsidRPr="00EE1D8F">
          <w:rPr>
            <w:rStyle w:val="Hyperlink"/>
          </w:rPr>
          <w:t>Payments to advertising, market research, and other designated organisations</w:t>
        </w:r>
        <w:r w:rsidR="002B442E">
          <w:rPr>
            <w:webHidden/>
          </w:rPr>
          <w:tab/>
        </w:r>
        <w:r w:rsidR="002B442E">
          <w:rPr>
            <w:webHidden/>
          </w:rPr>
          <w:fldChar w:fldCharType="begin"/>
        </w:r>
        <w:r w:rsidR="002B442E">
          <w:rPr>
            <w:webHidden/>
          </w:rPr>
          <w:instrText xml:space="preserve"> PAGEREF _Toc146437063 \h </w:instrText>
        </w:r>
        <w:r w:rsidR="002B442E">
          <w:rPr>
            <w:webHidden/>
          </w:rPr>
        </w:r>
        <w:r w:rsidR="002B442E">
          <w:rPr>
            <w:webHidden/>
          </w:rPr>
          <w:fldChar w:fldCharType="separate"/>
        </w:r>
        <w:r w:rsidR="002B442E">
          <w:rPr>
            <w:webHidden/>
          </w:rPr>
          <w:t>122</w:t>
        </w:r>
        <w:r w:rsidR="002B442E">
          <w:rPr>
            <w:webHidden/>
          </w:rPr>
          <w:fldChar w:fldCharType="end"/>
        </w:r>
      </w:hyperlink>
    </w:p>
    <w:p w14:paraId="35810F6F" w14:textId="3DBB091F" w:rsidR="002B442E" w:rsidRDefault="00B7010F">
      <w:pPr>
        <w:pStyle w:val="TOC1"/>
        <w:rPr>
          <w:rFonts w:asciiTheme="minorHAnsi" w:eastAsiaTheme="minorEastAsia" w:hAnsiTheme="minorHAnsi" w:cstheme="minorBidi"/>
          <w:b w:val="0"/>
          <w:kern w:val="2"/>
          <w:sz w:val="24"/>
          <w:lang w:val="it-IT" w:eastAsia="it-IT"/>
          <w14:ligatures w14:val="standardContextual"/>
        </w:rPr>
      </w:pPr>
      <w:hyperlink w:anchor="_Toc146437064" w:history="1">
        <w:r w:rsidR="002B442E" w:rsidRPr="00EE1D8F">
          <w:rPr>
            <w:rStyle w:val="Hyperlink"/>
          </w:rPr>
          <w:t>9</w:t>
        </w:r>
        <w:r w:rsidR="002B442E">
          <w:rPr>
            <w:rFonts w:asciiTheme="minorHAnsi" w:eastAsiaTheme="minorEastAsia" w:hAnsiTheme="minorHAnsi" w:cstheme="minorBidi"/>
            <w:b w:val="0"/>
            <w:kern w:val="2"/>
            <w:sz w:val="24"/>
            <w:lang w:val="it-IT" w:eastAsia="it-IT"/>
            <w14:ligatures w14:val="standardContextual"/>
          </w:rPr>
          <w:tab/>
        </w:r>
        <w:r w:rsidR="002B442E" w:rsidRPr="00EE1D8F">
          <w:rPr>
            <w:rStyle w:val="Hyperlink"/>
          </w:rPr>
          <w:t>Appendices</w:t>
        </w:r>
        <w:r w:rsidR="002B442E">
          <w:rPr>
            <w:webHidden/>
          </w:rPr>
          <w:tab/>
        </w:r>
        <w:r w:rsidR="002B442E">
          <w:rPr>
            <w:webHidden/>
          </w:rPr>
          <w:fldChar w:fldCharType="begin"/>
        </w:r>
        <w:r w:rsidR="002B442E">
          <w:rPr>
            <w:webHidden/>
          </w:rPr>
          <w:instrText xml:space="preserve"> PAGEREF _Toc146437064 \h </w:instrText>
        </w:r>
        <w:r w:rsidR="002B442E">
          <w:rPr>
            <w:webHidden/>
          </w:rPr>
        </w:r>
        <w:r w:rsidR="002B442E">
          <w:rPr>
            <w:webHidden/>
          </w:rPr>
          <w:fldChar w:fldCharType="separate"/>
        </w:r>
        <w:r w:rsidR="002B442E">
          <w:rPr>
            <w:webHidden/>
          </w:rPr>
          <w:t>123</w:t>
        </w:r>
        <w:r w:rsidR="002B442E">
          <w:rPr>
            <w:webHidden/>
          </w:rPr>
          <w:fldChar w:fldCharType="end"/>
        </w:r>
      </w:hyperlink>
    </w:p>
    <w:p w14:paraId="3339F2E9" w14:textId="5F2AD6AE"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65" w:history="1">
        <w:r w:rsidR="002B442E" w:rsidRPr="00EE1D8F">
          <w:rPr>
            <w:rStyle w:val="Hyperlink"/>
          </w:rPr>
          <w:t>Appendix 1: Performance measurement framework table 2022–23</w:t>
        </w:r>
        <w:r w:rsidR="002B442E">
          <w:rPr>
            <w:webHidden/>
          </w:rPr>
          <w:tab/>
        </w:r>
        <w:r w:rsidR="002B442E">
          <w:rPr>
            <w:webHidden/>
          </w:rPr>
          <w:fldChar w:fldCharType="begin"/>
        </w:r>
        <w:r w:rsidR="002B442E">
          <w:rPr>
            <w:webHidden/>
          </w:rPr>
          <w:instrText xml:space="preserve"> PAGEREF _Toc146437065 \h </w:instrText>
        </w:r>
        <w:r w:rsidR="002B442E">
          <w:rPr>
            <w:webHidden/>
          </w:rPr>
        </w:r>
        <w:r w:rsidR="002B442E">
          <w:rPr>
            <w:webHidden/>
          </w:rPr>
          <w:fldChar w:fldCharType="separate"/>
        </w:r>
        <w:r w:rsidR="002B442E">
          <w:rPr>
            <w:webHidden/>
          </w:rPr>
          <w:t>123</w:t>
        </w:r>
        <w:r w:rsidR="002B442E">
          <w:rPr>
            <w:webHidden/>
          </w:rPr>
          <w:fldChar w:fldCharType="end"/>
        </w:r>
      </w:hyperlink>
    </w:p>
    <w:p w14:paraId="5128A976" w14:textId="5DE4F300"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66" w:history="1">
        <w:r w:rsidR="002B442E" w:rsidRPr="00EE1D8F">
          <w:rPr>
            <w:rStyle w:val="Hyperlink"/>
          </w:rPr>
          <w:t>Appendix 2: Employee statistics</w:t>
        </w:r>
        <w:r w:rsidR="002B442E">
          <w:rPr>
            <w:webHidden/>
          </w:rPr>
          <w:tab/>
        </w:r>
        <w:r w:rsidR="002B442E">
          <w:rPr>
            <w:webHidden/>
          </w:rPr>
          <w:fldChar w:fldCharType="begin"/>
        </w:r>
        <w:r w:rsidR="002B442E">
          <w:rPr>
            <w:webHidden/>
          </w:rPr>
          <w:instrText xml:space="preserve"> PAGEREF _Toc146437066 \h </w:instrText>
        </w:r>
        <w:r w:rsidR="002B442E">
          <w:rPr>
            <w:webHidden/>
          </w:rPr>
        </w:r>
        <w:r w:rsidR="002B442E">
          <w:rPr>
            <w:webHidden/>
          </w:rPr>
          <w:fldChar w:fldCharType="separate"/>
        </w:r>
        <w:r w:rsidR="002B442E">
          <w:rPr>
            <w:webHidden/>
          </w:rPr>
          <w:t>129</w:t>
        </w:r>
        <w:r w:rsidR="002B442E">
          <w:rPr>
            <w:webHidden/>
          </w:rPr>
          <w:fldChar w:fldCharType="end"/>
        </w:r>
      </w:hyperlink>
    </w:p>
    <w:p w14:paraId="1FFA0563" w14:textId="1D321B2B"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67" w:history="1">
        <w:r w:rsidR="002B442E" w:rsidRPr="00EE1D8F">
          <w:rPr>
            <w:rStyle w:val="Hyperlink"/>
          </w:rPr>
          <w:t>Appendix 3: Information on the Accountable Authority</w:t>
        </w:r>
        <w:r w:rsidR="002B442E">
          <w:rPr>
            <w:webHidden/>
          </w:rPr>
          <w:tab/>
        </w:r>
        <w:r w:rsidR="002B442E">
          <w:rPr>
            <w:webHidden/>
          </w:rPr>
          <w:fldChar w:fldCharType="begin"/>
        </w:r>
        <w:r w:rsidR="002B442E">
          <w:rPr>
            <w:webHidden/>
          </w:rPr>
          <w:instrText xml:space="preserve"> PAGEREF _Toc146437067 \h </w:instrText>
        </w:r>
        <w:r w:rsidR="002B442E">
          <w:rPr>
            <w:webHidden/>
          </w:rPr>
        </w:r>
        <w:r w:rsidR="002B442E">
          <w:rPr>
            <w:webHidden/>
          </w:rPr>
          <w:fldChar w:fldCharType="separate"/>
        </w:r>
        <w:r w:rsidR="002B442E">
          <w:rPr>
            <w:webHidden/>
          </w:rPr>
          <w:t>131</w:t>
        </w:r>
        <w:r w:rsidR="002B442E">
          <w:rPr>
            <w:webHidden/>
          </w:rPr>
          <w:fldChar w:fldCharType="end"/>
        </w:r>
      </w:hyperlink>
    </w:p>
    <w:p w14:paraId="55AD618F" w14:textId="56C888E2"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68" w:history="1">
        <w:r w:rsidR="002B442E" w:rsidRPr="00EE1D8F">
          <w:rPr>
            <w:rStyle w:val="Hyperlink"/>
          </w:rPr>
          <w:t>Appendix 4: Key activities, program areas and services 2022–2023</w:t>
        </w:r>
        <w:r w:rsidR="002B442E">
          <w:rPr>
            <w:webHidden/>
          </w:rPr>
          <w:tab/>
        </w:r>
        <w:r w:rsidR="002B442E">
          <w:rPr>
            <w:webHidden/>
          </w:rPr>
          <w:fldChar w:fldCharType="begin"/>
        </w:r>
        <w:r w:rsidR="002B442E">
          <w:rPr>
            <w:webHidden/>
          </w:rPr>
          <w:instrText xml:space="preserve"> PAGEREF _Toc146437068 \h </w:instrText>
        </w:r>
        <w:r w:rsidR="002B442E">
          <w:rPr>
            <w:webHidden/>
          </w:rPr>
        </w:r>
        <w:r w:rsidR="002B442E">
          <w:rPr>
            <w:webHidden/>
          </w:rPr>
          <w:fldChar w:fldCharType="separate"/>
        </w:r>
        <w:r w:rsidR="002B442E">
          <w:rPr>
            <w:webHidden/>
          </w:rPr>
          <w:t>132</w:t>
        </w:r>
        <w:r w:rsidR="002B442E">
          <w:rPr>
            <w:webHidden/>
          </w:rPr>
          <w:fldChar w:fldCharType="end"/>
        </w:r>
      </w:hyperlink>
    </w:p>
    <w:p w14:paraId="7784866F" w14:textId="20DE05EE" w:rsidR="002B442E" w:rsidRDefault="00B7010F">
      <w:pPr>
        <w:pStyle w:val="TOC2"/>
        <w:rPr>
          <w:rFonts w:asciiTheme="minorHAnsi" w:eastAsiaTheme="minorEastAsia" w:hAnsiTheme="minorHAnsi" w:cstheme="minorBidi"/>
          <w:kern w:val="2"/>
          <w:sz w:val="24"/>
          <w:lang w:val="it-IT" w:eastAsia="it-IT"/>
          <w14:ligatures w14:val="standardContextual"/>
        </w:rPr>
      </w:pPr>
      <w:hyperlink w:anchor="_Toc146437069" w:history="1">
        <w:r w:rsidR="002B442E" w:rsidRPr="00EE1D8F">
          <w:rPr>
            <w:rStyle w:val="Hyperlink"/>
          </w:rPr>
          <w:t>Appendix 5: Major events, reports, publications and resources</w:t>
        </w:r>
        <w:r w:rsidR="002B442E">
          <w:rPr>
            <w:webHidden/>
          </w:rPr>
          <w:tab/>
        </w:r>
        <w:r w:rsidR="002B442E">
          <w:rPr>
            <w:webHidden/>
          </w:rPr>
          <w:fldChar w:fldCharType="begin"/>
        </w:r>
        <w:r w:rsidR="002B442E">
          <w:rPr>
            <w:webHidden/>
          </w:rPr>
          <w:instrText xml:space="preserve"> PAGEREF _Toc146437069 \h </w:instrText>
        </w:r>
        <w:r w:rsidR="002B442E">
          <w:rPr>
            <w:webHidden/>
          </w:rPr>
        </w:r>
        <w:r w:rsidR="002B442E">
          <w:rPr>
            <w:webHidden/>
          </w:rPr>
          <w:fldChar w:fldCharType="separate"/>
        </w:r>
        <w:r w:rsidR="002B442E">
          <w:rPr>
            <w:webHidden/>
          </w:rPr>
          <w:t>134</w:t>
        </w:r>
        <w:r w:rsidR="002B442E">
          <w:rPr>
            <w:webHidden/>
          </w:rPr>
          <w:fldChar w:fldCharType="end"/>
        </w:r>
      </w:hyperlink>
    </w:p>
    <w:p w14:paraId="32264836" w14:textId="6ABAD16A" w:rsidR="002B442E" w:rsidRDefault="00B7010F">
      <w:pPr>
        <w:pStyle w:val="TOC1"/>
        <w:rPr>
          <w:rFonts w:asciiTheme="minorHAnsi" w:eastAsiaTheme="minorEastAsia" w:hAnsiTheme="minorHAnsi" w:cstheme="minorBidi"/>
          <w:b w:val="0"/>
          <w:kern w:val="2"/>
          <w:sz w:val="24"/>
          <w:lang w:val="it-IT" w:eastAsia="it-IT"/>
          <w14:ligatures w14:val="standardContextual"/>
        </w:rPr>
      </w:pPr>
      <w:hyperlink w:anchor="_Toc146437070" w:history="1">
        <w:r w:rsidR="002B442E" w:rsidRPr="00EE1D8F">
          <w:rPr>
            <w:rStyle w:val="Hyperlink"/>
            <w:lang w:eastAsia="en-US"/>
          </w:rPr>
          <w:t>List of Annual Report requirements</w:t>
        </w:r>
        <w:r w:rsidR="002B442E">
          <w:rPr>
            <w:webHidden/>
          </w:rPr>
          <w:tab/>
        </w:r>
        <w:r w:rsidR="002B442E">
          <w:rPr>
            <w:webHidden/>
          </w:rPr>
          <w:fldChar w:fldCharType="begin"/>
        </w:r>
        <w:r w:rsidR="002B442E">
          <w:rPr>
            <w:webHidden/>
          </w:rPr>
          <w:instrText xml:space="preserve"> PAGEREF _Toc146437070 \h </w:instrText>
        </w:r>
        <w:r w:rsidR="002B442E">
          <w:rPr>
            <w:webHidden/>
          </w:rPr>
        </w:r>
        <w:r w:rsidR="002B442E">
          <w:rPr>
            <w:webHidden/>
          </w:rPr>
          <w:fldChar w:fldCharType="separate"/>
        </w:r>
        <w:r w:rsidR="002B442E">
          <w:rPr>
            <w:webHidden/>
          </w:rPr>
          <w:t>136</w:t>
        </w:r>
        <w:r w:rsidR="002B442E">
          <w:rPr>
            <w:webHidden/>
          </w:rPr>
          <w:fldChar w:fldCharType="end"/>
        </w:r>
      </w:hyperlink>
    </w:p>
    <w:p w14:paraId="67CA9172" w14:textId="01AD0B13" w:rsidR="005E4EEC" w:rsidRDefault="00F365E2" w:rsidP="007A6A69">
      <w:r>
        <w:rPr>
          <w:rFonts w:eastAsia="MS Mincho"/>
          <w:noProof/>
          <w:sz w:val="20"/>
        </w:rPr>
        <w:fldChar w:fldCharType="end"/>
      </w:r>
    </w:p>
    <w:p w14:paraId="353E2F68" w14:textId="77777777" w:rsidR="0041542E" w:rsidRPr="004221A4" w:rsidRDefault="0041542E" w:rsidP="004221A4">
      <w:r w:rsidRPr="004221A4">
        <w:br w:type="page"/>
      </w:r>
    </w:p>
    <w:p w14:paraId="5B28AE55" w14:textId="6AE1B426" w:rsidR="00142BAD" w:rsidRDefault="00142BAD">
      <w:pPr>
        <w:spacing w:before="0" w:after="0" w:line="240" w:lineRule="auto"/>
      </w:pPr>
      <w:r>
        <w:rPr>
          <w:noProof/>
        </w:rPr>
        <w:lastRenderedPageBreak/>
        <w:drawing>
          <wp:inline distT="0" distB="0" distL="0" distR="0" wp14:anchorId="6FC90645" wp14:editId="61ECB78E">
            <wp:extent cx="5765045" cy="8158039"/>
            <wp:effectExtent l="0" t="0" r="0" b="0"/>
            <wp:docPr id="388754477" name="Picture 388754477" descr="TRANSMITTAL LETTER&#10;&#10;25 September 2023&#10;&#10;The Hon Mark Dreyfus KC MP&#10;Attorney-General &#10;Parliament House &#10;CANBERRA ACT 2600&#10;&#10;Dear Attorney-General,&#10;&#10;Letter of Accountable Authority&#10;It is my pleasure to present the Annual Report of the Australian Human Rights Commission for the period ending 30 June 2023. The Report has been prepared in accordance with section 45 of the Australian Human Rights Commission Act 1986 (Cth) and section 46 of the Public Governance, Performance and Accountability Act 2013 (Cth). &#10;&#10;As the Accountable Authority for the Australian Human Rights Commission, I am responsible for preparing and giving this report to you. I can confirm that our performance in 2022–23 is accurately described in the report, is consistent with the Commission’s responsibility and duties, and has contributed towards achieving our purpose. &#10;&#10;The Annual Report was prepared under my authority and approved by signing of a memorandum. &#10;&#10;Emeritus Professor Rosalind Croucher AM FAAL FRSA FACLM (Hon)&#10;President &#10;&#10;T: +61 2 9284 9614&#10;E: president.ahrc@humanrights.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54477" name="Picture 388754477" descr="TRANSMITTAL LETTER&#10;&#10;25 September 2023&#10;&#10;The Hon Mark Dreyfus KC MP&#10;Attorney-General &#10;Parliament House &#10;CANBERRA ACT 2600&#10;&#10;Dear Attorney-General,&#10;&#10;Letter of Accountable Authority&#10;It is my pleasure to present the Annual Report of the Australian Human Rights Commission for the period ending 30 June 2023. The Report has been prepared in accordance with section 45 of the Australian Human Rights Commission Act 1986 (Cth) and section 46 of the Public Governance, Performance and Accountability Act 2013 (Cth). &#10;&#10;As the Accountable Authority for the Australian Human Rights Commission, I am responsible for preparing and giving this report to you. I can confirm that our performance in 2022–23 is accurately described in the report, is consistent with the Commission’s responsibility and duties, and has contributed towards achieving our purpose. &#10;&#10;The Annual Report was prepared under my authority and approved by signing of a memorandum. &#10;&#10;Emeritus Professor Rosalind Croucher AM FAAL FRSA FACLM (Hon)&#10;President &#10;&#10;T: +61 2 9284 9614&#10;E: president.ahrc@humanrights.gov.au"/>
                    <pic:cNvPicPr/>
                  </pic:nvPicPr>
                  <pic:blipFill>
                    <a:blip r:embed="rId19">
                      <a:extLst>
                        <a:ext uri="{28A0092B-C50C-407E-A947-70E740481C1C}">
                          <a14:useLocalDpi xmlns:a14="http://schemas.microsoft.com/office/drawing/2010/main" val="0"/>
                        </a:ext>
                      </a:extLst>
                    </a:blip>
                    <a:stretch>
                      <a:fillRect/>
                    </a:stretch>
                  </pic:blipFill>
                  <pic:spPr>
                    <a:xfrm>
                      <a:off x="0" y="0"/>
                      <a:ext cx="5772803" cy="8169017"/>
                    </a:xfrm>
                    <a:prstGeom prst="rect">
                      <a:avLst/>
                    </a:prstGeom>
                  </pic:spPr>
                </pic:pic>
              </a:graphicData>
            </a:graphic>
          </wp:inline>
        </w:drawing>
      </w:r>
    </w:p>
    <w:p w14:paraId="7EB19052" w14:textId="77777777" w:rsidR="005E4EEC" w:rsidRPr="00BE5B13" w:rsidRDefault="005E4EEC" w:rsidP="00867D7D">
      <w:pPr>
        <w:pStyle w:val="Heading1"/>
      </w:pPr>
      <w:bookmarkStart w:id="2" w:name="_Toc96445854"/>
      <w:bookmarkStart w:id="3" w:name="_Toc146437025"/>
      <w:r>
        <w:lastRenderedPageBreak/>
        <w:t>About the Commission</w:t>
      </w:r>
      <w:bookmarkEnd w:id="2"/>
      <w:bookmarkEnd w:id="3"/>
    </w:p>
    <w:p w14:paraId="0B6F97F3" w14:textId="5A0E7F40" w:rsidR="00B77595" w:rsidRPr="007A6A69" w:rsidRDefault="3283D03A" w:rsidP="005E4EEC">
      <w:pPr>
        <w:pStyle w:val="Heading2"/>
      </w:pPr>
      <w:bookmarkStart w:id="4" w:name="_Toc146437026"/>
      <w:r w:rsidRPr="00867D7D">
        <w:t>Our</w:t>
      </w:r>
      <w:r w:rsidRPr="65A2CAB5">
        <w:t xml:space="preserve"> Purpose</w:t>
      </w:r>
      <w:bookmarkEnd w:id="4"/>
    </w:p>
    <w:tbl>
      <w:tblPr>
        <w:tblStyle w:val="TableGrey"/>
        <w:tblW w:w="0" w:type="auto"/>
        <w:tblLook w:val="04A0" w:firstRow="1" w:lastRow="0" w:firstColumn="1" w:lastColumn="0" w:noHBand="0" w:noVBand="1"/>
      </w:tblPr>
      <w:tblGrid>
        <w:gridCol w:w="9710"/>
      </w:tblGrid>
      <w:tr w:rsidR="00867D7D" w14:paraId="2640D6C7" w14:textId="77777777" w:rsidTr="005C5D79">
        <w:tc>
          <w:tcPr>
            <w:tcW w:w="9710" w:type="dxa"/>
            <w:tcBorders>
              <w:top w:val="single" w:sz="18" w:space="0" w:color="4472C4" w:themeColor="accent5"/>
              <w:left w:val="single" w:sz="18" w:space="0" w:color="4472C4" w:themeColor="accent5"/>
              <w:bottom w:val="single" w:sz="18" w:space="0" w:color="4472C4"/>
              <w:right w:val="single" w:sz="18" w:space="0" w:color="4472C4"/>
            </w:tcBorders>
            <w:shd w:val="clear" w:color="auto" w:fill="auto"/>
          </w:tcPr>
          <w:p w14:paraId="34DE762C" w14:textId="77777777" w:rsidR="00867D7D" w:rsidRPr="00867D7D" w:rsidRDefault="00867D7D" w:rsidP="00B97704">
            <w:pPr>
              <w:pStyle w:val="OurPurpose"/>
            </w:pPr>
            <w:r w:rsidRPr="00867D7D">
              <w:t xml:space="preserve">Our purpose is to ensure that Australians have access to effective, independent complaints handling and public inquiry processes on human rights and discrimination matters, and benefit from our human rights education, advocacy, monitoring and compliance activities. </w:t>
            </w:r>
          </w:p>
          <w:p w14:paraId="3799E707" w14:textId="1C91D16C" w:rsidR="00867D7D" w:rsidRPr="00B97704" w:rsidRDefault="00867D7D" w:rsidP="00FA6EEB">
            <w:pPr>
              <w:jc w:val="right"/>
              <w:rPr>
                <w:rStyle w:val="Emphasis"/>
                <w:sz w:val="22"/>
                <w:szCs w:val="22"/>
              </w:rPr>
            </w:pPr>
            <w:r w:rsidRPr="00B97704">
              <w:rPr>
                <w:rStyle w:val="Emphasis"/>
                <w:sz w:val="22"/>
                <w:szCs w:val="22"/>
              </w:rPr>
              <w:t xml:space="preserve">Portfolio Budget Statement </w:t>
            </w:r>
          </w:p>
        </w:tc>
      </w:tr>
    </w:tbl>
    <w:p w14:paraId="2EA84918" w14:textId="77777777" w:rsidR="00867D7D" w:rsidRDefault="00867D7D" w:rsidP="005E4EEC">
      <w:pPr>
        <w:rPr>
          <w:rFonts w:cs="Open Sans"/>
        </w:rPr>
      </w:pPr>
    </w:p>
    <w:p w14:paraId="59413075" w14:textId="3A1374F1" w:rsidR="00B77595" w:rsidRPr="00DC0051" w:rsidRDefault="005E4EEC" w:rsidP="005E4EEC">
      <w:pPr>
        <w:rPr>
          <w:rFonts w:cs="Open Sans"/>
        </w:rPr>
      </w:pPr>
      <w:r w:rsidRPr="00DC0051">
        <w:rPr>
          <w:rFonts w:cs="Open Sans"/>
        </w:rPr>
        <w:t xml:space="preserve">The Australian Human Rights Commission (Commission) is Australia’s national human rights institution. We are an independent statutory organisation, established on a permanent basis by the </w:t>
      </w:r>
      <w:r w:rsidRPr="00437C60">
        <w:rPr>
          <w:rStyle w:val="Emphasis"/>
        </w:rPr>
        <w:t>Australian Human Rights Commission Act 1986</w:t>
      </w:r>
      <w:r w:rsidRPr="00DC0051">
        <w:rPr>
          <w:rFonts w:cs="Open Sans"/>
        </w:rPr>
        <w:t xml:space="preserve"> (Cth) and exercising functions under Australia’s four federal discrimination laws. We work to ensure that human rights are respected, protected and promoted in Australia and internationally. The Commission also has specific responsibilities under the </w:t>
      </w:r>
      <w:r w:rsidRPr="00437C60">
        <w:rPr>
          <w:rStyle w:val="Emphasis"/>
        </w:rPr>
        <w:t>Native Title Act 1993</w:t>
      </w:r>
      <w:r w:rsidRPr="00DC0051">
        <w:rPr>
          <w:rFonts w:cs="Open Sans"/>
        </w:rPr>
        <w:t xml:space="preserve"> (Cth) and the </w:t>
      </w:r>
      <w:r w:rsidRPr="00437C60">
        <w:rPr>
          <w:rStyle w:val="Emphasis"/>
        </w:rPr>
        <w:t>Fair Work Act 2009</w:t>
      </w:r>
      <w:r w:rsidRPr="00DC0051">
        <w:rPr>
          <w:rFonts w:cs="Open Sans"/>
        </w:rPr>
        <w:t xml:space="preserve"> (Cth). </w:t>
      </w:r>
    </w:p>
    <w:p w14:paraId="546F00DC" w14:textId="177A2236" w:rsidR="00F66FB5" w:rsidRPr="00F66FB5" w:rsidRDefault="02D96052" w:rsidP="00F66FB5">
      <w:pPr>
        <w:rPr>
          <w:rFonts w:cs="Open Sans"/>
        </w:rPr>
      </w:pPr>
      <w:r w:rsidRPr="00F66FB5">
        <w:rPr>
          <w:rFonts w:cs="Open Sans"/>
        </w:rPr>
        <w:t>As Australia’s national human rights institution, we work to promote and protect the human rights of everyone in Australia. Our vision is an Australian society in which human rights are respected, promoted and protected. Where every person is free and equal in dignity and rights.</w:t>
      </w:r>
    </w:p>
    <w:p w14:paraId="31EB0529" w14:textId="177520F9" w:rsidR="005E4EEC" w:rsidRPr="00DC0051" w:rsidRDefault="005E4EEC" w:rsidP="005E4EEC">
      <w:pPr>
        <w:rPr>
          <w:rFonts w:cs="Open Sans"/>
        </w:rPr>
      </w:pPr>
      <w:r w:rsidRPr="00DC0051">
        <w:rPr>
          <w:rFonts w:cs="Open Sans"/>
        </w:rPr>
        <w:t xml:space="preserve">Our strategic priorities and operations are determined independently of government in line with our </w:t>
      </w:r>
      <w:hyperlink r:id="rId20">
        <w:r w:rsidR="003155E7" w:rsidRPr="140F7C3C">
          <w:rPr>
            <w:rStyle w:val="Hyperlink"/>
            <w:rFonts w:cs="Open Sans"/>
          </w:rPr>
          <w:t>2022</w:t>
        </w:r>
        <w:r w:rsidR="004951E1" w:rsidRPr="140F7C3C">
          <w:rPr>
            <w:rStyle w:val="Hyperlink"/>
            <w:rFonts w:cs="Open Sans"/>
          </w:rPr>
          <w:t>–</w:t>
        </w:r>
        <w:r w:rsidR="003155E7" w:rsidRPr="140F7C3C">
          <w:rPr>
            <w:rStyle w:val="Hyperlink"/>
            <w:rFonts w:cs="Open Sans"/>
          </w:rPr>
          <w:t>2025 Strategic Plan</w:t>
        </w:r>
      </w:hyperlink>
      <w:r w:rsidR="003155E7" w:rsidRPr="00DC0051">
        <w:rPr>
          <w:rFonts w:cs="Open Sans"/>
        </w:rPr>
        <w:t xml:space="preserve"> and</w:t>
      </w:r>
      <w:r w:rsidR="008867FF" w:rsidRPr="00DC0051">
        <w:rPr>
          <w:rFonts w:cs="Open Sans"/>
        </w:rPr>
        <w:t xml:space="preserve"> </w:t>
      </w:r>
      <w:r w:rsidRPr="00DC0051">
        <w:rPr>
          <w:rFonts w:cs="Open Sans"/>
        </w:rPr>
        <w:t xml:space="preserve">internal governance framework. </w:t>
      </w:r>
    </w:p>
    <w:p w14:paraId="71B45E32" w14:textId="180F4BA8" w:rsidR="610F21E2" w:rsidRDefault="005E4EEC" w:rsidP="610F21E2">
      <w:pPr>
        <w:rPr>
          <w:rFonts w:cs="Open Sans"/>
        </w:rPr>
      </w:pPr>
      <w:r w:rsidRPr="00DC0051">
        <w:rPr>
          <w:rFonts w:cs="Open Sans"/>
        </w:rPr>
        <w:t xml:space="preserve">We are accredited internationally as an ‘A status’ national human rights institution (NHRI). This accreditation is regularly reviewed through United Nations sanctioned processes by the Global Alliance of NHRIs (GANHRI). To achieve ‘A status’, NHRIs must be established and operate in compliance with the United Nations Principles Relating to the Status of National Institutions for the Promotion and Protection of Human Rights – commonly known as the </w:t>
      </w:r>
      <w:r w:rsidRPr="00DC0051">
        <w:rPr>
          <w:rFonts w:cs="Open Sans"/>
        </w:rPr>
        <w:lastRenderedPageBreak/>
        <w:t>‘Paris Principles’. The Principles require us to operate in a robust, independent manner to provide accountability for human rights in Australia.</w:t>
      </w:r>
    </w:p>
    <w:p w14:paraId="18338E32" w14:textId="50CE5E95" w:rsidR="00B77595" w:rsidRPr="00DC0051" w:rsidRDefault="0021149D" w:rsidP="0054164C">
      <w:pPr>
        <w:rPr>
          <w:rFonts w:cs="Open Sans"/>
        </w:rPr>
      </w:pPr>
      <w:r w:rsidRPr="4199275F">
        <w:rPr>
          <w:rStyle w:val="IntenseEmphasis"/>
        </w:rPr>
        <w:t>O</w:t>
      </w:r>
      <w:r w:rsidR="0054164C" w:rsidRPr="4199275F">
        <w:rPr>
          <w:rStyle w:val="IntenseEmphasis"/>
        </w:rPr>
        <w:t>ur vision</w:t>
      </w:r>
      <w:r w:rsidR="0054164C">
        <w:t xml:space="preserve"> </w:t>
      </w:r>
      <w:r w:rsidR="0054164C" w:rsidRPr="4199275F">
        <w:rPr>
          <w:rFonts w:cs="Open Sans"/>
        </w:rPr>
        <w:t>is an Australian society in which human rights are respected, promoted and protected. Where every person is free and equal in dignity and rights. Where the Commission is connected to Australian communities and is a valued national institution having a positive impact on the human rights priorities facing Australia.</w:t>
      </w:r>
    </w:p>
    <w:p w14:paraId="20BC1D17" w14:textId="7B726293" w:rsidR="322D8729" w:rsidRDefault="003B5839" w:rsidP="322D8729">
      <w:pPr>
        <w:rPr>
          <w:rFonts w:cs="Open Sans"/>
        </w:rPr>
      </w:pPr>
      <w:r w:rsidRPr="4199275F">
        <w:rPr>
          <w:rStyle w:val="IntenseEmphasis"/>
        </w:rPr>
        <w:t>O</w:t>
      </w:r>
      <w:r w:rsidR="0054164C" w:rsidRPr="4199275F">
        <w:rPr>
          <w:rStyle w:val="IntenseEmphasis"/>
        </w:rPr>
        <w:t>ur purpose</w:t>
      </w:r>
      <w:r w:rsidR="0054164C">
        <w:t xml:space="preserve"> </w:t>
      </w:r>
      <w:r w:rsidR="0054164C" w:rsidRPr="4199275F">
        <w:rPr>
          <w:rFonts w:cs="Open Sans"/>
        </w:rPr>
        <w:t xml:space="preserve">is to promote and protect the human rights of everyone in Australia. We do this through advising all arms of government and a range of public and private institutions; contributing to stronger law, policy and practice; delivering accessible and effective investigation and conciliation services; engaging inclusively with civil society communities and the private sector; raising human rights awareness and providing human rights education; and working with partners to build a stronger culture of respect for human rights. </w:t>
      </w:r>
    </w:p>
    <w:p w14:paraId="7C90A8FD" w14:textId="44C62D84" w:rsidR="001710EC" w:rsidRPr="00DC0051" w:rsidRDefault="0054164C" w:rsidP="0054164C">
      <w:pPr>
        <w:rPr>
          <w:rFonts w:cs="Open Sans"/>
        </w:rPr>
      </w:pPr>
      <w:r w:rsidRPr="00DC0051">
        <w:rPr>
          <w:rFonts w:cs="Open Sans"/>
        </w:rPr>
        <w:t xml:space="preserve">We work with </w:t>
      </w:r>
      <w:r w:rsidR="00D557E5" w:rsidRPr="00DC0051">
        <w:rPr>
          <w:rFonts w:cs="Open Sans"/>
        </w:rPr>
        <w:t xml:space="preserve">other </w:t>
      </w:r>
      <w:r w:rsidR="00D14802" w:rsidRPr="00DC0051">
        <w:rPr>
          <w:rFonts w:cs="Open Sans"/>
        </w:rPr>
        <w:t>national</w:t>
      </w:r>
      <w:r w:rsidR="00D557E5" w:rsidRPr="00DC0051">
        <w:rPr>
          <w:rFonts w:cs="Open Sans"/>
        </w:rPr>
        <w:t xml:space="preserve"> human rights institutions and </w:t>
      </w:r>
      <w:r w:rsidRPr="00DC0051">
        <w:rPr>
          <w:rFonts w:cs="Open Sans"/>
        </w:rPr>
        <w:t>human rights bodies around the world</w:t>
      </w:r>
      <w:r w:rsidR="00AD3E27" w:rsidRPr="00DC0051">
        <w:rPr>
          <w:rFonts w:cs="Open Sans"/>
        </w:rPr>
        <w:t>.</w:t>
      </w:r>
    </w:p>
    <w:p w14:paraId="077B2360" w14:textId="76D8711C" w:rsidR="0054164C" w:rsidRPr="00DC0051" w:rsidRDefault="0054164C" w:rsidP="00867D7D">
      <w:pPr>
        <w:pStyle w:val="Heading2"/>
      </w:pPr>
      <w:bookmarkStart w:id="5" w:name="_Toc146437027"/>
      <w:r w:rsidRPr="00DC0051">
        <w:t>Achieving our Purpose</w:t>
      </w:r>
      <w:bookmarkEnd w:id="5"/>
    </w:p>
    <w:p w14:paraId="014B963A" w14:textId="7D3B7074" w:rsidR="007164DC" w:rsidRPr="00DC0051" w:rsidRDefault="006F32E3" w:rsidP="005E4EEC">
      <w:pPr>
        <w:rPr>
          <w:rFonts w:cs="Open Sans"/>
        </w:rPr>
      </w:pPr>
      <w:r w:rsidRPr="00DC0051">
        <w:rPr>
          <w:rFonts w:cs="Open Sans"/>
        </w:rPr>
        <w:t xml:space="preserve">Driving real and systemic </w:t>
      </w:r>
      <w:r w:rsidRPr="140F7C3C">
        <w:rPr>
          <w:rFonts w:cs="Open Sans"/>
        </w:rPr>
        <w:t>change</w:t>
      </w:r>
      <w:r w:rsidRPr="00DC0051">
        <w:rPr>
          <w:rFonts w:cs="Open Sans"/>
        </w:rPr>
        <w:t xml:space="preserve"> to improve the enjoyment of human rights by all is a complex and long-term endeavour. We do this through supporting individuals, collaborating with communities and partners, and advocating and supporting </w:t>
      </w:r>
      <w:r w:rsidR="00F652E5" w:rsidRPr="5C4B64B2">
        <w:rPr>
          <w:rFonts w:cs="Open Sans"/>
        </w:rPr>
        <w:t>the</w:t>
      </w:r>
      <w:r w:rsidRPr="00DC0051">
        <w:rPr>
          <w:rFonts w:cs="Open Sans"/>
        </w:rPr>
        <w:t xml:space="preserve"> </w:t>
      </w:r>
      <w:r w:rsidR="00692B73" w:rsidRPr="00DC0051">
        <w:rPr>
          <w:rFonts w:cs="Open Sans"/>
        </w:rPr>
        <w:t>rights-based</w:t>
      </w:r>
      <w:r w:rsidRPr="00DC0051">
        <w:rPr>
          <w:rFonts w:cs="Open Sans"/>
        </w:rPr>
        <w:t xml:space="preserve"> approach in </w:t>
      </w:r>
      <w:r w:rsidR="007A2C07" w:rsidRPr="00DC0051">
        <w:rPr>
          <w:rFonts w:cs="Open Sans"/>
        </w:rPr>
        <w:t xml:space="preserve">Australia’s </w:t>
      </w:r>
      <w:r w:rsidRPr="00DC0051">
        <w:rPr>
          <w:rFonts w:cs="Open Sans"/>
        </w:rPr>
        <w:t>institutions</w:t>
      </w:r>
      <w:r w:rsidR="007A2C07" w:rsidRPr="00DC0051">
        <w:rPr>
          <w:rFonts w:cs="Open Sans"/>
        </w:rPr>
        <w:t>,</w:t>
      </w:r>
      <w:r w:rsidRPr="00DC0051">
        <w:rPr>
          <w:rFonts w:cs="Open Sans"/>
        </w:rPr>
        <w:t xml:space="preserve"> laws</w:t>
      </w:r>
      <w:r w:rsidR="007A2C07" w:rsidRPr="00DC0051">
        <w:rPr>
          <w:rFonts w:cs="Open Sans"/>
        </w:rPr>
        <w:t xml:space="preserve"> and systems</w:t>
      </w:r>
      <w:r w:rsidRPr="00DC0051">
        <w:rPr>
          <w:rFonts w:cs="Open Sans"/>
        </w:rPr>
        <w:t>.</w:t>
      </w:r>
    </w:p>
    <w:p w14:paraId="6F1F8592" w14:textId="76EBC232" w:rsidR="006F32E3" w:rsidRPr="00DC0051" w:rsidRDefault="006F32E3" w:rsidP="006F32E3">
      <w:pPr>
        <w:rPr>
          <w:rFonts w:cs="Open Sans"/>
        </w:rPr>
      </w:pPr>
      <w:r w:rsidRPr="00DC0051">
        <w:rPr>
          <w:rFonts w:cs="Open Sans"/>
        </w:rPr>
        <w:t xml:space="preserve">Our Corporate Plan is the roadmap that guides the Commission’s work for the reporting period. The </w:t>
      </w:r>
      <w:r w:rsidR="00212C56">
        <w:rPr>
          <w:rFonts w:cs="Open Sans"/>
        </w:rPr>
        <w:t xml:space="preserve">Corporate </w:t>
      </w:r>
      <w:r w:rsidRPr="00DC0051">
        <w:rPr>
          <w:rFonts w:cs="Open Sans"/>
        </w:rPr>
        <w:t>Plan includes the Commission’s performance framework, which links the performance criteria outlined in our 2022–2023 Portfolio Budget Statement to the results in this Annual Report. The Commission’s performance measurement framework is detailed in Appendix 1.</w:t>
      </w:r>
    </w:p>
    <w:p w14:paraId="2AA49BCD" w14:textId="77777777" w:rsidR="00DC0051" w:rsidRDefault="00DC0051" w:rsidP="006F32E3"/>
    <w:p w14:paraId="06524BF5" w14:textId="6878346F" w:rsidR="007A6A69" w:rsidRDefault="007A6A69">
      <w:pPr>
        <w:spacing w:after="0" w:line="240" w:lineRule="auto"/>
      </w:pPr>
      <w:r>
        <w:br w:type="page"/>
      </w:r>
    </w:p>
    <w:p w14:paraId="02BCD45C" w14:textId="4A4A3DCF" w:rsidR="006F32E3" w:rsidRPr="006F32E3" w:rsidRDefault="00C6132B" w:rsidP="00867D7D">
      <w:pPr>
        <w:pStyle w:val="Heading1"/>
      </w:pPr>
      <w:bookmarkStart w:id="6" w:name="_Toc146437028"/>
      <w:r>
        <w:lastRenderedPageBreak/>
        <w:t>Our Structure and Governance</w:t>
      </w:r>
      <w:bookmarkEnd w:id="6"/>
      <w:r>
        <w:t xml:space="preserve"> </w:t>
      </w:r>
    </w:p>
    <w:p w14:paraId="13107718" w14:textId="1BB307F3" w:rsidR="003849BB" w:rsidRDefault="00C6132B" w:rsidP="00FE1B20">
      <w:pPr>
        <w:pStyle w:val="Heading2"/>
      </w:pPr>
      <w:bookmarkStart w:id="7" w:name="_Toc146437029"/>
      <w:r>
        <w:t xml:space="preserve">Organisational Structure </w:t>
      </w:r>
      <w:r w:rsidR="0043589F">
        <w:t>20</w:t>
      </w:r>
      <w:r w:rsidR="00D975BE">
        <w:t>22-23</w:t>
      </w:r>
      <w:bookmarkEnd w:id="7"/>
    </w:p>
    <w:p w14:paraId="436F6214" w14:textId="0A1EDED1" w:rsidR="003849BB" w:rsidRPr="00FE1B20" w:rsidRDefault="003849BB" w:rsidP="00FE1B20">
      <w:r>
        <w:rPr>
          <w:noProof/>
        </w:rPr>
        <w:drawing>
          <wp:inline distT="0" distB="0" distL="0" distR="0" wp14:anchorId="5D56B631" wp14:editId="444B55FF">
            <wp:extent cx="6330315" cy="6458585"/>
            <wp:effectExtent l="0" t="0" r="0" b="5715"/>
            <wp:docPr id="1650766836" name="Picture 1650766836" descr="AUSTRALIAN HUMAN RIGHT COMMISSION ORG CHART&#10;&#10;President&#10;Commissioners&#10;Aboriginal &amp; Torres Strait Islander Social Justice&#10;Age Discrimination&#10;Children&#10;Disability Discrimination&#10;Human Rights&#10;Race Discrimination&#10;Sex Discrimination&#10;and&#10;Chief Executive&#10;&#10;Column 1: Senior Policy Executive, Human Rights and Strategy; Commissioner Policy Teams; Strategy Policy Team.&#10;&#10;Column 2: Director, Projects and Partnerships; Security Group Partnerships; International Engagement; Workplace and Community Education.&#10;&#10;Column 3: General Counsel; Legal.&#10;&#10;Column 4: Director, Strategic Communications; Strategic Communications; Digital and Web.&#10;&#10;Column 5: Senior Executive, Investigation and Conciliation Service; Investigation and Conciliation Service; National Information Service.&#10;&#10;Column 6: Director Corporate Services; Chief Finance Officer; Human Resources Manager, Information and Communications Technology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766836" name="Immagine 4" descr="AUSTRALIAN HUMAN RIGHT COMMISSION ORG CHART&#10;&#10;President&#10;Commissioners&#10;Aboriginal &amp; Torres Strait Islander Social Justice&#10;Age Discrimination&#10;Children&#10;Disability Discrimination&#10;Human Rights&#10;Race Discrimination&#10;Sex Discrimination&#10;and&#10;Chief Executive&#10;&#10;Column 1: Senior Policy Executive, Human Rights and Strategy; Commissioner Policy Teams; Strategy Policy Team.&#10;&#10;Column 2: Director, Projects and Partnerships; Security Group Partnerships; International Engagement; Workplace and Community Education.&#10;&#10;Column 3: General Counsel; Legal.&#10;&#10;Column 4: Director, Strategic Communications; Strategic Communications; Digital and Web.&#10;&#10;Column 5: Senior Executive, Investigation and Conciliation Service; Investigation and Conciliation Service; National Information Service.&#10;&#10;Column 6: Director Corporate Services; Chief Finance Officer; Human Resources Manager, Information and Communications Technology Manage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30315" cy="6458585"/>
                    </a:xfrm>
                    <a:prstGeom prst="rect">
                      <a:avLst/>
                    </a:prstGeom>
                  </pic:spPr>
                </pic:pic>
              </a:graphicData>
            </a:graphic>
          </wp:inline>
        </w:drawing>
      </w:r>
    </w:p>
    <w:p w14:paraId="11D26DB4" w14:textId="1AB63A87" w:rsidR="005267AE" w:rsidRDefault="00C14140" w:rsidP="00D325D2">
      <w:pPr>
        <w:pStyle w:val="Heading2"/>
      </w:pPr>
      <w:bookmarkStart w:id="8" w:name="_Toc146437030"/>
      <w:r>
        <w:lastRenderedPageBreak/>
        <w:t>President, Commissioners and Chief Executive over the 2022</w:t>
      </w:r>
      <w:r w:rsidR="00093BC9">
        <w:t>–</w:t>
      </w:r>
      <w:r>
        <w:t xml:space="preserve">23 </w:t>
      </w:r>
      <w:r w:rsidR="00610E14">
        <w:t>p</w:t>
      </w:r>
      <w:r>
        <w:t>eriod</w:t>
      </w:r>
      <w:bookmarkEnd w:id="8"/>
    </w:p>
    <w:p w14:paraId="1D888D4B" w14:textId="0BC1AE3F" w:rsidR="00D325D2" w:rsidRPr="00895BEF" w:rsidRDefault="0C35F7DE" w:rsidP="007A6A69">
      <w:pPr>
        <w:jc w:val="center"/>
      </w:pPr>
      <w:r>
        <w:rPr>
          <w:noProof/>
        </w:rPr>
        <w:drawing>
          <wp:inline distT="0" distB="0" distL="0" distR="0" wp14:anchorId="20465592" wp14:editId="68E1DBBB">
            <wp:extent cx="5415109" cy="7654160"/>
            <wp:effectExtent l="0" t="0" r="0" b="4445"/>
            <wp:docPr id="1980355419" name="Picture 1980355419" descr="PRESIDENT, COMMISSIONERS AND CHIEF EXECUTIVE OVER THE 2022-23 PERIOD&#10;&#10;Emeritus Professor Rosalind Croucher AM, President&#10;The Hon Dr Kay Patterson AO, Age Discrimination Commissioner&#10;June Oscar AO, Aboriginal and Torres Strait Islander Social Justice Commissioner&#10;Dr Ben Gauntlett, Disability Discrimination Commissioner&#10;Anne Hollonds, National Children's Commissioner&#10;Lorraine Finlay, Human Rights Commissioner&#10;Chin Tan, Race Discrimination Commissioner&#10;Kate Jenkins, Sex Discrimination Commissioner (until April 2023)&#10;Leanne Smith, Chief Execu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035541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15109" cy="7654160"/>
                    </a:xfrm>
                    <a:prstGeom prst="rect">
                      <a:avLst/>
                    </a:prstGeom>
                  </pic:spPr>
                </pic:pic>
              </a:graphicData>
            </a:graphic>
          </wp:inline>
        </w:drawing>
      </w:r>
    </w:p>
    <w:p w14:paraId="3B7A4856" w14:textId="025A73D9" w:rsidR="00C873CC" w:rsidRPr="00DC0051" w:rsidRDefault="00C873CC" w:rsidP="00895BEF">
      <w:pPr>
        <w:pStyle w:val="Heading2"/>
        <w:rPr>
          <w:lang w:val="en-US"/>
        </w:rPr>
      </w:pPr>
      <w:bookmarkStart w:id="9" w:name="_Toc146437031"/>
      <w:r w:rsidRPr="00DC0051">
        <w:rPr>
          <w:lang w:val="en-US"/>
        </w:rPr>
        <w:lastRenderedPageBreak/>
        <w:t xml:space="preserve">Location </w:t>
      </w:r>
      <w:r w:rsidR="00EC1515" w:rsidRPr="00DC0051">
        <w:rPr>
          <w:lang w:val="en-US"/>
        </w:rPr>
        <w:t>and National Reach</w:t>
      </w:r>
      <w:bookmarkEnd w:id="9"/>
    </w:p>
    <w:p w14:paraId="7B46F25F" w14:textId="3B63EDE1" w:rsidR="00FA1715" w:rsidRPr="00AB6973" w:rsidRDefault="00C873CC" w:rsidP="00C873CC">
      <w:pPr>
        <w:rPr>
          <w:rFonts w:cs="Open Sans"/>
        </w:rPr>
      </w:pPr>
      <w:r w:rsidRPr="00AB6973">
        <w:rPr>
          <w:rFonts w:cs="Open Sans"/>
        </w:rPr>
        <w:t xml:space="preserve">The </w:t>
      </w:r>
      <w:r w:rsidR="00B512B8" w:rsidRPr="00AB6973">
        <w:rPr>
          <w:rFonts w:cs="Open Sans"/>
        </w:rPr>
        <w:t>office location</w:t>
      </w:r>
      <w:r w:rsidRPr="00AB6973">
        <w:rPr>
          <w:rFonts w:cs="Open Sans"/>
        </w:rPr>
        <w:t xml:space="preserve"> of the Commission is in Sydney.</w:t>
      </w:r>
      <w:r w:rsidR="00D344CD" w:rsidRPr="00AB6973">
        <w:rPr>
          <w:rFonts w:cs="Open Sans"/>
        </w:rPr>
        <w:t xml:space="preserve"> </w:t>
      </w:r>
      <w:r w:rsidR="00626D5E" w:rsidRPr="00AB6973">
        <w:rPr>
          <w:rFonts w:cs="Open Sans"/>
        </w:rPr>
        <w:t>Like other Commonwealth agencies, we have a growing number of staff working remotely from locations across the country</w:t>
      </w:r>
      <w:r w:rsidR="00DF55B1" w:rsidRPr="00AB6973">
        <w:rPr>
          <w:rFonts w:cs="Open Sans"/>
        </w:rPr>
        <w:t>.</w:t>
      </w:r>
    </w:p>
    <w:p w14:paraId="1F6BA1C2" w14:textId="03A99B4C" w:rsidR="00B77595" w:rsidRPr="00AB6973" w:rsidRDefault="00C873CC" w:rsidP="00C873CC">
      <w:pPr>
        <w:rPr>
          <w:rFonts w:cs="Open Sans"/>
        </w:rPr>
      </w:pPr>
      <w:r w:rsidRPr="448905EB">
        <w:rPr>
          <w:rFonts w:cs="Open Sans"/>
        </w:rPr>
        <w:t>The Commission conducts its activities nationally</w:t>
      </w:r>
      <w:r w:rsidR="003B1D5B" w:rsidRPr="448905EB">
        <w:rPr>
          <w:rFonts w:cs="Open Sans"/>
        </w:rPr>
        <w:t>,</w:t>
      </w:r>
      <w:r w:rsidRPr="448905EB">
        <w:rPr>
          <w:rFonts w:cs="Open Sans"/>
        </w:rPr>
        <w:t xml:space="preserve"> including by maintaining a National Information Service, and conducting consultations, meetings, and events across Australia.</w:t>
      </w:r>
    </w:p>
    <w:p w14:paraId="6786927D" w14:textId="6D8B9843" w:rsidR="008227DD" w:rsidRPr="00895BEF" w:rsidRDefault="00C6132B" w:rsidP="00895BEF">
      <w:pPr>
        <w:pStyle w:val="Heading2"/>
        <w:rPr>
          <w:lang w:val="en-US"/>
        </w:rPr>
      </w:pPr>
      <w:bookmarkStart w:id="10" w:name="_Toc146437032"/>
      <w:r w:rsidRPr="00DC0051">
        <w:rPr>
          <w:lang w:val="en-US"/>
        </w:rPr>
        <w:t>Governance</w:t>
      </w:r>
      <w:bookmarkEnd w:id="10"/>
    </w:p>
    <w:p w14:paraId="4DB479F2" w14:textId="7A5D82B4" w:rsidR="008227DD" w:rsidRPr="00AB6973" w:rsidRDefault="00C6132B" w:rsidP="00C6132B">
      <w:pPr>
        <w:rPr>
          <w:rFonts w:cs="Open Sans"/>
        </w:rPr>
      </w:pPr>
      <w:r w:rsidRPr="00AB6973">
        <w:rPr>
          <w:rFonts w:cs="Open Sans"/>
        </w:rPr>
        <w:t xml:space="preserve">The Commission operates under </w:t>
      </w:r>
      <w:r w:rsidRPr="00437C60">
        <w:t xml:space="preserve">the </w:t>
      </w:r>
      <w:r w:rsidRPr="00437C60">
        <w:rPr>
          <w:rStyle w:val="Emphasis"/>
        </w:rPr>
        <w:t>Australian Human Rights Commission Act 1986</w:t>
      </w:r>
      <w:r w:rsidRPr="00AB6973">
        <w:rPr>
          <w:rFonts w:cs="Open Sans"/>
        </w:rPr>
        <w:t xml:space="preserve"> (Cth)</w:t>
      </w:r>
      <w:r w:rsidR="002C7CEB">
        <w:rPr>
          <w:rFonts w:cs="Open Sans"/>
        </w:rPr>
        <w:t xml:space="preserve"> (AHRC Act)</w:t>
      </w:r>
      <w:r w:rsidRPr="00AB6973">
        <w:rPr>
          <w:rFonts w:cs="Open Sans"/>
        </w:rPr>
        <w:t xml:space="preserve">, the </w:t>
      </w:r>
      <w:r w:rsidRPr="00437C60">
        <w:rPr>
          <w:rStyle w:val="Emphasis"/>
        </w:rPr>
        <w:t>Public Service Act 1999</w:t>
      </w:r>
      <w:r w:rsidRPr="00AB6973">
        <w:rPr>
          <w:rFonts w:cs="Open Sans"/>
        </w:rPr>
        <w:t xml:space="preserve"> (Cth</w:t>
      </w:r>
      <w:r w:rsidRPr="6973114A">
        <w:rPr>
          <w:rFonts w:cs="Open Sans"/>
        </w:rPr>
        <w:t>)</w:t>
      </w:r>
      <w:r w:rsidR="002C7CEB" w:rsidRPr="6973114A">
        <w:rPr>
          <w:rFonts w:cs="Open Sans"/>
        </w:rPr>
        <w:t>,</w:t>
      </w:r>
      <w:r w:rsidRPr="00AB6973">
        <w:rPr>
          <w:rFonts w:cs="Open Sans"/>
        </w:rPr>
        <w:t xml:space="preserve"> the </w:t>
      </w:r>
      <w:r w:rsidRPr="00437C60">
        <w:rPr>
          <w:rStyle w:val="Emphasis"/>
        </w:rPr>
        <w:t>Public Governance, Performance and Accountability Act</w:t>
      </w:r>
      <w:r w:rsidRPr="00AB6973">
        <w:rPr>
          <w:rFonts w:cs="Open Sans"/>
        </w:rPr>
        <w:t xml:space="preserve"> 2013 (Cth)</w:t>
      </w:r>
      <w:r w:rsidR="002630DE">
        <w:rPr>
          <w:rFonts w:cs="Open Sans"/>
        </w:rPr>
        <w:t xml:space="preserve"> (PGPA Act)</w:t>
      </w:r>
      <w:r w:rsidR="002C7CEB">
        <w:rPr>
          <w:rFonts w:cs="Open Sans"/>
        </w:rPr>
        <w:t>, and various instruments made under those Acts</w:t>
      </w:r>
      <w:r w:rsidRPr="00AB6973">
        <w:rPr>
          <w:rFonts w:cs="Open Sans"/>
        </w:rPr>
        <w:t xml:space="preserve">. The implementation of these responsibilities is outlined in the Commission’s Governance Framework 2022, </w:t>
      </w:r>
      <w:r w:rsidR="002C7CEB">
        <w:rPr>
          <w:rFonts w:cs="Open Sans"/>
        </w:rPr>
        <w:t>detailing</w:t>
      </w:r>
      <w:r w:rsidR="002C7CEB" w:rsidRPr="00AB6973">
        <w:rPr>
          <w:rFonts w:cs="Open Sans"/>
        </w:rPr>
        <w:t xml:space="preserve"> </w:t>
      </w:r>
      <w:r w:rsidRPr="00AB6973">
        <w:rPr>
          <w:rFonts w:cs="Open Sans"/>
        </w:rPr>
        <w:t>how the Commission is to be governed and its guiding principles</w:t>
      </w:r>
      <w:r w:rsidR="00802999" w:rsidRPr="00BD37BA">
        <w:rPr>
          <w:rFonts w:eastAsia="MS Mincho"/>
        </w:rPr>
        <w:t>, functions, responsibilities and roles, and operating procedures</w:t>
      </w:r>
      <w:r w:rsidR="009F4395" w:rsidRPr="00BD37BA">
        <w:rPr>
          <w:rFonts w:eastAsia="MS Mincho"/>
        </w:rPr>
        <w:t>.</w:t>
      </w:r>
      <w:r w:rsidR="00AF0834" w:rsidRPr="00BD37BA">
        <w:t xml:space="preserve"> The</w:t>
      </w:r>
      <w:r w:rsidR="00AF0834" w:rsidRPr="00802999">
        <w:rPr>
          <w:rFonts w:cs="Open Sans"/>
        </w:rPr>
        <w:t xml:space="preserve"> </w:t>
      </w:r>
      <w:r w:rsidR="009F4395">
        <w:rPr>
          <w:rFonts w:cs="Open Sans"/>
        </w:rPr>
        <w:t xml:space="preserve">Governance </w:t>
      </w:r>
      <w:r w:rsidR="009F4395" w:rsidRPr="460A30C6">
        <w:rPr>
          <w:rFonts w:cs="Open Sans"/>
        </w:rPr>
        <w:t>F</w:t>
      </w:r>
      <w:r w:rsidR="00AF0834" w:rsidRPr="460A30C6">
        <w:rPr>
          <w:rFonts w:cs="Open Sans"/>
        </w:rPr>
        <w:t>ramework</w:t>
      </w:r>
      <w:r w:rsidR="00AF0834" w:rsidRPr="00802999">
        <w:rPr>
          <w:rFonts w:cs="Open Sans"/>
        </w:rPr>
        <w:t xml:space="preserve"> is supported</w:t>
      </w:r>
      <w:r w:rsidR="00AF0834">
        <w:rPr>
          <w:rFonts w:cs="Open Sans"/>
        </w:rPr>
        <w:t xml:space="preserve"> by </w:t>
      </w:r>
      <w:r w:rsidR="00DF2CD9">
        <w:rPr>
          <w:rFonts w:cs="Open Sans"/>
        </w:rPr>
        <w:t>instructions issued under the PGPA Act and</w:t>
      </w:r>
      <w:r w:rsidR="00AF0834">
        <w:rPr>
          <w:rFonts w:cs="Open Sans"/>
        </w:rPr>
        <w:t xml:space="preserve"> </w:t>
      </w:r>
      <w:r w:rsidR="00A10208">
        <w:rPr>
          <w:rFonts w:cs="Open Sans"/>
        </w:rPr>
        <w:t>an extensive network of internal policies</w:t>
      </w:r>
      <w:r w:rsidR="009F4395">
        <w:rPr>
          <w:rFonts w:cs="Open Sans"/>
        </w:rPr>
        <w:t xml:space="preserve"> and procedures</w:t>
      </w:r>
      <w:r w:rsidR="007A5661">
        <w:rPr>
          <w:rFonts w:cs="Open Sans"/>
        </w:rPr>
        <w:t xml:space="preserve"> which </w:t>
      </w:r>
      <w:r w:rsidR="00D20DA5" w:rsidRPr="5A4D1A06">
        <w:rPr>
          <w:rFonts w:cs="Open Sans"/>
        </w:rPr>
        <w:t>inform</w:t>
      </w:r>
      <w:r w:rsidR="007A5661">
        <w:rPr>
          <w:rFonts w:cs="Open Sans"/>
        </w:rPr>
        <w:t xml:space="preserve"> </w:t>
      </w:r>
      <w:r w:rsidR="009F72C7">
        <w:rPr>
          <w:rFonts w:cs="Open Sans"/>
        </w:rPr>
        <w:t>officials</w:t>
      </w:r>
      <w:r w:rsidR="00D20DA5">
        <w:rPr>
          <w:rFonts w:cs="Open Sans"/>
        </w:rPr>
        <w:t xml:space="preserve"> of their responsibilities </w:t>
      </w:r>
      <w:r w:rsidR="001F64CE">
        <w:rPr>
          <w:rFonts w:cs="Open Sans"/>
        </w:rPr>
        <w:t>and</w:t>
      </w:r>
      <w:r w:rsidR="009E05EE">
        <w:rPr>
          <w:rFonts w:cs="Open Sans"/>
        </w:rPr>
        <w:t xml:space="preserve"> </w:t>
      </w:r>
      <w:r w:rsidR="005034B2">
        <w:rPr>
          <w:rFonts w:cs="Open Sans"/>
        </w:rPr>
        <w:t>internal processes</w:t>
      </w:r>
      <w:r w:rsidR="002630DE">
        <w:rPr>
          <w:rFonts w:cs="Open Sans"/>
        </w:rPr>
        <w:t>.</w:t>
      </w:r>
    </w:p>
    <w:p w14:paraId="285F2718" w14:textId="3C764B98" w:rsidR="008227DD" w:rsidRPr="00AB6973" w:rsidRDefault="003817DB" w:rsidP="00C6132B">
      <w:pPr>
        <w:rPr>
          <w:rFonts w:cs="Open Sans"/>
        </w:rPr>
      </w:pPr>
      <w:r>
        <w:rPr>
          <w:rFonts w:cs="Open Sans"/>
        </w:rPr>
        <w:t xml:space="preserve">The </w:t>
      </w:r>
      <w:r w:rsidRPr="00437C60">
        <w:rPr>
          <w:rStyle w:val="Emphasis"/>
        </w:rPr>
        <w:t>Australian Human Rights Commission Act 1986</w:t>
      </w:r>
      <w:r w:rsidRPr="00AB6973">
        <w:rPr>
          <w:rFonts w:cs="Open Sans"/>
        </w:rPr>
        <w:t xml:space="preserve"> (Cth)</w:t>
      </w:r>
      <w:r w:rsidR="00860DC9">
        <w:rPr>
          <w:rFonts w:cs="Open Sans"/>
        </w:rPr>
        <w:t xml:space="preserve"> </w:t>
      </w:r>
      <w:r w:rsidR="00625019">
        <w:rPr>
          <w:rFonts w:cs="Open Sans"/>
        </w:rPr>
        <w:t xml:space="preserve">(AHRC Act) </w:t>
      </w:r>
      <w:r w:rsidR="00860DC9">
        <w:rPr>
          <w:rFonts w:cs="Open Sans"/>
        </w:rPr>
        <w:t>create</w:t>
      </w:r>
      <w:r w:rsidR="00625019">
        <w:rPr>
          <w:rFonts w:cs="Open Sans"/>
        </w:rPr>
        <w:t>s</w:t>
      </w:r>
      <w:r w:rsidR="00860DC9">
        <w:rPr>
          <w:rFonts w:cs="Open Sans"/>
        </w:rPr>
        <w:t xml:space="preserve"> the Commission which </w:t>
      </w:r>
      <w:r w:rsidR="00845263" w:rsidRPr="140F7C3C">
        <w:rPr>
          <w:rFonts w:cs="Open Sans"/>
        </w:rPr>
        <w:t>compris</w:t>
      </w:r>
      <w:r w:rsidR="00845263">
        <w:rPr>
          <w:rFonts w:cs="Open Sans"/>
        </w:rPr>
        <w:t>es of</w:t>
      </w:r>
      <w:r w:rsidR="00845263" w:rsidRPr="140F7C3C">
        <w:rPr>
          <w:rFonts w:cs="Open Sans"/>
        </w:rPr>
        <w:t xml:space="preserve"> </w:t>
      </w:r>
      <w:r w:rsidR="00453A52">
        <w:rPr>
          <w:rFonts w:cs="Open Sans"/>
        </w:rPr>
        <w:t>the President and Commissioners</w:t>
      </w:r>
      <w:r w:rsidR="0009458E">
        <w:rPr>
          <w:rFonts w:cs="Open Sans"/>
        </w:rPr>
        <w:t xml:space="preserve"> as</w:t>
      </w:r>
      <w:r w:rsidR="00C6132B" w:rsidRPr="00AB6973">
        <w:rPr>
          <w:rFonts w:cs="Open Sans"/>
        </w:rPr>
        <w:t xml:space="preserve"> Commission</w:t>
      </w:r>
      <w:r w:rsidR="0009458E">
        <w:rPr>
          <w:rFonts w:cs="Open Sans"/>
        </w:rPr>
        <w:t xml:space="preserve"> Members</w:t>
      </w:r>
      <w:r w:rsidR="00453A52">
        <w:rPr>
          <w:rFonts w:cs="Open Sans"/>
        </w:rPr>
        <w:t xml:space="preserve">. </w:t>
      </w:r>
      <w:r w:rsidR="0009458E">
        <w:rPr>
          <w:rFonts w:cs="Open Sans"/>
        </w:rPr>
        <w:t xml:space="preserve">Commission Members meet formally as </w:t>
      </w:r>
      <w:r w:rsidR="0009458E" w:rsidRPr="140F7C3C">
        <w:rPr>
          <w:rFonts w:cs="Open Sans"/>
        </w:rPr>
        <w:t>t</w:t>
      </w:r>
      <w:r w:rsidR="00C6132B" w:rsidRPr="140F7C3C">
        <w:rPr>
          <w:rFonts w:cs="Open Sans"/>
        </w:rPr>
        <w:t xml:space="preserve">he </w:t>
      </w:r>
      <w:r w:rsidR="00C6132B" w:rsidRPr="00AB6973">
        <w:rPr>
          <w:rFonts w:cs="Open Sans"/>
        </w:rPr>
        <w:t>Commission</w:t>
      </w:r>
      <w:r w:rsidR="00625019">
        <w:rPr>
          <w:rFonts w:cs="Open Sans"/>
        </w:rPr>
        <w:t>,</w:t>
      </w:r>
      <w:r w:rsidR="00C6132B" w:rsidRPr="00AB6973">
        <w:rPr>
          <w:rFonts w:cs="Open Sans"/>
        </w:rPr>
        <w:t xml:space="preserve"> </w:t>
      </w:r>
      <w:r w:rsidR="00010DB4" w:rsidRPr="00AB6973">
        <w:rPr>
          <w:rFonts w:cs="Open Sans"/>
        </w:rPr>
        <w:t>to which</w:t>
      </w:r>
      <w:r w:rsidR="00C6132B" w:rsidRPr="00AB6973">
        <w:rPr>
          <w:rFonts w:cs="Open Sans"/>
        </w:rPr>
        <w:t xml:space="preserve"> the Chief Executive </w:t>
      </w:r>
      <w:r w:rsidR="00010DB4" w:rsidRPr="00AB6973">
        <w:rPr>
          <w:rFonts w:cs="Open Sans"/>
        </w:rPr>
        <w:t xml:space="preserve">reports </w:t>
      </w:r>
      <w:r w:rsidR="00C6132B" w:rsidRPr="00AB6973">
        <w:rPr>
          <w:rFonts w:cs="Open Sans"/>
        </w:rPr>
        <w:t xml:space="preserve">four times a year. These meetings facilitate </w:t>
      </w:r>
      <w:r w:rsidR="00D849FC" w:rsidRPr="00AB6973">
        <w:rPr>
          <w:rFonts w:cs="Open Sans"/>
        </w:rPr>
        <w:t>comprehensive regular</w:t>
      </w:r>
      <w:r w:rsidR="00C6132B" w:rsidRPr="00AB6973">
        <w:rPr>
          <w:rFonts w:cs="Open Sans"/>
        </w:rPr>
        <w:t xml:space="preserve"> reporting of progress against the Commission’s </w:t>
      </w:r>
      <w:r w:rsidR="009D765E" w:rsidRPr="00AB6973">
        <w:rPr>
          <w:rFonts w:cs="Open Sans"/>
        </w:rPr>
        <w:t>Strategic</w:t>
      </w:r>
      <w:r w:rsidR="0097317B" w:rsidRPr="00AB6973">
        <w:rPr>
          <w:rFonts w:cs="Open Sans"/>
        </w:rPr>
        <w:t xml:space="preserve"> </w:t>
      </w:r>
      <w:r w:rsidR="00696439" w:rsidRPr="00AB6973">
        <w:rPr>
          <w:rFonts w:cs="Open Sans"/>
        </w:rPr>
        <w:t xml:space="preserve">Plan and </w:t>
      </w:r>
      <w:r w:rsidR="00C6132B" w:rsidRPr="00AB6973">
        <w:rPr>
          <w:rFonts w:cs="Open Sans"/>
        </w:rPr>
        <w:t>annual work plan, and the President and Commissioners’ term goals</w:t>
      </w:r>
      <w:r w:rsidR="00ED76F1">
        <w:rPr>
          <w:rFonts w:cs="Open Sans"/>
        </w:rPr>
        <w:t xml:space="preserve">, and provide space for key strategic </w:t>
      </w:r>
      <w:r w:rsidR="00EE0C65">
        <w:rPr>
          <w:rFonts w:cs="Open Sans"/>
        </w:rPr>
        <w:t>decision making</w:t>
      </w:r>
      <w:r w:rsidR="00D0031C">
        <w:rPr>
          <w:rFonts w:cs="Open Sans"/>
        </w:rPr>
        <w:t xml:space="preserve">. </w:t>
      </w:r>
      <w:r w:rsidR="000C1A2E">
        <w:rPr>
          <w:rFonts w:cs="Open Sans"/>
        </w:rPr>
        <w:t>S</w:t>
      </w:r>
      <w:r w:rsidR="00C6132B" w:rsidRPr="00AB6973">
        <w:rPr>
          <w:rFonts w:cs="Open Sans"/>
        </w:rPr>
        <w:t>enior management</w:t>
      </w:r>
      <w:r w:rsidR="00910A1F">
        <w:rPr>
          <w:rFonts w:cs="Open Sans"/>
        </w:rPr>
        <w:t xml:space="preserve">, comprising </w:t>
      </w:r>
      <w:r w:rsidR="45EEF19A" w:rsidRPr="6B3C76A5">
        <w:rPr>
          <w:rFonts w:cs="Open Sans"/>
        </w:rPr>
        <w:t>the Chief Executive, Senior Executive</w:t>
      </w:r>
      <w:r w:rsidR="00910A1F">
        <w:rPr>
          <w:rFonts w:cs="Open Sans"/>
        </w:rPr>
        <w:t>s</w:t>
      </w:r>
      <w:r w:rsidR="45EEF19A" w:rsidRPr="6B3C76A5">
        <w:rPr>
          <w:rFonts w:cs="Open Sans"/>
        </w:rPr>
        <w:t xml:space="preserve"> and </w:t>
      </w:r>
      <w:r w:rsidR="45EEF19A" w:rsidRPr="6973114A">
        <w:rPr>
          <w:rFonts w:cs="Open Sans"/>
        </w:rPr>
        <w:t>Directors</w:t>
      </w:r>
      <w:r w:rsidR="00910A1F">
        <w:rPr>
          <w:rFonts w:cs="Open Sans"/>
        </w:rPr>
        <w:t>,</w:t>
      </w:r>
      <w:r w:rsidR="000C1A2E">
        <w:rPr>
          <w:rFonts w:cs="Open Sans"/>
        </w:rPr>
        <w:t xml:space="preserve"> </w:t>
      </w:r>
      <w:r w:rsidR="00C6132B" w:rsidRPr="00AB6973">
        <w:rPr>
          <w:rFonts w:cs="Open Sans"/>
        </w:rPr>
        <w:t>provide updates from across the Commission’s work.</w:t>
      </w:r>
    </w:p>
    <w:p w14:paraId="52FE03C1" w14:textId="48FCBA64" w:rsidR="00DC0051" w:rsidRPr="00DC0051" w:rsidRDefault="00C6132B" w:rsidP="00C6132B">
      <w:pPr>
        <w:rPr>
          <w:rFonts w:cs="Open Sans"/>
        </w:rPr>
      </w:pPr>
      <w:r w:rsidRPr="00AB6973">
        <w:rPr>
          <w:rFonts w:cs="Open Sans"/>
        </w:rPr>
        <w:t xml:space="preserve">In line with our Governance Framework the Commission has four </w:t>
      </w:r>
      <w:r w:rsidR="00985A81">
        <w:rPr>
          <w:rFonts w:cs="Open Sans"/>
        </w:rPr>
        <w:t xml:space="preserve">governance </w:t>
      </w:r>
      <w:r w:rsidRPr="00AB6973">
        <w:rPr>
          <w:rFonts w:cs="Open Sans"/>
        </w:rPr>
        <w:t>Sub-Committees: Budget; Partnership and Projects</w:t>
      </w:r>
      <w:r w:rsidR="00850E9F" w:rsidRPr="00AB6973">
        <w:rPr>
          <w:rFonts w:cs="Open Sans"/>
        </w:rPr>
        <w:t>;</w:t>
      </w:r>
      <w:r w:rsidRPr="00AB6973">
        <w:rPr>
          <w:rFonts w:cs="Open Sans"/>
        </w:rPr>
        <w:t xml:space="preserve"> Organisational Development and Culture</w:t>
      </w:r>
      <w:r w:rsidR="00850E9F" w:rsidRPr="00AB6973">
        <w:rPr>
          <w:rFonts w:cs="Open Sans"/>
        </w:rPr>
        <w:t>;</w:t>
      </w:r>
      <w:r w:rsidRPr="00AB6973">
        <w:rPr>
          <w:rFonts w:cs="Open Sans"/>
        </w:rPr>
        <w:t xml:space="preserve"> and Strategic Issues and Engagement. </w:t>
      </w:r>
      <w:r w:rsidR="70A8BA30" w:rsidRPr="6FA89EA8">
        <w:rPr>
          <w:rFonts w:cs="Open Sans"/>
        </w:rPr>
        <w:t xml:space="preserve">Each </w:t>
      </w:r>
      <w:r w:rsidR="00985A81">
        <w:rPr>
          <w:rFonts w:cs="Open Sans"/>
        </w:rPr>
        <w:t>governance</w:t>
      </w:r>
      <w:r w:rsidRPr="00AB6973">
        <w:rPr>
          <w:rFonts w:cs="Open Sans"/>
        </w:rPr>
        <w:t xml:space="preserve"> Sub-Committees </w:t>
      </w:r>
      <w:r w:rsidR="6B1C6C5F" w:rsidRPr="0866686B">
        <w:rPr>
          <w:rFonts w:cs="Open Sans"/>
        </w:rPr>
        <w:t>is chaired</w:t>
      </w:r>
      <w:r w:rsidR="001F34C0" w:rsidRPr="00AB6973">
        <w:rPr>
          <w:rFonts w:cs="Open Sans"/>
        </w:rPr>
        <w:t xml:space="preserve"> by </w:t>
      </w:r>
      <w:r w:rsidR="16AEBC06" w:rsidRPr="0866686B">
        <w:rPr>
          <w:rFonts w:cs="Open Sans"/>
        </w:rPr>
        <w:t xml:space="preserve">a </w:t>
      </w:r>
      <w:r w:rsidR="00D21A74" w:rsidRPr="630F7736">
        <w:rPr>
          <w:rFonts w:cs="Open Sans"/>
        </w:rPr>
        <w:t>C</w:t>
      </w:r>
      <w:r w:rsidR="00DD1D02" w:rsidRPr="630F7736">
        <w:rPr>
          <w:rFonts w:cs="Open Sans"/>
        </w:rPr>
        <w:t>ommissioner</w:t>
      </w:r>
      <w:r w:rsidR="001F34C0" w:rsidRPr="00AB6973">
        <w:rPr>
          <w:rFonts w:cs="Open Sans"/>
        </w:rPr>
        <w:t xml:space="preserve"> with staff representation</w:t>
      </w:r>
      <w:r w:rsidR="37D3A7F9" w:rsidRPr="630F7736">
        <w:rPr>
          <w:rFonts w:cs="Open Sans"/>
        </w:rPr>
        <w:t xml:space="preserve"> in membership</w:t>
      </w:r>
      <w:r w:rsidR="00574CEC">
        <w:rPr>
          <w:rFonts w:cs="Open Sans"/>
        </w:rPr>
        <w:t>. They</w:t>
      </w:r>
      <w:r w:rsidR="00032101">
        <w:rPr>
          <w:rFonts w:cs="Open Sans"/>
        </w:rPr>
        <w:t xml:space="preserve"> each</w:t>
      </w:r>
      <w:r w:rsidR="001F34C0" w:rsidRPr="00AB6973" w:rsidDel="00574CEC">
        <w:rPr>
          <w:rFonts w:cs="Open Sans"/>
        </w:rPr>
        <w:t xml:space="preserve"> </w:t>
      </w:r>
      <w:r w:rsidRPr="00AB6973">
        <w:rPr>
          <w:rFonts w:cs="Open Sans"/>
        </w:rPr>
        <w:t>meet monthly</w:t>
      </w:r>
      <w:r w:rsidR="00574CEC">
        <w:rPr>
          <w:rFonts w:cs="Open Sans"/>
        </w:rPr>
        <w:t xml:space="preserve"> and </w:t>
      </w:r>
      <w:r w:rsidRPr="0E4D0846">
        <w:rPr>
          <w:rFonts w:cs="Open Sans"/>
        </w:rPr>
        <w:t>report</w:t>
      </w:r>
      <w:r w:rsidR="006E1E63">
        <w:rPr>
          <w:rFonts w:cs="Open Sans"/>
        </w:rPr>
        <w:t xml:space="preserve"> </w:t>
      </w:r>
      <w:r w:rsidRPr="00AB6973">
        <w:rPr>
          <w:rFonts w:cs="Open Sans"/>
        </w:rPr>
        <w:t xml:space="preserve">to the </w:t>
      </w:r>
      <w:r w:rsidR="00037A45" w:rsidRPr="00AB6973">
        <w:rPr>
          <w:rFonts w:cs="Open Sans"/>
        </w:rPr>
        <w:t xml:space="preserve">quarterly </w:t>
      </w:r>
      <w:r w:rsidR="0022695B">
        <w:rPr>
          <w:rFonts w:cs="Open Sans"/>
        </w:rPr>
        <w:t xml:space="preserve">Commission </w:t>
      </w:r>
      <w:r w:rsidR="00037A45" w:rsidRPr="00AB6973">
        <w:rPr>
          <w:rFonts w:cs="Open Sans"/>
        </w:rPr>
        <w:t>m</w:t>
      </w:r>
      <w:r w:rsidRPr="00AB6973">
        <w:rPr>
          <w:rFonts w:cs="Open Sans"/>
        </w:rPr>
        <w:t>eeting</w:t>
      </w:r>
      <w:r w:rsidR="00037A45" w:rsidRPr="00AB6973">
        <w:rPr>
          <w:rFonts w:cs="Open Sans"/>
        </w:rPr>
        <w:t>s</w:t>
      </w:r>
      <w:r w:rsidRPr="00AB6973">
        <w:rPr>
          <w:rFonts w:cs="Open Sans"/>
        </w:rPr>
        <w:t>.</w:t>
      </w:r>
    </w:p>
    <w:p w14:paraId="0CDC560B" w14:textId="2F0C4768" w:rsidR="00DC0051" w:rsidRPr="00DC0051" w:rsidRDefault="1755D184" w:rsidP="00C6132B">
      <w:pPr>
        <w:rPr>
          <w:rFonts w:cs="Open Sans"/>
        </w:rPr>
      </w:pPr>
      <w:r w:rsidRPr="644940EB">
        <w:rPr>
          <w:rFonts w:cs="Open Sans"/>
        </w:rPr>
        <w:t xml:space="preserve">Our Governance Framework requires </w:t>
      </w:r>
      <w:r w:rsidR="4AD36B19" w:rsidRPr="644940EB">
        <w:rPr>
          <w:rFonts w:cs="Open Sans"/>
        </w:rPr>
        <w:t>to</w:t>
      </w:r>
      <w:r w:rsidR="0A5917EE" w:rsidRPr="644940EB">
        <w:rPr>
          <w:rFonts w:cs="Open Sans"/>
        </w:rPr>
        <w:t xml:space="preserve"> approve acts such as reports, submissions, interventions in court proceedings</w:t>
      </w:r>
      <w:r w:rsidR="663949BD" w:rsidRPr="644940EB">
        <w:rPr>
          <w:rFonts w:cs="Open Sans"/>
        </w:rPr>
        <w:t xml:space="preserve">, and the granting of temporary exemptions. </w:t>
      </w:r>
      <w:r w:rsidR="648E5F05" w:rsidRPr="644940EB">
        <w:rPr>
          <w:rFonts w:cs="Open Sans"/>
        </w:rPr>
        <w:t>The Commission obtains appropriate ethics approval for all relevant major activities.</w:t>
      </w:r>
    </w:p>
    <w:p w14:paraId="7D5A31F1" w14:textId="149C5A48" w:rsidR="00CB2939" w:rsidRPr="00DC0051" w:rsidRDefault="006F0F3A" w:rsidP="00B52CE1">
      <w:pPr>
        <w:rPr>
          <w:rFonts w:cs="Open Sans"/>
        </w:rPr>
      </w:pPr>
      <w:r>
        <w:rPr>
          <w:rFonts w:cs="Open Sans"/>
        </w:rPr>
        <w:lastRenderedPageBreak/>
        <w:t xml:space="preserve">As identified in the Commission’s Risk Management Policy and Framework, </w:t>
      </w:r>
      <w:r w:rsidRPr="140F7C3C">
        <w:rPr>
          <w:rFonts w:cs="Open Sans"/>
        </w:rPr>
        <w:t>w</w:t>
      </w:r>
      <w:r w:rsidR="00B52CE1" w:rsidRPr="140F7C3C">
        <w:rPr>
          <w:rFonts w:cs="Open Sans"/>
        </w:rPr>
        <w:t>e</w:t>
      </w:r>
      <w:r w:rsidR="00B52CE1" w:rsidRPr="00DC0051">
        <w:rPr>
          <w:rFonts w:cs="Open Sans"/>
        </w:rPr>
        <w:t xml:space="preserve"> adopt a positive risk management culture that promotes an open and proactive approach to managing risk. We achieve this through our governance, risk and compliance mechanisms, such as </w:t>
      </w:r>
      <w:r w:rsidR="00110C31" w:rsidRPr="0E4D0846">
        <w:rPr>
          <w:rFonts w:cs="Open Sans"/>
        </w:rPr>
        <w:t>the</w:t>
      </w:r>
      <w:r w:rsidR="00B52CE1" w:rsidRPr="00DC0051">
        <w:rPr>
          <w:rFonts w:cs="Open Sans"/>
        </w:rPr>
        <w:t xml:space="preserve"> Audit and Risk Committee and Governance Framework </w:t>
      </w:r>
      <w:r w:rsidR="009D7690" w:rsidRPr="00DC0051">
        <w:rPr>
          <w:rFonts w:cs="Open Sans"/>
        </w:rPr>
        <w:t>Sub-Committees</w:t>
      </w:r>
      <w:r w:rsidR="00B52CE1" w:rsidRPr="00DC0051">
        <w:rPr>
          <w:rFonts w:cs="Open Sans"/>
        </w:rPr>
        <w:t xml:space="preserve">. Our </w:t>
      </w:r>
      <w:r w:rsidR="00770292" w:rsidRPr="00DC0051">
        <w:rPr>
          <w:rFonts w:cs="Open Sans"/>
        </w:rPr>
        <w:t xml:space="preserve">strategic and </w:t>
      </w:r>
      <w:r w:rsidR="00B52CE1" w:rsidRPr="00DC0051">
        <w:rPr>
          <w:rFonts w:cs="Open Sans"/>
        </w:rPr>
        <w:t>corporate planning processes are conducted at all levels of the organisation and include an assessment of our strengths, weaknesses, opportunities and threats. Our internal and external auditing processes also assess risk.</w:t>
      </w:r>
    </w:p>
    <w:p w14:paraId="3C60BCBD" w14:textId="2E18DFF4" w:rsidR="00B52CE1" w:rsidRPr="00DC0051" w:rsidRDefault="00B52CE1" w:rsidP="00B52CE1">
      <w:pPr>
        <w:rPr>
          <w:rFonts w:cs="Open Sans"/>
        </w:rPr>
      </w:pPr>
      <w:r w:rsidRPr="00DC0051" w:rsidDel="006C2D95">
        <w:rPr>
          <w:rFonts w:cs="Open Sans"/>
        </w:rPr>
        <w:t>Our</w:t>
      </w:r>
      <w:r w:rsidRPr="00DC0051">
        <w:rPr>
          <w:rFonts w:cs="Open Sans"/>
        </w:rPr>
        <w:t xml:space="preserve"> </w:t>
      </w:r>
      <w:r w:rsidR="00290235" w:rsidRPr="140F7C3C">
        <w:rPr>
          <w:rFonts w:cs="Open Sans"/>
        </w:rPr>
        <w:t>R</w:t>
      </w:r>
      <w:r w:rsidRPr="140F7C3C">
        <w:rPr>
          <w:rFonts w:cs="Open Sans"/>
        </w:rPr>
        <w:t xml:space="preserve">isk </w:t>
      </w:r>
      <w:r w:rsidR="00290235" w:rsidRPr="140F7C3C">
        <w:rPr>
          <w:rFonts w:cs="Open Sans"/>
        </w:rPr>
        <w:t>M</w:t>
      </w:r>
      <w:r w:rsidRPr="140F7C3C">
        <w:rPr>
          <w:rFonts w:cs="Open Sans"/>
        </w:rPr>
        <w:t>anagement</w:t>
      </w:r>
      <w:r w:rsidRPr="00DC0051">
        <w:rPr>
          <w:rFonts w:cs="Open Sans"/>
        </w:rPr>
        <w:t xml:space="preserve"> </w:t>
      </w:r>
      <w:r w:rsidR="00290235">
        <w:rPr>
          <w:rFonts w:cs="Open Sans"/>
        </w:rPr>
        <w:t xml:space="preserve">Policy and </w:t>
      </w:r>
      <w:r w:rsidR="00290235" w:rsidRPr="140F7C3C">
        <w:rPr>
          <w:rFonts w:cs="Open Sans"/>
        </w:rPr>
        <w:t>F</w:t>
      </w:r>
      <w:r w:rsidRPr="140F7C3C">
        <w:rPr>
          <w:rFonts w:cs="Open Sans"/>
        </w:rPr>
        <w:t>ramework</w:t>
      </w:r>
      <w:r w:rsidRPr="00DC0051">
        <w:rPr>
          <w:rFonts w:cs="Open Sans"/>
        </w:rPr>
        <w:t xml:space="preserve"> provides a mechanism for proactively identifying and mitigating risks across the organisation</w:t>
      </w:r>
      <w:r w:rsidR="00290235">
        <w:rPr>
          <w:rFonts w:cs="Open Sans"/>
        </w:rPr>
        <w:t xml:space="preserve">, with Commission activities assessed against our documented risk management matrix </w:t>
      </w:r>
      <w:r w:rsidR="00A024B4">
        <w:rPr>
          <w:rFonts w:cs="Open Sans"/>
        </w:rPr>
        <w:t xml:space="preserve">for alignment </w:t>
      </w:r>
      <w:r w:rsidR="04E0C5A7" w:rsidRPr="40103DB2">
        <w:rPr>
          <w:rFonts w:cs="Open Sans"/>
        </w:rPr>
        <w:t xml:space="preserve">with our risk appetite statement. </w:t>
      </w:r>
    </w:p>
    <w:p w14:paraId="4E23AF48" w14:textId="4D5FA3DF" w:rsidR="00C6132B" w:rsidRDefault="00C6132B" w:rsidP="00532FF0">
      <w:pPr>
        <w:pStyle w:val="Heading2"/>
        <w:rPr>
          <w:lang w:val="en-US"/>
        </w:rPr>
      </w:pPr>
      <w:bookmarkStart w:id="11" w:name="_Toc146437033"/>
      <w:r w:rsidRPr="00532FF0">
        <w:t>Audit</w:t>
      </w:r>
      <w:r w:rsidRPr="00DC0051">
        <w:rPr>
          <w:lang w:val="en-US"/>
        </w:rPr>
        <w:t xml:space="preserve"> and Risk Committee</w:t>
      </w:r>
      <w:bookmarkEnd w:id="11"/>
    </w:p>
    <w:p w14:paraId="29D22216" w14:textId="631B0A05" w:rsidR="00C6132B" w:rsidRPr="00DC0051" w:rsidRDefault="5D516DDF" w:rsidP="007A6A69">
      <w:pPr>
        <w:textAlignment w:val="baseline"/>
        <w:rPr>
          <w:rFonts w:eastAsia="Open Sans" w:cs="Open Sans"/>
        </w:rPr>
      </w:pPr>
      <w:r w:rsidRPr="7AE98B86">
        <w:rPr>
          <w:rFonts w:eastAsia="Open Sans" w:cs="Open Sans"/>
        </w:rPr>
        <w:t>Audit and Risk Committee has assessed the performance statement contained in this report.</w:t>
      </w:r>
    </w:p>
    <w:p w14:paraId="7D725F76" w14:textId="033F1FDA" w:rsidR="00C6132B" w:rsidRPr="00532FF0" w:rsidRDefault="00C6132B" w:rsidP="001710EC">
      <w:pPr>
        <w:pStyle w:val="Heading3"/>
      </w:pPr>
      <w:r w:rsidRPr="00532FF0">
        <w:t xml:space="preserve">Electronic address of the audit committee </w:t>
      </w:r>
      <w:r w:rsidRPr="001710EC">
        <w:t>charter</w:t>
      </w:r>
      <w:r w:rsidRPr="00532FF0">
        <w:t>:</w:t>
      </w:r>
    </w:p>
    <w:p w14:paraId="50ECB788" w14:textId="5A5A356F" w:rsidR="00C6132B" w:rsidRPr="00BD37BA" w:rsidRDefault="00B7010F" w:rsidP="007A6A69">
      <w:hyperlink r:id="rId23" w:history="1">
        <w:r w:rsidR="00C6132B" w:rsidRPr="005E7A14">
          <w:rPr>
            <w:rStyle w:val="Hyperlink"/>
            <w:rFonts w:cs="Open Sans"/>
            <w:sz w:val="22"/>
            <w:szCs w:val="22"/>
          </w:rPr>
          <w:t>https://humanrights.gov.au/sites/default/files/ahrc_audit_and_risk_committee_charter.pdf</w:t>
        </w:r>
      </w:hyperlink>
    </w:p>
    <w:p w14:paraId="2449B952" w14:textId="1F6BA10A" w:rsidR="00C6132B" w:rsidRPr="00DC0051" w:rsidRDefault="00C6132B" w:rsidP="001710EC">
      <w:pPr>
        <w:pStyle w:val="Heading3"/>
      </w:pPr>
      <w:r w:rsidRPr="00DC0051">
        <w:t>Audit and Risk Committee members in 202</w:t>
      </w:r>
      <w:r w:rsidR="00C873CC" w:rsidRPr="00DC0051">
        <w:t>2</w:t>
      </w:r>
      <w:r w:rsidRPr="00DC0051">
        <w:t>–202</w:t>
      </w:r>
      <w:r w:rsidR="00C873CC" w:rsidRPr="00DC0051">
        <w:t>3</w:t>
      </w:r>
      <w:r w:rsidRPr="00DC0051">
        <w:t>:</w:t>
      </w:r>
    </w:p>
    <w:p w14:paraId="3B573B42" w14:textId="33FD1959" w:rsidR="00C6132B" w:rsidRPr="00DC0051" w:rsidRDefault="00C6132B" w:rsidP="00532FF0">
      <w:pPr>
        <w:pStyle w:val="ListBullet"/>
      </w:pPr>
      <w:r w:rsidRPr="00DC0051">
        <w:rPr>
          <w:rFonts w:cs="Open Sans"/>
        </w:rPr>
        <w:t>Linda Waugh (Chair)</w:t>
      </w:r>
    </w:p>
    <w:p w14:paraId="1C891CDC" w14:textId="2C0C8D56" w:rsidR="00C6132B" w:rsidRPr="00DC0051" w:rsidRDefault="00C6132B" w:rsidP="00532FF0">
      <w:pPr>
        <w:pStyle w:val="ListBullet"/>
      </w:pPr>
      <w:r w:rsidRPr="00DC0051">
        <w:rPr>
          <w:rFonts w:cs="Open Sans"/>
        </w:rPr>
        <w:t>Navaka Arachchige</w:t>
      </w:r>
    </w:p>
    <w:p w14:paraId="5324DB25" w14:textId="51FB3A58" w:rsidR="00C6132B" w:rsidRPr="00DC0051" w:rsidRDefault="00C6132B" w:rsidP="00532FF0">
      <w:pPr>
        <w:pStyle w:val="ListBullet"/>
      </w:pPr>
      <w:r w:rsidRPr="00DC0051">
        <w:rPr>
          <w:rFonts w:cs="Open Sans"/>
        </w:rPr>
        <w:t>Clare Bower</w:t>
      </w:r>
    </w:p>
    <w:p w14:paraId="0DA2A87F" w14:textId="1B82FB7B" w:rsidR="00C6132B" w:rsidRPr="00DC0051" w:rsidRDefault="00C6132B" w:rsidP="001710EC">
      <w:pPr>
        <w:pStyle w:val="Heading3"/>
      </w:pPr>
      <w:r>
        <w:t>Qualifications, knowledge, and experience of committee members:</w:t>
      </w:r>
    </w:p>
    <w:p w14:paraId="4F3C436C" w14:textId="40D9DE70" w:rsidR="00C6132B" w:rsidRPr="00DC0051" w:rsidRDefault="00C6132B" w:rsidP="00532FF0">
      <w:r w:rsidRPr="00437C60">
        <w:rPr>
          <w:rStyle w:val="Emphasis"/>
          <w:rFonts w:eastAsia="MS Mincho"/>
        </w:rPr>
        <w:t>Linda Waugh</w:t>
      </w:r>
      <w:r w:rsidRPr="00DC0051">
        <w:rPr>
          <w:rFonts w:eastAsia="MS Mincho" w:cs="Open Sans"/>
        </w:rPr>
        <w:t xml:space="preserve"> is the Chair of the Audit and Risk Committee. She is the Integrity </w:t>
      </w:r>
      <w:r w:rsidRPr="0B6FDD5A">
        <w:rPr>
          <w:rFonts w:eastAsia="MS Mincho" w:cs="Open Sans"/>
        </w:rPr>
        <w:t>Commissioner</w:t>
      </w:r>
      <w:r w:rsidRPr="00DC0051">
        <w:rPr>
          <w:rFonts w:eastAsia="MS Mincho" w:cs="Open Sans"/>
        </w:rPr>
        <w:t xml:space="preserve"> for the Queensland Government. Ms Waugh has over 20 years’ experience working in public sector integrity and oversight bodies in both the Commonwealth and state governments. She has a breadth of experience across complaints and investigations, risk and governance, policy reform and education, systems reviews, and auditing and legislative reviews. Ms Waugh holds a Bachelor of Arts, a Post Graduate Diploma of Psychology, and a Master of Business Administration.</w:t>
      </w:r>
    </w:p>
    <w:p w14:paraId="737A78ED" w14:textId="1E4B110D" w:rsidR="00C6132B" w:rsidRPr="00DC0051" w:rsidRDefault="00C6132B" w:rsidP="00532FF0">
      <w:r w:rsidRPr="00437C60">
        <w:rPr>
          <w:rStyle w:val="Emphasis"/>
          <w:rFonts w:eastAsia="MS Mincho"/>
        </w:rPr>
        <w:lastRenderedPageBreak/>
        <w:t>Navaka Arachchige</w:t>
      </w:r>
      <w:r w:rsidRPr="00DC0051">
        <w:rPr>
          <w:rFonts w:eastAsia="MS Mincho" w:cs="Open Sans"/>
        </w:rPr>
        <w:t xml:space="preserve"> is an independent external member of the Audit and Risk Committee. He has over 15 years of public sector experience in finance and corporate services including governance, audit, risk, and procurement. Mr Arachchige holds membership of the Association of Certified Chartered Accountants</w:t>
      </w:r>
      <w:r w:rsidRPr="00DC0051" w:rsidDel="00462F8E">
        <w:rPr>
          <w:rFonts w:eastAsia="MS Mincho" w:cs="Open Sans"/>
        </w:rPr>
        <w:t xml:space="preserve"> </w:t>
      </w:r>
      <w:r w:rsidRPr="00DC0051">
        <w:rPr>
          <w:rFonts w:eastAsia="MS Mincho" w:cs="Open Sans"/>
        </w:rPr>
        <w:t>UK and the Chartered Institute of Management Accountants UK. He also holds a Master of Commerce degree specialising in Management Information Systems from the University of NSW.</w:t>
      </w:r>
    </w:p>
    <w:p w14:paraId="051F295E" w14:textId="2E248B41" w:rsidR="00C6132B" w:rsidRPr="00532FF0" w:rsidRDefault="00C6132B" w:rsidP="2832F822">
      <w:pPr>
        <w:rPr>
          <w:rFonts w:eastAsia="MS Mincho" w:cs="Open Sans"/>
        </w:rPr>
      </w:pPr>
      <w:r w:rsidRPr="2832F822">
        <w:rPr>
          <w:rStyle w:val="Emphasis"/>
          <w:rFonts w:eastAsia="MS Mincho"/>
        </w:rPr>
        <w:t>Clare Bower</w:t>
      </w:r>
      <w:r w:rsidRPr="2832F822">
        <w:rPr>
          <w:rFonts w:eastAsia="MS Mincho" w:cs="Open Sans"/>
        </w:rPr>
        <w:t xml:space="preserve"> is an experienced governance, risk and audit professional with more than 20 years’ advising and serving Australian and global organisations, including federal and NSW public sector departments, major ASX listed companies, and the not-for-profit sector.</w:t>
      </w:r>
      <w:r w:rsidR="1C7E64A4" w:rsidRPr="2832F822">
        <w:rPr>
          <w:rFonts w:eastAsia="MS Mincho" w:cs="Open Sans"/>
        </w:rPr>
        <w:t xml:space="preserve"> </w:t>
      </w:r>
      <w:r w:rsidRPr="2832F822">
        <w:rPr>
          <w:rFonts w:eastAsia="MS Mincho" w:cs="Open Sans"/>
        </w:rPr>
        <w:t>Ms Bower completed her graduate studies in accounting, law and tax at the University of Technology Sydney, was certified as an internal auditor in 2001</w:t>
      </w:r>
      <w:r w:rsidR="72B43292" w:rsidRPr="2832F822">
        <w:rPr>
          <w:rFonts w:eastAsia="MS Mincho" w:cs="Open Sans"/>
        </w:rPr>
        <w:t>.</w:t>
      </w:r>
    </w:p>
    <w:p w14:paraId="1782A03E" w14:textId="2211AF1A" w:rsidR="00C6132B" w:rsidRPr="00DC0051" w:rsidRDefault="00C6132B" w:rsidP="001710EC">
      <w:pPr>
        <w:pStyle w:val="Heading3"/>
      </w:pPr>
      <w:r w:rsidRPr="00DC0051">
        <w:t xml:space="preserve">The Audit and Risk </w:t>
      </w:r>
      <w:r w:rsidRPr="001710EC">
        <w:t>Committee</w:t>
      </w:r>
      <w:r w:rsidRPr="00DC0051">
        <w:t xml:space="preserve"> held 5 meetings in 2021–2022 on these dates:</w:t>
      </w:r>
    </w:p>
    <w:p w14:paraId="094A1AA2" w14:textId="3EF3CE00" w:rsidR="00C6132B" w:rsidRPr="00DC0051" w:rsidRDefault="00C6132B" w:rsidP="00532FF0">
      <w:pPr>
        <w:pStyle w:val="ListBullet"/>
      </w:pPr>
      <w:r w:rsidRPr="00DC0051">
        <w:rPr>
          <w:rFonts w:cs="Open Sans"/>
        </w:rPr>
        <w:t>23 August 2022</w:t>
      </w:r>
    </w:p>
    <w:p w14:paraId="7AEC5D7D" w14:textId="7728CA69" w:rsidR="00C6132B" w:rsidRPr="00DC0051" w:rsidRDefault="00C6132B" w:rsidP="00532FF0">
      <w:pPr>
        <w:pStyle w:val="ListBullet"/>
      </w:pPr>
      <w:r w:rsidRPr="00DC0051">
        <w:rPr>
          <w:rFonts w:cs="Open Sans"/>
        </w:rPr>
        <w:t>5 October 2022</w:t>
      </w:r>
    </w:p>
    <w:p w14:paraId="58CB7DCB" w14:textId="72EA1427" w:rsidR="00C6132B" w:rsidRPr="00DC0051" w:rsidRDefault="00C6132B" w:rsidP="00532FF0">
      <w:pPr>
        <w:pStyle w:val="ListBullet"/>
      </w:pPr>
      <w:r w:rsidRPr="00DC0051">
        <w:rPr>
          <w:rFonts w:cs="Open Sans"/>
        </w:rPr>
        <w:t>16 December 2022</w:t>
      </w:r>
    </w:p>
    <w:p w14:paraId="11A5B87B" w14:textId="19141FAB" w:rsidR="00C6132B" w:rsidRPr="00DC0051" w:rsidRDefault="00C6132B" w:rsidP="00532FF0">
      <w:pPr>
        <w:pStyle w:val="ListBullet"/>
      </w:pPr>
      <w:r w:rsidRPr="00DC0051">
        <w:rPr>
          <w:rFonts w:cs="Open Sans"/>
        </w:rPr>
        <w:t>24 March 2023</w:t>
      </w:r>
    </w:p>
    <w:p w14:paraId="0F07F838" w14:textId="0B6D087D" w:rsidR="00C6132B" w:rsidRPr="00532FF0" w:rsidRDefault="00C6132B" w:rsidP="00532FF0">
      <w:pPr>
        <w:pStyle w:val="ListBullet"/>
        <w:rPr>
          <w:rFonts w:cs="Open Sans"/>
        </w:rPr>
      </w:pPr>
      <w:r w:rsidRPr="00DC0051">
        <w:rPr>
          <w:rFonts w:cs="Open Sans"/>
        </w:rPr>
        <w:t>2 June 2023</w:t>
      </w:r>
    </w:p>
    <w:p w14:paraId="4A853DDE" w14:textId="4B757D76" w:rsidR="00C6132B" w:rsidRPr="00532FF0" w:rsidRDefault="00C6132B" w:rsidP="00C6132B">
      <w:pPr>
        <w:pStyle w:val="paragraph"/>
        <w:spacing w:before="0" w:beforeAutospacing="0" w:after="0" w:afterAutospacing="0"/>
        <w:textAlignment w:val="baseline"/>
        <w:rPr>
          <w:rFonts w:eastAsia="MS Mincho" w:cs="Open Sans"/>
          <w:color w:val="000000"/>
        </w:rPr>
      </w:pPr>
      <w:r w:rsidRPr="00DC0051">
        <w:rPr>
          <w:rStyle w:val="eop"/>
          <w:rFonts w:eastAsia="MS Mincho" w:cs="Open Sans"/>
          <w:color w:val="000000"/>
        </w:rPr>
        <w:t>All Committee members attended all meetings.</w:t>
      </w:r>
    </w:p>
    <w:p w14:paraId="357C0949" w14:textId="5F2E3AA5" w:rsidR="00C6132B" w:rsidRPr="00532FF0" w:rsidRDefault="4F670D32" w:rsidP="001710EC">
      <w:pPr>
        <w:pStyle w:val="Heading3"/>
      </w:pPr>
      <w:r w:rsidRPr="3343BFCA">
        <w:t xml:space="preserve">Audit and Risk </w:t>
      </w:r>
      <w:r w:rsidRPr="4A0C8870">
        <w:t>Committee</w:t>
      </w:r>
      <w:r w:rsidRPr="3343BFCA">
        <w:t xml:space="preserve"> </w:t>
      </w:r>
      <w:r w:rsidR="00C6132B" w:rsidRPr="00DC0051">
        <w:t>Member remuneration:</w:t>
      </w:r>
    </w:p>
    <w:p w14:paraId="01D2415C" w14:textId="0B8CA26A" w:rsidR="4A0C8870" w:rsidRDefault="000958F8" w:rsidP="4A0C8870">
      <w:pPr>
        <w:rPr>
          <w:rFonts w:cs="Open Sans"/>
        </w:rPr>
      </w:pPr>
      <w:r w:rsidRPr="00DC0051">
        <w:rPr>
          <w:rFonts w:cs="Open Sans"/>
        </w:rPr>
        <w:t>Ms Clare Bower was re</w:t>
      </w:r>
      <w:r w:rsidR="00E77550" w:rsidRPr="00DC0051">
        <w:rPr>
          <w:rFonts w:cs="Open Sans"/>
        </w:rPr>
        <w:t>mun</w:t>
      </w:r>
      <w:r w:rsidRPr="00DC0051">
        <w:rPr>
          <w:rFonts w:cs="Open Sans"/>
        </w:rPr>
        <w:t xml:space="preserve">erated $11,000 </w:t>
      </w:r>
      <w:r w:rsidR="00BC5431" w:rsidRPr="00DC0051">
        <w:rPr>
          <w:rFonts w:cs="Open Sans"/>
        </w:rPr>
        <w:t>in the 2022</w:t>
      </w:r>
      <w:r w:rsidR="00994986" w:rsidRPr="00DC0051">
        <w:rPr>
          <w:rFonts w:cs="Open Sans"/>
        </w:rPr>
        <w:t>–</w:t>
      </w:r>
      <w:r w:rsidR="00BC5431" w:rsidRPr="00DC0051">
        <w:rPr>
          <w:rFonts w:cs="Open Sans"/>
        </w:rPr>
        <w:t xml:space="preserve">23 period. Please note this includes </w:t>
      </w:r>
      <w:r w:rsidR="0045349B" w:rsidRPr="00DC0051">
        <w:rPr>
          <w:rFonts w:cs="Open Sans"/>
        </w:rPr>
        <w:t xml:space="preserve">$5,000 </w:t>
      </w:r>
      <w:r w:rsidR="001450F1" w:rsidRPr="00DC0051">
        <w:rPr>
          <w:rFonts w:cs="Open Sans"/>
        </w:rPr>
        <w:t>invoice for the 2021</w:t>
      </w:r>
      <w:r w:rsidR="00994986" w:rsidRPr="00DC0051">
        <w:rPr>
          <w:rFonts w:cs="Open Sans"/>
        </w:rPr>
        <w:t>–</w:t>
      </w:r>
      <w:r w:rsidR="001450F1" w:rsidRPr="00DC0051">
        <w:rPr>
          <w:rFonts w:cs="Open Sans"/>
        </w:rPr>
        <w:t xml:space="preserve">22 </w:t>
      </w:r>
      <w:r w:rsidR="0052409C" w:rsidRPr="00DC0051">
        <w:rPr>
          <w:rFonts w:cs="Open Sans"/>
        </w:rPr>
        <w:t>period that was invoiced and paid in the 2022</w:t>
      </w:r>
      <w:r w:rsidR="00E77550" w:rsidRPr="00DC0051">
        <w:rPr>
          <w:rFonts w:cs="Open Sans"/>
        </w:rPr>
        <w:t>–</w:t>
      </w:r>
      <w:r w:rsidR="0052409C" w:rsidRPr="00DC0051">
        <w:rPr>
          <w:rFonts w:cs="Open Sans"/>
        </w:rPr>
        <w:t>23 period.</w:t>
      </w:r>
    </w:p>
    <w:p w14:paraId="093BC23C" w14:textId="411E6EE3" w:rsidR="326A36A9" w:rsidRDefault="326A36A9" w:rsidP="7A61FFA5">
      <w:pPr>
        <w:rPr>
          <w:rFonts w:cs="Open Sans"/>
        </w:rPr>
      </w:pPr>
      <w:r w:rsidRPr="7A61FFA5">
        <w:rPr>
          <w:rFonts w:cs="Open Sans"/>
        </w:rPr>
        <w:t>No other Committee member received rem</w:t>
      </w:r>
      <w:r w:rsidR="00C2191C">
        <w:rPr>
          <w:rFonts w:cs="Open Sans"/>
        </w:rPr>
        <w:t>un</w:t>
      </w:r>
      <w:r w:rsidRPr="7A61FFA5">
        <w:rPr>
          <w:rFonts w:cs="Open Sans"/>
        </w:rPr>
        <w:t>eration</w:t>
      </w:r>
      <w:r w:rsidR="00BA3E06">
        <w:rPr>
          <w:rFonts w:cs="Open Sans"/>
        </w:rPr>
        <w:t xml:space="preserve"> this reporting period</w:t>
      </w:r>
      <w:r w:rsidRPr="7A61FFA5">
        <w:rPr>
          <w:rFonts w:cs="Open Sans"/>
        </w:rPr>
        <w:t>.</w:t>
      </w:r>
    </w:p>
    <w:p w14:paraId="43077796" w14:textId="737EC1D3" w:rsidR="00532FF0" w:rsidRDefault="00532FF0">
      <w:pPr>
        <w:spacing w:after="0" w:line="240" w:lineRule="auto"/>
        <w:rPr>
          <w:rFonts w:cs="Open Sans"/>
        </w:rPr>
      </w:pPr>
      <w:r>
        <w:rPr>
          <w:rFonts w:cs="Open Sans"/>
        </w:rPr>
        <w:br w:type="page"/>
      </w:r>
    </w:p>
    <w:p w14:paraId="0218E64B" w14:textId="0AF65146" w:rsidR="00CA1377" w:rsidRPr="00DC0051" w:rsidRDefault="00CA1377" w:rsidP="00532FF0">
      <w:pPr>
        <w:pStyle w:val="Heading1"/>
      </w:pPr>
      <w:bookmarkStart w:id="12" w:name="_Toc146437034"/>
      <w:r w:rsidRPr="00DC0051">
        <w:lastRenderedPageBreak/>
        <w:t>Our Legislation and Functions</w:t>
      </w:r>
      <w:bookmarkEnd w:id="12"/>
    </w:p>
    <w:p w14:paraId="727B1CA8" w14:textId="7A97D279" w:rsidR="00CA1377" w:rsidRPr="00DC0051" w:rsidRDefault="3A154272" w:rsidP="00532FF0">
      <w:pPr>
        <w:pStyle w:val="Heading2"/>
      </w:pPr>
      <w:bookmarkStart w:id="13" w:name="_Toc146437035"/>
      <w:r w:rsidRPr="65A2CAB5">
        <w:t>Legislation</w:t>
      </w:r>
      <w:bookmarkEnd w:id="13"/>
    </w:p>
    <w:p w14:paraId="792977F9" w14:textId="7B28A53F" w:rsidR="00DD2C58" w:rsidRPr="00BD37BA" w:rsidRDefault="00DD2C58" w:rsidP="2B7E055E">
      <w:pPr>
        <w:spacing w:before="240" w:after="240"/>
        <w:rPr>
          <w:rFonts w:eastAsia="Open Sans"/>
        </w:rPr>
      </w:pPr>
      <w:r w:rsidRPr="00BD37BA">
        <w:rPr>
          <w:rFonts w:eastAsia="Open Sans"/>
        </w:rPr>
        <w:t xml:space="preserve">We are a body corporate established by the </w:t>
      </w:r>
      <w:r w:rsidRPr="00437C60">
        <w:rPr>
          <w:rStyle w:val="Emphasis"/>
          <w:rFonts w:eastAsia="Open Sans"/>
        </w:rPr>
        <w:t xml:space="preserve">Australian Human Rights Commission Act 1986 </w:t>
      </w:r>
      <w:r w:rsidRPr="00BD37BA">
        <w:rPr>
          <w:rFonts w:eastAsia="Open Sans"/>
        </w:rPr>
        <w:t>(Cth)</w:t>
      </w:r>
      <w:r w:rsidR="00866944" w:rsidRPr="00BD37BA">
        <w:rPr>
          <w:rFonts w:eastAsia="Open Sans"/>
        </w:rPr>
        <w:t xml:space="preserve"> (AHRC Act)</w:t>
      </w:r>
      <w:r w:rsidR="00616A04" w:rsidRPr="00BD37BA">
        <w:rPr>
          <w:rFonts w:eastAsia="Open Sans"/>
        </w:rPr>
        <w:t xml:space="preserve">. </w:t>
      </w:r>
      <w:r w:rsidR="00D432EB" w:rsidRPr="00BD37BA">
        <w:rPr>
          <w:rFonts w:eastAsia="Open Sans"/>
        </w:rPr>
        <w:t xml:space="preserve">As </w:t>
      </w:r>
      <w:r w:rsidR="008B0D77" w:rsidRPr="00BD37BA">
        <w:rPr>
          <w:rFonts w:eastAsia="Open Sans"/>
        </w:rPr>
        <w:t xml:space="preserve">such, under the </w:t>
      </w:r>
      <w:r w:rsidR="008B0D77" w:rsidRPr="00437C60">
        <w:rPr>
          <w:rStyle w:val="Emphasis"/>
          <w:rFonts w:eastAsia="Open Sans"/>
        </w:rPr>
        <w:t xml:space="preserve">Public Governance, Performance and Accountability Act 2013 </w:t>
      </w:r>
      <w:r w:rsidR="008B0D77" w:rsidRPr="00BD37BA">
        <w:rPr>
          <w:rFonts w:eastAsia="Open Sans"/>
        </w:rPr>
        <w:t xml:space="preserve">(Cth), we are </w:t>
      </w:r>
      <w:r w:rsidR="00795A32" w:rsidRPr="00BD37BA">
        <w:rPr>
          <w:rFonts w:eastAsia="Open Sans"/>
        </w:rPr>
        <w:t>a Corporate Commonwealth Entity</w:t>
      </w:r>
      <w:r w:rsidR="008B0D77" w:rsidRPr="00BD37BA">
        <w:rPr>
          <w:rFonts w:eastAsia="Open Sans"/>
        </w:rPr>
        <w:t>.</w:t>
      </w:r>
    </w:p>
    <w:p w14:paraId="5EA8FFD5" w14:textId="131DCD1C" w:rsidR="00A9608F" w:rsidRDefault="00866944" w:rsidP="2B7E055E">
      <w:pPr>
        <w:spacing w:before="240" w:after="240"/>
        <w:rPr>
          <w:rFonts w:eastAsia="Open Sans" w:cs="Open Sans"/>
          <w:color w:val="000000" w:themeColor="text1"/>
        </w:rPr>
      </w:pPr>
      <w:r>
        <w:rPr>
          <w:rFonts w:eastAsia="Open Sans" w:cs="Open Sans"/>
          <w:color w:val="000000" w:themeColor="text1"/>
        </w:rPr>
        <w:t xml:space="preserve">It is our duty under our establishing legislation, the AHRC Act, to ensure that our statutory functions are performed efficiently and with the greatest possible benefit to the people of Australia with regard for the indivisibility and universality of human rights, and the principle that every person is free and equal in dignity and rights. </w:t>
      </w:r>
    </w:p>
    <w:p w14:paraId="3D8591E2" w14:textId="0216F1D9" w:rsidR="00CA1377" w:rsidRPr="00DC0051" w:rsidRDefault="25E330A2" w:rsidP="140F7C3C">
      <w:pPr>
        <w:spacing w:before="240" w:after="240"/>
        <w:rPr>
          <w:rFonts w:cs="Open Sans"/>
        </w:rPr>
      </w:pPr>
      <w:r w:rsidRPr="140F7C3C">
        <w:rPr>
          <w:rFonts w:eastAsia="Open Sans" w:cs="Open Sans"/>
        </w:rPr>
        <w:t xml:space="preserve">The </w:t>
      </w:r>
      <w:r w:rsidR="3C84A744" w:rsidRPr="140F7C3C">
        <w:rPr>
          <w:rFonts w:cs="Open Sans"/>
        </w:rPr>
        <w:t>AHRC Act</w:t>
      </w:r>
      <w:r w:rsidR="00CA1377" w:rsidRPr="00DC0051">
        <w:rPr>
          <w:rFonts w:cs="Open Sans"/>
        </w:rPr>
        <w:t xml:space="preserve"> defines ‘human rights’ by reference to the following international instruments:</w:t>
      </w:r>
    </w:p>
    <w:p w14:paraId="483A5C19" w14:textId="77777777" w:rsidR="00CA1377" w:rsidRPr="00532FF0" w:rsidRDefault="00CA1377" w:rsidP="00532FF0">
      <w:pPr>
        <w:pStyle w:val="ListBullet"/>
      </w:pPr>
      <w:r w:rsidRPr="00532FF0">
        <w:t>International Covenant on Civil and Political Rights</w:t>
      </w:r>
    </w:p>
    <w:p w14:paraId="01EC127D" w14:textId="77777777" w:rsidR="00CA1377" w:rsidRPr="00532FF0" w:rsidRDefault="00CA1377" w:rsidP="00532FF0">
      <w:pPr>
        <w:pStyle w:val="ListBullet"/>
      </w:pPr>
      <w:r w:rsidRPr="00532FF0">
        <w:t>Convention on the Rights of the Child</w:t>
      </w:r>
    </w:p>
    <w:p w14:paraId="588DEBFF" w14:textId="77777777" w:rsidR="00CA1377" w:rsidRPr="00532FF0" w:rsidRDefault="00CA1377" w:rsidP="00532FF0">
      <w:pPr>
        <w:pStyle w:val="ListBullet"/>
      </w:pPr>
      <w:r w:rsidRPr="00532FF0">
        <w:t>Declaration of the Rights of the Child</w:t>
      </w:r>
    </w:p>
    <w:p w14:paraId="57A38462" w14:textId="77777777" w:rsidR="00CA1377" w:rsidRPr="00532FF0" w:rsidRDefault="00CA1377" w:rsidP="00532FF0">
      <w:pPr>
        <w:pStyle w:val="ListBullet"/>
      </w:pPr>
      <w:r w:rsidRPr="00532FF0">
        <w:t>Convention on the Rights of Persons with Disabilities</w:t>
      </w:r>
    </w:p>
    <w:p w14:paraId="371A7FEA" w14:textId="77777777" w:rsidR="00CA1377" w:rsidRPr="00532FF0" w:rsidRDefault="00CA1377" w:rsidP="00532FF0">
      <w:pPr>
        <w:pStyle w:val="ListBullet"/>
      </w:pPr>
      <w:r w:rsidRPr="00532FF0">
        <w:t>Declaration on the Rights of Disabled Persons</w:t>
      </w:r>
    </w:p>
    <w:p w14:paraId="0EAA0575" w14:textId="77777777" w:rsidR="00CA1377" w:rsidRPr="00532FF0" w:rsidRDefault="00CA1377" w:rsidP="00532FF0">
      <w:pPr>
        <w:pStyle w:val="ListBullet"/>
      </w:pPr>
      <w:r w:rsidRPr="00532FF0">
        <w:t>Declaration on the Rights of Mentally Retarded Persons</w:t>
      </w:r>
    </w:p>
    <w:p w14:paraId="2BA01DFD" w14:textId="77777777" w:rsidR="00CA1377" w:rsidRPr="00532FF0" w:rsidRDefault="00CA1377" w:rsidP="00532FF0">
      <w:pPr>
        <w:pStyle w:val="ListBullet"/>
      </w:pPr>
      <w:r w:rsidRPr="00532FF0">
        <w:t>Declaration on the Elimination of All Forms of Intolerance and of Discrimination Based on Religion or Belief</w:t>
      </w:r>
    </w:p>
    <w:p w14:paraId="49A55343" w14:textId="14B87E91" w:rsidR="007A6A69" w:rsidRDefault="00CA1377" w:rsidP="007A6A69">
      <w:pPr>
        <w:pStyle w:val="ListBullet"/>
      </w:pPr>
      <w:r w:rsidRPr="00532FF0">
        <w:t>Convention Concerning Discrimination in Respect of Employment and Occupation</w:t>
      </w:r>
    </w:p>
    <w:p w14:paraId="1075DA93" w14:textId="4D13ED84" w:rsidR="005E7A14" w:rsidRDefault="005E7A14">
      <w:pPr>
        <w:spacing w:before="0" w:after="0" w:line="240" w:lineRule="auto"/>
      </w:pPr>
      <w:r>
        <w:br w:type="page"/>
      </w:r>
    </w:p>
    <w:p w14:paraId="3179D22B" w14:textId="4C2441C8" w:rsidR="00866944" w:rsidRPr="00DC0051" w:rsidRDefault="00866944" w:rsidP="00532FF0">
      <w:pPr>
        <w:pStyle w:val="Heading2"/>
      </w:pPr>
      <w:bookmarkStart w:id="14" w:name="_Toc146437036"/>
      <w:r>
        <w:lastRenderedPageBreak/>
        <w:t>Functions</w:t>
      </w:r>
      <w:bookmarkEnd w:id="14"/>
    </w:p>
    <w:p w14:paraId="28B6DD61" w14:textId="25FC7DF5" w:rsidR="00CA1377" w:rsidRPr="00DC0051" w:rsidRDefault="550C3A02" w:rsidP="00532FF0">
      <w:r w:rsidRPr="65A2CAB5">
        <w:t xml:space="preserve">The </w:t>
      </w:r>
      <w:r w:rsidR="3A154272" w:rsidRPr="65A2CAB5">
        <w:t>Commission</w:t>
      </w:r>
      <w:r w:rsidRPr="65A2CAB5">
        <w:t>’s</w:t>
      </w:r>
      <w:r w:rsidR="3A154272" w:rsidRPr="65A2CAB5">
        <w:t xml:space="preserve"> functions under the AHRC Act include:</w:t>
      </w:r>
    </w:p>
    <w:p w14:paraId="0A57A124" w14:textId="77777777" w:rsidR="00CA1377" w:rsidRPr="00AB53F2" w:rsidRDefault="00CA1377" w:rsidP="00AB53F2">
      <w:pPr>
        <w:pStyle w:val="ListBullet"/>
      </w:pPr>
      <w:r w:rsidRPr="00AB53F2">
        <w:t>to inquire into, and attempt to conciliate, complaints of unlawful discrimination</w:t>
      </w:r>
    </w:p>
    <w:p w14:paraId="5ECD9FD1" w14:textId="77777777" w:rsidR="00CA1377" w:rsidRPr="00AB53F2" w:rsidRDefault="00CA1377" w:rsidP="00AB53F2">
      <w:pPr>
        <w:pStyle w:val="ListBullet"/>
      </w:pPr>
      <w:r w:rsidRPr="00AB53F2">
        <w:t>inquire into any act or practice that may be inconsistent with or contrary to any human right, and to give effect to settlement of such matters by way of conciliation where the Commission considers it appropriate to do so</w:t>
      </w:r>
    </w:p>
    <w:p w14:paraId="1179088B" w14:textId="77777777" w:rsidR="00CA1377" w:rsidRPr="00AB53F2" w:rsidRDefault="00CA1377" w:rsidP="00AB53F2">
      <w:pPr>
        <w:pStyle w:val="ListBullet"/>
      </w:pPr>
      <w:r w:rsidRPr="00AB53F2">
        <w:t>to deal with complaints made to the Commission under the AHRC Act</w:t>
      </w:r>
    </w:p>
    <w:p w14:paraId="6B497A62" w14:textId="77777777" w:rsidR="00CA1377" w:rsidRPr="00AB53F2" w:rsidRDefault="00CA1377" w:rsidP="00AB53F2">
      <w:pPr>
        <w:pStyle w:val="ListBullet"/>
      </w:pPr>
      <w:r w:rsidRPr="00AB53F2">
        <w:t>to promote an understanding and acceptance, and the public discussion, of human rights in Australia</w:t>
      </w:r>
    </w:p>
    <w:p w14:paraId="7CE90326" w14:textId="77777777" w:rsidR="00CA1377" w:rsidRPr="00AB53F2" w:rsidRDefault="00CA1377" w:rsidP="00AB53F2">
      <w:pPr>
        <w:pStyle w:val="ListBullet"/>
      </w:pPr>
      <w:r w:rsidRPr="00AB53F2">
        <w:t>to undertake and coordinate research and educational programs on behalf of the Commonwealth to promote human rights</w:t>
      </w:r>
    </w:p>
    <w:p w14:paraId="122ACB42" w14:textId="77777777" w:rsidR="00CA1377" w:rsidRPr="00AB53F2" w:rsidRDefault="00CA1377" w:rsidP="00AB53F2">
      <w:pPr>
        <w:pStyle w:val="ListBullet"/>
      </w:pPr>
      <w:r w:rsidRPr="00AB53F2">
        <w:t>to report to the Minister as to the laws that should be made by the Parliament, or action that should be taken by the Commonwealth, on matters relating to human rights</w:t>
      </w:r>
    </w:p>
    <w:p w14:paraId="0EC45F99" w14:textId="77777777" w:rsidR="00CA1377" w:rsidRPr="00AB53F2" w:rsidRDefault="00CA1377" w:rsidP="00AB53F2">
      <w:pPr>
        <w:pStyle w:val="ListBullet"/>
      </w:pPr>
      <w:r w:rsidRPr="00AB53F2">
        <w:t>examine enactments, proposed enactments and or international instruments for determining consistency with human rights and international instruments</w:t>
      </w:r>
    </w:p>
    <w:p w14:paraId="1E942209" w14:textId="5F16F2D6" w:rsidR="00CA1377" w:rsidRPr="00AB53F2" w:rsidRDefault="00CA1377" w:rsidP="00AB53F2">
      <w:pPr>
        <w:pStyle w:val="ListBullet"/>
      </w:pPr>
      <w:r w:rsidRPr="00AB53F2">
        <w:t>to prepare</w:t>
      </w:r>
      <w:r w:rsidR="00494812" w:rsidRPr="00AB53F2">
        <w:t>,</w:t>
      </w:r>
      <w:r w:rsidRPr="00AB53F2">
        <w:t xml:space="preserve"> and </w:t>
      </w:r>
      <w:r w:rsidR="00494812" w:rsidRPr="00AB53F2">
        <w:t xml:space="preserve">to </w:t>
      </w:r>
      <w:r w:rsidRPr="00AB53F2">
        <w:t>publish guidelines for the avoidance of acts or practices of a kind in respect of which the Commission has a function</w:t>
      </w:r>
    </w:p>
    <w:p w14:paraId="33EA889D" w14:textId="77777777" w:rsidR="00CA1377" w:rsidRPr="00AB53F2" w:rsidRDefault="00CA1377" w:rsidP="00AB53F2">
      <w:pPr>
        <w:pStyle w:val="ListBullet"/>
      </w:pPr>
      <w:r w:rsidRPr="00AB53F2">
        <w:t>where the Commission considers it appropriate to do so, with the leave of the court hearing the proceedings and subject to any conditions imposed by the court, to intervene in proceedings that involve human rights issues</w:t>
      </w:r>
    </w:p>
    <w:p w14:paraId="2263E53E" w14:textId="0687C06C" w:rsidR="007A6A69" w:rsidRPr="00AB53F2" w:rsidRDefault="00CA1377" w:rsidP="007A6A69">
      <w:pPr>
        <w:pStyle w:val="ListBullet"/>
      </w:pPr>
      <w:r w:rsidRPr="00AB53F2">
        <w:t xml:space="preserve">the functions conferred on the Commission by the various </w:t>
      </w:r>
      <w:r w:rsidR="00385F41" w:rsidRPr="00AB53F2">
        <w:t>Commonwealth</w:t>
      </w:r>
      <w:r w:rsidRPr="00AB53F2">
        <w:t xml:space="preserve"> Acts concerning discrimination, as set out below.</w:t>
      </w:r>
    </w:p>
    <w:p w14:paraId="703110FA" w14:textId="1A4D19AA" w:rsidR="00CA1377" w:rsidRPr="00DC0051" w:rsidRDefault="3C84A744" w:rsidP="005E7A14">
      <w:pPr>
        <w:pStyle w:val="Heading5"/>
      </w:pPr>
      <w:r w:rsidRPr="008A3281">
        <w:rPr>
          <w:rStyle w:val="Emphasis"/>
        </w:rPr>
        <w:t>Racial Discrimination Act 1975</w:t>
      </w:r>
      <w:r w:rsidRPr="00DC0051">
        <w:t xml:space="preserve"> (Cth) (</w:t>
      </w:r>
      <w:r w:rsidRPr="004F272B">
        <w:t>RDA</w:t>
      </w:r>
      <w:r w:rsidRPr="00DC0051">
        <w:t>)</w:t>
      </w:r>
    </w:p>
    <w:p w14:paraId="25654C6B" w14:textId="7E49D87C" w:rsidR="00CA1377" w:rsidRPr="00437C60" w:rsidRDefault="4A8D8FF2" w:rsidP="00CA1377">
      <w:r w:rsidRPr="18928D08">
        <w:rPr>
          <w:rFonts w:cs="Open Sans"/>
        </w:rPr>
        <w:t xml:space="preserve">The RDA </w:t>
      </w:r>
      <w:r w:rsidR="731D8EF0" w:rsidRPr="30F7260F">
        <w:rPr>
          <w:rFonts w:cs="Open Sans"/>
        </w:rPr>
        <w:t>g</w:t>
      </w:r>
      <w:r w:rsidR="00CA1377" w:rsidRPr="30F7260F">
        <w:rPr>
          <w:rFonts w:cs="Open Sans"/>
        </w:rPr>
        <w:t>ives</w:t>
      </w:r>
      <w:r w:rsidR="00CA1377" w:rsidRPr="00DC0051">
        <w:rPr>
          <w:rFonts w:cs="Open Sans"/>
        </w:rPr>
        <w:t xml:space="preserve"> effect to Australia’s obligations under the </w:t>
      </w:r>
      <w:r w:rsidR="00CA1377" w:rsidRPr="00437C60">
        <w:rPr>
          <w:rStyle w:val="Emphasis"/>
        </w:rPr>
        <w:t>International Convention on the Elimination of All Forms of Racial Discrimination</w:t>
      </w:r>
      <w:r w:rsidR="00385F41" w:rsidRPr="00437C60">
        <w:rPr>
          <w:rStyle w:val="Emphasis"/>
        </w:rPr>
        <w:t xml:space="preserve"> </w:t>
      </w:r>
      <w:r w:rsidR="00D30651" w:rsidRPr="140F7C3C">
        <w:rPr>
          <w:rFonts w:cs="Open Sans"/>
        </w:rPr>
        <w:t>in Australia</w:t>
      </w:r>
      <w:r w:rsidR="00CA1377" w:rsidRPr="140F7C3C">
        <w:rPr>
          <w:rFonts w:cs="Open Sans"/>
        </w:rPr>
        <w:t>.</w:t>
      </w:r>
      <w:r w:rsidR="00D30651">
        <w:rPr>
          <w:rFonts w:cs="Open Sans"/>
        </w:rPr>
        <w:t xml:space="preserve"> It seeks to: </w:t>
      </w:r>
    </w:p>
    <w:p w14:paraId="17136696" w14:textId="1C193595" w:rsidR="00CA1377" w:rsidRPr="00DC0051" w:rsidRDefault="00CA1377" w:rsidP="00BD37BA">
      <w:pPr>
        <w:pStyle w:val="ListBullet"/>
      </w:pPr>
      <w:r w:rsidRPr="00DC0051">
        <w:t>promote equality before the law for all persons, regardless of their race, colour, descent or national or ethnic origin</w:t>
      </w:r>
    </w:p>
    <w:p w14:paraId="5E534735" w14:textId="77777777" w:rsidR="00CA1377" w:rsidRPr="00DC0051" w:rsidRDefault="00CA1377" w:rsidP="00BD37BA">
      <w:pPr>
        <w:pStyle w:val="ListBullet"/>
      </w:pPr>
      <w:r w:rsidRPr="00DC0051">
        <w:t>make discrimination on the basis of race, colour, descent or national or ethnic origin unlawful</w:t>
      </w:r>
    </w:p>
    <w:p w14:paraId="0BBEC632" w14:textId="15C4AB63" w:rsidR="00CA1377" w:rsidRPr="007A6A69" w:rsidRDefault="00CA1377" w:rsidP="00BD37BA">
      <w:pPr>
        <w:pStyle w:val="ListBullet"/>
      </w:pPr>
      <w:r w:rsidRPr="00DC0051">
        <w:t>provide protection against racial hatred.</w:t>
      </w:r>
    </w:p>
    <w:p w14:paraId="30C625DC" w14:textId="1BE4317B" w:rsidR="00CA1377" w:rsidRPr="00DC0051" w:rsidRDefault="00012FE1" w:rsidP="007A6A69">
      <w:pPr>
        <w:rPr>
          <w:rFonts w:cs="Open Sans"/>
        </w:rPr>
      </w:pPr>
      <w:r>
        <w:rPr>
          <w:rFonts w:cs="Open Sans"/>
        </w:rPr>
        <w:lastRenderedPageBreak/>
        <w:t xml:space="preserve">The </w:t>
      </w:r>
      <w:r w:rsidR="00CA1377" w:rsidRPr="00DC0051">
        <w:rPr>
          <w:rFonts w:cs="Open Sans"/>
        </w:rPr>
        <w:t>Commission</w:t>
      </w:r>
      <w:r>
        <w:rPr>
          <w:rFonts w:cs="Open Sans"/>
        </w:rPr>
        <w:t>’s</w:t>
      </w:r>
      <w:r w:rsidR="00CA1377" w:rsidRPr="00DC0051">
        <w:rPr>
          <w:rFonts w:cs="Open Sans"/>
        </w:rPr>
        <w:t xml:space="preserve"> functions under the RDA include:</w:t>
      </w:r>
    </w:p>
    <w:p w14:paraId="3CA73D84" w14:textId="77777777" w:rsidR="00CA1377" w:rsidRPr="00BD37BA" w:rsidRDefault="00CA1377" w:rsidP="00BD37BA">
      <w:pPr>
        <w:pStyle w:val="ListBullet"/>
      </w:pPr>
      <w:r w:rsidRPr="00BD37BA">
        <w:t>to promote an understanding and acceptance of, and compliance with the RDA</w:t>
      </w:r>
    </w:p>
    <w:p w14:paraId="76EFCD90" w14:textId="77777777" w:rsidR="00CA1377" w:rsidRPr="00BD37BA" w:rsidRDefault="00CA1377" w:rsidP="00BD37BA">
      <w:pPr>
        <w:pStyle w:val="ListBullet"/>
      </w:pPr>
      <w:r w:rsidRPr="00BD37BA">
        <w:t>to develop, conduct and foster research and educational programs for the purposes of combatting racial discrimination and prejudices that lead to racial discrimination, to promote understanding, tolerance, and friendship among racial and ethnic groups, and to propagate the purposes and principles of the relevant Convention</w:t>
      </w:r>
    </w:p>
    <w:p w14:paraId="68ADFAA1" w14:textId="77777777" w:rsidR="00CA1377" w:rsidRPr="00BD37BA" w:rsidRDefault="00CA1377" w:rsidP="00BD37BA">
      <w:pPr>
        <w:pStyle w:val="ListBullet"/>
      </w:pPr>
      <w:r w:rsidRPr="00BD37BA">
        <w:t>to prepare, and to publish in such manner as the Commission considers appropriate, guidelines for the avoidance of infringements within the Act</w:t>
      </w:r>
    </w:p>
    <w:p w14:paraId="7574F349" w14:textId="3BCF8827" w:rsidR="00CA1377" w:rsidRPr="00BD37BA" w:rsidRDefault="00CA1377" w:rsidP="00BD37BA">
      <w:pPr>
        <w:pStyle w:val="ListBullet"/>
      </w:pPr>
      <w:r w:rsidRPr="00BD37BA">
        <w:t>where the Commission considers it appropriate to do so, with the leave of the court hearing the proceedings, and subject to any conditions imposed by the court, to intervene in proceedings that involve racial discrimination issues</w:t>
      </w:r>
      <w:r w:rsidR="001C4BF5" w:rsidRPr="00BD37BA">
        <w:t>, and</w:t>
      </w:r>
    </w:p>
    <w:p w14:paraId="22A640F1" w14:textId="77777777" w:rsidR="00CA1377" w:rsidRPr="00BD37BA" w:rsidRDefault="00CA1377" w:rsidP="00BD37BA">
      <w:pPr>
        <w:pStyle w:val="ListBullet"/>
      </w:pPr>
      <w:r w:rsidRPr="00BD37BA">
        <w:t>to inquire into, and make determinations, on matters referred to it by the Race Discrimination Commissioner or the Minister.</w:t>
      </w:r>
    </w:p>
    <w:p w14:paraId="5F16161F" w14:textId="03588CA3" w:rsidR="00CA1377" w:rsidRPr="001D6D43" w:rsidRDefault="00CA1377" w:rsidP="005E7A14">
      <w:pPr>
        <w:pStyle w:val="Heading5"/>
        <w:rPr>
          <w:bCs/>
        </w:rPr>
      </w:pPr>
      <w:r w:rsidRPr="008A3281">
        <w:rPr>
          <w:rStyle w:val="Emphasis"/>
        </w:rPr>
        <w:t>Sex Discrimination Act 1984</w:t>
      </w:r>
      <w:r w:rsidRPr="001D6D43">
        <w:t xml:space="preserve"> (Cth)</w:t>
      </w:r>
      <w:r>
        <w:t xml:space="preserve"> (SDA)</w:t>
      </w:r>
    </w:p>
    <w:p w14:paraId="6D5B826B" w14:textId="0745BF55" w:rsidR="00CA1377" w:rsidRPr="00D30651" w:rsidRDefault="00D30651" w:rsidP="00CA1377">
      <w:pPr>
        <w:rPr>
          <w:rFonts w:eastAsia="Open Sans" w:cs="Open Sans"/>
        </w:rPr>
      </w:pPr>
      <w:r>
        <w:rPr>
          <w:rFonts w:eastAsia="Open Sans" w:cs="Open Sans"/>
        </w:rPr>
        <w:t xml:space="preserve">The SDA </w:t>
      </w:r>
      <w:r w:rsidRPr="140F7C3C">
        <w:rPr>
          <w:rFonts w:eastAsia="Open Sans" w:cs="Open Sans"/>
        </w:rPr>
        <w:t>g</w:t>
      </w:r>
      <w:r w:rsidR="00CA1377" w:rsidRPr="140F7C3C">
        <w:rPr>
          <w:rFonts w:eastAsia="Open Sans" w:cs="Open Sans"/>
        </w:rPr>
        <w:t xml:space="preserve">ives effect to </w:t>
      </w:r>
      <w:r w:rsidR="00693062">
        <w:rPr>
          <w:rFonts w:eastAsia="Open Sans" w:cs="Open Sans"/>
        </w:rPr>
        <w:t>some of</w:t>
      </w:r>
      <w:r w:rsidR="00CA1377">
        <w:rPr>
          <w:rFonts w:eastAsia="Open Sans" w:cs="Open Sans"/>
        </w:rPr>
        <w:t xml:space="preserve"> </w:t>
      </w:r>
      <w:r w:rsidR="00CA1377" w:rsidRPr="140F7C3C">
        <w:rPr>
          <w:rFonts w:eastAsia="Open Sans" w:cs="Open Sans"/>
        </w:rPr>
        <w:t xml:space="preserve">Australia’s obligations under the </w:t>
      </w:r>
      <w:r w:rsidR="00CA1377" w:rsidRPr="00437C60">
        <w:rPr>
          <w:rStyle w:val="Emphasis"/>
          <w:rFonts w:eastAsia="Open Sans"/>
        </w:rPr>
        <w:t>Convention on the Elimination of All Forms of Discrimination Against Women</w:t>
      </w:r>
      <w:r w:rsidR="00CA1377" w:rsidRPr="140F7C3C">
        <w:rPr>
          <w:rFonts w:eastAsia="Open Sans" w:cs="Open Sans"/>
        </w:rPr>
        <w:t xml:space="preserve"> and other relevant international instruments including the </w:t>
      </w:r>
      <w:r w:rsidR="00CA1377" w:rsidRPr="00437C60">
        <w:rPr>
          <w:rStyle w:val="Emphasis"/>
          <w:rFonts w:eastAsia="Open Sans"/>
        </w:rPr>
        <w:t>International Covenant on Civil and Political Rights</w:t>
      </w:r>
      <w:r w:rsidRPr="00437C60">
        <w:rPr>
          <w:rStyle w:val="Emphasis"/>
          <w:rFonts w:eastAsia="Open Sans"/>
        </w:rPr>
        <w:t xml:space="preserve"> </w:t>
      </w:r>
      <w:r>
        <w:rPr>
          <w:rFonts w:eastAsia="Open Sans" w:cs="Open Sans"/>
          <w:iCs/>
        </w:rPr>
        <w:t>in Australia</w:t>
      </w:r>
      <w:r w:rsidR="004506A5" w:rsidRPr="140F7C3C">
        <w:rPr>
          <w:rFonts w:eastAsia="Open Sans" w:cs="Open Sans"/>
          <w:i/>
          <w:iCs/>
        </w:rPr>
        <w:t>,</w:t>
      </w:r>
      <w:r w:rsidR="004506A5">
        <w:rPr>
          <w:rFonts w:eastAsia="Open Sans" w:cs="Open Sans"/>
          <w:iCs/>
        </w:rPr>
        <w:t xml:space="preserve"> and further seeks to</w:t>
      </w:r>
      <w:r>
        <w:rPr>
          <w:rFonts w:eastAsia="Open Sans" w:cs="Open Sans"/>
          <w:iCs/>
        </w:rPr>
        <w:t xml:space="preserve">: </w:t>
      </w:r>
    </w:p>
    <w:p w14:paraId="2BF3569A" w14:textId="76700FDB" w:rsidR="00CA1377" w:rsidRPr="007A6A69" w:rsidRDefault="00CA1377" w:rsidP="007A6A69">
      <w:pPr>
        <w:pStyle w:val="ListBullet"/>
      </w:pPr>
      <w:r w:rsidRPr="007A6A69">
        <w:t>promote equality between men and women</w:t>
      </w:r>
    </w:p>
    <w:p w14:paraId="314E1B60" w14:textId="77777777" w:rsidR="00CA1377" w:rsidRPr="007A6A69" w:rsidRDefault="00CA1377" w:rsidP="007A6A69">
      <w:pPr>
        <w:pStyle w:val="ListBullet"/>
      </w:pPr>
      <w:r w:rsidRPr="007A6A69">
        <w:t>eliminate discrimination on the ground of sex, sexual orientation, gender identity, intersex status, marital or relationship status, pregnancy (or potential pregnancy) and breastfeeding in work, education, and other areas of public life</w:t>
      </w:r>
    </w:p>
    <w:p w14:paraId="1C7D0C04" w14:textId="5D802F2C" w:rsidR="00CA1377" w:rsidRPr="007A6A69" w:rsidRDefault="00CA1377" w:rsidP="007A6A69">
      <w:pPr>
        <w:pStyle w:val="ListBullet"/>
      </w:pPr>
      <w:r w:rsidRPr="007A6A69">
        <w:t>eliminate discrimination on the ground of family responsibilities in work</w:t>
      </w:r>
      <w:r w:rsidR="001C4BF5" w:rsidRPr="007A6A69">
        <w:t>, and</w:t>
      </w:r>
    </w:p>
    <w:p w14:paraId="6635782A" w14:textId="102F9067" w:rsidR="001710EC" w:rsidRDefault="00CA1377" w:rsidP="007A6A69">
      <w:pPr>
        <w:pStyle w:val="ListBullet"/>
      </w:pPr>
      <w:r w:rsidRPr="007A6A69">
        <w:t xml:space="preserve">eliminate sexual harassment in work, education, and other areas of public life. </w:t>
      </w:r>
    </w:p>
    <w:p w14:paraId="4704DD93" w14:textId="4D5237DA" w:rsidR="00CA1377" w:rsidRPr="00FF6811" w:rsidRDefault="17E672F5" w:rsidP="007A6A69">
      <w:r>
        <w:t xml:space="preserve">The </w:t>
      </w:r>
      <w:r w:rsidR="3A154272">
        <w:t>Commission</w:t>
      </w:r>
      <w:r>
        <w:t>’s</w:t>
      </w:r>
      <w:r w:rsidR="3A154272">
        <w:t xml:space="preserve"> functions under the SDA include:</w:t>
      </w:r>
    </w:p>
    <w:p w14:paraId="20B53D0D" w14:textId="1673E4DE" w:rsidR="00CA1377" w:rsidRPr="008A3281" w:rsidRDefault="00CA1377" w:rsidP="008A3281">
      <w:pPr>
        <w:pStyle w:val="ListBullet"/>
      </w:pPr>
      <w:r w:rsidRPr="008A3281">
        <w:t>to promote understanding and acceptance of, and compliance with, the SDA</w:t>
      </w:r>
    </w:p>
    <w:p w14:paraId="63F3DDBC" w14:textId="4311949B" w:rsidR="00CA1377" w:rsidRPr="008A3281" w:rsidRDefault="00CA1377" w:rsidP="008A3281">
      <w:pPr>
        <w:pStyle w:val="ListBullet"/>
      </w:pPr>
      <w:r w:rsidRPr="008A3281">
        <w:t>to undertake research and educational programs on behalf of the Commonwealth for the purpose of promoting the objects of the SDA</w:t>
      </w:r>
    </w:p>
    <w:p w14:paraId="1D8E501D" w14:textId="3BAC2D1B" w:rsidR="00CA1377" w:rsidRPr="008A3281" w:rsidRDefault="00CA1377" w:rsidP="008A3281">
      <w:pPr>
        <w:pStyle w:val="ListBullet"/>
      </w:pPr>
      <w:r w:rsidRPr="008A3281">
        <w:t>to examine enactments, and proposed enactments to ensure consistency with the SDA and its objects</w:t>
      </w:r>
    </w:p>
    <w:p w14:paraId="77A421B4" w14:textId="09EDC216" w:rsidR="00CA1377" w:rsidRPr="008A3281" w:rsidRDefault="00CA1377" w:rsidP="008A3281">
      <w:pPr>
        <w:pStyle w:val="ListBullet"/>
      </w:pPr>
      <w:r w:rsidRPr="008A3281">
        <w:t xml:space="preserve">to consider grant appropriate exemptions for compliance with the SDA </w:t>
      </w:r>
    </w:p>
    <w:p w14:paraId="6EADE6EE" w14:textId="234413E6" w:rsidR="00CA1377" w:rsidRPr="008A3281" w:rsidRDefault="00CA1377" w:rsidP="008A3281">
      <w:pPr>
        <w:pStyle w:val="ListBullet"/>
      </w:pPr>
      <w:r w:rsidRPr="008A3281">
        <w:t>to report to the Minister as to the laws that should be made by the Parliament, or action that should be taken by the Commonwealth, on matters relating to discrimination under the SDA</w:t>
      </w:r>
    </w:p>
    <w:p w14:paraId="20813212" w14:textId="1640401F" w:rsidR="00CA1377" w:rsidRPr="008A3281" w:rsidRDefault="00CA1377" w:rsidP="008A3281">
      <w:pPr>
        <w:pStyle w:val="ListBullet"/>
      </w:pPr>
      <w:r w:rsidRPr="008A3281">
        <w:t>to prepare, and to publish in such manner as the Commission considers appropriate, guidelines for the avoidance of discrimination identified under the SDA</w:t>
      </w:r>
      <w:r w:rsidR="001C4BF5" w:rsidRPr="008A3281">
        <w:t>, and</w:t>
      </w:r>
    </w:p>
    <w:p w14:paraId="176AAEE3" w14:textId="77777777" w:rsidR="00CA1377" w:rsidRPr="008A3281" w:rsidDel="004174FC" w:rsidRDefault="00CA1377" w:rsidP="008A3281">
      <w:pPr>
        <w:pStyle w:val="ListBullet"/>
      </w:pPr>
      <w:r w:rsidRPr="008A3281">
        <w:t>where the Commission considers it appropriate to do so, with the leave of the court hearing the proceedings and subject to any conditions imposed by the court, to intervene in proceedings that involve discrimination issues arising from the SDA.</w:t>
      </w:r>
    </w:p>
    <w:p w14:paraId="72C405D7" w14:textId="60880545" w:rsidR="00CA1377" w:rsidRPr="001D6D43" w:rsidRDefault="36A2664F" w:rsidP="005E7A14">
      <w:pPr>
        <w:pStyle w:val="Heading5"/>
      </w:pPr>
      <w:r w:rsidRPr="008A3281">
        <w:rPr>
          <w:rStyle w:val="Emphasis"/>
        </w:rPr>
        <w:t>Disability Discrimination Act 1992</w:t>
      </w:r>
      <w:r w:rsidRPr="65A2CAB5">
        <w:t xml:space="preserve"> (Cth) (DDA)</w:t>
      </w:r>
    </w:p>
    <w:p w14:paraId="6520FEF7" w14:textId="67D94EF4" w:rsidR="00CA1377" w:rsidRPr="007A6A69" w:rsidRDefault="3A154272" w:rsidP="007A6A69">
      <w:r w:rsidRPr="007A6A69">
        <w:t xml:space="preserve">The DDA </w:t>
      </w:r>
      <w:r w:rsidR="79394D8E" w:rsidRPr="007A6A69">
        <w:t xml:space="preserve">seeks </w:t>
      </w:r>
      <w:r w:rsidRPr="007A6A69">
        <w:t>to:</w:t>
      </w:r>
    </w:p>
    <w:p w14:paraId="3DE23F4B" w14:textId="77777777" w:rsidR="00CA1377" w:rsidRPr="008A3281" w:rsidRDefault="00CA1377" w:rsidP="008A3281">
      <w:pPr>
        <w:pStyle w:val="ListBullet"/>
      </w:pPr>
      <w:r w:rsidRPr="008A3281">
        <w:t>eliminate discrimination against people with disabilities as far as is possible</w:t>
      </w:r>
    </w:p>
    <w:p w14:paraId="2BA2F9DD" w14:textId="4861F4E7" w:rsidR="00CA1377" w:rsidRPr="008A3281" w:rsidRDefault="00CA1377" w:rsidP="008A3281">
      <w:pPr>
        <w:pStyle w:val="ListBullet"/>
      </w:pPr>
      <w:r w:rsidRPr="008A3281">
        <w:t>promote community acceptance of the principle that people with disabilities have the same fundamental rights as all members of the community</w:t>
      </w:r>
      <w:r w:rsidR="00BD134C" w:rsidRPr="008A3281">
        <w:t>, and</w:t>
      </w:r>
    </w:p>
    <w:p w14:paraId="2658500E" w14:textId="77777777" w:rsidR="00CA1377" w:rsidRPr="008A3281" w:rsidRDefault="00CA1377" w:rsidP="008A3281">
      <w:pPr>
        <w:pStyle w:val="ListBullet"/>
      </w:pPr>
      <w:r w:rsidRPr="008A3281">
        <w:t xml:space="preserve">ensure as far as practicable that people with disabilities have the same rights to equality before the law as other people in the community. </w:t>
      </w:r>
    </w:p>
    <w:p w14:paraId="2503E87A" w14:textId="67374B35" w:rsidR="00CA1377" w:rsidRDefault="2B7EE48F" w:rsidP="008A3281">
      <w:r>
        <w:t xml:space="preserve">The </w:t>
      </w:r>
      <w:r w:rsidR="3A154272">
        <w:t>Commission</w:t>
      </w:r>
      <w:r>
        <w:t>’s</w:t>
      </w:r>
      <w:r w:rsidR="3A154272">
        <w:t xml:space="preserve"> functions under the DDA include:</w:t>
      </w:r>
    </w:p>
    <w:p w14:paraId="21FA5D6C" w14:textId="46534A72" w:rsidR="00CA1377" w:rsidRPr="008A3281" w:rsidRDefault="00CA1377" w:rsidP="008A3281">
      <w:pPr>
        <w:pStyle w:val="ListBullet"/>
      </w:pPr>
      <w:r w:rsidRPr="008A3281">
        <w:t>to promote an understanding and acceptance of, and compliance with, the DDA</w:t>
      </w:r>
    </w:p>
    <w:p w14:paraId="1CDECE8E" w14:textId="4B4F0839" w:rsidR="00CA1377" w:rsidRPr="008A3281" w:rsidRDefault="00CA1377" w:rsidP="008A3281">
      <w:pPr>
        <w:pStyle w:val="ListBullet"/>
      </w:pPr>
      <w:r w:rsidRPr="008A3281">
        <w:t>to report to the Minister on matters relating to the development of disability standards</w:t>
      </w:r>
    </w:p>
    <w:p w14:paraId="2AA6DAA7" w14:textId="0D1287F6" w:rsidR="00CA1377" w:rsidRPr="008A3281" w:rsidRDefault="00CA1377" w:rsidP="008A3281">
      <w:pPr>
        <w:pStyle w:val="ListBullet"/>
      </w:pPr>
      <w:r w:rsidRPr="008A3281">
        <w:t>to monitor the operation of such standards and report to the Minister the results of such monitoring</w:t>
      </w:r>
    </w:p>
    <w:p w14:paraId="5E1F13EE" w14:textId="5771AF0C" w:rsidR="00CA1377" w:rsidRPr="008A3281" w:rsidRDefault="3A154272" w:rsidP="008A3281">
      <w:pPr>
        <w:pStyle w:val="ListBullet"/>
      </w:pPr>
      <w:r w:rsidRPr="008A3281">
        <w:t>to consider and grant exemptions fr</w:t>
      </w:r>
      <w:r w:rsidR="47884111" w:rsidRPr="008A3281">
        <w:t>om</w:t>
      </w:r>
      <w:r w:rsidRPr="008A3281">
        <w:t xml:space="preserve"> compliance with the DDA</w:t>
      </w:r>
    </w:p>
    <w:p w14:paraId="694C7470" w14:textId="785C8447" w:rsidR="00CA1377" w:rsidRPr="008A3281" w:rsidRDefault="00CA1377" w:rsidP="008A3281">
      <w:pPr>
        <w:pStyle w:val="ListBullet"/>
      </w:pPr>
      <w:r w:rsidRPr="008A3281">
        <w:t>to undertake research and educational programs, and other programs, on behalf of the Commonwealth for the purpose of promoting the objects of the DDA</w:t>
      </w:r>
    </w:p>
    <w:p w14:paraId="351BEADE" w14:textId="74D2452B" w:rsidR="00CA1377" w:rsidRPr="008A3281" w:rsidRDefault="00CA1377" w:rsidP="008A3281">
      <w:pPr>
        <w:pStyle w:val="ListBullet"/>
      </w:pPr>
      <w:r w:rsidRPr="008A3281">
        <w:t>to examine enactments, or proposed enactments, to determine compliance with the objects of the DDA</w:t>
      </w:r>
    </w:p>
    <w:p w14:paraId="0B0E1BFF" w14:textId="3F6FD703" w:rsidR="00CA1377" w:rsidRPr="008A3281" w:rsidRDefault="00CA1377" w:rsidP="008A3281">
      <w:pPr>
        <w:pStyle w:val="ListBullet"/>
      </w:pPr>
      <w:r w:rsidRPr="008A3281">
        <w:t>to report to the Minister as to the laws that should be made by the Parliament, or action that should be taken by the Commonwealth, on matters relating to discrimination under the DDA</w:t>
      </w:r>
    </w:p>
    <w:p w14:paraId="3754B4D8" w14:textId="389C0362" w:rsidR="00CA1377" w:rsidRPr="008A3281" w:rsidRDefault="00CA1377" w:rsidP="008A3281">
      <w:pPr>
        <w:pStyle w:val="ListBullet"/>
      </w:pPr>
      <w:r w:rsidRPr="008A3281">
        <w:t>to prepare, and to publish in such manner as the Commission considers appropriate, guidelines for the avoidance of discrimination on the ground of disability</w:t>
      </w:r>
      <w:r w:rsidR="00B97494" w:rsidRPr="008A3281">
        <w:t>, and</w:t>
      </w:r>
    </w:p>
    <w:p w14:paraId="47AA8694" w14:textId="77777777" w:rsidR="00CA1377" w:rsidRPr="008A3281" w:rsidRDefault="00CA1377" w:rsidP="008A3281">
      <w:pPr>
        <w:pStyle w:val="ListBullet"/>
      </w:pPr>
      <w:r w:rsidRPr="008A3281">
        <w:t>where the Commission considers it appropriate to do so, with the leave of the court hearing the proceedings and subject to any conditions imposed by the court, to intervene in proceedings that involve discrimination on the ground of disability.</w:t>
      </w:r>
    </w:p>
    <w:p w14:paraId="73F9B9DF" w14:textId="5982B255" w:rsidR="00CA1377" w:rsidRPr="001D6D43" w:rsidRDefault="36A2664F" w:rsidP="005E7A14">
      <w:pPr>
        <w:pStyle w:val="Heading5"/>
      </w:pPr>
      <w:r w:rsidRPr="008A3281">
        <w:rPr>
          <w:rStyle w:val="Emphasis"/>
        </w:rPr>
        <w:t>Age Discrimination Act 2004</w:t>
      </w:r>
      <w:r w:rsidRPr="65A2CAB5">
        <w:t xml:space="preserve"> (Cth) (ADA)</w:t>
      </w:r>
    </w:p>
    <w:p w14:paraId="4E5CA59C" w14:textId="55F9ECF6" w:rsidR="00CA1377" w:rsidRDefault="149C4783" w:rsidP="00CA1377">
      <w:pPr>
        <w:rPr>
          <w:rFonts w:eastAsia="Open Sans" w:cs="Open Sans"/>
        </w:rPr>
      </w:pPr>
      <w:r w:rsidRPr="65A2CAB5">
        <w:rPr>
          <w:rFonts w:eastAsia="Open Sans" w:cs="Open Sans"/>
        </w:rPr>
        <w:t xml:space="preserve">With regard to Australia’s international commitment to eliminate age discrimination, </w:t>
      </w:r>
      <w:r w:rsidR="3A154272" w:rsidRPr="65A2CAB5">
        <w:rPr>
          <w:rFonts w:eastAsia="Open Sans" w:cs="Open Sans"/>
        </w:rPr>
        <w:t xml:space="preserve">the ADA </w:t>
      </w:r>
      <w:r w:rsidR="2B7EE48F" w:rsidRPr="65A2CAB5">
        <w:rPr>
          <w:rFonts w:eastAsia="Open Sans" w:cs="Open Sans"/>
        </w:rPr>
        <w:t xml:space="preserve">seeks </w:t>
      </w:r>
      <w:r w:rsidR="3A154272" w:rsidRPr="65A2CAB5">
        <w:rPr>
          <w:rFonts w:eastAsia="Open Sans" w:cs="Open Sans"/>
        </w:rPr>
        <w:t>to:</w:t>
      </w:r>
    </w:p>
    <w:p w14:paraId="534A266A" w14:textId="77777777" w:rsidR="00CA1377" w:rsidRPr="008A3281" w:rsidRDefault="00CA1377" w:rsidP="008A3281">
      <w:pPr>
        <w:pStyle w:val="ListBullet"/>
      </w:pPr>
      <w:r w:rsidRPr="008A3281">
        <w:t>promote equality before the law for all persons regardless of their age</w:t>
      </w:r>
    </w:p>
    <w:p w14:paraId="5EB09B0E" w14:textId="2C1E8832" w:rsidR="00CA1377" w:rsidRPr="008A3281" w:rsidRDefault="00CA1377" w:rsidP="008A3281">
      <w:pPr>
        <w:pStyle w:val="ListBullet"/>
      </w:pPr>
      <w:r w:rsidRPr="008A3281">
        <w:t>eliminate discrimination against persons on the ground of age in many areas of public life, such as employment, education and the provision of goods, services, or facilities</w:t>
      </w:r>
    </w:p>
    <w:p w14:paraId="355C30CD" w14:textId="2ED9C2EF" w:rsidR="00F22FF2" w:rsidRPr="008A3281" w:rsidRDefault="00F22FF2" w:rsidP="008A3281">
      <w:pPr>
        <w:pStyle w:val="ListBullet"/>
      </w:pPr>
      <w:r w:rsidRPr="008A3281">
        <w:t>allow appropriate benefits and assistance to persons of a certain age in recognition of their particular circumstances</w:t>
      </w:r>
      <w:r w:rsidR="001D3B9B" w:rsidRPr="008A3281">
        <w:t>, and</w:t>
      </w:r>
    </w:p>
    <w:p w14:paraId="49E86B13" w14:textId="2ED9C2EF" w:rsidR="001D3B9B" w:rsidRPr="008A3281" w:rsidRDefault="001D3B9B" w:rsidP="008A3281">
      <w:pPr>
        <w:pStyle w:val="ListBullet"/>
      </w:pPr>
      <w:r w:rsidRPr="008A3281">
        <w:t>promote recognition and acceptance within the community of the principle that people of all ages have the same fundamental rights</w:t>
      </w:r>
    </w:p>
    <w:p w14:paraId="61DBA537" w14:textId="2ED9C2EF" w:rsidR="001D3B9B" w:rsidRPr="008A3281" w:rsidRDefault="001D3B9B" w:rsidP="008A3281">
      <w:pPr>
        <w:pStyle w:val="ListBullet"/>
      </w:pPr>
      <w:r w:rsidRPr="008A3281">
        <w:t>respond to demographic change by changing negative stereotypes about older people, and removing barriers to older people participating in society.</w:t>
      </w:r>
    </w:p>
    <w:p w14:paraId="09521F60" w14:textId="3A5B1EE6" w:rsidR="00CA1377" w:rsidRPr="008A3281" w:rsidRDefault="001D3B9B" w:rsidP="007A7D4A">
      <w:r w:rsidRPr="008A3281">
        <w:t xml:space="preserve">The </w:t>
      </w:r>
      <w:r w:rsidR="00CA1377" w:rsidRPr="008A3281">
        <w:t>Commission</w:t>
      </w:r>
      <w:r w:rsidRPr="008A3281">
        <w:t>’s</w:t>
      </w:r>
      <w:r w:rsidR="00CA1377" w:rsidRPr="008A3281">
        <w:t xml:space="preserve"> functions under the ADA </w:t>
      </w:r>
      <w:r w:rsidRPr="008A3281">
        <w:t>include</w:t>
      </w:r>
      <w:r w:rsidR="00CA1377" w:rsidRPr="008A3281">
        <w:t>:</w:t>
      </w:r>
    </w:p>
    <w:p w14:paraId="2E8A548F" w14:textId="012AF43D" w:rsidR="00CA1377" w:rsidRPr="008A3281" w:rsidRDefault="00CA1377" w:rsidP="008A3281">
      <w:pPr>
        <w:pStyle w:val="ListBullet"/>
      </w:pPr>
      <w:r w:rsidRPr="008A3281">
        <w:t>to promote understanding and acceptance of, and compliance with, the ADA</w:t>
      </w:r>
    </w:p>
    <w:p w14:paraId="0BDAABA6" w14:textId="6E3BAD8F" w:rsidR="00CA1377" w:rsidRPr="008A3281" w:rsidRDefault="00CA1377" w:rsidP="008A3281">
      <w:pPr>
        <w:pStyle w:val="ListBullet"/>
      </w:pPr>
      <w:r w:rsidRPr="008A3281">
        <w:t>to undertake research and educational programs, and other programs, on behalf of the Commonwealth for the purpose of promoting the objects of the ADA</w:t>
      </w:r>
    </w:p>
    <w:p w14:paraId="5EF7AD89" w14:textId="365A1406" w:rsidR="00CA1377" w:rsidRPr="008A3281" w:rsidRDefault="00CA1377" w:rsidP="008A3281">
      <w:pPr>
        <w:pStyle w:val="ListBullet"/>
      </w:pPr>
      <w:r w:rsidRPr="008A3281">
        <w:t>to consider and grant exemptions for compliance with the ADA</w:t>
      </w:r>
    </w:p>
    <w:p w14:paraId="5EC93D61" w14:textId="777161AF" w:rsidR="00CA1377" w:rsidRPr="008A3281" w:rsidRDefault="00CA1377" w:rsidP="008A3281">
      <w:pPr>
        <w:pStyle w:val="ListBullet"/>
      </w:pPr>
      <w:r w:rsidRPr="008A3281">
        <w:t>to examine enactments, or proposed enactments, to determine compliance with the objects of the ADA</w:t>
      </w:r>
    </w:p>
    <w:p w14:paraId="69449F8E" w14:textId="04176648" w:rsidR="00CA1377" w:rsidRPr="008A3281" w:rsidRDefault="00CA1377" w:rsidP="008A3281">
      <w:pPr>
        <w:pStyle w:val="ListBullet"/>
      </w:pPr>
      <w:r w:rsidRPr="008A3281">
        <w:t>to report to the Minister as to the laws that should be made by the Parliament, or action that should be taken by the Commonwealth, on matters relating to discrimination on the ground of age</w:t>
      </w:r>
    </w:p>
    <w:p w14:paraId="08AA0B51" w14:textId="5390D73D" w:rsidR="00CA1377" w:rsidRPr="008A3281" w:rsidRDefault="00CA1377" w:rsidP="008A3281">
      <w:pPr>
        <w:pStyle w:val="ListBullet"/>
      </w:pPr>
      <w:r w:rsidRPr="008A3281">
        <w:t>to prepare, and to publish in the manner the Commission considers appropriate, guidelines for avoiding discrimination on the ground of age</w:t>
      </w:r>
      <w:r w:rsidR="001D3B9B" w:rsidRPr="008A3281">
        <w:t>, and</w:t>
      </w:r>
    </w:p>
    <w:p w14:paraId="7E80D825" w14:textId="77777777" w:rsidR="00CA1377" w:rsidRPr="008A3281" w:rsidRDefault="00CA1377" w:rsidP="008A3281">
      <w:pPr>
        <w:pStyle w:val="ListBullet"/>
      </w:pPr>
      <w:r w:rsidRPr="008A3281">
        <w:t>where the Commission thinks it appropriate to do so, with the leave of the court hearing the proceedings and subject to any conditions imposed by the court, to intervene in proceedings that involve issues of discrimination on the ground of age.</w:t>
      </w:r>
    </w:p>
    <w:p w14:paraId="6980120E" w14:textId="1F538BC4" w:rsidR="00724B35" w:rsidRDefault="5887F6EE" w:rsidP="005E3D6C">
      <w:pPr>
        <w:rPr>
          <w:rFonts w:cs="Open Sans"/>
        </w:rPr>
      </w:pPr>
      <w:r w:rsidRPr="65A2CAB5">
        <w:rPr>
          <w:rFonts w:cs="Open Sans"/>
        </w:rPr>
        <w:t xml:space="preserve">The Commission has additional functions arising from the Acts mentioned below, which also </w:t>
      </w:r>
      <w:r w:rsidR="435C3C2B" w:rsidRPr="65A2CAB5">
        <w:rPr>
          <w:rFonts w:cs="Open Sans"/>
        </w:rPr>
        <w:t>prescribe</w:t>
      </w:r>
      <w:r w:rsidRPr="65A2CAB5">
        <w:rPr>
          <w:rFonts w:cs="Open Sans"/>
        </w:rPr>
        <w:t xml:space="preserve"> responsibilities on </w:t>
      </w:r>
      <w:r w:rsidR="435C3C2B" w:rsidRPr="65A2CAB5">
        <w:rPr>
          <w:rFonts w:cs="Open Sans"/>
        </w:rPr>
        <w:t xml:space="preserve">particular Commission Members as set out below. </w:t>
      </w:r>
      <w:bookmarkStart w:id="15" w:name="mdheading-422"/>
      <w:bookmarkEnd w:id="15"/>
    </w:p>
    <w:p w14:paraId="76F7A813" w14:textId="2C4FD886" w:rsidR="005E3D6C" w:rsidRPr="00DC0051" w:rsidRDefault="005E3D6C" w:rsidP="001710EC">
      <w:pPr>
        <w:pStyle w:val="Heading3"/>
      </w:pPr>
      <w:r w:rsidRPr="140F7C3C">
        <w:t>President</w:t>
      </w:r>
    </w:p>
    <w:p w14:paraId="24C07793" w14:textId="64403F81" w:rsidR="000539B8" w:rsidRDefault="005E3D6C" w:rsidP="005E3D6C">
      <w:pPr>
        <w:rPr>
          <w:rFonts w:cs="Open Sans"/>
        </w:rPr>
      </w:pPr>
      <w:r w:rsidRPr="00DC0051">
        <w:rPr>
          <w:rFonts w:cs="Open Sans"/>
        </w:rPr>
        <w:t>The President is the Commission’s Accountable Authority under the</w:t>
      </w:r>
      <w:r w:rsidRPr="00437C60">
        <w:rPr>
          <w:rStyle w:val="Emphasis"/>
        </w:rPr>
        <w:t xml:space="preserve"> Public Governance, Performance and Accountability Rule 2014</w:t>
      </w:r>
      <w:r w:rsidRPr="00DC0051">
        <w:rPr>
          <w:rFonts w:cs="Open Sans"/>
        </w:rPr>
        <w:t xml:space="preserve"> (Cth), responsible for its financial and administrative affairs. </w:t>
      </w:r>
      <w:r w:rsidR="000539B8" w:rsidRPr="6B8712C6">
        <w:rPr>
          <w:rFonts w:cs="Open Sans"/>
        </w:rPr>
        <w:t>Information on the Accountable Authority is set out in Appendix 3.</w:t>
      </w:r>
    </w:p>
    <w:p w14:paraId="15F7D378" w14:textId="7938CBF8" w:rsidR="005E3D6C" w:rsidRPr="00DC0051" w:rsidRDefault="5887F6EE" w:rsidP="005E3D6C">
      <w:pPr>
        <w:rPr>
          <w:rFonts w:cs="Open Sans"/>
        </w:rPr>
      </w:pPr>
      <w:r w:rsidRPr="448905EB">
        <w:rPr>
          <w:rFonts w:cs="Open Sans"/>
        </w:rPr>
        <w:t>The President is responsible for the complaint-handling function of the Commission</w:t>
      </w:r>
      <w:r w:rsidR="02A2BA7D" w:rsidRPr="448905EB">
        <w:rPr>
          <w:rFonts w:cs="Open Sans"/>
        </w:rPr>
        <w:t xml:space="preserve"> and is the </w:t>
      </w:r>
      <w:r w:rsidR="4C34BF97" w:rsidRPr="448905EB">
        <w:rPr>
          <w:rFonts w:cs="Open Sans"/>
        </w:rPr>
        <w:t xml:space="preserve">Agency Head under the </w:t>
      </w:r>
      <w:r w:rsidR="4C34BF97" w:rsidRPr="00437C60">
        <w:rPr>
          <w:rStyle w:val="Emphasis"/>
        </w:rPr>
        <w:t xml:space="preserve">Public Service Act 1999 </w:t>
      </w:r>
      <w:r w:rsidR="4C34BF97" w:rsidRPr="448905EB">
        <w:rPr>
          <w:rFonts w:cs="Open Sans"/>
        </w:rPr>
        <w:t xml:space="preserve">(Cth) section </w:t>
      </w:r>
      <w:r w:rsidR="20C4F080" w:rsidRPr="448905EB">
        <w:rPr>
          <w:rFonts w:cs="Open Sans"/>
        </w:rPr>
        <w:t>7</w:t>
      </w:r>
      <w:r w:rsidRPr="448905EB">
        <w:rPr>
          <w:rFonts w:cs="Open Sans"/>
        </w:rPr>
        <w:t>.</w:t>
      </w:r>
    </w:p>
    <w:p w14:paraId="5F787217" w14:textId="77777777" w:rsidR="005E3D6C" w:rsidRPr="00DC0051" w:rsidRDefault="005E3D6C" w:rsidP="001710EC">
      <w:pPr>
        <w:pStyle w:val="Heading3"/>
      </w:pPr>
      <w:bookmarkStart w:id="16" w:name="mdheading-430"/>
      <w:bookmarkEnd w:id="16"/>
      <w:r w:rsidRPr="00DC0051">
        <w:t>Aboriginal and Torres Strait Islander Social Justice Commissioner</w:t>
      </w:r>
    </w:p>
    <w:p w14:paraId="1229138E" w14:textId="7A64DCAF" w:rsidR="21541B0E" w:rsidRDefault="5887F6EE" w:rsidP="21541B0E">
      <w:pPr>
        <w:rPr>
          <w:rFonts w:cs="Open Sans"/>
        </w:rPr>
      </w:pPr>
      <w:r w:rsidRPr="65A2CAB5">
        <w:rPr>
          <w:rFonts w:cs="Open Sans"/>
        </w:rPr>
        <w:t xml:space="preserve">Under the </w:t>
      </w:r>
      <w:r w:rsidRPr="00437C60">
        <w:rPr>
          <w:rStyle w:val="Emphasis"/>
        </w:rPr>
        <w:t>Australian Human Rights Commission Act 1986</w:t>
      </w:r>
      <w:r w:rsidRPr="65A2CAB5">
        <w:rPr>
          <w:rFonts w:cs="Open Sans"/>
        </w:rPr>
        <w:t xml:space="preserve"> (Cth)</w:t>
      </w:r>
      <w:r w:rsidR="3E2E73FB" w:rsidRPr="65A2CAB5">
        <w:rPr>
          <w:rFonts w:cs="Open Sans"/>
        </w:rPr>
        <w:t xml:space="preserve"> (AHRC Act</w:t>
      </w:r>
      <w:r w:rsidRPr="65A2CAB5">
        <w:rPr>
          <w:rFonts w:cs="Open Sans"/>
        </w:rPr>
        <w:t>), the Aboriginal and Torres Strait Islander Social Justice Commissioner may report to the Minister on the exercise and enjoyment of human rights of Indigenous peoples and undertakes social justice education and promotional activities.</w:t>
      </w:r>
    </w:p>
    <w:p w14:paraId="4F281E1D" w14:textId="051696B9" w:rsidR="005E3D6C" w:rsidRPr="00DC0051" w:rsidRDefault="5887F6EE" w:rsidP="005E3D6C">
      <w:pPr>
        <w:rPr>
          <w:rFonts w:cs="Open Sans"/>
        </w:rPr>
      </w:pPr>
      <w:r w:rsidRPr="65A2CAB5">
        <w:rPr>
          <w:rFonts w:cs="Open Sans"/>
        </w:rPr>
        <w:t xml:space="preserve">This Commissioner may report under the </w:t>
      </w:r>
      <w:r w:rsidRPr="00437C60">
        <w:rPr>
          <w:rStyle w:val="Emphasis"/>
        </w:rPr>
        <w:t>Native Title Act 1993</w:t>
      </w:r>
      <w:r w:rsidRPr="65A2CAB5">
        <w:rPr>
          <w:rFonts w:cs="Open Sans"/>
        </w:rPr>
        <w:t xml:space="preserve"> (Cth) on the operation of the </w:t>
      </w:r>
      <w:r w:rsidR="2FF69886" w:rsidRPr="65A2CAB5">
        <w:rPr>
          <w:rFonts w:cs="Open Sans"/>
        </w:rPr>
        <w:t>AHRC</w:t>
      </w:r>
      <w:r w:rsidRPr="65A2CAB5">
        <w:rPr>
          <w:rFonts w:cs="Open Sans"/>
        </w:rPr>
        <w:t xml:space="preserve"> Act and its effect on the exercise and enjoyment of human rights of Indigenous peoples. In addition, the Commissioner reports, when requested by the Minister, on any other matter relating to the rights of Indigenous peoples under this Act.</w:t>
      </w:r>
    </w:p>
    <w:p w14:paraId="511825C9" w14:textId="77777777" w:rsidR="005E3D6C" w:rsidRPr="00DC0051" w:rsidRDefault="005E3D6C" w:rsidP="001710EC">
      <w:pPr>
        <w:pStyle w:val="Heading3"/>
      </w:pPr>
      <w:bookmarkStart w:id="17" w:name="mdheading-437"/>
      <w:bookmarkEnd w:id="17"/>
      <w:r w:rsidRPr="00DC0051">
        <w:t>Sex Discrimination Commissioner</w:t>
      </w:r>
    </w:p>
    <w:p w14:paraId="266E7566" w14:textId="6991BACB" w:rsidR="005E3D6C" w:rsidRPr="00DC0051" w:rsidRDefault="005E3D6C" w:rsidP="005E3D6C">
      <w:pPr>
        <w:rPr>
          <w:rFonts w:cs="Open Sans"/>
        </w:rPr>
      </w:pPr>
      <w:r w:rsidRPr="00DC0051">
        <w:rPr>
          <w:rFonts w:cs="Open Sans"/>
        </w:rPr>
        <w:t xml:space="preserve">The Sex Discrimination Commissioner has functions under the </w:t>
      </w:r>
      <w:r w:rsidRPr="00437C60">
        <w:rPr>
          <w:rStyle w:val="Emphasis"/>
        </w:rPr>
        <w:t>Fair Work Act 2009</w:t>
      </w:r>
      <w:r w:rsidRPr="00DC0051">
        <w:rPr>
          <w:rFonts w:cs="Open Sans"/>
        </w:rPr>
        <w:t xml:space="preserve"> (Cth) in relation to federal awards and equal pay.</w:t>
      </w:r>
    </w:p>
    <w:p w14:paraId="769A9AAD" w14:textId="77777777" w:rsidR="005E3D6C" w:rsidRPr="00DC0051" w:rsidRDefault="005E3D6C" w:rsidP="001710EC">
      <w:pPr>
        <w:pStyle w:val="Heading3"/>
      </w:pPr>
      <w:bookmarkStart w:id="18" w:name="mdheading-518"/>
      <w:bookmarkEnd w:id="18"/>
      <w:r w:rsidRPr="00DC0051">
        <w:t>National Children’s Commissioner</w:t>
      </w:r>
    </w:p>
    <w:p w14:paraId="5E9C7C07" w14:textId="1AEFDBF0" w:rsidR="002700FC" w:rsidRPr="008A3281" w:rsidRDefault="5887F6EE" w:rsidP="002700FC">
      <w:pPr>
        <w:rPr>
          <w:rFonts w:cs="Open Sans"/>
        </w:rPr>
      </w:pPr>
      <w:r w:rsidRPr="65A2CAB5">
        <w:rPr>
          <w:rFonts w:cs="Open Sans"/>
        </w:rPr>
        <w:t xml:space="preserve">Under the </w:t>
      </w:r>
      <w:r w:rsidRPr="00437C60">
        <w:rPr>
          <w:rStyle w:val="Emphasis"/>
        </w:rPr>
        <w:t>Australian Human Rights Commission Act 1986</w:t>
      </w:r>
      <w:r w:rsidRPr="65A2CAB5">
        <w:rPr>
          <w:rFonts w:cs="Open Sans"/>
        </w:rPr>
        <w:t xml:space="preserve"> (Cth), the National Children’s Commissioner may report to the Minister on the enjoyment and exercise of human rights by children in Australia.</w:t>
      </w:r>
      <w:bookmarkStart w:id="19" w:name="mdheading-519"/>
      <w:bookmarkEnd w:id="19"/>
    </w:p>
    <w:p w14:paraId="344F038B" w14:textId="5DB7206E" w:rsidR="002700FC" w:rsidRPr="008227DD" w:rsidRDefault="002700FC" w:rsidP="005E7A14">
      <w:pPr>
        <w:pStyle w:val="Heading2"/>
      </w:pPr>
      <w:bookmarkStart w:id="20" w:name="_Toc146437037"/>
      <w:r>
        <w:t>Approach to exercising our Functions</w:t>
      </w:r>
      <w:bookmarkEnd w:id="20"/>
    </w:p>
    <w:p w14:paraId="16DDEEC9" w14:textId="55DE8E8D" w:rsidR="002700FC" w:rsidRPr="00DC0051" w:rsidRDefault="002700FC" w:rsidP="002700FC">
      <w:pPr>
        <w:rPr>
          <w:rFonts w:cs="Open Sans"/>
        </w:rPr>
      </w:pPr>
      <w:r w:rsidRPr="00DC0051">
        <w:rPr>
          <w:rFonts w:cs="Open Sans"/>
        </w:rPr>
        <w:t>We exercise our</w:t>
      </w:r>
      <w:r>
        <w:rPr>
          <w:rFonts w:cs="Open Sans"/>
        </w:rPr>
        <w:t xml:space="preserve"> statutory</w:t>
      </w:r>
      <w:r w:rsidRPr="00DC0051">
        <w:rPr>
          <w:rFonts w:cs="Open Sans"/>
        </w:rPr>
        <w:t xml:space="preserve"> functions by: </w:t>
      </w:r>
    </w:p>
    <w:p w14:paraId="5B1E45F2" w14:textId="14D1CA29" w:rsidR="002700FC" w:rsidRPr="00DC0051" w:rsidRDefault="002700FC" w:rsidP="00AF36DF">
      <w:pPr>
        <w:pStyle w:val="ListBullet"/>
        <w:rPr>
          <w:lang w:val="en-US"/>
        </w:rPr>
      </w:pPr>
      <w:r w:rsidRPr="00DC0051">
        <w:rPr>
          <w:lang w:val="en-US"/>
        </w:rPr>
        <w:t>promoting understanding, acceptance, and public discussion of</w:t>
      </w:r>
      <w:r w:rsidR="007A6A69">
        <w:rPr>
          <w:lang w:val="en-US"/>
        </w:rPr>
        <w:t xml:space="preserve"> </w:t>
      </w:r>
      <w:r w:rsidRPr="00DC0051">
        <w:rPr>
          <w:lang w:val="en-US"/>
        </w:rPr>
        <w:t>human rights in Australia (including through each specialist</w:t>
      </w:r>
      <w:r w:rsidR="00C33610">
        <w:rPr>
          <w:lang w:val="en-US"/>
        </w:rPr>
        <w:t xml:space="preserve"> </w:t>
      </w:r>
      <w:r w:rsidRPr="00DC0051">
        <w:rPr>
          <w:lang w:val="en-US"/>
        </w:rPr>
        <w:t>Commissioners)</w:t>
      </w:r>
    </w:p>
    <w:p w14:paraId="336E4635" w14:textId="6F4BFE95" w:rsidR="002700FC" w:rsidRPr="00DC0051" w:rsidRDefault="002700FC" w:rsidP="00AF36DF">
      <w:pPr>
        <w:pStyle w:val="ListBullet"/>
        <w:rPr>
          <w:lang w:val="en-US"/>
        </w:rPr>
      </w:pPr>
      <w:r w:rsidRPr="00DC0051">
        <w:rPr>
          <w:lang w:val="en-US"/>
        </w:rPr>
        <w:t>improving access to justice for all by investigating and conciliating complaints of unlawful discrimination, breaches of</w:t>
      </w:r>
      <w:r w:rsidR="00C33610">
        <w:rPr>
          <w:lang w:val="en-US"/>
        </w:rPr>
        <w:t xml:space="preserve"> </w:t>
      </w:r>
      <w:r w:rsidRPr="00DC0051">
        <w:rPr>
          <w:lang w:val="en-US"/>
        </w:rPr>
        <w:t>human rights, or discrimination in employment</w:t>
      </w:r>
    </w:p>
    <w:p w14:paraId="28882B4F" w14:textId="6452802A" w:rsidR="002700FC" w:rsidRPr="00AF36DF" w:rsidRDefault="002700FC" w:rsidP="00AF36DF">
      <w:pPr>
        <w:pStyle w:val="ListBullet"/>
      </w:pPr>
      <w:r w:rsidRPr="00AF36DF">
        <w:t>promoting strengthening of, and compliance with, human rights and federal discrimination law (including through the preparation of</w:t>
      </w:r>
      <w:r w:rsidR="00C33610" w:rsidRPr="00AF36DF">
        <w:t xml:space="preserve"> </w:t>
      </w:r>
      <w:r w:rsidRPr="00AF36DF">
        <w:t>guidelines, developing and monitoring disability standards, our</w:t>
      </w:r>
      <w:r w:rsidR="00C33610" w:rsidRPr="00AF36DF">
        <w:t xml:space="preserve"> </w:t>
      </w:r>
      <w:r w:rsidRPr="00AF36DF">
        <w:t>intervention function and considering applications for exemptions</w:t>
      </w:r>
      <w:r w:rsidR="00C33610" w:rsidRPr="00AF36DF">
        <w:t xml:space="preserve"> </w:t>
      </w:r>
      <w:r w:rsidRPr="00AF36DF">
        <w:t>under relevant discrimination laws)</w:t>
      </w:r>
    </w:p>
    <w:p w14:paraId="0AF23731" w14:textId="2FEBB66D" w:rsidR="002700FC" w:rsidRPr="00DC0051" w:rsidRDefault="002700FC" w:rsidP="00AF36DF">
      <w:pPr>
        <w:pStyle w:val="ListBullet"/>
        <w:rPr>
          <w:lang w:val="en-US"/>
        </w:rPr>
      </w:pPr>
      <w:r w:rsidRPr="00DC0051">
        <w:rPr>
          <w:lang w:val="en-US"/>
        </w:rPr>
        <w:t>undertaking research, educational and other programs for</w:t>
      </w:r>
      <w:r w:rsidR="00C33610">
        <w:rPr>
          <w:lang w:val="en-US"/>
        </w:rPr>
        <w:t xml:space="preserve"> </w:t>
      </w:r>
      <w:r w:rsidRPr="00DC0051">
        <w:rPr>
          <w:lang w:val="en-US"/>
        </w:rPr>
        <w:t>promoting human rights, including by reporting to Parliament on the</w:t>
      </w:r>
      <w:r w:rsidR="00C33610">
        <w:rPr>
          <w:lang w:val="en-US"/>
        </w:rPr>
        <w:t xml:space="preserve"> </w:t>
      </w:r>
      <w:r w:rsidRPr="00DC0051">
        <w:rPr>
          <w:lang w:val="en-US"/>
        </w:rPr>
        <w:t>status of enjoyment of human rights by children and Aboriginal and</w:t>
      </w:r>
      <w:r w:rsidR="00C33610">
        <w:rPr>
          <w:lang w:val="en-US"/>
        </w:rPr>
        <w:t xml:space="preserve"> </w:t>
      </w:r>
      <w:r w:rsidRPr="00DC0051">
        <w:rPr>
          <w:lang w:val="en-US"/>
        </w:rPr>
        <w:t>Torres Strait Islander peoples</w:t>
      </w:r>
    </w:p>
    <w:p w14:paraId="093BFCD7" w14:textId="30197F8F" w:rsidR="002700FC" w:rsidRPr="00DC0051" w:rsidRDefault="002700FC" w:rsidP="00AF36DF">
      <w:pPr>
        <w:pStyle w:val="ListBullet"/>
        <w:rPr>
          <w:lang w:val="en-US"/>
        </w:rPr>
      </w:pPr>
      <w:r w:rsidRPr="00DC0051">
        <w:rPr>
          <w:lang w:val="en-US"/>
        </w:rPr>
        <w:t>conducting inquiries into acts or practices that may be contrary to</w:t>
      </w:r>
      <w:r w:rsidR="00C33610">
        <w:rPr>
          <w:lang w:val="en-US"/>
        </w:rPr>
        <w:t xml:space="preserve"> </w:t>
      </w:r>
      <w:r w:rsidRPr="00DC0051">
        <w:rPr>
          <w:lang w:val="en-US"/>
        </w:rPr>
        <w:t>human rights, report on laws that Parliament should make, or actions that the Commonwealth should take, to meet Australia’s international human rights obligations</w:t>
      </w:r>
    </w:p>
    <w:p w14:paraId="5D5F73C2" w14:textId="7E1F71CE" w:rsidR="002700FC" w:rsidRPr="00DC0051" w:rsidRDefault="002700FC" w:rsidP="00AF36DF">
      <w:pPr>
        <w:pStyle w:val="ListBullet"/>
        <w:rPr>
          <w:lang w:val="en-US"/>
        </w:rPr>
      </w:pPr>
      <w:r w:rsidRPr="00DC0051">
        <w:rPr>
          <w:lang w:val="en-US"/>
        </w:rPr>
        <w:t>examining laws and proposed laws for consistency with human</w:t>
      </w:r>
      <w:r w:rsidR="00C33610">
        <w:rPr>
          <w:lang w:val="en-US"/>
        </w:rPr>
        <w:t xml:space="preserve"> </w:t>
      </w:r>
      <w:r w:rsidRPr="00DC0051">
        <w:rPr>
          <w:lang w:val="en-US"/>
        </w:rPr>
        <w:t>rights.</w:t>
      </w:r>
    </w:p>
    <w:p w14:paraId="3373DA42" w14:textId="7F5F99F6" w:rsidR="005E3D6C" w:rsidRPr="00DC0051" w:rsidRDefault="005E3D6C" w:rsidP="00C33610">
      <w:pPr>
        <w:pStyle w:val="Heading2"/>
      </w:pPr>
      <w:bookmarkStart w:id="21" w:name="_Toc146437038"/>
      <w:r w:rsidRPr="00C33610">
        <w:t>Responsible</w:t>
      </w:r>
      <w:r w:rsidRPr="00DC0051">
        <w:t xml:space="preserve"> Minister</w:t>
      </w:r>
      <w:bookmarkEnd w:id="21"/>
    </w:p>
    <w:p w14:paraId="0F82240F" w14:textId="68926893" w:rsidR="00CA1377" w:rsidRPr="00DC0051" w:rsidRDefault="005E3D6C" w:rsidP="005E4EEC">
      <w:pPr>
        <w:rPr>
          <w:rFonts w:cs="Open Sans"/>
        </w:rPr>
      </w:pPr>
      <w:r w:rsidRPr="00DC0051">
        <w:rPr>
          <w:rFonts w:cs="Open Sans"/>
        </w:rPr>
        <w:t xml:space="preserve">In this period the Hon Mark Dreyfus </w:t>
      </w:r>
      <w:r w:rsidR="00310FB9" w:rsidRPr="00DC0051">
        <w:rPr>
          <w:rFonts w:cs="Open Sans"/>
        </w:rPr>
        <w:t xml:space="preserve">KC </w:t>
      </w:r>
      <w:r w:rsidRPr="00DC0051">
        <w:rPr>
          <w:rFonts w:cs="Open Sans"/>
        </w:rPr>
        <w:t>MP</w:t>
      </w:r>
      <w:r w:rsidR="00982B2E" w:rsidRPr="00DC0051">
        <w:rPr>
          <w:rFonts w:cs="Open Sans"/>
        </w:rPr>
        <w:t xml:space="preserve"> was the Attorney-General responsible for the Commission for the 2022−23 reporting period. </w:t>
      </w:r>
    </w:p>
    <w:p w14:paraId="780F25E4" w14:textId="7C8E760D" w:rsidR="00C33610" w:rsidRDefault="56939226" w:rsidP="448905EB">
      <w:pPr>
        <w:rPr>
          <w:rFonts w:cs="Open Sans"/>
        </w:rPr>
      </w:pPr>
      <w:r w:rsidRPr="644940EB">
        <w:rPr>
          <w:rFonts w:cs="Open Sans"/>
        </w:rPr>
        <w:t xml:space="preserve">The Attorney-General has </w:t>
      </w:r>
      <w:r w:rsidR="21F6E6BA" w:rsidRPr="644940EB">
        <w:rPr>
          <w:rFonts w:cs="Open Sans"/>
        </w:rPr>
        <w:t>various</w:t>
      </w:r>
      <w:r w:rsidRPr="644940EB">
        <w:rPr>
          <w:rFonts w:cs="Open Sans"/>
        </w:rPr>
        <w:t xml:space="preserve"> powers under the </w:t>
      </w:r>
      <w:r w:rsidRPr="644940EB">
        <w:rPr>
          <w:rStyle w:val="Emphasis"/>
        </w:rPr>
        <w:t>Australian Human Rights Commission Act 1986</w:t>
      </w:r>
      <w:r w:rsidRPr="644940EB">
        <w:rPr>
          <w:rFonts w:cs="Open Sans"/>
        </w:rPr>
        <w:t xml:space="preserve"> (Cth).</w:t>
      </w:r>
    </w:p>
    <w:p w14:paraId="121F672A" w14:textId="77777777" w:rsidR="00211AC8" w:rsidRPr="00DC0051" w:rsidRDefault="00211AC8" w:rsidP="00C33610">
      <w:pPr>
        <w:pStyle w:val="Heading1"/>
      </w:pPr>
      <w:bookmarkStart w:id="22" w:name="_Toc96087232"/>
      <w:bookmarkStart w:id="23" w:name="_Toc96087243"/>
      <w:bookmarkStart w:id="24" w:name="_Toc96445857"/>
      <w:bookmarkStart w:id="25" w:name="_Toc146437039"/>
      <w:r w:rsidRPr="00C33610">
        <w:t>The</w:t>
      </w:r>
      <w:r w:rsidRPr="00DC0051">
        <w:t xml:space="preserve"> year in review</w:t>
      </w:r>
      <w:bookmarkEnd w:id="22"/>
      <w:bookmarkEnd w:id="23"/>
      <w:bookmarkEnd w:id="24"/>
      <w:bookmarkEnd w:id="25"/>
    </w:p>
    <w:p w14:paraId="59C5744C" w14:textId="77777777" w:rsidR="00211AC8" w:rsidRPr="00DC0051" w:rsidRDefault="00211AC8" w:rsidP="00C33610">
      <w:pPr>
        <w:pStyle w:val="Heading2"/>
      </w:pPr>
      <w:bookmarkStart w:id="26" w:name="_Toc146437040"/>
      <w:r w:rsidRPr="00C33610">
        <w:t>From</w:t>
      </w:r>
      <w:r w:rsidRPr="00DC0051">
        <w:t xml:space="preserve"> the President</w:t>
      </w:r>
      <w:bookmarkEnd w:id="26"/>
    </w:p>
    <w:p w14:paraId="22D322F8" w14:textId="36CB7EC7" w:rsidR="00F86860" w:rsidRPr="00AF36DF" w:rsidRDefault="00F86860" w:rsidP="00F86860">
      <w:pPr>
        <w:textAlignment w:val="baseline"/>
      </w:pPr>
      <w:r w:rsidRPr="00DC0051">
        <w:rPr>
          <w:rFonts w:cs="Open Sans"/>
        </w:rPr>
        <w:t xml:space="preserve">The </w:t>
      </w:r>
      <w:r w:rsidRPr="00DC0051" w:rsidDel="0062772F">
        <w:rPr>
          <w:rFonts w:cs="Open Sans"/>
        </w:rPr>
        <w:t xml:space="preserve">Australian Human Rights </w:t>
      </w:r>
      <w:r w:rsidRPr="00DC0051">
        <w:rPr>
          <w:rFonts w:cs="Open Sans"/>
        </w:rPr>
        <w:t>Commission has been through a period of great change this financial year. Dedicated focus on governance enhancements and improving financial management has placed the Commission in a more positive financial position than it has been in recent years</w:t>
      </w:r>
      <w:r w:rsidRPr="00B91B67">
        <w:rPr>
          <w:rFonts w:cs="Open Sans"/>
        </w:rPr>
        <w:t>. Additional targeted government support has allowed us to make inroads into the human rights and discrimination complaint backlogs.</w:t>
      </w:r>
      <w:r w:rsidRPr="00DC0051">
        <w:rPr>
          <w:rFonts w:cs="Open Sans"/>
        </w:rPr>
        <w:t xml:space="preserve"> The Commission’s longstanding advocacy for a range of significant legal and policy reforms has borne fruit, and our long-term advocacy for a reformed national framework for protecting human rights is under serious consideration by the Parliament. Institutional reforms to the appointment of Commissioners have now been embedded in legislation and policy guidance, in advance of the Commission’s deferred international accreditation hearing in October 2023 and the appointment of </w:t>
      </w:r>
      <w:r w:rsidR="00BC376B" w:rsidRPr="0F514D92">
        <w:rPr>
          <w:rFonts w:cs="Open Sans"/>
        </w:rPr>
        <w:t>four</w:t>
      </w:r>
      <w:r w:rsidR="00320006">
        <w:rPr>
          <w:rFonts w:cs="Open Sans"/>
        </w:rPr>
        <w:t xml:space="preserve"> </w:t>
      </w:r>
      <w:r w:rsidRPr="00DC0051">
        <w:rPr>
          <w:rFonts w:cs="Open Sans"/>
        </w:rPr>
        <w:t>new statutory officer holders in 2023.</w:t>
      </w:r>
    </w:p>
    <w:p w14:paraId="7E34B0ED" w14:textId="5EE29C1B" w:rsidR="00F86860" w:rsidRPr="00AF36DF" w:rsidRDefault="00F86860" w:rsidP="00F86860">
      <w:pPr>
        <w:textAlignment w:val="baseline"/>
      </w:pPr>
      <w:r w:rsidRPr="00DC0051">
        <w:rPr>
          <w:rFonts w:cs="Open Sans"/>
        </w:rPr>
        <w:t>The Commission started the year facing uncertainty about its sustainability. Long-term underfunding of the Commission, combined with financial management issues in previous years, had placed the institution in a precarious financial position, unable to afford to fund the core staffing needed to perform statutory functions to the standard expected by the Australian community. We had also seen an historic spike in complaints during the COVID-19 pandemic</w:t>
      </w:r>
      <w:r w:rsidR="003311B0">
        <w:rPr>
          <w:rFonts w:cs="Open Sans"/>
        </w:rPr>
        <w:t>. This resulted</w:t>
      </w:r>
      <w:r w:rsidRPr="00DC0051">
        <w:rPr>
          <w:rFonts w:cs="Open Sans"/>
        </w:rPr>
        <w:t xml:space="preserve"> in significant backlogs in complaints for discrimination and human rights matters.</w:t>
      </w:r>
    </w:p>
    <w:p w14:paraId="79BEA0D3" w14:textId="49A1F9A4" w:rsidR="00F86860" w:rsidRPr="00AF36DF" w:rsidRDefault="6F3DE394" w:rsidP="644940EB">
      <w:pPr>
        <w:textAlignment w:val="baseline"/>
        <w:rPr>
          <w:rFonts w:cs="Open Sans"/>
        </w:rPr>
      </w:pPr>
      <w:r w:rsidRPr="644940EB">
        <w:rPr>
          <w:rFonts w:cs="Open Sans"/>
        </w:rPr>
        <w:t xml:space="preserve">The October budget </w:t>
      </w:r>
      <w:r w:rsidR="55DDECCF" w:rsidRPr="644940EB">
        <w:rPr>
          <w:rFonts w:cs="Open Sans"/>
        </w:rPr>
        <w:t xml:space="preserve">of the new Government’s </w:t>
      </w:r>
      <w:r w:rsidRPr="644940EB">
        <w:rPr>
          <w:rFonts w:cs="Open Sans"/>
        </w:rPr>
        <w:t>addressed these issues to some extent, by increasing the Commission’s core revenue to a level that enabled us to stabilise our existing staffing profile.</w:t>
      </w:r>
    </w:p>
    <w:p w14:paraId="4ABCDF3C" w14:textId="396D35F3" w:rsidR="00F86860" w:rsidRPr="00AF36DF" w:rsidRDefault="00F86860" w:rsidP="00F86860">
      <w:pPr>
        <w:textAlignment w:val="baseline"/>
      </w:pPr>
      <w:bookmarkStart w:id="27" w:name="_Hlk145689400"/>
      <w:r w:rsidRPr="00DC0051">
        <w:rPr>
          <w:rFonts w:cs="Open Sans"/>
        </w:rPr>
        <w:t xml:space="preserve">In this financial year, we received significantly fewer COVID-19 complaints than in the prior two years, and the overall number of complaints received has stabilised to a ‘high normal’ number of 2,562. Notably, in 2022–23, we finalised a high number of COVID-19 ‘legacy’ complaints, which were not amenable to alternative dispute resolution. </w:t>
      </w:r>
      <w:bookmarkEnd w:id="27"/>
      <w:r w:rsidRPr="00DC0051">
        <w:rPr>
          <w:rFonts w:cs="Open Sans"/>
        </w:rPr>
        <w:t>It is anticipated that with the small remaining number of COVID-19 complaints, and temporary staffing increases funded by government, we will make significant inroads into the backlog in the coming year.</w:t>
      </w:r>
    </w:p>
    <w:p w14:paraId="32D4EF64" w14:textId="5B998EB2" w:rsidR="00F86860" w:rsidRPr="00AF36DF" w:rsidRDefault="00F86860" w:rsidP="00F86860">
      <w:pPr>
        <w:textAlignment w:val="baseline"/>
      </w:pPr>
      <w:r w:rsidRPr="00DC0051">
        <w:rPr>
          <w:rFonts w:cs="Open Sans"/>
        </w:rPr>
        <w:t>The funding provided in the October budget, while welcome, still falls short of what the Commission requires in terms of staff to acquit our functions fully and independently. As a result, we must continue to invest in generating external revenue to support the work of our Commissioners and to deliver community awareness, education and outreach on human rights. Fully and sustainably resourcing the Commission will continue to be a topic of conversation with the Government into the foreseeable future.</w:t>
      </w:r>
    </w:p>
    <w:p w14:paraId="058AFD4E" w14:textId="1418C271" w:rsidR="00F86860" w:rsidRPr="00AF36DF" w:rsidRDefault="00F86860" w:rsidP="00F86860">
      <w:pPr>
        <w:textAlignment w:val="baseline"/>
      </w:pPr>
      <w:r w:rsidRPr="00DC0051">
        <w:rPr>
          <w:rFonts w:cs="Open Sans"/>
        </w:rPr>
        <w:t xml:space="preserve">In terms of new initiatives, the October budget provided project-specific funding for two major bodies of work that the Commission has long advocated for: implementation of the </w:t>
      </w:r>
      <w:r w:rsidRPr="00437C60">
        <w:rPr>
          <w:rStyle w:val="Emphasis"/>
        </w:rPr>
        <w:t>Respect@Work</w:t>
      </w:r>
      <w:r w:rsidRPr="00DC0051">
        <w:rPr>
          <w:rFonts w:cs="Open Sans"/>
        </w:rPr>
        <w:t xml:space="preserve"> report and further development of a National Anti-Racism Framework.</w:t>
      </w:r>
    </w:p>
    <w:p w14:paraId="4AD1C2AD" w14:textId="33CB3D3D" w:rsidR="00F86860" w:rsidRPr="00AF36DF" w:rsidRDefault="00F86860" w:rsidP="00F86860">
      <w:pPr>
        <w:textAlignment w:val="baseline"/>
      </w:pPr>
      <w:r w:rsidRPr="448905EB">
        <w:rPr>
          <w:rFonts w:cs="Open Sans"/>
        </w:rPr>
        <w:t xml:space="preserve">Historic reforms to the </w:t>
      </w:r>
      <w:r w:rsidRPr="00437C60">
        <w:rPr>
          <w:rStyle w:val="Emphasis"/>
        </w:rPr>
        <w:t>Sex Discrimination Act 1984</w:t>
      </w:r>
      <w:r w:rsidRPr="448905EB">
        <w:rPr>
          <w:rFonts w:cs="Open Sans"/>
        </w:rPr>
        <w:t xml:space="preserve"> </w:t>
      </w:r>
      <w:r w:rsidR="00296CF4" w:rsidRPr="448905EB">
        <w:rPr>
          <w:rFonts w:cs="Open Sans"/>
        </w:rPr>
        <w:t xml:space="preserve">(Cth) </w:t>
      </w:r>
      <w:r w:rsidRPr="448905EB">
        <w:rPr>
          <w:rFonts w:cs="Open Sans"/>
        </w:rPr>
        <w:t>were introduced in December 2022, following the Respect@Work national inquiry. Most notably, organisations and businesses now have a positive duty to eliminate, as far as possible, unlawful behaviour in relation to discrimination on the ground of sex in a work context, sexual harassment in connection with work, sex-based harassment in connection with work, conduct creating a workplace environment that is hostile on the ground of sex, and related acts of victimisation.</w:t>
      </w:r>
    </w:p>
    <w:p w14:paraId="11925CDD" w14:textId="23100707" w:rsidR="00F86860" w:rsidRPr="00AF36DF" w:rsidRDefault="00F86860" w:rsidP="00C33610">
      <w:pPr>
        <w:textAlignment w:val="baseline"/>
      </w:pPr>
      <w:r w:rsidRPr="448905EB">
        <w:rPr>
          <w:rFonts w:cs="Open Sans"/>
        </w:rPr>
        <w:t>The reforms to the Sex Discrimination Act have had an immediate impact on complaints received by the Commission, with a record number of sexual harassment and sex-based harassment complaints, particularly in the employment</w:t>
      </w:r>
      <w:r w:rsidR="00A7419F" w:rsidRPr="448905EB">
        <w:rPr>
          <w:rFonts w:cs="Open Sans"/>
        </w:rPr>
        <w:t xml:space="preserve"> context</w:t>
      </w:r>
      <w:r w:rsidRPr="00AF36DF">
        <w:t>.</w:t>
      </w:r>
    </w:p>
    <w:p w14:paraId="47999D44" w14:textId="7B83E00E" w:rsidR="00F86860" w:rsidRPr="00AF36DF" w:rsidRDefault="00F86860" w:rsidP="00AF36DF">
      <w:r w:rsidRPr="00DC0051">
        <w:rPr>
          <w:rFonts w:cs="Open Sans"/>
        </w:rPr>
        <w:t>The Commission has new co-regulatory powers attached to the positive duty that will commence in December 2023. Over this year, the Commission has been engaging with Government, the business sector, unions, community</w:t>
      </w:r>
      <w:r w:rsidR="00E646C2">
        <w:rPr>
          <w:rFonts w:cs="Open Sans"/>
        </w:rPr>
        <w:t>,</w:t>
      </w:r>
      <w:r w:rsidRPr="00DC0051">
        <w:rPr>
          <w:rFonts w:cs="Open Sans"/>
        </w:rPr>
        <w:t xml:space="preserve"> and legal sectors to prepare guidance on the operation of the positive duty</w:t>
      </w:r>
      <w:r w:rsidRPr="00AF36DF">
        <w:t>. The Respect@Work Information Service was established in 2023, as a national, trauma-informed service that provides information and referrals on sexual harassment and related matters.</w:t>
      </w:r>
    </w:p>
    <w:p w14:paraId="2472AB49" w14:textId="025F910B" w:rsidR="00F86860" w:rsidRPr="00AF36DF" w:rsidRDefault="00F86860" w:rsidP="00AF36DF">
      <w:r w:rsidRPr="00AF36DF">
        <w:t xml:space="preserve">The year also saw major reforms implemented following the Commission’s </w:t>
      </w:r>
      <w:r w:rsidRPr="00437C60">
        <w:rPr>
          <w:rStyle w:val="Emphasis"/>
        </w:rPr>
        <w:t>Set the Standard</w:t>
      </w:r>
      <w:r w:rsidRPr="00AF36DF">
        <w:t xml:space="preserve"> report, on respectful behaviour in federal parliamentary workplaces; and the further development of workplace culture partnerships with the Australian Defence Forces, Australian Border Force and Australian Federal Police. These reforms reflect the tireless advocacy of former Sex Discrimination Commissioner, Kate Jenkins, who completed her </w:t>
      </w:r>
      <w:r w:rsidR="00124446" w:rsidRPr="00AF36DF">
        <w:t>seven</w:t>
      </w:r>
      <w:r w:rsidRPr="00AF36DF">
        <w:t>-year term in April 2023.</w:t>
      </w:r>
    </w:p>
    <w:p w14:paraId="551C4A70" w14:textId="766D0B57" w:rsidR="00F86860" w:rsidRPr="00AF36DF" w:rsidRDefault="00F86860" w:rsidP="00F86860">
      <w:pPr>
        <w:textAlignment w:val="baseline"/>
      </w:pPr>
      <w:r w:rsidRPr="00C33610">
        <w:t xml:space="preserve">Dedicated funding was also provided to the Commission for the further development of </w:t>
      </w:r>
      <w:r w:rsidR="005160DA" w:rsidRPr="00C33610">
        <w:rPr>
          <w:rFonts w:eastAsia="Open Sans"/>
        </w:rPr>
        <w:t>a</w:t>
      </w:r>
      <w:r w:rsidR="70D90F9A" w:rsidRPr="00C33610">
        <w:rPr>
          <w:rFonts w:eastAsia="Open Sans"/>
        </w:rPr>
        <w:t xml:space="preserve"> National Anti-Racism Framework – a major focus of the Race Discrimination Commissioner, Chin Tan, whose term as Commissioner will conclude in October 2023. The proposal is for a long-term, central reference point to guide actions on anti-racism by government, NGOs, business, educators, health professionals, police, other justice authorities, civil society, and the community</w:t>
      </w:r>
      <w:r w:rsidR="00407C72" w:rsidRPr="00C33610">
        <w:rPr>
          <w:rFonts w:eastAsia="Open Sans"/>
        </w:rPr>
        <w:t xml:space="preserve"> </w:t>
      </w:r>
      <w:r w:rsidR="004D4AFD" w:rsidRPr="00C33610">
        <w:rPr>
          <w:rFonts w:eastAsia="Open Sans"/>
        </w:rPr>
        <w:t xml:space="preserve">to provide </w:t>
      </w:r>
      <w:r w:rsidRPr="00C33610">
        <w:t>an inter</w:t>
      </w:r>
      <w:r w:rsidRPr="449056E1">
        <w:rPr>
          <w:rFonts w:cs="Open Sans"/>
        </w:rPr>
        <w:t>-governmental framework to eliminate racism in our community. This would be similar to existing national frameworks that prevent violence against women and protect children.</w:t>
      </w:r>
    </w:p>
    <w:p w14:paraId="4A219A2D" w14:textId="0086180A" w:rsidR="00F86860" w:rsidRPr="00AF36DF" w:rsidRDefault="00F86860" w:rsidP="448905EB">
      <w:pPr>
        <w:textAlignment w:val="baseline"/>
      </w:pPr>
      <w:r w:rsidRPr="00DC0051">
        <w:rPr>
          <w:rFonts w:cs="Open Sans"/>
        </w:rPr>
        <w:t xml:space="preserve">A progress report on community consultations for the proposed National Anti-Racism Framework was released in December 2022. Further consultations with ethnically-diverse communities and Aboriginal and Torres Strait Islander peoples are currently underway, as well as research on existing government approaches to anti-racism and anti-Asian sentiment. These will be finalised in the coming financial year when </w:t>
      </w:r>
      <w:r w:rsidR="009147D3">
        <w:rPr>
          <w:rFonts w:cs="Open Sans"/>
        </w:rPr>
        <w:t>the</w:t>
      </w:r>
      <w:r w:rsidRPr="00DC0051">
        <w:rPr>
          <w:rFonts w:cs="Open Sans"/>
        </w:rPr>
        <w:t xml:space="preserve"> </w:t>
      </w:r>
      <w:r w:rsidR="000C746C">
        <w:rPr>
          <w:rFonts w:cs="Open Sans"/>
        </w:rPr>
        <w:t>proposed</w:t>
      </w:r>
      <w:r w:rsidRPr="00DC0051">
        <w:rPr>
          <w:rFonts w:cs="Open Sans"/>
        </w:rPr>
        <w:t xml:space="preserve"> National Anti-Racism Framework will be presented to the government.</w:t>
      </w:r>
    </w:p>
    <w:p w14:paraId="42B3A6A9" w14:textId="7258EECF" w:rsidR="00F86860" w:rsidRPr="00AF36DF" w:rsidRDefault="00F86860" w:rsidP="00F86860">
      <w:pPr>
        <w:textAlignment w:val="baseline"/>
      </w:pPr>
      <w:r w:rsidRPr="00DC0051">
        <w:rPr>
          <w:rFonts w:cs="Open Sans"/>
        </w:rPr>
        <w:t>This year also saw significant national focus on the need for reforms to Australia’s national system for protecting human rights</w:t>
      </w:r>
      <w:r w:rsidR="00773C84">
        <w:rPr>
          <w:rFonts w:cs="Open Sans"/>
        </w:rPr>
        <w:t xml:space="preserve">. This </w:t>
      </w:r>
      <w:r w:rsidRPr="00DC0051">
        <w:rPr>
          <w:rFonts w:cs="Open Sans"/>
        </w:rPr>
        <w:t xml:space="preserve">has been a major focus of the Commission’s Free and Equal project led by me, as President – drawing together all aspects of the Commission’s </w:t>
      </w:r>
      <w:r w:rsidR="00F373B6">
        <w:rPr>
          <w:rFonts w:cs="Open Sans"/>
        </w:rPr>
        <w:t>sta</w:t>
      </w:r>
      <w:r w:rsidR="00BE69D6">
        <w:rPr>
          <w:rFonts w:cs="Open Sans"/>
        </w:rPr>
        <w:t>t</w:t>
      </w:r>
      <w:r w:rsidR="00F373B6">
        <w:rPr>
          <w:rFonts w:cs="Open Sans"/>
        </w:rPr>
        <w:t>utory</w:t>
      </w:r>
      <w:r w:rsidRPr="00DC0051">
        <w:rPr>
          <w:rFonts w:cs="Open Sans"/>
        </w:rPr>
        <w:t xml:space="preserve"> mandate. In March 2023, the Commission released a position paper </w:t>
      </w:r>
      <w:r w:rsidRPr="00437C60">
        <w:rPr>
          <w:rStyle w:val="Emphasis"/>
        </w:rPr>
        <w:t>A Human Rights Act for Australia</w:t>
      </w:r>
      <w:r w:rsidRPr="00DC0051">
        <w:rPr>
          <w:rFonts w:cs="Open Sans"/>
        </w:rPr>
        <w:t xml:space="preserve"> detailing a model federal Human Rights Act. This is the key missing piece of legislative architecture in Australia to ensure that people’s human rights are fully considered in decision-making processes by Government. Its enactment would improve transparency and accountability for human rights and ensure that </w:t>
      </w:r>
      <w:r w:rsidR="00F373B6">
        <w:rPr>
          <w:rFonts w:cs="Open Sans"/>
        </w:rPr>
        <w:t xml:space="preserve">all </w:t>
      </w:r>
      <w:r w:rsidRPr="00DC0051">
        <w:rPr>
          <w:rFonts w:cs="Open Sans"/>
        </w:rPr>
        <w:t>people’s rights matter all of the time.</w:t>
      </w:r>
    </w:p>
    <w:p w14:paraId="7ED5AC1A" w14:textId="70A3F04A" w:rsidR="00F86860" w:rsidRPr="00AF36DF" w:rsidRDefault="1B9B3347" w:rsidP="644940EB">
      <w:pPr>
        <w:textAlignment w:val="baseline"/>
        <w:rPr>
          <w:rFonts w:cs="Open Sans"/>
        </w:rPr>
      </w:pPr>
      <w:r w:rsidRPr="644940EB">
        <w:rPr>
          <w:rFonts w:cs="Open Sans"/>
        </w:rPr>
        <w:t xml:space="preserve">Immediately following the release of this position paper, the federal Attorney-General established an inquiry into whether Australia needs a new Human Rights Framework and whether such a framework should include a Human Rights Act. The </w:t>
      </w:r>
      <w:r w:rsidR="00737159">
        <w:rPr>
          <w:rFonts w:cs="Open Sans"/>
        </w:rPr>
        <w:t xml:space="preserve">Parliamentary Joint Committee on Human Rights invited submission in relation </w:t>
      </w:r>
      <w:r w:rsidRPr="644940EB">
        <w:rPr>
          <w:rFonts w:cs="Open Sans"/>
        </w:rPr>
        <w:t>to the Commission’s model as a basis for reform. The Parliamentary Joint Committee on Human Rights</w:t>
      </w:r>
      <w:r w:rsidR="785DF036" w:rsidRPr="644940EB">
        <w:rPr>
          <w:rFonts w:cs="Open Sans"/>
        </w:rPr>
        <w:t>-</w:t>
      </w:r>
      <w:r w:rsidR="7392492A" w:rsidRPr="644940EB">
        <w:rPr>
          <w:rFonts w:cs="Open Sans"/>
        </w:rPr>
        <w:t>le</w:t>
      </w:r>
      <w:r w:rsidR="389E60B8" w:rsidRPr="644940EB">
        <w:rPr>
          <w:rFonts w:cs="Open Sans"/>
        </w:rPr>
        <w:t>d inquiry</w:t>
      </w:r>
      <w:r w:rsidRPr="644940EB">
        <w:rPr>
          <w:rFonts w:cs="Open Sans"/>
        </w:rPr>
        <w:t xml:space="preserve"> is due to report in March 2024. The Commission is encouraged by the extremely high degree of </w:t>
      </w:r>
      <w:r w:rsidR="33C3DFD3" w:rsidRPr="644940EB">
        <w:rPr>
          <w:rFonts w:cs="Open Sans"/>
        </w:rPr>
        <w:t xml:space="preserve">support </w:t>
      </w:r>
      <w:r w:rsidRPr="644940EB">
        <w:rPr>
          <w:rFonts w:cs="Open Sans"/>
        </w:rPr>
        <w:t xml:space="preserve">among submissions for </w:t>
      </w:r>
      <w:r w:rsidR="389E60B8" w:rsidRPr="644940EB">
        <w:rPr>
          <w:rFonts w:cs="Open Sans"/>
        </w:rPr>
        <w:t>our</w:t>
      </w:r>
      <w:r w:rsidRPr="644940EB">
        <w:rPr>
          <w:rFonts w:cs="Open Sans"/>
        </w:rPr>
        <w:t xml:space="preserve"> model </w:t>
      </w:r>
      <w:r w:rsidR="0DA5A7F1" w:rsidRPr="644940EB">
        <w:rPr>
          <w:rFonts w:cs="Open Sans"/>
        </w:rPr>
        <w:t xml:space="preserve">to </w:t>
      </w:r>
      <w:r w:rsidRPr="644940EB">
        <w:rPr>
          <w:rFonts w:cs="Open Sans"/>
        </w:rPr>
        <w:t>tak</w:t>
      </w:r>
      <w:r w:rsidR="0DA5A7F1" w:rsidRPr="644940EB">
        <w:rPr>
          <w:rFonts w:cs="Open Sans"/>
        </w:rPr>
        <w:t>e</w:t>
      </w:r>
      <w:r w:rsidRPr="644940EB">
        <w:rPr>
          <w:rFonts w:cs="Open Sans"/>
        </w:rPr>
        <w:t xml:space="preserve"> this forward.</w:t>
      </w:r>
    </w:p>
    <w:p w14:paraId="1A800C2E" w14:textId="17A9A2FB" w:rsidR="00F86860" w:rsidRPr="00AF36DF" w:rsidRDefault="1B9B3347" w:rsidP="00F86860">
      <w:pPr>
        <w:textAlignment w:val="baseline"/>
      </w:pPr>
      <w:r w:rsidRPr="644940EB">
        <w:rPr>
          <w:rFonts w:cs="Open Sans"/>
        </w:rPr>
        <w:t>In a submission to this inquiry in June 2023, the Commission set out a comprehensive agenda for a new Human Rights Framework that include</w:t>
      </w:r>
      <w:r w:rsidR="243AFD84" w:rsidRPr="644940EB">
        <w:rPr>
          <w:rFonts w:cs="Open Sans"/>
        </w:rPr>
        <w:t>s</w:t>
      </w:r>
      <w:r w:rsidRPr="644940EB">
        <w:rPr>
          <w:rFonts w:cs="Open Sans"/>
        </w:rPr>
        <w:t xml:space="preserve"> the national Human Rights Act model, as well as measures to improve the effectiveness of federal discrimination laws, Parliament</w:t>
      </w:r>
      <w:r w:rsidR="0B120214" w:rsidRPr="644940EB">
        <w:rPr>
          <w:rFonts w:cs="Open Sans"/>
        </w:rPr>
        <w:t>ary oversight</w:t>
      </w:r>
      <w:r w:rsidRPr="644940EB">
        <w:rPr>
          <w:rFonts w:cs="Open Sans"/>
        </w:rPr>
        <w:t xml:space="preserve"> on human rights issues, enhanced human rights education measures and a national indicator framework for human rights. The Commission looks forward to working with Government </w:t>
      </w:r>
      <w:r w:rsidR="784A04E2" w:rsidRPr="644940EB">
        <w:rPr>
          <w:rFonts w:cs="Open Sans"/>
        </w:rPr>
        <w:t>on this</w:t>
      </w:r>
      <w:r w:rsidRPr="644940EB">
        <w:rPr>
          <w:rFonts w:cs="Open Sans"/>
        </w:rPr>
        <w:t xml:space="preserve"> in 2024.</w:t>
      </w:r>
    </w:p>
    <w:p w14:paraId="297A5552" w14:textId="44EA5B25" w:rsidR="00F86860" w:rsidRPr="00AF36DF" w:rsidRDefault="00F86860" w:rsidP="00F86860">
      <w:pPr>
        <w:textAlignment w:val="baseline"/>
      </w:pPr>
      <w:r w:rsidRPr="00DC0051">
        <w:rPr>
          <w:rFonts w:cs="Open Sans"/>
        </w:rPr>
        <w:t>This financial year also saw important developments to protect the institutional integrity of the Commission. New legislation was passed in 2022 that require</w:t>
      </w:r>
      <w:r w:rsidR="0037178B">
        <w:rPr>
          <w:rFonts w:cs="Open Sans"/>
        </w:rPr>
        <w:t>s</w:t>
      </w:r>
      <w:r w:rsidRPr="00DC0051">
        <w:rPr>
          <w:rFonts w:cs="Open Sans"/>
        </w:rPr>
        <w:t xml:space="preserve"> Commissioner</w:t>
      </w:r>
      <w:r w:rsidR="00142CD5">
        <w:rPr>
          <w:rFonts w:cs="Open Sans"/>
        </w:rPr>
        <w:t xml:space="preserve"> </w:t>
      </w:r>
      <w:r w:rsidR="00550418">
        <w:rPr>
          <w:rFonts w:cs="Open Sans"/>
        </w:rPr>
        <w:t>a</w:t>
      </w:r>
      <w:r w:rsidR="00142CD5">
        <w:rPr>
          <w:rFonts w:cs="Open Sans"/>
        </w:rPr>
        <w:t>ppointments</w:t>
      </w:r>
      <w:r w:rsidR="00550418">
        <w:rPr>
          <w:rFonts w:cs="Open Sans"/>
        </w:rPr>
        <w:t xml:space="preserve"> </w:t>
      </w:r>
      <w:r w:rsidRPr="00DC0051">
        <w:rPr>
          <w:rFonts w:cs="Open Sans"/>
        </w:rPr>
        <w:t xml:space="preserve">be on the basis of publicly-advertised, merit-based selection processes. In 2023, guidelines were developed </w:t>
      </w:r>
      <w:r w:rsidR="003076A1">
        <w:rPr>
          <w:rFonts w:cs="Open Sans"/>
        </w:rPr>
        <w:t>and</w:t>
      </w:r>
      <w:r w:rsidRPr="00DC0051">
        <w:rPr>
          <w:rFonts w:cs="Open Sans"/>
        </w:rPr>
        <w:t xml:space="preserve"> released for public consultation</w:t>
      </w:r>
      <w:r w:rsidR="003076A1">
        <w:rPr>
          <w:rFonts w:cs="Open Sans"/>
        </w:rPr>
        <w:t xml:space="preserve">. </w:t>
      </w:r>
      <w:r w:rsidR="00FE06E7">
        <w:rPr>
          <w:rFonts w:cs="Open Sans"/>
        </w:rPr>
        <w:t>These</w:t>
      </w:r>
      <w:r w:rsidRPr="00DC0051">
        <w:rPr>
          <w:rFonts w:cs="Open Sans"/>
        </w:rPr>
        <w:t xml:space="preserve"> will be finalised in September 2023.</w:t>
      </w:r>
    </w:p>
    <w:p w14:paraId="79271E99" w14:textId="332E816F" w:rsidR="00F86860" w:rsidRPr="00AF36DF" w:rsidRDefault="00F86860" w:rsidP="00F86860">
      <w:pPr>
        <w:textAlignment w:val="baseline"/>
      </w:pPr>
      <w:r w:rsidRPr="00DC0051">
        <w:rPr>
          <w:rFonts w:cs="Open Sans"/>
        </w:rPr>
        <w:t xml:space="preserve">These developments occurred in response to findings of an international review of the Commission’s compliance with international standards for robust, independent national human rights institutions (known as the Paris Principles). In April 2022, the accreditation committee of the Global Alliance of National Human Rights Institutions (GANHRI) deferred considering </w:t>
      </w:r>
      <w:r w:rsidR="006674AF">
        <w:rPr>
          <w:rFonts w:cs="Open Sans"/>
        </w:rPr>
        <w:t xml:space="preserve">the </w:t>
      </w:r>
      <w:r w:rsidRPr="00DC0051">
        <w:rPr>
          <w:rFonts w:cs="Open Sans"/>
        </w:rPr>
        <w:t>Commission</w:t>
      </w:r>
      <w:r w:rsidR="000B1855">
        <w:rPr>
          <w:rFonts w:cs="Open Sans"/>
        </w:rPr>
        <w:t xml:space="preserve">’s </w:t>
      </w:r>
      <w:r w:rsidR="00AC10E7">
        <w:rPr>
          <w:rFonts w:cs="Open Sans"/>
        </w:rPr>
        <w:t>‘</w:t>
      </w:r>
      <w:r w:rsidR="000B1855">
        <w:rPr>
          <w:rFonts w:cs="Open Sans"/>
        </w:rPr>
        <w:t>A status</w:t>
      </w:r>
      <w:r w:rsidR="00AC10E7">
        <w:rPr>
          <w:rFonts w:cs="Open Sans"/>
        </w:rPr>
        <w:t>’</w:t>
      </w:r>
      <w:r w:rsidRPr="00DC0051">
        <w:rPr>
          <w:rFonts w:cs="Open Sans"/>
        </w:rPr>
        <w:t xml:space="preserve"> or downgrad</w:t>
      </w:r>
      <w:r w:rsidR="00175481">
        <w:rPr>
          <w:rFonts w:cs="Open Sans"/>
        </w:rPr>
        <w:t>ing it</w:t>
      </w:r>
      <w:r w:rsidRPr="00DC0051">
        <w:rPr>
          <w:rFonts w:cs="Open Sans"/>
        </w:rPr>
        <w:t xml:space="preserve"> to ‘B status‘. Such a downgrade would have undermined Australia’s international reputation on human rights and created a significant diplomatic challenge for Australia.</w:t>
      </w:r>
    </w:p>
    <w:p w14:paraId="30EEE46C" w14:textId="5E96BBF3" w:rsidR="00F86860" w:rsidRPr="00AF36DF" w:rsidRDefault="00F86860" w:rsidP="00F86860">
      <w:pPr>
        <w:textAlignment w:val="baseline"/>
      </w:pPr>
      <w:r w:rsidRPr="00DC0051">
        <w:rPr>
          <w:rFonts w:cs="Open Sans"/>
        </w:rPr>
        <w:t>Addressing GANHRI</w:t>
      </w:r>
      <w:r w:rsidR="009C00B4">
        <w:rPr>
          <w:rFonts w:cs="Open Sans"/>
        </w:rPr>
        <w:t>’s concerns</w:t>
      </w:r>
      <w:r w:rsidRPr="00DC0051">
        <w:rPr>
          <w:rFonts w:cs="Open Sans"/>
        </w:rPr>
        <w:t xml:space="preserve"> has been a major priority for the Commission in this financial year. We are pleased </w:t>
      </w:r>
      <w:r w:rsidR="00060C13">
        <w:rPr>
          <w:rFonts w:cs="Open Sans"/>
        </w:rPr>
        <w:t>at</w:t>
      </w:r>
      <w:r w:rsidRPr="00DC0051">
        <w:rPr>
          <w:rFonts w:cs="Open Sans"/>
        </w:rPr>
        <w:t xml:space="preserve"> the priority given to this issue by the Attorney-General and the Government. The Commission will now re-appear for its accreditation review in October 2023.</w:t>
      </w:r>
    </w:p>
    <w:p w14:paraId="29BFF49C" w14:textId="0262FF8A" w:rsidR="00F86860" w:rsidRPr="00AF36DF" w:rsidRDefault="00F86860" w:rsidP="00F86860">
      <w:pPr>
        <w:textAlignment w:val="baseline"/>
      </w:pPr>
      <w:r w:rsidRPr="00DC0051">
        <w:rPr>
          <w:rFonts w:cs="Open Sans"/>
        </w:rPr>
        <w:t>In addition, our statutory Commissioners continued to lead important projects to better protect the human rights of people in Australia over the course of the past year.</w:t>
      </w:r>
    </w:p>
    <w:p w14:paraId="61DFE359" w14:textId="6E5BBD6E" w:rsidR="00F86860" w:rsidRPr="00AF36DF" w:rsidRDefault="00F86860" w:rsidP="00F86860">
      <w:pPr>
        <w:textAlignment w:val="baseline"/>
      </w:pPr>
      <w:r w:rsidRPr="448905EB">
        <w:rPr>
          <w:rFonts w:cs="Open Sans"/>
        </w:rPr>
        <w:t xml:space="preserve">The Age Discrimination Commissioner, the Hon Dr Kay Patterson AO, continued to push for reforms to prevent elder abuse and to harmonise Enduring Powers of Attorney across the country. She conducted innovative research with caring industries on age stereotyping, which showed powerfully how education and awareness raising can significantly shift attitudes towards older persons in care. Dr Patterson’s </w:t>
      </w:r>
      <w:r w:rsidR="00EF4D6C" w:rsidRPr="448905EB">
        <w:rPr>
          <w:rFonts w:cs="Open Sans"/>
        </w:rPr>
        <w:t>seven</w:t>
      </w:r>
      <w:r w:rsidR="004F1875" w:rsidRPr="448905EB">
        <w:rPr>
          <w:rFonts w:cs="Open Sans"/>
        </w:rPr>
        <w:t>-</w:t>
      </w:r>
      <w:r w:rsidRPr="448905EB">
        <w:rPr>
          <w:rFonts w:cs="Open Sans"/>
        </w:rPr>
        <w:t>year term as Commissioner ended in July 2023. Her term culminated with a national art exhibition, 100 Canberra, which is one of the largest inter-generational project</w:t>
      </w:r>
      <w:r w:rsidR="00030F0D" w:rsidRPr="448905EB">
        <w:rPr>
          <w:rFonts w:cs="Open Sans"/>
        </w:rPr>
        <w:t>s</w:t>
      </w:r>
      <w:r w:rsidRPr="448905EB">
        <w:rPr>
          <w:rFonts w:cs="Open Sans"/>
        </w:rPr>
        <w:t xml:space="preserve"> in Australia. </w:t>
      </w:r>
      <w:r w:rsidR="00BF5298" w:rsidRPr="448905EB">
        <w:rPr>
          <w:rFonts w:cs="Open Sans"/>
        </w:rPr>
        <w:t xml:space="preserve">The </w:t>
      </w:r>
      <w:r w:rsidRPr="448905EB">
        <w:rPr>
          <w:rFonts w:cs="Open Sans"/>
        </w:rPr>
        <w:t>Commissioner partnered on this project</w:t>
      </w:r>
      <w:r w:rsidR="00800189" w:rsidRPr="448905EB">
        <w:rPr>
          <w:rFonts w:cs="Open Sans"/>
        </w:rPr>
        <w:t>,</w:t>
      </w:r>
      <w:r w:rsidRPr="448905EB">
        <w:rPr>
          <w:rFonts w:cs="Open Sans"/>
        </w:rPr>
        <w:t xml:space="preserve"> which saw 465 teenagers form friendships and paint portraits of 465 centenarians nation-wide</w:t>
      </w:r>
      <w:r w:rsidR="004240D6" w:rsidRPr="448905EB">
        <w:rPr>
          <w:rFonts w:cs="Open Sans"/>
        </w:rPr>
        <w:t>, over several years</w:t>
      </w:r>
      <w:r w:rsidRPr="448905EB">
        <w:rPr>
          <w:rFonts w:cs="Open Sans"/>
        </w:rPr>
        <w:t>.</w:t>
      </w:r>
    </w:p>
    <w:p w14:paraId="59337C57" w14:textId="6427369B" w:rsidR="00F86860" w:rsidRPr="00146346" w:rsidRDefault="00F86860" w:rsidP="00F86860">
      <w:pPr>
        <w:textAlignment w:val="baseline"/>
      </w:pPr>
      <w:r w:rsidRPr="448905EB">
        <w:rPr>
          <w:rFonts w:cs="Open Sans"/>
        </w:rPr>
        <w:t xml:space="preserve">The Aboriginal and Torres Strait Islander Social Justice Commissioner, Ms June Oscar AO, continued her focus on the human rights of Indigenous women and girls. The Wiyi Yani U Thangani (Women's Voices) National Summit was held over three days from 9-11 May 2023, preceded by a one-day Youth Forum on 8 May 2023. The Summit brought together over 800 First Nations women delegates from across Australia, for decision-making, innovation and celebration. The Summit built on an online women’s safety forum conducted in November 2022, </w:t>
      </w:r>
      <w:r w:rsidR="00B92F0A" w:rsidRPr="448905EB">
        <w:rPr>
          <w:rFonts w:cs="Open Sans"/>
        </w:rPr>
        <w:t>both</w:t>
      </w:r>
      <w:r w:rsidRPr="448905EB">
        <w:rPr>
          <w:rFonts w:cs="Open Sans"/>
        </w:rPr>
        <w:t xml:space="preserve"> contributing to the development of a new National Framework for Action on First Nations Gender Justice and Equality.</w:t>
      </w:r>
    </w:p>
    <w:p w14:paraId="5FBEC594" w14:textId="759F3B39" w:rsidR="00F86860" w:rsidRPr="00146346" w:rsidRDefault="00F86860" w:rsidP="00F86860">
      <w:pPr>
        <w:textAlignment w:val="baseline"/>
      </w:pPr>
      <w:r w:rsidRPr="00DC0051">
        <w:rPr>
          <w:rFonts w:cs="Open Sans"/>
        </w:rPr>
        <w:t>The Disability Discrimination Commissioner, Dr Ben Gauntlett, concluded his term as Commissioner on 30 June 2023 to take up an appointment to the new National Anti-Corruption Commission. Dr Gauntlett led the Commission’s IncludeAbility project, which aims to increase access to meaningful employment opportunities for people with a disability. The project was funded by the Department of Social Services and the Paul Ramsay Foundation, with engagement from leading employers across Australia in place-based pilots. Preliminary results from the project are very encouraging, with the majority of participants securing ongoing employment at award wages</w:t>
      </w:r>
      <w:r w:rsidR="00AB7CDE">
        <w:rPr>
          <w:rFonts w:cs="Open Sans"/>
        </w:rPr>
        <w:t>. S</w:t>
      </w:r>
      <w:r w:rsidRPr="00DC0051">
        <w:rPr>
          <w:rFonts w:cs="Open Sans"/>
        </w:rPr>
        <w:t xml:space="preserve">tage </w:t>
      </w:r>
      <w:r w:rsidR="00974BA3">
        <w:rPr>
          <w:rFonts w:cs="Open Sans"/>
        </w:rPr>
        <w:t>2</w:t>
      </w:r>
      <w:r w:rsidRPr="00DC0051">
        <w:rPr>
          <w:rFonts w:cs="Open Sans"/>
        </w:rPr>
        <w:t xml:space="preserve"> of the project is currently in development.</w:t>
      </w:r>
    </w:p>
    <w:p w14:paraId="2B492B27" w14:textId="2FB8A311" w:rsidR="00F86860" w:rsidRPr="00146346" w:rsidRDefault="00F86860" w:rsidP="00F86860">
      <w:pPr>
        <w:textAlignment w:val="baseline"/>
      </w:pPr>
      <w:r w:rsidRPr="00DC0051">
        <w:rPr>
          <w:rFonts w:cs="Open Sans"/>
        </w:rPr>
        <w:t>The National Children’s Commissioner, Ms Anne Hollonds, spotlighted significant problems with the nation’s juvenile justice</w:t>
      </w:r>
      <w:r w:rsidR="00B514D9">
        <w:rPr>
          <w:rFonts w:cs="Open Sans"/>
        </w:rPr>
        <w:t>,</w:t>
      </w:r>
      <w:r w:rsidRPr="00DC0051">
        <w:rPr>
          <w:rFonts w:cs="Open Sans"/>
        </w:rPr>
        <w:t xml:space="preserve"> care and protection systems. </w:t>
      </w:r>
      <w:r w:rsidR="00A11788">
        <w:rPr>
          <w:rFonts w:cs="Open Sans"/>
        </w:rPr>
        <w:t>In t</w:t>
      </w:r>
      <w:r w:rsidR="002459D0">
        <w:rPr>
          <w:rFonts w:cs="Open Sans"/>
        </w:rPr>
        <w:t xml:space="preserve">his </w:t>
      </w:r>
      <w:r w:rsidR="00A11788">
        <w:rPr>
          <w:rFonts w:cs="Open Sans"/>
        </w:rPr>
        <w:t xml:space="preserve">reporting </w:t>
      </w:r>
      <w:r w:rsidR="002459D0">
        <w:rPr>
          <w:rFonts w:cs="Open Sans"/>
        </w:rPr>
        <w:t>year</w:t>
      </w:r>
      <w:r w:rsidR="00A11788">
        <w:rPr>
          <w:rFonts w:cs="Open Sans"/>
        </w:rPr>
        <w:t>,</w:t>
      </w:r>
      <w:r w:rsidR="002459D0">
        <w:rPr>
          <w:rFonts w:cs="Open Sans"/>
        </w:rPr>
        <w:t xml:space="preserve"> s</w:t>
      </w:r>
      <w:r w:rsidRPr="00DC0051">
        <w:rPr>
          <w:rFonts w:cs="Open Sans"/>
        </w:rPr>
        <w:t xml:space="preserve">he commenced national consultations on juvenile justice, which will culminate in a National Children’s Report to Parliament in 2024. This work is supplemented by national consultations with marginalised and vulnerable children under a range of national frameworks </w:t>
      </w:r>
      <w:r w:rsidR="3EE8E8E2" w:rsidRPr="00DC0051">
        <w:rPr>
          <w:rFonts w:cs="Open Sans"/>
        </w:rPr>
        <w:t xml:space="preserve">(including the National Frameworks for Protecting Australia’s Children, National Plan to End Violence against Women and </w:t>
      </w:r>
      <w:r w:rsidR="127692F7" w:rsidRPr="00DC0051">
        <w:rPr>
          <w:rFonts w:cs="Open Sans"/>
        </w:rPr>
        <w:t>Children</w:t>
      </w:r>
      <w:r w:rsidR="3EE8E8E2" w:rsidRPr="00DC0051">
        <w:rPr>
          <w:rFonts w:cs="Open Sans"/>
        </w:rPr>
        <w:t xml:space="preserve">, National </w:t>
      </w:r>
      <w:r w:rsidR="62C2A4EE" w:rsidRPr="00DC0051">
        <w:rPr>
          <w:rFonts w:cs="Open Sans"/>
        </w:rPr>
        <w:t>Aboriginal and Torres Strait Islander Early Childhood Strategy</w:t>
      </w:r>
      <w:r w:rsidR="487BADEB" w:rsidRPr="00DC0051">
        <w:rPr>
          <w:rFonts w:cs="Open Sans"/>
        </w:rPr>
        <w:t>)</w:t>
      </w:r>
      <w:r w:rsidR="62C2A4EE" w:rsidRPr="00DC0051">
        <w:rPr>
          <w:rFonts w:cs="Open Sans"/>
        </w:rPr>
        <w:t xml:space="preserve"> </w:t>
      </w:r>
      <w:r w:rsidR="00033A0E">
        <w:rPr>
          <w:rFonts w:cs="Open Sans"/>
        </w:rPr>
        <w:t>and</w:t>
      </w:r>
      <w:r w:rsidRPr="00DC0051">
        <w:rPr>
          <w:rFonts w:cs="Open Sans"/>
        </w:rPr>
        <w:t xml:space="preserve"> in partnership with multiple government departments, led by the Department of Social Services. Insights from earlier consultations with vulnerable children were published in the </w:t>
      </w:r>
      <w:r w:rsidR="00A97398">
        <w:rPr>
          <w:rFonts w:cs="Open Sans"/>
        </w:rPr>
        <w:t>2022</w:t>
      </w:r>
      <w:r w:rsidRPr="00DC0051">
        <w:rPr>
          <w:rFonts w:cs="Open Sans"/>
        </w:rPr>
        <w:t xml:space="preserve"> </w:t>
      </w:r>
      <w:r w:rsidRPr="00437C60">
        <w:rPr>
          <w:rStyle w:val="Emphasis"/>
        </w:rPr>
        <w:t xml:space="preserve">Keeping kids safe and well – your voices </w:t>
      </w:r>
      <w:r w:rsidRPr="00DC0051">
        <w:rPr>
          <w:rFonts w:cs="Open Sans"/>
        </w:rPr>
        <w:t>report.</w:t>
      </w:r>
    </w:p>
    <w:p w14:paraId="49CC758F" w14:textId="1ADCAA1D" w:rsidR="00F86860" w:rsidRPr="00146346" w:rsidRDefault="00F86860" w:rsidP="00F86860">
      <w:pPr>
        <w:textAlignment w:val="baseline"/>
      </w:pPr>
      <w:r w:rsidRPr="00DC0051">
        <w:rPr>
          <w:rFonts w:cs="Open Sans"/>
        </w:rPr>
        <w:t>The Human Rights Commissioner, Ms Lorraine Finlay, led partnerships with banking and actuarial industries to develop guidance material on the use of artificial intelligence in decision making processes</w:t>
      </w:r>
      <w:r w:rsidR="00A06E5E">
        <w:rPr>
          <w:rFonts w:cs="Open Sans"/>
        </w:rPr>
        <w:t>. She</w:t>
      </w:r>
      <w:r w:rsidRPr="00DC0051">
        <w:rPr>
          <w:rFonts w:cs="Open Sans"/>
        </w:rPr>
        <w:t xml:space="preserve"> continued to advocate for the full and effective implementation of the Optional Protocol to the Convention Against Torture (OPCAT) in Australia. This would see effective oversight of places of detention to ensure people are treated appropriately – be they children in police watchhouses, Aboriginal and Torres Strait Islander peoples in their engagement with justice officials, persons with disability</w:t>
      </w:r>
      <w:r w:rsidR="0005402C">
        <w:rPr>
          <w:rFonts w:cs="Open Sans"/>
        </w:rPr>
        <w:t>,</w:t>
      </w:r>
      <w:r w:rsidRPr="00DC0051">
        <w:rPr>
          <w:rFonts w:cs="Open Sans"/>
        </w:rPr>
        <w:t xml:space="preserve"> older persons in secure facilities, or refugees and asylum seekers in immigration detention in Australia and in offshore facilities under the effective control of Australia. The Commissioner also conducted inspections of immigration detention facilities, noting the inappropriateness of the detention of people in Alternative Places of Detentions (APODs) for lengthy time periods.</w:t>
      </w:r>
    </w:p>
    <w:p w14:paraId="3C1D3E8A" w14:textId="0EE65355" w:rsidR="00F86860" w:rsidRPr="00146346" w:rsidRDefault="00F86860" w:rsidP="00F86860">
      <w:pPr>
        <w:textAlignment w:val="baseline"/>
      </w:pPr>
      <w:r w:rsidRPr="00DC0051">
        <w:rPr>
          <w:rFonts w:cs="Open Sans"/>
        </w:rPr>
        <w:t>As a team, the Commissioners and staff delivered a new and innovative annual Human Rights Awards event in December 2022. With a more accessible venue and format, the Awards were shared with over 500 people in person and online. They were a diverse and inclusive celebration of human rights heroes from communities across Australia with awards for young people and children, those working in communities, in the legal profession along with the overarching human rights medal winners.</w:t>
      </w:r>
    </w:p>
    <w:p w14:paraId="799C385A" w14:textId="53EF28C3" w:rsidR="00F86860" w:rsidRPr="00146346" w:rsidRDefault="00F86860" w:rsidP="00F86860">
      <w:pPr>
        <w:textAlignment w:val="baseline"/>
      </w:pPr>
      <w:r w:rsidRPr="00DC0051">
        <w:rPr>
          <w:rFonts w:cs="Open Sans"/>
        </w:rPr>
        <w:t>This is the public facing work of the Commission. Behind the scenes, our leadership team and corporate service areas have worked long and hard on further tightening our financial management systems and on implementing new governance mechanisms to provide enhanced oversight on finances and budget, project management, organisational culture</w:t>
      </w:r>
      <w:r w:rsidR="0014452A">
        <w:rPr>
          <w:rFonts w:cs="Open Sans"/>
        </w:rPr>
        <w:t>,</w:t>
      </w:r>
      <w:r w:rsidRPr="00DC0051">
        <w:rPr>
          <w:rFonts w:cs="Open Sans"/>
        </w:rPr>
        <w:t xml:space="preserve"> and strategic engagement processes.</w:t>
      </w:r>
    </w:p>
    <w:p w14:paraId="7CBD3BB6" w14:textId="2CA9F9FF" w:rsidR="00F86860" w:rsidRPr="00146346" w:rsidRDefault="00F86860" w:rsidP="00F86860">
      <w:pPr>
        <w:textAlignment w:val="baseline"/>
      </w:pPr>
      <w:r w:rsidRPr="00DC0051">
        <w:rPr>
          <w:rFonts w:cs="Open Sans"/>
        </w:rPr>
        <w:t xml:space="preserve">The next year will focus significantly on rebuilding key infrastructure to support the Commission’s work – from our website and internal systems, to a new office location in Sydney. All of </w:t>
      </w:r>
      <w:r w:rsidR="002944F5">
        <w:rPr>
          <w:rFonts w:cs="Open Sans"/>
        </w:rPr>
        <w:t>these initiatives are</w:t>
      </w:r>
      <w:r w:rsidRPr="00DC0051">
        <w:rPr>
          <w:rFonts w:cs="Open Sans"/>
        </w:rPr>
        <w:t xml:space="preserve"> part of a significant institutional renewal of the Commission</w:t>
      </w:r>
      <w:r w:rsidR="002944F5">
        <w:rPr>
          <w:rFonts w:cs="Open Sans"/>
        </w:rPr>
        <w:t>;</w:t>
      </w:r>
      <w:r w:rsidRPr="00DC0051">
        <w:rPr>
          <w:rFonts w:cs="Open Sans"/>
        </w:rPr>
        <w:t xml:space="preserve"> from its leadership, governance and systems, to building substantive change that better promotes human rights in legislation, policy and practice.</w:t>
      </w:r>
    </w:p>
    <w:p w14:paraId="1ABCF982" w14:textId="23A6BAD8" w:rsidR="00F86860" w:rsidRPr="00146346" w:rsidRDefault="00F86860" w:rsidP="00F86860">
      <w:pPr>
        <w:textAlignment w:val="baseline"/>
      </w:pPr>
      <w:r w:rsidRPr="00DC0051">
        <w:rPr>
          <w:rFonts w:cs="Open Sans"/>
        </w:rPr>
        <w:t xml:space="preserve">Each chapter in the Commission’s history is marked by </w:t>
      </w:r>
      <w:r w:rsidR="009979AC">
        <w:rPr>
          <w:rFonts w:cs="Open Sans"/>
        </w:rPr>
        <w:t>a</w:t>
      </w:r>
      <w:r w:rsidR="009979AC" w:rsidRPr="00DC0051">
        <w:rPr>
          <w:rFonts w:cs="Open Sans"/>
        </w:rPr>
        <w:t xml:space="preserve"> </w:t>
      </w:r>
      <w:r w:rsidRPr="00DC0051">
        <w:rPr>
          <w:rFonts w:cs="Open Sans"/>
        </w:rPr>
        <w:t>strong record of advocacy for human rights protections and law reform, and to the resolution of human rights disputes for thousands upon thousands of Australians, through effective alternative dispute resolution outside the court system.</w:t>
      </w:r>
    </w:p>
    <w:p w14:paraId="72F2CBB8" w14:textId="5735E94A" w:rsidR="00211AC8" w:rsidRDefault="00AB7597" w:rsidP="00C33610">
      <w:pPr>
        <w:textAlignment w:val="baseline"/>
        <w:rPr>
          <w:rFonts w:cs="Open Sans"/>
        </w:rPr>
      </w:pPr>
      <w:r>
        <w:rPr>
          <w:rFonts w:cs="Open Sans"/>
          <w:noProof/>
        </w:rPr>
        <w:drawing>
          <wp:anchor distT="0" distB="0" distL="114300" distR="114300" simplePos="0" relativeHeight="251658240" behindDoc="0" locked="0" layoutInCell="1" allowOverlap="1" wp14:anchorId="7DA2E8B9" wp14:editId="1E661C8C">
            <wp:simplePos x="0" y="0"/>
            <wp:positionH relativeFrom="margin">
              <wp:align>left</wp:align>
            </wp:positionH>
            <wp:positionV relativeFrom="paragraph">
              <wp:posOffset>785495</wp:posOffset>
            </wp:positionV>
            <wp:extent cx="1965960" cy="730471"/>
            <wp:effectExtent l="0" t="0" r="0" b="0"/>
            <wp:wrapSquare wrapText="bothSides"/>
            <wp:docPr id="1823023760" name="Picture 1823023760"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023760" name="Picture 1" descr="A close-up of a signatur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1965960" cy="730471"/>
                    </a:xfrm>
                    <a:prstGeom prst="rect">
                      <a:avLst/>
                    </a:prstGeom>
                  </pic:spPr>
                </pic:pic>
              </a:graphicData>
            </a:graphic>
          </wp:anchor>
        </w:drawing>
      </w:r>
      <w:r w:rsidR="00F86860" w:rsidRPr="2832F822">
        <w:rPr>
          <w:rFonts w:cs="Open Sans"/>
        </w:rPr>
        <w:t>I thank all of the staff and Commissioners for their dedicated contributions over this past financial year, and I look forward to achieving further significant protections of human rights for all in Australia in the year to come.</w:t>
      </w:r>
    </w:p>
    <w:p w14:paraId="1595CEA8" w14:textId="491F7770" w:rsidR="2832F822" w:rsidRDefault="2832F822" w:rsidP="2832F822">
      <w:pPr>
        <w:rPr>
          <w:rFonts w:cs="Open Sans"/>
        </w:rPr>
      </w:pPr>
    </w:p>
    <w:p w14:paraId="49BA007A" w14:textId="1197F271" w:rsidR="00C33610" w:rsidRPr="00146346" w:rsidRDefault="00C33610" w:rsidP="00146346"/>
    <w:p w14:paraId="1453325D" w14:textId="20615903" w:rsidR="00F86860" w:rsidRPr="00C33610" w:rsidRDefault="00F86860" w:rsidP="00C33610">
      <w:r w:rsidRPr="00C33610">
        <w:t>Emeritus Professor Rosalind Croucher AM </w:t>
      </w:r>
      <w:r w:rsidR="005204C2" w:rsidRPr="00C33610">
        <w:t>FAAL FRSA FACLM(Hon)</w:t>
      </w:r>
    </w:p>
    <w:p w14:paraId="56BFCCF6" w14:textId="073892B8" w:rsidR="00F86860" w:rsidRPr="00C33610" w:rsidRDefault="00F86860" w:rsidP="00C33610">
      <w:pPr>
        <w:rPr>
          <w:rStyle w:val="Strong"/>
        </w:rPr>
      </w:pPr>
      <w:r w:rsidRPr="2832F822">
        <w:rPr>
          <w:rStyle w:val="Strong"/>
        </w:rPr>
        <w:t>President</w:t>
      </w:r>
    </w:p>
    <w:p w14:paraId="073729AE" w14:textId="77777777" w:rsidR="00F86860" w:rsidRPr="00C33610" w:rsidRDefault="00F86860" w:rsidP="00C33610"/>
    <w:p w14:paraId="723E5DA0" w14:textId="71B27B18" w:rsidR="00C33610" w:rsidRDefault="00C33610">
      <w:pPr>
        <w:spacing w:before="0" w:after="0" w:line="240" w:lineRule="auto"/>
        <w:rPr>
          <w:rFonts w:cs="Open Sans"/>
        </w:rPr>
      </w:pPr>
      <w:r>
        <w:rPr>
          <w:rFonts w:cs="Open Sans"/>
        </w:rPr>
        <w:br w:type="page"/>
      </w:r>
    </w:p>
    <w:p w14:paraId="40151B8C" w14:textId="49F09D26" w:rsidR="00211AC8" w:rsidRPr="004E286A" w:rsidRDefault="00211AC8" w:rsidP="004E286A">
      <w:pPr>
        <w:pStyle w:val="Heading1"/>
      </w:pPr>
      <w:bookmarkStart w:id="28" w:name="_Toc146437041"/>
      <w:r>
        <w:t>Annual Performance Statement</w:t>
      </w:r>
      <w:bookmarkEnd w:id="28"/>
    </w:p>
    <w:p w14:paraId="04CEA174" w14:textId="61A62DA9" w:rsidR="00211AC8" w:rsidRPr="00C33610" w:rsidRDefault="00142BAD" w:rsidP="00F16714">
      <w:pPr>
        <w:jc w:val="center"/>
        <w:rPr>
          <w:rFonts w:eastAsia="MS Mincho"/>
        </w:rPr>
      </w:pPr>
      <w:r>
        <w:rPr>
          <w:rFonts w:eastAsia="MS Mincho"/>
          <w:noProof/>
        </w:rPr>
        <w:drawing>
          <wp:inline distT="0" distB="0" distL="0" distR="0" wp14:anchorId="3F329CF0" wp14:editId="7C14E630">
            <wp:extent cx="5405431" cy="7649155"/>
            <wp:effectExtent l="0" t="0" r="0" b="0"/>
            <wp:docPr id="1225031043" name="Picture 1225031043" descr="ACCOUNTABLE AUTHORITY LETTER&#10;&#10;As the Accountable Authority for the Australian Human Rights Commission, I present the Commission’s 2022–2023 Annual Performance Statement. &#10;&#10;The statement has been prepared as required under section 39(1)(a) of the Public Governance, Performance and Accountability Act 2013 (Cth). &#10;&#10;In my opinion, this statement accurately presents the performance of the Commission in the reporting period and complies with section 39(2) of the Public Governance Performance and Accountability Act 2013 (Cth).&#10;&#10;Emeritus Professor Rosalind Croucher AM FAAL FRSA FACLM (Hon)&#10;President &#10;&#10;25 September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31043" name="Picture 1225031043" descr="ACCOUNTABLE AUTHORITY LETTER&#10;&#10;As the Accountable Authority for the Australian Human Rights Commission, I present the Commission’s 2022–2023 Annual Performance Statement. &#10;&#10;The statement has been prepared as required under section 39(1)(a) of the Public Governance, Performance and Accountability Act 2013 (Cth). &#10;&#10;In my opinion, this statement accurately presents the performance of the Commission in the reporting period and complies with section 39(2) of the Public Governance Performance and Accountability Act 2013 (Cth).&#10;&#10;Emeritus Professor Rosalind Croucher AM FAAL FRSA FACLM (Hon)&#10;President &#10;&#10;25 September 2023"/>
                    <pic:cNvPicPr/>
                  </pic:nvPicPr>
                  <pic:blipFill>
                    <a:blip r:embed="rId25">
                      <a:extLst>
                        <a:ext uri="{28A0092B-C50C-407E-A947-70E740481C1C}">
                          <a14:useLocalDpi xmlns:a14="http://schemas.microsoft.com/office/drawing/2010/main" val="0"/>
                        </a:ext>
                      </a:extLst>
                    </a:blip>
                    <a:stretch>
                      <a:fillRect/>
                    </a:stretch>
                  </pic:blipFill>
                  <pic:spPr>
                    <a:xfrm>
                      <a:off x="0" y="0"/>
                      <a:ext cx="5424471" cy="7676098"/>
                    </a:xfrm>
                    <a:prstGeom prst="rect">
                      <a:avLst/>
                    </a:prstGeom>
                  </pic:spPr>
                </pic:pic>
              </a:graphicData>
            </a:graphic>
          </wp:inline>
        </w:drawing>
      </w:r>
    </w:p>
    <w:p w14:paraId="3C3165DD" w14:textId="3FD75806" w:rsidR="00DC0051" w:rsidRPr="00C33610" w:rsidRDefault="00937E19" w:rsidP="00C33610">
      <w:pPr>
        <w:pStyle w:val="Heading2"/>
      </w:pPr>
      <w:bookmarkStart w:id="29" w:name="_Toc146437042"/>
      <w:r>
        <w:t xml:space="preserve">Introduction to </w:t>
      </w:r>
      <w:r w:rsidR="00D75484" w:rsidRPr="00FE5940">
        <w:t>Results</w:t>
      </w:r>
      <w:bookmarkEnd w:id="29"/>
    </w:p>
    <w:p w14:paraId="66E6EBA8" w14:textId="345E0062" w:rsidR="00AB6973" w:rsidRPr="00146346" w:rsidRDefault="00DD698D" w:rsidP="00146346">
      <w:r w:rsidRPr="00146346">
        <w:t>Measuring our impact (what difference, what benefit), in the context and nature of our work, is important but complex. Progress indicators are mapped to each outcome</w:t>
      </w:r>
      <w:r w:rsidR="007A71EA" w:rsidRPr="00146346">
        <w:t xml:space="preserve"> and</w:t>
      </w:r>
      <w:r w:rsidRPr="00146346">
        <w:t xml:space="preserve"> provide reasonable evidence of contribution to the outcome</w:t>
      </w:r>
      <w:r w:rsidR="001A2576" w:rsidRPr="00146346">
        <w:t xml:space="preserve">. </w:t>
      </w:r>
      <w:r w:rsidRPr="00146346">
        <w:t>While some measure the direct attributions of the Commission’s work, other</w:t>
      </w:r>
      <w:r w:rsidR="003F1CB1" w:rsidRPr="00146346">
        <w:t>s</w:t>
      </w:r>
      <w:r w:rsidRPr="00146346">
        <w:t xml:space="preserve"> capture stories and case studies to document our contributions to the </w:t>
      </w:r>
      <w:r w:rsidR="00F060C9" w:rsidRPr="00146346">
        <w:t xml:space="preserve">relevant </w:t>
      </w:r>
      <w:r w:rsidRPr="00146346">
        <w:t>outcome</w:t>
      </w:r>
      <w:r w:rsidR="00341891" w:rsidRPr="00146346">
        <w:t>. These</w:t>
      </w:r>
      <w:r w:rsidRPr="00146346">
        <w:t xml:space="preserve"> are often best understood when seen in the context of multi-year programs, advocacy and submissions to the courts.</w:t>
      </w:r>
    </w:p>
    <w:p w14:paraId="238A8B9E" w14:textId="4E081760" w:rsidR="00AB6973" w:rsidRPr="00146346" w:rsidRDefault="3D5466E0" w:rsidP="00146346">
      <w:r>
        <w:t>The Commission draws on a monitoring, evaluation, accountability and learning approach. This includes utilising mixed method approaches of data collection, surveys,</w:t>
      </w:r>
      <w:r w:rsidR="50B89C0B">
        <w:t xml:space="preserve"> interviews</w:t>
      </w:r>
      <w:r w:rsidR="22E0E46D">
        <w:t>,</w:t>
      </w:r>
      <w:r w:rsidR="50B89C0B">
        <w:t xml:space="preserve"> feedback from stakeholders, and</w:t>
      </w:r>
      <w:r>
        <w:t xml:space="preserve"> stories of change </w:t>
      </w:r>
      <w:r w:rsidR="639DB5CF">
        <w:t>to demonstrate</w:t>
      </w:r>
      <w:r>
        <w:t xml:space="preserve"> impact across the reporting period </w:t>
      </w:r>
      <w:r w:rsidR="339537C0">
        <w:t>against</w:t>
      </w:r>
      <w:r>
        <w:t xml:space="preserve"> our monitoring and performance measurement framework and theory of change. This is in line with the results-based accountability framework </w:t>
      </w:r>
      <w:r w:rsidR="0E3A1BCA">
        <w:t>and</w:t>
      </w:r>
      <w:r>
        <w:t xml:space="preserve"> involves the simple structure of outlining how much did we do</w:t>
      </w:r>
      <w:r w:rsidR="066F7E33">
        <w:t>, h</w:t>
      </w:r>
      <w:r>
        <w:t>ow well did we do it</w:t>
      </w:r>
      <w:r w:rsidR="066F7E33">
        <w:t>,</w:t>
      </w:r>
      <w:r>
        <w:t xml:space="preserve"> and what was the change</w:t>
      </w:r>
      <w:r w:rsidR="066F7E33">
        <w:t>.</w:t>
      </w:r>
    </w:p>
    <w:p w14:paraId="6B95568E" w14:textId="270BADE8" w:rsidR="00D75484" w:rsidRDefault="3D5466E0" w:rsidP="00146346">
      <w:r>
        <w:t>The annual performance statement provide</w:t>
      </w:r>
      <w:r w:rsidR="26B6A046">
        <w:t>s</w:t>
      </w:r>
      <w:r>
        <w:t xml:space="preserve"> both data and narrative to demonstrate how the Commission met outcomes. These outcomes are mapped against an impact matrix that aligns with the performance framework and progress indicators </w:t>
      </w:r>
      <w:r w:rsidR="0118DFD9">
        <w:t xml:space="preserve">set out in </w:t>
      </w:r>
      <w:r>
        <w:t>the Commission</w:t>
      </w:r>
      <w:r w:rsidR="35A7976F">
        <w:t>’</w:t>
      </w:r>
      <w:r>
        <w:t>s Corporate Plan 2022</w:t>
      </w:r>
      <w:r w:rsidR="6F949508">
        <w:t>–</w:t>
      </w:r>
      <w:r>
        <w:t>23.</w:t>
      </w:r>
    </w:p>
    <w:p w14:paraId="3C8452EA" w14:textId="3C225789" w:rsidR="008C0BF9" w:rsidRPr="00146346" w:rsidRDefault="008C0BF9" w:rsidP="008C0BF9">
      <w:pPr>
        <w:spacing w:before="0" w:after="0" w:line="240" w:lineRule="auto"/>
      </w:pPr>
      <w:r>
        <w:br w:type="page"/>
      </w:r>
    </w:p>
    <w:p w14:paraId="70D60111" w14:textId="09C20011" w:rsidR="00211AC8" w:rsidRDefault="00D75484" w:rsidP="00982B2E">
      <w:pPr>
        <w:pStyle w:val="Heading2"/>
      </w:pPr>
      <w:bookmarkStart w:id="30" w:name="_Toc146437043"/>
      <w:r w:rsidRPr="00F86860">
        <w:t xml:space="preserve">Statement Against </w:t>
      </w:r>
      <w:r w:rsidR="00F64ED9" w:rsidRPr="00F86860">
        <w:t>Outcomes</w:t>
      </w:r>
      <w:bookmarkEnd w:id="30"/>
    </w:p>
    <w:p w14:paraId="5D80432C" w14:textId="0FFDDF06" w:rsidR="008C38F7" w:rsidRDefault="008C38F7" w:rsidP="00C33610">
      <w:pPr>
        <w:pStyle w:val="Heading6"/>
      </w:pPr>
      <w:bookmarkStart w:id="31" w:name="mdheading-doc-81"/>
      <w:r>
        <w:t>Outcome</w:t>
      </w:r>
      <w:r w:rsidRPr="77EB0947">
        <w:t xml:space="preserve"> 1:</w:t>
      </w:r>
      <w:bookmarkEnd w:id="31"/>
      <w:r w:rsidRPr="77EB0947">
        <w:t xml:space="preserve"> Improving enjoyment of human rights by all, supporting access to justice and remedies for people and communities whose rights are breached</w:t>
      </w:r>
    </w:p>
    <w:tbl>
      <w:tblPr>
        <w:tblStyle w:val="TableGrey"/>
        <w:tblW w:w="0" w:type="auto"/>
        <w:shd w:val="clear" w:color="auto" w:fill="DEEAF6" w:themeFill="accent1" w:themeFillTint="33"/>
        <w:tblLayout w:type="fixed"/>
        <w:tblLook w:val="04A0" w:firstRow="1" w:lastRow="0" w:firstColumn="1" w:lastColumn="0" w:noHBand="0" w:noVBand="1"/>
      </w:tblPr>
      <w:tblGrid>
        <w:gridCol w:w="9128"/>
      </w:tblGrid>
      <w:tr w:rsidR="008C38F7" w:rsidRPr="00670659" w14:paraId="6256D954" w14:textId="77777777" w:rsidTr="00B97704">
        <w:trPr>
          <w:trHeight w:val="2438"/>
        </w:trPr>
        <w:tc>
          <w:tcPr>
            <w:tcW w:w="9128" w:type="dxa"/>
            <w:shd w:val="clear" w:color="auto" w:fill="DEEAF6" w:themeFill="accent1" w:themeFillTint="33"/>
          </w:tcPr>
          <w:p w14:paraId="6E7FB51E" w14:textId="34543EC1" w:rsidR="00B97704" w:rsidRDefault="00B97704" w:rsidP="00C33610">
            <w:pPr>
              <w:rPr>
                <w:rStyle w:val="Strong"/>
                <w:bCs w:val="0"/>
              </w:rPr>
            </w:pPr>
            <w:r w:rsidRPr="001710EC">
              <w:rPr>
                <w:rStyle w:val="Strong"/>
              </w:rPr>
              <w:t>1.1 We deliver a fair and effective investigation and conciliation of complaints service.</w:t>
            </w:r>
          </w:p>
          <w:p w14:paraId="6EC0FA92" w14:textId="733FB7EB" w:rsidR="008C38F7" w:rsidRPr="001710EC" w:rsidRDefault="1F5D6E44" w:rsidP="00C33610">
            <w:pPr>
              <w:rPr>
                <w:rStyle w:val="Strong"/>
              </w:rPr>
            </w:pPr>
            <w:r w:rsidRPr="001710EC">
              <w:rPr>
                <w:rStyle w:val="Strong"/>
              </w:rPr>
              <w:t>Indicator</w:t>
            </w:r>
          </w:p>
          <w:p w14:paraId="7C599677" w14:textId="77777777" w:rsidR="008C38F7" w:rsidRPr="001710EC" w:rsidRDefault="008C38F7" w:rsidP="00C33610">
            <w:r w:rsidRPr="001710EC">
              <w:t>85% of complaints are finalised in under 12 months.</w:t>
            </w:r>
          </w:p>
          <w:p w14:paraId="13EE54EF" w14:textId="77777777" w:rsidR="008C38F7" w:rsidRPr="001710EC" w:rsidRDefault="008C38F7" w:rsidP="00C33610">
            <w:r w:rsidRPr="001710EC">
              <w:t>40% of complaints are resolved by conciliation.</w:t>
            </w:r>
          </w:p>
          <w:p w14:paraId="77E127B5" w14:textId="5D489038" w:rsidR="008C38F7" w:rsidRPr="001710EC" w:rsidRDefault="008C38F7" w:rsidP="00C33610">
            <w:r w:rsidRPr="001710EC">
              <w:t xml:space="preserve">85% of parties to complaints are satisfied with the service they receive. </w:t>
            </w:r>
          </w:p>
          <w:p w14:paraId="5EB538FA" w14:textId="43D1A51C" w:rsidR="008C38F7" w:rsidRPr="001710EC" w:rsidRDefault="008C38F7" w:rsidP="00C33610">
            <w:r w:rsidRPr="001710EC">
              <w:t xml:space="preserve">Instances where the terms on which investigation and conciliation disputes are resolved include systemic outcomes that accord with the objectives of the law. </w:t>
            </w:r>
          </w:p>
          <w:p w14:paraId="62DA0DF8" w14:textId="223D1C13" w:rsidR="00C33610" w:rsidRPr="00C33610" w:rsidRDefault="008C38F7" w:rsidP="00C33610">
            <w:pPr>
              <w:rPr>
                <w:b/>
              </w:rPr>
            </w:pPr>
            <w:r w:rsidRPr="001710EC">
              <w:t>Instances where participation in the investigation and conciliation process results in increased understanding of rights and responsibilities in the law.</w:t>
            </w:r>
          </w:p>
        </w:tc>
      </w:tr>
    </w:tbl>
    <w:p w14:paraId="38DC5D7B" w14:textId="77777777" w:rsidR="008C38F7" w:rsidRDefault="008C38F7" w:rsidP="008C38F7">
      <w:pPr>
        <w:rPr>
          <w:rFonts w:cs="Open Sans"/>
        </w:rPr>
      </w:pPr>
    </w:p>
    <w:p w14:paraId="78FB1C16" w14:textId="396F82F2" w:rsidR="008C38F7" w:rsidRPr="00AB6973" w:rsidRDefault="008C38F7" w:rsidP="00B97704">
      <w:pPr>
        <w:pStyle w:val="Heading4"/>
      </w:pPr>
      <w:r w:rsidRPr="00F03C2C">
        <w:t>R</w:t>
      </w:r>
      <w:r w:rsidRPr="00AB6973">
        <w:t>esults</w:t>
      </w:r>
    </w:p>
    <w:p w14:paraId="7A104A17" w14:textId="5DDC3E9B" w:rsidR="008006E4" w:rsidRDefault="008006E4" w:rsidP="00FA3585">
      <w:pPr>
        <w:spacing w:line="290" w:lineRule="auto"/>
        <w:jc w:val="center"/>
        <w:rPr>
          <w:rFonts w:eastAsia="Open Sans" w:cs="Open Sans"/>
        </w:rPr>
      </w:pPr>
      <w:r>
        <w:rPr>
          <w:rFonts w:eastAsia="Open Sans" w:cs="Open Sans"/>
          <w:noProof/>
        </w:rPr>
        <w:drawing>
          <wp:inline distT="0" distB="0" distL="0" distR="0" wp14:anchorId="655AA250" wp14:editId="01DE4182">
            <wp:extent cx="4826000" cy="5016500"/>
            <wp:effectExtent l="0" t="0" r="0" b="0"/>
            <wp:docPr id="202510120" name="Picture 202510120" descr="85% of complaints were finalised in under 12 months (average time 7.6 months).&#10;30% of complaints were resolved by conciliation.&#10;82% of parties to complaints were satisfied with the service they received. &#10;38% of conciliated outcomes included systemic outcomes. &#10;68% of survey participants responded that participation in the conciliation process result-ed in increased understanding of the rights and responsibilities in the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10120" name="Immagine 1" descr="85% of complaints were finalised in under 12 months (average time 7.6 months).&#10;30% of complaints were resolved by conciliation.&#10;82% of parties to complaints were satisfied with the service they received. &#10;38% of conciliated outcomes included systemic outcomes. &#10;68% of survey participants responded that participation in the conciliation process result-ed in increased understanding of the rights and responsibilities in the law."/>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26000" cy="5016500"/>
                    </a:xfrm>
                    <a:prstGeom prst="rect">
                      <a:avLst/>
                    </a:prstGeom>
                  </pic:spPr>
                </pic:pic>
              </a:graphicData>
            </a:graphic>
          </wp:inline>
        </w:drawing>
      </w:r>
    </w:p>
    <w:p w14:paraId="1F2C892A" w14:textId="77777777" w:rsidR="00326613" w:rsidRDefault="00326613" w:rsidP="008C38F7">
      <w:pPr>
        <w:spacing w:line="290" w:lineRule="auto"/>
        <w:rPr>
          <w:rFonts w:eastAsia="Open Sans" w:cs="Open Sans"/>
        </w:rPr>
      </w:pPr>
    </w:p>
    <w:p w14:paraId="1601A3A5" w14:textId="57A69315" w:rsidR="008C38F7" w:rsidRPr="00C33610" w:rsidRDefault="008C38F7" w:rsidP="008C38F7">
      <w:pPr>
        <w:spacing w:line="290" w:lineRule="auto"/>
        <w:rPr>
          <w:rFonts w:eastAsia="Open Sans" w:cs="Open Sans"/>
        </w:rPr>
      </w:pPr>
      <w:r w:rsidRPr="00AB6973">
        <w:rPr>
          <w:rFonts w:eastAsia="Open Sans" w:cs="Open Sans"/>
        </w:rPr>
        <w:t>In 2022–23, one of the three progress indicators was achieved. However, only 30% of complaints were resolved by conciliation, which is 10% below the progress indicator and lower than the average percentage of complaints resolved over the previous 10 years. In addition, 82% of parties to complaints were satisfied with the service they received (lower than the 85% user satisfaction target).</w:t>
      </w:r>
    </w:p>
    <w:p w14:paraId="00D3B83C" w14:textId="35B97E4A" w:rsidR="006E43F8" w:rsidRPr="00C33610" w:rsidRDefault="008C38F7" w:rsidP="006E43F8">
      <w:pPr>
        <w:spacing w:line="290" w:lineRule="auto"/>
        <w:rPr>
          <w:rFonts w:cs="Open Sans"/>
        </w:rPr>
      </w:pPr>
      <w:r w:rsidRPr="448905EB">
        <w:rPr>
          <w:rFonts w:eastAsia="Open Sans" w:cs="Open Sans"/>
        </w:rPr>
        <w:t>The unprecedented number of complaints received by the Commission in the previous two reporting periods has impacted on the results achieved in 2022–23. In 2020–21 and 2021–22, there were 6,849 complaints received and 5,962 complaints finalised. While this represents a record number of finalised complaints, the 13% discrepancy between complaints received and finalised, combined with a continuing high number of complaints received and finalised</w:t>
      </w:r>
      <w:r w:rsidR="00E448C5" w:rsidRPr="448905EB">
        <w:rPr>
          <w:rFonts w:eastAsia="Open Sans" w:cs="Open Sans"/>
        </w:rPr>
        <w:t>,</w:t>
      </w:r>
      <w:r w:rsidRPr="448905EB">
        <w:rPr>
          <w:rFonts w:eastAsia="Open Sans" w:cs="Open Sans"/>
        </w:rPr>
        <w:t xml:space="preserve"> led to a backlog of complaints with negative implications for timeframes and satisfaction ratings. </w:t>
      </w:r>
    </w:p>
    <w:p w14:paraId="22F8C6B6" w14:textId="32A664D9" w:rsidR="008C38F7" w:rsidRDefault="008C38F7" w:rsidP="448905EB">
      <w:pPr>
        <w:spacing w:before="100" w:beforeAutospacing="1" w:after="100" w:afterAutospacing="1"/>
        <w:rPr>
          <w:rFonts w:cs="Open Sans"/>
        </w:rPr>
      </w:pPr>
      <w:r w:rsidRPr="448905EB">
        <w:rPr>
          <w:rFonts w:cs="Open Sans"/>
        </w:rPr>
        <w:t xml:space="preserve">In October 2023, the Commission received short term, targeted complaint backlog funding </w:t>
      </w:r>
      <w:r w:rsidR="00903FC4" w:rsidRPr="448905EB">
        <w:rPr>
          <w:rFonts w:cs="Open Sans"/>
        </w:rPr>
        <w:t>to</w:t>
      </w:r>
      <w:r w:rsidRPr="448905EB">
        <w:rPr>
          <w:rFonts w:cs="Open Sans"/>
        </w:rPr>
        <w:t xml:space="preserve"> increase the staffing profile within the Investigation and Conciliation Service. It is anticipated that this staffing increase will enable the Commission to significantly reduce the complaint backlog by the end of 2024.</w:t>
      </w:r>
    </w:p>
    <w:p w14:paraId="715790C9" w14:textId="36E185CF" w:rsidR="001E7E02" w:rsidRPr="00AB6973" w:rsidRDefault="001E7E02" w:rsidP="008C38F7">
      <w:pPr>
        <w:spacing w:before="100" w:beforeAutospacing="1" w:after="100" w:afterAutospacing="1"/>
        <w:rPr>
          <w:rFonts w:cs="Open Sans"/>
        </w:rPr>
      </w:pPr>
      <w:r>
        <w:rPr>
          <w:rFonts w:cs="Open Sans"/>
        </w:rPr>
        <w:t xml:space="preserve">As stated in the year in review, </w:t>
      </w:r>
      <w:r w:rsidR="009E27A7">
        <w:rPr>
          <w:rFonts w:cs="Open Sans"/>
        </w:rPr>
        <w:t>i</w:t>
      </w:r>
      <w:r w:rsidRPr="00DC0051">
        <w:rPr>
          <w:rFonts w:cs="Open Sans"/>
        </w:rPr>
        <w:t xml:space="preserve">n this financial year, we received significantly fewer COVID-19 complaints than in the prior two years, and the overall number of complaints received has stabilised to a ‘high normal’ number of 2,562. Notably, in 2022–23, we finalised a high number of COVID-19 ‘legacy’ complaints, which were not amenable to alternative dispute resolution. This has had a negative impact on complaint-handling timeframes and conciliation outcomes. </w:t>
      </w:r>
    </w:p>
    <w:p w14:paraId="3CEC0A36" w14:textId="0F2F72C6" w:rsidR="008C38F7" w:rsidRPr="00AB6973" w:rsidRDefault="008C38F7" w:rsidP="004E286A">
      <w:pPr>
        <w:pStyle w:val="Heading4"/>
      </w:pPr>
      <w:r w:rsidRPr="00AB6973">
        <w:t>Survey satisfaction</w:t>
      </w:r>
    </w:p>
    <w:p w14:paraId="1A83B4B5" w14:textId="242F0185" w:rsidR="008C38F7" w:rsidRDefault="008C38F7" w:rsidP="008C38F7">
      <w:pPr>
        <w:spacing w:line="290" w:lineRule="auto"/>
        <w:rPr>
          <w:rFonts w:eastAsia="Open Sans" w:cs="Open Sans"/>
        </w:rPr>
      </w:pPr>
      <w:r w:rsidRPr="00AB6973">
        <w:rPr>
          <w:rFonts w:eastAsia="Open Sans" w:cs="Open Sans"/>
        </w:rPr>
        <w:t xml:space="preserve">When the Commission finalises a complaint, a voluntary survey is sent to the parties seeking feedback on the service they received. The survey is sent to all parties except where a matter has been withdrawn or discontinued before a respondent is notified, or in circumstances where further contact with the Commission may cause harm (distress) to the relevant parties and/or staff. </w:t>
      </w:r>
    </w:p>
    <w:p w14:paraId="2DC5C1C6" w14:textId="77777777" w:rsidR="00146346" w:rsidRPr="00763C6C" w:rsidRDefault="00146346" w:rsidP="008C38F7">
      <w:pPr>
        <w:spacing w:line="290" w:lineRule="auto"/>
        <w:rPr>
          <w:rFonts w:eastAsia="Open Sans" w:cs="Open Sans"/>
        </w:rPr>
      </w:pPr>
    </w:p>
    <w:p w14:paraId="2BD7DC73" w14:textId="43484AA1" w:rsidR="00C33610" w:rsidRPr="001A06BD" w:rsidRDefault="00C33610" w:rsidP="001A06BD">
      <w:pPr>
        <w:pStyle w:val="IntenseQuote"/>
        <w:pBdr>
          <w:left w:val="single" w:sz="36" w:space="10" w:color="4472C4"/>
        </w:pBdr>
      </w:pPr>
      <w:r w:rsidRPr="001A06BD">
        <w:t>Firstly,</w:t>
      </w:r>
      <w:r w:rsidR="00763C6C" w:rsidRPr="001A06BD">
        <w:t xml:space="preserve"> </w:t>
      </w:r>
      <w:r w:rsidRPr="001A06BD">
        <w:t>I appreciate your understanding and helping. Actually when I was called from your service I was really worried about a complaint. I hadn’t had any experience with your service but when I was talking with you I felt comfortable. You gave a lot of information, you explained very well. My English is not mother tongue, you spent extra effort, found alternative methods to solve the issue and made me</w:t>
      </w:r>
      <w:r w:rsidR="00763C6C" w:rsidRPr="001A06BD">
        <w:t xml:space="preserve"> </w:t>
      </w:r>
      <w:r w:rsidRPr="001A06BD">
        <w:t>happy. I felt the smile in your voice on the phone despite dealing with problem, it’s also pleasing that there are people like you manage the problem and people well in such stressful job.</w:t>
      </w:r>
      <w:r w:rsidR="001710EC" w:rsidRPr="001A06BD">
        <w:t xml:space="preserve"> </w:t>
      </w:r>
      <w:r w:rsidR="001A06BD" w:rsidRPr="001A06BD">
        <w:t>—</w:t>
      </w:r>
      <w:r w:rsidRPr="001A06BD">
        <w:rPr>
          <w:rStyle w:val="Strong"/>
        </w:rPr>
        <w:t>Quote from complainant</w:t>
      </w:r>
    </w:p>
    <w:p w14:paraId="3C5F3645" w14:textId="7E9D10AE" w:rsidR="008C38F7" w:rsidRPr="00AB6973" w:rsidRDefault="008C38F7" w:rsidP="008C38F7">
      <w:pPr>
        <w:spacing w:line="290" w:lineRule="auto"/>
        <w:rPr>
          <w:rFonts w:cs="Open Sans"/>
        </w:rPr>
      </w:pPr>
    </w:p>
    <w:p w14:paraId="5E6D1B89" w14:textId="7F8FD3C7" w:rsidR="00763C6C" w:rsidRDefault="008C38F7" w:rsidP="00763C6C">
      <w:pPr>
        <w:spacing w:line="290" w:lineRule="auto"/>
        <w:rPr>
          <w:rFonts w:eastAsia="Open Sans" w:cs="Open Sans"/>
        </w:rPr>
      </w:pPr>
      <w:r w:rsidRPr="2832F822">
        <w:rPr>
          <w:rFonts w:eastAsia="Open Sans" w:cs="Open Sans"/>
        </w:rPr>
        <w:t>In 2022–23, 316 parties (175 complainants and 141 respondents) participate</w:t>
      </w:r>
      <w:r w:rsidR="00D255A7" w:rsidRPr="2832F822">
        <w:rPr>
          <w:rFonts w:eastAsia="Open Sans" w:cs="Open Sans"/>
        </w:rPr>
        <w:t>d</w:t>
      </w:r>
      <w:r w:rsidRPr="2832F822">
        <w:rPr>
          <w:rFonts w:eastAsia="Open Sans" w:cs="Open Sans"/>
        </w:rPr>
        <w:t xml:space="preserve"> in the survey. 82% of participants (74% of complainants and 93% of respondents) reported that they were satisfied with the service they received and 65% (57% of complainants and 75% of respondents) rated the service very good or excellent. </w:t>
      </w:r>
    </w:p>
    <w:p w14:paraId="164EE8C0" w14:textId="77777777" w:rsidR="00DF332B" w:rsidRPr="00DF332B" w:rsidRDefault="00DF332B" w:rsidP="00763C6C">
      <w:pPr>
        <w:spacing w:line="290" w:lineRule="auto"/>
        <w:rPr>
          <w:rFonts w:eastAsia="Open Sans" w:cs="Open Sans"/>
        </w:rPr>
      </w:pPr>
    </w:p>
    <w:p w14:paraId="6EFBC35D" w14:textId="4D51F64D" w:rsidR="00DF332B" w:rsidRDefault="00DF332B" w:rsidP="00763C6C">
      <w:pPr>
        <w:spacing w:line="290" w:lineRule="auto"/>
        <w:rPr>
          <w:rFonts w:cs="Open Sans"/>
        </w:rPr>
      </w:pPr>
      <w:r>
        <w:rPr>
          <w:rFonts w:cs="Open Sans"/>
          <w:noProof/>
        </w:rPr>
        <w:drawing>
          <wp:inline distT="0" distB="0" distL="0" distR="0" wp14:anchorId="5C62CA94" wp14:editId="5E25452A">
            <wp:extent cx="6330315" cy="6330315"/>
            <wp:effectExtent l="0" t="0" r="0" b="0"/>
            <wp:docPr id="1241622607" name="Picture 1241622607" descr="CHART - 4 RING GRAPHS&#10;&#10;(Left to right)&#10;&#10;Chart 1: Complainants report that they are satisfied with the service - 74%&#10;&#10;Chart 2: Complainants rate the service as very good or excellent - 57%&#10;&#10;Chart 3: Respondents report that they are satisfied with the service - 93%&#10;&#10;Chart 4: Respondents rate the service as very good or excellent -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622607" name="Immagine 13" descr="CHART - 4 RING GRAPHS&#10;&#10;(Left to right)&#10;&#10;Chart 1: Complainants report that they are satisfied with the service - 74%&#10;&#10;Chart 2: Complainants rate the service as very good or excellent - 57%&#10;&#10;Chart 3: Respondents report that they are satisfied with the service - 93%&#10;&#10;Chart 4: Respondents rate the service as very good or excellent - 7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30315" cy="6330315"/>
                    </a:xfrm>
                    <a:prstGeom prst="rect">
                      <a:avLst/>
                    </a:prstGeom>
                  </pic:spPr>
                </pic:pic>
              </a:graphicData>
            </a:graphic>
          </wp:inline>
        </w:drawing>
      </w:r>
    </w:p>
    <w:p w14:paraId="55F5A666" w14:textId="4BFD7DDB" w:rsidR="00FA3585" w:rsidRDefault="00FA3585" w:rsidP="00FA3585">
      <w:pPr>
        <w:spacing w:before="0" w:after="0" w:line="240" w:lineRule="auto"/>
        <w:rPr>
          <w:rFonts w:cs="Open Sans"/>
        </w:rPr>
      </w:pPr>
      <w:r>
        <w:rPr>
          <w:rFonts w:cs="Open Sans"/>
        </w:rPr>
        <w:br w:type="page"/>
      </w:r>
    </w:p>
    <w:p w14:paraId="010D07A5" w14:textId="2324E61B" w:rsidR="00763C6C" w:rsidRPr="00BE5B13" w:rsidRDefault="00763C6C" w:rsidP="001A06BD">
      <w:pPr>
        <w:pStyle w:val="IntenseQuote"/>
        <w:pBdr>
          <w:left w:val="single" w:sz="36" w:space="10" w:color="4472C4"/>
        </w:pBdr>
      </w:pPr>
      <w:r w:rsidRPr="00763C6C">
        <w:t xml:space="preserve">I am very grateful for your work in relation to this </w:t>
      </w:r>
      <w:r w:rsidRPr="001A06BD">
        <w:t>complaint</w:t>
      </w:r>
      <w:r w:rsidRPr="00763C6C">
        <w:t>, not least your regular</w:t>
      </w:r>
      <w:r w:rsidRPr="00BE5B13">
        <w:t xml:space="preserve"> communication, your availability and your good humour throughout, notwithstanding the fact that you no doubt have many other pressing matters demanding your attention. I trust that the AHRC appropriately recognises your skills and dedication and the extent to which your efforts reflect positively on it as a dispute resolution body.</w:t>
      </w:r>
      <w:r w:rsidR="001A06BD">
        <w:t xml:space="preserve"> —</w:t>
      </w:r>
      <w:r w:rsidRPr="001A06BD">
        <w:rPr>
          <w:rStyle w:val="Strong"/>
        </w:rPr>
        <w:t>Quote from respondent</w:t>
      </w:r>
    </w:p>
    <w:p w14:paraId="40D654E6" w14:textId="22E72BD6" w:rsidR="008C38F7" w:rsidRPr="007779DC" w:rsidRDefault="008C38F7" w:rsidP="008C38F7">
      <w:pPr>
        <w:spacing w:line="290" w:lineRule="auto"/>
        <w:rPr>
          <w:rFonts w:cs="Open Sans"/>
        </w:rPr>
      </w:pPr>
    </w:p>
    <w:p w14:paraId="72117E9C" w14:textId="198979E0" w:rsidR="00083804" w:rsidRPr="007779DC" w:rsidRDefault="008C38F7" w:rsidP="008C38F7">
      <w:pPr>
        <w:spacing w:line="290" w:lineRule="auto"/>
        <w:rPr>
          <w:rFonts w:eastAsia="Open Sans" w:cs="Open Sans"/>
        </w:rPr>
      </w:pPr>
      <w:r w:rsidRPr="007779DC">
        <w:rPr>
          <w:rFonts w:eastAsia="Open Sans" w:cs="Open Sans"/>
        </w:rPr>
        <w:t>The survey data also indicates that in relation to conciliated complaints, 68% of survey participants indicated that involvement in the Commission’s complaint process had assisted them to better understand their rights and responsibilities under federal human rights and anti-discrimination laws.</w:t>
      </w:r>
    </w:p>
    <w:p w14:paraId="18C45368" w14:textId="4A1544A4" w:rsidR="008C38F7" w:rsidRPr="00763C6C" w:rsidRDefault="008C38F7" w:rsidP="008C38F7">
      <w:pPr>
        <w:spacing w:line="290" w:lineRule="auto"/>
        <w:rPr>
          <w:rFonts w:eastAsia="Open Sans" w:cs="Open Sans"/>
        </w:rPr>
      </w:pPr>
      <w:r w:rsidRPr="007779DC">
        <w:rPr>
          <w:rFonts w:eastAsia="Open Sans" w:cs="Open Sans"/>
        </w:rPr>
        <w:t>In 2022–23, of conciliated complaints, 38% of the outcomes achieved included outcomes with benefits for people beyond the individual complainant. Examples include: the implementation of anti-discrimination policies and training within workplaces; changes to the built environment to increase accessibility; adjustments in the way services are provided to all customers</w:t>
      </w:r>
      <w:r w:rsidR="008D07A8">
        <w:rPr>
          <w:rFonts w:eastAsia="Open Sans" w:cs="Open Sans"/>
        </w:rPr>
        <w:t>,</w:t>
      </w:r>
      <w:r w:rsidRPr="007779DC">
        <w:rPr>
          <w:rFonts w:eastAsia="Open Sans" w:cs="Open Sans"/>
        </w:rPr>
        <w:t xml:space="preserve"> and changes to policies that may have had unintended consequences for a particular group of people.</w:t>
      </w:r>
    </w:p>
    <w:p w14:paraId="3EC06DB6" w14:textId="2CF71F3F" w:rsidR="008C38F7" w:rsidRDefault="008C38F7" w:rsidP="2832F822">
      <w:pPr>
        <w:pStyle w:val="Heading5"/>
      </w:pPr>
      <w:r>
        <w:t>General ICS performance story</w:t>
      </w:r>
    </w:p>
    <w:tbl>
      <w:tblPr>
        <w:tblStyle w:val="TableGrey"/>
        <w:tblW w:w="0" w:type="auto"/>
        <w:tblLook w:val="04A0" w:firstRow="1" w:lastRow="0" w:firstColumn="1" w:lastColumn="0" w:noHBand="0" w:noVBand="1"/>
      </w:tblPr>
      <w:tblGrid>
        <w:gridCol w:w="9959"/>
      </w:tblGrid>
      <w:tr w:rsidR="000D0B8F" w14:paraId="68901A41" w14:textId="77777777" w:rsidTr="000D0B8F">
        <w:tc>
          <w:tcPr>
            <w:tcW w:w="9959" w:type="dxa"/>
          </w:tcPr>
          <w:p w14:paraId="7849659B" w14:textId="77777777" w:rsidR="000D0B8F" w:rsidRPr="000D0B8F" w:rsidRDefault="000D0B8F" w:rsidP="000D0B8F">
            <w:pPr>
              <w:rPr>
                <w:rStyle w:val="Strong"/>
                <w:rFonts w:eastAsia="Open Sans"/>
              </w:rPr>
            </w:pPr>
            <w:r w:rsidRPr="000D0B8F">
              <w:rPr>
                <w:rStyle w:val="Strong"/>
                <w:rFonts w:eastAsia="Open Sans"/>
              </w:rPr>
              <w:t xml:space="preserve">Case Study 1: Conciliated complaint with systemic outcome </w:t>
            </w:r>
          </w:p>
          <w:p w14:paraId="32CBDA94" w14:textId="77777777" w:rsidR="000D0B8F" w:rsidRPr="000D0B8F" w:rsidRDefault="000D0B8F" w:rsidP="000D0B8F">
            <w:pPr>
              <w:rPr>
                <w:rFonts w:eastAsia="Open Sans"/>
              </w:rPr>
            </w:pPr>
            <w:r w:rsidRPr="000D0B8F">
              <w:rPr>
                <w:rFonts w:eastAsia="Open Sans"/>
              </w:rPr>
              <w:t xml:space="preserve">A representative complaint was lodged on behalf of blind or vision impaired organisation members who were eligible to vote in the state of the respondent state government. The complaint alleged that by not providing an internet-based voting platform, the aggrieved persons are unable to vote independently, secretly and verifiably, as others without their disability are. </w:t>
            </w:r>
          </w:p>
          <w:p w14:paraId="30176646" w14:textId="77777777" w:rsidR="000D0B8F" w:rsidRPr="000D0B8F" w:rsidRDefault="000D0B8F" w:rsidP="000D0B8F">
            <w:pPr>
              <w:rPr>
                <w:rFonts w:eastAsia="Open Sans"/>
              </w:rPr>
            </w:pPr>
            <w:r w:rsidRPr="000D0B8F">
              <w:rPr>
                <w:rFonts w:eastAsia="Open Sans"/>
              </w:rPr>
              <w:t>Upon notification of the complaint the respondent state government advised that due to software being phased out there was insufficient time to update and integrate a new system prior to the election. The respondent also advised that it provided alternative means of voting for vision impaired voters but agreed to participate in a conciliation process facilitated by the Commission.</w:t>
            </w:r>
          </w:p>
          <w:p w14:paraId="0CBB47AD" w14:textId="376EED6B" w:rsidR="000D0B8F" w:rsidRDefault="000D0B8F" w:rsidP="000D0B8F">
            <w:pPr>
              <w:rPr>
                <w:rFonts w:eastAsia="Open Sans" w:cs="Open Sans"/>
              </w:rPr>
            </w:pPr>
            <w:r w:rsidRPr="000D0B8F">
              <w:rPr>
                <w:rFonts w:eastAsia="Open Sans"/>
              </w:rPr>
              <w:t>The complaint was resolved by the Respondent agreeing to undertake a broadscale review into technology-assisted voting (Review), which includes</w:t>
            </w:r>
            <w:r w:rsidRPr="5E491E23">
              <w:rPr>
                <w:rFonts w:eastAsia="Open Sans" w:cs="Open Sans"/>
                <w:lang w:val="en-US"/>
              </w:rPr>
              <w:t xml:space="preserve"> examining the use of internet and other technology-assisted voting, for future elections with a focus on accessible voting and obligations to consult with the disability community, including those who are blind or vision impaired. If a new voting system is approved and funded as result of the Review, people who are blind or vision impaired (along with other relevant disabilities) will be involved in its development, including through user testing and providing feedback.</w:t>
            </w:r>
          </w:p>
          <w:p w14:paraId="07B96CD3" w14:textId="25D73FEF" w:rsidR="000D0B8F" w:rsidRDefault="000D0B8F" w:rsidP="000D0B8F">
            <w:pPr>
              <w:rPr>
                <w:rFonts w:eastAsia="Open Sans"/>
              </w:rPr>
            </w:pPr>
            <w:r w:rsidRPr="5E491E23">
              <w:rPr>
                <w:rFonts w:eastAsia="Open Sans"/>
                <w:lang w:val="en-US"/>
              </w:rPr>
              <w:t xml:space="preserve">The parties also agreed to </w:t>
            </w:r>
            <w:r w:rsidRPr="5E491E23">
              <w:rPr>
                <w:rFonts w:eastAsia="Open Sans"/>
                <w:color w:val="000000" w:themeColor="text1"/>
                <w:lang w:val="en-US"/>
              </w:rPr>
              <w:t xml:space="preserve">make a joint public statement to acknowledge and explain the current voting options available for </w:t>
            </w:r>
            <w:r w:rsidRPr="5E491E23">
              <w:rPr>
                <w:rFonts w:eastAsia="Open Sans"/>
                <w:lang w:val="en-US"/>
              </w:rPr>
              <w:t xml:space="preserve">people who are blind or vision impaired and to announce the Review, including how people can make submissions to it (please see </w:t>
            </w:r>
            <w:hyperlink r:id="rId28">
              <w:r w:rsidRPr="5E491E23">
                <w:rPr>
                  <w:rStyle w:val="Hyperlink"/>
                  <w:rFonts w:eastAsia="Open Sans" w:cs="Open Sans"/>
                  <w:lang w:val="en-US"/>
                </w:rPr>
                <w:t>https://elections.nsw.gov.au/about-us/media-centre/news-and-media-releases/nswec-commits-to-explore-tav-options</w:t>
              </w:r>
            </w:hyperlink>
            <w:r w:rsidRPr="5E491E23">
              <w:rPr>
                <w:rFonts w:eastAsia="Open Sans"/>
                <w:lang w:val="en-US"/>
              </w:rPr>
              <w:t xml:space="preserve"> for more information)</w:t>
            </w:r>
          </w:p>
          <w:p w14:paraId="6F909E3C" w14:textId="77777777" w:rsidR="000D0B8F" w:rsidRDefault="000D0B8F" w:rsidP="000D0B8F">
            <w:pPr>
              <w:rPr>
                <w:rFonts w:eastAsia="Open Sans"/>
              </w:rPr>
            </w:pPr>
            <w:r w:rsidRPr="5E491E23">
              <w:rPr>
                <w:rFonts w:eastAsia="Open Sans"/>
                <w:lang w:val="en-US"/>
              </w:rPr>
              <w:t xml:space="preserve">This outcome is an excellent example of systemic change that can be achieved through alternative dispute resolution; in this instance enabling potentially wide-ranging positive impact for eligible voters anyone who are blind or vision impaired. </w:t>
            </w:r>
          </w:p>
          <w:p w14:paraId="1A135DDC" w14:textId="77777777" w:rsidR="000D0B8F" w:rsidRDefault="000D0B8F" w:rsidP="000D0B8F">
            <w:pPr>
              <w:rPr>
                <w:rFonts w:eastAsia="Open Sans"/>
              </w:rPr>
            </w:pPr>
            <w:r w:rsidRPr="5E491E23">
              <w:rPr>
                <w:rFonts w:eastAsia="Open Sans"/>
                <w:lang w:val="en-US"/>
              </w:rPr>
              <w:t xml:space="preserve">The agreement also adopts the principles of participatory design, with users being involved in the development and testing of assistive technologies. </w:t>
            </w:r>
          </w:p>
          <w:p w14:paraId="1612C158" w14:textId="5BEC6C08" w:rsidR="000D0B8F" w:rsidRPr="000D0B8F" w:rsidRDefault="000D0B8F" w:rsidP="000D0B8F">
            <w:pPr>
              <w:rPr>
                <w:rFonts w:eastAsia="Open Sans"/>
              </w:rPr>
            </w:pPr>
            <w:r w:rsidRPr="5E491E23">
              <w:rPr>
                <w:rFonts w:eastAsia="Open Sans"/>
                <w:lang w:val="en-US"/>
              </w:rPr>
              <w:t>Both the above align with the Commission goal of promoting and protecting human rights and contribute through the development of policies which improve equality of access to fundamental rights such as voting.</w:t>
            </w:r>
          </w:p>
        </w:tc>
      </w:tr>
    </w:tbl>
    <w:p w14:paraId="0167B20E" w14:textId="77777777" w:rsidR="000D0B8F" w:rsidRDefault="000D0B8F" w:rsidP="000D0B8F"/>
    <w:p w14:paraId="73CA9EC3" w14:textId="3F3985B7" w:rsidR="00326613" w:rsidRDefault="00326613" w:rsidP="00326613">
      <w:pPr>
        <w:spacing w:before="0" w:after="0" w:line="240" w:lineRule="auto"/>
      </w:pPr>
      <w:r>
        <w:br w:type="page"/>
      </w:r>
    </w:p>
    <w:tbl>
      <w:tblPr>
        <w:tblStyle w:val="TableGrey"/>
        <w:tblW w:w="0" w:type="auto"/>
        <w:tblLook w:val="04A0" w:firstRow="1" w:lastRow="0" w:firstColumn="1" w:lastColumn="0" w:noHBand="0" w:noVBand="1"/>
      </w:tblPr>
      <w:tblGrid>
        <w:gridCol w:w="9959"/>
      </w:tblGrid>
      <w:tr w:rsidR="000D0B8F" w14:paraId="31D366F9" w14:textId="77777777" w:rsidTr="000D0B8F">
        <w:tc>
          <w:tcPr>
            <w:tcW w:w="9959" w:type="dxa"/>
          </w:tcPr>
          <w:p w14:paraId="7C81EC42" w14:textId="77777777" w:rsidR="000D0B8F" w:rsidRPr="000D0B8F" w:rsidRDefault="000D0B8F" w:rsidP="000D0B8F">
            <w:pPr>
              <w:rPr>
                <w:rStyle w:val="Strong"/>
              </w:rPr>
            </w:pPr>
            <w:r w:rsidRPr="000D0B8F">
              <w:rPr>
                <w:rStyle w:val="Strong"/>
              </w:rPr>
              <w:t>Case Study 2: Conciliated complaint with an individual and systemic outcome</w:t>
            </w:r>
          </w:p>
          <w:p w14:paraId="1F518881" w14:textId="77777777" w:rsidR="000D0B8F" w:rsidRPr="000D0B8F" w:rsidRDefault="000D0B8F" w:rsidP="000D0B8F">
            <w:pPr>
              <w:rPr>
                <w:rFonts w:eastAsia="Open Sans"/>
              </w:rPr>
            </w:pPr>
            <w:r w:rsidRPr="000D0B8F">
              <w:rPr>
                <w:rFonts w:eastAsia="Open Sans"/>
              </w:rPr>
              <w:t>The complainant brought forward the complaint in his own right and on behalf of family members, including his son who has an assistance animal to assist with his disabilities of autism and anxiety. The complainant’s family sought to dine at the respondent restaurant. The complainant alleged that the staff at the respondent restaurant told the family that they could only dine at an outside table due to the presence of the assistance animal. The complainant alleged that the restaurant staff then told the family they could sit inside but not at the grill because of the presence of the assistance animal.</w:t>
            </w:r>
          </w:p>
          <w:p w14:paraId="15EE7F54" w14:textId="77777777" w:rsidR="000D0B8F" w:rsidRPr="000D0B8F" w:rsidRDefault="000D0B8F" w:rsidP="000D0B8F">
            <w:pPr>
              <w:rPr>
                <w:rFonts w:eastAsia="Open Sans"/>
              </w:rPr>
            </w:pPr>
            <w:r w:rsidRPr="000D0B8F">
              <w:rPr>
                <w:rFonts w:eastAsia="Open Sans"/>
              </w:rPr>
              <w:t>On being advised of the complaint the respondent was very receptive to participating in an alternative dispute resolution process. The complaint was resolved through a video conciliation conference with an agreement that the respondent restaurant: provide a written apology; update its discrimination policy relating to assistance animals and train staff accordingly; take step to obtain approval to display signage welcoming assistance animals; provide the complainant’s family with a free meal at the restaurant; and pay $5000 in compensation.</w:t>
            </w:r>
          </w:p>
          <w:p w14:paraId="2BB3F539" w14:textId="41E6B651" w:rsidR="000D0B8F" w:rsidRPr="000D0B8F" w:rsidRDefault="000D0B8F" w:rsidP="000D0B8F">
            <w:pPr>
              <w:rPr>
                <w:rFonts w:eastAsia="Open Sans"/>
              </w:rPr>
            </w:pPr>
            <w:r w:rsidRPr="000D0B8F">
              <w:rPr>
                <w:rFonts w:eastAsia="Open Sans"/>
              </w:rPr>
              <w:t>The outcomes achieved in conference were meaningful and empowering for the individual and his son and contributed to positive education, through policy change and training, about assistance animal rights and obligations under the DDA for the respondent restaurant staff. In addition, by positively welcoming assistance animals, the restaurant is improving access to meaningful participation in social activities for all persons who rely upon assistance animals in their daily lives.</w:t>
            </w:r>
          </w:p>
        </w:tc>
      </w:tr>
    </w:tbl>
    <w:p w14:paraId="4124F066" w14:textId="77777777" w:rsidR="000D0B8F" w:rsidRDefault="000D0B8F" w:rsidP="00763C6C">
      <w:pPr>
        <w:spacing w:line="290" w:lineRule="auto"/>
        <w:rPr>
          <w:rFonts w:eastAsia="Open Sans" w:cs="Open Sans"/>
        </w:rPr>
      </w:pPr>
    </w:p>
    <w:p w14:paraId="1F0B1131" w14:textId="7DC92151" w:rsidR="000D0B8F" w:rsidRDefault="000D0B8F">
      <w:pPr>
        <w:spacing w:before="0" w:after="0" w:line="240" w:lineRule="auto"/>
        <w:rPr>
          <w:rFonts w:eastAsia="Open Sans" w:cs="Open Sans"/>
        </w:rPr>
      </w:pPr>
      <w:r>
        <w:rPr>
          <w:rFonts w:eastAsia="Open Sans" w:cs="Open Sans"/>
        </w:rPr>
        <w:br w:type="page"/>
      </w:r>
    </w:p>
    <w:p w14:paraId="2A8CF13A" w14:textId="6C55D1A9" w:rsidR="26D25C26" w:rsidRDefault="008C38F7" w:rsidP="00763C6C">
      <w:pPr>
        <w:spacing w:line="290" w:lineRule="auto"/>
        <w:rPr>
          <w:rFonts w:cs="Open Sans"/>
        </w:rPr>
      </w:pPr>
      <w:r w:rsidRPr="007779DC">
        <w:rPr>
          <w:rFonts w:eastAsia="Open Sans" w:cs="Open Sans"/>
        </w:rPr>
        <w:t xml:space="preserve">The Commission’s National Information Service (NIS) and Investigation and Conciliation Service (ICS) contribute significantly to the Commission’s key function as Australia’s National Human Rights Institution, </w:t>
      </w:r>
      <w:r w:rsidR="00424CC0">
        <w:rPr>
          <w:rFonts w:eastAsia="Open Sans" w:cs="Open Sans"/>
        </w:rPr>
        <w:t xml:space="preserve">both </w:t>
      </w:r>
      <w:r w:rsidRPr="007779DC">
        <w:rPr>
          <w:rFonts w:eastAsia="Open Sans" w:cs="Open Sans"/>
        </w:rPr>
        <w:t>by providing education about human rights and responsibilities and by providing an accessible, fair and impartial complaint-handling process. In addition, in May 2023 after receiving dedicated funding from the Government, the Commission established the Respect@Work Information Service</w:t>
      </w:r>
      <w:r w:rsidR="00843CEC">
        <w:rPr>
          <w:rFonts w:eastAsia="Open Sans" w:cs="Open Sans"/>
        </w:rPr>
        <w:t xml:space="preserve">. This is </w:t>
      </w:r>
      <w:r w:rsidR="000F2691">
        <w:rPr>
          <w:rFonts w:eastAsia="Open Sans" w:cs="Open Sans"/>
        </w:rPr>
        <w:t>a</w:t>
      </w:r>
      <w:r w:rsidRPr="007779DC">
        <w:rPr>
          <w:rFonts w:eastAsia="Open Sans" w:cs="Open Sans"/>
        </w:rPr>
        <w:t xml:space="preserve"> national, trauma-informed service that provides information and referrals, including to support services, and is free and confidential.</w:t>
      </w:r>
    </w:p>
    <w:p w14:paraId="2B5D4E42" w14:textId="58B9F7FA" w:rsidR="4F3B13D7" w:rsidRDefault="008C38F7" w:rsidP="00763C6C">
      <w:pPr>
        <w:spacing w:before="100" w:beforeAutospacing="1" w:after="100" w:afterAutospacing="1"/>
        <w:rPr>
          <w:rFonts w:cs="Open Sans"/>
        </w:rPr>
      </w:pPr>
      <w:r w:rsidRPr="007779DC">
        <w:rPr>
          <w:rFonts w:cs="Open Sans"/>
        </w:rPr>
        <w:t>In contrast to the previous two reporting periods, during 2022-23 the Commission received a relatively small number of COVID-19 complaint</w:t>
      </w:r>
      <w:r w:rsidR="00F3220C">
        <w:rPr>
          <w:rFonts w:cs="Open Sans"/>
        </w:rPr>
        <w:t>s</w:t>
      </w:r>
      <w:r w:rsidR="00A14DE9">
        <w:rPr>
          <w:rFonts w:cs="Open Sans"/>
        </w:rPr>
        <w:t xml:space="preserve"> (114)</w:t>
      </w:r>
      <w:r w:rsidRPr="007779DC">
        <w:rPr>
          <w:rFonts w:cs="Open Sans"/>
        </w:rPr>
        <w:t>. However, in this same period over 500 legacy COVID-19 related complaints were finalised. Many of these complaints did not proceed to conciliation or failed to resolve</w:t>
      </w:r>
      <w:r w:rsidR="00212137">
        <w:rPr>
          <w:rFonts w:cs="Open Sans"/>
        </w:rPr>
        <w:t>. Th</w:t>
      </w:r>
      <w:r w:rsidRPr="007779DC">
        <w:rPr>
          <w:rFonts w:cs="Open Sans"/>
        </w:rPr>
        <w:t xml:space="preserve">e overall conciliation rate for COVID-19 matters was </w:t>
      </w:r>
      <w:r w:rsidR="007A7D4A">
        <w:rPr>
          <w:rFonts w:cs="Open Sans"/>
        </w:rPr>
        <w:t>under</w:t>
      </w:r>
      <w:r w:rsidRPr="007779DC">
        <w:rPr>
          <w:rFonts w:cs="Open Sans"/>
        </w:rPr>
        <w:t xml:space="preserve"> 23%, significantly lower than the overall conciliation rate. This is because the subject matter of COVID-19 complaints was often not amenable to alternative dispute resolution</w:t>
      </w:r>
      <w:r w:rsidR="00B84CD9" w:rsidRPr="00146346">
        <w:rPr>
          <w:rFonts w:eastAsia="MS Mincho"/>
        </w:rPr>
        <w:t>,</w:t>
      </w:r>
      <w:r w:rsidR="00B84CD9">
        <w:rPr>
          <w:rStyle w:val="CommentReference"/>
          <w:rFonts w:eastAsia="MS Mincho"/>
        </w:rPr>
        <w:t xml:space="preserve"> </w:t>
      </w:r>
      <w:r w:rsidRPr="00146346">
        <w:rPr>
          <w:rFonts w:eastAsia="MS Mincho"/>
        </w:rPr>
        <w:t>p</w:t>
      </w:r>
      <w:r w:rsidRPr="007779DC">
        <w:rPr>
          <w:rFonts w:cs="Open Sans"/>
        </w:rPr>
        <w:t>articularly where the subject matter of the complaint involved actions aligned with state government public health orders.</w:t>
      </w:r>
    </w:p>
    <w:p w14:paraId="2E3B77DF" w14:textId="0CE61C11" w:rsidR="2832F822" w:rsidRDefault="008C38F7" w:rsidP="000D0B8F">
      <w:pPr>
        <w:spacing w:before="100" w:beforeAutospacing="1" w:after="100" w:afterAutospacing="1"/>
        <w:rPr>
          <w:rFonts w:cs="Open Sans"/>
        </w:rPr>
      </w:pPr>
      <w:r w:rsidRPr="2832F822">
        <w:rPr>
          <w:rFonts w:cs="Open Sans"/>
        </w:rPr>
        <w:t>It is anticipated that the comparatively low number of COVID-19 complaints received (114 in 2022-23) and the positive impact of temporary staffing increases within ICS, will result in a decrease in complaint handling timeframes and an increase in conciliated complaints by the end of 2024, noting that an unforeseen global event could disrupt this expectation.</w:t>
      </w:r>
    </w:p>
    <w:p w14:paraId="6FE3FFE3" w14:textId="72CF7876" w:rsidR="2832F822" w:rsidRDefault="005208CF" w:rsidP="000D0B8F">
      <w:pPr>
        <w:spacing w:before="100" w:beforeAutospacing="1" w:after="100" w:afterAutospacing="1"/>
        <w:rPr>
          <w:rFonts w:cs="Open Sans"/>
        </w:rPr>
      </w:pPr>
      <w:r w:rsidRPr="2832F822">
        <w:rPr>
          <w:rFonts w:cs="Open Sans"/>
        </w:rPr>
        <w:t>The</w:t>
      </w:r>
      <w:r w:rsidR="008C38F7" w:rsidRPr="2832F822">
        <w:rPr>
          <w:rFonts w:cs="Open Sans"/>
        </w:rPr>
        <w:t xml:space="preserve"> Commission received a record number of sexual harassment and sex-based harassment complaints in 2022-23 (a combined total of 371)</w:t>
      </w:r>
      <w:r w:rsidR="001B6296" w:rsidRPr="2832F822">
        <w:rPr>
          <w:rFonts w:cs="Open Sans"/>
        </w:rPr>
        <w:t xml:space="preserve">. This was </w:t>
      </w:r>
      <w:r w:rsidR="008C38F7" w:rsidRPr="2832F822">
        <w:rPr>
          <w:rFonts w:cs="Open Sans"/>
        </w:rPr>
        <w:t xml:space="preserve">a result of greater protections offered to workers </w:t>
      </w:r>
      <w:r w:rsidR="00FC0739" w:rsidRPr="2832F822">
        <w:rPr>
          <w:rFonts w:cs="Open Sans"/>
        </w:rPr>
        <w:t>under</w:t>
      </w:r>
      <w:r w:rsidR="008C38F7" w:rsidRPr="2832F822">
        <w:rPr>
          <w:rFonts w:cs="Open Sans"/>
        </w:rPr>
        <w:t xml:space="preserve"> amendments to the </w:t>
      </w:r>
      <w:r w:rsidR="008C38F7" w:rsidRPr="2832F822">
        <w:rPr>
          <w:rStyle w:val="Emphasis"/>
        </w:rPr>
        <w:t>Sex Discrimination</w:t>
      </w:r>
      <w:r w:rsidR="008C38F7" w:rsidRPr="2832F822">
        <w:rPr>
          <w:rFonts w:cs="Open Sans"/>
        </w:rPr>
        <w:t xml:space="preserve"> </w:t>
      </w:r>
      <w:r w:rsidR="008C38F7" w:rsidRPr="2832F822">
        <w:rPr>
          <w:rStyle w:val="Emphasis"/>
        </w:rPr>
        <w:t>Act</w:t>
      </w:r>
      <w:r w:rsidR="008C38F7" w:rsidRPr="2832F822">
        <w:rPr>
          <w:rFonts w:cs="Open Sans"/>
        </w:rPr>
        <w:t xml:space="preserve"> and increasing public awareness about the requirement to provide safe workplaces free from harassment and discrimination. </w:t>
      </w:r>
    </w:p>
    <w:p w14:paraId="2E66B87B" w14:textId="5ACF0A9F" w:rsidR="6754C6E1" w:rsidRDefault="008C38F7" w:rsidP="00763C6C">
      <w:pPr>
        <w:spacing w:before="100" w:beforeAutospacing="1" w:after="100" w:afterAutospacing="1"/>
        <w:rPr>
          <w:rFonts w:cs="Open Sans"/>
        </w:rPr>
      </w:pPr>
      <w:r w:rsidRPr="007779DC">
        <w:rPr>
          <w:rFonts w:cs="Open Sans"/>
        </w:rPr>
        <w:t>Despite the challenges faced over the past two years, the ICS and NIS (and newly formed Respect@Work Info Service) provided information, education and conciliation services to people and organisations across Australia. While there has been a decrease in the number of complaints that resolved, there has been an increase in the percentage of resolved complaints that included systemic outcomes, notably outcomes aimed at embedding participatory design principles by involving end users in the design process of new products and services.</w:t>
      </w:r>
    </w:p>
    <w:p w14:paraId="3088891E" w14:textId="0568591D" w:rsidR="008C38F7" w:rsidRPr="00146346" w:rsidRDefault="008C38F7" w:rsidP="00763C6C">
      <w:pPr>
        <w:pStyle w:val="Heading6"/>
      </w:pPr>
      <w:r w:rsidRPr="00DC0051">
        <w:t>Outcome 2: Strengthening Australia’s human rights framework, embedding human rights issues at a national level</w:t>
      </w:r>
    </w:p>
    <w:tbl>
      <w:tblPr>
        <w:tblStyle w:val="TableGrey"/>
        <w:tblW w:w="5000" w:type="pct"/>
        <w:shd w:val="clear" w:color="auto" w:fill="DEEAF6" w:themeFill="accent1" w:themeFillTint="33"/>
        <w:tblLook w:val="04A0" w:firstRow="1" w:lastRow="0" w:firstColumn="1" w:lastColumn="0" w:noHBand="0" w:noVBand="1"/>
      </w:tblPr>
      <w:tblGrid>
        <w:gridCol w:w="9969"/>
      </w:tblGrid>
      <w:tr w:rsidR="008C38F7" w:rsidRPr="00DC0051" w14:paraId="225D5327" w14:textId="77777777" w:rsidTr="00B97704">
        <w:trPr>
          <w:trHeight w:val="1245"/>
        </w:trPr>
        <w:tc>
          <w:tcPr>
            <w:tcW w:w="5000" w:type="pct"/>
            <w:shd w:val="clear" w:color="auto" w:fill="DEEAF6" w:themeFill="accent1" w:themeFillTint="33"/>
          </w:tcPr>
          <w:p w14:paraId="31ADA5B2" w14:textId="77777777" w:rsidR="008C38F7" w:rsidRDefault="008C38F7" w:rsidP="008C38F7">
            <w:pPr>
              <w:rPr>
                <w:rStyle w:val="Strong"/>
                <w:bCs w:val="0"/>
                <w:color w:val="FFFFFF" w:themeColor="background1"/>
              </w:rPr>
            </w:pPr>
            <w:r w:rsidRPr="001A06BD">
              <w:rPr>
                <w:rStyle w:val="Strong"/>
              </w:rPr>
              <w:t xml:space="preserve">2.1 </w:t>
            </w:r>
            <w:r w:rsidR="00323B02" w:rsidRPr="001A06BD">
              <w:rPr>
                <w:rStyle w:val="Strong"/>
              </w:rPr>
              <w:t>The leadership</w:t>
            </w:r>
            <w:r w:rsidRPr="001A06BD">
              <w:rPr>
                <w:rStyle w:val="Strong"/>
              </w:rPr>
              <w:t xml:space="preserve"> and advocacy of the President and Commissioners on thematic areas or identified human rights issues improves the enjoyment of human rights by affected groups</w:t>
            </w:r>
          </w:p>
          <w:p w14:paraId="6DBA7361" w14:textId="77777777" w:rsidR="00B97704" w:rsidRPr="00146346" w:rsidRDefault="00B97704" w:rsidP="00B97704">
            <w:r w:rsidRPr="00146346">
              <w:t>Research, reporting and advice activities of the Commission:</w:t>
            </w:r>
          </w:p>
          <w:p w14:paraId="24E948A6" w14:textId="77777777" w:rsidR="00B97704" w:rsidRPr="00146346" w:rsidRDefault="00B97704" w:rsidP="00B97704">
            <w:pPr>
              <w:pStyle w:val="ListBullet"/>
            </w:pPr>
            <w:r w:rsidRPr="00DC0051">
              <w:rPr>
                <w:lang w:val="en-US"/>
              </w:rPr>
              <w:t>are viewed as evidence-based, persuasive and credible by stakeholders</w:t>
            </w:r>
          </w:p>
          <w:p w14:paraId="2494DE40" w14:textId="77777777" w:rsidR="00B97704" w:rsidRPr="00146346" w:rsidRDefault="00B97704" w:rsidP="00B97704">
            <w:pPr>
              <w:pStyle w:val="ListBullet"/>
            </w:pPr>
            <w:r w:rsidRPr="00DC0051">
              <w:rPr>
                <w:lang w:val="en-US"/>
              </w:rPr>
              <w:t>increase understanding of the human rights issues and impacts raised</w:t>
            </w:r>
          </w:p>
          <w:p w14:paraId="7E1EFDD6" w14:textId="77777777" w:rsidR="00B97704" w:rsidRPr="00777D67" w:rsidRDefault="00B97704" w:rsidP="00B97704">
            <w:pPr>
              <w:pStyle w:val="ListBullet"/>
              <w:rPr>
                <w:lang w:val="en-US"/>
              </w:rPr>
            </w:pPr>
            <w:r w:rsidRPr="00DC0051">
              <w:rPr>
                <w:lang w:val="en-US"/>
              </w:rPr>
              <w:t>strengthen stakeholder capacity to promote and advocate for the human rights issues raised.</w:t>
            </w:r>
          </w:p>
          <w:p w14:paraId="01011A5F" w14:textId="05FCEA9D" w:rsidR="00B97704" w:rsidRPr="001A06BD" w:rsidRDefault="00B97704" w:rsidP="00B97704">
            <w:pPr>
              <w:rPr>
                <w:rStyle w:val="Strong"/>
              </w:rPr>
            </w:pPr>
            <w:r w:rsidRPr="00146346">
              <w:t>Instances of programs attracting strategic partnerships that advance the priority human rights issues we have advocated for.</w:t>
            </w:r>
          </w:p>
        </w:tc>
      </w:tr>
    </w:tbl>
    <w:p w14:paraId="6B18BCB5" w14:textId="77777777" w:rsidR="008C38F7" w:rsidRDefault="008C38F7" w:rsidP="008C38F7">
      <w:pPr>
        <w:rPr>
          <w:rFonts w:cs="Open Sans"/>
        </w:rPr>
      </w:pPr>
    </w:p>
    <w:p w14:paraId="01B5FA6A" w14:textId="3D5461FD" w:rsidR="009C529A" w:rsidRDefault="009C529A">
      <w:pPr>
        <w:spacing w:before="0" w:after="0" w:line="240" w:lineRule="auto"/>
        <w:rPr>
          <w:rFonts w:cs="Open Sans"/>
        </w:rPr>
      </w:pPr>
      <w:r>
        <w:rPr>
          <w:rFonts w:cs="Open Sans"/>
        </w:rPr>
        <w:br w:type="page"/>
      </w:r>
    </w:p>
    <w:p w14:paraId="559BD0C2" w14:textId="16351DD7" w:rsidR="00FA3585" w:rsidRPr="00B97704" w:rsidRDefault="008C38F7" w:rsidP="00B97704">
      <w:pPr>
        <w:pStyle w:val="Heading4"/>
      </w:pPr>
      <w:r w:rsidRPr="00B97704">
        <w:t>Results</w:t>
      </w:r>
    </w:p>
    <w:p w14:paraId="247B277E" w14:textId="12554202" w:rsidR="00FA3585" w:rsidRDefault="002D42E1" w:rsidP="00FA3585">
      <w:r>
        <w:rPr>
          <w:noProof/>
        </w:rPr>
        <w:drawing>
          <wp:inline distT="0" distB="0" distL="0" distR="0" wp14:anchorId="6BD20A16" wp14:editId="37AD80DB">
            <wp:extent cx="6330315" cy="6594475"/>
            <wp:effectExtent l="0" t="0" r="0" b="0"/>
            <wp:docPr id="2052465536" name="Picture 2052465536" descr="29 major reports, publications and resources&#10;28 projects attracting strategic partnerships&#10;9 major events &#10;237 speeches and presentations &#10;87 web news items&#10;235 media interviews&#10;16 opinion pie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465536" name="Immagine 18" descr="29 major reports, publications and resources&#10;28 projects attracting strategic partnerships&#10;9 major events &#10;237 speeches and presentations &#10;87 web news items&#10;235 media interviews&#10;16 opinion piece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30315" cy="6594475"/>
                    </a:xfrm>
                    <a:prstGeom prst="rect">
                      <a:avLst/>
                    </a:prstGeom>
                  </pic:spPr>
                </pic:pic>
              </a:graphicData>
            </a:graphic>
          </wp:inline>
        </w:drawing>
      </w:r>
    </w:p>
    <w:p w14:paraId="534BF954" w14:textId="77777777" w:rsidR="00FA3585" w:rsidRDefault="00FA3585" w:rsidP="00FA3585"/>
    <w:p w14:paraId="4511DA6A" w14:textId="58F4DBFD" w:rsidR="00DF332B" w:rsidRDefault="00DF332B">
      <w:pPr>
        <w:spacing w:before="0" w:after="0" w:line="240" w:lineRule="auto"/>
      </w:pPr>
      <w:r>
        <w:br w:type="page"/>
      </w:r>
    </w:p>
    <w:p w14:paraId="04C82685" w14:textId="591B51C3" w:rsidR="007E286D" w:rsidRPr="00146346" w:rsidRDefault="008C38F7" w:rsidP="00284839">
      <w:pPr>
        <w:pStyle w:val="Heading5"/>
      </w:pPr>
      <w:r w:rsidRPr="00AB6973">
        <w:t>Wiyi Yani U Thangani (Women’s Voices) National Summit</w:t>
      </w:r>
    </w:p>
    <w:p w14:paraId="613847C2" w14:textId="5A17990A" w:rsidR="007B7DB3" w:rsidRPr="00AB6973" w:rsidRDefault="008C38F7" w:rsidP="008C38F7">
      <w:pPr>
        <w:tabs>
          <w:tab w:val="left" w:pos="5412"/>
        </w:tabs>
        <w:rPr>
          <w:rFonts w:cs="Open Sans"/>
        </w:rPr>
      </w:pPr>
      <w:r w:rsidRPr="00AB6973">
        <w:rPr>
          <w:rFonts w:cs="Open Sans"/>
        </w:rPr>
        <w:t xml:space="preserve">On 9–11 May 2023, Social Justice Commissioner June Oscar AO, in partnership with the National Indigenous Australians Agency, hosted the Wiyi Yani U Thangani (Women’s Voices) National Summit, preceded by a </w:t>
      </w:r>
      <w:r w:rsidR="00B34B0C">
        <w:rPr>
          <w:rFonts w:cs="Open Sans"/>
        </w:rPr>
        <w:t xml:space="preserve">one </w:t>
      </w:r>
      <w:r w:rsidRPr="00AB6973">
        <w:rPr>
          <w:rFonts w:cs="Open Sans"/>
        </w:rPr>
        <w:t xml:space="preserve">day Youth Forum. The Summit was the first national gathering of its kind, bringing together </w:t>
      </w:r>
      <w:r w:rsidR="00944772">
        <w:rPr>
          <w:rFonts w:cs="Open Sans"/>
        </w:rPr>
        <w:t>more than</w:t>
      </w:r>
      <w:r w:rsidRPr="00AB6973">
        <w:rPr>
          <w:rFonts w:cs="Open Sans"/>
        </w:rPr>
        <w:t xml:space="preserve"> 900 women and girls from across Australia for decision-making, innovation and celebration.</w:t>
      </w:r>
    </w:p>
    <w:p w14:paraId="782D548C" w14:textId="2E485E4A" w:rsidR="007B7DB3" w:rsidRPr="00AB6973" w:rsidRDefault="008C38F7" w:rsidP="008C38F7">
      <w:pPr>
        <w:tabs>
          <w:tab w:val="left" w:pos="5412"/>
        </w:tabs>
        <w:rPr>
          <w:rFonts w:cs="Open Sans"/>
        </w:rPr>
      </w:pPr>
      <w:r w:rsidRPr="00AB6973">
        <w:rPr>
          <w:rFonts w:cs="Open Sans"/>
        </w:rPr>
        <w:t xml:space="preserve">The Summit was a key outcome of Stage 3 of the Wiyi Yani U Thangani project, which has sought to elevate and centre the voices of First Nations women and girls across Australia in decision-making processes. It was a key recommendation of the </w:t>
      </w:r>
      <w:r w:rsidRPr="00437C60">
        <w:rPr>
          <w:rStyle w:val="Emphasis"/>
        </w:rPr>
        <w:t xml:space="preserve">Wiyi Yani U Thangani: Securing Our Rights, Securing Our Future report </w:t>
      </w:r>
      <w:r w:rsidRPr="00AB6973">
        <w:rPr>
          <w:rFonts w:cs="Open Sans"/>
        </w:rPr>
        <w:t>(2020), informed by an extensive consultation process gathering the needs, hopes and aspirations of First Nations women and girls.</w:t>
      </w:r>
    </w:p>
    <w:p w14:paraId="396E64CC" w14:textId="1498357B" w:rsidR="008C38F7" w:rsidRPr="00AB6973" w:rsidRDefault="008C38F7" w:rsidP="008C38F7">
      <w:pPr>
        <w:tabs>
          <w:tab w:val="left" w:pos="5412"/>
        </w:tabs>
        <w:rPr>
          <w:rFonts w:cs="Open Sans"/>
        </w:rPr>
      </w:pPr>
      <w:r w:rsidRPr="00AB6973">
        <w:rPr>
          <w:rFonts w:cs="Open Sans"/>
        </w:rPr>
        <w:t xml:space="preserve">The Summit presented opportunities for women to share their knowledges, </w:t>
      </w:r>
      <w:r w:rsidR="008D5E62">
        <w:rPr>
          <w:rFonts w:cs="Open Sans"/>
        </w:rPr>
        <w:t xml:space="preserve">and </w:t>
      </w:r>
      <w:r w:rsidRPr="00AB6973">
        <w:rPr>
          <w:rFonts w:cs="Open Sans"/>
        </w:rPr>
        <w:t>learn and build on the transformative initiatives and projects taking place across Australia</w:t>
      </w:r>
      <w:r w:rsidR="00B20AFF">
        <w:rPr>
          <w:rFonts w:cs="Open Sans"/>
        </w:rPr>
        <w:t xml:space="preserve">. It was also an opportunity </w:t>
      </w:r>
      <w:r w:rsidRPr="00AB6973">
        <w:rPr>
          <w:rFonts w:cs="Open Sans"/>
        </w:rPr>
        <w:t xml:space="preserve">develop strong connections and relationships with others. </w:t>
      </w:r>
    </w:p>
    <w:p w14:paraId="0559D3EA" w14:textId="77777777" w:rsidR="00284839" w:rsidRDefault="00284839" w:rsidP="008C38F7">
      <w:pPr>
        <w:tabs>
          <w:tab w:val="left" w:pos="5412"/>
        </w:tabs>
        <w:rPr>
          <w:rFonts w:cs="Open Sans"/>
        </w:rPr>
      </w:pPr>
    </w:p>
    <w:p w14:paraId="0AA54E46" w14:textId="22B65A28" w:rsidR="00284839" w:rsidRPr="00284839" w:rsidRDefault="00284839" w:rsidP="001A06BD">
      <w:pPr>
        <w:pStyle w:val="IntenseQuote"/>
        <w:pBdr>
          <w:left w:val="single" w:sz="36" w:space="10" w:color="4472C4"/>
        </w:pBdr>
        <w:rPr>
          <w:rStyle w:val="Strong"/>
        </w:rPr>
      </w:pPr>
      <w:r w:rsidRPr="00BE5B13">
        <w:t>The Summit created space for collective generational learning for my mother, my eldest daughter and I. This made me feel immense gratitude and pride to see our future leaders being held and nurtured so they can shine bright.</w:t>
      </w:r>
      <w:r w:rsidR="001A06BD">
        <w:t xml:space="preserve"> —</w:t>
      </w:r>
      <w:r w:rsidRPr="00284839">
        <w:rPr>
          <w:rStyle w:val="Strong"/>
        </w:rPr>
        <w:t>Feedback from Summit participant</w:t>
      </w:r>
    </w:p>
    <w:p w14:paraId="61DCADBD" w14:textId="77777777" w:rsidR="00284839" w:rsidRPr="00AB6973" w:rsidRDefault="00284839" w:rsidP="008C38F7">
      <w:pPr>
        <w:tabs>
          <w:tab w:val="left" w:pos="5412"/>
        </w:tabs>
        <w:rPr>
          <w:rFonts w:cs="Open Sans"/>
        </w:rPr>
      </w:pPr>
    </w:p>
    <w:p w14:paraId="6BF50811" w14:textId="295615F9" w:rsidR="0098529C" w:rsidRPr="00AB6973" w:rsidRDefault="008C38F7" w:rsidP="008C38F7">
      <w:pPr>
        <w:tabs>
          <w:tab w:val="left" w:pos="5412"/>
        </w:tabs>
        <w:rPr>
          <w:rFonts w:cs="Open Sans"/>
        </w:rPr>
      </w:pPr>
      <w:r w:rsidRPr="00AB6973">
        <w:rPr>
          <w:rFonts w:cs="Open Sans"/>
        </w:rPr>
        <w:t>Throughout the Summit, delegates engaged with inspiring keynotes, panels, presentations and workshops, showcasing the innovative approaches and initiatives of First Nations women across four thematic areas: Leadership and Decision-Making; Language, Land, Water and Cultural Rights; Societal Healing and Intergenerational Wellbeing; and Economic Justice and Empowerment. Women also expressed aspirations for the future and areas of focus to overcome systemic challenges. These areas include amplifying youth voices; making space for LGBTIQ+SG communities; supporting communities from the ground up; and responding to systemic violence, discrimination and marginalisation. This dialogue enabled delegates to gain a better understanding and respect for their rights, and to use this learning to defend and advocate for their rights within their own context.</w:t>
      </w:r>
    </w:p>
    <w:p w14:paraId="6B09EEA0" w14:textId="6695CA2C" w:rsidR="007B7DB3" w:rsidRPr="00AB6973" w:rsidRDefault="008C38F7" w:rsidP="008C38F7">
      <w:pPr>
        <w:tabs>
          <w:tab w:val="left" w:pos="5412"/>
        </w:tabs>
        <w:rPr>
          <w:rFonts w:cs="Open Sans"/>
        </w:rPr>
      </w:pPr>
      <w:r w:rsidRPr="00AB6973">
        <w:rPr>
          <w:rFonts w:cs="Open Sans"/>
        </w:rPr>
        <w:t xml:space="preserve">Delegates at the Summit also expressed their needs and aspirations for the future, presented in the </w:t>
      </w:r>
      <w:hyperlink r:id="rId30" w:history="1">
        <w:r w:rsidRPr="00DC0051">
          <w:rPr>
            <w:rStyle w:val="Hyperlink"/>
            <w:rFonts w:cs="Open Sans"/>
          </w:rPr>
          <w:t>Summit Communiqué</w:t>
        </w:r>
      </w:hyperlink>
      <w:r w:rsidRPr="00AB6973">
        <w:rPr>
          <w:rFonts w:cs="Open Sans"/>
        </w:rPr>
        <w:t xml:space="preserve"> and </w:t>
      </w:r>
      <w:hyperlink r:id="rId31" w:history="1">
        <w:r w:rsidRPr="00DC0051">
          <w:rPr>
            <w:rStyle w:val="Hyperlink"/>
            <w:rFonts w:cs="Open Sans"/>
          </w:rPr>
          <w:t>Youth Statement</w:t>
        </w:r>
      </w:hyperlink>
      <w:r w:rsidRPr="00AB6973">
        <w:rPr>
          <w:rFonts w:cs="Open Sans"/>
        </w:rPr>
        <w:t>, and provided insight for the next stages of the project – the development of the National Framework for Action and a First Nations Gender Justice Institute, hosted at the Australian National University.</w:t>
      </w:r>
    </w:p>
    <w:p w14:paraId="5D1E9CEB" w14:textId="24EF2F3E" w:rsidR="007779DC" w:rsidRPr="00AB6973" w:rsidRDefault="008C38F7" w:rsidP="008C38F7">
      <w:pPr>
        <w:tabs>
          <w:tab w:val="left" w:pos="5412"/>
        </w:tabs>
        <w:rPr>
          <w:rFonts w:cs="Open Sans"/>
        </w:rPr>
      </w:pPr>
      <w:r w:rsidRPr="00AB6973">
        <w:rPr>
          <w:rFonts w:cs="Open Sans"/>
        </w:rPr>
        <w:t>The Summit contributed to the broader development and amplification of First Nations gender justice across Australia, strengthening and elevating the rights and voices of First Nations women and girls. Delegates advocated for the Framework and Institute to provide a platform for systemic reform, overcoming inequalities, marginalisation and discrimination, and to better incorporate First Nations rights, as articulated by the UN Declaration on the Rights of Indigenous peoples throughout national policy, legislation and infrastructure.</w:t>
      </w:r>
    </w:p>
    <w:p w14:paraId="54562C6C" w14:textId="1B79D639" w:rsidR="007E286D" w:rsidRPr="00AB6973" w:rsidRDefault="004535B8" w:rsidP="00284839">
      <w:pPr>
        <w:pStyle w:val="Heading5"/>
      </w:pPr>
      <w:r w:rsidRPr="00AB6973">
        <w:t>2022 Human Rights Awards</w:t>
      </w:r>
    </w:p>
    <w:p w14:paraId="5D215FA8" w14:textId="06F429CE" w:rsidR="00D008A8" w:rsidRPr="00AB6973" w:rsidRDefault="004535B8" w:rsidP="004535B8">
      <w:pPr>
        <w:tabs>
          <w:tab w:val="left" w:pos="5412"/>
        </w:tabs>
        <w:rPr>
          <w:rFonts w:cs="Open Sans"/>
        </w:rPr>
      </w:pPr>
      <w:r w:rsidRPr="00AB6973">
        <w:rPr>
          <w:rFonts w:cs="Open Sans"/>
        </w:rPr>
        <w:t>Since 1987, the Commission</w:t>
      </w:r>
      <w:r w:rsidR="00CE307F">
        <w:rPr>
          <w:rFonts w:cs="Open Sans"/>
        </w:rPr>
        <w:t>’s</w:t>
      </w:r>
      <w:r w:rsidRPr="00AB6973">
        <w:rPr>
          <w:rFonts w:cs="Open Sans"/>
        </w:rPr>
        <w:t xml:space="preserve"> Human Rights Awards have celebrated </w:t>
      </w:r>
      <w:r w:rsidR="00CE307F">
        <w:rPr>
          <w:rFonts w:cs="Open Sans"/>
        </w:rPr>
        <w:t>t</w:t>
      </w:r>
      <w:r w:rsidRPr="00AB6973">
        <w:rPr>
          <w:rFonts w:cs="Open Sans"/>
        </w:rPr>
        <w:t>he important work of people, businesses, and organisations who have advanced human right</w:t>
      </w:r>
      <w:r w:rsidR="005F7840">
        <w:rPr>
          <w:rFonts w:cs="Open Sans"/>
        </w:rPr>
        <w:t>s</w:t>
      </w:r>
      <w:r w:rsidRPr="00AB6973">
        <w:rPr>
          <w:rFonts w:cs="Open Sans"/>
        </w:rPr>
        <w:t xml:space="preserve"> in Australia. The 2022 Awards were delivered in a new, more accessible format and received one of the highest ever number of nominations across four award categories.</w:t>
      </w:r>
    </w:p>
    <w:p w14:paraId="59FFD984" w14:textId="5FF473DD" w:rsidR="009017C5" w:rsidRPr="00AB6973" w:rsidRDefault="004535B8" w:rsidP="004535B8">
      <w:pPr>
        <w:tabs>
          <w:tab w:val="left" w:pos="5412"/>
        </w:tabs>
        <w:rPr>
          <w:rFonts w:cs="Open Sans"/>
        </w:rPr>
      </w:pPr>
      <w:r w:rsidRPr="00AB6973">
        <w:rPr>
          <w:rFonts w:cs="Open Sans"/>
        </w:rPr>
        <w:t xml:space="preserve">Distinguished Professor Larissa Behrendt AO, winner of the 2021 Human Rights Medal, delivered the annual Human Rights Day Oration at the </w:t>
      </w:r>
      <w:r w:rsidR="00376257">
        <w:rPr>
          <w:rFonts w:cs="Open Sans"/>
        </w:rPr>
        <w:t xml:space="preserve">2022 </w:t>
      </w:r>
      <w:r w:rsidR="00C54755">
        <w:rPr>
          <w:rFonts w:cs="Open Sans"/>
        </w:rPr>
        <w:t>awards presentations ceremony</w:t>
      </w:r>
      <w:r w:rsidRPr="00AB6973">
        <w:rPr>
          <w:rFonts w:cs="Open Sans"/>
        </w:rPr>
        <w:t>.</w:t>
      </w:r>
    </w:p>
    <w:p w14:paraId="60789DB8" w14:textId="62C3225A" w:rsidR="004535B8" w:rsidRDefault="004535B8" w:rsidP="004535B8">
      <w:pPr>
        <w:tabs>
          <w:tab w:val="left" w:pos="5412"/>
        </w:tabs>
        <w:rPr>
          <w:rFonts w:cs="Open Sans"/>
        </w:rPr>
      </w:pPr>
      <w:r w:rsidRPr="00AB6973">
        <w:rPr>
          <w:rFonts w:cs="Open Sans"/>
        </w:rPr>
        <w:t>Not</w:t>
      </w:r>
      <w:r w:rsidR="00C54755">
        <w:rPr>
          <w:rFonts w:cs="Open Sans"/>
        </w:rPr>
        <w:t>-</w:t>
      </w:r>
      <w:r w:rsidRPr="00AB6973">
        <w:rPr>
          <w:rFonts w:cs="Open Sans"/>
        </w:rPr>
        <w:t>for</w:t>
      </w:r>
      <w:r w:rsidR="00C54755">
        <w:rPr>
          <w:rFonts w:cs="Open Sans"/>
        </w:rPr>
        <w:t>-</w:t>
      </w:r>
      <w:r w:rsidRPr="00AB6973">
        <w:rPr>
          <w:rFonts w:cs="Open Sans"/>
        </w:rPr>
        <w:t xml:space="preserve">profit Mahboba’s Promise founded by Mahboba Rawi and Nawid Cina won the prestigious Human Rights Medal for their work supporting women and children fleeing the Taliban in Afghanistan. </w:t>
      </w:r>
    </w:p>
    <w:p w14:paraId="3A3B4618" w14:textId="77777777" w:rsidR="00284839" w:rsidRDefault="00284839" w:rsidP="004535B8">
      <w:pPr>
        <w:tabs>
          <w:tab w:val="left" w:pos="5412"/>
        </w:tabs>
        <w:rPr>
          <w:rFonts w:cs="Open Sans"/>
        </w:rPr>
      </w:pPr>
    </w:p>
    <w:p w14:paraId="0E4C7E02" w14:textId="4000B1F2" w:rsidR="00284839" w:rsidRPr="001A06BD" w:rsidRDefault="00284839" w:rsidP="001A06BD">
      <w:pPr>
        <w:pStyle w:val="IntenseQuote"/>
        <w:pBdr>
          <w:left w:val="single" w:sz="36" w:space="10" w:color="4472C4"/>
        </w:pBdr>
      </w:pPr>
      <w:r w:rsidRPr="001A06BD">
        <w:t>I dream for Afghan women to be free and choose what they want to do, to go out without permission, to run their life the way they want, to work equally, to study, go for further education.</w:t>
      </w:r>
      <w:r w:rsidR="001A06BD" w:rsidRPr="001A06BD">
        <w:t xml:space="preserve"> —</w:t>
      </w:r>
      <w:r w:rsidRPr="008C0BF9">
        <w:rPr>
          <w:rStyle w:val="Strong"/>
        </w:rPr>
        <w:t>Mahboba Rawi on accepting the award</w:t>
      </w:r>
    </w:p>
    <w:p w14:paraId="4A7927F4" w14:textId="77777777" w:rsidR="00284839" w:rsidRPr="00AB6973" w:rsidRDefault="00284839" w:rsidP="004535B8">
      <w:pPr>
        <w:tabs>
          <w:tab w:val="left" w:pos="5412"/>
        </w:tabs>
        <w:rPr>
          <w:rFonts w:cs="Open Sans"/>
        </w:rPr>
      </w:pPr>
    </w:p>
    <w:p w14:paraId="29B1BC7E" w14:textId="33150204" w:rsidR="008C38F7" w:rsidRPr="00AB6973" w:rsidRDefault="004535B8" w:rsidP="008C38F7">
      <w:pPr>
        <w:tabs>
          <w:tab w:val="left" w:pos="5412"/>
        </w:tabs>
        <w:rPr>
          <w:rFonts w:cs="Open Sans"/>
        </w:rPr>
      </w:pPr>
      <w:r w:rsidRPr="00AB6973">
        <w:rPr>
          <w:rFonts w:cs="Open Sans"/>
        </w:rPr>
        <w:t xml:space="preserve">Caroline Cecile Fletcher, </w:t>
      </w:r>
      <w:r w:rsidR="00A269B7">
        <w:rPr>
          <w:rFonts w:cs="Open Sans"/>
        </w:rPr>
        <w:t>won</w:t>
      </w:r>
      <w:r w:rsidRPr="00AB6973">
        <w:rPr>
          <w:rFonts w:cs="Open Sans"/>
        </w:rPr>
        <w:t xml:space="preserve"> the Young People’s Award </w:t>
      </w:r>
      <w:r w:rsidR="00A269B7">
        <w:rPr>
          <w:rFonts w:cs="Open Sans"/>
        </w:rPr>
        <w:t xml:space="preserve">for her </w:t>
      </w:r>
      <w:r w:rsidR="0007738A">
        <w:rPr>
          <w:rFonts w:cs="Open Sans"/>
        </w:rPr>
        <w:t>advocacy</w:t>
      </w:r>
      <w:r w:rsidR="001F2A25">
        <w:rPr>
          <w:rFonts w:cs="Open Sans"/>
        </w:rPr>
        <w:t xml:space="preserve"> </w:t>
      </w:r>
      <w:r w:rsidR="00467004">
        <w:rPr>
          <w:rFonts w:cs="Open Sans"/>
        </w:rPr>
        <w:t xml:space="preserve">for young people </w:t>
      </w:r>
      <w:r w:rsidR="001F2A25">
        <w:rPr>
          <w:rFonts w:cs="Open Sans"/>
        </w:rPr>
        <w:t xml:space="preserve">in the </w:t>
      </w:r>
      <w:r w:rsidRPr="00AB6973">
        <w:rPr>
          <w:rFonts w:cs="Open Sans"/>
        </w:rPr>
        <w:t xml:space="preserve">foster care system </w:t>
      </w:r>
      <w:r w:rsidR="001F2A25">
        <w:rPr>
          <w:rFonts w:cs="Open Sans"/>
        </w:rPr>
        <w:t>based on her own lived experience</w:t>
      </w:r>
      <w:r w:rsidR="00E56329">
        <w:rPr>
          <w:rFonts w:cs="Open Sans"/>
        </w:rPr>
        <w:t xml:space="preserve">. </w:t>
      </w:r>
      <w:r w:rsidRPr="00AB6973">
        <w:rPr>
          <w:rFonts w:cs="Open Sans"/>
        </w:rPr>
        <w:t>Scientia Professor Jane McAdam, Professor of Law and Director of the Kaldor Centre for International Refugee law, won the law award for her contributions to international law and pioneer research into climate related human displacement</w:t>
      </w:r>
      <w:r w:rsidR="008C1A1B">
        <w:rPr>
          <w:rFonts w:cs="Open Sans"/>
        </w:rPr>
        <w:t xml:space="preserve">. </w:t>
      </w:r>
      <w:r w:rsidRPr="00AB6973">
        <w:rPr>
          <w:rFonts w:cs="Open Sans"/>
        </w:rPr>
        <w:t>Hotel Etico, an innovative social enterprise that provides sustainable employment pathways for young people with disability</w:t>
      </w:r>
      <w:r w:rsidR="00F873A5">
        <w:rPr>
          <w:rFonts w:cs="Open Sans"/>
        </w:rPr>
        <w:t xml:space="preserve">, won </w:t>
      </w:r>
      <w:r w:rsidR="00F873A5" w:rsidRPr="00AB6973">
        <w:rPr>
          <w:rFonts w:cs="Open Sans"/>
        </w:rPr>
        <w:t>the Community Award</w:t>
      </w:r>
      <w:r w:rsidR="00F873A5">
        <w:rPr>
          <w:rFonts w:cs="Open Sans"/>
        </w:rPr>
        <w:t>.</w:t>
      </w:r>
    </w:p>
    <w:p w14:paraId="0C6A757A" w14:textId="3E82982E" w:rsidR="007E286D" w:rsidRPr="00146346" w:rsidRDefault="008C38F7" w:rsidP="00284839">
      <w:pPr>
        <w:pStyle w:val="Heading5"/>
      </w:pPr>
      <w:r w:rsidRPr="00AB6973">
        <w:t xml:space="preserve">Youth </w:t>
      </w:r>
      <w:r w:rsidR="007440DF">
        <w:t>j</w:t>
      </w:r>
      <w:r w:rsidRPr="00AB6973">
        <w:t xml:space="preserve">ustice advocacy </w:t>
      </w:r>
      <w:r w:rsidR="007440DF">
        <w:t>and</w:t>
      </w:r>
      <w:r w:rsidRPr="00AB6973">
        <w:t xml:space="preserve"> stakeholder engagemen</w:t>
      </w:r>
      <w:r w:rsidRPr="00323B02">
        <w:t>t</w:t>
      </w:r>
    </w:p>
    <w:p w14:paraId="718E4808" w14:textId="69492E6E" w:rsidR="00DC089A" w:rsidRPr="00146346" w:rsidRDefault="008C38F7" w:rsidP="00146346">
      <w:pPr>
        <w:rPr>
          <w:rFonts w:eastAsia="Open Sans"/>
        </w:rPr>
      </w:pPr>
      <w:r w:rsidRPr="00146346">
        <w:rPr>
          <w:rFonts w:eastAsia="Open Sans"/>
        </w:rPr>
        <w:t>Youth justice advocacy and engagement has been a significant area of focus for the Commission, with individual and collective advocacy across Commissioner portfolios for governments to urgently address the youth justice crisis in Australia.</w:t>
      </w:r>
    </w:p>
    <w:p w14:paraId="55B42936" w14:textId="4800A071" w:rsidR="008C38F7" w:rsidRPr="00146346" w:rsidRDefault="008C38F7" w:rsidP="008C38F7">
      <w:pPr>
        <w:pStyle w:val="paragraph"/>
        <w:spacing w:before="0" w:beforeAutospacing="0" w:after="0" w:afterAutospacing="0"/>
        <w:textAlignment w:val="baseline"/>
      </w:pPr>
      <w:r w:rsidRPr="00146346">
        <w:t xml:space="preserve">In May 2023, a riot broke out at Banksia Hill Detention Centre (BHDC), at the same time as women from across the country were gathered in Canberra for the Wiyi Yani U Thangani National Summit. In response, Commissioner Oscar supported the development of a </w:t>
      </w:r>
      <w:r w:rsidR="00CB7D11" w:rsidRPr="00146346">
        <w:t>joint</w:t>
      </w:r>
      <w:r w:rsidRPr="00146346">
        <w:t xml:space="preserve"> </w:t>
      </w:r>
      <w:hyperlink r:id="rId32" w:tgtFrame="_blank" w:history="1">
        <w:r w:rsidRPr="008400E5">
          <w:rPr>
            <w:rStyle w:val="Hyperlink"/>
          </w:rPr>
          <w:t>media release</w:t>
        </w:r>
      </w:hyperlink>
      <w:r w:rsidRPr="00146346">
        <w:t xml:space="preserve"> and the convening of a press conference, which resulted in widespread national coverage. The group included the Commissioner for Children and Young People WA Jacqueline McGowan–Jones, Acting Northern Territory Children's Commissioner Nicole Hucks, member of the UN Permanent Forum for Indigenous Peoples Associate Professor Hannah McGlade, representatives from Grandmothers of Close Don Dale Now and a number of community advocates.</w:t>
      </w:r>
    </w:p>
    <w:p w14:paraId="4AB830B9" w14:textId="1890F3DF" w:rsidR="003862AB" w:rsidRDefault="003862AB" w:rsidP="00284839">
      <w:pPr>
        <w:rPr>
          <w:rFonts w:eastAsia="Open Sans"/>
        </w:rPr>
      </w:pPr>
    </w:p>
    <w:p w14:paraId="311F3FF4" w14:textId="65472885" w:rsidR="00284839" w:rsidRPr="001A06BD" w:rsidRDefault="00284839" w:rsidP="001A06BD">
      <w:pPr>
        <w:pStyle w:val="IntenseQuote"/>
        <w:pBdr>
          <w:left w:val="single" w:sz="36" w:space="10" w:color="4472C4"/>
        </w:pBdr>
      </w:pPr>
      <w:r w:rsidRPr="001A06BD">
        <w:t>In a progressive country like Australia, the incarceration of Aboriginal and Torres Strait Islander children is a national crying change. June’s voice and advocacy in her role as Social Justice Commissioner has lent strength to our shared purpose to protect our children’s precious futures.</w:t>
      </w:r>
      <w:r w:rsidR="001A06BD">
        <w:t xml:space="preserve"> —</w:t>
      </w:r>
      <w:r w:rsidRPr="001A06BD">
        <w:rPr>
          <w:rStyle w:val="Strong"/>
        </w:rPr>
        <w:t>Grandmothers of Close Don Dale Now</w:t>
      </w:r>
    </w:p>
    <w:p w14:paraId="25B3F76A" w14:textId="77777777" w:rsidR="00284839" w:rsidRPr="00284839" w:rsidRDefault="00284839" w:rsidP="00284839">
      <w:pPr>
        <w:rPr>
          <w:rFonts w:eastAsia="Open Sans"/>
        </w:rPr>
      </w:pPr>
    </w:p>
    <w:p w14:paraId="016FD7FF" w14:textId="2DB9B195" w:rsidR="007E286D" w:rsidRPr="00146346" w:rsidRDefault="008C38F7" w:rsidP="00284839">
      <w:pPr>
        <w:pStyle w:val="Heading5"/>
      </w:pPr>
      <w:r w:rsidRPr="00795DD4">
        <w:t>Release of the Community Guide to the National Anti-Racism Framework Initial Scoping Report</w:t>
      </w:r>
    </w:p>
    <w:p w14:paraId="6FA9F5B2" w14:textId="55D8EDF4" w:rsidR="0018050F" w:rsidRPr="00146346" w:rsidRDefault="008C38F7" w:rsidP="00146346">
      <w:pPr>
        <w:rPr>
          <w:rFonts w:eastAsia="Open Sans"/>
        </w:rPr>
      </w:pPr>
      <w:r w:rsidRPr="00146346">
        <w:rPr>
          <w:rFonts w:eastAsia="Open Sans"/>
        </w:rPr>
        <w:t xml:space="preserve">A Community Guide to the National Anti-Racism Framework Scoping Report was developed by the Commission in June 2023. The Guide was translated into </w:t>
      </w:r>
      <w:r w:rsidR="006F5FDF" w:rsidRPr="00146346">
        <w:rPr>
          <w:rFonts w:eastAsia="Open Sans"/>
        </w:rPr>
        <w:t>seven</w:t>
      </w:r>
      <w:r w:rsidRPr="00146346">
        <w:rPr>
          <w:rFonts w:eastAsia="Open Sans"/>
        </w:rPr>
        <w:t xml:space="preserve"> languages, together with an Easy Read version. Alongside information about the National Anti-Racism Framework project, the Guide includes a compilation of relevant services and complaints information. </w:t>
      </w:r>
      <w:r w:rsidR="005329C8" w:rsidRPr="00146346">
        <w:rPr>
          <w:rFonts w:eastAsia="Open Sans"/>
        </w:rPr>
        <w:t>The Commission developed a</w:t>
      </w:r>
      <w:r w:rsidRPr="00146346">
        <w:rPr>
          <w:rFonts w:eastAsia="Open Sans"/>
        </w:rPr>
        <w:t xml:space="preserve"> community engagement strategy </w:t>
      </w:r>
      <w:r w:rsidR="005329C8" w:rsidRPr="00146346">
        <w:rPr>
          <w:rFonts w:eastAsia="Open Sans"/>
        </w:rPr>
        <w:t>and</w:t>
      </w:r>
      <w:r w:rsidR="000E16B5" w:rsidRPr="00146346">
        <w:rPr>
          <w:rFonts w:eastAsia="Open Sans"/>
        </w:rPr>
        <w:t xml:space="preserve"> </w:t>
      </w:r>
      <w:r w:rsidRPr="00146346">
        <w:rPr>
          <w:rFonts w:eastAsia="Open Sans"/>
        </w:rPr>
        <w:t>distribute</w:t>
      </w:r>
      <w:r w:rsidR="000E16B5" w:rsidRPr="00146346">
        <w:rPr>
          <w:rFonts w:eastAsia="Open Sans"/>
        </w:rPr>
        <w:t>d</w:t>
      </w:r>
      <w:r w:rsidRPr="00146346">
        <w:rPr>
          <w:rFonts w:eastAsia="Open Sans"/>
        </w:rPr>
        <w:t xml:space="preserve"> the Guide </w:t>
      </w:r>
      <w:r w:rsidR="000E16B5" w:rsidRPr="00146346">
        <w:rPr>
          <w:rFonts w:eastAsia="Open Sans"/>
        </w:rPr>
        <w:t>widely</w:t>
      </w:r>
      <w:r w:rsidR="00797F5A" w:rsidRPr="00146346">
        <w:rPr>
          <w:rFonts w:eastAsia="Open Sans"/>
        </w:rPr>
        <w:t>.</w:t>
      </w:r>
      <w:r w:rsidRPr="00146346">
        <w:rPr>
          <w:rFonts w:eastAsia="Open Sans"/>
        </w:rPr>
        <w:t xml:space="preserve"> </w:t>
      </w:r>
      <w:r w:rsidR="00797F5A" w:rsidRPr="00146346">
        <w:rPr>
          <w:rFonts w:eastAsia="Open Sans"/>
        </w:rPr>
        <w:t xml:space="preserve">This </w:t>
      </w:r>
      <w:r w:rsidRPr="00146346">
        <w:rPr>
          <w:rFonts w:eastAsia="Open Sans"/>
        </w:rPr>
        <w:t>included a social media amplification kit to assist organisations and supporters in promoting the project.</w:t>
      </w:r>
    </w:p>
    <w:p w14:paraId="058BF566" w14:textId="74D37FAD" w:rsidR="00B7170E" w:rsidRDefault="008C38F7" w:rsidP="00146346">
      <w:pPr>
        <w:rPr>
          <w:rFonts w:eastAsia="Open Sans"/>
        </w:rPr>
      </w:pPr>
      <w:r w:rsidRPr="00146346">
        <w:rPr>
          <w:rFonts w:eastAsia="Open Sans"/>
        </w:rPr>
        <w:t xml:space="preserve">The Community Guide, and social media amplification kit, were distributed via social media channels, stakeholder networks, and the Commission and </w:t>
      </w:r>
      <w:r w:rsidRPr="00BF0C5B">
        <w:rPr>
          <w:rStyle w:val="Emphasis"/>
          <w:rFonts w:eastAsia="Open Sans"/>
        </w:rPr>
        <w:t xml:space="preserve">Racism. It Stops With Me </w:t>
      </w:r>
      <w:r w:rsidRPr="00146346">
        <w:rPr>
          <w:rFonts w:eastAsia="Open Sans"/>
        </w:rPr>
        <w:t>e-bulletins.</w:t>
      </w:r>
    </w:p>
    <w:p w14:paraId="4ABB775D" w14:textId="62DD6247" w:rsidR="00774924" w:rsidRPr="00146346" w:rsidRDefault="00B7170E" w:rsidP="00146346">
      <w:pPr>
        <w:rPr>
          <w:rFonts w:eastAsia="Open Sans"/>
        </w:rPr>
      </w:pPr>
      <w:r>
        <w:rPr>
          <w:rFonts w:eastAsia="Open Sans"/>
          <w:noProof/>
        </w:rPr>
        <w:drawing>
          <wp:inline distT="0" distB="0" distL="0" distR="0" wp14:anchorId="62102B1D" wp14:editId="70D60DE0">
            <wp:extent cx="6330315" cy="3655060"/>
            <wp:effectExtent l="0" t="0" r="0" b="2540"/>
            <wp:docPr id="126324650" name="Picture 126324650" descr="National Anti-Racism Framework Scoping report 2022 Community Guide&#10;&#10;Image shows the cover in English (right) and the covers of four language translations (left): Vietnamese, Burmese, Samoan and 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4650" name="Immagine 1" descr="National Anti-Racism Framework Scoping report 2022 Community Guide&#10;&#10;Image shows the cover in English (right) and the covers of four language translations (left): Vietnamese, Burmese, Samoan and Arabic."/>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30315" cy="3655060"/>
                    </a:xfrm>
                    <a:prstGeom prst="rect">
                      <a:avLst/>
                    </a:prstGeom>
                  </pic:spPr>
                </pic:pic>
              </a:graphicData>
            </a:graphic>
          </wp:inline>
        </w:drawing>
      </w:r>
    </w:p>
    <w:p w14:paraId="18AAB912" w14:textId="18F4F6DC" w:rsidR="007E286D" w:rsidRPr="00146346" w:rsidRDefault="008C38F7" w:rsidP="00146346">
      <w:pPr>
        <w:rPr>
          <w:rFonts w:eastAsia="Open Sans"/>
        </w:rPr>
      </w:pPr>
      <w:r w:rsidRPr="00146346">
        <w:rPr>
          <w:rFonts w:eastAsia="Open Sans"/>
        </w:rPr>
        <w:t>The Community Guide had high engagement on social media, with an aggregate reach of 87,257 across Commission channels (LinkedIn, Twitter, Facebook and Instagram).</w:t>
      </w:r>
    </w:p>
    <w:p w14:paraId="3536B919" w14:textId="7ACF909E" w:rsidR="007E286D" w:rsidRPr="00146346" w:rsidRDefault="008C38F7" w:rsidP="00146346">
      <w:r w:rsidRPr="00146346">
        <w:rPr>
          <w:rFonts w:eastAsia="Open Sans"/>
        </w:rPr>
        <w:t>Since distributing the Community Guide, service providers, government departments, agencies, community networks and organisations have reached out to the Race Discrimination Team to commend their work, request further information and seek to participate in the ongoing development of the framework. The inclusion of the content on relevant services and complaints information was welcomed.</w:t>
      </w:r>
      <w:r w:rsidRPr="00146346">
        <w:t xml:space="preserve"> </w:t>
      </w:r>
    </w:p>
    <w:p w14:paraId="3D4902FE" w14:textId="07EC0087" w:rsidR="003C3F09" w:rsidRPr="00146346" w:rsidRDefault="008C38F7" w:rsidP="00146346">
      <w:pPr>
        <w:rPr>
          <w:rFonts w:eastAsia="Open Sans"/>
        </w:rPr>
      </w:pPr>
      <w:r w:rsidRPr="00146346">
        <w:rPr>
          <w:rFonts w:eastAsia="Open Sans"/>
        </w:rPr>
        <w:t>The accessibility of the Community Guide allowed the Commission to reach a range of different stakeholders who are not routinely engaged with its work</w:t>
      </w:r>
      <w:r w:rsidR="007A6CF0" w:rsidRPr="00146346">
        <w:rPr>
          <w:rFonts w:eastAsia="Open Sans"/>
        </w:rPr>
        <w:t xml:space="preserve">, </w:t>
      </w:r>
      <w:r w:rsidRPr="00146346">
        <w:rPr>
          <w:rFonts w:eastAsia="Open Sans"/>
        </w:rPr>
        <w:t>spark</w:t>
      </w:r>
      <w:r w:rsidR="007A6CF0" w:rsidRPr="00146346">
        <w:rPr>
          <w:rFonts w:eastAsia="Open Sans"/>
        </w:rPr>
        <w:t>ing</w:t>
      </w:r>
      <w:r w:rsidRPr="00146346">
        <w:rPr>
          <w:rFonts w:eastAsia="Open Sans"/>
        </w:rPr>
        <w:t xml:space="preserve"> important conversations and new relationships.</w:t>
      </w:r>
    </w:p>
    <w:p w14:paraId="45242AC4" w14:textId="6D532900" w:rsidR="00591ABB" w:rsidRPr="00146346" w:rsidRDefault="008C38F7" w:rsidP="00146346">
      <w:pPr>
        <w:rPr>
          <w:rFonts w:eastAsia="Open Sans"/>
        </w:rPr>
      </w:pPr>
      <w:r w:rsidRPr="00146346">
        <w:rPr>
          <w:rFonts w:eastAsia="Open Sans"/>
        </w:rPr>
        <w:t xml:space="preserve">These actions align with a broader strategy to connect </w:t>
      </w:r>
      <w:r w:rsidR="006F0A0E" w:rsidRPr="00146346">
        <w:rPr>
          <w:rFonts w:eastAsia="Open Sans"/>
        </w:rPr>
        <w:t>policy</w:t>
      </w:r>
      <w:r w:rsidR="003D70CE" w:rsidRPr="00146346">
        <w:rPr>
          <w:rFonts w:eastAsia="Open Sans"/>
        </w:rPr>
        <w:t>-</w:t>
      </w:r>
      <w:r w:rsidR="006F0A0E" w:rsidRPr="00146346">
        <w:rPr>
          <w:rFonts w:eastAsia="Open Sans"/>
        </w:rPr>
        <w:t>making</w:t>
      </w:r>
      <w:r w:rsidRPr="00146346">
        <w:rPr>
          <w:rFonts w:eastAsia="Open Sans"/>
        </w:rPr>
        <w:t xml:space="preserve"> with real people, and their real life aspirations and experiences. The Guide and engagement strategy made the findings of the project more accessible to communities, and contributed to more trusted</w:t>
      </w:r>
      <w:r w:rsidR="00D565FE" w:rsidRPr="00146346">
        <w:rPr>
          <w:rFonts w:eastAsia="Open Sans"/>
        </w:rPr>
        <w:t xml:space="preserve"> </w:t>
      </w:r>
      <w:r w:rsidRPr="00146346">
        <w:rPr>
          <w:rFonts w:eastAsia="Open Sans"/>
        </w:rPr>
        <w:t>and reciprocal relationships between the Commission and the communities it serves.</w:t>
      </w:r>
    </w:p>
    <w:p w14:paraId="13884AEC" w14:textId="2A58E04C" w:rsidR="007E286D" w:rsidRPr="00146346" w:rsidRDefault="008C38F7" w:rsidP="00284839">
      <w:pPr>
        <w:pStyle w:val="Heading5"/>
      </w:pPr>
      <w:r w:rsidRPr="00591ABB">
        <w:t>Scoping project for the National Child and Family Investment Strategy</w:t>
      </w:r>
    </w:p>
    <w:p w14:paraId="152BAABD" w14:textId="15F30548" w:rsidR="002864C3" w:rsidRPr="00146346" w:rsidRDefault="008C38F7" w:rsidP="00146346">
      <w:pPr>
        <w:rPr>
          <w:rFonts w:eastAsia="Open Sans"/>
        </w:rPr>
      </w:pPr>
      <w:r w:rsidRPr="00146346">
        <w:rPr>
          <w:rFonts w:eastAsia="Open Sans"/>
        </w:rPr>
        <w:t>The National Child and Family Investment Strategy (NCFIS) was announced in the 2022–23 Budget and is an initiative under Safe and Supported: The National Framework for Protecting Australia’s Children 2022–2032 and the Safe and Supported Aboriginal and Torres Strait Islander First Action Plan 2023–2026.</w:t>
      </w:r>
    </w:p>
    <w:p w14:paraId="4585593E" w14:textId="5478A375" w:rsidR="00B13490" w:rsidRPr="00146346" w:rsidRDefault="008C38F7" w:rsidP="00146346">
      <w:pPr>
        <w:rPr>
          <w:rFonts w:eastAsia="Open Sans"/>
        </w:rPr>
      </w:pPr>
      <w:r w:rsidRPr="00146346">
        <w:rPr>
          <w:rFonts w:eastAsia="Open Sans"/>
        </w:rPr>
        <w:t>The aim of the NCFIS is to prevent at-risk children and families from coming into contact with the child protection system and to improve their life outcomes. The NCFIS will support jurisdictions, including the Commonwealth, to reorientate child and family support system funding into more effective, tailored and coordinated early intervention and prevention services and supports.</w:t>
      </w:r>
    </w:p>
    <w:p w14:paraId="558906E3" w14:textId="3323A1A9" w:rsidR="00591ABB" w:rsidRPr="00146346" w:rsidRDefault="008C38F7" w:rsidP="00146346">
      <w:pPr>
        <w:rPr>
          <w:rFonts w:eastAsia="Open Sans"/>
        </w:rPr>
      </w:pPr>
      <w:r w:rsidRPr="00146346">
        <w:rPr>
          <w:rFonts w:eastAsia="Open Sans"/>
        </w:rPr>
        <w:t>The Department of Social Services (DSS) commissioned the National Children’s Commissioner (NCC) to undertake a ‘scoping project’ to develop principles and make recommendations to guide and inform the development of the NCFIS.</w:t>
      </w:r>
    </w:p>
    <w:p w14:paraId="3F6FDF5A" w14:textId="77320D28" w:rsidR="008C38F7" w:rsidRPr="00146346" w:rsidRDefault="008C38F7" w:rsidP="00146346">
      <w:pPr>
        <w:rPr>
          <w:rFonts w:eastAsia="Open Sans"/>
        </w:rPr>
      </w:pPr>
      <w:r w:rsidRPr="00146346">
        <w:rPr>
          <w:rFonts w:eastAsia="Open Sans"/>
        </w:rPr>
        <w:t>To achieve this, the Children’s Rights Team conducted a literature review and consulted with key stakeholders across all jurisdictions, individually and in roundtables. Stakeholders were asked to reflect on their experience in, and knowledge of, prevention and early intervention and to offer suggestions to guide future investments in improving the outcomes for children and their families.</w:t>
      </w:r>
    </w:p>
    <w:p w14:paraId="362DD4D5" w14:textId="77777777" w:rsidR="00284839" w:rsidRPr="00146346" w:rsidRDefault="00284839" w:rsidP="00146346">
      <w:pPr>
        <w:rPr>
          <w:rFonts w:eastAsia="Open Sans"/>
        </w:rPr>
      </w:pPr>
    </w:p>
    <w:p w14:paraId="06A21D6B" w14:textId="4309FABC" w:rsidR="00284839" w:rsidRPr="001A06BD" w:rsidRDefault="007A7D4A" w:rsidP="001A06BD">
      <w:pPr>
        <w:pStyle w:val="IntenseQuote"/>
        <w:pBdr>
          <w:left w:val="single" w:sz="36" w:space="10" w:color="4472C4"/>
        </w:pBdr>
      </w:pPr>
      <w:r>
        <w:t>T</w:t>
      </w:r>
      <w:r w:rsidR="00284839" w:rsidRPr="001A06BD">
        <w:t>his investment strategy could be a ‘rich opportunity for powerful, healing work’.</w:t>
      </w:r>
      <w:r w:rsidR="001A06BD" w:rsidRPr="001A06BD">
        <w:t xml:space="preserve"> —</w:t>
      </w:r>
      <w:r w:rsidR="00284839" w:rsidRPr="008C0BF9">
        <w:rPr>
          <w:rStyle w:val="Strong"/>
        </w:rPr>
        <w:t>Feedback from stakeholder</w:t>
      </w:r>
    </w:p>
    <w:p w14:paraId="0736DB15" w14:textId="77777777" w:rsidR="007C7065" w:rsidRPr="00146346" w:rsidRDefault="007C7065" w:rsidP="00146346">
      <w:pPr>
        <w:rPr>
          <w:rFonts w:eastAsia="Open Sans"/>
        </w:rPr>
      </w:pPr>
    </w:p>
    <w:p w14:paraId="4FD55282" w14:textId="45CB32B2" w:rsidR="00284839" w:rsidRPr="00146346" w:rsidRDefault="008C38F7" w:rsidP="00146346">
      <w:pPr>
        <w:rPr>
          <w:rFonts w:eastAsia="Open Sans"/>
        </w:rPr>
      </w:pPr>
      <w:r w:rsidRPr="00146346">
        <w:rPr>
          <w:rFonts w:eastAsia="Open Sans"/>
        </w:rPr>
        <w:t>The initial results of the Australian Child Maltreatment Study (ACMS) published in April 2023 were also used to inform the development of the principles and recommendations.</w:t>
      </w:r>
    </w:p>
    <w:p w14:paraId="301AA359" w14:textId="76FEDD92" w:rsidR="00F85C8F" w:rsidRPr="00146346" w:rsidRDefault="005862E2" w:rsidP="00146346">
      <w:pPr>
        <w:rPr>
          <w:rFonts w:eastAsia="Open Sans"/>
        </w:rPr>
      </w:pPr>
      <w:r w:rsidRPr="00146346">
        <w:rPr>
          <w:rFonts w:eastAsia="Open Sans"/>
        </w:rPr>
        <w:t>The Team developed s</w:t>
      </w:r>
      <w:r w:rsidR="008C38F7" w:rsidRPr="00146346">
        <w:rPr>
          <w:rFonts w:eastAsia="Open Sans"/>
        </w:rPr>
        <w:t xml:space="preserve">ix overarching principles </w:t>
      </w:r>
      <w:r w:rsidRPr="00146346">
        <w:rPr>
          <w:rFonts w:eastAsia="Open Sans"/>
        </w:rPr>
        <w:t>and made</w:t>
      </w:r>
      <w:r w:rsidR="008C38F7" w:rsidRPr="00146346">
        <w:rPr>
          <w:rFonts w:eastAsia="Open Sans"/>
        </w:rPr>
        <w:t xml:space="preserve"> 18 recommendations to guide and inform the development of the NCFIS. Stakeholders indicated that their views were accurately reflected in the overarching principles and recommendations made in the Commission’s scoping report.</w:t>
      </w:r>
    </w:p>
    <w:p w14:paraId="159A9B74" w14:textId="2A87340F" w:rsidR="007E286D" w:rsidRPr="00146346" w:rsidRDefault="008C38F7" w:rsidP="00146346">
      <w:pPr>
        <w:rPr>
          <w:rFonts w:eastAsia="Open Sans"/>
        </w:rPr>
      </w:pPr>
      <w:r w:rsidRPr="00146346">
        <w:rPr>
          <w:rFonts w:eastAsia="Open Sans"/>
        </w:rPr>
        <w:t xml:space="preserve">The scoping project report </w:t>
      </w:r>
      <w:r w:rsidR="00D565FE" w:rsidRPr="00146346">
        <w:rPr>
          <w:rFonts w:eastAsia="Open Sans"/>
        </w:rPr>
        <w:t xml:space="preserve">was submitted in June 2023 and </w:t>
      </w:r>
      <w:r w:rsidRPr="00146346">
        <w:rPr>
          <w:rFonts w:eastAsia="Open Sans"/>
        </w:rPr>
        <w:t xml:space="preserve">will be made public later in </w:t>
      </w:r>
      <w:r w:rsidR="00D565FE" w:rsidRPr="00146346">
        <w:rPr>
          <w:rFonts w:eastAsia="Open Sans"/>
        </w:rPr>
        <w:t xml:space="preserve">the year informing </w:t>
      </w:r>
      <w:r w:rsidRPr="00146346">
        <w:rPr>
          <w:rFonts w:eastAsia="Open Sans"/>
        </w:rPr>
        <w:t>DSS’s development of the National Child and Family Investment Strategy. The principles developed as part of this scoping project are reflective of the broader goals of the Commission and of the NCC, including</w:t>
      </w:r>
      <w:r w:rsidR="002B6DDF" w:rsidRPr="00146346">
        <w:rPr>
          <w:rFonts w:eastAsia="Open Sans"/>
        </w:rPr>
        <w:t>;</w:t>
      </w:r>
      <w:r w:rsidRPr="00146346">
        <w:rPr>
          <w:rFonts w:eastAsia="Open Sans"/>
        </w:rPr>
        <w:t xml:space="preserve"> empowerment, participation and self-determination</w:t>
      </w:r>
      <w:r w:rsidR="00AA2C0B" w:rsidRPr="00146346">
        <w:rPr>
          <w:rFonts w:eastAsia="Open Sans"/>
        </w:rPr>
        <w:t>,</w:t>
      </w:r>
      <w:r w:rsidRPr="00146346">
        <w:rPr>
          <w:rFonts w:eastAsia="Open Sans"/>
        </w:rPr>
        <w:t xml:space="preserve"> collaboration and partnership</w:t>
      </w:r>
      <w:r w:rsidR="00652F07" w:rsidRPr="00146346">
        <w:rPr>
          <w:rFonts w:eastAsia="Open Sans"/>
        </w:rPr>
        <w:t>,</w:t>
      </w:r>
      <w:r w:rsidRPr="00146346">
        <w:rPr>
          <w:rFonts w:eastAsia="Open Sans"/>
        </w:rPr>
        <w:t xml:space="preserve"> sustainability</w:t>
      </w:r>
      <w:r w:rsidR="00652F07" w:rsidRPr="00146346">
        <w:rPr>
          <w:rFonts w:eastAsia="Open Sans"/>
        </w:rPr>
        <w:t>,</w:t>
      </w:r>
      <w:r w:rsidRPr="00146346">
        <w:rPr>
          <w:rFonts w:eastAsia="Open Sans"/>
        </w:rPr>
        <w:t xml:space="preserve"> and the use of a human rights-based approach.</w:t>
      </w:r>
    </w:p>
    <w:p w14:paraId="73BF87AA" w14:textId="1326C914" w:rsidR="00F85C8F" w:rsidRPr="004E286A" w:rsidRDefault="008C38F7" w:rsidP="004E286A">
      <w:pPr>
        <w:pStyle w:val="Heading5"/>
      </w:pPr>
      <w:r w:rsidRPr="004E286A">
        <w:t>National OPCAT Symposium and Road Map</w:t>
      </w:r>
    </w:p>
    <w:p w14:paraId="3D8D1595" w14:textId="5D106C5C" w:rsidR="008C38F7" w:rsidRPr="00146346" w:rsidRDefault="008C38F7" w:rsidP="001A61E8">
      <w:r w:rsidRPr="00DC0051">
        <w:rPr>
          <w:rFonts w:cs="Open Sans"/>
        </w:rPr>
        <w:t>In September 202</w:t>
      </w:r>
      <w:r w:rsidR="00925C87">
        <w:rPr>
          <w:rFonts w:cs="Open Sans"/>
        </w:rPr>
        <w:t>2</w:t>
      </w:r>
      <w:r w:rsidRPr="00DC0051">
        <w:rPr>
          <w:rFonts w:cs="Open Sans"/>
        </w:rPr>
        <w:t xml:space="preserve">, the Commission partnered with the RMIT University College of Business and Law to hold a </w:t>
      </w:r>
      <w:hyperlink r:id="rId34" w:tgtFrame="_blank" w:history="1">
        <w:r w:rsidRPr="001A61E8">
          <w:rPr>
            <w:rStyle w:val="Hyperlink"/>
          </w:rPr>
          <w:t>National OPCAT Symposium</w:t>
        </w:r>
      </w:hyperlink>
      <w:r w:rsidRPr="00DC0051">
        <w:rPr>
          <w:rFonts w:cs="Open Sans"/>
        </w:rPr>
        <w:t xml:space="preserve"> in Melbourne. The </w:t>
      </w:r>
      <w:r w:rsidR="00673A18">
        <w:rPr>
          <w:rFonts w:cs="Open Sans"/>
        </w:rPr>
        <w:t>event brought</w:t>
      </w:r>
      <w:r w:rsidRPr="00DC0051">
        <w:rPr>
          <w:rFonts w:cs="Open Sans"/>
        </w:rPr>
        <w:t xml:space="preserve"> together stakeholders from the Australian, state and territory governments, oversight and statutory bodies and civil society, to take stock of </w:t>
      </w:r>
      <w:r w:rsidR="00FD0A14">
        <w:rPr>
          <w:rFonts w:cs="Open Sans"/>
        </w:rPr>
        <w:t>achievements</w:t>
      </w:r>
      <w:r w:rsidRPr="00DC0051">
        <w:rPr>
          <w:rFonts w:cs="Open Sans"/>
        </w:rPr>
        <w:t xml:space="preserve"> to date, identify what needs to be done to reach full compliance with the </w:t>
      </w:r>
      <w:r w:rsidRPr="00BF0C5B">
        <w:rPr>
          <w:rStyle w:val="Emphasis"/>
        </w:rPr>
        <w:t>Optional Protocol to the Convention against Torture (OPCAT)</w:t>
      </w:r>
      <w:r w:rsidRPr="00DC0051">
        <w:rPr>
          <w:rFonts w:cs="Open Sans"/>
        </w:rPr>
        <w:t xml:space="preserve"> by the extended deadline of </w:t>
      </w:r>
      <w:r w:rsidR="00837001">
        <w:rPr>
          <w:rFonts w:cs="Open Sans"/>
        </w:rPr>
        <w:t xml:space="preserve">20 </w:t>
      </w:r>
      <w:r w:rsidRPr="00DC0051">
        <w:rPr>
          <w:rFonts w:cs="Open Sans"/>
        </w:rPr>
        <w:t>January 2023</w:t>
      </w:r>
      <w:r w:rsidRPr="00146346">
        <w:t>.</w:t>
      </w:r>
    </w:p>
    <w:p w14:paraId="5663D7F9" w14:textId="4E5FE1F1" w:rsidR="008C38F7" w:rsidRPr="00146346" w:rsidRDefault="00FC044B" w:rsidP="001A61E8">
      <w:r>
        <w:rPr>
          <w:rFonts w:cs="Open Sans"/>
        </w:rPr>
        <w:t>The</w:t>
      </w:r>
      <w:r w:rsidR="008C38F7" w:rsidRPr="00DC0051">
        <w:rPr>
          <w:rFonts w:cs="Open Sans"/>
        </w:rPr>
        <w:t xml:space="preserve"> 200 participants </w:t>
      </w:r>
      <w:r>
        <w:rPr>
          <w:rFonts w:cs="Open Sans"/>
        </w:rPr>
        <w:t>included</w:t>
      </w:r>
      <w:r w:rsidR="008C38F7" w:rsidRPr="00DC0051">
        <w:rPr>
          <w:rFonts w:cs="Open Sans"/>
        </w:rPr>
        <w:t xml:space="preserve"> representatives of 43 statutory oversight agencies and commissions of inquiry from across Australia and Aotearoa New Zealand.</w:t>
      </w:r>
    </w:p>
    <w:p w14:paraId="02EA2518" w14:textId="0C817273" w:rsidR="008C38F7" w:rsidRPr="00146346" w:rsidRDefault="008C38F7" w:rsidP="00146346">
      <w:r w:rsidRPr="00DC0051">
        <w:rPr>
          <w:rFonts w:cs="Open Sans"/>
        </w:rPr>
        <w:t>Informed by the National Symposium,</w:t>
      </w:r>
      <w:r w:rsidR="001A61E8">
        <w:rPr>
          <w:rFonts w:cs="Open Sans"/>
        </w:rPr>
        <w:t xml:space="preserve"> the</w:t>
      </w:r>
      <w:r w:rsidRPr="00DC0051">
        <w:rPr>
          <w:rFonts w:cs="Open Sans"/>
        </w:rPr>
        <w:t xml:space="preserve"> </w:t>
      </w:r>
      <w:hyperlink r:id="rId35" w:tgtFrame="_blank" w:history="1">
        <w:r w:rsidR="001A61E8">
          <w:rPr>
            <w:rStyle w:val="Hyperlink"/>
          </w:rPr>
          <w:t>Road Map to OPCAT Compliance</w:t>
        </w:r>
      </w:hyperlink>
      <w:r w:rsidRPr="00DC0051">
        <w:rPr>
          <w:rFonts w:cs="Open Sans"/>
        </w:rPr>
        <w:t xml:space="preserve"> was published in October 2022 to</w:t>
      </w:r>
      <w:r w:rsidR="00146346">
        <w:rPr>
          <w:rFonts w:cs="Open Sans"/>
        </w:rPr>
        <w:t xml:space="preserve"> </w:t>
      </w:r>
      <w:r w:rsidRPr="00DC0051">
        <w:rPr>
          <w:rFonts w:cs="Open Sans"/>
        </w:rPr>
        <w:t xml:space="preserve">provide a clear pathway </w:t>
      </w:r>
      <w:r w:rsidR="00ED3EE1">
        <w:rPr>
          <w:rFonts w:cs="Open Sans"/>
        </w:rPr>
        <w:t xml:space="preserve">and recommendations </w:t>
      </w:r>
      <w:r w:rsidRPr="00DC0051">
        <w:rPr>
          <w:rFonts w:cs="Open Sans"/>
        </w:rPr>
        <w:t>for governments across Australia to meet the deadline for OPCAT compliance.</w:t>
      </w:r>
      <w:r w:rsidR="001A61E8">
        <w:rPr>
          <w:rStyle w:val="eop"/>
          <w:rFonts w:cs="Open Sans"/>
        </w:rPr>
        <w:t xml:space="preserve"> </w:t>
      </w:r>
      <w:r w:rsidR="00FC67C5" w:rsidRPr="001A61E8">
        <w:t>It</w:t>
      </w:r>
      <w:r w:rsidR="00FC67C5">
        <w:rPr>
          <w:rStyle w:val="eop"/>
          <w:rFonts w:cs="Open Sans"/>
        </w:rPr>
        <w:t xml:space="preserve"> was distributed to </w:t>
      </w:r>
      <w:r w:rsidR="00295240">
        <w:rPr>
          <w:rStyle w:val="eop"/>
          <w:rFonts w:cs="Open Sans"/>
        </w:rPr>
        <w:t xml:space="preserve">stakeholders including </w:t>
      </w:r>
      <w:r w:rsidRPr="00DC0051">
        <w:rPr>
          <w:rFonts w:cs="Open Sans"/>
        </w:rPr>
        <w:t>the UN Subcommittee on Prevention of Torture (UN SPT).</w:t>
      </w:r>
    </w:p>
    <w:p w14:paraId="1C844372" w14:textId="6CF90F0D" w:rsidR="008C38F7" w:rsidRPr="00146346" w:rsidRDefault="00295240" w:rsidP="00146346">
      <w:r w:rsidRPr="00146346">
        <w:t>V</w:t>
      </w:r>
      <w:r w:rsidR="008C38F7" w:rsidRPr="00146346">
        <w:t xml:space="preserve">arious Australian governments have taken some steps towards fulfilling their obligations under the OPCAT treaty. For example, Queensland passed the </w:t>
      </w:r>
      <w:hyperlink r:id="rId36" w:tgtFrame="_blank" w:history="1">
        <w:r w:rsidR="008C38F7" w:rsidRPr="00893920">
          <w:rPr>
            <w:rStyle w:val="Hyperlink"/>
            <w:i/>
            <w:iCs/>
          </w:rPr>
          <w:t>Monitoring of Places of Detention (Optional Protocol to the Convention Against Torture) Bill 2022</w:t>
        </w:r>
      </w:hyperlink>
      <w:r w:rsidR="008C38F7" w:rsidRPr="00146346">
        <w:t>; allowing the UN SPT unimpeded access to places of detention within its jurisdictions.</w:t>
      </w:r>
    </w:p>
    <w:p w14:paraId="191C2F2E" w14:textId="68F91C81" w:rsidR="008C38F7" w:rsidRPr="00146346" w:rsidRDefault="008C38F7" w:rsidP="00146346">
      <w:r w:rsidRPr="00146346">
        <w:t>The best practice principles have also influenced the work of oversight bodies within Australia. For example, the Commonwealth Ombudsman has added child rights and disability expertise to its OPCAT advisory board.</w:t>
      </w:r>
    </w:p>
    <w:p w14:paraId="0D62BF31" w14:textId="77777777" w:rsidR="007713AF" w:rsidRPr="00146346" w:rsidRDefault="007713AF" w:rsidP="00146346">
      <w:pPr>
        <w:rPr>
          <w:rFonts w:eastAsia="Open Sans"/>
        </w:rPr>
      </w:pPr>
    </w:p>
    <w:p w14:paraId="4343CE76" w14:textId="38BE28D5" w:rsidR="00030FC4" w:rsidRPr="00030FC4" w:rsidRDefault="00030FC4" w:rsidP="001A06BD">
      <w:pPr>
        <w:pStyle w:val="IntenseQuote"/>
        <w:pBdr>
          <w:left w:val="single" w:sz="36" w:space="10" w:color="4472C4"/>
        </w:pBdr>
        <w:rPr>
          <w:rStyle w:val="Strong"/>
        </w:rPr>
      </w:pPr>
      <w:r w:rsidRPr="00F85C8F">
        <w:t>Our Government welcomes the release of the Australian Human Rights Commission Road Map to OPCAT Compliance, which is a comprehensive report outlining activities required to expedite Australia's approach to implementing OPCAT. The road map was informed by and is an outcome of the National OPCAT Symposium. …. I</w:t>
      </w:r>
      <w:r w:rsidR="001A06BD">
        <w:t> </w:t>
      </w:r>
      <w:r w:rsidRPr="00F85C8F">
        <w:t>note Tasmania has already significantly advanced or completed the recommendations made as part of the road map, particularly the recommendations to introduce dedicated OPCAT legislation and sufficiently resource the NPM.</w:t>
      </w:r>
      <w:r w:rsidR="001A06BD">
        <w:t xml:space="preserve"> —</w:t>
      </w:r>
      <w:r w:rsidRPr="00030FC4">
        <w:rPr>
          <w:rStyle w:val="Strong"/>
        </w:rPr>
        <w:t>Mrs Leonie HISCUTT MLC (Leader of the Government</w:t>
      </w:r>
      <w:r w:rsidR="001A06BD">
        <w:rPr>
          <w:rStyle w:val="Strong"/>
        </w:rPr>
        <w:t xml:space="preserve"> </w:t>
      </w:r>
      <w:r w:rsidRPr="00030FC4">
        <w:rPr>
          <w:rStyle w:val="Strong"/>
        </w:rPr>
        <w:t>in the Tasmanian Legislative Council)</w:t>
      </w:r>
    </w:p>
    <w:p w14:paraId="770C9290" w14:textId="77777777" w:rsidR="001A61E8" w:rsidRPr="00146346" w:rsidRDefault="001A61E8" w:rsidP="00146346">
      <w:pPr>
        <w:rPr>
          <w:rFonts w:eastAsia="Open Sans"/>
        </w:rPr>
      </w:pPr>
    </w:p>
    <w:p w14:paraId="07CAB31E" w14:textId="544A8A04" w:rsidR="008C38F7" w:rsidRDefault="008C38F7" w:rsidP="00030FC4">
      <w:pPr>
        <w:pStyle w:val="Heading5"/>
      </w:pPr>
      <w:r w:rsidRPr="00AB6973">
        <w:t xml:space="preserve">Changing </w:t>
      </w:r>
      <w:r w:rsidR="00A61238">
        <w:t>p</w:t>
      </w:r>
      <w:r w:rsidRPr="00AB6973">
        <w:t>erspectives: testing an ageism intervention – research report</w:t>
      </w:r>
    </w:p>
    <w:p w14:paraId="4C2898DB" w14:textId="37C77753" w:rsidR="00A61238" w:rsidRPr="00146346" w:rsidRDefault="008C38F7" w:rsidP="00146346">
      <w:pPr>
        <w:rPr>
          <w:rFonts w:eastAsia="Open Sans"/>
        </w:rPr>
      </w:pPr>
      <w:r w:rsidRPr="00146346">
        <w:rPr>
          <w:rFonts w:eastAsia="Open Sans"/>
        </w:rPr>
        <w:t xml:space="preserve">The </w:t>
      </w:r>
      <w:r w:rsidRPr="00BF0C5B">
        <w:rPr>
          <w:rStyle w:val="Emphasis"/>
          <w:rFonts w:eastAsia="Open Sans"/>
        </w:rPr>
        <w:t>Changing perspectives: testing an ageism intervention</w:t>
      </w:r>
      <w:r w:rsidRPr="00146346">
        <w:rPr>
          <w:rFonts w:eastAsia="Open Sans"/>
        </w:rPr>
        <w:t xml:space="preserve"> report released in July 2023 presents the findings of </w:t>
      </w:r>
      <w:r w:rsidR="00893745" w:rsidRPr="00146346">
        <w:rPr>
          <w:rFonts w:eastAsia="Open Sans"/>
        </w:rPr>
        <w:t>an</w:t>
      </w:r>
      <w:r w:rsidRPr="00146346">
        <w:rPr>
          <w:rFonts w:eastAsia="Open Sans"/>
        </w:rPr>
        <w:t xml:space="preserve"> ageism awareness session among workers in aged care and community settings.</w:t>
      </w:r>
    </w:p>
    <w:p w14:paraId="5D93F36C" w14:textId="350DA046" w:rsidR="008C38F7" w:rsidRDefault="00D56071" w:rsidP="00146346">
      <w:pPr>
        <w:rPr>
          <w:rFonts w:eastAsia="Open Sans"/>
        </w:rPr>
      </w:pPr>
      <w:r w:rsidRPr="00146346">
        <w:rPr>
          <w:rFonts w:eastAsia="Open Sans"/>
        </w:rPr>
        <w:t xml:space="preserve">A survey </w:t>
      </w:r>
      <w:r w:rsidR="00D3257E" w:rsidRPr="00146346">
        <w:rPr>
          <w:rFonts w:eastAsia="Open Sans"/>
        </w:rPr>
        <w:t xml:space="preserve">showed that </w:t>
      </w:r>
      <w:r w:rsidR="00DE0F50" w:rsidRPr="00146346">
        <w:rPr>
          <w:rFonts w:eastAsia="Open Sans"/>
        </w:rPr>
        <w:t>m</w:t>
      </w:r>
      <w:r w:rsidR="008C38F7" w:rsidRPr="00146346">
        <w:rPr>
          <w:rFonts w:eastAsia="Open Sans"/>
        </w:rPr>
        <w:t>ost participants reported lower than average levels of overt ageism before the session, but more subtle forms persisted – such as perceptions of older adults as less competent and in need of protection.</w:t>
      </w:r>
    </w:p>
    <w:p w14:paraId="5C8ADABB" w14:textId="55F61EA9" w:rsidR="00DF332B" w:rsidRDefault="00DF332B">
      <w:pPr>
        <w:spacing w:before="0" w:after="0" w:line="240" w:lineRule="auto"/>
        <w:rPr>
          <w:rFonts w:eastAsia="Open Sans"/>
        </w:rPr>
      </w:pPr>
      <w:r>
        <w:rPr>
          <w:rFonts w:eastAsia="Open Sans"/>
        </w:rPr>
        <w:br w:type="page"/>
      </w:r>
    </w:p>
    <w:p w14:paraId="71D1EF06" w14:textId="2A60241D" w:rsidR="00817C01" w:rsidRPr="00817C01" w:rsidRDefault="00817C01" w:rsidP="004E286A">
      <w:pPr>
        <w:rPr>
          <w:b/>
          <w:bCs/>
        </w:rPr>
      </w:pPr>
      <w:r w:rsidRPr="00030FC4">
        <w:rPr>
          <w:rStyle w:val="Strong"/>
        </w:rPr>
        <w:t>Results from participant follow-up survey showed:</w:t>
      </w:r>
    </w:p>
    <w:p w14:paraId="2CE27DCE" w14:textId="3E4444A5" w:rsidR="00817C01" w:rsidRDefault="00817C01" w:rsidP="004E286A">
      <w:pPr>
        <w:rPr>
          <w:rFonts w:eastAsia="Open Sans"/>
        </w:rPr>
      </w:pPr>
      <w:r>
        <w:rPr>
          <w:rFonts w:eastAsia="Open Sans"/>
          <w:noProof/>
        </w:rPr>
        <w:drawing>
          <wp:inline distT="0" distB="0" distL="0" distR="0" wp14:anchorId="5C0A3259" wp14:editId="4C7C7870">
            <wp:extent cx="6330315" cy="2968625"/>
            <wp:effectExtent l="0" t="0" r="0" b="3175"/>
            <wp:docPr id="1140761292" name="Picture 1140761292" descr="AGEISM AWARENESS SURVEY&#10;&#10;90% had rethought the way they communicate with older adults.&#10;87% had discussed ageism with others.&#10;86% had actively considered actions they could take to address ageist attitudes in their workplace.&#10;82% reconsidered their attitudes towards ag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761292" name="Immagine 6" descr="AGEISM AWARENESS SURVEY&#10;&#10;90% had rethought the way they communicate with older adults.&#10;87% had discussed ageism with others.&#10;86% had actively considered actions they could take to address ageist attitudes in their workplace.&#10;82% reconsidered their attitudes towards agei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330315" cy="2968625"/>
                    </a:xfrm>
                    <a:prstGeom prst="rect">
                      <a:avLst/>
                    </a:prstGeom>
                  </pic:spPr>
                </pic:pic>
              </a:graphicData>
            </a:graphic>
          </wp:inline>
        </w:drawing>
      </w:r>
    </w:p>
    <w:p w14:paraId="035116B1" w14:textId="77777777" w:rsidR="00817C01" w:rsidRPr="004E286A" w:rsidRDefault="00817C01" w:rsidP="004E286A">
      <w:pPr>
        <w:rPr>
          <w:rFonts w:eastAsia="Open Sans"/>
        </w:rPr>
      </w:pPr>
    </w:p>
    <w:p w14:paraId="5915308C" w14:textId="092E345F" w:rsidR="009B08E4" w:rsidRPr="004E286A" w:rsidRDefault="008C38F7" w:rsidP="004E286A">
      <w:pPr>
        <w:rPr>
          <w:rFonts w:eastAsia="Open Sans"/>
        </w:rPr>
      </w:pPr>
      <w:r w:rsidRPr="00AB6973">
        <w:rPr>
          <w:rFonts w:eastAsia="Open Sans"/>
        </w:rPr>
        <w:t xml:space="preserve">Following the session, statistically significant improvements were found in participants’ attitudes towards older adults and ageing, and remained at follow-up </w:t>
      </w:r>
      <w:r w:rsidR="006E5FBC">
        <w:rPr>
          <w:rFonts w:eastAsia="Open Sans"/>
        </w:rPr>
        <w:t>two to three</w:t>
      </w:r>
      <w:r w:rsidRPr="00AB6973">
        <w:rPr>
          <w:rFonts w:eastAsia="Open Sans"/>
        </w:rPr>
        <w:t xml:space="preserve"> months later. Post-workshop focus group discussions further indicated that participants had taken various actions because of the workshop, such as changing the way they interact with older adults, adopting new work practices or approach, sharing the learnings with others, and calling out ageism in their workplace and community.</w:t>
      </w:r>
    </w:p>
    <w:p w14:paraId="3C933CB9" w14:textId="7D26A813" w:rsidR="003B729F" w:rsidRPr="00146346" w:rsidRDefault="008C38F7" w:rsidP="00146346">
      <w:pPr>
        <w:rPr>
          <w:rFonts w:eastAsia="Open Sans"/>
        </w:rPr>
      </w:pPr>
      <w:r w:rsidRPr="00146346">
        <w:rPr>
          <w:rFonts w:eastAsia="Open Sans"/>
        </w:rPr>
        <w:t xml:space="preserve">These findings demonstrate the potential </w:t>
      </w:r>
      <w:r w:rsidR="00AC37C1" w:rsidRPr="00146346">
        <w:rPr>
          <w:rFonts w:eastAsia="Open Sans"/>
        </w:rPr>
        <w:t>for</w:t>
      </w:r>
      <w:r w:rsidRPr="00146346">
        <w:rPr>
          <w:rFonts w:eastAsia="Open Sans"/>
        </w:rPr>
        <w:t xml:space="preserve"> brief, one-time educational intervention</w:t>
      </w:r>
      <w:r w:rsidR="00AC37C1" w:rsidRPr="00146346">
        <w:rPr>
          <w:rFonts w:eastAsia="Open Sans"/>
        </w:rPr>
        <w:t>s</w:t>
      </w:r>
      <w:r w:rsidRPr="00146346">
        <w:rPr>
          <w:rFonts w:eastAsia="Open Sans"/>
        </w:rPr>
        <w:t xml:space="preserve"> to generate attitudinal and behaviour changes that may be lasting. </w:t>
      </w:r>
    </w:p>
    <w:p w14:paraId="2E95E423" w14:textId="49777556" w:rsidR="007713AF" w:rsidRPr="00146346" w:rsidRDefault="008C38F7" w:rsidP="00146346">
      <w:pPr>
        <w:pStyle w:val="Heading5"/>
      </w:pPr>
      <w:r w:rsidRPr="00146346">
        <w:t>Fifth National Survey on Sexual Harassment in Australian Workplaces</w:t>
      </w:r>
    </w:p>
    <w:p w14:paraId="36A92D10" w14:textId="4901E08D" w:rsidR="008C38F7" w:rsidRPr="00146346" w:rsidRDefault="008C38F7" w:rsidP="00146346">
      <w:r w:rsidRPr="00146346">
        <w:t>In November 2022, the Commission published the fifth national survey to investigate the prevalence, nature and reporting of sexual harassment in Australian workplaces.</w:t>
      </w:r>
    </w:p>
    <w:p w14:paraId="14A46C89" w14:textId="1CE8B634" w:rsidR="008C38F7" w:rsidRPr="00146346" w:rsidRDefault="008C38F7" w:rsidP="00146346">
      <w:r w:rsidRPr="00146346">
        <w:t>The 2022 National Survey was conducted with over 10,000 people aged 15 years or over, using a sample that is representative of the Australian population in terms of gender, age and geographic location. The Commission conducted and reported on similar sexual harassment surveys in 2003, 2008, 2012 and 2018.</w:t>
      </w:r>
    </w:p>
    <w:p w14:paraId="02E486D6" w14:textId="05C620E5" w:rsidR="008C38F7" w:rsidRPr="00146346" w:rsidRDefault="008C38F7" w:rsidP="00146346">
      <w:r w:rsidRPr="00146346">
        <w:t>The 2022 National Survey advances a legacy of evidence-informed action on workplace sexual harassment.</w:t>
      </w:r>
    </w:p>
    <w:p w14:paraId="6B4C0AE0" w14:textId="77777777" w:rsidR="00030FC4" w:rsidRDefault="00030FC4" w:rsidP="008C38F7">
      <w:pPr>
        <w:pStyle w:val="paragraph"/>
        <w:spacing w:before="0" w:beforeAutospacing="0" w:after="0" w:afterAutospacing="0"/>
        <w:textAlignment w:val="baseline"/>
        <w:rPr>
          <w:rFonts w:cs="Open Sans"/>
          <w:sz w:val="22"/>
          <w:szCs w:val="22"/>
        </w:rPr>
      </w:pPr>
    </w:p>
    <w:p w14:paraId="21C673E4" w14:textId="77D88830" w:rsidR="009231DF" w:rsidRDefault="009231DF" w:rsidP="008C38F7">
      <w:pPr>
        <w:pStyle w:val="paragraph"/>
        <w:spacing w:before="0" w:beforeAutospacing="0" w:after="0" w:afterAutospacing="0"/>
        <w:textAlignment w:val="baseline"/>
        <w:rPr>
          <w:rFonts w:cs="Open Sans"/>
          <w:sz w:val="22"/>
          <w:szCs w:val="22"/>
        </w:rPr>
      </w:pPr>
      <w:r>
        <w:rPr>
          <w:rFonts w:cs="Open Sans"/>
          <w:noProof/>
          <w:sz w:val="22"/>
          <w:szCs w:val="22"/>
        </w:rPr>
        <w:drawing>
          <wp:inline distT="0" distB="0" distL="0" distR="0" wp14:anchorId="48ED8363" wp14:editId="52340FCA">
            <wp:extent cx="6330315" cy="2286000"/>
            <wp:effectExtent l="0" t="0" r="0" b="0"/>
            <wp:docPr id="397489893" name="Picture 397489893" descr="INCIDENCE OF WORKPLACE SEXUAL HARASSMENT&#10;&#10;In the last 12 months about 1 in 5 people (19%) have been sexually harassed at work.&#10;&#10;In the last 5 years about 1 in 3 people (33%) have been sexually harassed at work (41% of women and 26% of 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489893" name="Immagine 3" descr="INCIDENCE OF WORKPLACE SEXUAL HARASSMENT&#10;&#10;In the last 12 months about 1 in 5 people (19%) have been sexually harassed at work.&#10;&#10;In the last 5 years about 1 in 3 people (33%) have been sexually harassed at work (41% of women and 26% of men)."/>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30315" cy="2286000"/>
                    </a:xfrm>
                    <a:prstGeom prst="rect">
                      <a:avLst/>
                    </a:prstGeom>
                  </pic:spPr>
                </pic:pic>
              </a:graphicData>
            </a:graphic>
          </wp:inline>
        </w:drawing>
      </w:r>
    </w:p>
    <w:p w14:paraId="48C1255B" w14:textId="77777777" w:rsidR="009231DF" w:rsidRDefault="009231DF" w:rsidP="008C38F7">
      <w:pPr>
        <w:pStyle w:val="paragraph"/>
        <w:spacing w:before="0" w:beforeAutospacing="0" w:after="0" w:afterAutospacing="0"/>
        <w:textAlignment w:val="baseline"/>
        <w:rPr>
          <w:rFonts w:cs="Open Sans"/>
          <w:sz w:val="22"/>
          <w:szCs w:val="22"/>
        </w:rPr>
      </w:pPr>
    </w:p>
    <w:p w14:paraId="4A5ED145" w14:textId="0DE77A8D" w:rsidR="00030FC4" w:rsidRPr="00146346" w:rsidRDefault="008C38F7" w:rsidP="00146346">
      <w:r w:rsidRPr="00146346">
        <w:t>The National Survey was</w:t>
      </w:r>
      <w:r w:rsidR="0090398F" w:rsidRPr="00146346">
        <w:t xml:space="preserve"> </w:t>
      </w:r>
      <w:r w:rsidRPr="00146346">
        <w:t xml:space="preserve">released against the backdrop of sweeping action taken to address workplace sexual harassment, including legislative changes. As employers, regulators and workers across Australia were seeking to understand and address sexual harassment, the 2022 National Survey provided critical information about </w:t>
      </w:r>
      <w:r w:rsidR="00627B72" w:rsidRPr="00146346">
        <w:t>its</w:t>
      </w:r>
      <w:r w:rsidRPr="00146346">
        <w:t xml:space="preserve"> prevalence, nature and reporting.</w:t>
      </w:r>
    </w:p>
    <w:p w14:paraId="6FC9F74D" w14:textId="2B594FC2" w:rsidR="008C38F7" w:rsidRPr="00146346" w:rsidRDefault="008C38F7" w:rsidP="00146346">
      <w:r w:rsidRPr="00146346">
        <w:t>For the first time, the survey asked about workers’ views on the actions taken by their employer’s to address workplace sexual harassment.</w:t>
      </w:r>
    </w:p>
    <w:p w14:paraId="157FC96A" w14:textId="701F9A8E" w:rsidR="0060528B" w:rsidRDefault="008C38F7" w:rsidP="0060528B">
      <w:r w:rsidRPr="00146346">
        <w:t xml:space="preserve">This survey report, </w:t>
      </w:r>
      <w:r w:rsidRPr="00BF0C5B">
        <w:rPr>
          <w:rStyle w:val="Emphasis"/>
        </w:rPr>
        <w:t>Time for Respect</w:t>
      </w:r>
      <w:r w:rsidRPr="00146346">
        <w:t>, provides vital information about the scale of workplace sexual harassment and the need for prevention and response initiatives.</w:t>
      </w:r>
    </w:p>
    <w:p w14:paraId="50E4498B" w14:textId="77777777" w:rsidR="00DF332B" w:rsidRPr="00DF332B" w:rsidRDefault="00DF332B" w:rsidP="0060528B"/>
    <w:p w14:paraId="1F097199" w14:textId="158DE85D" w:rsidR="00FF51A5" w:rsidRDefault="00FF51A5" w:rsidP="0060528B">
      <w:pPr>
        <w:rPr>
          <w:rFonts w:eastAsia="Open Sans"/>
        </w:rPr>
      </w:pPr>
      <w:r>
        <w:rPr>
          <w:rFonts w:eastAsia="Open Sans"/>
          <w:noProof/>
        </w:rPr>
        <w:drawing>
          <wp:inline distT="0" distB="0" distL="0" distR="0" wp14:anchorId="0017E3EC" wp14:editId="255517BD">
            <wp:extent cx="6330315" cy="6226810"/>
            <wp:effectExtent l="0" t="0" r="0" b="0"/>
            <wp:docPr id="1998969865" name="Picture 1998969865" descr="Key findings from the Fifth National Survey on Sexual Harassment in Australian Workplaces &#10;&#10;Sexual harassment continues to be an unacceptably common feature of Australi-an workplaces, with one in three workers saying they had experienced workplace sexual harassment in the last five years.&#10;&#10;Most sexual harassment in Australian workplaces is carried out by men (77%).&#10;&#10;Half of incidents are repeated and of those, half are ongoing for more than one year.&#10;&#10;The majority of people harassed (69%) experienced negative mental health impacts.&#10;&#10;Reporting remains low, with only 18% of sexual harassment incidents reported.&#10;&#10;In one quarter of reported cases, there were no consequences for the harasser.&#10;&#10;Only one third of Australian workers consider their organisation is doing en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69865" name="Immagine 7" descr="Key findings from the Fifth National Survey on Sexual Harassment in Australian Workplaces &#10;&#10;Sexual harassment continues to be an unacceptably common feature of Australi-an workplaces, with one in three workers saying they had experienced workplace sexual harassment in the last five years.&#10;&#10;Most sexual harassment in Australian workplaces is carried out by men (77%).&#10;&#10;Half of incidents are repeated and of those, half are ongoing for more than one year.&#10;&#10;The majority of people harassed (69%) experienced negative mental health impacts.&#10;&#10;Reporting remains low, with only 18% of sexual harassment incidents reported.&#10;&#10;In one quarter of reported cases, there were no consequences for the harasser.&#10;&#10;Only one third of Australian workers consider their organisation is doing enough."/>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330315" cy="6226810"/>
                    </a:xfrm>
                    <a:prstGeom prst="rect">
                      <a:avLst/>
                    </a:prstGeom>
                  </pic:spPr>
                </pic:pic>
              </a:graphicData>
            </a:graphic>
          </wp:inline>
        </w:drawing>
      </w:r>
    </w:p>
    <w:p w14:paraId="66E8652E" w14:textId="77777777" w:rsidR="00FF51A5" w:rsidRDefault="00FF51A5" w:rsidP="0060528B">
      <w:pPr>
        <w:rPr>
          <w:rFonts w:eastAsia="Open Sans"/>
        </w:rPr>
      </w:pPr>
    </w:p>
    <w:p w14:paraId="0EF0DE83" w14:textId="499512F8" w:rsidR="00DF332B" w:rsidRPr="0060528B" w:rsidRDefault="00DF332B" w:rsidP="00DF332B">
      <w:pPr>
        <w:spacing w:before="0" w:after="0" w:line="240" w:lineRule="auto"/>
        <w:rPr>
          <w:rFonts w:eastAsia="Open Sans"/>
        </w:rPr>
      </w:pPr>
      <w:r>
        <w:rPr>
          <w:rFonts w:eastAsia="Open Sans"/>
        </w:rPr>
        <w:br w:type="page"/>
      </w:r>
    </w:p>
    <w:tbl>
      <w:tblPr>
        <w:tblStyle w:val="TableGrey"/>
        <w:tblW w:w="9915" w:type="dxa"/>
        <w:shd w:val="clear" w:color="auto" w:fill="DEEAF6" w:themeFill="accent1" w:themeFillTint="33"/>
        <w:tblLayout w:type="fixed"/>
        <w:tblLook w:val="04A0" w:firstRow="1" w:lastRow="0" w:firstColumn="1" w:lastColumn="0" w:noHBand="0" w:noVBand="1"/>
      </w:tblPr>
      <w:tblGrid>
        <w:gridCol w:w="9915"/>
      </w:tblGrid>
      <w:tr w:rsidR="008C38F7" w:rsidRPr="00DC0051" w14:paraId="1531C3EA" w14:textId="77777777" w:rsidTr="00B97704">
        <w:trPr>
          <w:trHeight w:val="1245"/>
        </w:trPr>
        <w:tc>
          <w:tcPr>
            <w:tcW w:w="9915" w:type="dxa"/>
            <w:shd w:val="clear" w:color="auto" w:fill="DEEAF6" w:themeFill="accent1" w:themeFillTint="33"/>
          </w:tcPr>
          <w:p w14:paraId="5FD8532C" w14:textId="77777777" w:rsidR="008C38F7" w:rsidRDefault="008C38F7" w:rsidP="008C38F7">
            <w:pPr>
              <w:rPr>
                <w:rStyle w:val="Strong"/>
                <w:bCs w:val="0"/>
                <w:color w:val="FFFFFF" w:themeColor="background1"/>
              </w:rPr>
            </w:pPr>
            <w:r w:rsidRPr="001A06BD">
              <w:rPr>
                <w:rStyle w:val="Strong"/>
              </w:rPr>
              <w:t>2.2 Law and policy makers, at all levels, consider and address the human rights impacts we identify through our submissions, inquiries, research, reports and United Nations engagement</w:t>
            </w:r>
          </w:p>
          <w:p w14:paraId="08FBA5A4" w14:textId="77777777" w:rsidR="00B97704" w:rsidRPr="001A06BD" w:rsidRDefault="00B97704" w:rsidP="00B97704">
            <w:r w:rsidRPr="001A06BD">
              <w:t>High proportion of Committee inquiry reports reflect and cite the Commission’s advice.</w:t>
            </w:r>
          </w:p>
          <w:p w14:paraId="390E3236" w14:textId="77777777" w:rsidR="00B97704" w:rsidRPr="001A06BD" w:rsidRDefault="00B97704" w:rsidP="00B97704">
            <w:r w:rsidRPr="001A06BD">
              <w:t>Instances of improved Federal and state government policy, practice and legislative change reflect our advice.</w:t>
            </w:r>
          </w:p>
          <w:p w14:paraId="70A90CD8" w14:textId="77777777" w:rsidR="00B97704" w:rsidRPr="001A06BD" w:rsidRDefault="00B97704" w:rsidP="00B97704">
            <w:r w:rsidRPr="001A06BD">
              <w:t xml:space="preserve">High proportion of Committee inquiry reports reflect and cite the Commission’s advice. </w:t>
            </w:r>
            <w:r w:rsidRPr="00146346">
              <w:rPr>
                <w:rStyle w:val="Strong"/>
              </w:rPr>
              <w:t>[PBS target]</w:t>
            </w:r>
          </w:p>
          <w:p w14:paraId="205EA266" w14:textId="77777777" w:rsidR="00B97704" w:rsidRPr="001A06BD" w:rsidRDefault="00B97704" w:rsidP="00B97704">
            <w:r w:rsidRPr="001A06BD">
              <w:t>Majority of our applications to the courts for leave to appear are accepted.</w:t>
            </w:r>
          </w:p>
          <w:p w14:paraId="4A721238" w14:textId="6988D421" w:rsidR="00B97704" w:rsidRPr="001A06BD" w:rsidRDefault="00B97704" w:rsidP="00B97704">
            <w:pPr>
              <w:rPr>
                <w:rStyle w:val="Strong"/>
              </w:rPr>
            </w:pPr>
            <w:r w:rsidRPr="001A06BD">
              <w:t>Instances of our court submissions reflected in the final judgment of the matter.</w:t>
            </w:r>
          </w:p>
        </w:tc>
      </w:tr>
    </w:tbl>
    <w:p w14:paraId="28478AD5" w14:textId="77777777" w:rsidR="008C38F7" w:rsidRDefault="008C38F7" w:rsidP="004E286A"/>
    <w:p w14:paraId="52B270AC" w14:textId="0E7A0852" w:rsidR="002200A0" w:rsidRPr="004E286A" w:rsidRDefault="008C38F7" w:rsidP="00B97704">
      <w:pPr>
        <w:pStyle w:val="Heading4"/>
      </w:pPr>
      <w:r>
        <w:t>Results</w:t>
      </w:r>
    </w:p>
    <w:p w14:paraId="71D2E0C8" w14:textId="3D7782C8" w:rsidR="003F0C6A" w:rsidRPr="00146346" w:rsidRDefault="008006E4" w:rsidP="00146346">
      <w:r>
        <w:rPr>
          <w:noProof/>
        </w:rPr>
        <w:drawing>
          <wp:inline distT="0" distB="0" distL="0" distR="0" wp14:anchorId="2CE0FD06" wp14:editId="41C760DD">
            <wp:extent cx="6330315" cy="2324100"/>
            <wp:effectExtent l="0" t="0" r="0" b="0"/>
            <wp:docPr id="1734363764" name="Picture 1734363764" descr="INFOGRAPHIC&#10;&#10;52 submissions to inquiries&#10;317 citations&#10;1 application to the courts for leave to appear accep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363764" name="Immagine 2" descr="INFOGRAPHIC&#10;&#10;52 submissions to inquiries&#10;317 citations&#10;1 application to the courts for leave to appear accep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330315" cy="2324100"/>
                    </a:xfrm>
                    <a:prstGeom prst="rect">
                      <a:avLst/>
                    </a:prstGeom>
                  </pic:spPr>
                </pic:pic>
              </a:graphicData>
            </a:graphic>
          </wp:inline>
        </w:drawing>
      </w:r>
    </w:p>
    <w:p w14:paraId="37B02D01" w14:textId="3522967E" w:rsidR="008C38F7" w:rsidRPr="00B51932" w:rsidRDefault="008C38F7" w:rsidP="00146346">
      <w:pPr>
        <w:pStyle w:val="Heading5"/>
      </w:pPr>
      <w:r w:rsidRPr="00B51932">
        <w:t>Passage of Respect@Work Bill</w:t>
      </w:r>
    </w:p>
    <w:p w14:paraId="186F19FC" w14:textId="67D9D20C" w:rsidR="00CA10DF" w:rsidRPr="00B51932" w:rsidRDefault="008C38F7" w:rsidP="00B51932">
      <w:r w:rsidRPr="00B51932">
        <w:t>In November 2022, the Anti-Discrimination and Human Rights Legislation Amendment (Respect at Work) Act (Respect@Work Act) was passed. The Respect@Work Act creates a</w:t>
      </w:r>
      <w:r w:rsidR="00D25F3F" w:rsidRPr="00B51932">
        <w:t>n Australia first</w:t>
      </w:r>
      <w:r w:rsidRPr="00B51932">
        <w:t xml:space="preserve"> positive duty requiring employers to implement measures to prevent sexual harassment, sex discrimination, hostile environments, sex-based harassment and victimisation in connection with work. The Act confers new regulatory powers on the Commission.</w:t>
      </w:r>
      <w:r w:rsidR="007132C0" w:rsidRPr="00B51932">
        <w:t xml:space="preserve"> It </w:t>
      </w:r>
      <w:r w:rsidR="00D52C30" w:rsidRPr="00B51932">
        <w:t>is a major achievement that fundamentally changes how Australia protects people from workplace sexual harassment</w:t>
      </w:r>
      <w:r w:rsidR="004E286A" w:rsidRPr="00B51932">
        <w:t>.</w:t>
      </w:r>
    </w:p>
    <w:p w14:paraId="37F2CD3D" w14:textId="057DD330" w:rsidR="008C38F7" w:rsidRPr="00B51932" w:rsidRDefault="008C38F7" w:rsidP="00B51932">
      <w:r w:rsidRPr="00B51932">
        <w:t>The need to strengthen the legal and regulatory frameworks relating to sex discrimination was a key recommendation of the Commission’s landmark</w:t>
      </w:r>
      <w:r w:rsidR="004E286A" w:rsidRPr="00B51932">
        <w:t xml:space="preserve"> </w:t>
      </w:r>
      <w:r w:rsidRPr="00B51932">
        <w:t>Respect@Work Report, led by the Sex Discrimination Commissioner, published in March 2020.</w:t>
      </w:r>
    </w:p>
    <w:p w14:paraId="78B87619" w14:textId="37356E60" w:rsidR="008C38F7" w:rsidRDefault="008C38F7" w:rsidP="008C38F7">
      <w:pPr>
        <w:pStyle w:val="paragraph"/>
        <w:spacing w:before="0" w:beforeAutospacing="0" w:after="0" w:afterAutospacing="0"/>
        <w:textAlignment w:val="baseline"/>
        <w:rPr>
          <w:rStyle w:val="eop"/>
          <w:rFonts w:cs="Open Sans"/>
          <w:color w:val="000000"/>
        </w:rPr>
      </w:pPr>
      <w:r w:rsidRPr="008069E6">
        <w:rPr>
          <w:rFonts w:cs="Open Sans"/>
          <w:color w:val="000000"/>
        </w:rPr>
        <w:t>The introduction of the positive duty will affect every workplace and every worker in Australia. It is confirmation of the impact of the Commission’s Respect@Work Report. The Government has committed to implementing all 55 of the Report’s recommendations as a matter of priority.</w:t>
      </w:r>
    </w:p>
    <w:p w14:paraId="0BC0B23D" w14:textId="77777777" w:rsidR="004E286A" w:rsidRPr="004E286A" w:rsidRDefault="004E286A" w:rsidP="004E286A"/>
    <w:p w14:paraId="7BB6FBC1" w14:textId="0F986437" w:rsidR="004E286A" w:rsidRPr="001A06BD" w:rsidRDefault="004E286A" w:rsidP="001A06BD">
      <w:pPr>
        <w:pStyle w:val="IntenseQuote"/>
      </w:pPr>
      <w:r w:rsidRPr="001A06BD">
        <w:t xml:space="preserve">It changes our setting from being reactive to also being proactive, so that employers are required to take meaningful action to prevent harassment from occurring. It shifts the emphasis from a complaints-based model to one where employers must take action, and continuously access and evaluate whether they are meeting the requirements of the duty. </w:t>
      </w:r>
      <w:r w:rsidR="001A06BD" w:rsidRPr="001A06BD">
        <w:t>—</w:t>
      </w:r>
      <w:r w:rsidRPr="001A06BD">
        <w:rPr>
          <w:rStyle w:val="Strong"/>
        </w:rPr>
        <w:t>Sex Discrimination Commissioner Kate Jenkins</w:t>
      </w:r>
      <w:r w:rsidR="001A06BD" w:rsidRPr="001A06BD">
        <w:rPr>
          <w:rStyle w:val="Strong"/>
        </w:rPr>
        <w:t xml:space="preserve"> </w:t>
      </w:r>
      <w:r w:rsidRPr="001A06BD">
        <w:rPr>
          <w:rStyle w:val="Strong"/>
        </w:rPr>
        <w:t>on the passage of the Respect@Work Bill</w:t>
      </w:r>
    </w:p>
    <w:p w14:paraId="57978E39" w14:textId="11D16E3F" w:rsidR="008C38F7" w:rsidRPr="004E286A" w:rsidRDefault="008C38F7" w:rsidP="004E286A"/>
    <w:p w14:paraId="3C318BE9" w14:textId="377EECAD" w:rsidR="008C38F7" w:rsidRPr="00B51932" w:rsidRDefault="008C38F7" w:rsidP="00B51932">
      <w:r w:rsidRPr="00B51932">
        <w:t>The passage of the Act and the introduction of the positive duty will have important flow-on effects. The passage has the potential to inform</w:t>
      </w:r>
      <w:r w:rsidR="00B51932">
        <w:t xml:space="preserve"> </w:t>
      </w:r>
      <w:r w:rsidR="007A7D4A">
        <w:t>s</w:t>
      </w:r>
      <w:r w:rsidRPr="00B51932">
        <w:t>tate and territory government efforts to achieve greater harmonisation of sexual harassment legislation as part of any upcoming legislative reviews.</w:t>
      </w:r>
    </w:p>
    <w:p w14:paraId="1B595D47" w14:textId="49F0EA44" w:rsidR="008C38F7" w:rsidRPr="004E286A" w:rsidRDefault="008C38F7" w:rsidP="00B51932">
      <w:pPr>
        <w:rPr>
          <w:iCs/>
        </w:rPr>
      </w:pPr>
      <w:r w:rsidRPr="00B51932">
        <w:t>The positive duty closely ties into the broader goals of the Commission – including our advocacy for a positive duty across all four federal discrimination laws in the position paper released in December 2021:</w:t>
      </w:r>
      <w:hyperlink r:id="rId41" w:history="1">
        <w:r w:rsidRPr="008069E6">
          <w:rPr>
            <w:rStyle w:val="Hyperlink"/>
            <w:rFonts w:eastAsia="MS Mincho" w:cs="Open Sans"/>
          </w:rPr>
          <w:t xml:space="preserve"> Free and Equal: A reform agenda for federal discrimination law</w:t>
        </w:r>
      </w:hyperlink>
      <w:r w:rsidRPr="00B51932">
        <w:t>.</w:t>
      </w:r>
    </w:p>
    <w:p w14:paraId="3C8604E6" w14:textId="77777777" w:rsidR="008C38F7" w:rsidRDefault="008C38F7" w:rsidP="004E286A">
      <w:pPr>
        <w:pStyle w:val="Heading5"/>
      </w:pPr>
      <w:r w:rsidRPr="00AB6973">
        <w:t xml:space="preserve">Alternatives to Immigration </w:t>
      </w:r>
      <w:r w:rsidRPr="004E286A">
        <w:t>Detention</w:t>
      </w:r>
    </w:p>
    <w:p w14:paraId="0B06C0BD" w14:textId="666CEE0A" w:rsidR="00B91351" w:rsidRPr="00AB6973" w:rsidRDefault="008C38F7" w:rsidP="004E286A">
      <w:pPr>
        <w:rPr>
          <w:rFonts w:eastAsia="Open Sans"/>
        </w:rPr>
      </w:pPr>
      <w:r w:rsidRPr="00AB6973">
        <w:rPr>
          <w:rFonts w:eastAsia="Open Sans"/>
        </w:rPr>
        <w:t xml:space="preserve">People are being held in immigration detention for increasingly lengthy periods of time. As of 30 June 2023, the average period of time for people held in immigration detention was 711 days, or approximately </w:t>
      </w:r>
      <w:r w:rsidR="00AF6900">
        <w:rPr>
          <w:rFonts w:eastAsia="Open Sans"/>
        </w:rPr>
        <w:t>two</w:t>
      </w:r>
      <w:r w:rsidRPr="00AB6973">
        <w:rPr>
          <w:rFonts w:eastAsia="Open Sans"/>
        </w:rPr>
        <w:t xml:space="preserve"> years. The Commission regularly conducts inquiries into complaints by people held in immigration detention who allege that their detention is arbitrary.</w:t>
      </w:r>
    </w:p>
    <w:p w14:paraId="71BC39AA" w14:textId="4C004B8A" w:rsidR="008C38F7" w:rsidRPr="00AB6973" w:rsidRDefault="008C38F7" w:rsidP="004E286A">
      <w:pPr>
        <w:rPr>
          <w:rFonts w:eastAsia="Open Sans"/>
        </w:rPr>
      </w:pPr>
      <w:r w:rsidRPr="448905EB">
        <w:rPr>
          <w:rFonts w:eastAsia="Open Sans"/>
        </w:rPr>
        <w:t xml:space="preserve">Long term immigration detention is a significant human rights issue and has been difficult to resolve, particularly in cases where there are concerns about risk to the community and there is no opportunity for third country resettlement. This is an issue that has been considered in detail by the Commission across a number of legal and policy reports. </w:t>
      </w:r>
      <w:r w:rsidR="09D94BC5" w:rsidRPr="448905EB">
        <w:rPr>
          <w:rFonts w:eastAsia="Open Sans"/>
        </w:rPr>
        <w:t xml:space="preserve">Below outlines the work </w:t>
      </w:r>
      <w:r w:rsidRPr="448905EB">
        <w:rPr>
          <w:rFonts w:eastAsia="Open Sans"/>
        </w:rPr>
        <w:t>the Department of Home Affairs is currently doing, which acknowledges this work and builds on recommendations of the Commission. Those recommendations were aimed at creating a response that better takes into account risk and seeks to effectively manage risk in a way that best promotes both the human rights of members of the Australian community and the human rights of people in immigration detention.</w:t>
      </w:r>
    </w:p>
    <w:p w14:paraId="3B7C4DFC" w14:textId="77777777" w:rsidR="008C38F7" w:rsidRPr="00AB6973" w:rsidRDefault="008C38F7" w:rsidP="008C38F7">
      <w:pPr>
        <w:tabs>
          <w:tab w:val="left" w:pos="5412"/>
        </w:tabs>
        <w:rPr>
          <w:rFonts w:eastAsia="Open Sans" w:cs="Open San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CellMar>
          <w:top w:w="567" w:type="dxa"/>
          <w:left w:w="567" w:type="dxa"/>
          <w:bottom w:w="567" w:type="dxa"/>
          <w:right w:w="567" w:type="dxa"/>
        </w:tblCellMar>
        <w:tblLook w:val="04A0" w:firstRow="1" w:lastRow="0" w:firstColumn="1" w:lastColumn="0" w:noHBand="0" w:noVBand="1"/>
      </w:tblPr>
      <w:tblGrid>
        <w:gridCol w:w="9628"/>
      </w:tblGrid>
      <w:tr w:rsidR="00CA7C5F" w14:paraId="28EFAEF7" w14:textId="77777777" w:rsidTr="004B5503">
        <w:tc>
          <w:tcPr>
            <w:tcW w:w="9628" w:type="dxa"/>
            <w:shd w:val="clear" w:color="auto" w:fill="DEEAF6" w:themeFill="accent1" w:themeFillTint="33"/>
          </w:tcPr>
          <w:p w14:paraId="05587051" w14:textId="77777777" w:rsidR="00CA7C5F" w:rsidRPr="00CA7C5F" w:rsidRDefault="00CA7C5F" w:rsidP="00CA7C5F">
            <w:pPr>
              <w:rPr>
                <w:rStyle w:val="Strong"/>
              </w:rPr>
            </w:pPr>
            <w:r w:rsidRPr="00CA7C5F">
              <w:rPr>
                <w:rStyle w:val="Strong"/>
              </w:rPr>
              <w:t>Alternatives to Immigration Detention Advocacy Timeline</w:t>
            </w:r>
          </w:p>
          <w:p w14:paraId="2CD999A3" w14:textId="77777777" w:rsidR="00CA7C5F" w:rsidRPr="004E286A" w:rsidRDefault="00CA7C5F" w:rsidP="00CA7C5F">
            <w:r w:rsidRPr="0098078A">
              <w:t>The below timeframes demonstrate how the Commission advocates for human rights principles to be applied in immigration detention and works with governments over time.</w:t>
            </w:r>
          </w:p>
          <w:p w14:paraId="32E7BD42" w14:textId="0ECC26F3" w:rsidR="00CA7C5F" w:rsidRPr="0098078A" w:rsidRDefault="00CA7C5F" w:rsidP="00CA7C5F">
            <w:pPr>
              <w:rPr>
                <w:rFonts w:eastAsia="Open Sans"/>
              </w:rPr>
            </w:pPr>
            <w:r w:rsidRPr="00CA7C5F">
              <w:rPr>
                <w:rStyle w:val="EnfasigrassettobluCarattere"/>
              </w:rPr>
              <w:t>February 2021</w:t>
            </w:r>
            <w:r w:rsidRPr="00CA7C5F">
              <w:rPr>
                <w:rFonts w:eastAsia="Open Sans"/>
              </w:rPr>
              <w:t xml:space="preserve"> </w:t>
            </w:r>
            <w:r w:rsidRPr="00CA7C5F">
              <w:t>–</w:t>
            </w:r>
            <w:r w:rsidRPr="00B51932">
              <w:t xml:space="preserve"> </w:t>
            </w:r>
            <w:r w:rsidRPr="0098078A">
              <w:t xml:space="preserve">the </w:t>
            </w:r>
            <w:r w:rsidRPr="0098078A">
              <w:rPr>
                <w:rFonts w:eastAsia="Open Sans"/>
              </w:rPr>
              <w:t>Commission published a report of an inquiry into complaints by 11 people who had had their visas cancelled on character grounds and faced the prospect of indefinite detention (</w:t>
            </w:r>
            <w:r w:rsidRPr="00CA7C5F">
              <w:rPr>
                <w:rStyle w:val="Emphasis"/>
                <w:rFonts w:eastAsia="Open Sans"/>
              </w:rPr>
              <w:t>Immigration detention following visa refusal or cancellation under section 501 of the Migration Act 1958</w:t>
            </w:r>
            <w:r w:rsidRPr="00CA7C5F">
              <w:rPr>
                <w:rFonts w:eastAsia="Open Sans"/>
              </w:rPr>
              <w:t xml:space="preserve"> (Cth) </w:t>
            </w:r>
            <w:r w:rsidRPr="0098078A">
              <w:rPr>
                <w:rFonts w:eastAsia="Open Sans"/>
              </w:rPr>
              <w:t>[2021] AusHRC 141).</w:t>
            </w:r>
          </w:p>
          <w:p w14:paraId="7F546BE8" w14:textId="756AC89E" w:rsidR="00CA7C5F" w:rsidRPr="0098078A" w:rsidRDefault="00CA7C5F" w:rsidP="00CA7C5F">
            <w:pPr>
              <w:rPr>
                <w:rFonts w:eastAsia="Open Sans"/>
              </w:rPr>
            </w:pPr>
            <w:r w:rsidRPr="00CA7C5F">
              <w:rPr>
                <w:rStyle w:val="EnfasigrassettobluCarattere"/>
              </w:rPr>
              <w:t>July 2021</w:t>
            </w:r>
            <w:r w:rsidRPr="00B51932">
              <w:rPr>
                <w:rFonts w:eastAsia="Open Sans"/>
              </w:rPr>
              <w:t xml:space="preserve"> </w:t>
            </w:r>
            <w:r w:rsidRPr="00CA7C5F">
              <w:t>–</w:t>
            </w:r>
            <w:r w:rsidRPr="00B51932">
              <w:t xml:space="preserve"> </w:t>
            </w:r>
            <w:r w:rsidRPr="0098078A">
              <w:rPr>
                <w:rFonts w:eastAsia="Open Sans"/>
              </w:rPr>
              <w:t>the Status Resolution and Visa Cancellation Division of the Department of Home Affairs commenced a program to explore alternatives to held detention. The Department referred to the Commission’s report in its Phase 1 Program Report as informing this work.</w:t>
            </w:r>
          </w:p>
          <w:p w14:paraId="64BCA8CD" w14:textId="2608B91D" w:rsidR="00CA7C5F" w:rsidRPr="004E286A" w:rsidRDefault="00CA7C5F" w:rsidP="00CA7C5F">
            <w:pPr>
              <w:rPr>
                <w:rFonts w:eastAsia="Open Sans"/>
              </w:rPr>
            </w:pPr>
            <w:r w:rsidRPr="00CA7C5F">
              <w:rPr>
                <w:rStyle w:val="EnfasigrassettobluCarattere"/>
              </w:rPr>
              <w:t>July 2022</w:t>
            </w:r>
            <w:r w:rsidRPr="00CA7C5F">
              <w:rPr>
                <w:rFonts w:eastAsia="Open Sans"/>
              </w:rPr>
              <w:t xml:space="preserve"> </w:t>
            </w:r>
            <w:r w:rsidRPr="00CA7C5F">
              <w:t>–</w:t>
            </w:r>
            <w:r w:rsidRPr="00B51932">
              <w:t xml:space="preserve"> </w:t>
            </w:r>
            <w:r w:rsidRPr="0098078A">
              <w:rPr>
                <w:rFonts w:eastAsia="Open Sans"/>
              </w:rPr>
              <w:t>the Department of Home Affairs provided a submission to the Minister for Immigration, Citizenship and Multicultural Affairs about a Alternatives to Held Detention program. The Department sought approval for proposals that build on the recommendations of the Commission, including: engaging external expertise to develop a revised risk assessment framework and dynamic risk assessment tools; the establishment of an independent panel to provide advice and recommendations about managing risk; and considering conditions that could be imposed on detainees to mitigate risk that would permit release into the community.</w:t>
            </w:r>
          </w:p>
          <w:p w14:paraId="34A4B48A" w14:textId="4E776A9D" w:rsidR="00CA7C5F" w:rsidRPr="0098078A" w:rsidRDefault="00CA7C5F" w:rsidP="00CA7C5F">
            <w:pPr>
              <w:rPr>
                <w:rFonts w:eastAsia="Open Sans"/>
              </w:rPr>
            </w:pPr>
            <w:r w:rsidRPr="00CA7C5F">
              <w:rPr>
                <w:rStyle w:val="EnfasigrassettobluCarattere"/>
              </w:rPr>
              <w:t>August 2022</w:t>
            </w:r>
            <w:r w:rsidRPr="00CA7C5F">
              <w:rPr>
                <w:rFonts w:eastAsia="Open Sans"/>
              </w:rPr>
              <w:t xml:space="preserve"> </w:t>
            </w:r>
            <w:r w:rsidRPr="00CA7C5F">
              <w:t>–</w:t>
            </w:r>
            <w:r w:rsidRPr="00B51932">
              <w:t xml:space="preserve"> </w:t>
            </w:r>
            <w:r w:rsidRPr="0098078A">
              <w:rPr>
                <w:rFonts w:eastAsia="Open Sans"/>
              </w:rPr>
              <w:t xml:space="preserve">the Department held a briefing </w:t>
            </w:r>
            <w:r>
              <w:rPr>
                <w:rFonts w:eastAsia="Open Sans"/>
              </w:rPr>
              <w:t xml:space="preserve">about the program </w:t>
            </w:r>
            <w:r w:rsidRPr="0098078A">
              <w:rPr>
                <w:rFonts w:eastAsia="Open Sans"/>
              </w:rPr>
              <w:t xml:space="preserve">with external stakeholders, including the Commission, </w:t>
            </w:r>
            <w:r>
              <w:rPr>
                <w:rFonts w:eastAsia="Open Sans"/>
              </w:rPr>
              <w:t>and</w:t>
            </w:r>
            <w:r w:rsidRPr="0098078A">
              <w:rPr>
                <w:rFonts w:eastAsia="Open Sans"/>
              </w:rPr>
              <w:t xml:space="preserve"> commenced Phase 2.</w:t>
            </w:r>
          </w:p>
          <w:p w14:paraId="05B26C41" w14:textId="3747ECF4" w:rsidR="00CA7C5F" w:rsidRDefault="00CA7C5F" w:rsidP="00CA7C5F">
            <w:pPr>
              <w:rPr>
                <w:rFonts w:eastAsia="Open Sans"/>
              </w:rPr>
            </w:pPr>
            <w:r w:rsidRPr="00CA7C5F">
              <w:rPr>
                <w:rStyle w:val="EnfasigrassettobluCarattere"/>
              </w:rPr>
              <w:t>October 2022</w:t>
            </w:r>
            <w:r w:rsidRPr="00B51932">
              <w:rPr>
                <w:rFonts w:eastAsia="Open Sans"/>
              </w:rPr>
              <w:t xml:space="preserve"> </w:t>
            </w:r>
            <w:r w:rsidRPr="00CA7C5F">
              <w:t>–</w:t>
            </w:r>
            <w:r w:rsidRPr="00B51932">
              <w:t xml:space="preserve"> </w:t>
            </w:r>
            <w:r w:rsidRPr="0098078A">
              <w:rPr>
                <w:rFonts w:eastAsia="Open Sans"/>
              </w:rPr>
              <w:t>the Department met with the Minister to further discuss this program.</w:t>
            </w:r>
          </w:p>
        </w:tc>
      </w:tr>
    </w:tbl>
    <w:p w14:paraId="0FDCA42F" w14:textId="77777777" w:rsidR="00F86860" w:rsidRPr="00795DD4" w:rsidRDefault="00F86860" w:rsidP="008C38F7">
      <w:pPr>
        <w:tabs>
          <w:tab w:val="left" w:pos="5412"/>
        </w:tabs>
        <w:rPr>
          <w:rFonts w:eastAsia="Open Sans" w:cs="Open Sans"/>
        </w:rPr>
      </w:pPr>
    </w:p>
    <w:p w14:paraId="2D985A26" w14:textId="7EF57490" w:rsidR="00813792" w:rsidRPr="001A06BD" w:rsidRDefault="008C38F7" w:rsidP="001A06BD">
      <w:pPr>
        <w:pStyle w:val="Heading5"/>
      </w:pPr>
      <w:r w:rsidRPr="001A06BD">
        <w:t>Tickle v Giggle for Girls Pty Ltd</w:t>
      </w:r>
    </w:p>
    <w:p w14:paraId="15F96F49" w14:textId="36351CE6" w:rsidR="002200A0" w:rsidRPr="00795DD4" w:rsidRDefault="008C38F7" w:rsidP="0056513B">
      <w:pPr>
        <w:rPr>
          <w:rFonts w:eastAsia="Open Sans"/>
        </w:rPr>
      </w:pPr>
      <w:r w:rsidRPr="00795DD4">
        <w:t>T</w:t>
      </w:r>
      <w:r w:rsidRPr="00795DD4">
        <w:rPr>
          <w:rFonts w:eastAsia="Open Sans"/>
        </w:rPr>
        <w:t xml:space="preserve">he Sex Discrimination Commissioner was granted leave by the Federal Court to appear as amicus curiae in the proceeding Tickle v Giggle for Girls Pty Ltd in June 2023. This is the first case about ‘gender identity’ discrimination to be heard by the Federal Court since this ground of discrimination was introduced into the </w:t>
      </w:r>
      <w:r w:rsidRPr="00BF0C5B">
        <w:rPr>
          <w:rStyle w:val="Emphasis"/>
          <w:rFonts w:eastAsia="Open Sans"/>
        </w:rPr>
        <w:t>Sex Discrimination Act 1984</w:t>
      </w:r>
      <w:r w:rsidRPr="00795DD4">
        <w:rPr>
          <w:rFonts w:eastAsia="Open Sans"/>
        </w:rPr>
        <w:t xml:space="preserve"> (Cth) (Sex Discrimination Act) in 2013.</w:t>
      </w:r>
    </w:p>
    <w:p w14:paraId="4EB4E62B" w14:textId="5472DDE5" w:rsidR="00AD0694" w:rsidRDefault="008C38F7" w:rsidP="0056513B">
      <w:pPr>
        <w:rPr>
          <w:rFonts w:eastAsia="Open Sans"/>
        </w:rPr>
      </w:pPr>
      <w:r w:rsidRPr="00795DD4">
        <w:rPr>
          <w:rFonts w:eastAsia="Open Sans"/>
        </w:rPr>
        <w:t>In the past, the Sex Discrimination Commissioner has sought leave to appear as amicus curiae in cases dealing with the interpretation of key provisions of the Sex Discrimination Act. This has included cases dealing with new grounds of discrimination when they have been introduced into the Sex Discrimination Act, such as discrimination on the grounds of pregnancy, family responsibilities and marital status.</w:t>
      </w:r>
    </w:p>
    <w:p w14:paraId="438C1EB7" w14:textId="55B7809E" w:rsidR="002200A0" w:rsidRPr="00795DD4" w:rsidRDefault="008C38F7" w:rsidP="0056513B">
      <w:pPr>
        <w:rPr>
          <w:rFonts w:eastAsia="Open Sans"/>
        </w:rPr>
      </w:pPr>
      <w:r w:rsidRPr="00795DD4">
        <w:rPr>
          <w:rFonts w:eastAsia="Open Sans"/>
        </w:rPr>
        <w:t>Roxanne Tickle was refused access to a social networking app described as being ‘made for women by women’. Ms Tickle alleges that she was refused access because she is a trans woman, and that this amounts to discrimination on the ground of her gender identity. The Respondents say that Ms Tickle was refused access to the Giggle app because she is a ‘male’. They say that this did not amount to discrimination on the ground of ‘sex’ because the app is a special measure for the purpose of achieving substantive equality between women and men. The Respondents say that the prohibition against ‘gender identity’ discrimination is unconstitutional.</w:t>
      </w:r>
    </w:p>
    <w:p w14:paraId="0DA5999B" w14:textId="7BCE12D9" w:rsidR="002200A0" w:rsidRPr="00795DD4" w:rsidRDefault="008C38F7" w:rsidP="0056513B">
      <w:pPr>
        <w:rPr>
          <w:rFonts w:eastAsia="Open Sans"/>
        </w:rPr>
      </w:pPr>
      <w:r w:rsidRPr="448905EB">
        <w:rPr>
          <w:rFonts w:eastAsia="Open Sans"/>
        </w:rPr>
        <w:t>The Commissioner</w:t>
      </w:r>
      <w:r w:rsidR="000E2FC7" w:rsidRPr="448905EB">
        <w:rPr>
          <w:rFonts w:eastAsia="Open Sans"/>
        </w:rPr>
        <w:t xml:space="preserve">’s </w:t>
      </w:r>
      <w:r w:rsidRPr="448905EB">
        <w:rPr>
          <w:rFonts w:eastAsia="Open Sans"/>
        </w:rPr>
        <w:t xml:space="preserve">submissions </w:t>
      </w:r>
      <w:r w:rsidR="009021AF" w:rsidRPr="448905EB">
        <w:rPr>
          <w:rFonts w:eastAsia="Open Sans"/>
        </w:rPr>
        <w:t>(</w:t>
      </w:r>
      <w:r w:rsidRPr="448905EB">
        <w:rPr>
          <w:rFonts w:eastAsia="Open Sans"/>
        </w:rPr>
        <w:t>filed in August 2023</w:t>
      </w:r>
      <w:r w:rsidR="009021AF" w:rsidRPr="448905EB">
        <w:rPr>
          <w:rFonts w:eastAsia="Open Sans"/>
        </w:rPr>
        <w:t xml:space="preserve">, </w:t>
      </w:r>
      <w:r w:rsidRPr="448905EB">
        <w:rPr>
          <w:rFonts w:eastAsia="Open Sans"/>
        </w:rPr>
        <w:t>following this reporting period</w:t>
      </w:r>
      <w:r w:rsidR="000E2FC7" w:rsidRPr="448905EB">
        <w:rPr>
          <w:rFonts w:eastAsia="Open Sans"/>
        </w:rPr>
        <w:t>),</w:t>
      </w:r>
      <w:r w:rsidRPr="448905EB">
        <w:rPr>
          <w:rFonts w:eastAsia="Open Sans"/>
        </w:rPr>
        <w:t xml:space="preserve"> deal with key statutory interpretation and constitutional issues that arise in the case. The statutory interpretation issues include the meaning of ‘sex’ and ‘gender identity’ for the purposes of the Sex Discrimination Act and the interaction between prohibitions against discrimination and special measures to achieve substantive equality. The Commissioner submits that the prohibition against gender identity discrimination is constitutionally valid and consistent with Australia’s international treaty obligations under the Convention on the Elimination of All Forms of Discrimination Against Women (CEDAW) and the International Covenant on Civil and Political Rights (ICCPR). The final hearing in the case is listed for April 2024.</w:t>
      </w:r>
    </w:p>
    <w:p w14:paraId="62BEB96D" w14:textId="74FD2319" w:rsidR="00021641" w:rsidRDefault="008C38F7" w:rsidP="0056513B">
      <w:pPr>
        <w:rPr>
          <w:rFonts w:eastAsia="Open Sans"/>
        </w:rPr>
      </w:pPr>
      <w:r w:rsidRPr="00795DD4">
        <w:rPr>
          <w:rFonts w:eastAsia="Open Sans"/>
        </w:rPr>
        <w:t>The Federal Court has indicated that it values the contribution of the Commissioner by granting leave to appear in this case and by directing that the Commissioner’s submissions be filed in advance of those of the other parties so that they have the benefit of those submissions prior to filing their own submissions.</w:t>
      </w:r>
    </w:p>
    <w:p w14:paraId="68CD3807" w14:textId="77777777" w:rsidR="005E7A14" w:rsidRDefault="005E7A14" w:rsidP="0056513B">
      <w:pPr>
        <w:rPr>
          <w:rFonts w:eastAsia="Open Sans"/>
        </w:rPr>
      </w:pPr>
    </w:p>
    <w:p w14:paraId="7E913501" w14:textId="23AB66E5" w:rsidR="005E7A14" w:rsidRDefault="005E7A14" w:rsidP="005E7A14">
      <w:pPr>
        <w:spacing w:before="0" w:after="0" w:line="240" w:lineRule="auto"/>
        <w:rPr>
          <w:rFonts w:eastAsia="Open Sans"/>
        </w:rPr>
      </w:pPr>
      <w:r>
        <w:rPr>
          <w:rFonts w:eastAsia="Open Sans"/>
        </w:rPr>
        <w:br w:type="page"/>
      </w:r>
    </w:p>
    <w:p w14:paraId="3619C182" w14:textId="501D752A" w:rsidR="008C38F7" w:rsidRDefault="008C38F7" w:rsidP="001A06BD">
      <w:pPr>
        <w:pStyle w:val="Heading5"/>
      </w:pPr>
      <w:r w:rsidRPr="448905EB">
        <w:t xml:space="preserve">Foreign Interference </w:t>
      </w:r>
      <w:r w:rsidR="006C653C" w:rsidRPr="001A06BD">
        <w:t>through</w:t>
      </w:r>
      <w:r w:rsidRPr="448905EB">
        <w:t xml:space="preserve"> Social Media</w:t>
      </w:r>
    </w:p>
    <w:tbl>
      <w:tblPr>
        <w:tblStyle w:val="TableGrey"/>
        <w:tblW w:w="0" w:type="auto"/>
        <w:shd w:val="clear" w:color="auto" w:fill="DEEAF6" w:themeFill="accent1" w:themeFillTint="33"/>
        <w:tblLook w:val="04A0" w:firstRow="1" w:lastRow="0" w:firstColumn="1" w:lastColumn="0" w:noHBand="0" w:noVBand="1"/>
      </w:tblPr>
      <w:tblGrid>
        <w:gridCol w:w="9628"/>
      </w:tblGrid>
      <w:tr w:rsidR="0056513B" w14:paraId="1DC2937B" w14:textId="77777777" w:rsidTr="004B5503">
        <w:tc>
          <w:tcPr>
            <w:tcW w:w="9628" w:type="dxa"/>
            <w:shd w:val="clear" w:color="auto" w:fill="DEEAF6" w:themeFill="accent1" w:themeFillTint="33"/>
          </w:tcPr>
          <w:p w14:paraId="577451E9" w14:textId="3407D9B1" w:rsidR="00752576" w:rsidRPr="00752576" w:rsidRDefault="00752576" w:rsidP="00752576">
            <w:pPr>
              <w:rPr>
                <w:rStyle w:val="Strong"/>
              </w:rPr>
            </w:pPr>
            <w:r w:rsidRPr="2832F822">
              <w:rPr>
                <w:rStyle w:val="Strong"/>
              </w:rPr>
              <w:t xml:space="preserve">Commission recommendations on Foreign Interference through </w:t>
            </w:r>
            <w:r w:rsidR="09B84E5F" w:rsidRPr="2832F822">
              <w:rPr>
                <w:rStyle w:val="Strong"/>
              </w:rPr>
              <w:t>social media</w:t>
            </w:r>
          </w:p>
          <w:p w14:paraId="24772A38" w14:textId="77777777" w:rsidR="00752576" w:rsidRPr="00B51932" w:rsidRDefault="00752576" w:rsidP="00752576">
            <w:r w:rsidRPr="00752576">
              <w:rPr>
                <w:rStyle w:val="Strong"/>
              </w:rPr>
              <w:t>AHRC recommendation 1</w:t>
            </w:r>
            <w:r w:rsidRPr="00B51932">
              <w:t>: The Australian Government should establish a permanent whole-of-government taskforce dedicated to preventing and combating foreign interference by way of cyber-manipulation in Australia. Fully adopted by the Senate Committee in their recommendation 7.</w:t>
            </w:r>
          </w:p>
          <w:p w14:paraId="0A9B6044" w14:textId="77777777" w:rsidR="00752576" w:rsidRPr="00B51932" w:rsidRDefault="00752576" w:rsidP="00752576">
            <w:r w:rsidRPr="00752576">
              <w:rPr>
                <w:rStyle w:val="Strong"/>
              </w:rPr>
              <w:t>AHRC recommendation 2</w:t>
            </w:r>
            <w:r w:rsidRPr="00B51932">
              <w:t>: The Australian government should establish clear and mandatory requirements, and pathways, for social media organisations to report suspected foreign interference. Such reports should be made to the proposed entity noted above in recommendation 1, whose activities in this area must incorporate robust safeguards to protect freedom of expression Partly adopted by the Senate Committee in their recommendation 1.</w:t>
            </w:r>
          </w:p>
          <w:p w14:paraId="05C8D3D8" w14:textId="77777777" w:rsidR="00752576" w:rsidRPr="00B51932" w:rsidRDefault="00752576" w:rsidP="00752576">
            <w:r w:rsidRPr="00752576">
              <w:rPr>
                <w:rStyle w:val="Strong"/>
              </w:rPr>
              <w:t>AHRC recommendation 3:</w:t>
            </w:r>
            <w:r w:rsidRPr="00B51932">
              <w:t xml:space="preserve"> There must be greater investment in incorporating digital literacy into the Australian education curriculum, including information about online safety, data privacy, identifying misinformation and disinformation and the role algorithms play in a users’ online experience. Partly adopted by the Senate Committee in their recommendation 15.</w:t>
            </w:r>
          </w:p>
          <w:p w14:paraId="0473AF5C" w14:textId="77777777" w:rsidR="00752576" w:rsidRPr="00B51932" w:rsidRDefault="00752576" w:rsidP="00752576">
            <w:r w:rsidRPr="00752576">
              <w:rPr>
                <w:rStyle w:val="Strong"/>
              </w:rPr>
              <w:t>AHRC recommendation 4:</w:t>
            </w:r>
            <w:r w:rsidRPr="00B51932">
              <w:t xml:space="preserve"> The Australian Government should introduce a public education campaign on digital literacy and develop public online resources. Partly adopted by the Senate Committee in their recommendation 15.</w:t>
            </w:r>
          </w:p>
          <w:p w14:paraId="651AFE23" w14:textId="77777777" w:rsidR="00752576" w:rsidRPr="00B51932" w:rsidRDefault="00752576" w:rsidP="00752576">
            <w:r w:rsidRPr="00752576">
              <w:rPr>
                <w:rStyle w:val="Strong"/>
              </w:rPr>
              <w:t>AHRC recommendation 5:</w:t>
            </w:r>
            <w:r w:rsidRPr="00B51932">
              <w:t xml:space="preserve"> The Australian Government should audit the use of social medial platforms on government-issued devices within the Australian Public Service, and issue general guidance regarding device security. Fully adopted by the Senate Committee in their recommendation 5, and expanded upon in their recommendation 6.</w:t>
            </w:r>
          </w:p>
          <w:p w14:paraId="57947AE0" w14:textId="77777777" w:rsidR="00752576" w:rsidRPr="00B51932" w:rsidRDefault="00752576" w:rsidP="00752576">
            <w:r w:rsidRPr="00752576">
              <w:rPr>
                <w:rStyle w:val="Strong"/>
              </w:rPr>
              <w:t>AHRC recommendation 6:</w:t>
            </w:r>
            <w:r w:rsidRPr="00B51932">
              <w:t xml:space="preserve"> The Australian government should introduce transparent user-data privacy and user-data protection frameworks that apply to all social media and internet companies. Partly adopted by the Senate Committee in their recommendation 1.</w:t>
            </w:r>
          </w:p>
          <w:p w14:paraId="763ACE5F" w14:textId="77777777" w:rsidR="00752576" w:rsidRPr="00B51932" w:rsidRDefault="00752576" w:rsidP="00752576">
            <w:r w:rsidRPr="00752576">
              <w:rPr>
                <w:rStyle w:val="Strong"/>
              </w:rPr>
              <w:t>AHRC recommendation 7</w:t>
            </w:r>
            <w:r w:rsidRPr="00B51932">
              <w:t>: Social media platforms should be legally required to provide users with greater control over their personal data. A users’ data sharing setting should always be switched off by default. Not adopted.</w:t>
            </w:r>
          </w:p>
          <w:p w14:paraId="490BFB09" w14:textId="77777777" w:rsidR="00752576" w:rsidRPr="00B51932" w:rsidRDefault="00752576" w:rsidP="00752576">
            <w:r w:rsidRPr="00752576">
              <w:rPr>
                <w:rStyle w:val="Strong"/>
              </w:rPr>
              <w:t>AHRC recommendation 8</w:t>
            </w:r>
            <w:r w:rsidRPr="00B51932">
              <w:t>: The Australian Government should mandate that all social media platforms publicly disclose the content that they censor and make it an offence to censor content that has not been publicly disclosed to users. Fully adopted by the Senate Committee in their recommendation 1.</w:t>
            </w:r>
          </w:p>
          <w:p w14:paraId="5F5011AA" w14:textId="7634799B" w:rsidR="0056513B" w:rsidRPr="00752576" w:rsidRDefault="00752576" w:rsidP="0056513B">
            <w:r w:rsidRPr="00B51932">
              <w:rPr>
                <w:rStyle w:val="Strong"/>
              </w:rPr>
              <w:t>AHRC recommendation 9:</w:t>
            </w:r>
            <w:r w:rsidRPr="00B51932">
              <w:t xml:space="preserve"> </w:t>
            </w:r>
            <w:r w:rsidRPr="00813792">
              <w:t>The Australian Government should take a proactive approach to protecting groups that are common targets of foreign interference but are not classified as government institutions</w:t>
            </w:r>
            <w:r w:rsidRPr="00B51932">
              <w:t xml:space="preserve">. </w:t>
            </w:r>
            <w:r w:rsidRPr="00813792">
              <w:t>Partly adopted by the Senate Committee in their recommendation 17.</w:t>
            </w:r>
          </w:p>
        </w:tc>
      </w:tr>
    </w:tbl>
    <w:p w14:paraId="2295E275" w14:textId="77777777" w:rsidR="0056513B" w:rsidRPr="0056513B" w:rsidRDefault="0056513B" w:rsidP="0056513B">
      <w:pPr>
        <w:rPr>
          <w:rFonts w:eastAsia="Open Sans"/>
        </w:rPr>
      </w:pPr>
    </w:p>
    <w:p w14:paraId="15216BB3" w14:textId="3EDEA913" w:rsidR="008C38F7" w:rsidRDefault="008C38F7" w:rsidP="00752576">
      <w:pPr>
        <w:rPr>
          <w:rFonts w:eastAsia="Open Sans"/>
        </w:rPr>
      </w:pPr>
      <w:r w:rsidRPr="00AB6973">
        <w:rPr>
          <w:rFonts w:eastAsia="Open Sans"/>
        </w:rPr>
        <w:t xml:space="preserve">The Commission provided a submission to the Senate Select Committee on Foreign Interference through Social Media in February 2023, noting that social media is an integral aspect of everyday life, as it forms the foundations of many Australia’s communications online. The Commission particularly noted concerns about the negative impact that foreign interference through social media can have on democracy and human rights, highlighting particular risks regarding misinformation and disinformation, risk to privacy and increasing censorship. </w:t>
      </w:r>
    </w:p>
    <w:p w14:paraId="189E1CB3" w14:textId="5ACF73AD" w:rsidR="008C38F7" w:rsidRPr="00752576" w:rsidRDefault="008C38F7" w:rsidP="00752576">
      <w:r w:rsidRPr="448905EB">
        <w:rPr>
          <w:rFonts w:eastAsia="Open Sans"/>
        </w:rPr>
        <w:t>The Committee adopted eight of the Commission’s nine recommendations (in-part or in full), with 27 citations in the final report. This has led to substantive law reform being recommended to better ensure human rights are protected. It also aligns with Commissioner Finlay’s term goal to strengthen human rights frameworks and build greater awareness of human rights risks in digital spaces.</w:t>
      </w:r>
    </w:p>
    <w:p w14:paraId="04BFC34A" w14:textId="77777777" w:rsidR="008C38F7" w:rsidRDefault="008C38F7" w:rsidP="00752576">
      <w:pPr>
        <w:pStyle w:val="Heading5"/>
      </w:pPr>
      <w:r w:rsidRPr="00AB6973">
        <w:t>Discontinued use of spit hoods in ACT/AFP Policing</w:t>
      </w:r>
    </w:p>
    <w:p w14:paraId="4BB3B391" w14:textId="77777777" w:rsidR="008C38F7" w:rsidRPr="00B51932" w:rsidRDefault="008C38F7" w:rsidP="00B51932">
      <w:pPr>
        <w:rPr>
          <w:rFonts w:eastAsia="Open Sans"/>
        </w:rPr>
      </w:pPr>
      <w:r w:rsidRPr="00B51932">
        <w:rPr>
          <w:rFonts w:eastAsia="Open Sans"/>
        </w:rPr>
        <w:t>In February 2023, the Commission provided a submission to the Australian Federal Police’s (AFP) internal review into the use of spit hoods in AFP and ACT policing.</w:t>
      </w:r>
    </w:p>
    <w:p w14:paraId="4F7B7844" w14:textId="03731762" w:rsidR="00752576" w:rsidRPr="00B51932" w:rsidRDefault="008C38F7" w:rsidP="00B51932">
      <w:pPr>
        <w:rPr>
          <w:rFonts w:eastAsia="Open Sans"/>
        </w:rPr>
      </w:pPr>
      <w:r w:rsidRPr="00B51932">
        <w:rPr>
          <w:rFonts w:eastAsia="Open Sans"/>
        </w:rPr>
        <w:t>Following the review, the AFP announced the AFP and ACT police would no longer use spit hoods, and instead the AFP will provide ‘alternative equipment and implement procedures to better protect officers from spitting and biting.’ The AFP statement noted that spit</w:t>
      </w:r>
      <w:r w:rsidR="00C86454">
        <w:rPr>
          <w:rFonts w:eastAsia="Open Sans"/>
        </w:rPr>
        <w:t xml:space="preserve"> </w:t>
      </w:r>
      <w:r w:rsidRPr="00B51932">
        <w:rPr>
          <w:rFonts w:eastAsia="Open Sans"/>
        </w:rPr>
        <w:t>hoods were not sufficient to prevent transmissible disease and the review found the risk of using spit</w:t>
      </w:r>
      <w:r w:rsidR="00C86454">
        <w:rPr>
          <w:rFonts w:eastAsia="Open Sans"/>
        </w:rPr>
        <w:t xml:space="preserve"> </w:t>
      </w:r>
      <w:r w:rsidRPr="00B51932">
        <w:rPr>
          <w:rFonts w:eastAsia="Open Sans"/>
        </w:rPr>
        <w:t>hoods outweighed the benefits of their use.</w:t>
      </w:r>
    </w:p>
    <w:p w14:paraId="7C11B409" w14:textId="77777777" w:rsidR="001A06BD" w:rsidRPr="00B51932" w:rsidRDefault="001A06BD" w:rsidP="00B51932">
      <w:pPr>
        <w:rPr>
          <w:rFonts w:eastAsia="Open Sans"/>
        </w:rPr>
      </w:pPr>
    </w:p>
    <w:p w14:paraId="23B7EB4C" w14:textId="7A62DD4A" w:rsidR="00752576" w:rsidRPr="001A06BD" w:rsidRDefault="00752576" w:rsidP="001A06BD">
      <w:pPr>
        <w:pStyle w:val="IntenseQuote"/>
      </w:pPr>
      <w:r w:rsidRPr="001A06BD">
        <w:t xml:space="preserve">The Commission has long held the view that the use of spit hoods poses significant risks of injury and death, and that their use is contrary to human rights. Evidence clearly indicates that the key risk a spit hood is designed to prevent – the transmission of communicable diseases – is very low, making their use a disproportionate response. </w:t>
      </w:r>
      <w:r w:rsidR="001A06BD" w:rsidRPr="001A06BD">
        <w:t>—</w:t>
      </w:r>
      <w:r w:rsidRPr="001A06BD">
        <w:rPr>
          <w:rStyle w:val="Strong"/>
        </w:rPr>
        <w:t>Australia’s Human Rights Commissioner Lorraine Finlay</w:t>
      </w:r>
    </w:p>
    <w:p w14:paraId="74BC4938" w14:textId="77777777" w:rsidR="00752576" w:rsidRPr="00752576" w:rsidRDefault="00752576" w:rsidP="00752576">
      <w:pPr>
        <w:rPr>
          <w:rFonts w:eastAsia="Open Sans"/>
        </w:rPr>
      </w:pPr>
    </w:p>
    <w:p w14:paraId="170363AC" w14:textId="571E92B5" w:rsidR="008C38F7" w:rsidRPr="00752576" w:rsidRDefault="008C38F7" w:rsidP="00752576">
      <w:pPr>
        <w:rPr>
          <w:rFonts w:eastAsia="Open Sans"/>
        </w:rPr>
      </w:pPr>
      <w:r w:rsidRPr="00B51932">
        <w:rPr>
          <w:rFonts w:eastAsia="Open Sans"/>
        </w:rPr>
        <w:t>This outcome aligns</w:t>
      </w:r>
      <w:r w:rsidRPr="00752576">
        <w:rPr>
          <w:rFonts w:eastAsia="Open Sans"/>
        </w:rPr>
        <w:t xml:space="preserve"> with a recommendation made by the United Nation’s Committee Against Torture (UN CAT) at Australia’s sixth periodic review. This was an issue that Commissioner Finlay personally raised before the committee. </w:t>
      </w:r>
    </w:p>
    <w:p w14:paraId="00DEE2FB" w14:textId="4AEF1CC5" w:rsidR="00813792" w:rsidRPr="00AB6973" w:rsidRDefault="008C38F7" w:rsidP="00752576">
      <w:pPr>
        <w:pStyle w:val="Heading5"/>
      </w:pPr>
      <w:r w:rsidRPr="00AB6973">
        <w:t>Representation at the United Nations Conference of State Parties</w:t>
      </w:r>
    </w:p>
    <w:p w14:paraId="2529CF99" w14:textId="019B1A81" w:rsidR="00813792" w:rsidRPr="00AB6973" w:rsidRDefault="008C38F7" w:rsidP="00752576">
      <w:pPr>
        <w:rPr>
          <w:rFonts w:eastAsia="Open Sans"/>
        </w:rPr>
      </w:pPr>
      <w:r w:rsidRPr="00AB6973">
        <w:rPr>
          <w:rFonts w:eastAsia="Open Sans"/>
        </w:rPr>
        <w:t>Article 40 of the Convention on the Rights of Persons with Disabilities (CRPD) provides for a regular Conference of State Parties (COSP). For the first time since the COVID-19 pandemic, COSP was convened in person and the Australian delegation was one of the largest to attend.</w:t>
      </w:r>
    </w:p>
    <w:p w14:paraId="7CF6EFD6" w14:textId="3E91DCFB" w:rsidR="008C38F7" w:rsidRDefault="008C38F7" w:rsidP="00752576">
      <w:pPr>
        <w:rPr>
          <w:rFonts w:eastAsia="Open Sans"/>
        </w:rPr>
      </w:pPr>
      <w:r w:rsidRPr="448905EB">
        <w:rPr>
          <w:rFonts w:eastAsia="Open Sans"/>
        </w:rPr>
        <w:t xml:space="preserve">The Disability Discrimination Commissioner and Director of the Disability Rights Team represented the Commission at COSP, </w:t>
      </w:r>
      <w:r w:rsidR="009445D7" w:rsidRPr="448905EB">
        <w:rPr>
          <w:rFonts w:eastAsia="Open Sans"/>
        </w:rPr>
        <w:t xml:space="preserve">and </w:t>
      </w:r>
      <w:r w:rsidRPr="448905EB">
        <w:rPr>
          <w:rFonts w:eastAsia="Open Sans"/>
        </w:rPr>
        <w:t>support</w:t>
      </w:r>
      <w:r w:rsidR="009445D7" w:rsidRPr="448905EB">
        <w:rPr>
          <w:rFonts w:eastAsia="Open Sans"/>
        </w:rPr>
        <w:t>ed the participation of</w:t>
      </w:r>
      <w:r w:rsidRPr="448905EB">
        <w:rPr>
          <w:rFonts w:eastAsia="Open Sans"/>
        </w:rPr>
        <w:t xml:space="preserve"> civil society delegates.</w:t>
      </w:r>
    </w:p>
    <w:p w14:paraId="574202A5" w14:textId="69EF10B2" w:rsidR="003E2D71" w:rsidRDefault="003E2D71" w:rsidP="00752576">
      <w:pPr>
        <w:rPr>
          <w:rFonts w:eastAsia="Open Sans"/>
        </w:rPr>
      </w:pPr>
      <w:r w:rsidRPr="00AB6973">
        <w:rPr>
          <w:rFonts w:eastAsia="Open Sans"/>
        </w:rPr>
        <w:t>COSP is a key opportunity for the international disability community to connect and learn about ways to advance the realisation of the CRPD. This was the first year that National Human Rights Institutions (NHRIs) had independent status in COSP.</w:t>
      </w:r>
    </w:p>
    <w:p w14:paraId="2FD62FE0" w14:textId="72679E95" w:rsidR="00813792" w:rsidRPr="00AB6973" w:rsidRDefault="008C38F7" w:rsidP="00752576">
      <w:pPr>
        <w:rPr>
          <w:rFonts w:eastAsia="Open Sans"/>
        </w:rPr>
      </w:pPr>
      <w:r w:rsidRPr="00AB6973">
        <w:rPr>
          <w:rFonts w:eastAsia="Open Sans"/>
        </w:rPr>
        <w:t>A side event showcasing Australia’s Disability Strategy 2021–31 was co-hosted by the Hon Amanda Rishworth MP (Minister for Social Services), Dr Ben Gauntlett (Disability Discrimination Commissioner, and Chair of the Australian Disability Strategy Advisory Council), Liz Reid (CEO YouthWorX, and ADS Advisory Council member) and the Department of Social Services.</w:t>
      </w:r>
    </w:p>
    <w:p w14:paraId="65996A0B" w14:textId="0ADC915E" w:rsidR="008C38F7" w:rsidRPr="00AB6973" w:rsidRDefault="008C38F7" w:rsidP="00752576">
      <w:pPr>
        <w:rPr>
          <w:rFonts w:eastAsia="Open Sans"/>
        </w:rPr>
      </w:pPr>
      <w:r w:rsidRPr="448905EB">
        <w:rPr>
          <w:rFonts w:eastAsia="Open Sans"/>
        </w:rPr>
        <w:t xml:space="preserve">The Disability Discrimination Commissioner delivered an intervention in the General Assembly, raising key issues in Australia’s implementation of the Convention on the Rights of Persons with Disabilities, as well as the need for a federal </w:t>
      </w:r>
      <w:r w:rsidR="005C5207" w:rsidRPr="448905EB">
        <w:rPr>
          <w:rFonts w:eastAsia="Open Sans"/>
        </w:rPr>
        <w:t>H</w:t>
      </w:r>
      <w:r w:rsidRPr="448905EB">
        <w:rPr>
          <w:rFonts w:eastAsia="Open Sans"/>
        </w:rPr>
        <w:t xml:space="preserve">uman </w:t>
      </w:r>
      <w:r w:rsidR="005C5207" w:rsidRPr="448905EB">
        <w:rPr>
          <w:rFonts w:eastAsia="Open Sans"/>
        </w:rPr>
        <w:t>R</w:t>
      </w:r>
      <w:r w:rsidRPr="448905EB">
        <w:rPr>
          <w:rFonts w:eastAsia="Open Sans"/>
        </w:rPr>
        <w:t>ights Act.</w:t>
      </w:r>
    </w:p>
    <w:p w14:paraId="4A4CFB67" w14:textId="7B4FDFEC" w:rsidR="00813792" w:rsidRDefault="008C38F7" w:rsidP="00752576">
      <w:pPr>
        <w:rPr>
          <w:rFonts w:eastAsia="Open Sans"/>
        </w:rPr>
      </w:pPr>
      <w:r w:rsidRPr="00AB6973">
        <w:rPr>
          <w:rFonts w:eastAsia="Open Sans"/>
        </w:rPr>
        <w:t>COSP is a key opportunity for the international disability community to connect and learn about ways to advance the realisation of the CRPD. This was the first year that National Human Rights Institutions (NHRIs) had independent status in COSP.</w:t>
      </w:r>
    </w:p>
    <w:p w14:paraId="3A79216F" w14:textId="6AAD1D85" w:rsidR="008C38F7" w:rsidRPr="00752576" w:rsidRDefault="008C38F7" w:rsidP="00752576">
      <w:pPr>
        <w:rPr>
          <w:rFonts w:eastAsia="Open Sans"/>
        </w:rPr>
      </w:pPr>
      <w:r w:rsidRPr="00AB6973">
        <w:rPr>
          <w:rFonts w:eastAsia="Open Sans"/>
        </w:rPr>
        <w:t>Participation at COSP ensures the Commission maintains its international standing as a strong NHRI representing human rights in Australia and contributing to human rights advancements globally.</w:t>
      </w:r>
    </w:p>
    <w:p w14:paraId="1D14382E" w14:textId="2BBBFC2D" w:rsidR="008C38F7" w:rsidRPr="00752576" w:rsidRDefault="00A77880" w:rsidP="00A77880">
      <w:pPr>
        <w:spacing w:before="0" w:after="0" w:line="240" w:lineRule="auto"/>
        <w:rPr>
          <w:rFonts w:eastAsia="Open Sans"/>
        </w:rPr>
      </w:pPr>
      <w:r>
        <w:rPr>
          <w:rFonts w:eastAsia="Open Sans"/>
        </w:rPr>
        <w:br w:type="page"/>
      </w:r>
    </w:p>
    <w:tbl>
      <w:tblPr>
        <w:tblStyle w:val="TableGrey"/>
        <w:tblW w:w="9639" w:type="dxa"/>
        <w:shd w:val="clear" w:color="auto" w:fill="DEEAF6" w:themeFill="accent1" w:themeFillTint="33"/>
        <w:tblLayout w:type="fixed"/>
        <w:tblLook w:val="04A0" w:firstRow="1" w:lastRow="0" w:firstColumn="1" w:lastColumn="0" w:noHBand="0" w:noVBand="1"/>
      </w:tblPr>
      <w:tblGrid>
        <w:gridCol w:w="9639"/>
      </w:tblGrid>
      <w:tr w:rsidR="008C38F7" w:rsidRPr="00DC0051" w14:paraId="22FDA38E" w14:textId="77777777" w:rsidTr="00A77880">
        <w:trPr>
          <w:trHeight w:val="1245"/>
        </w:trPr>
        <w:tc>
          <w:tcPr>
            <w:tcW w:w="9639" w:type="dxa"/>
            <w:shd w:val="clear" w:color="auto" w:fill="DEEAF6" w:themeFill="accent1" w:themeFillTint="33"/>
          </w:tcPr>
          <w:p w14:paraId="641C9836" w14:textId="77777777" w:rsidR="008C38F7" w:rsidRDefault="008C38F7" w:rsidP="008C38F7">
            <w:pPr>
              <w:rPr>
                <w:rStyle w:val="Strong"/>
                <w:bCs w:val="0"/>
                <w:color w:val="FFFFFF" w:themeColor="background1"/>
              </w:rPr>
            </w:pPr>
            <w:r w:rsidRPr="001A06BD">
              <w:rPr>
                <w:rStyle w:val="Strong"/>
              </w:rPr>
              <w:t>2.3 The national human rights reform agenda proposed in the</w:t>
            </w:r>
            <w:r w:rsidRPr="448905EB">
              <w:rPr>
                <w:rFonts w:eastAsia="Open Sans" w:cs="Open Sans"/>
              </w:rPr>
              <w:t xml:space="preserve"> </w:t>
            </w:r>
            <w:r w:rsidRPr="00A77880">
              <w:rPr>
                <w:rStyle w:val="IntenseEmphasis"/>
              </w:rPr>
              <w:t>Free and Equal: An Australian conversation on human rights</w:t>
            </w:r>
            <w:r w:rsidRPr="448905EB">
              <w:rPr>
                <w:rFonts w:eastAsia="Open Sans" w:cs="Open Sans"/>
              </w:rPr>
              <w:t xml:space="preserve"> </w:t>
            </w:r>
            <w:r w:rsidRPr="001A06BD">
              <w:rPr>
                <w:rStyle w:val="Strong"/>
              </w:rPr>
              <w:t>report is considered and addressed by the Parliament, government and the non-government sector</w:t>
            </w:r>
          </w:p>
          <w:p w14:paraId="38515383" w14:textId="380847FE" w:rsidR="00A77880" w:rsidRPr="00AB6973" w:rsidRDefault="00A77880" w:rsidP="008C38F7">
            <w:pPr>
              <w:rPr>
                <w:rFonts w:cs="Open Sans"/>
                <w:lang w:val="en-US"/>
              </w:rPr>
            </w:pPr>
            <w:r w:rsidRPr="001A06BD">
              <w:t>The recommendations and actions in the report generate dialogue and receive public support and commitment from the Attorney-General and the non-government sector.</w:t>
            </w:r>
          </w:p>
        </w:tc>
      </w:tr>
    </w:tbl>
    <w:p w14:paraId="662A0ACA" w14:textId="77777777" w:rsidR="008C38F7" w:rsidRPr="00752576" w:rsidRDefault="008C38F7" w:rsidP="00752576">
      <w:pPr>
        <w:rPr>
          <w:rFonts w:eastAsia="Open Sans"/>
        </w:rPr>
      </w:pPr>
    </w:p>
    <w:p w14:paraId="18360871" w14:textId="52978E00" w:rsidR="008C38F7" w:rsidRPr="00752576" w:rsidRDefault="00B7010F" w:rsidP="00752576">
      <w:hyperlink r:id="rId42" w:history="1">
        <w:r w:rsidR="008C38F7" w:rsidRPr="00AB6973">
          <w:rPr>
            <w:rStyle w:val="Hyperlink"/>
            <w:rFonts w:eastAsia="MS Mincho" w:cs="Open Sans"/>
          </w:rPr>
          <w:t>Free &amp; Equal: An Australian Conversation on Human Rights</w:t>
        </w:r>
      </w:hyperlink>
      <w:r w:rsidR="008C38F7" w:rsidRPr="00AB6973">
        <w:t xml:space="preserve"> (Free &amp; Equal) seeks to identify what an effective system of human rights protection for 21st century Australia would look like, and what steps Australia needs to take to get there. Free &amp; Equal began with a national conference opened by the UN High Commissioner for Human Rights and the release of an Issues Paper </w:t>
      </w:r>
      <w:r w:rsidR="00FE2CDA">
        <w:t xml:space="preserve">in </w:t>
      </w:r>
      <w:r w:rsidR="008C38F7" w:rsidRPr="00AB6973">
        <w:t>2019</w:t>
      </w:r>
      <w:r w:rsidR="00FE2CDA">
        <w:t>. The Issues Paper</w:t>
      </w:r>
      <w:r w:rsidR="008C38F7" w:rsidRPr="00AB6973">
        <w:t xml:space="preserve"> describ</w:t>
      </w:r>
      <w:r w:rsidR="00FE2CDA">
        <w:t>ed</w:t>
      </w:r>
      <w:r w:rsidR="008C38F7" w:rsidRPr="00AB6973">
        <w:t xml:space="preserve"> the </w:t>
      </w:r>
      <w:r w:rsidR="00B00CA0">
        <w:t xml:space="preserve">Australia’s </w:t>
      </w:r>
      <w:r w:rsidR="008C38F7" w:rsidRPr="00AB6973">
        <w:t>human rights landscape and ask</w:t>
      </w:r>
      <w:r w:rsidR="00B00CA0">
        <w:t>ed</w:t>
      </w:r>
      <w:r w:rsidR="008C38F7" w:rsidRPr="00AB6973">
        <w:t xml:space="preserve"> questions about </w:t>
      </w:r>
      <w:r w:rsidR="00B00CA0">
        <w:t xml:space="preserve">reform </w:t>
      </w:r>
      <w:r w:rsidR="008C38F7" w:rsidRPr="00AB6973">
        <w:t>priorities</w:t>
      </w:r>
      <w:r w:rsidR="00B00CA0">
        <w:t xml:space="preserve">. </w:t>
      </w:r>
      <w:r w:rsidR="00AB6A17">
        <w:t>T</w:t>
      </w:r>
      <w:r w:rsidR="008C38F7" w:rsidRPr="00AB6973">
        <w:t>hree technical Discussion Papers on discrimination law, advancing the positive framing of human rights in Australian legislation, and accountability mechanisms</w:t>
      </w:r>
      <w:r w:rsidR="00AB6A17">
        <w:t>, followed</w:t>
      </w:r>
      <w:r w:rsidR="008C38F7" w:rsidRPr="00AB6973">
        <w:t>.</w:t>
      </w:r>
    </w:p>
    <w:p w14:paraId="38CC7426" w14:textId="29E02C88" w:rsidR="008C38F7" w:rsidRPr="00B51932" w:rsidRDefault="008C38F7" w:rsidP="00752576">
      <w:r w:rsidRPr="00AB6973">
        <w:rPr>
          <w:lang w:val="en-US"/>
        </w:rPr>
        <w:t xml:space="preserve">In December 2022, the Commission released the second position paper in Free &amp; Equal, </w:t>
      </w:r>
      <w:r w:rsidRPr="00BF0C5B">
        <w:rPr>
          <w:rStyle w:val="Emphasis"/>
        </w:rPr>
        <w:t>A Human Rights Act for Australia</w:t>
      </w:r>
      <w:r w:rsidRPr="00AB6973">
        <w:rPr>
          <w:lang w:val="en-US"/>
        </w:rPr>
        <w:t>,</w:t>
      </w:r>
      <w:r w:rsidRPr="00B51932">
        <w:t xml:space="preserve"> </w:t>
      </w:r>
      <w:r w:rsidRPr="00AB6973">
        <w:rPr>
          <w:lang w:val="en-US"/>
        </w:rPr>
        <w:t>which proposes a model for a national Human Rights Act, how it might function and what it could achieve</w:t>
      </w:r>
      <w:r w:rsidRPr="00B51932">
        <w:t>. The Commission’s proposed model would create legal protections for the human rights of all Australians, and ways to seek justice if people’s rights are breached.</w:t>
      </w:r>
      <w:r w:rsidR="00B51932">
        <w:t xml:space="preserve"> I</w:t>
      </w:r>
      <w:r w:rsidRPr="00B51932">
        <w:t>t would increase the responsibility that governments have to consider how their laws, policies, and actions might affect people’s human rights. It would also provide options for people to challenge decisions that breach their human rights, and opportunities to go to court if their issues can’t be resolved through conciliation.</w:t>
      </w:r>
    </w:p>
    <w:p w14:paraId="44CF3FB8" w14:textId="2112F230" w:rsidR="008C38F7" w:rsidRPr="00AB6973" w:rsidRDefault="008C38F7" w:rsidP="00752576">
      <w:pPr>
        <w:rPr>
          <w:rStyle w:val="eop"/>
          <w:rFonts w:cs="Open Sans"/>
        </w:rPr>
      </w:pPr>
      <w:r w:rsidRPr="00AB6973">
        <w:rPr>
          <w:lang w:val="en-US"/>
        </w:rPr>
        <w:t>In March 2023, the Attorney-General referred to the Parliamentary Joint Committee on Human Rights an inquiry into Australia’s Human Rights Framework,</w:t>
      </w:r>
      <w:r w:rsidR="00737159">
        <w:rPr>
          <w:lang w:val="en-US"/>
        </w:rPr>
        <w:t xml:space="preserve"> which has focused substantially on the Commission’s position paper</w:t>
      </w:r>
      <w:r w:rsidRPr="00AB6973">
        <w:rPr>
          <w:lang w:val="en-US"/>
        </w:rPr>
        <w:t>.</w:t>
      </w:r>
    </w:p>
    <w:p w14:paraId="5E3F269C" w14:textId="34A37645" w:rsidR="00FE40DD" w:rsidRPr="00B51932" w:rsidRDefault="008C38F7" w:rsidP="00B51932">
      <w:pPr>
        <w:rPr>
          <w:rFonts w:eastAsiaTheme="majorEastAsia"/>
        </w:rPr>
      </w:pPr>
      <w:r w:rsidRPr="00B51932">
        <w:rPr>
          <w:rFonts w:eastAsiaTheme="majorEastAsia"/>
        </w:rPr>
        <w:t>In May, the Commission lodged its first submission</w:t>
      </w:r>
      <w:r w:rsidR="00B42A3A" w:rsidRPr="00B51932">
        <w:rPr>
          <w:rFonts w:eastAsiaTheme="majorEastAsia"/>
        </w:rPr>
        <w:t xml:space="preserve">, </w:t>
      </w:r>
      <w:r w:rsidR="00FE40DD" w:rsidRPr="00B51932">
        <w:rPr>
          <w:rFonts w:eastAsiaTheme="majorEastAsia"/>
        </w:rPr>
        <w:t>providing</w:t>
      </w:r>
      <w:r w:rsidRPr="00B51932">
        <w:rPr>
          <w:rFonts w:eastAsiaTheme="majorEastAsia"/>
        </w:rPr>
        <w:t xml:space="preserve"> an analysis of the current framework, recommendations on what a national human rights framework should look like</w:t>
      </w:r>
      <w:r w:rsidR="00FE40DD" w:rsidRPr="00B51932">
        <w:rPr>
          <w:rFonts w:eastAsiaTheme="majorEastAsia"/>
        </w:rPr>
        <w:t>,</w:t>
      </w:r>
      <w:r w:rsidRPr="00B51932">
        <w:rPr>
          <w:rFonts w:eastAsiaTheme="majorEastAsia"/>
        </w:rPr>
        <w:t xml:space="preserve"> and a summary of the Commission’s two Position Papers from the Free and Equal project – </w:t>
      </w:r>
      <w:r w:rsidRPr="00752576">
        <w:rPr>
          <w:rStyle w:val="Emphasis"/>
          <w:rFonts w:eastAsiaTheme="majorEastAsia"/>
        </w:rPr>
        <w:t>A Human Rights Act for Australia and A Reform Agenda for Federal Discrimination Law Reform</w:t>
      </w:r>
      <w:r w:rsidRPr="00B51932">
        <w:rPr>
          <w:rFonts w:eastAsiaTheme="majorEastAsia"/>
        </w:rPr>
        <w:t xml:space="preserve">. The President, Senior Policy Executive and Deputy General Counsel then appeared before the </w:t>
      </w:r>
      <w:r w:rsidR="000B78D3" w:rsidRPr="00B51932">
        <w:rPr>
          <w:rFonts w:eastAsiaTheme="majorEastAsia"/>
        </w:rPr>
        <w:t>parliamentary c</w:t>
      </w:r>
      <w:r w:rsidRPr="00B51932">
        <w:rPr>
          <w:rFonts w:eastAsiaTheme="majorEastAsia"/>
        </w:rPr>
        <w:t xml:space="preserve">ommittee. </w:t>
      </w:r>
    </w:p>
    <w:p w14:paraId="7113BF0B" w14:textId="44498AA8" w:rsidR="00FE40DD" w:rsidRDefault="00FE40DD" w:rsidP="00B51932">
      <w:pPr>
        <w:rPr>
          <w:lang w:val="en-GB"/>
        </w:rPr>
      </w:pPr>
      <w:r w:rsidRPr="00AB6973">
        <w:rPr>
          <w:lang w:val="en-GB"/>
        </w:rPr>
        <w:t xml:space="preserve">The Commission will continue socialisation and advocacy of the recommendations and model for a Human Rights Act </w:t>
      </w:r>
      <w:r w:rsidR="00315F41">
        <w:rPr>
          <w:lang w:val="en-GB"/>
        </w:rPr>
        <w:t xml:space="preserve">working </w:t>
      </w:r>
      <w:r w:rsidRPr="00AB6973">
        <w:rPr>
          <w:lang w:val="en-GB"/>
        </w:rPr>
        <w:t>with our human rights partners, civil society and stakeholders.</w:t>
      </w:r>
    </w:p>
    <w:p w14:paraId="71BDA1EA" w14:textId="77777777" w:rsidR="008C0BF9" w:rsidRDefault="008C0BF9" w:rsidP="00B51932">
      <w:pPr>
        <w:rPr>
          <w:lang w:val="en-GB"/>
        </w:rPr>
      </w:pPr>
    </w:p>
    <w:p w14:paraId="388DC3C0" w14:textId="12D64034" w:rsidR="0098078A" w:rsidRPr="00752576" w:rsidRDefault="002A7AF8" w:rsidP="00752576">
      <w:pPr>
        <w:pStyle w:val="Heading6"/>
      </w:pPr>
      <w:r w:rsidRPr="00752576">
        <w:t>Outcome 3: Better understanding of, and respect for, human rights so people and communities take action to defend human rights in their own context</w:t>
      </w:r>
    </w:p>
    <w:tbl>
      <w:tblPr>
        <w:tblStyle w:val="TableGrey"/>
        <w:tblW w:w="9120" w:type="dxa"/>
        <w:shd w:val="clear" w:color="auto" w:fill="DEEAF6" w:themeFill="accent1" w:themeFillTint="33"/>
        <w:tblLook w:val="04A0" w:firstRow="1" w:lastRow="0" w:firstColumn="1" w:lastColumn="0" w:noHBand="0" w:noVBand="1"/>
      </w:tblPr>
      <w:tblGrid>
        <w:gridCol w:w="9120"/>
      </w:tblGrid>
      <w:tr w:rsidR="002A7AF8" w:rsidRPr="00DC0051" w14:paraId="7A11F65C" w14:textId="77777777" w:rsidTr="00A77880">
        <w:trPr>
          <w:trHeight w:val="1245"/>
        </w:trPr>
        <w:tc>
          <w:tcPr>
            <w:tcW w:w="9120" w:type="dxa"/>
            <w:shd w:val="clear" w:color="auto" w:fill="DEEAF6" w:themeFill="accent1" w:themeFillTint="33"/>
            <w:hideMark/>
          </w:tcPr>
          <w:p w14:paraId="0CA4F245" w14:textId="77777777" w:rsidR="002A7AF8" w:rsidRDefault="002A7AF8" w:rsidP="00B51932">
            <w:pPr>
              <w:divId w:val="962077415"/>
              <w:rPr>
                <w:rStyle w:val="Strong"/>
                <w:bCs w:val="0"/>
                <w:color w:val="FFFFFF" w:themeColor="background1"/>
              </w:rPr>
            </w:pPr>
            <w:r w:rsidRPr="00B51932">
              <w:rPr>
                <w:rStyle w:val="Strong"/>
              </w:rPr>
              <w:t>3.1 Our education activities increase capability among individuals, communities and organisations to promote and protect human rights and address discrimination</w:t>
            </w:r>
          </w:p>
          <w:p w14:paraId="2EEEE82E" w14:textId="77777777" w:rsidR="00A77880" w:rsidRPr="00AB6973" w:rsidRDefault="00A77880" w:rsidP="00A77880">
            <w:pPr>
              <w:divId w:val="962077415"/>
            </w:pPr>
            <w:r w:rsidRPr="00AB6973">
              <w:rPr>
                <w:lang w:val="en-US"/>
              </w:rPr>
              <w:t>Most participants in our adult training programs report:</w:t>
            </w:r>
          </w:p>
          <w:p w14:paraId="1E4DFF82" w14:textId="77777777" w:rsidR="00A77880" w:rsidRPr="00AB6973" w:rsidRDefault="00A77880" w:rsidP="00A77880">
            <w:pPr>
              <w:pStyle w:val="ListBullet"/>
              <w:ind w:left="1211"/>
              <w:divId w:val="962077415"/>
            </w:pPr>
            <w:r w:rsidRPr="00AB6973">
              <w:rPr>
                <w:lang w:val="en-US"/>
              </w:rPr>
              <w:t>satisfaction with the quality and relevance of the training</w:t>
            </w:r>
          </w:p>
          <w:p w14:paraId="314FED0D" w14:textId="77777777" w:rsidR="00A77880" w:rsidRPr="00752576" w:rsidRDefault="00A77880" w:rsidP="00A77880">
            <w:pPr>
              <w:pStyle w:val="ListBullet"/>
              <w:ind w:left="1211"/>
              <w:divId w:val="962077415"/>
            </w:pPr>
            <w:r w:rsidRPr="00AB6973">
              <w:rPr>
                <w:lang w:val="en-US"/>
              </w:rPr>
              <w:t>increased understanding, expertise, reframed attitudes.</w:t>
            </w:r>
          </w:p>
          <w:p w14:paraId="54E1EB6F" w14:textId="6245E8DB" w:rsidR="00A77880" w:rsidRPr="00B51932" w:rsidRDefault="00A77880" w:rsidP="00A77880">
            <w:pPr>
              <w:divId w:val="962077415"/>
              <w:rPr>
                <w:rStyle w:val="Strong"/>
              </w:rPr>
            </w:pPr>
            <w:r w:rsidRPr="00AB6973">
              <w:rPr>
                <w:lang w:val="en-US"/>
              </w:rPr>
              <w:t>Instances of organisations working with the Commission to develop human</w:t>
            </w:r>
            <w:r>
              <w:rPr>
                <w:lang w:val="en-US"/>
              </w:rPr>
              <w:t xml:space="preserve"> </w:t>
            </w:r>
            <w:r w:rsidRPr="00AB6973">
              <w:rPr>
                <w:lang w:val="en-US"/>
              </w:rPr>
              <w:t>rights education/ training activities.</w:t>
            </w:r>
          </w:p>
        </w:tc>
      </w:tr>
    </w:tbl>
    <w:p w14:paraId="15E5F2E3" w14:textId="2B0B8BFD" w:rsidR="002A7AF8" w:rsidRDefault="002A7AF8" w:rsidP="002A7AF8">
      <w:pPr>
        <w:textAlignment w:val="baseline"/>
        <w:rPr>
          <w:rFonts w:cs="Open Sans"/>
        </w:rPr>
      </w:pPr>
    </w:p>
    <w:p w14:paraId="131FEAFA" w14:textId="19637057" w:rsidR="00ED4A7D" w:rsidRDefault="002A7AF8" w:rsidP="00B97704">
      <w:pPr>
        <w:pStyle w:val="Heading4"/>
      </w:pPr>
      <w:r>
        <w:t>Results</w:t>
      </w:r>
    </w:p>
    <w:p w14:paraId="579F3B84" w14:textId="0DCBF092" w:rsidR="00ED4A7D" w:rsidRDefault="00670906" w:rsidP="00752576">
      <w:r>
        <w:rPr>
          <w:noProof/>
        </w:rPr>
        <w:drawing>
          <wp:inline distT="0" distB="0" distL="0" distR="0" wp14:anchorId="63D8D3F3" wp14:editId="4333F605">
            <wp:extent cx="6330315" cy="4168775"/>
            <wp:effectExtent l="0" t="0" r="0" b="0"/>
            <wp:docPr id="1502203749" name="Picture 1502203749" descr="E-LEARNING AND TRAINING SESSIONS&#10;&#10;94% of e-learning participants surveyed either agreed (60%) or tended to agree (34%) that they benefited from the course, with only 7% either disagreeing (2%) or tending to disagree (4%) with that statement. &#10;&#10;2,125 individuals completed the survey.&#10;&#10;48 training sessions were held either face-to-face or online in real-time with 1,009 participants across 38 workplaces.&#10;&#10;Training was delivered by the Workplace and Community Education Team, Information, Conciliation and Complaints Service, Age Discrimination Team and Race Discrimination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203749" name="Immagine 8" descr="E-LEARNING AND TRAINING SESSIONS&#10;&#10;94% of e-learning participants surveyed either agreed (60%) or tended to agree (34%) that they benefited from the course, with only 7% either disagreeing (2%) or tending to disagree (4%) with that statement. &#10;&#10;2,125 individuals completed the survey.&#10;&#10;48 training sessions were held either face-to-face or online in real-time with 1,009 participants across 38 workplaces.&#10;&#10;Training was delivered by the Workplace and Community Education Team, Information, Conciliation and Complaints Service, Age Discrimination Team and Race Discrimination Team."/>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330315" cy="4168775"/>
                    </a:xfrm>
                    <a:prstGeom prst="rect">
                      <a:avLst/>
                    </a:prstGeom>
                  </pic:spPr>
                </pic:pic>
              </a:graphicData>
            </a:graphic>
          </wp:inline>
        </w:drawing>
      </w:r>
    </w:p>
    <w:p w14:paraId="1880AFBB" w14:textId="77777777" w:rsidR="00ED4A7D" w:rsidRPr="00752576" w:rsidRDefault="00ED4A7D" w:rsidP="00752576"/>
    <w:p w14:paraId="0BFFC103" w14:textId="291D2A0E" w:rsidR="009B2835" w:rsidRPr="00DB33F3" w:rsidRDefault="002A7AF8" w:rsidP="00752576">
      <w:r w:rsidRPr="00AB6973">
        <w:t xml:space="preserve">In the 2022–2023 financial year, the </w:t>
      </w:r>
      <w:r w:rsidR="009B2835">
        <w:t>Commission</w:t>
      </w:r>
      <w:r w:rsidR="009B2835" w:rsidRPr="00AB6973">
        <w:t xml:space="preserve"> </w:t>
      </w:r>
      <w:r w:rsidRPr="00AB6973">
        <w:t xml:space="preserve">developed and delivered workplace training packages on topics including </w:t>
      </w:r>
      <w:r w:rsidRPr="00752576">
        <w:rPr>
          <w:rStyle w:val="Emphasis"/>
        </w:rPr>
        <w:t>Contact Officer training, Addressing workplace sexual harassment, and Upholding the rights of people with disability</w:t>
      </w:r>
      <w:r w:rsidRPr="00AB6973">
        <w:t>. Client agencies included Commonwealth, state, and local government agencies, as well as educational and corporate agencies. We had repeat business from a number of satisfied clients.</w:t>
      </w:r>
    </w:p>
    <w:p w14:paraId="3F98D51E" w14:textId="60BAA0E8" w:rsidR="009B2835" w:rsidRPr="00B51932" w:rsidRDefault="002A7AF8" w:rsidP="00752576">
      <w:r w:rsidRPr="00DB33F3">
        <w:t xml:space="preserve">The Workplace and Community Education </w:t>
      </w:r>
      <w:r w:rsidR="0091501B" w:rsidRPr="00DB33F3">
        <w:t>T</w:t>
      </w:r>
      <w:r w:rsidRPr="00DB33F3">
        <w:t xml:space="preserve">eam also developed and launched </w:t>
      </w:r>
      <w:r w:rsidR="007901DD" w:rsidRPr="00DB33F3">
        <w:t>three</w:t>
      </w:r>
      <w:r w:rsidRPr="00DB33F3">
        <w:t xml:space="preserve"> e-learning</w:t>
      </w:r>
      <w:r w:rsidRPr="00B51932">
        <w:t xml:space="preserve"> modules on </w:t>
      </w:r>
      <w:r w:rsidRPr="00752576">
        <w:rPr>
          <w:rStyle w:val="Emphasis"/>
        </w:rPr>
        <w:t>Appropriate workplace behaviour, Anti-racism, and Understanding workplace sexual harassment</w:t>
      </w:r>
      <w:r w:rsidRPr="00B51932">
        <w:t>.</w:t>
      </w:r>
    </w:p>
    <w:p w14:paraId="64FD4210" w14:textId="1A7EF750" w:rsidR="002A7AF8" w:rsidRPr="00B51932" w:rsidRDefault="002A7AF8" w:rsidP="00B51932">
      <w:r w:rsidRPr="00B51932">
        <w:t>Demand for e-</w:t>
      </w:r>
      <w:r w:rsidR="00DB33F3" w:rsidRPr="00B51932">
        <w:t>lea</w:t>
      </w:r>
      <w:r w:rsidR="005E4BCD" w:rsidRPr="00B51932">
        <w:t>rning</w:t>
      </w:r>
      <w:r w:rsidRPr="00B51932">
        <w:t xml:space="preserve"> was high: over 8000 e-</w:t>
      </w:r>
      <w:r w:rsidR="00DB33F3" w:rsidRPr="00B51932">
        <w:t>lea</w:t>
      </w:r>
      <w:r w:rsidR="005E4BCD" w:rsidRPr="00B51932">
        <w:t>rning</w:t>
      </w:r>
      <w:r w:rsidRPr="00B51932">
        <w:t xml:space="preserve"> places were purchased in 2022</w:t>
      </w:r>
      <w:r w:rsidR="00752576" w:rsidRPr="00B51932">
        <w:t>–</w:t>
      </w:r>
      <w:r w:rsidRPr="00B51932">
        <w:t>23.</w:t>
      </w:r>
    </w:p>
    <w:p w14:paraId="7D0DED14" w14:textId="043933D9" w:rsidR="009B2835" w:rsidRPr="00B51932" w:rsidRDefault="002A7AF8" w:rsidP="00B51932">
      <w:r w:rsidRPr="00B51932">
        <w:t xml:space="preserve">As well as delivering standard </w:t>
      </w:r>
      <w:r w:rsidRPr="00DB33F3">
        <w:t xml:space="preserve">workshops and e-learning courses, the Workplace and Community Education </w:t>
      </w:r>
      <w:r w:rsidR="0091501B" w:rsidRPr="00DB33F3">
        <w:t>T</w:t>
      </w:r>
      <w:r w:rsidRPr="00DB33F3">
        <w:t>eam partnered with a number of state government agencies to develop tailored content to meet their specific needs. This in</w:t>
      </w:r>
      <w:r w:rsidR="00961927" w:rsidRPr="00DB33F3">
        <w:t>volved</w:t>
      </w:r>
      <w:r w:rsidRPr="00DB33F3">
        <w:t xml:space="preserve"> tailoring the case studies and imagery of e-learning and workshop packages, including for staff with limited English reading proficiency. The team developed an industry-specific e-learning</w:t>
      </w:r>
      <w:r w:rsidRPr="00B51932">
        <w:t xml:space="preserve"> module (</w:t>
      </w:r>
      <w:r w:rsidRPr="00752576">
        <w:rPr>
          <w:rStyle w:val="Emphasis"/>
        </w:rPr>
        <w:t>Understanding and addressing workplace sexual harassment for retail and hospitality managers</w:t>
      </w:r>
      <w:r w:rsidRPr="00B51932">
        <w:t>), and deliver</w:t>
      </w:r>
      <w:r w:rsidR="00517D64" w:rsidRPr="00B51932">
        <w:t>ed</w:t>
      </w:r>
      <w:r w:rsidRPr="00B51932">
        <w:t xml:space="preserve"> a train-the-trainer package.</w:t>
      </w:r>
    </w:p>
    <w:p w14:paraId="3B85F203" w14:textId="39C5DB7E" w:rsidR="002A7AF8" w:rsidRPr="00752576" w:rsidRDefault="007A0C7F" w:rsidP="00752576">
      <w:r w:rsidRPr="00752576">
        <w:t>Throughout the year,</w:t>
      </w:r>
      <w:r w:rsidR="002A7AF8" w:rsidRPr="00752576">
        <w:t xml:space="preserve"> training content </w:t>
      </w:r>
      <w:r w:rsidR="00830EDC" w:rsidRPr="00752576">
        <w:t>w</w:t>
      </w:r>
      <w:r w:rsidR="002A7AF8" w:rsidRPr="00752576">
        <w:t xml:space="preserve">as eagerly demanded by Australian workplaces. Despite very limited core funding for these educational activities, through course fees the team has been able to grow and </w:t>
      </w:r>
      <w:r w:rsidR="00D7351B" w:rsidRPr="00752576">
        <w:t>will expand</w:t>
      </w:r>
      <w:r w:rsidR="002A7AF8" w:rsidRPr="00752576">
        <w:t xml:space="preserve"> further in 2023–24.</w:t>
      </w:r>
    </w:p>
    <w:p w14:paraId="5CDDF7B1" w14:textId="591161F3" w:rsidR="002A7AF8" w:rsidRPr="00AB6973" w:rsidRDefault="002A7AF8" w:rsidP="00B10B1C"/>
    <w:tbl>
      <w:tblPr>
        <w:tblStyle w:val="TableGrey"/>
        <w:tblW w:w="5000" w:type="pct"/>
        <w:shd w:val="clear" w:color="auto" w:fill="DEEAF6" w:themeFill="accent1" w:themeFillTint="33"/>
        <w:tblLook w:val="04A0" w:firstRow="1" w:lastRow="0" w:firstColumn="1" w:lastColumn="0" w:noHBand="0" w:noVBand="1"/>
      </w:tblPr>
      <w:tblGrid>
        <w:gridCol w:w="9969"/>
      </w:tblGrid>
      <w:tr w:rsidR="002A7AF8" w:rsidRPr="00DC0051" w14:paraId="62AF6C58" w14:textId="77777777" w:rsidTr="00A77880">
        <w:trPr>
          <w:trHeight w:val="1245"/>
        </w:trPr>
        <w:tc>
          <w:tcPr>
            <w:tcW w:w="5000" w:type="pct"/>
            <w:shd w:val="clear" w:color="auto" w:fill="DEEAF6" w:themeFill="accent1" w:themeFillTint="33"/>
            <w:hideMark/>
          </w:tcPr>
          <w:p w14:paraId="5050281A" w14:textId="77777777" w:rsidR="002A7AF8" w:rsidRDefault="002A7AF8" w:rsidP="00B51932">
            <w:pPr>
              <w:divId w:val="1728605901"/>
              <w:rPr>
                <w:rStyle w:val="Strong"/>
                <w:bCs w:val="0"/>
                <w:color w:val="FFFFFF" w:themeColor="background1"/>
              </w:rPr>
            </w:pPr>
            <w:r w:rsidRPr="00B51932">
              <w:rPr>
                <w:rStyle w:val="Strong"/>
              </w:rPr>
              <w:t>3.2 Our information resources, services, events and campaigns reach, inform</w:t>
            </w:r>
            <w:r w:rsidR="419F1E7F" w:rsidRPr="00B51932">
              <w:rPr>
                <w:rStyle w:val="Strong"/>
              </w:rPr>
              <w:t xml:space="preserve"> </w:t>
            </w:r>
            <w:r w:rsidRPr="00B51932">
              <w:rPr>
                <w:rStyle w:val="Strong"/>
              </w:rPr>
              <w:t>and influence users and audiences</w:t>
            </w:r>
          </w:p>
          <w:p w14:paraId="2E1F5D64" w14:textId="77777777" w:rsidR="00A77880" w:rsidRPr="00B51932" w:rsidRDefault="00A77880" w:rsidP="00A77880">
            <w:pPr>
              <w:divId w:val="1728605901"/>
            </w:pPr>
            <w:r w:rsidRPr="00B51932">
              <w:t>Targeted audiences are reached, access our information resources and services, and participate in our events and campaigns.</w:t>
            </w:r>
          </w:p>
          <w:p w14:paraId="044E870B" w14:textId="77777777" w:rsidR="00A77880" w:rsidRPr="00B51932" w:rsidRDefault="00A77880" w:rsidP="00A77880">
            <w:pPr>
              <w:pStyle w:val="ListBullet"/>
              <w:divId w:val="1728605901"/>
            </w:pPr>
            <w:r w:rsidRPr="00B51932">
              <w:t xml:space="preserve">an average </w:t>
            </w:r>
            <w:r w:rsidRPr="00A77880">
              <w:t>engagement</w:t>
            </w:r>
            <w:r w:rsidRPr="00B51932">
              <w:t xml:space="preserve"> rate of 2% or higher for Commission social media posts about our education and information activities</w:t>
            </w:r>
          </w:p>
          <w:p w14:paraId="4A741751" w14:textId="539F6FEF" w:rsidR="00A77880" w:rsidRPr="00B51932" w:rsidRDefault="00A77880" w:rsidP="00A77880">
            <w:pPr>
              <w:pStyle w:val="ListBullet"/>
              <w:divId w:val="1728605901"/>
              <w:rPr>
                <w:rStyle w:val="Strong"/>
              </w:rPr>
            </w:pPr>
            <w:r w:rsidRPr="00B51932">
              <w:t>high rates</w:t>
            </w:r>
            <w:r w:rsidRPr="00AB6973">
              <w:rPr>
                <w:lang w:val="en-US"/>
              </w:rPr>
              <w:t xml:space="preserve"> of participants find our events and campaigns engaging and relevant.</w:t>
            </w:r>
          </w:p>
        </w:tc>
      </w:tr>
    </w:tbl>
    <w:p w14:paraId="2025AA1D" w14:textId="77777777" w:rsidR="00AC3CE0" w:rsidRDefault="00AC3CE0" w:rsidP="00B10B1C">
      <w:pPr>
        <w:rPr>
          <w:rFonts w:eastAsia="Open Sans"/>
        </w:rPr>
      </w:pPr>
    </w:p>
    <w:p w14:paraId="56E275AD" w14:textId="48C9528D" w:rsidR="008C0BF9" w:rsidRDefault="008C0BF9" w:rsidP="008C0BF9">
      <w:pPr>
        <w:spacing w:before="0" w:after="0" w:line="240" w:lineRule="auto"/>
        <w:rPr>
          <w:rFonts w:eastAsia="Open Sans"/>
        </w:rPr>
      </w:pPr>
      <w:r>
        <w:rPr>
          <w:rFonts w:eastAsia="Open Sans"/>
        </w:rPr>
        <w:br w:type="page"/>
      </w:r>
    </w:p>
    <w:p w14:paraId="3AB159E3" w14:textId="1683AE0B" w:rsidR="00AC3CE0" w:rsidRDefault="5A00F15D" w:rsidP="00B97704">
      <w:pPr>
        <w:pStyle w:val="Heading4"/>
      </w:pPr>
      <w:r w:rsidRPr="52029089">
        <w:t>Results</w:t>
      </w:r>
    </w:p>
    <w:p w14:paraId="408D78C5" w14:textId="0E5F051F" w:rsidR="00CA0436" w:rsidRPr="00E15A7A" w:rsidRDefault="00CA0436" w:rsidP="00E15A7A">
      <w:pPr>
        <w:rPr>
          <w:rFonts w:eastAsia="Open Sans"/>
        </w:rPr>
      </w:pPr>
      <w:r>
        <w:rPr>
          <w:rFonts w:eastAsia="Open Sans"/>
          <w:noProof/>
        </w:rPr>
        <w:drawing>
          <wp:inline distT="0" distB="0" distL="0" distR="0" wp14:anchorId="506477A6" wp14:editId="3DAA1A7F">
            <wp:extent cx="6330315" cy="3785870"/>
            <wp:effectExtent l="0" t="0" r="0" b="0"/>
            <wp:docPr id="739432280" name="Picture 739432280" descr="SOCIAL MEDIA ENGAGEMENT&#10;&#10;Our average social media engagement rate for the period 1 July 2022 to 30 June was 4.4%.&#10;&#10;This included:&#10;&#10;Facebook 4.17%&#10;Twitter 2.6%&#10;Linkedin 5.06%&#10;Instagram 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432280" name="Immagine 4" descr="SOCIAL MEDIA ENGAGEMENT&#10;&#10;Our average social media engagement rate for the period 1 July 2022 to 30 June was 4.4%.&#10;&#10;This included:&#10;&#10;Facebook 4.17%&#10;Twitter 2.6%&#10;Linkedin 5.06%&#10;Instagram 5.9%&#1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330315" cy="3785870"/>
                    </a:xfrm>
                    <a:prstGeom prst="rect">
                      <a:avLst/>
                    </a:prstGeom>
                  </pic:spPr>
                </pic:pic>
              </a:graphicData>
            </a:graphic>
          </wp:inline>
        </w:drawing>
      </w:r>
    </w:p>
    <w:p w14:paraId="7A88F719" w14:textId="14896A04" w:rsidR="00E15A7A" w:rsidRDefault="003619EB" w:rsidP="00E15A7A">
      <w:r>
        <w:rPr>
          <w:noProof/>
        </w:rPr>
        <w:drawing>
          <wp:inline distT="0" distB="0" distL="0" distR="0" wp14:anchorId="76B4DE23" wp14:editId="70482F42">
            <wp:extent cx="6330315" cy="4199255"/>
            <wp:effectExtent l="0" t="0" r="0" b="4445"/>
            <wp:docPr id="189210784" name="Picture 189210784" descr="DIGITAL ENGAGEMENT&#10;&#10;66 YouTube videos&#10;8,390 YouTube subscribers &#10;6,814,732 Website visits &#10;10,882,830 Website pageviews&#10;110,609 Facebook followers (Commission only)&#10;107,009 Twitter followers (Combined Commission/Commission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10784" name="Immagine 11" descr="DIGITAL ENGAGEMENT&#10;&#10;66 YouTube videos&#10;8,390 YouTube subscribers &#10;6,814,732 Website visits &#10;10,882,830 Website pageviews&#10;110,609 Facebook followers (Commission only)&#10;107,009 Twitter followers (Combined Commission/Commissioner)&#1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330315" cy="4199255"/>
                    </a:xfrm>
                    <a:prstGeom prst="rect">
                      <a:avLst/>
                    </a:prstGeom>
                  </pic:spPr>
                </pic:pic>
              </a:graphicData>
            </a:graphic>
          </wp:inline>
        </w:drawing>
      </w:r>
    </w:p>
    <w:p w14:paraId="63F315B4" w14:textId="77777777" w:rsidR="000D0FEF" w:rsidRPr="00E15A7A" w:rsidRDefault="000D0FEF" w:rsidP="00E15A7A"/>
    <w:p w14:paraId="54DB2273" w14:textId="42816EEB" w:rsidR="00D565FE" w:rsidRDefault="00D565FE" w:rsidP="00B10B1C">
      <w:pPr>
        <w:pStyle w:val="Heading5"/>
      </w:pPr>
      <w:r w:rsidRPr="00CE6E55">
        <w:rPr>
          <w:rStyle w:val="Emphasis"/>
        </w:rPr>
        <w:t>Racism. It Stops with me</w:t>
      </w:r>
      <w:r w:rsidRPr="00AB6973">
        <w:t xml:space="preserve"> </w:t>
      </w:r>
      <w:r w:rsidR="007A0DF4">
        <w:t>–</w:t>
      </w:r>
      <w:r w:rsidRPr="00AB6973">
        <w:t xml:space="preserve"> Campaign Refresh</w:t>
      </w:r>
    </w:p>
    <w:p w14:paraId="75C5747C" w14:textId="77777777" w:rsidR="00D565FE" w:rsidRPr="00D557A7" w:rsidRDefault="00D565FE" w:rsidP="00D565FE">
      <w:pPr>
        <w:rPr>
          <w:rFonts w:eastAsia="Open Sans"/>
        </w:rPr>
      </w:pPr>
      <w:r w:rsidRPr="00D557A7">
        <w:rPr>
          <w:rFonts w:eastAsia="Open Sans"/>
        </w:rPr>
        <w:t xml:space="preserve">In July 2022, the Race Discrimination Team (RDT) launched a new iteration of the </w:t>
      </w:r>
      <w:r w:rsidRPr="00B10B1C">
        <w:rPr>
          <w:rStyle w:val="Emphasis"/>
          <w:rFonts w:eastAsia="Open Sans"/>
        </w:rPr>
        <w:t>Racism. It Stops With Me</w:t>
      </w:r>
      <w:r w:rsidRPr="00D557A7">
        <w:rPr>
          <w:rFonts w:eastAsia="Open Sans"/>
        </w:rPr>
        <w:t xml:space="preserve"> campaign.</w:t>
      </w:r>
    </w:p>
    <w:p w14:paraId="3312A9AA" w14:textId="77777777" w:rsidR="00D565FE" w:rsidRPr="00AB6973" w:rsidRDefault="00D565FE" w:rsidP="00B10B1C">
      <w:pPr>
        <w:rPr>
          <w:rFonts w:eastAsia="Open Sans"/>
        </w:rPr>
      </w:pPr>
      <w:r w:rsidRPr="00AB6973">
        <w:rPr>
          <w:rFonts w:eastAsia="Open Sans"/>
        </w:rPr>
        <w:t>The aim of this refresh was to align the campaign with contemporary conversations on race and racism and support more Australians to strengthen their understanding of, and take action against, racism.</w:t>
      </w:r>
    </w:p>
    <w:p w14:paraId="6948855D" w14:textId="397BEB71" w:rsidR="001A577D" w:rsidRPr="00D557A7" w:rsidRDefault="00D565FE" w:rsidP="00D557A7">
      <w:pPr>
        <w:rPr>
          <w:rFonts w:eastAsia="Open Sans"/>
        </w:rPr>
      </w:pPr>
      <w:r w:rsidRPr="00D557A7">
        <w:rPr>
          <w:rFonts w:eastAsia="Open Sans"/>
        </w:rPr>
        <w:t>In consultations regarding the new campaign, the team heard extensively of the need to address the systemic nature of racism, centre the experiences of First Nations peoples and reflect on intersectional experiences of harm.</w:t>
      </w:r>
    </w:p>
    <w:p w14:paraId="6D824C78" w14:textId="62043261" w:rsidR="00B10B1C" w:rsidRPr="00D557A7" w:rsidRDefault="00D565FE" w:rsidP="00D557A7">
      <w:pPr>
        <w:rPr>
          <w:rFonts w:eastAsia="Open Sans"/>
        </w:rPr>
      </w:pPr>
      <w:r w:rsidRPr="00D557A7">
        <w:rPr>
          <w:rFonts w:eastAsia="Open Sans"/>
        </w:rPr>
        <w:t>The team worked with stakeholders</w:t>
      </w:r>
      <w:r w:rsidR="00474A18" w:rsidRPr="00D557A7">
        <w:rPr>
          <w:rFonts w:eastAsia="Open Sans"/>
        </w:rPr>
        <w:t xml:space="preserve"> and</w:t>
      </w:r>
      <w:r w:rsidRPr="00D557A7">
        <w:rPr>
          <w:rFonts w:eastAsia="Open Sans"/>
        </w:rPr>
        <w:t xml:space="preserve"> consultation participants to ground the campaign in the expertise of First </w:t>
      </w:r>
      <w:r w:rsidR="00265B41" w:rsidRPr="00D557A7">
        <w:rPr>
          <w:rFonts w:eastAsia="Open Sans"/>
        </w:rPr>
        <w:t>N</w:t>
      </w:r>
      <w:r w:rsidRPr="00D557A7">
        <w:rPr>
          <w:rFonts w:eastAsia="Open Sans"/>
        </w:rPr>
        <w:t>ations people and others from negatively racialised communities, who have led anti-racism advocacy in Australia throughout our history.</w:t>
      </w:r>
      <w:r w:rsidR="005E408A" w:rsidRPr="00D557A7">
        <w:rPr>
          <w:rFonts w:eastAsia="Open Sans"/>
        </w:rPr>
        <w:t xml:space="preserve"> Centring their knowledge and perspective was invaluable</w:t>
      </w:r>
      <w:r w:rsidR="00824E0C" w:rsidRPr="00D557A7">
        <w:rPr>
          <w:rFonts w:eastAsia="Open Sans"/>
        </w:rPr>
        <w:t xml:space="preserve"> and enabled</w:t>
      </w:r>
      <w:r w:rsidRPr="00D557A7">
        <w:rPr>
          <w:rFonts w:eastAsia="Open Sans"/>
        </w:rPr>
        <w:t xml:space="preserve"> the team </w:t>
      </w:r>
      <w:r w:rsidR="00824E0C" w:rsidRPr="00D557A7">
        <w:rPr>
          <w:rFonts w:eastAsia="Open Sans"/>
        </w:rPr>
        <w:t xml:space="preserve">to </w:t>
      </w:r>
      <w:r w:rsidRPr="00D557A7">
        <w:rPr>
          <w:rFonts w:eastAsia="Open Sans"/>
        </w:rPr>
        <w:t>produce campaign content that support</w:t>
      </w:r>
      <w:r w:rsidR="00AD7EC4" w:rsidRPr="00D557A7">
        <w:rPr>
          <w:rFonts w:eastAsia="Open Sans"/>
        </w:rPr>
        <w:t>s</w:t>
      </w:r>
      <w:r w:rsidRPr="00D557A7">
        <w:rPr>
          <w:rFonts w:eastAsia="Open Sans"/>
        </w:rPr>
        <w:t xml:space="preserve"> Australians to develop a strengthened understanding of racism.</w:t>
      </w:r>
    </w:p>
    <w:p w14:paraId="62291B95" w14:textId="77777777" w:rsidR="00B10B1C" w:rsidRPr="00B10B1C" w:rsidRDefault="00B10B1C" w:rsidP="00B10B1C">
      <w:pPr>
        <w:rPr>
          <w:rFonts w:eastAsia="Open Sans"/>
        </w:rPr>
      </w:pPr>
    </w:p>
    <w:p w14:paraId="1F6B7130" w14:textId="51C382CB" w:rsidR="00B10B1C" w:rsidRPr="001976EE" w:rsidRDefault="00B10B1C" w:rsidP="00CE6E55">
      <w:pPr>
        <w:pStyle w:val="IntenseQuote"/>
        <w:pBdr>
          <w:left w:val="single" w:sz="36" w:space="10" w:color="4472C4" w:themeColor="accent5"/>
        </w:pBdr>
      </w:pPr>
      <w:r w:rsidRPr="00B10B1C">
        <w:rPr>
          <w:rStyle w:val="Strong"/>
        </w:rPr>
        <w:t>64%</w:t>
      </w:r>
      <w:r w:rsidRPr="001976EE">
        <w:t xml:space="preserve"> of evaluation survey respondents agreed or strongly agreed that the campaign </w:t>
      </w:r>
      <w:r w:rsidRPr="00B10B1C">
        <w:rPr>
          <w:rStyle w:val="Strong"/>
        </w:rPr>
        <w:t>increased their capacity to engage in anti-racism action</w:t>
      </w:r>
      <w:r w:rsidRPr="00B10B1C">
        <w:t>.</w:t>
      </w:r>
    </w:p>
    <w:p w14:paraId="3465B88C" w14:textId="46019D80" w:rsidR="00B10B1C" w:rsidRPr="00E23E77" w:rsidRDefault="00B10B1C" w:rsidP="00CE6E55">
      <w:pPr>
        <w:pStyle w:val="IntenseQuote"/>
        <w:pBdr>
          <w:left w:val="single" w:sz="36" w:space="10" w:color="4472C4" w:themeColor="accent5"/>
        </w:pBdr>
        <w:rPr>
          <w:rStyle w:val="Strong"/>
          <w:rFonts w:eastAsia="Open Sans"/>
        </w:rPr>
      </w:pPr>
      <w:r w:rsidRPr="00D557A7">
        <w:rPr>
          <w:rStyle w:val="Strong"/>
        </w:rPr>
        <w:t>73%</w:t>
      </w:r>
      <w:r w:rsidRPr="001976EE">
        <w:t xml:space="preserve"> of respondents </w:t>
      </w:r>
      <w:r w:rsidRPr="001976EE">
        <w:rPr>
          <w:rFonts w:eastAsia="Open Sans"/>
        </w:rPr>
        <w:t>agreed or strongly agreed with the statement, ‘The Racism. It Stops With Me</w:t>
      </w:r>
      <w:r>
        <w:rPr>
          <w:rFonts w:eastAsia="Open Sans"/>
        </w:rPr>
        <w:t>’</w:t>
      </w:r>
      <w:r w:rsidRPr="001976EE">
        <w:rPr>
          <w:rFonts w:eastAsia="Open Sans"/>
        </w:rPr>
        <w:t xml:space="preserve"> campaign has </w:t>
      </w:r>
      <w:r w:rsidRPr="00B10B1C">
        <w:rPr>
          <w:rStyle w:val="Strong"/>
        </w:rPr>
        <w:t>increased their awareness and understanding of the nature of racism and the different ways it operates</w:t>
      </w:r>
      <w:r w:rsidRPr="00B10B1C">
        <w:t>.</w:t>
      </w:r>
      <w:r w:rsidR="00E23E77" w:rsidRPr="00D557A7">
        <w:t xml:space="preserve"> </w:t>
      </w:r>
      <w:r w:rsidR="00E23E77" w:rsidRPr="00E23E77">
        <w:t>—</w:t>
      </w:r>
      <w:r w:rsidRPr="00B10B1C">
        <w:rPr>
          <w:rStyle w:val="Strong"/>
        </w:rPr>
        <w:t>Supporter Survey Results</w:t>
      </w:r>
    </w:p>
    <w:p w14:paraId="70407D0B" w14:textId="77777777" w:rsidR="00B10B1C" w:rsidRPr="00B10B1C" w:rsidRDefault="00B10B1C" w:rsidP="00B10B1C">
      <w:pPr>
        <w:rPr>
          <w:rFonts w:eastAsia="Open Sans"/>
        </w:rPr>
      </w:pPr>
    </w:p>
    <w:p w14:paraId="43C95F24" w14:textId="77E7D1EE" w:rsidR="00D565FE" w:rsidRPr="00D557A7" w:rsidRDefault="00AD7EC4" w:rsidP="00D557A7">
      <w:pPr>
        <w:rPr>
          <w:rFonts w:eastAsia="Open Sans"/>
        </w:rPr>
      </w:pPr>
      <w:r w:rsidRPr="00D557A7">
        <w:rPr>
          <w:rFonts w:eastAsia="Open Sans"/>
        </w:rPr>
        <w:t>T</w:t>
      </w:r>
      <w:r w:rsidR="00CF1F03" w:rsidRPr="00D557A7">
        <w:rPr>
          <w:rFonts w:eastAsia="Open Sans"/>
        </w:rPr>
        <w:t>he</w:t>
      </w:r>
      <w:r w:rsidR="00D565FE" w:rsidRPr="00D557A7">
        <w:rPr>
          <w:rFonts w:eastAsia="Open Sans"/>
        </w:rPr>
        <w:t xml:space="preserve"> Commission is committed to strengthening relationships with communities and those with lived experience of racism and expertise in effective anti-racism initiatives.</w:t>
      </w:r>
    </w:p>
    <w:p w14:paraId="3D3E0E8B" w14:textId="66FABC58" w:rsidR="00D565FE" w:rsidRPr="00652F63" w:rsidRDefault="00652F63" w:rsidP="00652F63">
      <w:pPr>
        <w:pStyle w:val="Heading4"/>
      </w:pPr>
      <w:r w:rsidRPr="00652F63">
        <w:t>Campaign metrics*</w:t>
      </w:r>
    </w:p>
    <w:p w14:paraId="08A0C949" w14:textId="35B1B24F" w:rsidR="00652F63" w:rsidRDefault="00652F63" w:rsidP="00B10B1C">
      <w:pPr>
        <w:rPr>
          <w:rFonts w:eastAsia="Open Sans"/>
        </w:rPr>
      </w:pPr>
      <w:r>
        <w:rPr>
          <w:rFonts w:eastAsia="Open Sans"/>
          <w:noProof/>
        </w:rPr>
        <w:drawing>
          <wp:inline distT="0" distB="0" distL="0" distR="0" wp14:anchorId="7D125B6F" wp14:editId="0AA6353D">
            <wp:extent cx="6330315" cy="6443980"/>
            <wp:effectExtent l="0" t="0" r="0" b="0"/>
            <wp:docPr id="1614663619" name="Picture 1614663619" descr="RACISM CAMPAIGN METRICS&#10;&#10;2,000+ individuals signed up as campaign supporters&#10;&#10;90+ organisations signed up as campaign supporters&#10;&#10;136 new users of the Workforce Cultural Diversity Tool&#10;&#10;44,450 visits to the new Racism. It Stops with Me website&#10;&#10;2,000 visits to the Resource Hub&#10;&#10;Coverage in 18 newspapers and 5 television programs&#10;&#10;Media coverage on 9 radio stations/podcasts&#10;&#10;*Please note the campaign metrics reflect the first six weeks of the campa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63619" name="Immagine 8" descr="RACISM CAMPAIGN METRICS&#10;&#10;2,000+ individuals signed up as campaign supporters&#10;&#10;90+ organisations signed up as campaign supporters&#10;&#10;136 new users of the Workforce Cultural Diversity Tool&#10;&#10;44,450 visits to the new Racism. It Stops with Me website&#10;&#10;2,000 visits to the Resource Hub&#10;&#10;Coverage in 18 newspapers and 5 television programs&#10;&#10;Media coverage on 9 radio stations/podcasts&#10;&#10;*Please note the campaign metrics reflect the first six weeks of the campaign."/>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330315" cy="6443980"/>
                    </a:xfrm>
                    <a:prstGeom prst="rect">
                      <a:avLst/>
                    </a:prstGeom>
                  </pic:spPr>
                </pic:pic>
              </a:graphicData>
            </a:graphic>
          </wp:inline>
        </w:drawing>
      </w:r>
    </w:p>
    <w:p w14:paraId="691C3399" w14:textId="77777777" w:rsidR="00652F63" w:rsidRDefault="00652F63" w:rsidP="00B10B1C">
      <w:pPr>
        <w:rPr>
          <w:rFonts w:eastAsia="Open Sans"/>
        </w:rPr>
      </w:pPr>
    </w:p>
    <w:p w14:paraId="1226F83F" w14:textId="7C0E419B" w:rsidR="00652F63" w:rsidRDefault="00652F63">
      <w:pPr>
        <w:spacing w:before="0" w:after="0" w:line="240" w:lineRule="auto"/>
        <w:rPr>
          <w:rFonts w:eastAsia="Open Sans"/>
        </w:rPr>
      </w:pPr>
      <w:r>
        <w:rPr>
          <w:rFonts w:eastAsia="Open Sans"/>
        </w:rPr>
        <w:br w:type="page"/>
      </w:r>
    </w:p>
    <w:p w14:paraId="10C0C28A" w14:textId="07DFA0B9" w:rsidR="00D565FE" w:rsidRDefault="00D565FE" w:rsidP="002914B4">
      <w:pPr>
        <w:pStyle w:val="Heading5"/>
      </w:pPr>
      <w:r w:rsidRPr="002914B4">
        <w:t>International</w:t>
      </w:r>
      <w:r w:rsidRPr="00AB6973">
        <w:t xml:space="preserve"> Day for the Elimination of Racial Discrimination factsheet</w:t>
      </w:r>
    </w:p>
    <w:p w14:paraId="403E7688" w14:textId="623917DE" w:rsidR="001D5FDA" w:rsidRPr="003619EB" w:rsidRDefault="00D565FE" w:rsidP="003619EB">
      <w:pPr>
        <w:rPr>
          <w:rFonts w:eastAsia="Open Sans"/>
        </w:rPr>
      </w:pPr>
      <w:r w:rsidRPr="00D557A7">
        <w:rPr>
          <w:rFonts w:eastAsia="Open Sans"/>
        </w:rPr>
        <w:t>In March 2023, the Strategic Communications Team and Race Discrimination Team produced a factsheet and digital and social media amplification kit to provide information on the International Day for the Elimination of Racial Discrimination (IDERD).</w:t>
      </w:r>
    </w:p>
    <w:p w14:paraId="497BEB73" w14:textId="43558F11" w:rsidR="003619EB" w:rsidRPr="00AB6973" w:rsidRDefault="001D5FDA" w:rsidP="001D5FDA">
      <w:pPr>
        <w:jc w:val="center"/>
        <w:rPr>
          <w:rFonts w:eastAsia="Open Sans" w:cs="Open Sans"/>
        </w:rPr>
      </w:pPr>
      <w:r>
        <w:rPr>
          <w:rFonts w:eastAsia="Open Sans" w:cs="Open Sans"/>
          <w:noProof/>
        </w:rPr>
        <w:drawing>
          <wp:inline distT="0" distB="0" distL="0" distR="0" wp14:anchorId="0E52FDD9" wp14:editId="00024068">
            <wp:extent cx="3606800" cy="3695700"/>
            <wp:effectExtent l="0" t="0" r="0" b="0"/>
            <wp:docPr id="1307837852" name="Picture 1307837852" descr="INTERNATIONAL DAY FOR THE ELIMINATION OF RACIAL DISCRIMINATION (IDERD) FACTSHEETS&#10;&#10;Image shows three covers, one in English and two language trans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837852" name="Immagine 13" descr="INTERNATIONAL DAY FOR THE ELIMINATION OF RACIAL DISCRIMINATION (IDERD) FACTSHEETS&#10;&#10;Image shows three covers, one in English and two language translations."/>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06800" cy="3695700"/>
                    </a:xfrm>
                    <a:prstGeom prst="rect">
                      <a:avLst/>
                    </a:prstGeom>
                  </pic:spPr>
                </pic:pic>
              </a:graphicData>
            </a:graphic>
          </wp:inline>
        </w:drawing>
      </w:r>
    </w:p>
    <w:p w14:paraId="1B711E63" w14:textId="66F530F2" w:rsidR="000A390B" w:rsidRPr="00D557A7" w:rsidRDefault="00D565FE" w:rsidP="00D557A7">
      <w:pPr>
        <w:rPr>
          <w:rFonts w:eastAsia="Open Sans"/>
        </w:rPr>
      </w:pPr>
      <w:r w:rsidRPr="00D557A7">
        <w:rPr>
          <w:rFonts w:eastAsia="Open Sans"/>
        </w:rPr>
        <w:t xml:space="preserve">While the RDT creates content for IDERD annually, a key difference this year was the valuable input of </w:t>
      </w:r>
      <w:r w:rsidR="003B6DF6" w:rsidRPr="00D557A7">
        <w:rPr>
          <w:rFonts w:eastAsia="Open Sans"/>
        </w:rPr>
        <w:t xml:space="preserve">the </w:t>
      </w:r>
      <w:r w:rsidRPr="00D557A7">
        <w:rPr>
          <w:rFonts w:eastAsia="Open Sans"/>
        </w:rPr>
        <w:t>Strategic Communications Team.</w:t>
      </w:r>
    </w:p>
    <w:p w14:paraId="16E6ED37" w14:textId="6763A5F4" w:rsidR="00D952AA" w:rsidRPr="00D557A7" w:rsidRDefault="004765BD" w:rsidP="00D557A7">
      <w:pPr>
        <w:rPr>
          <w:rFonts w:eastAsia="Open Sans"/>
        </w:rPr>
      </w:pPr>
      <w:r w:rsidRPr="00D557A7">
        <w:rPr>
          <w:rFonts w:eastAsia="Open Sans"/>
        </w:rPr>
        <w:t>Additional</w:t>
      </w:r>
      <w:r w:rsidR="00D565FE" w:rsidRPr="00D557A7">
        <w:rPr>
          <w:rFonts w:eastAsia="Open Sans"/>
        </w:rPr>
        <w:t xml:space="preserve"> time and resourcing allowed the Commission to produce targeted messaging on the history and significance of IDERD </w:t>
      </w:r>
      <w:r w:rsidR="00CB141A" w:rsidRPr="00D557A7">
        <w:rPr>
          <w:rFonts w:eastAsia="Open Sans"/>
        </w:rPr>
        <w:t xml:space="preserve">and </w:t>
      </w:r>
      <w:r w:rsidR="00D565FE" w:rsidRPr="00D557A7">
        <w:rPr>
          <w:rFonts w:eastAsia="Open Sans"/>
        </w:rPr>
        <w:t>the harms associated with the rebranding of IDERD as ‘Harmony Day’</w:t>
      </w:r>
      <w:r w:rsidR="00805FC8" w:rsidRPr="00D557A7">
        <w:rPr>
          <w:rFonts w:eastAsia="Open Sans"/>
        </w:rPr>
        <w:t>. This was provided</w:t>
      </w:r>
      <w:r w:rsidR="00D565FE" w:rsidRPr="00D557A7">
        <w:rPr>
          <w:rFonts w:eastAsia="Open Sans"/>
        </w:rPr>
        <w:t xml:space="preserve"> </w:t>
      </w:r>
      <w:r w:rsidR="003C11D3" w:rsidRPr="00D557A7">
        <w:rPr>
          <w:rFonts w:eastAsia="Open Sans"/>
        </w:rPr>
        <w:t>to</w:t>
      </w:r>
      <w:r w:rsidR="00D565FE" w:rsidRPr="00D557A7">
        <w:rPr>
          <w:rFonts w:eastAsia="Open Sans"/>
        </w:rPr>
        <w:t xml:space="preserve"> stakeholders and supporters to </w:t>
      </w:r>
      <w:r w:rsidR="003C11D3" w:rsidRPr="00D557A7">
        <w:rPr>
          <w:rFonts w:eastAsia="Open Sans"/>
        </w:rPr>
        <w:t xml:space="preserve">help them </w:t>
      </w:r>
      <w:r w:rsidR="00D565FE" w:rsidRPr="00D557A7">
        <w:rPr>
          <w:rFonts w:eastAsia="Open Sans"/>
        </w:rPr>
        <w:t>promote anti-racist action.</w:t>
      </w:r>
    </w:p>
    <w:p w14:paraId="1C9C8188" w14:textId="74E26D03" w:rsidR="00D952AA" w:rsidRPr="00D557A7" w:rsidRDefault="005A2CCC" w:rsidP="00D557A7">
      <w:pPr>
        <w:rPr>
          <w:rFonts w:eastAsia="Open Sans"/>
        </w:rPr>
      </w:pPr>
      <w:r w:rsidRPr="00D557A7">
        <w:rPr>
          <w:rFonts w:eastAsia="Open Sans"/>
        </w:rPr>
        <w:t>This</w:t>
      </w:r>
      <w:r w:rsidR="00A81DE4" w:rsidRPr="00D557A7">
        <w:rPr>
          <w:rFonts w:eastAsia="Open Sans"/>
        </w:rPr>
        <w:t xml:space="preserve"> content,</w:t>
      </w:r>
      <w:r w:rsidR="00DF39DE" w:rsidRPr="00D557A7">
        <w:rPr>
          <w:rFonts w:eastAsia="Open Sans"/>
        </w:rPr>
        <w:t xml:space="preserve"> </w:t>
      </w:r>
      <w:r w:rsidR="00A81DE4" w:rsidRPr="00D557A7">
        <w:rPr>
          <w:rFonts w:eastAsia="Open Sans"/>
        </w:rPr>
        <w:t>combined with</w:t>
      </w:r>
      <w:r w:rsidR="00D565FE" w:rsidRPr="00D557A7">
        <w:rPr>
          <w:rFonts w:eastAsia="Open Sans"/>
        </w:rPr>
        <w:t xml:space="preserve"> targeted media engagement</w:t>
      </w:r>
      <w:r w:rsidR="00A81DE4" w:rsidRPr="00D557A7">
        <w:rPr>
          <w:rFonts w:eastAsia="Open Sans"/>
        </w:rPr>
        <w:t>,</w:t>
      </w:r>
      <w:r w:rsidR="00DF39DE" w:rsidRPr="00D557A7">
        <w:rPr>
          <w:rFonts w:eastAsia="Open Sans"/>
        </w:rPr>
        <w:t xml:space="preserve"> enabled </w:t>
      </w:r>
      <w:r w:rsidR="00D565FE" w:rsidRPr="00D557A7">
        <w:rPr>
          <w:rFonts w:eastAsia="Open Sans"/>
        </w:rPr>
        <w:t>the Commission garner unprecedented reach around IDERD.</w:t>
      </w:r>
    </w:p>
    <w:p w14:paraId="6CE810EF" w14:textId="26B8CD79" w:rsidR="00D565FE" w:rsidRPr="00D557A7" w:rsidRDefault="00D565FE" w:rsidP="00D557A7">
      <w:pPr>
        <w:rPr>
          <w:rFonts w:eastAsia="Open Sans"/>
        </w:rPr>
      </w:pPr>
      <w:r w:rsidRPr="00D557A7">
        <w:rPr>
          <w:rFonts w:eastAsia="Open Sans"/>
        </w:rPr>
        <w:t>This outcome demonstrates the success and significance of ensuring appropriate allocation of resources to Commission initiatives and leveraging days of significance to support public awareness goals. It also demonstrates the efficacy of cross-Commission collaboration.</w:t>
      </w:r>
      <w:r w:rsidRPr="00D557A7">
        <w:t xml:space="preserve"> </w:t>
      </w:r>
    </w:p>
    <w:p w14:paraId="1DDE9C62" w14:textId="5D8053D2" w:rsidR="00D565FE" w:rsidRPr="002914B4" w:rsidRDefault="00D565FE" w:rsidP="002914B4">
      <w:pPr>
        <w:pStyle w:val="Heading5"/>
      </w:pPr>
      <w:r w:rsidRPr="00AB6973">
        <w:t>Respect@Work Website Launch</w:t>
      </w:r>
    </w:p>
    <w:p w14:paraId="00222350" w14:textId="320FA4DD" w:rsidR="00D565FE" w:rsidRPr="00D557A7" w:rsidRDefault="00D565FE" w:rsidP="00D557A7">
      <w:pPr>
        <w:rPr>
          <w:rFonts w:eastAsia="Open Sans"/>
        </w:rPr>
      </w:pPr>
      <w:r w:rsidRPr="00D557A7">
        <w:rPr>
          <w:rFonts w:eastAsia="Open Sans"/>
        </w:rPr>
        <w:t>The National Inquiry into Sexual Harassment in Australian Workplaces, and the subsequent Respect@Work Report, highlighted a clear need for Australian employers and workers to improve the way they prevent and respond to workplace sexual harassment.</w:t>
      </w:r>
    </w:p>
    <w:p w14:paraId="25621601" w14:textId="3850F088" w:rsidR="002914B4" w:rsidRPr="00D557A7" w:rsidRDefault="002914B4" w:rsidP="00D557A7">
      <w:pPr>
        <w:rPr>
          <w:rFonts w:eastAsia="Open Sans"/>
        </w:rPr>
      </w:pPr>
      <w:r w:rsidRPr="00AB6973">
        <w:rPr>
          <w:noProof/>
        </w:rPr>
        <w:drawing>
          <wp:inline distT="0" distB="0" distL="0" distR="0" wp14:anchorId="14285F7C" wp14:editId="7CC73F0C">
            <wp:extent cx="6117190" cy="2492188"/>
            <wp:effectExtent l="0" t="0" r="4445" b="0"/>
            <wp:docPr id="937565057" name="Picture 937565057" descr="Respect@Work website screenshot featuring a photo of the Sex Discrimination Commissioner, Kate Jenk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65057" name="Picture 937565057" descr="Respect@Work website screenshot featuring a photo of the Sex Discrimination Commissioner, Kate Jenkin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80028" cy="2517789"/>
                    </a:xfrm>
                    <a:prstGeom prst="rect">
                      <a:avLst/>
                    </a:prstGeom>
                  </pic:spPr>
                </pic:pic>
              </a:graphicData>
            </a:graphic>
          </wp:inline>
        </w:drawing>
      </w:r>
    </w:p>
    <w:p w14:paraId="2EE170DD" w14:textId="19B393AC" w:rsidR="002914B4" w:rsidRPr="002914B4" w:rsidRDefault="00B7010F" w:rsidP="002914B4">
      <w:pPr>
        <w:pStyle w:val="Caption"/>
        <w:rPr>
          <w:rStyle w:val="Hyperlink"/>
          <w:rFonts w:eastAsia="Open Sans"/>
        </w:rPr>
      </w:pPr>
      <w:hyperlink r:id="rId49" w:history="1">
        <w:r w:rsidR="002914B4" w:rsidRPr="002914B4">
          <w:rPr>
            <w:rStyle w:val="Hyperlink"/>
          </w:rPr>
          <w:t>Respect@Work | Respect@Work (respectatwork.gov.au)</w:t>
        </w:r>
      </w:hyperlink>
    </w:p>
    <w:p w14:paraId="38B16105" w14:textId="5F356390" w:rsidR="00D565FE" w:rsidRPr="00D557A7" w:rsidRDefault="00D565FE" w:rsidP="00D565FE">
      <w:pPr>
        <w:tabs>
          <w:tab w:val="left" w:pos="5412"/>
        </w:tabs>
        <w:rPr>
          <w:rFonts w:eastAsia="Open Sans"/>
        </w:rPr>
      </w:pPr>
      <w:r w:rsidRPr="00D557A7">
        <w:rPr>
          <w:rFonts w:eastAsia="Open Sans"/>
        </w:rPr>
        <w:t xml:space="preserve">The National Inquiry recommended the development and implementation of a </w:t>
      </w:r>
      <w:hyperlink r:id="rId50" w:history="1">
        <w:r w:rsidRPr="00DC0051">
          <w:rPr>
            <w:rStyle w:val="Hyperlink"/>
            <w:rFonts w:eastAsia="Open Sans" w:cs="Open Sans"/>
          </w:rPr>
          <w:t>Respect@Work website</w:t>
        </w:r>
      </w:hyperlink>
      <w:r w:rsidRPr="00D557A7">
        <w:rPr>
          <w:rFonts w:eastAsia="Open Sans"/>
        </w:rPr>
        <w:t xml:space="preserve"> to deliver practical guidance and resources. </w:t>
      </w:r>
    </w:p>
    <w:p w14:paraId="2AEAA29A" w14:textId="77777777" w:rsidR="002914B4" w:rsidRDefault="002914B4" w:rsidP="002914B4"/>
    <w:p w14:paraId="0F9A9EEF" w14:textId="39D0014E" w:rsidR="00E15A7A" w:rsidRDefault="00E15A7A" w:rsidP="00E15A7A">
      <w:pPr>
        <w:spacing w:before="0" w:after="0" w:line="240" w:lineRule="auto"/>
      </w:pPr>
      <w:r>
        <w:br w:type="page"/>
      </w:r>
    </w:p>
    <w:tbl>
      <w:tblPr>
        <w:tblStyle w:val="TableGrey"/>
        <w:tblW w:w="0" w:type="auto"/>
        <w:tblLook w:val="04A0" w:firstRow="1" w:lastRow="0" w:firstColumn="1" w:lastColumn="0" w:noHBand="0" w:noVBand="1"/>
      </w:tblPr>
      <w:tblGrid>
        <w:gridCol w:w="9628"/>
      </w:tblGrid>
      <w:tr w:rsidR="002914B4" w14:paraId="333C5A3C" w14:textId="77777777" w:rsidTr="002B442E">
        <w:tc>
          <w:tcPr>
            <w:tcW w:w="9628" w:type="dxa"/>
            <w:shd w:val="clear" w:color="auto" w:fill="DEEAF6" w:themeFill="accent1" w:themeFillTint="33"/>
          </w:tcPr>
          <w:p w14:paraId="357099CE" w14:textId="77777777" w:rsidR="002914B4" w:rsidRPr="00E23E77" w:rsidRDefault="002914B4" w:rsidP="002914B4">
            <w:pPr>
              <w:tabs>
                <w:tab w:val="left" w:pos="5412"/>
              </w:tabs>
              <w:rPr>
                <w:rStyle w:val="Strong"/>
                <w:rFonts w:eastAsia="Open Sans"/>
              </w:rPr>
            </w:pPr>
            <w:r w:rsidRPr="00E23E77">
              <w:rPr>
                <w:rStyle w:val="Strong"/>
                <w:rFonts w:eastAsia="Open Sans"/>
              </w:rPr>
              <w:t xml:space="preserve">The National Inquiry found that: </w:t>
            </w:r>
          </w:p>
          <w:p w14:paraId="3BC94D60" w14:textId="63734FA1" w:rsidR="002914B4" w:rsidRPr="00D952AA" w:rsidRDefault="002914B4" w:rsidP="009972DE">
            <w:pPr>
              <w:pStyle w:val="ListBullet"/>
            </w:pPr>
            <w:r w:rsidRPr="00D952AA">
              <w:t>many workers were not aware of their rights and responsibilities related to workplace sexual harassment</w:t>
            </w:r>
          </w:p>
          <w:p w14:paraId="34AA380A" w14:textId="4C52782C" w:rsidR="002914B4" w:rsidRPr="00D952AA" w:rsidRDefault="002914B4" w:rsidP="002914B4">
            <w:pPr>
              <w:pStyle w:val="ListBullet"/>
            </w:pPr>
            <w:r w:rsidRPr="00D952AA">
              <w:t>a lack of understanding of workplace sexual harassment and the cultural and systemic drivers were risk factors contributing to higher prevalence of workplace sexual harassment incidents</w:t>
            </w:r>
          </w:p>
          <w:p w14:paraId="01349B26" w14:textId="2EB06EEA" w:rsidR="002914B4" w:rsidRPr="00D952AA" w:rsidRDefault="002914B4" w:rsidP="002914B4">
            <w:pPr>
              <w:pStyle w:val="ListBullet"/>
            </w:pPr>
            <w:r w:rsidRPr="00D952AA">
              <w:t>although many employers agreed that sexual harassment has no place in Australian workplaces, and that it was damaging for workers and business, they found it challenging to address.</w:t>
            </w:r>
          </w:p>
          <w:p w14:paraId="5A30A72B" w14:textId="148950F2" w:rsidR="002914B4" w:rsidRPr="00D952AA" w:rsidRDefault="002914B4" w:rsidP="00D557A7">
            <w:pPr>
              <w:rPr>
                <w:rFonts w:eastAsia="Open Sans"/>
              </w:rPr>
            </w:pPr>
            <w:r w:rsidRPr="00D952AA">
              <w:rPr>
                <w:rFonts w:eastAsia="Open Sans"/>
              </w:rPr>
              <w:t>The Respect@Work website provides a single platform with relevant information related to workplace sexual harassment, including:</w:t>
            </w:r>
          </w:p>
          <w:p w14:paraId="1789F677" w14:textId="77777777" w:rsidR="002914B4" w:rsidRPr="002914B4" w:rsidRDefault="002914B4" w:rsidP="002914B4">
            <w:pPr>
              <w:pStyle w:val="ListBullet"/>
            </w:pPr>
            <w:r w:rsidRPr="002914B4">
              <w:t xml:space="preserve">the rights and responsibilities of employers and workers </w:t>
            </w:r>
          </w:p>
          <w:p w14:paraId="22C0EA01" w14:textId="72F3158C" w:rsidR="002914B4" w:rsidRPr="002914B4" w:rsidRDefault="002914B4" w:rsidP="002914B4">
            <w:pPr>
              <w:pStyle w:val="ListBullet"/>
            </w:pPr>
            <w:r w:rsidRPr="002914B4">
              <w:t>understanding workplace sexual harassment</w:t>
            </w:r>
          </w:p>
          <w:p w14:paraId="0707044B" w14:textId="676D17C2" w:rsidR="002914B4" w:rsidRDefault="002914B4" w:rsidP="002914B4">
            <w:pPr>
              <w:pStyle w:val="ListBullet"/>
            </w:pPr>
            <w:r w:rsidRPr="002914B4">
              <w:t xml:space="preserve">good practice approaches to prevent and address workplace sexual harassment. </w:t>
            </w:r>
          </w:p>
        </w:tc>
      </w:tr>
    </w:tbl>
    <w:p w14:paraId="2325E592" w14:textId="77777777" w:rsidR="002914B4" w:rsidRPr="002914B4" w:rsidRDefault="002914B4" w:rsidP="002914B4"/>
    <w:p w14:paraId="6F0BE318" w14:textId="72313B15" w:rsidR="00D952AA" w:rsidRPr="00AB6973" w:rsidRDefault="00D565FE" w:rsidP="009972DE">
      <w:pPr>
        <w:rPr>
          <w:rFonts w:eastAsia="Open Sans"/>
        </w:rPr>
      </w:pPr>
      <w:r w:rsidRPr="00AB6973">
        <w:rPr>
          <w:rFonts w:eastAsia="Open Sans"/>
        </w:rPr>
        <w:t xml:space="preserve">Launched in November 2022, the Respect@Work website delivered much has facilitated increased awareness and guidance for workers and businesses of all sizes. </w:t>
      </w:r>
      <w:r w:rsidR="007724F0">
        <w:rPr>
          <w:rFonts w:eastAsia="Open Sans"/>
        </w:rPr>
        <w:t>It</w:t>
      </w:r>
      <w:r w:rsidRPr="00AB6973">
        <w:rPr>
          <w:rFonts w:eastAsia="Open Sans"/>
        </w:rPr>
        <w:t xml:space="preserve"> provides free and easy access to good-practice guides, training programs, workplace assessment tools, information, resources, videos and advice, related to preventing and responding to workplace sexual harassment. </w:t>
      </w:r>
    </w:p>
    <w:p w14:paraId="3888C3DE" w14:textId="27549ACF" w:rsidR="001976EE" w:rsidRPr="00AB6973" w:rsidRDefault="005132B4" w:rsidP="009972DE">
      <w:pPr>
        <w:rPr>
          <w:rFonts w:eastAsia="Open Sans"/>
        </w:rPr>
      </w:pPr>
      <w:r w:rsidRPr="00AB6973">
        <w:rPr>
          <w:rFonts w:eastAsia="Open Sans"/>
        </w:rPr>
        <w:t>58,000 people visited the website</w:t>
      </w:r>
      <w:r>
        <w:rPr>
          <w:rFonts w:eastAsia="Open Sans"/>
        </w:rPr>
        <w:t xml:space="preserve"> in</w:t>
      </w:r>
      <w:r w:rsidR="00D565FE" w:rsidRPr="00AB6973">
        <w:rPr>
          <w:rFonts w:eastAsia="Open Sans"/>
        </w:rPr>
        <w:t xml:space="preserve"> the 2022–2023 financial year</w:t>
      </w:r>
      <w:r>
        <w:rPr>
          <w:rFonts w:eastAsia="Open Sans"/>
        </w:rPr>
        <w:t>.</w:t>
      </w:r>
    </w:p>
    <w:p w14:paraId="70610EAC" w14:textId="73C3C6B2" w:rsidR="00F8640F" w:rsidRPr="00AB6973" w:rsidRDefault="00D565FE" w:rsidP="009972DE">
      <w:pPr>
        <w:rPr>
          <w:rFonts w:eastAsia="Open Sans"/>
        </w:rPr>
      </w:pPr>
      <w:r w:rsidRPr="448905EB">
        <w:rPr>
          <w:rFonts w:eastAsia="Open Sans"/>
        </w:rPr>
        <w:t>The uptake of the Respect@Work website is confirmation of the success of the Commission’s Respect@Work Report. The Government has committed to implementing all 55 recommendations of the report as a matter of priority.</w:t>
      </w:r>
    </w:p>
    <w:p w14:paraId="48F258C4" w14:textId="77777777" w:rsidR="00E15A7A" w:rsidRDefault="00E15A7A">
      <w:pPr>
        <w:spacing w:before="0" w:after="0" w:line="240" w:lineRule="auto"/>
        <w:rPr>
          <w:rFonts w:eastAsia="Open Sans"/>
        </w:rPr>
      </w:pPr>
      <w:r>
        <w:rPr>
          <w:rFonts w:eastAsia="Open Sans"/>
        </w:rPr>
        <w:br w:type="page"/>
      </w:r>
    </w:p>
    <w:p w14:paraId="01F15776" w14:textId="7BCED5F0" w:rsidR="00D565FE" w:rsidRPr="00AB6973" w:rsidRDefault="00D565FE" w:rsidP="009972DE">
      <w:pPr>
        <w:rPr>
          <w:rFonts w:eastAsia="Open Sans"/>
        </w:rPr>
      </w:pPr>
      <w:r w:rsidRPr="00AB6973">
        <w:rPr>
          <w:rFonts w:eastAsia="Open Sans"/>
        </w:rPr>
        <w:t>The Respect@Work website progresses the Commission’s work on sexual harassment and gender equality. It also aligns with the Commission’s mandate to promote and raise awareness of human rights in Australia, including through education and training and digital resources.</w:t>
      </w:r>
    </w:p>
    <w:p w14:paraId="15D7DA18" w14:textId="77777777" w:rsidR="00D565FE" w:rsidRPr="00AB6973" w:rsidRDefault="00D565FE" w:rsidP="00E23E77">
      <w:pPr>
        <w:pStyle w:val="Heading5"/>
        <w:rPr>
          <w:rFonts w:eastAsia="Open Sans"/>
        </w:rPr>
      </w:pPr>
      <w:r w:rsidRPr="00AB6973">
        <w:t>“Let’s talk about…” videos from our ClickView partnership</w:t>
      </w:r>
    </w:p>
    <w:p w14:paraId="474541D0" w14:textId="6C850350" w:rsidR="009972DE" w:rsidRDefault="00D565FE" w:rsidP="00D565FE">
      <w:pPr>
        <w:rPr>
          <w:rFonts w:cs="Open Sans"/>
        </w:rPr>
      </w:pPr>
      <w:r w:rsidRPr="00D557A7">
        <w:rPr>
          <w:rFonts w:eastAsia="Open Sans"/>
        </w:rPr>
        <w:t xml:space="preserve">In November 2022 the Commission launched </w:t>
      </w:r>
      <w:r w:rsidRPr="00AB6973">
        <w:rPr>
          <w:rFonts w:cs="Open Sans"/>
        </w:rPr>
        <w:t xml:space="preserve">the “Let’s talk about…” videos from our ClickView partnership. The videos are aimed at primary school children and include videos, teachers’ notes, student activities and answer sheets across a range of human rights topics. </w:t>
      </w:r>
    </w:p>
    <w:p w14:paraId="731C5987" w14:textId="00E00DF9" w:rsidR="001D5FDA" w:rsidRPr="00AB6973" w:rsidRDefault="00AB5273" w:rsidP="00D565FE">
      <w:pPr>
        <w:rPr>
          <w:rFonts w:cs="Open Sans"/>
        </w:rPr>
      </w:pPr>
      <w:r>
        <w:rPr>
          <w:rFonts w:cs="Open Sans"/>
          <w:noProof/>
        </w:rPr>
        <w:drawing>
          <wp:inline distT="0" distB="0" distL="0" distR="0" wp14:anchorId="7DDE34F4" wp14:editId="77A36561">
            <wp:extent cx="6330315" cy="4960620"/>
            <wp:effectExtent l="0" t="0" r="0" b="5080"/>
            <wp:docPr id="595679019" name="Picture 595679019" descr="Screenshots of Australian Human Rights Commission YouTube videos:&#10;&#10;Let's talk about equality and equity&#10;Let's talk about education&#10;Let's talk about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679019" name="Immagine 14" descr="Screenshots of Australian Human Rights Commission YouTube videos:&#10;&#10;Let's talk about equality and equity&#10;Let's talk about education&#10;Let's talk about disability"/>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330315" cy="4960620"/>
                    </a:xfrm>
                    <a:prstGeom prst="rect">
                      <a:avLst/>
                    </a:prstGeom>
                  </pic:spPr>
                </pic:pic>
              </a:graphicData>
            </a:graphic>
          </wp:inline>
        </w:drawing>
      </w:r>
    </w:p>
    <w:p w14:paraId="39FEAABE" w14:textId="353A9486" w:rsidR="00D565FE" w:rsidRPr="00AB6973" w:rsidRDefault="00B7010F" w:rsidP="00CE6E55">
      <w:pPr>
        <w:pStyle w:val="Caption"/>
        <w:rPr>
          <w:rFonts w:cs="Open Sans"/>
        </w:rPr>
      </w:pPr>
      <w:hyperlink r:id="rId52" w:history="1">
        <w:r w:rsidR="00D565FE" w:rsidRPr="00DC0051">
          <w:rPr>
            <w:rStyle w:val="Hyperlink"/>
            <w:rFonts w:cs="Open Sans"/>
            <w:lang w:val="en-GB"/>
          </w:rPr>
          <w:t>Let's talk about racism</w:t>
        </w:r>
      </w:hyperlink>
      <w:r w:rsidR="009972DE" w:rsidRPr="009972DE">
        <w:t xml:space="preserve">  |  </w:t>
      </w:r>
      <w:hyperlink r:id="rId53" w:history="1">
        <w:r w:rsidR="00D565FE" w:rsidRPr="00DC0051">
          <w:rPr>
            <w:rStyle w:val="Hyperlink"/>
            <w:rFonts w:cs="Open Sans"/>
            <w:lang w:val="en-GB"/>
          </w:rPr>
          <w:t>Let's talk about bodies, identity and sexuality</w:t>
        </w:r>
      </w:hyperlink>
      <w:r w:rsidR="009972DE" w:rsidRPr="009972DE">
        <w:t xml:space="preserve">  |  </w:t>
      </w:r>
      <w:hyperlink r:id="rId54" w:history="1">
        <w:r w:rsidR="00D565FE" w:rsidRPr="00DC0051">
          <w:rPr>
            <w:rStyle w:val="Hyperlink"/>
            <w:rFonts w:cs="Open Sans"/>
            <w:lang w:val="en-GB"/>
          </w:rPr>
          <w:t>Let's talk about disability</w:t>
        </w:r>
      </w:hyperlink>
      <w:r w:rsidR="009972DE" w:rsidRPr="009972DE">
        <w:t xml:space="preserve">  |  </w:t>
      </w:r>
      <w:hyperlink r:id="rId55" w:history="1">
        <w:r w:rsidR="00D565FE" w:rsidRPr="00DC0051">
          <w:rPr>
            <w:rStyle w:val="Hyperlink"/>
            <w:rFonts w:cs="Open Sans"/>
            <w:lang w:val="en-GB"/>
          </w:rPr>
          <w:t>Let's talk about equality and equity</w:t>
        </w:r>
      </w:hyperlink>
      <w:r w:rsidR="009972DE" w:rsidRPr="009972DE">
        <w:t xml:space="preserve">  |  </w:t>
      </w:r>
      <w:hyperlink r:id="rId56" w:history="1">
        <w:r w:rsidR="00D565FE" w:rsidRPr="00DC0051">
          <w:rPr>
            <w:rStyle w:val="Hyperlink"/>
            <w:rFonts w:cs="Open Sans"/>
            <w:lang w:val="en-GB"/>
          </w:rPr>
          <w:t>Let's talk about refugees</w:t>
        </w:r>
      </w:hyperlink>
      <w:r w:rsidR="009972DE" w:rsidRPr="009972DE">
        <w:t xml:space="preserve">  |  </w:t>
      </w:r>
      <w:hyperlink r:id="rId57" w:history="1">
        <w:r w:rsidR="00D565FE" w:rsidRPr="00DC0051">
          <w:rPr>
            <w:rStyle w:val="Hyperlink"/>
            <w:rFonts w:cs="Open Sans"/>
            <w:lang w:val="en-GB"/>
          </w:rPr>
          <w:t>Let's talk about education</w:t>
        </w:r>
      </w:hyperlink>
    </w:p>
    <w:p w14:paraId="4AB4037C" w14:textId="202CF12F" w:rsidR="00D565FE" w:rsidRPr="00D557A7" w:rsidRDefault="00D565FE" w:rsidP="00D557A7">
      <w:pPr>
        <w:pStyle w:val="Heading6"/>
        <w:rPr>
          <w:rFonts w:eastAsia="Open Sans"/>
        </w:rPr>
      </w:pPr>
      <w:r w:rsidRPr="00D557A7">
        <w:t xml:space="preserve">Outcome 4: </w:t>
      </w:r>
      <w:r w:rsidRPr="00D557A7">
        <w:rPr>
          <w:rFonts w:eastAsia="Open Sans"/>
        </w:rPr>
        <w:t>Maintaining our international standing as a strong human rights institution representing human rights in Australia and contributing to human rights advancement globally</w:t>
      </w:r>
    </w:p>
    <w:p w14:paraId="4C960F81" w14:textId="77777777" w:rsidR="00E23E77" w:rsidRPr="00E23E77" w:rsidRDefault="00E23E77" w:rsidP="00E23E77">
      <w:pPr>
        <w:rPr>
          <w:rFonts w:eastAsia="Open Sans"/>
        </w:rPr>
      </w:pPr>
    </w:p>
    <w:tbl>
      <w:tblPr>
        <w:tblStyle w:val="TableGrey"/>
        <w:tblW w:w="0" w:type="auto"/>
        <w:shd w:val="clear" w:color="auto" w:fill="DEEAF6" w:themeFill="accent1" w:themeFillTint="33"/>
        <w:tblLayout w:type="fixed"/>
        <w:tblLook w:val="04A0" w:firstRow="1" w:lastRow="0" w:firstColumn="1" w:lastColumn="0" w:noHBand="0" w:noVBand="1"/>
      </w:tblPr>
      <w:tblGrid>
        <w:gridCol w:w="9128"/>
      </w:tblGrid>
      <w:tr w:rsidR="00D565FE" w:rsidRPr="009972DE" w14:paraId="6C0D9507" w14:textId="77777777" w:rsidTr="00A77880">
        <w:trPr>
          <w:trHeight w:val="809"/>
        </w:trPr>
        <w:tc>
          <w:tcPr>
            <w:tcW w:w="9128" w:type="dxa"/>
            <w:shd w:val="clear" w:color="auto" w:fill="DEEAF6" w:themeFill="accent1" w:themeFillTint="33"/>
          </w:tcPr>
          <w:p w14:paraId="4FF64D76" w14:textId="77777777" w:rsidR="00D565FE" w:rsidRDefault="00D565FE" w:rsidP="002A7AF8">
            <w:pPr>
              <w:rPr>
                <w:rStyle w:val="Strong"/>
                <w:bCs w:val="0"/>
                <w:color w:val="FFFFFF" w:themeColor="background1"/>
              </w:rPr>
            </w:pPr>
            <w:r w:rsidRPr="009972DE">
              <w:rPr>
                <w:rStyle w:val="Strong"/>
              </w:rPr>
              <w:t>4.1 Our activities increase the capacity of vulnerable groups, communities and their advocates to understand and advocate for their rights</w:t>
            </w:r>
          </w:p>
          <w:p w14:paraId="76F6905F" w14:textId="37068F92" w:rsidR="00A77880" w:rsidRPr="009972DE" w:rsidRDefault="00A77880" w:rsidP="002A7AF8">
            <w:pPr>
              <w:rPr>
                <w:rStyle w:val="Strong"/>
              </w:rPr>
            </w:pPr>
            <w:r w:rsidRPr="00D557A7">
              <w:t>Instances of participants and stakeholders in our consultations and research activities reporting participation experiences that are beneficial and empowering</w:t>
            </w:r>
          </w:p>
        </w:tc>
      </w:tr>
    </w:tbl>
    <w:p w14:paraId="61DB6D55" w14:textId="77777777" w:rsidR="00D565FE" w:rsidRPr="00AB6973" w:rsidRDefault="00D565FE" w:rsidP="00E23E77">
      <w:pPr>
        <w:rPr>
          <w:rFonts w:eastAsia="Open Sans"/>
        </w:rPr>
      </w:pPr>
    </w:p>
    <w:tbl>
      <w:tblPr>
        <w:tblStyle w:val="TableGrey"/>
        <w:tblW w:w="0" w:type="auto"/>
        <w:shd w:val="clear" w:color="auto" w:fill="DEEAF6" w:themeFill="accent1" w:themeFillTint="33"/>
        <w:tblLayout w:type="fixed"/>
        <w:tblLook w:val="04A0" w:firstRow="1" w:lastRow="0" w:firstColumn="1" w:lastColumn="0" w:noHBand="0" w:noVBand="1"/>
      </w:tblPr>
      <w:tblGrid>
        <w:gridCol w:w="9128"/>
      </w:tblGrid>
      <w:tr w:rsidR="00D565FE" w:rsidRPr="009972DE" w14:paraId="69849FFA" w14:textId="77777777" w:rsidTr="00A77880">
        <w:trPr>
          <w:trHeight w:val="809"/>
        </w:trPr>
        <w:tc>
          <w:tcPr>
            <w:tcW w:w="9128" w:type="dxa"/>
            <w:shd w:val="clear" w:color="auto" w:fill="DEEAF6" w:themeFill="accent1" w:themeFillTint="33"/>
          </w:tcPr>
          <w:p w14:paraId="10DBF7AB" w14:textId="77777777" w:rsidR="00D565FE" w:rsidRDefault="00D565FE" w:rsidP="002A7AF8">
            <w:pPr>
              <w:rPr>
                <w:rStyle w:val="Strong"/>
                <w:bCs w:val="0"/>
                <w:color w:val="FFFFFF" w:themeColor="background1"/>
              </w:rPr>
            </w:pPr>
            <w:r w:rsidRPr="009972DE">
              <w:rPr>
                <w:rStyle w:val="Strong"/>
              </w:rPr>
              <w:t>4.2 Our activities increase the capacity of governments, organisations, other groups and services to understand and address the human rights impact of their actions, particularly when working with vulnerable groups and communities</w:t>
            </w:r>
          </w:p>
          <w:p w14:paraId="61B913C4" w14:textId="77777777" w:rsidR="00A77880" w:rsidRPr="00D557A7" w:rsidRDefault="00A77880" w:rsidP="00A77880">
            <w:r w:rsidRPr="00D557A7">
              <w:t>Instances of stakeholders in our activities with organisations reporting that our work has contributed to increased understanding of the impact of their systems and operations on human rights.</w:t>
            </w:r>
          </w:p>
          <w:p w14:paraId="39FE3D5B" w14:textId="14382C55" w:rsidR="00A77880" w:rsidRPr="009972DE" w:rsidRDefault="00A77880" w:rsidP="00A77880">
            <w:pPr>
              <w:rPr>
                <w:rStyle w:val="Strong"/>
              </w:rPr>
            </w:pPr>
            <w:r w:rsidRPr="00D557A7">
              <w:t>Instances of stakeholders in our activities with organisations making changes to organisational policy and practice, to respect, protect and promote human rights in their context.</w:t>
            </w:r>
          </w:p>
        </w:tc>
      </w:tr>
    </w:tbl>
    <w:p w14:paraId="546ABDA6" w14:textId="77777777" w:rsidR="00B83591" w:rsidRDefault="00B83591" w:rsidP="00E23E77">
      <w:pPr>
        <w:rPr>
          <w:rFonts w:eastAsia="Open Sans"/>
        </w:rPr>
      </w:pPr>
    </w:p>
    <w:p w14:paraId="47C3CD53" w14:textId="5D275735" w:rsidR="00D565FE" w:rsidRPr="00AB6973" w:rsidRDefault="7B69B5D6" w:rsidP="00B97704">
      <w:pPr>
        <w:pStyle w:val="Heading4"/>
      </w:pPr>
      <w:r w:rsidRPr="2832F822">
        <w:t>Results</w:t>
      </w:r>
    </w:p>
    <w:p w14:paraId="37296845" w14:textId="719C9C81" w:rsidR="00D952AA" w:rsidRPr="00D557A7" w:rsidRDefault="00D565FE" w:rsidP="00E23E77">
      <w:pPr>
        <w:pStyle w:val="Heading5"/>
      </w:pPr>
      <w:r w:rsidRPr="00AB6973">
        <w:t>IncludeAbility pilot employment program</w:t>
      </w:r>
    </w:p>
    <w:p w14:paraId="4586DB47" w14:textId="68D3FF59" w:rsidR="00D952AA" w:rsidRPr="00AB6973" w:rsidRDefault="00D565FE" w:rsidP="00D565FE">
      <w:pPr>
        <w:rPr>
          <w:rFonts w:cs="Open Sans"/>
        </w:rPr>
      </w:pPr>
      <w:r w:rsidRPr="448905EB">
        <w:rPr>
          <w:rFonts w:cs="Open Sans"/>
        </w:rPr>
        <w:t xml:space="preserve">IncludeAbility advances the fundamental human right of people with disability to work in open employment on an equal basis with others, under Article 27 of the </w:t>
      </w:r>
      <w:r w:rsidRPr="00E23E77">
        <w:rPr>
          <w:rStyle w:val="Emphasis"/>
        </w:rPr>
        <w:t>United Nations Convention on the Rights of Persons with Disabilities</w:t>
      </w:r>
      <w:r w:rsidRPr="448905EB">
        <w:rPr>
          <w:rFonts w:cs="Open Sans"/>
        </w:rPr>
        <w:t xml:space="preserve">. IncludeAbility Employer Network </w:t>
      </w:r>
      <w:r w:rsidR="00E22C11" w:rsidRPr="448905EB">
        <w:rPr>
          <w:rFonts w:cs="Open Sans"/>
        </w:rPr>
        <w:t>m</w:t>
      </w:r>
      <w:r w:rsidRPr="448905EB">
        <w:rPr>
          <w:rFonts w:cs="Open Sans"/>
        </w:rPr>
        <w:t xml:space="preserve">ember Woolworths and Disability Employment Service Good Sammy participated in </w:t>
      </w:r>
      <w:r w:rsidR="00E55F89" w:rsidRPr="448905EB">
        <w:rPr>
          <w:rFonts w:cs="Open Sans"/>
        </w:rPr>
        <w:t xml:space="preserve">the </w:t>
      </w:r>
      <w:r w:rsidRPr="448905EB">
        <w:rPr>
          <w:rFonts w:cs="Open Sans"/>
        </w:rPr>
        <w:t>employment pilot</w:t>
      </w:r>
      <w:r w:rsidR="00E55F89" w:rsidRPr="448905EB">
        <w:rPr>
          <w:rFonts w:cs="Open Sans"/>
        </w:rPr>
        <w:t xml:space="preserve"> program</w:t>
      </w:r>
      <w:r w:rsidRPr="448905EB">
        <w:rPr>
          <w:rFonts w:cs="Open Sans"/>
        </w:rPr>
        <w:t>. The pilot supported 15 young people with intellectual disability to transition from an Australian Disability Enterprise (ADE) into open employment at Woolworths, at full award wages.</w:t>
      </w:r>
    </w:p>
    <w:p w14:paraId="1B6CBF54" w14:textId="6ED3C973" w:rsidR="00BF0C5B" w:rsidRDefault="00D565FE" w:rsidP="00D565FE">
      <w:pPr>
        <w:rPr>
          <w:rFonts w:cs="Open Sans"/>
        </w:rPr>
      </w:pPr>
      <w:r w:rsidRPr="00AB6973">
        <w:rPr>
          <w:rFonts w:cs="Open Sans"/>
        </w:rPr>
        <w:t>The program aligns with the former Disability Discrimination Commissioner’s term goal to increase access to meaningful employment opportunities for people with disability. It also relates to the Commission’s strategic goal of improved enjoyment of human rights by all.</w:t>
      </w:r>
    </w:p>
    <w:p w14:paraId="06278340" w14:textId="77777777" w:rsidR="00BF0C5B" w:rsidRDefault="00BF0C5B" w:rsidP="00D565FE">
      <w:pPr>
        <w:rPr>
          <w:rFonts w:cs="Open Sans"/>
        </w:rPr>
      </w:pPr>
    </w:p>
    <w:tbl>
      <w:tblPr>
        <w:tblStyle w:val="TableGrey"/>
        <w:tblW w:w="0" w:type="auto"/>
        <w:tblLook w:val="04A0" w:firstRow="1" w:lastRow="0" w:firstColumn="1" w:lastColumn="0" w:noHBand="0" w:noVBand="1"/>
      </w:tblPr>
      <w:tblGrid>
        <w:gridCol w:w="9628"/>
      </w:tblGrid>
      <w:tr w:rsidR="00E23E77" w14:paraId="18D6854B" w14:textId="77777777" w:rsidTr="00E23E77">
        <w:tc>
          <w:tcPr>
            <w:tcW w:w="9628" w:type="dxa"/>
          </w:tcPr>
          <w:p w14:paraId="6D448562" w14:textId="77777777" w:rsidR="00E23E77" w:rsidRPr="00E23E77" w:rsidRDefault="00E23E77" w:rsidP="00E23E77">
            <w:pPr>
              <w:rPr>
                <w:rStyle w:val="Strong"/>
              </w:rPr>
            </w:pPr>
            <w:r w:rsidRPr="00E23E77">
              <w:rPr>
                <w:rStyle w:val="Strong"/>
              </w:rPr>
              <w:t>Case Study: Participant in IncludeAbility</w:t>
            </w:r>
          </w:p>
          <w:p w14:paraId="78BDEF7E" w14:textId="77777777" w:rsidR="00E23E77" w:rsidRPr="00BE5B13" w:rsidRDefault="00E23E77" w:rsidP="00E23E77">
            <w:pPr>
              <w:rPr>
                <w:rFonts w:cs="Open Sans"/>
              </w:rPr>
            </w:pPr>
            <w:r w:rsidRPr="00BE5B13">
              <w:rPr>
                <w:rFonts w:cs="Open Sans"/>
              </w:rPr>
              <w:t>Neil, who had been working at Good Sammy’s for 15 years, participated in the IncludeAbility employment pilot. He has Down Syndrome and does not use many words.</w:t>
            </w:r>
          </w:p>
          <w:p w14:paraId="2999AE62" w14:textId="77777777" w:rsidR="00E23E77" w:rsidRPr="00BE5B13" w:rsidRDefault="00E23E77" w:rsidP="00E23E77">
            <w:pPr>
              <w:rPr>
                <w:rFonts w:cs="Open Sans"/>
              </w:rPr>
            </w:pPr>
            <w:r w:rsidRPr="00BE5B13">
              <w:rPr>
                <w:rFonts w:cs="Open Sans"/>
              </w:rPr>
              <w:t>Neil quickly became a valued member of the Woolworths team</w:t>
            </w:r>
            <w:r>
              <w:rPr>
                <w:rFonts w:cs="Open Sans"/>
              </w:rPr>
              <w:t xml:space="preserve"> </w:t>
            </w:r>
            <w:r w:rsidRPr="00BE5B13">
              <w:rPr>
                <w:rFonts w:cs="Open Sans"/>
              </w:rPr>
              <w:t xml:space="preserve">by contributing to store operations and doing tasks such as arranging products on shelves, </w:t>
            </w:r>
            <w:r>
              <w:rPr>
                <w:rFonts w:cs="Open Sans"/>
              </w:rPr>
              <w:t xml:space="preserve">working </w:t>
            </w:r>
            <w:r w:rsidRPr="00BE5B13">
              <w:rPr>
                <w:rFonts w:cs="Open Sans"/>
              </w:rPr>
              <w:t>the cardboard crusher and the pallets. His co-workers talk about how cheeky he is and how much they enjoy having him as part of the team.</w:t>
            </w:r>
          </w:p>
          <w:p w14:paraId="07C3B7F4" w14:textId="77777777" w:rsidR="00E23E77" w:rsidRPr="00BE5B13" w:rsidRDefault="00E23E77" w:rsidP="00E23E77">
            <w:pPr>
              <w:rPr>
                <w:rFonts w:cs="Open Sans"/>
              </w:rPr>
            </w:pPr>
            <w:r w:rsidRPr="00BE5B13">
              <w:rPr>
                <w:rFonts w:cs="Open Sans"/>
              </w:rPr>
              <w:t>Neil loves working at Woolworths. Neil’s parents say that since he started working at Woolworths there has been an increase in his confidence, social skills, independence and mental health.</w:t>
            </w:r>
          </w:p>
          <w:p w14:paraId="7A74B0A7" w14:textId="77777777" w:rsidR="00E23E77" w:rsidRPr="00BE5B13" w:rsidRDefault="00E23E77" w:rsidP="00E23E77">
            <w:pPr>
              <w:rPr>
                <w:rFonts w:cs="Open Sans"/>
              </w:rPr>
            </w:pPr>
            <w:r w:rsidRPr="00BE5B13">
              <w:rPr>
                <w:rFonts w:cs="Open Sans"/>
              </w:rPr>
              <w:t>Being paid at full award wages has enabled Neil to socialise outside of his family home. He and his aunt regularly go to the football and recently, for the first time Neil was able to pay for food and buy himself a scarf. Neil’s dad now looks forward to Neil buying him a beer.</w:t>
            </w:r>
          </w:p>
          <w:p w14:paraId="6A24978A" w14:textId="56F80704" w:rsidR="00E23E77" w:rsidRDefault="00E23E77" w:rsidP="00D565FE">
            <w:pPr>
              <w:rPr>
                <w:rFonts w:cs="Open Sans"/>
              </w:rPr>
            </w:pPr>
            <w:r w:rsidRPr="00BE5B13">
              <w:rPr>
                <w:rFonts w:cs="Open Sans"/>
              </w:rPr>
              <w:t>Woolworths offered Neil continued employment at the end of the 12-week pilot period.</w:t>
            </w:r>
            <w:r>
              <w:rPr>
                <w:rFonts w:cs="Open Sans"/>
              </w:rPr>
              <w:t xml:space="preserve"> </w:t>
            </w:r>
            <w:r w:rsidRPr="00BE5B13">
              <w:rPr>
                <w:rFonts w:cs="Open Sans"/>
              </w:rPr>
              <w:t>Neil is one of many participants in the IncludeAbility pilots who have gained continued employment, at or above award wages, beyond the IncludeAbility pilot employment period</w:t>
            </w:r>
            <w:r w:rsidRPr="001D2981">
              <w:rPr>
                <w:rFonts w:cs="Open Sans"/>
              </w:rPr>
              <w:t>.</w:t>
            </w:r>
          </w:p>
        </w:tc>
      </w:tr>
    </w:tbl>
    <w:p w14:paraId="10BEC528" w14:textId="77777777" w:rsidR="00E23E77" w:rsidRDefault="00E23E77" w:rsidP="00D565FE">
      <w:pPr>
        <w:rPr>
          <w:rFonts w:cs="Open Sans"/>
        </w:rPr>
      </w:pPr>
    </w:p>
    <w:p w14:paraId="2324A788" w14:textId="33DD95CA" w:rsidR="00D565FE" w:rsidRPr="00AB6973" w:rsidRDefault="00D565FE" w:rsidP="00D565FE">
      <w:pPr>
        <w:rPr>
          <w:rFonts w:cs="Open Sans"/>
        </w:rPr>
      </w:pPr>
      <w:r w:rsidRPr="00AB6973">
        <w:rPr>
          <w:rFonts w:cs="Open Sans"/>
        </w:rPr>
        <w:t>The pilots are one of the four pillars in the innovative IncludeAbility model for successful disability employment. The Commission will publish the findings from IncludeAbility in October 2023, including policy and practice recommendations for the model to be scaled and replicated.</w:t>
      </w:r>
    </w:p>
    <w:p w14:paraId="503BCCD8" w14:textId="77777777" w:rsidR="00D565FE" w:rsidRPr="00AB6973" w:rsidRDefault="00D565FE" w:rsidP="00E23E77">
      <w:pPr>
        <w:pStyle w:val="Heading5"/>
      </w:pPr>
      <w:r w:rsidRPr="00AB6973">
        <w:t>Constructive dialogue with the NDIS Quality and Safeguards Commission</w:t>
      </w:r>
    </w:p>
    <w:p w14:paraId="212E5C67" w14:textId="5AC46C4D" w:rsidR="00D565FE" w:rsidRPr="00AB6973" w:rsidRDefault="00D565FE" w:rsidP="00D565FE">
      <w:pPr>
        <w:rPr>
          <w:rFonts w:cs="Open Sans"/>
        </w:rPr>
      </w:pPr>
      <w:r w:rsidRPr="00AB6973">
        <w:rPr>
          <w:rFonts w:cs="Open Sans"/>
        </w:rPr>
        <w:t>The Disability Rights Team is engaging in an open dialogue with the NDIS Quality and Safeguards Commission (NDIS Commission)</w:t>
      </w:r>
      <w:r w:rsidR="00A8576A">
        <w:rPr>
          <w:rFonts w:cs="Open Sans"/>
        </w:rPr>
        <w:t xml:space="preserve">, helping to operationalise its </w:t>
      </w:r>
      <w:r w:rsidRPr="00AB6973">
        <w:rPr>
          <w:rFonts w:cs="Open Sans"/>
        </w:rPr>
        <w:t>new Strategic Plan.</w:t>
      </w:r>
    </w:p>
    <w:p w14:paraId="0A9B9E68" w14:textId="225CEF50" w:rsidR="00D565FE" w:rsidRPr="00AB6973" w:rsidRDefault="00D565FE" w:rsidP="00D565FE">
      <w:pPr>
        <w:rPr>
          <w:rFonts w:cs="Open Sans"/>
        </w:rPr>
      </w:pPr>
      <w:r w:rsidRPr="00AB6973">
        <w:rPr>
          <w:rFonts w:cs="Open Sans"/>
        </w:rPr>
        <w:t>The Commission has hosted workshops and briefings on human rights frameworks that can be applied in the NDIS’ Commission’s regulatory functions. Through this constructive dialogue, the two Commissions have fostered an open and collaborative relationship to advance human rights protections for NDIS participants.</w:t>
      </w:r>
    </w:p>
    <w:p w14:paraId="0F18BE19" w14:textId="77777777" w:rsidR="00D565FE" w:rsidRPr="00AB6973" w:rsidRDefault="00D565FE" w:rsidP="00D565FE">
      <w:pPr>
        <w:rPr>
          <w:rFonts w:cs="Open Sans"/>
        </w:rPr>
      </w:pPr>
      <w:r w:rsidRPr="00AB6973">
        <w:rPr>
          <w:rFonts w:cs="Open Sans"/>
        </w:rPr>
        <w:t xml:space="preserve">The partnership contributes to advancing the fundamental human rights under Articles 16 and 19 of the </w:t>
      </w:r>
      <w:r w:rsidRPr="00D557A7">
        <w:rPr>
          <w:rStyle w:val="Emphasis"/>
        </w:rPr>
        <w:t>Convention on the Rights of Persons with Disabilities</w:t>
      </w:r>
      <w:r w:rsidRPr="00AB6973">
        <w:rPr>
          <w:rFonts w:cs="Open Sans"/>
        </w:rPr>
        <w:t>.</w:t>
      </w:r>
    </w:p>
    <w:p w14:paraId="4F51B524" w14:textId="22EDD758" w:rsidR="009515B1" w:rsidRPr="00AB6973" w:rsidRDefault="00D565FE" w:rsidP="00D565FE">
      <w:pPr>
        <w:rPr>
          <w:rFonts w:cs="Open Sans"/>
        </w:rPr>
      </w:pPr>
      <w:r w:rsidRPr="00AB6973">
        <w:rPr>
          <w:rFonts w:cs="Open Sans"/>
        </w:rPr>
        <w:t>The Commission welcomes the NDIS Commission’s commitment to human rights and will continue to provide support for a robust NDIS safeguarding system.</w:t>
      </w:r>
    </w:p>
    <w:p w14:paraId="404DC80C" w14:textId="6B6B792E" w:rsidR="00D565FE" w:rsidRPr="00AB6973" w:rsidRDefault="00D565FE" w:rsidP="00E23E77">
      <w:pPr>
        <w:pStyle w:val="Heading5"/>
      </w:pPr>
      <w:r w:rsidRPr="00AB6973">
        <w:t xml:space="preserve">Wiyi Yani U Thangani First Nations </w:t>
      </w:r>
      <w:r w:rsidRPr="00E23E77">
        <w:t>Women’s</w:t>
      </w:r>
      <w:r w:rsidRPr="00AB6973">
        <w:t xml:space="preserve"> Safety</w:t>
      </w:r>
    </w:p>
    <w:p w14:paraId="1AE5DF91" w14:textId="015F94D4" w:rsidR="00D952AA" w:rsidRPr="00AB6973" w:rsidRDefault="00D565FE" w:rsidP="00D565FE">
      <w:pPr>
        <w:rPr>
          <w:rFonts w:cs="Open Sans"/>
        </w:rPr>
      </w:pPr>
      <w:r w:rsidRPr="00AB6973">
        <w:rPr>
          <w:rFonts w:cs="Open Sans"/>
        </w:rPr>
        <w:t>The Wiyi Yani U Thangani First Nations Women’s Safety Policy Forum was held virtually on 12 September 2022. It brought over 150 participants together, including First Nations community members, practitioners, researchers, specialist experts and government participants to consider how to address the root causes and drivers of violence, as the government prepares to deliver on its commitment to develop a standalone National Plan to End Violence against First Nations Women and Children (standalone National Plan).</w:t>
      </w:r>
    </w:p>
    <w:p w14:paraId="1FDF5C54" w14:textId="2474DECD" w:rsidR="00476CBF" w:rsidRPr="00AB6973" w:rsidRDefault="00D565FE" w:rsidP="00D565FE">
      <w:pPr>
        <w:rPr>
          <w:rFonts w:cs="Open Sans"/>
        </w:rPr>
      </w:pPr>
      <w:r w:rsidRPr="00AB6973">
        <w:rPr>
          <w:rFonts w:cs="Open Sans"/>
        </w:rPr>
        <w:t>The Forum is a major milestone in the third stage of the Wiyi Yani U Thangani (Women’s Voices) multiyear project.</w:t>
      </w:r>
    </w:p>
    <w:p w14:paraId="0AF87B48" w14:textId="2A29586A" w:rsidR="00D565FE" w:rsidRDefault="00D565FE" w:rsidP="00D565FE">
      <w:pPr>
        <w:rPr>
          <w:rFonts w:cs="Open Sans"/>
        </w:rPr>
      </w:pPr>
      <w:r w:rsidRPr="00AB6973">
        <w:rPr>
          <w:rFonts w:cs="Open Sans"/>
        </w:rPr>
        <w:t xml:space="preserve">In designing the Forum, First Nations women </w:t>
      </w:r>
      <w:r w:rsidR="00B4278B">
        <w:rPr>
          <w:rFonts w:cs="Open Sans"/>
        </w:rPr>
        <w:t>came</w:t>
      </w:r>
      <w:r w:rsidRPr="00AB6973">
        <w:rPr>
          <w:rFonts w:cs="Open Sans"/>
        </w:rPr>
        <w:t xml:space="preserve"> together to provide expert advice and determine the priorities and themes </w:t>
      </w:r>
      <w:r w:rsidR="00A9293E">
        <w:rPr>
          <w:rFonts w:cs="Open Sans"/>
        </w:rPr>
        <w:t xml:space="preserve">for </w:t>
      </w:r>
      <w:r w:rsidRPr="00AB6973">
        <w:rPr>
          <w:rFonts w:cs="Open Sans"/>
        </w:rPr>
        <w:t>the Forum. This advice informed two Forum panels</w:t>
      </w:r>
      <w:r w:rsidR="00313B88">
        <w:rPr>
          <w:rFonts w:cs="Open Sans"/>
        </w:rPr>
        <w:t>;</w:t>
      </w:r>
      <w:r w:rsidRPr="00AB6973">
        <w:rPr>
          <w:rFonts w:cs="Open Sans"/>
        </w:rPr>
        <w:t xml:space="preserve"> ‘Vision for the First Nations National Plan’, and ‘Addressing the continuum of violence’. The panels heard from leading First Nations family violence experts and practitioners. They spoke to priorities for the standalone National Plan and what it should build on, and how the intersectional systemic drivers of violence must be addressed. Both panels discussed the need for systems reform, investment in holistic community-controlled models, and the importance of guaranteeing First Nations women’s voices and expertise in forming national policy, legislation and programs to effectively respond to and end violence.</w:t>
      </w:r>
    </w:p>
    <w:p w14:paraId="21FD81EB" w14:textId="77777777" w:rsidR="00D952AA" w:rsidRDefault="00D952AA" w:rsidP="00D565FE">
      <w:pPr>
        <w:rPr>
          <w:rFonts w:cs="Open Sans"/>
        </w:rPr>
      </w:pPr>
    </w:p>
    <w:p w14:paraId="79D13749" w14:textId="4C73AD18" w:rsidR="00E23E77" w:rsidRPr="00E23E77" w:rsidRDefault="00E23E77" w:rsidP="00CE6E55">
      <w:pPr>
        <w:pStyle w:val="IntenseQuote"/>
        <w:pBdr>
          <w:left w:val="single" w:sz="36" w:space="10" w:color="4472C4" w:themeColor="accent5"/>
        </w:pBdr>
        <w:rPr>
          <w:rStyle w:val="Strong"/>
        </w:rPr>
      </w:pPr>
      <w:r w:rsidRPr="00E23E77">
        <w:t xml:space="preserve">We have committed to delivering a dedicated National Plan for First Nations people to end violence against women and family violence … As a government, we are absolutely committed to putting the voices and aspirations of First Nations women and girls at the centre of plans to improve family safety. </w:t>
      </w:r>
      <w:r>
        <w:t>—</w:t>
      </w:r>
      <w:r w:rsidRPr="00E23E77">
        <w:rPr>
          <w:rStyle w:val="Strong"/>
        </w:rPr>
        <w:t>Minister for Indigenous Australians, the Hon Linda Burney MP</w:t>
      </w:r>
    </w:p>
    <w:p w14:paraId="22D8BB49" w14:textId="77777777" w:rsidR="00E23E77" w:rsidRPr="00AB6973" w:rsidRDefault="00E23E77" w:rsidP="00D565FE">
      <w:pPr>
        <w:rPr>
          <w:rFonts w:cs="Open Sans"/>
        </w:rPr>
      </w:pPr>
    </w:p>
    <w:p w14:paraId="799E22E3" w14:textId="77777777" w:rsidR="00D565FE" w:rsidRPr="00AB6973" w:rsidRDefault="00D565FE" w:rsidP="00D565FE">
      <w:pPr>
        <w:rPr>
          <w:rFonts w:cs="Open Sans"/>
        </w:rPr>
      </w:pPr>
      <w:r w:rsidRPr="00AB6973">
        <w:rPr>
          <w:rFonts w:cs="Open Sans"/>
        </w:rPr>
        <w:t xml:space="preserve">The Policy Forum created a self-determining space where First Nations women could speak on their own terms, drawing on their expertise and lived experience around the issues of violence against First Nations women, and to inform a pathway forward to guarantee that their voices are central to developing national plans to end violence. </w:t>
      </w:r>
    </w:p>
    <w:p w14:paraId="37A540ED" w14:textId="455A698E" w:rsidR="00D952AA" w:rsidRPr="00AB6973" w:rsidRDefault="00D565FE" w:rsidP="00D565FE">
      <w:pPr>
        <w:rPr>
          <w:rFonts w:cs="Open Sans"/>
        </w:rPr>
      </w:pPr>
      <w:r w:rsidRPr="00AB6973">
        <w:rPr>
          <w:rFonts w:cs="Open Sans"/>
        </w:rPr>
        <w:t xml:space="preserve">Following the Forum, delegates released a </w:t>
      </w:r>
      <w:hyperlink r:id="rId58" w:history="1">
        <w:r w:rsidRPr="00DC0051">
          <w:rPr>
            <w:rStyle w:val="Hyperlink"/>
            <w:rFonts w:cs="Open Sans"/>
          </w:rPr>
          <w:t>Delegate Statement</w:t>
        </w:r>
      </w:hyperlink>
      <w:r w:rsidRPr="00DC0051">
        <w:rPr>
          <w:rStyle w:val="Hyperlink"/>
          <w:rFonts w:cs="Open Sans"/>
        </w:rPr>
        <w:t>,</w:t>
      </w:r>
      <w:r w:rsidRPr="00AB6973">
        <w:rPr>
          <w:rFonts w:cs="Open Sans"/>
        </w:rPr>
        <w:t xml:space="preserve"> calling on governments to listen and respond.</w:t>
      </w:r>
    </w:p>
    <w:p w14:paraId="7F0E00C6" w14:textId="38905975" w:rsidR="00D952AA" w:rsidRPr="00AB6973" w:rsidRDefault="00D565FE" w:rsidP="00D565FE">
      <w:pPr>
        <w:rPr>
          <w:rFonts w:cs="Open Sans"/>
        </w:rPr>
      </w:pPr>
      <w:r w:rsidRPr="00AB6973">
        <w:rPr>
          <w:rFonts w:cs="Open Sans"/>
        </w:rPr>
        <w:t xml:space="preserve">In collaboration with Policy Forum panellists and expert advisers, the Australian Human Rights Commission published the </w:t>
      </w:r>
      <w:hyperlink r:id="rId59" w:history="1">
        <w:r w:rsidRPr="00DC0051">
          <w:rPr>
            <w:rStyle w:val="Hyperlink"/>
            <w:rFonts w:cs="Open Sans"/>
          </w:rPr>
          <w:t>Policy Forum Outcomes Report</w:t>
        </w:r>
      </w:hyperlink>
      <w:r w:rsidRPr="00DC0051">
        <w:rPr>
          <w:rStyle w:val="Hyperlink"/>
          <w:rFonts w:cs="Open Sans"/>
        </w:rPr>
        <w:t>,</w:t>
      </w:r>
      <w:r w:rsidRPr="00AB6973">
        <w:rPr>
          <w:rFonts w:cs="Open Sans"/>
        </w:rPr>
        <w:t xml:space="preserve"> bringing together related evidence and literature and the voices of Policy Forum delegates to recommend a pathway forward – a starting point to create the processes and mechanisms that will guarantee that First Nations women and children in all their diversity are active participants with governments to work on the policies and approaches that will end violence in their lives.</w:t>
      </w:r>
    </w:p>
    <w:p w14:paraId="7DE7F067" w14:textId="6807F744" w:rsidR="00D565FE" w:rsidRPr="00AB6973" w:rsidRDefault="00D565FE" w:rsidP="00D565FE">
      <w:pPr>
        <w:rPr>
          <w:rFonts w:cs="Open Sans"/>
        </w:rPr>
      </w:pPr>
      <w:r w:rsidRPr="00AB6973">
        <w:rPr>
          <w:rFonts w:cs="Open Sans"/>
        </w:rPr>
        <w:t>The Outcomes Report outlines the priority areas raised by Forum delegates and recommends next steps for the Australian Government to effectively progress the standalone National Plan.</w:t>
      </w:r>
    </w:p>
    <w:p w14:paraId="45FE8EFC" w14:textId="77777777" w:rsidR="00D565FE" w:rsidRDefault="00D565FE" w:rsidP="00D565FE">
      <w:pPr>
        <w:rPr>
          <w:rFonts w:cs="Open Sans"/>
        </w:rPr>
      </w:pPr>
      <w:r w:rsidRPr="00AB6973">
        <w:rPr>
          <w:rFonts w:cs="Open Sans"/>
        </w:rPr>
        <w:t xml:space="preserve">Elevating the voices of First Nations women and girls on the issues, policies and practices that impact their lives is central to the Commissioner’s goals. </w:t>
      </w:r>
    </w:p>
    <w:p w14:paraId="01584184" w14:textId="77777777" w:rsidR="00D952AA" w:rsidRDefault="00D952AA" w:rsidP="00D565FE">
      <w:pPr>
        <w:rPr>
          <w:rFonts w:cs="Open Sans"/>
        </w:rPr>
      </w:pPr>
    </w:p>
    <w:p w14:paraId="50B8DACC" w14:textId="4CC890EA" w:rsidR="00E23E77" w:rsidRPr="003075E1" w:rsidRDefault="00E23E77" w:rsidP="00CE6E55">
      <w:pPr>
        <w:pStyle w:val="IntenseQuote"/>
        <w:pBdr>
          <w:left w:val="single" w:sz="36" w:space="10" w:color="4472C4" w:themeColor="accent5"/>
        </w:pBdr>
      </w:pPr>
      <w:r w:rsidRPr="00D952AA">
        <w:t xml:space="preserve">We, the delegates, call on all Australian governments to take urgent and ongoing action to invest in the solutions of First Nations women to end violence, and ensure commitment to our human rights. It is the responsibility of all levels of government to ensure our rights are protected by listening and acting on the solutions put forward by First Nations women, victim-survivors and specialist community-controlled organisations. </w:t>
      </w:r>
      <w:r>
        <w:t>—</w:t>
      </w:r>
      <w:r w:rsidRPr="00E23E77">
        <w:rPr>
          <w:rStyle w:val="Strong"/>
        </w:rPr>
        <w:t>Excerpt from the Forum Delegates Statement</w:t>
      </w:r>
    </w:p>
    <w:p w14:paraId="2DDC06F2" w14:textId="77777777" w:rsidR="00E23E77" w:rsidRDefault="00E23E77" w:rsidP="00D565FE">
      <w:pPr>
        <w:rPr>
          <w:rFonts w:cs="Open Sans"/>
        </w:rPr>
      </w:pPr>
    </w:p>
    <w:p w14:paraId="6071F799" w14:textId="606B6BF1" w:rsidR="00D952AA" w:rsidRPr="00AB6973" w:rsidRDefault="00D565FE" w:rsidP="00D565FE">
      <w:pPr>
        <w:rPr>
          <w:rFonts w:cs="Open Sans"/>
        </w:rPr>
      </w:pPr>
      <w:r w:rsidRPr="00AB6973">
        <w:rPr>
          <w:rFonts w:cs="Open Sans"/>
        </w:rPr>
        <w:t>The Wiyi Yani U Thangani (Women’s Voices) Project, led by Commissioner June Oscar AO, highlights the significant opportunities of recognising and investing in women and girls’ strengths, and including their voices in policy design that can drive systemic change and break cycles of disadvantage. It created create self-determining spaces for First Nations women to gather, share knowledge and elevate their solutions, in dialogue with governments and decision-makers.</w:t>
      </w:r>
    </w:p>
    <w:p w14:paraId="63959AFB" w14:textId="1418D86A" w:rsidR="00D952AA" w:rsidRPr="00AB6973" w:rsidRDefault="00D565FE" w:rsidP="00D565FE">
      <w:pPr>
        <w:rPr>
          <w:rFonts w:cs="Open Sans"/>
        </w:rPr>
      </w:pPr>
      <w:r w:rsidRPr="00AB6973">
        <w:rPr>
          <w:rFonts w:cs="Open Sans"/>
        </w:rPr>
        <w:t xml:space="preserve">Ending violence is at the centre of the Wiyi Yani U Thangani Project. The Policy Forum was key to building on the evidence and major themes of Wiyi Yani U Thangani to address the drivers of violence and create conditions for intergenerational wellbeing and safety, and to put these forwards to inform the development of plans at the national level. </w:t>
      </w:r>
    </w:p>
    <w:p w14:paraId="11646F65" w14:textId="77777777" w:rsidR="00D565FE" w:rsidRDefault="00D565FE" w:rsidP="00E23E77">
      <w:pPr>
        <w:pStyle w:val="Heading5"/>
      </w:pPr>
      <w:r w:rsidRPr="00AB6973">
        <w:t>Supporting Quality Engagement with Children (SQE)</w:t>
      </w:r>
    </w:p>
    <w:p w14:paraId="551221AC" w14:textId="05E8A2AE" w:rsidR="00D565FE" w:rsidRPr="00AB6973" w:rsidRDefault="00D565FE" w:rsidP="00D565FE">
      <w:pPr>
        <w:rPr>
          <w:rFonts w:eastAsia="Open Sans" w:cs="Open Sans"/>
        </w:rPr>
      </w:pPr>
      <w:r w:rsidRPr="00AB6973">
        <w:rPr>
          <w:rFonts w:cs="Open Sans"/>
        </w:rPr>
        <w:t>The</w:t>
      </w:r>
      <w:r w:rsidRPr="00AB6973">
        <w:rPr>
          <w:rFonts w:eastAsia="Open Sans" w:cs="Open Sans"/>
        </w:rPr>
        <w:t xml:space="preserve"> Supporting Quality Engagement with Children (SQE) comprises consultation activities across five Key Commonwealth Strategies (across 2023–2025):</w:t>
      </w:r>
    </w:p>
    <w:p w14:paraId="33A2B53A" w14:textId="4AC305C6" w:rsidR="00D565FE" w:rsidRPr="00E23E77" w:rsidRDefault="00D565FE" w:rsidP="00E23E77">
      <w:pPr>
        <w:pStyle w:val="ListBullet"/>
      </w:pPr>
      <w:r w:rsidRPr="00E23E77">
        <w:t>Safe and Supported: The National Framework for Protecting Australia’s Children 2021–2031 (DSS)</w:t>
      </w:r>
      <w:r w:rsidR="007A0DF4">
        <w:t>.</w:t>
      </w:r>
    </w:p>
    <w:p w14:paraId="040F4193" w14:textId="1476C38F" w:rsidR="00D565FE" w:rsidRPr="00E23E77" w:rsidRDefault="00D565FE" w:rsidP="00E23E77">
      <w:pPr>
        <w:pStyle w:val="ListBullet"/>
      </w:pPr>
      <w:r w:rsidRPr="00E23E77">
        <w:t>National Plan to End Violence against Women and Children 2022–2032 (DSS)</w:t>
      </w:r>
    </w:p>
    <w:p w14:paraId="58534D2A" w14:textId="10D15BFF" w:rsidR="00D565FE" w:rsidRPr="00E23E77" w:rsidRDefault="00D565FE" w:rsidP="00E23E77">
      <w:pPr>
        <w:pStyle w:val="ListBullet"/>
      </w:pPr>
      <w:r w:rsidRPr="00E23E77">
        <w:t>Australia’s Disability Strategy 2021–2031 (DSS)</w:t>
      </w:r>
      <w:r w:rsidR="007A0DF4">
        <w:t>.</w:t>
      </w:r>
    </w:p>
    <w:p w14:paraId="0EC416E8" w14:textId="123EDDD8" w:rsidR="00D565FE" w:rsidRPr="00E23E77" w:rsidRDefault="00D565FE" w:rsidP="00E23E77">
      <w:pPr>
        <w:pStyle w:val="ListBullet"/>
      </w:pPr>
      <w:r w:rsidRPr="00E23E77">
        <w:t>National Strategy to Prevent and Respond to Child Sexual Abuse 2021–2030 (AGD)</w:t>
      </w:r>
      <w:r w:rsidR="007A0DF4">
        <w:t>.</w:t>
      </w:r>
    </w:p>
    <w:p w14:paraId="1398EB7F" w14:textId="297896D3" w:rsidR="00D952AA" w:rsidRPr="00AB6973" w:rsidRDefault="00D565FE" w:rsidP="00E23E77">
      <w:pPr>
        <w:pStyle w:val="ListBullet"/>
      </w:pPr>
      <w:r w:rsidRPr="00E23E77">
        <w:t>National Aboriginal</w:t>
      </w:r>
      <w:r w:rsidRPr="00AB6973">
        <w:t xml:space="preserve"> and Torres Strait Islander Early Childhood Strategy (NIAA)</w:t>
      </w:r>
      <w:r w:rsidR="007A0DF4">
        <w:t>.</w:t>
      </w:r>
    </w:p>
    <w:p w14:paraId="6ECB0F21" w14:textId="6B5B6519" w:rsidR="00D952AA" w:rsidRPr="00AB6973" w:rsidRDefault="00D565FE" w:rsidP="00D565FE">
      <w:pPr>
        <w:rPr>
          <w:rFonts w:eastAsia="Open Sans" w:cs="Open Sans"/>
        </w:rPr>
      </w:pPr>
      <w:r w:rsidRPr="00AB6973">
        <w:rPr>
          <w:rFonts w:eastAsia="Open Sans" w:cs="Open Sans"/>
        </w:rPr>
        <w:t>In this first year, the project has focused on the National Strategy to Prevent and Respond to Child Sexual Abuse 2021–2030, drawing on the lived experiences and views of children, young people, and their families, contributing to the evidence base informing the design and implementation of Australian Government policies affecting them.</w:t>
      </w:r>
    </w:p>
    <w:p w14:paraId="2A4D6675" w14:textId="2C425889" w:rsidR="00D952AA" w:rsidRPr="00AB6973" w:rsidRDefault="00D565FE" w:rsidP="00D565FE">
      <w:pPr>
        <w:rPr>
          <w:rFonts w:eastAsia="Open Sans" w:cs="Open Sans"/>
        </w:rPr>
      </w:pPr>
      <w:r w:rsidRPr="00AB6973">
        <w:rPr>
          <w:rFonts w:eastAsia="Open Sans" w:cs="Open Sans"/>
        </w:rPr>
        <w:t xml:space="preserve">The Department of Social Services (DSS) has funded the Commission, </w:t>
      </w:r>
      <w:r w:rsidR="00A44E26" w:rsidRPr="00AB6973">
        <w:rPr>
          <w:rFonts w:eastAsia="Open Sans" w:cs="Open Sans"/>
        </w:rPr>
        <w:t>for the</w:t>
      </w:r>
      <w:r w:rsidRPr="00AB6973">
        <w:rPr>
          <w:rFonts w:eastAsia="Open Sans" w:cs="Open Sans"/>
        </w:rPr>
        <w:t xml:space="preserve"> National Children’s Commissioner (NCC) to undertake this consultation project over three years (2023–2025).</w:t>
      </w:r>
    </w:p>
    <w:p w14:paraId="41DC2CAF" w14:textId="72A93421" w:rsidR="00D565FE" w:rsidRDefault="00D565FE" w:rsidP="00D565FE">
      <w:pPr>
        <w:rPr>
          <w:rFonts w:eastAsia="Open Sans" w:cs="Open Sans"/>
        </w:rPr>
      </w:pPr>
      <w:r w:rsidRPr="00AB6973">
        <w:rPr>
          <w:rFonts w:eastAsia="Open Sans" w:cs="Open Sans"/>
        </w:rPr>
        <w:t>The NCC developed a consultation approach based on a literature review of international best practice. This was tested with an expert reference group, and concept tested and piloted with a range of young people.</w:t>
      </w:r>
    </w:p>
    <w:p w14:paraId="582EBA6A" w14:textId="77777777" w:rsidR="00D952AA" w:rsidRDefault="00D952AA" w:rsidP="00D565FE">
      <w:pPr>
        <w:rPr>
          <w:rFonts w:eastAsia="Open Sans" w:cs="Open Sans"/>
        </w:rPr>
      </w:pPr>
    </w:p>
    <w:p w14:paraId="643B6CD4" w14:textId="5067CCBA" w:rsidR="00E23E77" w:rsidRPr="00D952AA" w:rsidRDefault="00E23E77" w:rsidP="00CE6E55">
      <w:pPr>
        <w:pStyle w:val="IntenseQuote"/>
        <w:pBdr>
          <w:left w:val="single" w:sz="36" w:space="10" w:color="4472C4" w:themeColor="accent5"/>
        </w:pBdr>
      </w:pPr>
      <w:r w:rsidRPr="00794E93">
        <w:t>T</w:t>
      </w:r>
      <w:r w:rsidRPr="00D952AA">
        <w:t>he project is really valuable, timely and will play an important part in informing national work.</w:t>
      </w:r>
      <w:r>
        <w:t xml:space="preserve"> —</w:t>
      </w:r>
      <w:r w:rsidRPr="00E23E77">
        <w:rPr>
          <w:rStyle w:val="Strong"/>
        </w:rPr>
        <w:t>Feedback from reference group member</w:t>
      </w:r>
    </w:p>
    <w:p w14:paraId="4E34A953" w14:textId="77777777" w:rsidR="00E23E77" w:rsidRPr="00AB6973" w:rsidRDefault="00E23E77" w:rsidP="00D565FE">
      <w:pPr>
        <w:rPr>
          <w:rFonts w:eastAsia="Open Sans" w:cs="Open Sans"/>
        </w:rPr>
      </w:pPr>
    </w:p>
    <w:p w14:paraId="36AB1722" w14:textId="0EF9B3CC" w:rsidR="00D565FE" w:rsidRPr="00AB6973" w:rsidRDefault="00D565FE" w:rsidP="00D565FE">
      <w:pPr>
        <w:rPr>
          <w:rFonts w:eastAsia="Open Sans" w:cs="Open Sans"/>
        </w:rPr>
      </w:pPr>
      <w:r w:rsidRPr="00AB6973">
        <w:rPr>
          <w:rFonts w:eastAsia="Open Sans" w:cs="Open Sans"/>
        </w:rPr>
        <w:t xml:space="preserve">In May 2023, the NCC convened a meeting of the academic expert reference group to discuss approaches to the consultations. The group </w:t>
      </w:r>
      <w:r w:rsidR="00F61DE7">
        <w:rPr>
          <w:rFonts w:eastAsia="Open Sans" w:cs="Open Sans"/>
        </w:rPr>
        <w:t>welcomed</w:t>
      </w:r>
      <w:r w:rsidR="00B44885">
        <w:rPr>
          <w:rFonts w:eastAsia="Open Sans" w:cs="Open Sans"/>
        </w:rPr>
        <w:t xml:space="preserve"> the</w:t>
      </w:r>
      <w:r w:rsidR="00F61DE7">
        <w:rPr>
          <w:rFonts w:eastAsia="Open Sans" w:cs="Open Sans"/>
        </w:rPr>
        <w:t xml:space="preserve"> </w:t>
      </w:r>
      <w:r w:rsidRPr="00AB6973">
        <w:rPr>
          <w:rFonts w:eastAsia="Open Sans" w:cs="Open Sans"/>
        </w:rPr>
        <w:t>robust discussion and collaborat</w:t>
      </w:r>
      <w:r w:rsidR="001408E9">
        <w:rPr>
          <w:rFonts w:eastAsia="Open Sans" w:cs="Open Sans"/>
        </w:rPr>
        <w:t>ion</w:t>
      </w:r>
      <w:r w:rsidRPr="00AB6973">
        <w:rPr>
          <w:rFonts w:eastAsia="Open Sans" w:cs="Open Sans"/>
        </w:rPr>
        <w:t xml:space="preserve"> on </w:t>
      </w:r>
      <w:r w:rsidR="0036322B">
        <w:rPr>
          <w:rFonts w:eastAsia="Open Sans" w:cs="Open Sans"/>
        </w:rPr>
        <w:t>how to</w:t>
      </w:r>
      <w:r w:rsidRPr="00AB6973">
        <w:rPr>
          <w:rFonts w:eastAsia="Open Sans" w:cs="Open Sans"/>
        </w:rPr>
        <w:t xml:space="preserve"> </w:t>
      </w:r>
      <w:r w:rsidR="0036322B">
        <w:rPr>
          <w:rFonts w:eastAsia="Open Sans" w:cs="Open Sans"/>
        </w:rPr>
        <w:t>work</w:t>
      </w:r>
      <w:r w:rsidRPr="00AB6973">
        <w:rPr>
          <w:rFonts w:eastAsia="Open Sans" w:cs="Open Sans"/>
        </w:rPr>
        <w:t xml:space="preserve"> with children and young people. </w:t>
      </w:r>
    </w:p>
    <w:p w14:paraId="5CA339DC" w14:textId="77777777" w:rsidR="00D565FE" w:rsidRDefault="00D565FE" w:rsidP="00D565FE">
      <w:pPr>
        <w:rPr>
          <w:rFonts w:eastAsia="Open Sans" w:cs="Open Sans"/>
        </w:rPr>
      </w:pPr>
      <w:r w:rsidRPr="00AB6973">
        <w:rPr>
          <w:rFonts w:eastAsia="Open Sans" w:cs="Open Sans"/>
        </w:rPr>
        <w:t>Feedback from concept testing highlighted that young people feel empowered when their lived experience is valued. They told us they are very interested in the impact of their views and want to know what happens with the information they share with us.</w:t>
      </w:r>
    </w:p>
    <w:p w14:paraId="6270A86E" w14:textId="77777777" w:rsidR="00495336" w:rsidRDefault="00495336" w:rsidP="00D565FE">
      <w:pPr>
        <w:rPr>
          <w:rFonts w:eastAsia="Open Sans" w:cs="Open Sans"/>
        </w:rPr>
      </w:pPr>
    </w:p>
    <w:p w14:paraId="102CD897" w14:textId="16508A43" w:rsidR="00495336" w:rsidRPr="00BB4B94" w:rsidRDefault="00495336" w:rsidP="00BB4B94">
      <w:pPr>
        <w:pStyle w:val="IntenseQuote"/>
        <w:pBdr>
          <w:left w:val="single" w:sz="36" w:space="10" w:color="4472C4" w:themeColor="accent5"/>
        </w:pBdr>
      </w:pPr>
      <w:r w:rsidRPr="00BB4B94">
        <w:t xml:space="preserve">‘Our students they said they thoroughly enjoyed the conversation and felt really empowered throughout the whole consultation.’ </w:t>
      </w:r>
    </w:p>
    <w:p w14:paraId="1E17C52D" w14:textId="77777777" w:rsidR="00BB4B94" w:rsidRPr="00BB4B94" w:rsidRDefault="00495336" w:rsidP="00BB4B94">
      <w:pPr>
        <w:pStyle w:val="IntenseQuote"/>
        <w:pBdr>
          <w:left w:val="single" w:sz="36" w:space="10" w:color="4472C4" w:themeColor="accent5"/>
        </w:pBdr>
      </w:pPr>
      <w:r w:rsidRPr="00BB4B94">
        <w:t>‘Participants “loved” the session and wanted to do it again, the kids had “such a joyful reaction”</w:t>
      </w:r>
      <w:r w:rsidR="007A0DF4" w:rsidRPr="00BB4B94">
        <w:t xml:space="preserve"> </w:t>
      </w:r>
      <w:r w:rsidRPr="00BB4B94">
        <w:t>’.</w:t>
      </w:r>
      <w:r w:rsidR="00BB4B94" w:rsidRPr="00BB4B94">
        <w:t xml:space="preserve"> </w:t>
      </w:r>
    </w:p>
    <w:p w14:paraId="237DE103" w14:textId="4F926646" w:rsidR="00495336" w:rsidRPr="00BB4B94" w:rsidRDefault="00BB4B94" w:rsidP="00BB4B94">
      <w:pPr>
        <w:pStyle w:val="IntenseQuote"/>
        <w:pBdr>
          <w:left w:val="single" w:sz="36" w:space="10" w:color="4472C4" w:themeColor="accent5"/>
        </w:pBdr>
        <w:jc w:val="right"/>
      </w:pPr>
      <w:r w:rsidRPr="00BB4B94">
        <w:t>—</w:t>
      </w:r>
      <w:r w:rsidRPr="00BB4B94">
        <w:rPr>
          <w:rStyle w:val="Strong"/>
        </w:rPr>
        <w:t>Feedback from teachers in the pilot testing</w:t>
      </w:r>
    </w:p>
    <w:p w14:paraId="1FD03D6C" w14:textId="77777777" w:rsidR="00495336" w:rsidRPr="00AB6973" w:rsidRDefault="00495336" w:rsidP="00D565FE">
      <w:pPr>
        <w:rPr>
          <w:rFonts w:eastAsia="Open Sans" w:cs="Open Sans"/>
        </w:rPr>
      </w:pPr>
    </w:p>
    <w:p w14:paraId="194E7A9B" w14:textId="1C735415" w:rsidR="00D952AA" w:rsidRPr="00AB6973" w:rsidRDefault="00D565FE" w:rsidP="00D565FE">
      <w:pPr>
        <w:rPr>
          <w:rFonts w:eastAsia="Open Sans" w:cs="Open Sans"/>
        </w:rPr>
      </w:pPr>
      <w:r w:rsidRPr="00AB6973">
        <w:rPr>
          <w:rFonts w:eastAsia="Open Sans" w:cs="Open Sans"/>
        </w:rPr>
        <w:t>Preliminary feedback suggests participation in this project is empowering children and young people to be active agents in matters which impact on them, which is in line with the broader goals of the Commission.</w:t>
      </w:r>
    </w:p>
    <w:p w14:paraId="0BA19D8F" w14:textId="77777777" w:rsidR="00D565FE" w:rsidRPr="00AB6973" w:rsidRDefault="00D565FE" w:rsidP="00D565FE">
      <w:pPr>
        <w:rPr>
          <w:rFonts w:eastAsia="Open Sans" w:cs="Open Sans"/>
        </w:rPr>
      </w:pPr>
      <w:r w:rsidRPr="00AB6973">
        <w:rPr>
          <w:rFonts w:eastAsia="Open Sans" w:cs="Open Sans"/>
        </w:rPr>
        <w:t>The purpose of the project is to embed the voice of children and young people in policy-making, a clear step towards the NCC goal of recognition that children and young people are a national priority in Australia.</w:t>
      </w:r>
    </w:p>
    <w:p w14:paraId="1E3EDD60" w14:textId="188CA792" w:rsidR="00D565FE" w:rsidRPr="00AB6973" w:rsidRDefault="00D565FE" w:rsidP="00495336">
      <w:pPr>
        <w:pStyle w:val="Heading5"/>
      </w:pPr>
      <w:r w:rsidRPr="00AB6973">
        <w:t>Youth Justice and Child Wellbeing Reform project</w:t>
      </w:r>
    </w:p>
    <w:p w14:paraId="6CBF6365" w14:textId="77777777" w:rsidR="00D565FE" w:rsidRDefault="00D565FE" w:rsidP="00D565FE">
      <w:pPr>
        <w:rPr>
          <w:rFonts w:eastAsia="Open Sans" w:cs="Open Sans"/>
        </w:rPr>
      </w:pPr>
      <w:r w:rsidRPr="00AB6973">
        <w:rPr>
          <w:rFonts w:eastAsia="Open Sans" w:cs="Open Sans"/>
        </w:rPr>
        <w:t>In May 2023, the National Children’s Commissioner announced a national project on Youth Justice and Child Wellbeing Reform. The results of this project will be a Statutory Report to the Commonwealth Attorney-General for tabling in Parliament in 2024.</w:t>
      </w:r>
    </w:p>
    <w:p w14:paraId="7151C9B6" w14:textId="77777777" w:rsidR="00495336" w:rsidRDefault="00495336" w:rsidP="00D565FE">
      <w:pPr>
        <w:rPr>
          <w:rFonts w:eastAsia="Open Sans" w:cs="Open Sans"/>
        </w:rPr>
      </w:pPr>
    </w:p>
    <w:p w14:paraId="40E36AC2" w14:textId="435B83C9" w:rsidR="00495336" w:rsidRPr="00495336" w:rsidRDefault="00495336" w:rsidP="00CE6E55">
      <w:pPr>
        <w:pStyle w:val="IntenseQuote"/>
        <w:pBdr>
          <w:left w:val="single" w:sz="36" w:space="10" w:color="4472C4" w:themeColor="accent5"/>
        </w:pBdr>
      </w:pPr>
      <w:r w:rsidRPr="00495336">
        <w:t>‘How open and honest we all were, and how the staff made sure we were comfortable’.</w:t>
      </w:r>
    </w:p>
    <w:p w14:paraId="1F45F572" w14:textId="28DB9CD3" w:rsidR="00495336" w:rsidRPr="00495336" w:rsidRDefault="00495336" w:rsidP="00CE6E55">
      <w:pPr>
        <w:pStyle w:val="IntenseQuote"/>
        <w:pBdr>
          <w:left w:val="single" w:sz="36" w:space="10" w:color="4472C4" w:themeColor="accent5"/>
        </w:pBdr>
      </w:pPr>
      <w:r w:rsidRPr="00495336">
        <w:t>‘Being able to express any opinion’.</w:t>
      </w:r>
    </w:p>
    <w:p w14:paraId="45FA836B" w14:textId="77777777" w:rsidR="004C5528" w:rsidRDefault="00495336" w:rsidP="004C5528">
      <w:pPr>
        <w:pStyle w:val="IntenseQuote"/>
        <w:pBdr>
          <w:left w:val="single" w:sz="36" w:space="10" w:color="4472C4" w:themeColor="accent5"/>
        </w:pBdr>
      </w:pPr>
      <w:r w:rsidRPr="00495336">
        <w:t>‘Not being judged’.</w:t>
      </w:r>
      <w:r w:rsidR="004C5528">
        <w:t xml:space="preserve"> </w:t>
      </w:r>
    </w:p>
    <w:p w14:paraId="59E5E038" w14:textId="047CE219" w:rsidR="00495336" w:rsidRPr="004C5528" w:rsidRDefault="004C5528" w:rsidP="004C5528">
      <w:pPr>
        <w:pStyle w:val="IntenseQuote"/>
        <w:pBdr>
          <w:left w:val="single" w:sz="36" w:space="10" w:color="4472C4" w:themeColor="accent5"/>
        </w:pBdr>
        <w:jc w:val="right"/>
      </w:pPr>
      <w:r w:rsidRPr="004C5528">
        <w:t>—</w:t>
      </w:r>
      <w:r w:rsidRPr="004C5528">
        <w:rPr>
          <w:rStyle w:val="Strong"/>
        </w:rPr>
        <w:t>Feedback from children and young people in response to the question ‘what was the best thing about the consultation?’</w:t>
      </w:r>
    </w:p>
    <w:p w14:paraId="20722FA3" w14:textId="77777777" w:rsidR="00134C58" w:rsidRDefault="00134C58" w:rsidP="00D565FE">
      <w:pPr>
        <w:rPr>
          <w:rFonts w:eastAsia="Open Sans" w:cs="Open Sans"/>
        </w:rPr>
      </w:pPr>
    </w:p>
    <w:p w14:paraId="05550A63" w14:textId="0A87AC0E" w:rsidR="00D565FE" w:rsidRPr="00AB6973" w:rsidRDefault="00D565FE" w:rsidP="00D565FE">
      <w:pPr>
        <w:rPr>
          <w:rFonts w:eastAsia="Open Sans" w:cs="Open Sans"/>
        </w:rPr>
      </w:pPr>
      <w:r w:rsidRPr="00AB6973">
        <w:rPr>
          <w:rFonts w:eastAsia="Open Sans" w:cs="Open Sans"/>
        </w:rPr>
        <w:t>The aim of the project is to investigate opportunities for reform of youth justice and related systems across Australia, based on evidence and the protection of human rights. While Australia has made some reforms to youth justice systems, there remain laws, policies and practices that impact negatively on the rights and well-being of children and young people</w:t>
      </w:r>
      <w:r w:rsidR="00BE3729">
        <w:rPr>
          <w:rFonts w:eastAsia="Open Sans" w:cs="Open Sans"/>
        </w:rPr>
        <w:t>,</w:t>
      </w:r>
      <w:r w:rsidRPr="00AB6973">
        <w:rPr>
          <w:rFonts w:eastAsia="Open Sans" w:cs="Open Sans"/>
        </w:rPr>
        <w:t xml:space="preserve"> and fail to serve the wider public interest. </w:t>
      </w:r>
    </w:p>
    <w:p w14:paraId="387CE76B" w14:textId="77777777" w:rsidR="00BE3729" w:rsidRDefault="00BE3729" w:rsidP="00D565FE">
      <w:pPr>
        <w:rPr>
          <w:rFonts w:eastAsia="Open Sans" w:cs="Open Sans"/>
        </w:rPr>
      </w:pPr>
    </w:p>
    <w:p w14:paraId="66F6F04F" w14:textId="5C322378" w:rsidR="00495336" w:rsidRPr="00495336" w:rsidRDefault="00495336" w:rsidP="004C5528">
      <w:pPr>
        <w:pStyle w:val="IntenseQuote"/>
        <w:pBdr>
          <w:left w:val="single" w:sz="36" w:space="10" w:color="4472C4" w:themeColor="accent5"/>
        </w:pBdr>
      </w:pPr>
      <w:r w:rsidRPr="00495336">
        <w:t>‘Thank you … friendly communication … great team … I like this meeting …</w:t>
      </w:r>
      <w:r>
        <w:t xml:space="preserve"> </w:t>
      </w:r>
      <w:r w:rsidRPr="00495336">
        <w:t>good job …’.</w:t>
      </w:r>
      <w:r>
        <w:t xml:space="preserve"> —</w:t>
      </w:r>
      <w:r w:rsidRPr="00495336">
        <w:rPr>
          <w:rStyle w:val="Strong"/>
        </w:rPr>
        <w:t>Feedback from young people in the consultations</w:t>
      </w:r>
      <w:r w:rsidRPr="00495336">
        <w:t xml:space="preserve"> </w:t>
      </w:r>
    </w:p>
    <w:p w14:paraId="3A773B6F" w14:textId="77777777" w:rsidR="00495336" w:rsidRPr="00AB6973" w:rsidRDefault="00495336" w:rsidP="00D565FE">
      <w:pPr>
        <w:rPr>
          <w:rFonts w:eastAsia="Open Sans" w:cs="Open Sans"/>
        </w:rPr>
      </w:pPr>
    </w:p>
    <w:p w14:paraId="35E423A8" w14:textId="11E0596C" w:rsidR="00D952AA" w:rsidRPr="00AB6973" w:rsidRDefault="00D565FE" w:rsidP="00D565FE">
      <w:pPr>
        <w:rPr>
          <w:rFonts w:eastAsia="Open Sans" w:cs="Open Sans"/>
        </w:rPr>
      </w:pPr>
      <w:r w:rsidRPr="00AB6973">
        <w:rPr>
          <w:rFonts w:eastAsia="Open Sans" w:cs="Open Sans"/>
        </w:rPr>
        <w:t>Targeted consultations with children, young people and families are at the centre of the project. The National Children’s Commissioner and Children’s Rights Team have been consulting across Australia to seek their views and ideas about youth justice and child wellbeing.</w:t>
      </w:r>
    </w:p>
    <w:p w14:paraId="79AF534E" w14:textId="74316D7B" w:rsidR="00D565FE" w:rsidRPr="00AB6973" w:rsidRDefault="00D565FE" w:rsidP="00D565FE">
      <w:pPr>
        <w:rPr>
          <w:rFonts w:eastAsia="Open Sans" w:cs="Open Sans"/>
        </w:rPr>
      </w:pPr>
      <w:r w:rsidRPr="00AB6973">
        <w:rPr>
          <w:rFonts w:eastAsia="Open Sans" w:cs="Open Sans"/>
        </w:rPr>
        <w:t>The project is also gathering information through a range of other processes, including desktop research, submissions and a series of stakeholder interviews and roundtables.</w:t>
      </w:r>
    </w:p>
    <w:p w14:paraId="034B705A" w14:textId="56343B71" w:rsidR="00D565FE" w:rsidRPr="00AB6973" w:rsidRDefault="00D565FE" w:rsidP="00D565FE">
      <w:pPr>
        <w:rPr>
          <w:rFonts w:eastAsia="Open Sans" w:cs="Open Sans"/>
        </w:rPr>
      </w:pPr>
      <w:r w:rsidRPr="00AB6973">
        <w:rPr>
          <w:rFonts w:eastAsia="Open Sans" w:cs="Open Sans"/>
        </w:rPr>
        <w:t>Initial consultations</w:t>
      </w:r>
      <w:r w:rsidR="009F43FB">
        <w:rPr>
          <w:rFonts w:eastAsia="Open Sans" w:cs="Open Sans"/>
        </w:rPr>
        <w:t xml:space="preserve"> have been positive</w:t>
      </w:r>
      <w:r w:rsidRPr="00AB6973">
        <w:rPr>
          <w:rFonts w:eastAsia="Open Sans" w:cs="Open Sans"/>
        </w:rPr>
        <w:t xml:space="preserve"> with children, young people, and families who have had contact with the youth justice</w:t>
      </w:r>
      <w:r w:rsidR="009F43FB">
        <w:rPr>
          <w:rFonts w:eastAsia="Open Sans" w:cs="Open Sans"/>
        </w:rPr>
        <w:t xml:space="preserve">. </w:t>
      </w:r>
      <w:r w:rsidRPr="00AB6973">
        <w:rPr>
          <w:rFonts w:eastAsia="Open Sans" w:cs="Open Sans"/>
        </w:rPr>
        <w:t xml:space="preserve">Under the UN </w:t>
      </w:r>
      <w:r w:rsidRPr="00D557A7">
        <w:rPr>
          <w:rStyle w:val="Emphasis"/>
          <w:rFonts w:eastAsia="Open Sans"/>
        </w:rPr>
        <w:t>Convention on the Rights of the Child</w:t>
      </w:r>
      <w:r w:rsidRPr="00AB6973">
        <w:rPr>
          <w:rFonts w:eastAsia="Open Sans" w:cs="Open Sans"/>
        </w:rPr>
        <w:t xml:space="preserve">, children have a right to express their views and have those views taken into account in decisions that affect them. </w:t>
      </w:r>
    </w:p>
    <w:p w14:paraId="0021E040" w14:textId="77777777" w:rsidR="00D565FE" w:rsidRPr="00AB6973" w:rsidRDefault="00D565FE" w:rsidP="00D565FE">
      <w:pPr>
        <w:rPr>
          <w:rFonts w:eastAsia="Open Sans" w:cs="Open Sans"/>
        </w:rPr>
      </w:pPr>
      <w:r w:rsidRPr="448905EB">
        <w:rPr>
          <w:rFonts w:eastAsia="Open Sans" w:cs="Open Sans"/>
        </w:rPr>
        <w:t>Children and young people facing disadvantage, including those in contact with youth justice, face barriers to being heard, especially with regards to national policy. Listening to the views and ideas of children and young people not only improves policy-making but can also empower the children and young people themselves.</w:t>
      </w:r>
    </w:p>
    <w:p w14:paraId="092AAB53" w14:textId="77777777" w:rsidR="005E4BCD" w:rsidRDefault="005E4BCD" w:rsidP="00D565FE">
      <w:pPr>
        <w:rPr>
          <w:rFonts w:eastAsia="Open Sans" w:cs="Open Sans"/>
        </w:rPr>
      </w:pPr>
    </w:p>
    <w:p w14:paraId="2C3DF2E3" w14:textId="255A1A18" w:rsidR="00495336" w:rsidRPr="00D952AA" w:rsidRDefault="00495336" w:rsidP="004C5528">
      <w:pPr>
        <w:pStyle w:val="IntenseQuote"/>
        <w:pBdr>
          <w:left w:val="single" w:sz="36" w:space="10" w:color="4472C4" w:themeColor="accent5"/>
        </w:pBdr>
      </w:pPr>
      <w:r w:rsidRPr="00D952AA">
        <w:t>‘It was a productive and enjoyable day overall … thank you so very much for making the time to do this as it was important our young people’s voices be heard by people in your position.’</w:t>
      </w:r>
    </w:p>
    <w:p w14:paraId="3B444736" w14:textId="77777777" w:rsidR="004C5528" w:rsidRDefault="00495336" w:rsidP="004C5528">
      <w:pPr>
        <w:pStyle w:val="IntenseQuote"/>
        <w:pBdr>
          <w:left w:val="single" w:sz="36" w:space="10" w:color="4472C4" w:themeColor="accent5"/>
        </w:pBdr>
      </w:pPr>
      <w:r w:rsidRPr="00D952AA">
        <w:t>‘The girls thoroughly enjoyed the session – they are still talking about it! They appreciated being asked and listened to about issues important to them.’</w:t>
      </w:r>
      <w:r>
        <w:t xml:space="preserve"> </w:t>
      </w:r>
    </w:p>
    <w:p w14:paraId="75FFF1B6" w14:textId="4911645E" w:rsidR="00495336" w:rsidRPr="00495336" w:rsidRDefault="00495336" w:rsidP="004C5528">
      <w:pPr>
        <w:pStyle w:val="IntenseQuote"/>
        <w:pBdr>
          <w:left w:val="single" w:sz="36" w:space="10" w:color="4472C4" w:themeColor="accent5"/>
        </w:pBdr>
        <w:jc w:val="right"/>
      </w:pPr>
      <w:r>
        <w:t>—</w:t>
      </w:r>
      <w:r w:rsidRPr="00495336">
        <w:rPr>
          <w:rStyle w:val="Strong"/>
        </w:rPr>
        <w:t>Feedback from organisations initial consultations</w:t>
      </w:r>
    </w:p>
    <w:p w14:paraId="61EA948A" w14:textId="77777777" w:rsidR="00495336" w:rsidRDefault="00495336" w:rsidP="00D565FE">
      <w:pPr>
        <w:rPr>
          <w:rFonts w:eastAsia="Open Sans" w:cs="Open Sans"/>
        </w:rPr>
      </w:pPr>
    </w:p>
    <w:p w14:paraId="7E088C4E" w14:textId="77777777" w:rsidR="00D565FE" w:rsidRDefault="00D565FE" w:rsidP="00495336">
      <w:pPr>
        <w:pStyle w:val="Heading5"/>
      </w:pPr>
      <w:r w:rsidRPr="448905EB">
        <w:t>Continuing to increase awareness of elder abuse and available support</w:t>
      </w:r>
    </w:p>
    <w:p w14:paraId="28FB8E57" w14:textId="729ABDF6" w:rsidR="00D565FE" w:rsidRPr="00AB6973" w:rsidRDefault="00024485" w:rsidP="00D565FE">
      <w:pPr>
        <w:rPr>
          <w:rFonts w:cs="Open Sans"/>
        </w:rPr>
      </w:pPr>
      <w:r>
        <w:rPr>
          <w:rFonts w:cs="Open Sans"/>
        </w:rPr>
        <w:t>T</w:t>
      </w:r>
      <w:r w:rsidR="00D565FE" w:rsidRPr="00AB6973">
        <w:rPr>
          <w:rFonts w:cs="Open Sans"/>
        </w:rPr>
        <w:t xml:space="preserve">he Commission continued </w:t>
      </w:r>
      <w:r w:rsidR="007F6F9C" w:rsidRPr="00AB6973">
        <w:rPr>
          <w:rFonts w:cs="Open Sans"/>
        </w:rPr>
        <w:t xml:space="preserve">advocacy, stakeholder engagement and public awareness </w:t>
      </w:r>
      <w:r w:rsidR="00D565FE" w:rsidRPr="00AB6973">
        <w:rPr>
          <w:rFonts w:cs="Open Sans"/>
        </w:rPr>
        <w:t xml:space="preserve">of elder abuse and </w:t>
      </w:r>
      <w:r w:rsidR="003D3F1D">
        <w:rPr>
          <w:rFonts w:cs="Open Sans"/>
        </w:rPr>
        <w:t xml:space="preserve">available </w:t>
      </w:r>
      <w:r w:rsidR="00D565FE" w:rsidRPr="00AB6973">
        <w:rPr>
          <w:rFonts w:cs="Open Sans"/>
        </w:rPr>
        <w:t xml:space="preserve">support through the work of the Age Discrimination Commissioner and Age Discrimination Team. </w:t>
      </w:r>
    </w:p>
    <w:p w14:paraId="559058C6" w14:textId="2DEB4B52" w:rsidR="00D565FE" w:rsidRPr="00AB6973" w:rsidRDefault="00D565FE" w:rsidP="00D565FE">
      <w:pPr>
        <w:rPr>
          <w:rFonts w:cs="Open Sans"/>
        </w:rPr>
      </w:pPr>
      <w:r w:rsidRPr="00AB6973">
        <w:rPr>
          <w:rFonts w:cs="Open Sans"/>
        </w:rPr>
        <w:t>The team also commissioned an evaluation report to demonstrate the impact of the work over time. The activities include</w:t>
      </w:r>
      <w:r w:rsidR="002E327C">
        <w:rPr>
          <w:rFonts w:cs="Open Sans"/>
        </w:rPr>
        <w:t>d</w:t>
      </w:r>
      <w:r w:rsidRPr="00AB6973">
        <w:rPr>
          <w:rFonts w:cs="Open Sans"/>
        </w:rPr>
        <w:t xml:space="preserve"> delivering and partnering with others to promote public awareness campaigns, media engagement, and developing and distributing resources.</w:t>
      </w:r>
    </w:p>
    <w:p w14:paraId="2403DF19" w14:textId="77777777" w:rsidR="002E327C" w:rsidRDefault="002E327C" w:rsidP="00D565FE">
      <w:pPr>
        <w:rPr>
          <w:rFonts w:cs="Open Sans"/>
        </w:rPr>
      </w:pPr>
    </w:p>
    <w:tbl>
      <w:tblPr>
        <w:tblStyle w:val="TableGrey"/>
        <w:tblW w:w="0" w:type="auto"/>
        <w:tblLook w:val="04A0" w:firstRow="1" w:lastRow="0" w:firstColumn="1" w:lastColumn="0" w:noHBand="0" w:noVBand="1"/>
      </w:tblPr>
      <w:tblGrid>
        <w:gridCol w:w="9628"/>
      </w:tblGrid>
      <w:tr w:rsidR="00495336" w:rsidRPr="00BB4B94" w14:paraId="38B36F97" w14:textId="77777777" w:rsidTr="00686760">
        <w:tc>
          <w:tcPr>
            <w:tcW w:w="9628" w:type="dxa"/>
          </w:tcPr>
          <w:p w14:paraId="7DF95777" w14:textId="77777777" w:rsidR="00D557A7" w:rsidRDefault="00495336" w:rsidP="00D557A7">
            <w:r w:rsidRPr="00D557A7">
              <w:rPr>
                <w:rStyle w:val="Strong"/>
              </w:rPr>
              <w:t>78%</w:t>
            </w:r>
            <w:r w:rsidRPr="00BB4B94">
              <w:t xml:space="preserve"> of stakeholders who discussed elder abuse in their interview recognised an </w:t>
            </w:r>
            <w:r w:rsidRPr="00D557A7">
              <w:rPr>
                <w:rStyle w:val="Strong"/>
              </w:rPr>
              <w:t>increase in the awareness and understanding</w:t>
            </w:r>
            <w:r w:rsidRPr="00BB4B94">
              <w:t xml:space="preserve"> of the issue over the past seven years in the general community. </w:t>
            </w:r>
          </w:p>
          <w:p w14:paraId="27EFE1BA" w14:textId="2A6BA082" w:rsidR="00495336" w:rsidRPr="00D557A7" w:rsidRDefault="00495336" w:rsidP="00D557A7">
            <w:pPr>
              <w:jc w:val="right"/>
            </w:pPr>
            <w:r w:rsidRPr="00D557A7">
              <w:t>—</w:t>
            </w:r>
            <w:r w:rsidRPr="00D557A7">
              <w:rPr>
                <w:rStyle w:val="Strong"/>
              </w:rPr>
              <w:t>ADC evaluation report</w:t>
            </w:r>
          </w:p>
        </w:tc>
      </w:tr>
    </w:tbl>
    <w:p w14:paraId="2E2B7099" w14:textId="77777777" w:rsidR="00495336" w:rsidRDefault="00495336" w:rsidP="00D565FE">
      <w:pPr>
        <w:rPr>
          <w:rFonts w:cs="Open Sans"/>
        </w:rPr>
      </w:pPr>
    </w:p>
    <w:p w14:paraId="1DAA9479" w14:textId="0B5CA66A" w:rsidR="00D565FE" w:rsidRDefault="00826B74" w:rsidP="00D565FE">
      <w:pPr>
        <w:rPr>
          <w:rFonts w:cs="Open Sans"/>
        </w:rPr>
      </w:pPr>
      <w:r>
        <w:rPr>
          <w:rFonts w:cs="Open Sans"/>
        </w:rPr>
        <w:t>The Commission</w:t>
      </w:r>
      <w:r w:rsidR="009556E9">
        <w:rPr>
          <w:rFonts w:cs="Open Sans"/>
        </w:rPr>
        <w:t>’s</w:t>
      </w:r>
      <w:r>
        <w:rPr>
          <w:rFonts w:cs="Open Sans"/>
        </w:rPr>
        <w:t xml:space="preserve"> t</w:t>
      </w:r>
      <w:r w:rsidR="00F33707">
        <w:rPr>
          <w:rFonts w:cs="Open Sans"/>
        </w:rPr>
        <w:t>hree</w:t>
      </w:r>
      <w:r w:rsidR="00D565FE" w:rsidRPr="00AB6973">
        <w:rPr>
          <w:rFonts w:cs="Open Sans"/>
        </w:rPr>
        <w:t xml:space="preserve"> Elder Abuse Awareness Videos </w:t>
      </w:r>
      <w:r w:rsidR="00AC0454">
        <w:rPr>
          <w:rFonts w:cs="Open Sans"/>
        </w:rPr>
        <w:t>h</w:t>
      </w:r>
      <w:r w:rsidR="00D565FE" w:rsidRPr="00AB6973">
        <w:rPr>
          <w:rFonts w:cs="Open Sans"/>
        </w:rPr>
        <w:t xml:space="preserve">ave </w:t>
      </w:r>
      <w:r w:rsidR="00D8186A">
        <w:rPr>
          <w:rFonts w:cs="Open Sans"/>
        </w:rPr>
        <w:t>had</w:t>
      </w:r>
      <w:r w:rsidR="00D565FE" w:rsidRPr="00AB6973">
        <w:rPr>
          <w:rFonts w:cs="Open Sans"/>
        </w:rPr>
        <w:t xml:space="preserve"> more than 3.8 million </w:t>
      </w:r>
      <w:r w:rsidR="00701F6D">
        <w:rPr>
          <w:rFonts w:cs="Open Sans"/>
        </w:rPr>
        <w:t>views</w:t>
      </w:r>
      <w:r w:rsidR="00D565FE" w:rsidRPr="00AB6973">
        <w:rPr>
          <w:rFonts w:cs="Open Sans"/>
        </w:rPr>
        <w:t xml:space="preserve">, with free radio and television broadcast worth over $1.9 million. The World Health Organization (WHO) and Red Cross Serbia </w:t>
      </w:r>
      <w:r w:rsidR="00B71ACE">
        <w:rPr>
          <w:rFonts w:cs="Open Sans"/>
        </w:rPr>
        <w:t>have requested</w:t>
      </w:r>
      <w:r w:rsidR="00B71ACE" w:rsidRPr="00AB6973">
        <w:rPr>
          <w:rFonts w:cs="Open Sans"/>
        </w:rPr>
        <w:t xml:space="preserve"> </w:t>
      </w:r>
      <w:r w:rsidR="00E133CB">
        <w:rPr>
          <w:rFonts w:cs="Open Sans"/>
        </w:rPr>
        <w:t xml:space="preserve">use of </w:t>
      </w:r>
      <w:r w:rsidR="001E2F3D">
        <w:rPr>
          <w:rFonts w:cs="Open Sans"/>
        </w:rPr>
        <w:t xml:space="preserve">the </w:t>
      </w:r>
      <w:r w:rsidR="00D565FE" w:rsidRPr="00AB6973">
        <w:rPr>
          <w:rFonts w:cs="Open Sans"/>
        </w:rPr>
        <w:t xml:space="preserve">content. The videos are also used in training modules at the other government agencies </w:t>
      </w:r>
      <w:r w:rsidR="00D91ED2">
        <w:rPr>
          <w:rFonts w:cs="Open Sans"/>
        </w:rPr>
        <w:t>across</w:t>
      </w:r>
      <w:r w:rsidR="00D565FE" w:rsidRPr="00AB6973">
        <w:rPr>
          <w:rFonts w:cs="Open Sans"/>
        </w:rPr>
        <w:t xml:space="preserve"> Australia.</w:t>
      </w:r>
    </w:p>
    <w:p w14:paraId="1DA20113" w14:textId="77777777" w:rsidR="00495336" w:rsidRDefault="00495336" w:rsidP="00D565FE">
      <w:pPr>
        <w:rPr>
          <w:rFonts w:cs="Open Sans"/>
        </w:rPr>
      </w:pPr>
    </w:p>
    <w:p w14:paraId="0C6DE730" w14:textId="0103E051" w:rsidR="00495336" w:rsidRPr="00495336" w:rsidRDefault="00495336" w:rsidP="004C5528">
      <w:pPr>
        <w:pStyle w:val="IntenseQuote"/>
        <w:pBdr>
          <w:left w:val="single" w:sz="36" w:space="10" w:color="4472C4" w:themeColor="accent5"/>
        </w:pBdr>
      </w:pPr>
      <w:r w:rsidRPr="00495336">
        <w:t xml:space="preserve">‘I think [the Commissioner]’s contribution to [elder abuse awareness] has been phenomenal, pushing it in the media.’ </w:t>
      </w:r>
      <w:r>
        <w:t>—</w:t>
      </w:r>
      <w:r w:rsidRPr="00495336">
        <w:rPr>
          <w:rStyle w:val="Strong"/>
        </w:rPr>
        <w:t>Stakeholder from evaluation interview</w:t>
      </w:r>
    </w:p>
    <w:p w14:paraId="457201C7" w14:textId="77777777" w:rsidR="00495336" w:rsidRDefault="00495336" w:rsidP="00D565FE">
      <w:pPr>
        <w:rPr>
          <w:rFonts w:cs="Open Sans"/>
        </w:rPr>
      </w:pPr>
    </w:p>
    <w:p w14:paraId="7764325C" w14:textId="17B18BDC" w:rsidR="00495336" w:rsidRDefault="00D565FE" w:rsidP="00D565FE">
      <w:pPr>
        <w:rPr>
          <w:rFonts w:cs="Open Sans"/>
        </w:rPr>
      </w:pPr>
      <w:r w:rsidRPr="00AB6973">
        <w:rPr>
          <w:rFonts w:cs="Open Sans"/>
        </w:rPr>
        <w:t xml:space="preserve">Stakeholders acknowledged progress in awareness about elder abuse in culturally and linguistically diverse (CALD) communities </w:t>
      </w:r>
      <w:r w:rsidR="00A247DF">
        <w:rPr>
          <w:rFonts w:cs="Open Sans"/>
        </w:rPr>
        <w:t>as a result of the Commission’s work</w:t>
      </w:r>
      <w:r w:rsidRPr="00AB6973">
        <w:rPr>
          <w:rFonts w:cs="Open Sans"/>
        </w:rPr>
        <w:t xml:space="preserve">. This </w:t>
      </w:r>
      <w:r w:rsidR="00255F0B">
        <w:rPr>
          <w:rFonts w:cs="Open Sans"/>
        </w:rPr>
        <w:t>is</w:t>
      </w:r>
      <w:r w:rsidRPr="00AB6973">
        <w:rPr>
          <w:rFonts w:cs="Open Sans"/>
        </w:rPr>
        <w:t xml:space="preserve"> primarily </w:t>
      </w:r>
      <w:r w:rsidR="00255F0B">
        <w:rPr>
          <w:rFonts w:cs="Open Sans"/>
        </w:rPr>
        <w:t xml:space="preserve">a result of </w:t>
      </w:r>
      <w:r w:rsidRPr="00AB6973">
        <w:rPr>
          <w:rFonts w:cs="Open Sans"/>
        </w:rPr>
        <w:t>providing translated bookmarks (see Case study: Elder abuse bookmarks)</w:t>
      </w:r>
      <w:r w:rsidR="00255F0B">
        <w:rPr>
          <w:rFonts w:cs="Open Sans"/>
        </w:rPr>
        <w:t>,</w:t>
      </w:r>
      <w:r w:rsidRPr="00AB6973">
        <w:rPr>
          <w:rFonts w:cs="Open Sans"/>
        </w:rPr>
        <w:t xml:space="preserve"> direct community consultation and disseminating information through multicultural media.</w:t>
      </w:r>
    </w:p>
    <w:p w14:paraId="240C28E3" w14:textId="77777777" w:rsidR="00495336" w:rsidRDefault="00495336" w:rsidP="00D565FE">
      <w:pPr>
        <w:rPr>
          <w:rFonts w:cs="Open Sans"/>
        </w:rPr>
      </w:pPr>
    </w:p>
    <w:p w14:paraId="36EC1ABA" w14:textId="4D90BCB3" w:rsidR="00495336" w:rsidRPr="00BE5B13" w:rsidRDefault="00495336" w:rsidP="004C5528">
      <w:pPr>
        <w:pStyle w:val="IntenseQuote"/>
        <w:pBdr>
          <w:left w:val="single" w:sz="36" w:space="10" w:color="4472C4" w:themeColor="accent5"/>
        </w:pBdr>
      </w:pPr>
      <w:r w:rsidRPr="00BE5B13">
        <w:t>‘These videos give people information that gets them comfortable with what they are seeing then gives them somewhere to go.’</w:t>
      </w:r>
    </w:p>
    <w:p w14:paraId="558EF3BE" w14:textId="0D5FA9C1" w:rsidR="00495336" w:rsidRPr="00BE5B13" w:rsidRDefault="00495336" w:rsidP="004C5528">
      <w:pPr>
        <w:pStyle w:val="IntenseQuote"/>
        <w:pBdr>
          <w:left w:val="single" w:sz="36" w:space="10" w:color="4472C4" w:themeColor="accent5"/>
        </w:pBdr>
      </w:pPr>
      <w:r w:rsidRPr="00BE5B13">
        <w:t>‘[The Commissioner] is really good at reaching out to the CALD community and shedding light on the community as underrepresented.’</w:t>
      </w:r>
    </w:p>
    <w:p w14:paraId="055BC45B" w14:textId="0CC13901" w:rsidR="00495336" w:rsidRPr="00BE5B13" w:rsidRDefault="00495336" w:rsidP="004C5528">
      <w:pPr>
        <w:pStyle w:val="IntenseQuote"/>
        <w:pBdr>
          <w:left w:val="single" w:sz="36" w:space="10" w:color="4472C4" w:themeColor="accent5"/>
        </w:pBdr>
      </w:pPr>
      <w:r w:rsidRPr="00BE5B13">
        <w:t>‘I think the translated bookmarks have been particularly important in opening a lot of doors.’</w:t>
      </w:r>
      <w:r>
        <w:t xml:space="preserve"> —</w:t>
      </w:r>
      <w:r w:rsidRPr="00495336">
        <w:rPr>
          <w:rStyle w:val="Strong"/>
        </w:rPr>
        <w:t>Stakeholders from evaluation interview</w:t>
      </w:r>
    </w:p>
    <w:p w14:paraId="567B650C" w14:textId="77777777" w:rsidR="00495336" w:rsidRPr="00AB6973" w:rsidRDefault="00495336" w:rsidP="00D565FE">
      <w:pPr>
        <w:rPr>
          <w:rFonts w:cs="Open Sans"/>
        </w:rPr>
      </w:pPr>
    </w:p>
    <w:p w14:paraId="697585E2" w14:textId="09E54C89" w:rsidR="00D565FE" w:rsidRPr="00495336" w:rsidRDefault="00D565FE" w:rsidP="00495336">
      <w:pPr>
        <w:pStyle w:val="Heading5"/>
      </w:pPr>
      <w:r w:rsidRPr="00495336">
        <w:t>National OPCAT Symposium and Road Map</w:t>
      </w:r>
    </w:p>
    <w:p w14:paraId="5C9E2856" w14:textId="7B170CC9" w:rsidR="00D565FE" w:rsidRPr="00AB6973" w:rsidRDefault="00D565FE" w:rsidP="00D565FE">
      <w:pPr>
        <w:rPr>
          <w:rFonts w:cs="Open Sans"/>
        </w:rPr>
      </w:pPr>
      <w:r w:rsidRPr="00AB6973">
        <w:rPr>
          <w:rFonts w:cs="Open Sans"/>
        </w:rPr>
        <w:t xml:space="preserve">In September 2023, the Commission, through the Human Rights Scrutiny team and Human Rights Commissioner, partnered with the RMIT University College of Business and Law to hold a National OPCAT Symposium in Melbourne. The Symposium’s aim was to provide an opportunity to bring together relevant stakeholders from the Australian, state and territory governments, oversight and statutory bodies and civil society, to take stock of what has been achieved to date, identify any existing barriers to progress and work out what needs to be done to reach full compliance with the Optional Protocol to the Convention against Torture (OPCAT) by the extended deadline of January 20, 2023. </w:t>
      </w:r>
    </w:p>
    <w:p w14:paraId="3A7E4109" w14:textId="77777777" w:rsidR="00D565FE" w:rsidRPr="00AB6973" w:rsidRDefault="00D565FE" w:rsidP="00D565FE">
      <w:pPr>
        <w:rPr>
          <w:rFonts w:cs="Open Sans"/>
        </w:rPr>
      </w:pPr>
      <w:r w:rsidRPr="00AB6973">
        <w:rPr>
          <w:rFonts w:cs="Open Sans"/>
        </w:rPr>
        <w:t>The Symposium successfully brought together just under 200 people from government departments, civil society, and academia. In attendance were also representatives of 43 statutory oversight agencies and commissions of enquiry from across Australia and Aotearoa New Zealand.</w:t>
      </w:r>
    </w:p>
    <w:p w14:paraId="1891CF49" w14:textId="7CF4750D" w:rsidR="00D565FE" w:rsidRPr="00AB6973" w:rsidRDefault="00D565FE" w:rsidP="00D565FE">
      <w:pPr>
        <w:rPr>
          <w:rFonts w:cs="Open Sans"/>
        </w:rPr>
      </w:pPr>
      <w:r w:rsidRPr="00AB6973">
        <w:rPr>
          <w:rFonts w:cs="Open Sans"/>
        </w:rPr>
        <w:t>Informed by the National Symposium, the</w:t>
      </w:r>
      <w:r w:rsidR="00495336">
        <w:rPr>
          <w:rFonts w:cs="Open Sans"/>
        </w:rPr>
        <w:t xml:space="preserve"> </w:t>
      </w:r>
      <w:hyperlink r:id="rId60" w:history="1">
        <w:r w:rsidRPr="00DC0051">
          <w:rPr>
            <w:rStyle w:val="Hyperlink"/>
            <w:rFonts w:cs="Open Sans"/>
          </w:rPr>
          <w:t>Road Map to OPCAT Compliance</w:t>
        </w:r>
      </w:hyperlink>
      <w:r w:rsidRPr="00AB6973">
        <w:rPr>
          <w:rFonts w:cs="Open Sans"/>
        </w:rPr>
        <w:t xml:space="preserve"> was published in October 2022 to provide a clear pathway for governments across Australia to meet the deadline for OPCAT compliance. </w:t>
      </w:r>
    </w:p>
    <w:p w14:paraId="2CC9F545" w14:textId="3C8CCEE3" w:rsidR="00D565FE" w:rsidRPr="00AB6973" w:rsidRDefault="00D565FE" w:rsidP="00D565FE">
      <w:pPr>
        <w:rPr>
          <w:rFonts w:cs="Open Sans"/>
        </w:rPr>
      </w:pPr>
      <w:r w:rsidRPr="00AB6973">
        <w:rPr>
          <w:rFonts w:cs="Open Sans"/>
        </w:rPr>
        <w:t xml:space="preserve">The report contains key information and principles as well as five recommendations to help guide the implementation process. A copy of the report was sent to the UN Subcommittee on Prevention of Torture (UN SPT) as well as individuals, agencies, departments and organisations in Australia which are involved with the OPCAT implementation process. </w:t>
      </w:r>
    </w:p>
    <w:p w14:paraId="5AD3120F" w14:textId="160B7242" w:rsidR="00D565FE" w:rsidRPr="00AB6973" w:rsidRDefault="00D565FE" w:rsidP="00D565FE">
      <w:pPr>
        <w:rPr>
          <w:rFonts w:cs="Open Sans"/>
        </w:rPr>
      </w:pPr>
      <w:r w:rsidRPr="00AB6973">
        <w:rPr>
          <w:rFonts w:cs="Open Sans"/>
        </w:rPr>
        <w:t>The release of the report coincided with the visit to Australia by a UN SPT delegation from 16–27 October 2022.</w:t>
      </w:r>
    </w:p>
    <w:p w14:paraId="6E68B9EA" w14:textId="77777777" w:rsidR="00D565FE" w:rsidRDefault="00D565FE" w:rsidP="00D565FE">
      <w:pPr>
        <w:rPr>
          <w:rFonts w:cs="Open Sans"/>
        </w:rPr>
      </w:pPr>
      <w:r w:rsidRPr="00AB6973">
        <w:rPr>
          <w:rFonts w:cs="Open Sans"/>
        </w:rPr>
        <w:t xml:space="preserve">Since the National Symposium and Road Map, various Australian governments have taken some steps towards fulfilling their obligations under the OPCAT treaty. For example, Queensland passed the Monitoring of Places of Detention (Optional Protocol to the Convention Against Torture) Bill 2022, allowing the UN SPT unimpeded access to places of detention within its jurisdictions. </w:t>
      </w:r>
    </w:p>
    <w:p w14:paraId="087C410A" w14:textId="77777777" w:rsidR="00495336" w:rsidRDefault="00495336" w:rsidP="00D565FE">
      <w:pPr>
        <w:rPr>
          <w:rFonts w:cs="Open Sans"/>
        </w:rPr>
      </w:pPr>
    </w:p>
    <w:p w14:paraId="072954D9" w14:textId="7E112239" w:rsidR="00495336" w:rsidRPr="00BE5B13" w:rsidRDefault="00495336" w:rsidP="004C5528">
      <w:pPr>
        <w:pStyle w:val="IntenseQuote"/>
        <w:pBdr>
          <w:left w:val="single" w:sz="36" w:space="10" w:color="4472C4" w:themeColor="accent5"/>
        </w:pBdr>
      </w:pPr>
      <w:r w:rsidRPr="00BE5B13">
        <w:t>Our Government welcomes the release of the Australian Human Rights Commission Road Map to OPCAT Compliance, which is a comprehensive report outlining activities required to expediate Australia's approach to implementing OPCAT. The road map was informed by and is an outcome of the National OPCAT Symposium.</w:t>
      </w:r>
      <w:r>
        <w:t xml:space="preserve"> </w:t>
      </w:r>
      <w:r w:rsidRPr="00D557A7">
        <w:t>—</w:t>
      </w:r>
      <w:r w:rsidRPr="00495336">
        <w:rPr>
          <w:rStyle w:val="Strong"/>
        </w:rPr>
        <w:t>Mrs Leonie HISCUTT MLC (Leader of the Government in the Tasmanian Legislative Council)</w:t>
      </w:r>
    </w:p>
    <w:p w14:paraId="756FB380" w14:textId="77777777" w:rsidR="00495336" w:rsidRPr="00AB6973" w:rsidRDefault="00495336" w:rsidP="00D565FE">
      <w:pPr>
        <w:rPr>
          <w:rFonts w:cs="Open Sans"/>
        </w:rPr>
      </w:pPr>
    </w:p>
    <w:p w14:paraId="5E1AB692" w14:textId="772B8E65" w:rsidR="007F0AE4" w:rsidRPr="00AB6973" w:rsidRDefault="00D565FE" w:rsidP="00D565FE">
      <w:pPr>
        <w:rPr>
          <w:rFonts w:cs="Open Sans"/>
        </w:rPr>
      </w:pPr>
      <w:r w:rsidRPr="448905EB">
        <w:rPr>
          <w:rFonts w:cs="Open Sans"/>
        </w:rPr>
        <w:t xml:space="preserve">The best practice principles have also influenced the work of oversight bodies within Australia. For example, the Commonwealth Ombudsman has added child rights and disability expertise to its OPCAT advisory board. </w:t>
      </w:r>
    </w:p>
    <w:p w14:paraId="23D14EF5" w14:textId="77777777" w:rsidR="00D565FE" w:rsidRDefault="00D565FE" w:rsidP="00495336">
      <w:pPr>
        <w:pStyle w:val="Heading5"/>
      </w:pPr>
      <w:r w:rsidRPr="00AB6973">
        <w:t xml:space="preserve">Collaborative partnership </w:t>
      </w:r>
      <w:r w:rsidRPr="00495336">
        <w:t>with</w:t>
      </w:r>
      <w:r w:rsidRPr="00AB6973">
        <w:t xml:space="preserve"> the Australian HR Institute on older worker employment surveys</w:t>
      </w:r>
    </w:p>
    <w:p w14:paraId="2FCED948" w14:textId="5071B867" w:rsidR="00D565FE" w:rsidRPr="00AB6973" w:rsidRDefault="00D565FE" w:rsidP="00D565FE">
      <w:pPr>
        <w:rPr>
          <w:rFonts w:cs="Open Sans"/>
        </w:rPr>
      </w:pPr>
      <w:r w:rsidRPr="00AB6973">
        <w:rPr>
          <w:rFonts w:cs="Open Sans"/>
        </w:rPr>
        <w:t>The Age Discrimination Team has partnered with the Australian H</w:t>
      </w:r>
      <w:r w:rsidR="00345582">
        <w:rPr>
          <w:rFonts w:cs="Open Sans"/>
        </w:rPr>
        <w:t>uman Resources</w:t>
      </w:r>
      <w:r w:rsidRPr="00AB6973">
        <w:rPr>
          <w:rFonts w:cs="Open Sans"/>
        </w:rPr>
        <w:t xml:space="preserve"> Institute </w:t>
      </w:r>
      <w:r w:rsidR="00345582">
        <w:rPr>
          <w:rFonts w:cs="Open Sans"/>
        </w:rPr>
        <w:t>(AHRI)</w:t>
      </w:r>
      <w:r w:rsidRPr="00AB6973">
        <w:rPr>
          <w:rFonts w:cs="Open Sans"/>
        </w:rPr>
        <w:t xml:space="preserve"> over multiple years (2012, 2014, 2018, 2021, 2023) on surveys to examine employment trends and practices in the recruitment and retention of older workers.</w:t>
      </w:r>
    </w:p>
    <w:p w14:paraId="2D72758D" w14:textId="0DD60CD5" w:rsidR="00D565FE" w:rsidRPr="00AB6973" w:rsidRDefault="00D565FE" w:rsidP="00D565FE">
      <w:pPr>
        <w:rPr>
          <w:rFonts w:cs="Open Sans"/>
        </w:rPr>
      </w:pPr>
      <w:r w:rsidRPr="00AB6973">
        <w:rPr>
          <w:rFonts w:cs="Open Sans"/>
        </w:rPr>
        <w:t>The collaborative partnership with AHRI was seen as beneficial to both parties and helped maintain coverage in the</w:t>
      </w:r>
      <w:r w:rsidR="00495336">
        <w:rPr>
          <w:rFonts w:cs="Open Sans"/>
        </w:rPr>
        <w:t xml:space="preserve"> </w:t>
      </w:r>
      <w:r w:rsidRPr="00AB6973">
        <w:rPr>
          <w:rFonts w:cs="Open Sans"/>
        </w:rPr>
        <w:t xml:space="preserve">media. The longitudinal aspect of the surveys enables the collection of useful data that can track changes over several years. With an ageing population that is likely to be working longer, this issue will continue to be pertinent to the Age Discrimination </w:t>
      </w:r>
      <w:r w:rsidR="002870D2">
        <w:rPr>
          <w:rFonts w:cs="Open Sans"/>
        </w:rPr>
        <w:t>T</w:t>
      </w:r>
      <w:r w:rsidRPr="00AB6973">
        <w:rPr>
          <w:rFonts w:cs="Open Sans"/>
        </w:rPr>
        <w:t>eam.</w:t>
      </w:r>
    </w:p>
    <w:p w14:paraId="1B146643" w14:textId="1FFA8C81" w:rsidR="00D565FE" w:rsidRPr="00AB6973" w:rsidRDefault="00D565FE" w:rsidP="00D565FE">
      <w:pPr>
        <w:rPr>
          <w:rFonts w:cs="Open Sans"/>
        </w:rPr>
      </w:pPr>
      <w:r w:rsidRPr="00AB6973">
        <w:rPr>
          <w:rFonts w:cs="Open Sans"/>
        </w:rPr>
        <w:t xml:space="preserve">Findings from the </w:t>
      </w:r>
      <w:hyperlink r:id="rId61" w:history="1">
        <w:r w:rsidRPr="00855CD1">
          <w:rPr>
            <w:rStyle w:val="Hyperlink"/>
            <w:rFonts w:cs="Open Sans"/>
          </w:rPr>
          <w:t>2023 Older Workers Survey</w:t>
        </w:r>
      </w:hyperlink>
      <w:r w:rsidRPr="00AB6973">
        <w:rPr>
          <w:rFonts w:cs="Open Sans"/>
        </w:rPr>
        <w:t xml:space="preserve"> were used to maintain traction on the issue in the media as well as inform practical recommendations for HR professionals. </w:t>
      </w:r>
    </w:p>
    <w:p w14:paraId="72A58B03" w14:textId="77777777" w:rsidR="00495336" w:rsidRDefault="00495336" w:rsidP="00495336"/>
    <w:p w14:paraId="06AE0A71" w14:textId="24C749D7" w:rsidR="00DE48E9" w:rsidRPr="00DE48E9" w:rsidRDefault="00DE48E9" w:rsidP="004C5528">
      <w:pPr>
        <w:pStyle w:val="IntenseQuote"/>
        <w:pBdr>
          <w:left w:val="single" w:sz="36" w:space="10" w:color="4472C4" w:themeColor="accent5"/>
        </w:pBdr>
      </w:pPr>
      <w:r w:rsidRPr="00DE48E9">
        <w:t>‘The Commissioner has a particular profile. Research that goes out jointly under the Commission and AHRI has a greater reach.’</w:t>
      </w:r>
    </w:p>
    <w:p w14:paraId="799E3EF9" w14:textId="3C7BACA0" w:rsidR="00DE48E9" w:rsidRDefault="00DE48E9" w:rsidP="004C5528">
      <w:pPr>
        <w:pStyle w:val="IntenseQuote"/>
        <w:pBdr>
          <w:left w:val="single" w:sz="36" w:space="10" w:color="4472C4" w:themeColor="accent5"/>
        </w:pBdr>
        <w:rPr>
          <w:rStyle w:val="Strong"/>
        </w:rPr>
      </w:pPr>
      <w:r w:rsidRPr="00DE48E9">
        <w:t>‘The research is practical, it’s different to academic research…It gives employers benchmarking to use to make business cases for diversity programs and use for training in workplaces.’</w:t>
      </w:r>
      <w:r>
        <w:t xml:space="preserve"> —</w:t>
      </w:r>
      <w:r w:rsidRPr="00DE48E9">
        <w:rPr>
          <w:rStyle w:val="Strong"/>
        </w:rPr>
        <w:t>Stakeholder quote from ADC evaluation</w:t>
      </w:r>
    </w:p>
    <w:p w14:paraId="1CA88DD6" w14:textId="77777777" w:rsidR="00DE48E9" w:rsidRPr="00DE48E9" w:rsidRDefault="00DE48E9" w:rsidP="00DE48E9"/>
    <w:p w14:paraId="6D9D55D2" w14:textId="23491D7B" w:rsidR="00D565FE" w:rsidRDefault="00D565FE" w:rsidP="00495336">
      <w:pPr>
        <w:pStyle w:val="Heading5"/>
      </w:pPr>
      <w:r w:rsidRPr="00AB6973">
        <w:t>Diving Clean Project</w:t>
      </w:r>
    </w:p>
    <w:p w14:paraId="47F25957" w14:textId="76C3EF7A" w:rsidR="00D565FE" w:rsidRPr="00D557A7" w:rsidRDefault="00D565FE" w:rsidP="00D557A7">
      <w:pPr>
        <w:rPr>
          <w:rFonts w:eastAsia="Open Sans"/>
        </w:rPr>
      </w:pPr>
      <w:r w:rsidRPr="00D557A7">
        <w:rPr>
          <w:rFonts w:eastAsia="Open Sans"/>
        </w:rPr>
        <w:t xml:space="preserve">The Royal Australian Navy asked the Commission to help an elite Navy team to examine and improve its workplace culture. By assisting that team to identify its ideal values and behaviours, and developing strategies to achieve these goals, </w:t>
      </w:r>
      <w:r w:rsidR="00284C8D" w:rsidRPr="00D557A7">
        <w:rPr>
          <w:rFonts w:eastAsia="Open Sans"/>
        </w:rPr>
        <w:t xml:space="preserve">the </w:t>
      </w:r>
      <w:r w:rsidRPr="00D557A7">
        <w:rPr>
          <w:rFonts w:eastAsia="Open Sans"/>
        </w:rPr>
        <w:t>Navy hoped the Commission could optimise the team’s operational performance and ability to work effectively with other parts of Defence.</w:t>
      </w:r>
    </w:p>
    <w:p w14:paraId="0286A6A2" w14:textId="09561573" w:rsidR="00387508" w:rsidRPr="00D557A7" w:rsidRDefault="00D565FE" w:rsidP="00D557A7">
      <w:pPr>
        <w:rPr>
          <w:rFonts w:eastAsia="Open Sans"/>
        </w:rPr>
      </w:pPr>
      <w:r w:rsidRPr="00D557A7">
        <w:rPr>
          <w:rFonts w:eastAsia="Open Sans"/>
        </w:rPr>
        <w:t>In 2022, the Navy endorsed all of the Commission’s recommendations and agreed to implement significant changes to the team’s leadership, communication, and diversity and inclusion practices. Early feedback suggests these changes are making positive differences to the working experience of personnel and improving the team’s operational effectiveness.</w:t>
      </w:r>
    </w:p>
    <w:p w14:paraId="1DA6E2E5" w14:textId="7414B8F2" w:rsidR="00D565FE" w:rsidRPr="00D557A7" w:rsidRDefault="00D565FE" w:rsidP="00D557A7">
      <w:pPr>
        <w:rPr>
          <w:rFonts w:eastAsia="Open Sans"/>
        </w:rPr>
      </w:pPr>
      <w:r w:rsidRPr="00D557A7">
        <w:rPr>
          <w:rFonts w:eastAsia="Open Sans"/>
        </w:rPr>
        <w:t>The Commission designed and delivered this project in collaboration with the Navy team. This consultative approach ensured the Commission was able to maximise the team’s support for the project while also ensuring that the cultural change strategies developed were effective and fit for purpose.</w:t>
      </w:r>
    </w:p>
    <w:p w14:paraId="265B348C" w14:textId="77777777" w:rsidR="00D565FE" w:rsidRPr="00AB6973" w:rsidRDefault="00D565FE" w:rsidP="00DE48E9">
      <w:pPr>
        <w:pStyle w:val="Heading5"/>
      </w:pPr>
      <w:r w:rsidRPr="00AB6973">
        <w:t>Safeguarding People at Higher Risk of Harm (SPAHROH) project</w:t>
      </w:r>
    </w:p>
    <w:p w14:paraId="13C375B4" w14:textId="3A4C242D" w:rsidR="00387508" w:rsidRPr="00DE48E9" w:rsidRDefault="00D565FE" w:rsidP="00DE48E9">
      <w:pPr>
        <w:rPr>
          <w:rFonts w:eastAsia="Open Sans"/>
        </w:rPr>
      </w:pPr>
      <w:r w:rsidRPr="00AB6973">
        <w:rPr>
          <w:rFonts w:eastAsia="Open Sans"/>
        </w:rPr>
        <w:t>In 2022, Defence asked the Commission to develop a standardised approach to govern the interaction of Defence APS and ADF personnel with people who are considered to be ‘vulnerable’.</w:t>
      </w:r>
    </w:p>
    <w:p w14:paraId="39E9A836" w14:textId="3240FD8F" w:rsidR="00D565FE" w:rsidRPr="00D557A7" w:rsidRDefault="00D565FE" w:rsidP="00D557A7">
      <w:pPr>
        <w:rPr>
          <w:rFonts w:eastAsia="Open Sans"/>
        </w:rPr>
      </w:pPr>
      <w:r w:rsidRPr="00D557A7">
        <w:rPr>
          <w:rFonts w:eastAsia="Open Sans"/>
        </w:rPr>
        <w:t>In response to that request, the Commission developed a model safeguarding framework for Defence which reflects good practice from Australia and overseas.</w:t>
      </w:r>
    </w:p>
    <w:p w14:paraId="31E4DDE9" w14:textId="024C2541" w:rsidR="00387508" w:rsidRPr="00D557A7" w:rsidRDefault="00D565FE" w:rsidP="00D557A7">
      <w:pPr>
        <w:rPr>
          <w:rFonts w:eastAsia="Open Sans"/>
        </w:rPr>
      </w:pPr>
      <w:r w:rsidRPr="00D557A7">
        <w:rPr>
          <w:rFonts w:eastAsia="Open Sans"/>
        </w:rPr>
        <w:t>This framework established a unifying set of guidelines to safeguard the human rights of people at higher risk of harm that Defence interacts with in a variety of contexts. This includes day-to-day work, on deployment and humanitarian missions, and through recruitment and community engagement activities.</w:t>
      </w:r>
    </w:p>
    <w:p w14:paraId="4877E11E" w14:textId="22CB05C4" w:rsidR="0049618C" w:rsidRPr="00D557A7" w:rsidRDefault="00D565FE" w:rsidP="00D557A7">
      <w:pPr>
        <w:rPr>
          <w:rFonts w:eastAsia="Open Sans"/>
        </w:rPr>
      </w:pPr>
      <w:r w:rsidRPr="00D557A7">
        <w:rPr>
          <w:rFonts w:eastAsia="Open Sans"/>
        </w:rPr>
        <w:t xml:space="preserve">The design of the model safeguarding framework was informed by a human rights approach. Using this approach, the Commission has ensured that people at higher risk of harm are provided with equal rights to protection by embedding safeguarding principles in Defence governance practices. </w:t>
      </w:r>
    </w:p>
    <w:p w14:paraId="1D8A3991" w14:textId="27EE337A" w:rsidR="008C38F7" w:rsidRPr="00BE5B13" w:rsidRDefault="002A7BF3" w:rsidP="00DE48E9">
      <w:pPr>
        <w:pStyle w:val="Heading5"/>
      </w:pPr>
      <w:r w:rsidRPr="00BE5B13">
        <w:t>Australia-Lao PDR Human Rights Technical co-operation</w:t>
      </w:r>
    </w:p>
    <w:p w14:paraId="6A399FBD" w14:textId="32C02782" w:rsidR="005E4BCD" w:rsidRPr="00795DD4" w:rsidRDefault="005E4BCD" w:rsidP="00DE48E9">
      <w:r w:rsidRPr="00795DD4">
        <w:t>In 2022-2023, the</w:t>
      </w:r>
      <w:r>
        <w:t xml:space="preserve"> Commission, </w:t>
      </w:r>
      <w:r w:rsidRPr="00795DD4">
        <w:t>together with O</w:t>
      </w:r>
      <w:r w:rsidR="002954B2">
        <w:t>ffice of the High Commissioner for Human Rights (</w:t>
      </w:r>
      <w:r w:rsidRPr="00795DD4">
        <w:t>OHCHR</w:t>
      </w:r>
      <w:r w:rsidR="002954B2">
        <w:t>)</w:t>
      </w:r>
      <w:r>
        <w:t xml:space="preserve">, </w:t>
      </w:r>
      <w:r w:rsidRPr="00795DD4">
        <w:t xml:space="preserve">supported the Government of Laos to disseminate its Universal Periodic Review </w:t>
      </w:r>
      <w:r w:rsidR="00282A6E">
        <w:t xml:space="preserve">(UPR) </w:t>
      </w:r>
      <w:r w:rsidRPr="00795DD4">
        <w:t>Action Plan, under the Laos-Australia Human Rights Technical Cooperation Program</w:t>
      </w:r>
      <w:r>
        <w:t>.</w:t>
      </w:r>
      <w:r w:rsidR="00A87672">
        <w:t xml:space="preserve"> </w:t>
      </w:r>
      <w:r w:rsidRPr="00795DD4">
        <w:t>A four-day dissemination workshop was attended by both government and civil society representatives, providing critical information to increase stakeholder knowledge and set the context for more proactive, independent and meaningful engagement by CSO participants in subsequent UPR processes.</w:t>
      </w:r>
    </w:p>
    <w:p w14:paraId="3C5A81C7" w14:textId="0E445E50" w:rsidR="002F1EF0" w:rsidRDefault="005E4BCD" w:rsidP="00DE48E9">
      <w:r w:rsidRPr="00795DD4">
        <w:t>By bringing together government officials from various government ministries who have responsibilities for implementing the recommendations outlined in the UPR Action Plan, participants’ awareness and understanding of the UPR process was increased and their capacity to implement and monitor the UPR Action Plan was strengthened.</w:t>
      </w:r>
    </w:p>
    <w:p w14:paraId="3FB20168" w14:textId="6B61307C" w:rsidR="005E4BCD" w:rsidRDefault="005E4BCD" w:rsidP="00DE48E9">
      <w:r w:rsidRPr="00795DD4">
        <w:t xml:space="preserve">An independent evaluation of the program </w:t>
      </w:r>
      <w:r w:rsidR="00A7143D">
        <w:t>found</w:t>
      </w:r>
      <w:r w:rsidR="00067847">
        <w:t xml:space="preserve"> </w:t>
      </w:r>
      <w:r w:rsidRPr="00795DD4">
        <w:t>increased momentum, knowledge and experience of the Lao Government in working towards its UPR obligations and to the broader ecosystem of commitment to other human rights UN Treaty Body reporting processes.</w:t>
      </w:r>
    </w:p>
    <w:p w14:paraId="503CFC18" w14:textId="77777777" w:rsidR="004C75E3" w:rsidRDefault="004C75E3">
      <w:pPr>
        <w:spacing w:before="0" w:after="0" w:line="240" w:lineRule="auto"/>
      </w:pPr>
    </w:p>
    <w:p w14:paraId="41BDBA70" w14:textId="77777777" w:rsidR="004C75E3" w:rsidRDefault="004C75E3">
      <w:pPr>
        <w:spacing w:before="0" w:after="0" w:line="240" w:lineRule="auto"/>
        <w:sectPr w:rsidR="004C75E3" w:rsidSect="00C5796B">
          <w:headerReference w:type="even" r:id="rId62"/>
          <w:headerReference w:type="default" r:id="rId63"/>
          <w:footerReference w:type="even" r:id="rId64"/>
          <w:footerReference w:type="default" r:id="rId65"/>
          <w:headerReference w:type="first" r:id="rId66"/>
          <w:footerReference w:type="first" r:id="rId67"/>
          <w:endnotePr>
            <w:numFmt w:val="decimal"/>
          </w:endnotePr>
          <w:pgSz w:w="11879" w:h="16840" w:code="9"/>
          <w:pgMar w:top="1134" w:right="833" w:bottom="1134" w:left="1077" w:header="851" w:footer="851" w:gutter="0"/>
          <w:cols w:space="708"/>
          <w:titlePg/>
          <w:docGrid w:linePitch="360"/>
        </w:sectPr>
      </w:pPr>
    </w:p>
    <w:p w14:paraId="79B684D9" w14:textId="4EA00F7E" w:rsidR="00716F8A" w:rsidRDefault="00716F8A" w:rsidP="004C5528">
      <w:pPr>
        <w:pStyle w:val="Heading1"/>
      </w:pPr>
      <w:bookmarkStart w:id="34" w:name="mdheading-doc-84"/>
      <w:bookmarkStart w:id="35" w:name="_Toc96087234"/>
      <w:bookmarkStart w:id="36" w:name="_Toc96087245"/>
      <w:bookmarkStart w:id="37" w:name="_Toc96445859"/>
      <w:bookmarkStart w:id="38" w:name="_Toc146437044"/>
      <w:bookmarkEnd w:id="34"/>
      <w:r w:rsidRPr="00A4595C">
        <w:t>Financial Statements</w:t>
      </w:r>
      <w:bookmarkEnd w:id="35"/>
      <w:bookmarkEnd w:id="36"/>
      <w:bookmarkEnd w:id="37"/>
      <w:bookmarkEnd w:id="38"/>
    </w:p>
    <w:p w14:paraId="12989ED1" w14:textId="7B13B042" w:rsidR="005432C6" w:rsidRPr="005432C6" w:rsidRDefault="1E6696BF" w:rsidP="005432C6">
      <w:pPr>
        <w:pStyle w:val="Heading7"/>
      </w:pPr>
      <w:bookmarkStart w:id="39" w:name="_Toc146437045"/>
      <w:r>
        <w:t>Independent Audit</w:t>
      </w:r>
      <w:r w:rsidR="011D53A5">
        <w:t>or’s</w:t>
      </w:r>
      <w:r>
        <w:t xml:space="preserve"> Report</w:t>
      </w:r>
      <w:bookmarkEnd w:id="39"/>
    </w:p>
    <w:p w14:paraId="38C59D8C" w14:textId="119EDF4D" w:rsidR="005432C6" w:rsidRPr="005432C6" w:rsidRDefault="00EE221F" w:rsidP="005432C6">
      <w:r>
        <w:rPr>
          <w:rFonts w:cs="Open Sans"/>
          <w:noProof/>
        </w:rPr>
        <w:drawing>
          <wp:inline distT="0" distB="0" distL="0" distR="0" wp14:anchorId="178ADB3D" wp14:editId="7C53E6E4">
            <wp:extent cx="5180675" cy="7331103"/>
            <wp:effectExtent l="0" t="0" r="1270" b="0"/>
            <wp:docPr id="2031693386" name="Picture 2031693386" descr="(PAGE 1)&#10;INDEPENDENT AUDITOR’S REPORT&#10;To the Attorney-General&#10;Opinion&#10;&#10;In my opinion, the financial statements of the Australian Human Rights Commission (the Entity) for the year ended 30 June 2023:&#10;&#10;(a) comply with Australian Accounting Standards – Simplified Disclosures and the Public Governance, Performance and Accountability (Financial Reporting) Rule 2015; and&#10;&#10;(b) present fairly the financial position of the Entity as at 30 June 2023 and its financial performance and cash flows for the year then ended.&#10;&#10;The financial statements of the Entity, which I have audited, comprise the following as at 30 June 2023 and for the year then ended:&#10;&#10;• Statement by the Accountable Authority, Chief Executive and Chief Financial Officer;&#10;• Statement of Comprehensive Income;&#10;• Statement of Financial Position;&#10;• Statement of Changes in Equity;&#10;• Cash Flow Statement; and&#10;• Notes to the financial statements, comprising a summary of significant accounting policies and other explanatory information.&#10;&#10;Basis for opinion&#10;&#10;I conducted my audit in accordance with the Australian National Audit Office Auditing Standards, which incorporate the Australian Auditing Standards. My responsibilities under those standards are further described&#10;in the Auditor’s Responsibilities for the Audit of the Financial Statements section of my report. I am independent of the Entity in accordance with the relevant ethical requirements for financial statement audits conducted by&#10;the Auditor-General and his delegates. These include the relevant independence requirements of the Accounting Professional and Ethical Standards Board’s APES 110 Code of Ethics for Professional Accountants&#10;(including Independence Standards) (the Code) to the extent that they are not in conflict with the Auditor-General Act 1997. I have also fulfilled my other responsibilities in accordance with the Code. I believe that the audit evidence I have obtained is sufficient and appropriate to provide a basis for my opinion.&#10;&#10;Accountable Authority’s responsibility for the financial statements&#10;&#10;As the Accountable Authority of the Entity, the President is responsible under the Public Governance, Performance and Accountability Act 2013 (the Act) for the preparation and fair presentation of annual financial&#10;statements that comply with Australian Accounting Standards – Simplified Disclosures and the rules made under&#10;the Act. The Accountable Authority is also responsible for such internal control as the Accountable Authority&#10;determines is necessary to enable the preparation of financial statements that are free from material misstatement, whether due to fraud or error.&#10;&#10;In preparing the financial statements, the Accountable Authority is responsible for assessing the ability of the Entity to continue as a going concern, taking into account whether the Entity’s operations will cease as a result of an administrative restructure or for any other reason. The Accountable Authority is also responsible for disclosing, as applicable, matters related to going concern and using the going concern basis of accounting,&#10;unless the assessment indicates that it is not appropriate.&#10;&#10;GPO Box 707, Canberra ACT 2601&#10;38 Sydney Avenue, Forrest ACT 2603&#10;Phone (02) 6203 7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693386" name="Picture 2031693386" descr="(PAGE 1)&#10;INDEPENDENT AUDITOR’S REPORT&#10;To the Attorney-General&#10;Opinion&#10;&#10;In my opinion, the financial statements of the Australian Human Rights Commission (the Entity) for the year ended 30 June 2023:&#10;&#10;(a) comply with Australian Accounting Standards – Simplified Disclosures and the Public Governance, Performance and Accountability (Financial Reporting) Rule 2015; and&#10;&#10;(b) present fairly the financial position of the Entity as at 30 June 2023 and its financial performance and cash flows for the year then ended.&#10;&#10;The financial statements of the Entity, which I have audited, comprise the following as at 30 June 2023 and for the year then ended:&#10;&#10;• Statement by the Accountable Authority, Chief Executive and Chief Financial Officer;&#10;• Statement of Comprehensive Income;&#10;• Statement of Financial Position;&#10;• Statement of Changes in Equity;&#10;• Cash Flow Statement; and&#10;• Notes to the financial statements, comprising a summary of significant accounting policies and other explanatory information.&#10;&#10;Basis for opinion&#10;&#10;I conducted my audit in accordance with the Australian National Audit Office Auditing Standards, which incorporate the Australian Auditing Standards. My responsibilities under those standards are further described&#10;in the Auditor’s Responsibilities for the Audit of the Financial Statements section of my report. I am independent of the Entity in accordance with the relevant ethical requirements for financial statement audits conducted by&#10;the Auditor-General and his delegates. These include the relevant independence requirements of the Accounting Professional and Ethical Standards Board’s APES 110 Code of Ethics for Professional Accountants&#10;(including Independence Standards) (the Code) to the extent that they are not in conflict with the Auditor-General Act 1997. I have also fulfilled my other responsibilities in accordance with the Code. I believe that the audit evidence I have obtained is sufficient and appropriate to provide a basis for my opinion.&#10;&#10;Accountable Authority’s responsibility for the financial statements&#10;&#10;As the Accountable Authority of the Entity, the President is responsible under the Public Governance, Performance and Accountability Act 2013 (the Act) for the preparation and fair presentation of annual financial&#10;statements that comply with Australian Accounting Standards – Simplified Disclosures and the rules made under&#10;the Act. The Accountable Authority is also responsible for such internal control as the Accountable Authority&#10;determines is necessary to enable the preparation of financial statements that are free from material misstatement, whether due to fraud or error.&#10;&#10;In preparing the financial statements, the Accountable Authority is responsible for assessing the ability of the Entity to continue as a going concern, taking into account whether the Entity’s operations will cease as a result of an administrative restructure or for any other reason. The Accountable Authority is also responsible for disclosing, as applicable, matters related to going concern and using the going concern basis of accounting,&#10;unless the assessment indicates that it is not appropriate.&#10;&#10;GPO Box 707, Canberra ACT 2601&#10;38 Sydney Avenue, Forrest ACT 2603&#10;Phone (02) 6203 7300"/>
                    <pic:cNvPicPr/>
                  </pic:nvPicPr>
                  <pic:blipFill>
                    <a:blip r:embed="rId68">
                      <a:extLst>
                        <a:ext uri="{28A0092B-C50C-407E-A947-70E740481C1C}">
                          <a14:useLocalDpi xmlns:a14="http://schemas.microsoft.com/office/drawing/2010/main" val="0"/>
                        </a:ext>
                      </a:extLst>
                    </a:blip>
                    <a:stretch>
                      <a:fillRect/>
                    </a:stretch>
                  </pic:blipFill>
                  <pic:spPr>
                    <a:xfrm>
                      <a:off x="0" y="0"/>
                      <a:ext cx="5200267" cy="7358828"/>
                    </a:xfrm>
                    <a:prstGeom prst="rect">
                      <a:avLst/>
                    </a:prstGeom>
                  </pic:spPr>
                </pic:pic>
              </a:graphicData>
            </a:graphic>
          </wp:inline>
        </w:drawing>
      </w:r>
    </w:p>
    <w:p w14:paraId="29BE31A2" w14:textId="471AC242" w:rsidR="00EE221F" w:rsidRPr="00716F8A" w:rsidRDefault="00EE221F" w:rsidP="00EE221F">
      <w:pPr>
        <w:autoSpaceDE w:val="0"/>
        <w:autoSpaceDN w:val="0"/>
        <w:adjustRightInd w:val="0"/>
        <w:spacing w:after="160" w:line="201" w:lineRule="atLeast"/>
        <w:jc w:val="center"/>
        <w:rPr>
          <w:rFonts w:cs="Open Sans"/>
          <w:highlight w:val="yellow"/>
          <w:lang w:eastAsia="en-US"/>
        </w:rPr>
      </w:pPr>
      <w:r>
        <w:rPr>
          <w:rFonts w:cs="Open Sans"/>
          <w:noProof/>
        </w:rPr>
        <w:drawing>
          <wp:inline distT="0" distB="0" distL="0" distR="0" wp14:anchorId="689B46E0" wp14:editId="3D13E706">
            <wp:extent cx="5497200" cy="7779015"/>
            <wp:effectExtent l="0" t="0" r="0" b="0"/>
            <wp:docPr id="1546815662" name="Picture 1546815662" descr="(Page 2)&#10;&#10;INDEPENDENT AUDITOR'S REPORT&#10;&#10;Auditor’s responsibilities for the audit of the financial statements&#10;&#10;My objective is to obtain reasonable assurance about whether the financial statements as a whole are free from material misstatement, whether due to fraud or error, and to issue an auditor’s report that includes my opinion.&#10;Reasonable assurance is a high level of assurance, but is not a guarantee that an audit conducted in accordance with the Australian National Audit Office Auditing Standards will always detect a material misstatement when it&#10;exists. Misstatements can arise from fraud or error and are considered material if, individually or in the aggregate, they could reasonably be expected to influence the economic decisions of users taken on the basis&#10;of the financial statements.&#10;&#10;As part of an audit in accordance with the Australian National Audit Office Auditing Standards, I exercise professional judgement and maintain professional scepticism throughout the audit. I also:&#10;&#10;• identify and assess the risks of material misstatement of the financial statements, whether due to fraud or error, design and perform audit procedures responsive to those risks, and obtain audit evidence that is&#10;sufficient and appropriate to provide a basis for my opinion. The risk of not detecting a material&#10;misstatement resulting from fraud is higher than for one resulting from error, as fraud may involve collusion, forgery, intentional omissions, misrepresentations, or the override of internal control;&#10;• obtain an understanding of internal control relevant to the audit in order to design audit procedures that are appropriate in the circumstances, but not for the purpose of expressing an opinion on the effectiveness of&#10;the Entity’s internal control;&#10;• evaluate the appropriateness of accounting policies used and the reasonableness of accounting estimates and related disclosures made by the Accountable Authority;&#10;• conclude on the appropriateness of the Accountable Authority’s use of the going concern basis of accounting and, based on the audit evidence obtained, whether a material uncertainty exists related to events or&#10;conditions that may cast significant doubt on the Entity’s ability to continue as a going concern. If I conclude that a material uncertainty exists, I am required to draw attention in my auditor’s report to the related&#10;disclosures in the financial statements or, if such disclosures are inadequate, to modify my opinion. My conclusions are based on the audit evidence obtained up to the date of my auditor’s report. However, future&#10;events or conditions may cause the Entity to cease to continue as a going concern; and&#10;• evaluate the overall presentation, structure and content of the financial statements, including the disclosures, and whether the financial statements represent the underlying transactions and events in a manner that achieves fair presentation.&#10;&#10;I communicate with the Accountable Authority regarding, among other matters, the planned scope and timing of the audit and significant audit findings, including any significant deficiencies in internal control that I identify&#10;during my audit.&#10;&#10;Australian National Audit Office&#10;Ben Nicholls&#10;Audit Principal&#10;Delegate of the Auditor-General&#10;&#10;Canberra&#10;15 September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15662" name="Picture 1546815662" descr="(Page 2)&#10;&#10;INDEPENDENT AUDITOR'S REPORT&#10;&#10;Auditor’s responsibilities for the audit of the financial statements&#10;&#10;My objective is to obtain reasonable assurance about whether the financial statements as a whole are free from material misstatement, whether due to fraud or error, and to issue an auditor’s report that includes my opinion.&#10;Reasonable assurance is a high level of assurance, but is not a guarantee that an audit conducted in accordance with the Australian National Audit Office Auditing Standards will always detect a material misstatement when it&#10;exists. Misstatements can arise from fraud or error and are considered material if, individually or in the aggregate, they could reasonably be expected to influence the economic decisions of users taken on the basis&#10;of the financial statements.&#10;&#10;As part of an audit in accordance with the Australian National Audit Office Auditing Standards, I exercise professional judgement and maintain professional scepticism throughout the audit. I also:&#10;&#10;• identify and assess the risks of material misstatement of the financial statements, whether due to fraud or error, design and perform audit procedures responsive to those risks, and obtain audit evidence that is&#10;sufficient and appropriate to provide a basis for my opinion. The risk of not detecting a material&#10;misstatement resulting from fraud is higher than for one resulting from error, as fraud may involve collusion, forgery, intentional omissions, misrepresentations, or the override of internal control;&#10;• obtain an understanding of internal control relevant to the audit in order to design audit procedures that are appropriate in the circumstances, but not for the purpose of expressing an opinion on the effectiveness of&#10;the Entity’s internal control;&#10;• evaluate the appropriateness of accounting policies used and the reasonableness of accounting estimates and related disclosures made by the Accountable Authority;&#10;• conclude on the appropriateness of the Accountable Authority’s use of the going concern basis of accounting and, based on the audit evidence obtained, whether a material uncertainty exists related to events or&#10;conditions that may cast significant doubt on the Entity’s ability to continue as a going concern. If I conclude that a material uncertainty exists, I am required to draw attention in my auditor’s report to the related&#10;disclosures in the financial statements or, if such disclosures are inadequate, to modify my opinion. My conclusions are based on the audit evidence obtained up to the date of my auditor’s report. However, future&#10;events or conditions may cause the Entity to cease to continue as a going concern; and&#10;• evaluate the overall presentation, structure and content of the financial statements, including the disclosures, and whether the financial statements represent the underlying transactions and events in a manner that achieves fair presentation.&#10;&#10;I communicate with the Accountable Authority regarding, among other matters, the planned scope and timing of the audit and significant audit findings, including any significant deficiencies in internal control that I identify&#10;during my audit.&#10;&#10;Australian National Audit Office&#10;Ben Nicholls&#10;Audit Principal&#10;Delegate of the Auditor-General&#10;&#10;Canberra&#10;15 September 2023"/>
                    <pic:cNvPicPr/>
                  </pic:nvPicPr>
                  <pic:blipFill>
                    <a:blip r:embed="rId69">
                      <a:extLst>
                        <a:ext uri="{28A0092B-C50C-407E-A947-70E740481C1C}">
                          <a14:useLocalDpi xmlns:a14="http://schemas.microsoft.com/office/drawing/2010/main" val="0"/>
                        </a:ext>
                      </a:extLst>
                    </a:blip>
                    <a:stretch>
                      <a:fillRect/>
                    </a:stretch>
                  </pic:blipFill>
                  <pic:spPr>
                    <a:xfrm>
                      <a:off x="0" y="0"/>
                      <a:ext cx="5497200" cy="7779015"/>
                    </a:xfrm>
                    <a:prstGeom prst="rect">
                      <a:avLst/>
                    </a:prstGeom>
                  </pic:spPr>
                </pic:pic>
              </a:graphicData>
            </a:graphic>
          </wp:inline>
        </w:drawing>
      </w:r>
    </w:p>
    <w:p w14:paraId="51BE7C70" w14:textId="6E2FC76C" w:rsidR="00EE221F" w:rsidRDefault="00EE221F">
      <w:pPr>
        <w:spacing w:before="0" w:after="0" w:line="240" w:lineRule="auto"/>
        <w:rPr>
          <w:rFonts w:cs="Open Sans"/>
          <w:highlight w:val="yellow"/>
          <w:lang w:eastAsia="en-US"/>
        </w:rPr>
      </w:pPr>
      <w:r>
        <w:rPr>
          <w:rFonts w:cs="Open Sans"/>
          <w:highlight w:val="yellow"/>
          <w:lang w:eastAsia="en-US"/>
        </w:rPr>
        <w:br w:type="page"/>
      </w:r>
    </w:p>
    <w:p w14:paraId="12EBB3EA" w14:textId="0F85AD7B" w:rsidR="005432C6" w:rsidRPr="00F365E2" w:rsidRDefault="005432C6" w:rsidP="00F365E2">
      <w:pPr>
        <w:pStyle w:val="Heading7"/>
      </w:pPr>
      <w:bookmarkStart w:id="40" w:name="_Toc146437046"/>
      <w:r w:rsidRPr="00F365E2">
        <w:t>Statement by the Accountable Authority, Chief Executive and Chief Financial Officer</w:t>
      </w:r>
      <w:bookmarkEnd w:id="40"/>
    </w:p>
    <w:p w14:paraId="1D9165E8" w14:textId="77777777" w:rsidR="001F205C" w:rsidRDefault="001F205C" w:rsidP="00716F8A">
      <w:pPr>
        <w:autoSpaceDE w:val="0"/>
        <w:autoSpaceDN w:val="0"/>
        <w:adjustRightInd w:val="0"/>
        <w:spacing w:after="160" w:line="201" w:lineRule="atLeast"/>
        <w:rPr>
          <w:rFonts w:cs="Open Sans"/>
          <w:highlight w:val="yellow"/>
          <w:lang w:eastAsia="en-US"/>
        </w:rPr>
      </w:pPr>
    </w:p>
    <w:p w14:paraId="29A6EE18" w14:textId="3538EB20" w:rsidR="008C3323" w:rsidRDefault="004C75E3" w:rsidP="001F205C">
      <w:pPr>
        <w:autoSpaceDE w:val="0"/>
        <w:autoSpaceDN w:val="0"/>
        <w:adjustRightInd w:val="0"/>
        <w:spacing w:after="160" w:line="201" w:lineRule="atLeast"/>
        <w:jc w:val="center"/>
        <w:rPr>
          <w:rFonts w:cs="Open Sans"/>
          <w:highlight w:val="yellow"/>
          <w:lang w:eastAsia="en-US"/>
        </w:rPr>
      </w:pPr>
      <w:r>
        <w:rPr>
          <w:rFonts w:cs="Open Sans"/>
          <w:noProof/>
        </w:rPr>
        <w:drawing>
          <wp:inline distT="0" distB="0" distL="0" distR="0" wp14:anchorId="63A10C41" wp14:editId="24B25F4D">
            <wp:extent cx="4965700" cy="3505200"/>
            <wp:effectExtent l="0" t="0" r="0" b="0"/>
            <wp:docPr id="1725604173" name="Picture 1725604173" descr="STATEMENT BY THE ACCOUNTABLE AUTHORITY, CHIEF EXECUTIVE AND CHIEF FINANCIAL OFFICER&#10;In our opinion, the attached financial statements for the year ended 30 June 2023 comply with subsection 42(2) of the Public Governance, Performance and Accountability Act 2013 (PGPA Act), and are based on properly maintained financial records as per subsection 41(2) of the PGPA Act.In our opinion, at the date of this statement, there are reasonable grounds to believe that the Australian Human Rights Commission will be able to pay its debts as and when they fall due.&#10;&#10;Emeritus Professor Rosalind Croucher AMPresident and Accountable Authority15 September 2023&#10;&#10;Leanne SmithChief Executive15 September 2023&#10;&#10;Maria MooreChief Financial Officer15 September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604173" name="Immagine 1" descr="STATEMENT BY THE ACCOUNTABLE AUTHORITY, CHIEF EXECUTIVE AND CHIEF FINANCIAL OFFICER&#10;In our opinion, the attached financial statements for the year ended 30 June 2023 comply with subsection 42(2) of the Public Governance, Performance and Accountability Act 2013 (PGPA Act), and are based on properly maintained financial records as per subsection 41(2) of the PGPA Act.In our opinion, at the date of this statement, there are reasonable grounds to believe that the Australian Human Rights Commission will be able to pay its debts as and when they fall due.&#10;&#10;Emeritus Professor Rosalind Croucher AMPresident and Accountable Authority15 September 2023&#10;&#10;Leanne SmithChief Executive15 September 2023&#10;&#10;Maria MooreChief Financial Officer15 September 202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65700" cy="3505200"/>
                    </a:xfrm>
                    <a:prstGeom prst="rect">
                      <a:avLst/>
                    </a:prstGeom>
                  </pic:spPr>
                </pic:pic>
              </a:graphicData>
            </a:graphic>
          </wp:inline>
        </w:drawing>
      </w:r>
    </w:p>
    <w:p w14:paraId="15C8AC7F" w14:textId="77777777" w:rsidR="00686760" w:rsidRDefault="00686760" w:rsidP="00716F8A">
      <w:pPr>
        <w:autoSpaceDE w:val="0"/>
        <w:autoSpaceDN w:val="0"/>
        <w:adjustRightInd w:val="0"/>
        <w:spacing w:after="160" w:line="201" w:lineRule="atLeast"/>
        <w:rPr>
          <w:rFonts w:cs="Open Sans"/>
          <w:highlight w:val="yellow"/>
          <w:lang w:eastAsia="en-US"/>
        </w:rPr>
      </w:pPr>
    </w:p>
    <w:p w14:paraId="4EEF0C51" w14:textId="77777777" w:rsidR="00F365E2" w:rsidRDefault="00F365E2">
      <w:pPr>
        <w:spacing w:before="0" w:after="0" w:line="240" w:lineRule="auto"/>
        <w:rPr>
          <w:rFonts w:cs="Open Sans"/>
          <w:highlight w:val="yellow"/>
          <w:lang w:eastAsia="en-US"/>
        </w:rPr>
      </w:pPr>
    </w:p>
    <w:p w14:paraId="47DE98A3" w14:textId="4F6ACAB3" w:rsidR="00686760" w:rsidRDefault="00686760">
      <w:pPr>
        <w:spacing w:before="0" w:after="0" w:line="240" w:lineRule="auto"/>
        <w:rPr>
          <w:rFonts w:cs="Open Sans"/>
          <w:highlight w:val="yellow"/>
          <w:lang w:eastAsia="en-US"/>
        </w:rPr>
      </w:pPr>
      <w:r>
        <w:rPr>
          <w:rFonts w:cs="Open Sans"/>
          <w:highlight w:val="yellow"/>
          <w:lang w:eastAsia="en-US"/>
        </w:rPr>
        <w:br w:type="page"/>
      </w:r>
    </w:p>
    <w:p w14:paraId="6F974F4F" w14:textId="1ACA8C74" w:rsidR="002320D7" w:rsidRDefault="00716F8A" w:rsidP="002320D7">
      <w:pPr>
        <w:pStyle w:val="Heading7"/>
        <w:rPr>
          <w:rStyle w:val="Strong"/>
          <w:rFonts w:ascii="Open Sans Semibold" w:hAnsi="Open Sans Semibold"/>
          <w:b/>
          <w:bCs w:val="0"/>
        </w:rPr>
      </w:pPr>
      <w:bookmarkStart w:id="41" w:name="_Toc146437047"/>
      <w:r w:rsidRPr="00B5393B">
        <w:rPr>
          <w:rStyle w:val="Strong"/>
          <w:rFonts w:ascii="Open Sans Semibold" w:hAnsi="Open Sans Semibold"/>
          <w:b/>
          <w:bCs w:val="0"/>
        </w:rPr>
        <w:t>Statement of Comprehensive Income</w:t>
      </w:r>
      <w:bookmarkEnd w:id="41"/>
    </w:p>
    <w:p w14:paraId="1C9BE5EF" w14:textId="64C4A951" w:rsidR="002320D7" w:rsidRPr="002320D7" w:rsidRDefault="00C13CD9" w:rsidP="002320D7">
      <w:pPr>
        <w:pStyle w:val="Fortheyearended"/>
      </w:pPr>
      <w:r>
        <w:t>for the year ended</w:t>
      </w:r>
      <w:r w:rsidR="7D1960C7">
        <w:t xml:space="preserve"> 30</w:t>
      </w:r>
      <w:r w:rsidR="3DF04974">
        <w:t xml:space="preserve"> June 2023</w:t>
      </w:r>
    </w:p>
    <w:tbl>
      <w:tblPr>
        <w:tblW w:w="10091" w:type="dxa"/>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5159"/>
        <w:gridCol w:w="680"/>
        <w:gridCol w:w="1418"/>
        <w:gridCol w:w="1417"/>
        <w:gridCol w:w="1417"/>
      </w:tblGrid>
      <w:tr w:rsidR="00B5393B" w:rsidRPr="00B5393B" w14:paraId="7179E4F0" w14:textId="77777777" w:rsidTr="00E445AB">
        <w:trPr>
          <w:trHeight w:val="297"/>
          <w:tblHeader/>
        </w:trPr>
        <w:tc>
          <w:tcPr>
            <w:tcW w:w="5839" w:type="dxa"/>
            <w:gridSpan w:val="2"/>
            <w:shd w:val="clear" w:color="auto" w:fill="1CBDC9"/>
            <w:tcMar>
              <w:top w:w="85" w:type="dxa"/>
              <w:left w:w="113" w:type="dxa"/>
              <w:bottom w:w="113" w:type="dxa"/>
              <w:right w:w="113" w:type="dxa"/>
            </w:tcMar>
            <w:vAlign w:val="bottom"/>
          </w:tcPr>
          <w:p w14:paraId="6F981367"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D22D38">
              <w:rPr>
                <w:rFonts w:ascii="Open Sans Condensed" w:hAnsi="Open Sans Condensed" w:cs="Open Sans Condensed"/>
                <w:b/>
                <w:bCs/>
                <w:color w:val="FFFFFF" w:themeColor="background1"/>
                <w:sz w:val="20"/>
                <w:szCs w:val="20"/>
                <w:lang w:val="en-US"/>
              </w:rPr>
              <w:t>Notes</w:t>
            </w:r>
          </w:p>
        </w:tc>
        <w:tc>
          <w:tcPr>
            <w:tcW w:w="1418" w:type="dxa"/>
            <w:shd w:val="clear" w:color="auto" w:fill="1CBDC9"/>
            <w:tcMar>
              <w:top w:w="85" w:type="dxa"/>
              <w:left w:w="113" w:type="dxa"/>
              <w:bottom w:w="113" w:type="dxa"/>
              <w:right w:w="113" w:type="dxa"/>
            </w:tcMar>
            <w:vAlign w:val="bottom"/>
          </w:tcPr>
          <w:p w14:paraId="382D50ED"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D22D38">
              <w:rPr>
                <w:rFonts w:ascii="Open Sans Condensed" w:hAnsi="Open Sans Condensed" w:cs="Open Sans Condensed"/>
                <w:b/>
                <w:bCs/>
                <w:color w:val="FFFFFF" w:themeColor="background1"/>
                <w:sz w:val="20"/>
                <w:szCs w:val="20"/>
                <w:lang w:val="en-US"/>
              </w:rPr>
              <w:t>2023</w:t>
            </w:r>
          </w:p>
          <w:p w14:paraId="3D866D56"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D22D38">
              <w:rPr>
                <w:rFonts w:cs="Open Sans"/>
                <w:b/>
                <w:bCs/>
                <w:color w:val="FFFFFF" w:themeColor="background1"/>
                <w:sz w:val="20"/>
                <w:szCs w:val="20"/>
                <w:lang w:val="en-US"/>
              </w:rPr>
              <w:t>$’000</w:t>
            </w:r>
          </w:p>
        </w:tc>
        <w:tc>
          <w:tcPr>
            <w:tcW w:w="1417" w:type="dxa"/>
            <w:shd w:val="clear" w:color="auto" w:fill="1CBDC9"/>
            <w:tcMar>
              <w:top w:w="85" w:type="dxa"/>
              <w:left w:w="113" w:type="dxa"/>
              <w:bottom w:w="113" w:type="dxa"/>
              <w:right w:w="113" w:type="dxa"/>
            </w:tcMar>
            <w:vAlign w:val="bottom"/>
          </w:tcPr>
          <w:p w14:paraId="691D62E4"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Light" w:hAnsi="Open Sans Condensed Light" w:cs="Open Sans Condensed Light"/>
                <w:color w:val="FFFFFF" w:themeColor="background1"/>
                <w:sz w:val="20"/>
                <w:szCs w:val="20"/>
                <w:lang w:val="en-US"/>
              </w:rPr>
            </w:pPr>
            <w:r w:rsidRPr="00D22D38">
              <w:rPr>
                <w:rFonts w:ascii="Open Sans Condensed Light" w:hAnsi="Open Sans Condensed Light" w:cs="Open Sans Condensed Light"/>
                <w:color w:val="FFFFFF" w:themeColor="background1"/>
                <w:sz w:val="20"/>
                <w:szCs w:val="20"/>
                <w:lang w:val="en-US"/>
              </w:rPr>
              <w:t>2022</w:t>
            </w:r>
          </w:p>
          <w:p w14:paraId="2767BF30"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D22D38">
              <w:rPr>
                <w:rFonts w:ascii="Open Sans Condensed Light" w:hAnsi="Open Sans Condensed Light" w:cs="Open Sans Condensed Light"/>
                <w:color w:val="FFFFFF" w:themeColor="background1"/>
                <w:sz w:val="20"/>
                <w:szCs w:val="20"/>
                <w:lang w:val="en-US"/>
              </w:rPr>
              <w:t>$’000</w:t>
            </w:r>
          </w:p>
        </w:tc>
        <w:tc>
          <w:tcPr>
            <w:tcW w:w="1417" w:type="dxa"/>
            <w:shd w:val="clear" w:color="auto" w:fill="1CBDC9"/>
            <w:tcMar>
              <w:top w:w="85" w:type="dxa"/>
              <w:left w:w="113" w:type="dxa"/>
              <w:bottom w:w="113" w:type="dxa"/>
              <w:right w:w="113" w:type="dxa"/>
            </w:tcMar>
            <w:vAlign w:val="bottom"/>
          </w:tcPr>
          <w:p w14:paraId="521E5FAA"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Light" w:hAnsi="Open Sans Condensed Light" w:cs="Open Sans Condensed Light"/>
                <w:color w:val="FFFFFF" w:themeColor="background1"/>
                <w:sz w:val="20"/>
                <w:szCs w:val="20"/>
                <w:lang w:val="en-US"/>
              </w:rPr>
            </w:pPr>
            <w:r w:rsidRPr="00D22D38">
              <w:rPr>
                <w:rFonts w:ascii="Open Sans Condensed Light" w:hAnsi="Open Sans Condensed Light" w:cs="Open Sans Condensed Light"/>
                <w:color w:val="FFFFFF" w:themeColor="background1"/>
                <w:sz w:val="20"/>
                <w:szCs w:val="20"/>
                <w:lang w:val="en-US"/>
              </w:rPr>
              <w:t>Original Budget</w:t>
            </w:r>
          </w:p>
          <w:p w14:paraId="7248E4AE"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D22D38">
              <w:rPr>
                <w:rFonts w:ascii="Open Sans Condensed Light" w:hAnsi="Open Sans Condensed Light" w:cs="Open Sans Condensed Light"/>
                <w:color w:val="FFFFFF" w:themeColor="background1"/>
                <w:sz w:val="20"/>
                <w:szCs w:val="20"/>
                <w:lang w:val="en-US"/>
              </w:rPr>
              <w:t>$’000</w:t>
            </w:r>
          </w:p>
        </w:tc>
      </w:tr>
      <w:tr w:rsidR="00D22D38" w:rsidRPr="00D22D38" w14:paraId="19598DF7" w14:textId="77777777" w:rsidTr="00E445AB">
        <w:trPr>
          <w:trHeight w:val="240"/>
        </w:trPr>
        <w:tc>
          <w:tcPr>
            <w:tcW w:w="5159" w:type="dxa"/>
            <w:tcMar>
              <w:top w:w="227" w:type="dxa"/>
              <w:left w:w="0" w:type="dxa"/>
              <w:bottom w:w="57" w:type="dxa"/>
              <w:right w:w="113" w:type="dxa"/>
            </w:tcMar>
            <w:vAlign w:val="bottom"/>
          </w:tcPr>
          <w:p w14:paraId="6C50C372" w14:textId="77777777" w:rsidR="00D22D38" w:rsidRPr="00D22D38" w:rsidRDefault="00D22D38" w:rsidP="00D22D38">
            <w:pPr>
              <w:pStyle w:val="FSBlueHeadingBold"/>
            </w:pPr>
            <w:r w:rsidRPr="00D22D38">
              <w:t>NET COST OF SERVICES</w:t>
            </w:r>
          </w:p>
        </w:tc>
        <w:tc>
          <w:tcPr>
            <w:tcW w:w="680" w:type="dxa"/>
            <w:tcMar>
              <w:top w:w="227" w:type="dxa"/>
              <w:left w:w="0" w:type="dxa"/>
              <w:bottom w:w="57" w:type="dxa"/>
              <w:right w:w="113" w:type="dxa"/>
            </w:tcMar>
            <w:vAlign w:val="bottom"/>
          </w:tcPr>
          <w:p w14:paraId="7166DAC8" w14:textId="77777777" w:rsidR="00D22D38" w:rsidRPr="00D22D38" w:rsidRDefault="00D22D38" w:rsidP="00D22D38">
            <w:pPr>
              <w:pStyle w:val="FSBlueHeadingBold"/>
              <w:rPr>
                <w:rFonts w:ascii="Open Sans Condensed" w:hAnsi="Open Sans Condensed"/>
                <w:lang w:val="it-IT"/>
              </w:rPr>
            </w:pPr>
          </w:p>
        </w:tc>
        <w:tc>
          <w:tcPr>
            <w:tcW w:w="1418" w:type="dxa"/>
            <w:tcMar>
              <w:top w:w="227" w:type="dxa"/>
              <w:left w:w="0" w:type="dxa"/>
              <w:bottom w:w="57" w:type="dxa"/>
              <w:right w:w="113" w:type="dxa"/>
            </w:tcMar>
            <w:vAlign w:val="bottom"/>
          </w:tcPr>
          <w:p w14:paraId="11E419EE" w14:textId="77777777" w:rsidR="00D22D38" w:rsidRPr="00D22D38" w:rsidRDefault="00D22D38" w:rsidP="00D22D38">
            <w:pPr>
              <w:pStyle w:val="FSBlueHeadingBold"/>
              <w:rPr>
                <w:rFonts w:ascii="Open Sans Condensed" w:hAnsi="Open Sans Condensed"/>
                <w:lang w:val="it-IT"/>
              </w:rPr>
            </w:pPr>
          </w:p>
        </w:tc>
        <w:tc>
          <w:tcPr>
            <w:tcW w:w="1417" w:type="dxa"/>
            <w:tcMar>
              <w:top w:w="227" w:type="dxa"/>
              <w:left w:w="0" w:type="dxa"/>
              <w:bottom w:w="57" w:type="dxa"/>
              <w:right w:w="113" w:type="dxa"/>
            </w:tcMar>
            <w:vAlign w:val="bottom"/>
          </w:tcPr>
          <w:p w14:paraId="76C368E5" w14:textId="77777777" w:rsidR="00D22D38" w:rsidRPr="00D22D38" w:rsidRDefault="00D22D38" w:rsidP="00D22D38">
            <w:pPr>
              <w:pStyle w:val="FSBlueHeadingBold"/>
              <w:rPr>
                <w:rFonts w:ascii="Open Sans Condensed" w:hAnsi="Open Sans Condensed"/>
                <w:lang w:val="it-IT"/>
              </w:rPr>
            </w:pPr>
          </w:p>
        </w:tc>
        <w:tc>
          <w:tcPr>
            <w:tcW w:w="1417" w:type="dxa"/>
            <w:tcMar>
              <w:top w:w="227" w:type="dxa"/>
              <w:left w:w="0" w:type="dxa"/>
              <w:bottom w:w="57" w:type="dxa"/>
              <w:right w:w="113" w:type="dxa"/>
            </w:tcMar>
            <w:vAlign w:val="bottom"/>
          </w:tcPr>
          <w:p w14:paraId="419C0430" w14:textId="77777777" w:rsidR="00D22D38" w:rsidRPr="00D22D38" w:rsidRDefault="00D22D38" w:rsidP="00D22D38">
            <w:pPr>
              <w:pStyle w:val="FSBlueHeadingBold"/>
              <w:rPr>
                <w:rFonts w:ascii="Open Sans Condensed" w:hAnsi="Open Sans Condensed"/>
                <w:lang w:val="it-IT"/>
              </w:rPr>
            </w:pPr>
          </w:p>
        </w:tc>
      </w:tr>
      <w:tr w:rsidR="00D22D38" w:rsidRPr="00D22D38" w14:paraId="4CC05B75" w14:textId="77777777" w:rsidTr="00E445AB">
        <w:trPr>
          <w:trHeight w:val="240"/>
        </w:trPr>
        <w:tc>
          <w:tcPr>
            <w:tcW w:w="5159" w:type="dxa"/>
            <w:tcMar>
              <w:top w:w="28" w:type="dxa"/>
              <w:left w:w="0" w:type="dxa"/>
              <w:bottom w:w="57" w:type="dxa"/>
              <w:right w:w="113" w:type="dxa"/>
            </w:tcMar>
            <w:vAlign w:val="bottom"/>
          </w:tcPr>
          <w:p w14:paraId="1BA7FF1F" w14:textId="77777777" w:rsidR="00D22D38" w:rsidRPr="00D22D38" w:rsidRDefault="00D22D38" w:rsidP="00D22D38">
            <w:pPr>
              <w:pStyle w:val="FSBodyTextBold"/>
              <w:spacing w:before="0" w:after="0" w:line="240" w:lineRule="auto"/>
            </w:pPr>
            <w:r w:rsidRPr="00D22D38">
              <w:t>Expenses</w:t>
            </w:r>
          </w:p>
        </w:tc>
        <w:tc>
          <w:tcPr>
            <w:tcW w:w="680" w:type="dxa"/>
            <w:tcMar>
              <w:top w:w="28" w:type="dxa"/>
              <w:left w:w="0" w:type="dxa"/>
              <w:bottom w:w="57" w:type="dxa"/>
              <w:right w:w="113" w:type="dxa"/>
            </w:tcMar>
            <w:vAlign w:val="bottom"/>
          </w:tcPr>
          <w:p w14:paraId="16F2F931" w14:textId="77777777" w:rsidR="00D22D38" w:rsidRPr="00D22D38" w:rsidRDefault="00D22D38" w:rsidP="00D22D38">
            <w:pPr>
              <w:pStyle w:val="FSBodyTextBold"/>
              <w:spacing w:before="0" w:after="0" w:line="240" w:lineRule="auto"/>
              <w:rPr>
                <w:rFonts w:ascii="Open Sans Condensed" w:hAnsi="Open Sans Condensed"/>
              </w:rPr>
            </w:pPr>
          </w:p>
        </w:tc>
        <w:tc>
          <w:tcPr>
            <w:tcW w:w="1418" w:type="dxa"/>
            <w:tcMar>
              <w:top w:w="28" w:type="dxa"/>
              <w:left w:w="0" w:type="dxa"/>
              <w:bottom w:w="57" w:type="dxa"/>
              <w:right w:w="113" w:type="dxa"/>
            </w:tcMar>
            <w:vAlign w:val="bottom"/>
          </w:tcPr>
          <w:p w14:paraId="024E97BC" w14:textId="77777777" w:rsidR="00D22D38" w:rsidRPr="00D22D38" w:rsidRDefault="00D22D38" w:rsidP="00D22D38">
            <w:pPr>
              <w:pStyle w:val="FSBodyTextBold"/>
              <w:spacing w:before="0" w:after="0" w:line="240" w:lineRule="auto"/>
              <w:rPr>
                <w:rFonts w:ascii="Open Sans Condensed" w:hAnsi="Open Sans Condensed"/>
              </w:rPr>
            </w:pPr>
          </w:p>
        </w:tc>
        <w:tc>
          <w:tcPr>
            <w:tcW w:w="1417" w:type="dxa"/>
            <w:tcMar>
              <w:top w:w="28" w:type="dxa"/>
              <w:left w:w="0" w:type="dxa"/>
              <w:bottom w:w="57" w:type="dxa"/>
              <w:right w:w="113" w:type="dxa"/>
            </w:tcMar>
            <w:vAlign w:val="bottom"/>
          </w:tcPr>
          <w:p w14:paraId="1C1FACFD" w14:textId="77777777" w:rsidR="00D22D38" w:rsidRPr="00D22D38" w:rsidRDefault="00D22D38" w:rsidP="00D22D38">
            <w:pPr>
              <w:pStyle w:val="FSBodyTextBold"/>
              <w:spacing w:before="0" w:after="0" w:line="240" w:lineRule="auto"/>
              <w:rPr>
                <w:rFonts w:ascii="Open Sans Condensed" w:hAnsi="Open Sans Condensed"/>
              </w:rPr>
            </w:pPr>
          </w:p>
        </w:tc>
        <w:tc>
          <w:tcPr>
            <w:tcW w:w="1417" w:type="dxa"/>
            <w:tcMar>
              <w:top w:w="28" w:type="dxa"/>
              <w:left w:w="0" w:type="dxa"/>
              <w:bottom w:w="57" w:type="dxa"/>
              <w:right w:w="113" w:type="dxa"/>
            </w:tcMar>
            <w:vAlign w:val="bottom"/>
          </w:tcPr>
          <w:p w14:paraId="063C2767" w14:textId="77777777" w:rsidR="00D22D38" w:rsidRPr="00D22D38" w:rsidRDefault="00D22D38" w:rsidP="00D22D38">
            <w:pPr>
              <w:pStyle w:val="FSBodyTextBold"/>
              <w:spacing w:before="0" w:after="0" w:line="240" w:lineRule="auto"/>
              <w:rPr>
                <w:rFonts w:ascii="Open Sans Condensed" w:hAnsi="Open Sans Condensed"/>
              </w:rPr>
            </w:pPr>
          </w:p>
        </w:tc>
      </w:tr>
      <w:tr w:rsidR="00D22D38" w:rsidRPr="00D22D38" w14:paraId="63898FA3" w14:textId="77777777" w:rsidTr="00E445AB">
        <w:trPr>
          <w:trHeight w:val="240"/>
        </w:trPr>
        <w:tc>
          <w:tcPr>
            <w:tcW w:w="5159" w:type="dxa"/>
            <w:tcMar>
              <w:top w:w="28" w:type="dxa"/>
              <w:left w:w="0" w:type="dxa"/>
              <w:bottom w:w="57" w:type="dxa"/>
              <w:right w:w="113" w:type="dxa"/>
            </w:tcMar>
            <w:vAlign w:val="bottom"/>
          </w:tcPr>
          <w:p w14:paraId="0A816475"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D22D38">
              <w:rPr>
                <w:rFonts w:cs="Open Sans"/>
                <w:color w:val="000000"/>
                <w:sz w:val="16"/>
                <w:szCs w:val="16"/>
                <w:lang w:val="it-IT"/>
              </w:rPr>
              <w:t>Employee benefits</w:t>
            </w:r>
          </w:p>
        </w:tc>
        <w:tc>
          <w:tcPr>
            <w:tcW w:w="680" w:type="dxa"/>
            <w:tcMar>
              <w:top w:w="28" w:type="dxa"/>
              <w:left w:w="0" w:type="dxa"/>
              <w:bottom w:w="57" w:type="dxa"/>
              <w:right w:w="113" w:type="dxa"/>
            </w:tcMar>
            <w:vAlign w:val="bottom"/>
          </w:tcPr>
          <w:p w14:paraId="20F7A4E3"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1.1A</w:t>
            </w:r>
          </w:p>
        </w:tc>
        <w:tc>
          <w:tcPr>
            <w:tcW w:w="1418" w:type="dxa"/>
            <w:tcMar>
              <w:top w:w="28" w:type="dxa"/>
              <w:left w:w="0" w:type="dxa"/>
              <w:bottom w:w="57" w:type="dxa"/>
              <w:right w:w="113" w:type="dxa"/>
            </w:tcMar>
            <w:vAlign w:val="bottom"/>
          </w:tcPr>
          <w:p w14:paraId="577D5DC6"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 xml:space="preserve">20,837 </w:t>
            </w:r>
          </w:p>
        </w:tc>
        <w:tc>
          <w:tcPr>
            <w:tcW w:w="1417" w:type="dxa"/>
            <w:tcMar>
              <w:top w:w="28" w:type="dxa"/>
              <w:left w:w="0" w:type="dxa"/>
              <w:bottom w:w="57" w:type="dxa"/>
              <w:right w:w="113" w:type="dxa"/>
            </w:tcMar>
            <w:vAlign w:val="bottom"/>
          </w:tcPr>
          <w:p w14:paraId="7F834F71"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21,478 </w:t>
            </w:r>
          </w:p>
        </w:tc>
        <w:tc>
          <w:tcPr>
            <w:tcW w:w="1417" w:type="dxa"/>
            <w:tcMar>
              <w:top w:w="28" w:type="dxa"/>
              <w:left w:w="0" w:type="dxa"/>
              <w:bottom w:w="57" w:type="dxa"/>
              <w:right w:w="113" w:type="dxa"/>
            </w:tcMar>
            <w:vAlign w:val="bottom"/>
          </w:tcPr>
          <w:p w14:paraId="6B8B8C12"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26,408 </w:t>
            </w:r>
          </w:p>
        </w:tc>
      </w:tr>
      <w:tr w:rsidR="00D22D38" w:rsidRPr="00D22D38" w14:paraId="34980774" w14:textId="77777777" w:rsidTr="00E445AB">
        <w:trPr>
          <w:trHeight w:val="240"/>
        </w:trPr>
        <w:tc>
          <w:tcPr>
            <w:tcW w:w="5159" w:type="dxa"/>
            <w:tcMar>
              <w:top w:w="28" w:type="dxa"/>
              <w:left w:w="0" w:type="dxa"/>
              <w:bottom w:w="57" w:type="dxa"/>
              <w:right w:w="113" w:type="dxa"/>
            </w:tcMar>
            <w:vAlign w:val="bottom"/>
          </w:tcPr>
          <w:p w14:paraId="2F585F38"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D22D38">
              <w:rPr>
                <w:rFonts w:cs="Open Sans"/>
                <w:color w:val="000000"/>
                <w:sz w:val="16"/>
                <w:szCs w:val="16"/>
                <w:lang w:val="it-IT"/>
              </w:rPr>
              <w:t>Suppliers</w:t>
            </w:r>
          </w:p>
        </w:tc>
        <w:tc>
          <w:tcPr>
            <w:tcW w:w="680" w:type="dxa"/>
            <w:tcMar>
              <w:top w:w="28" w:type="dxa"/>
              <w:left w:w="0" w:type="dxa"/>
              <w:bottom w:w="57" w:type="dxa"/>
              <w:right w:w="113" w:type="dxa"/>
            </w:tcMar>
            <w:vAlign w:val="bottom"/>
          </w:tcPr>
          <w:p w14:paraId="6C49BC9C"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1.1B</w:t>
            </w:r>
          </w:p>
        </w:tc>
        <w:tc>
          <w:tcPr>
            <w:tcW w:w="1418" w:type="dxa"/>
            <w:tcMar>
              <w:top w:w="28" w:type="dxa"/>
              <w:left w:w="0" w:type="dxa"/>
              <w:bottom w:w="57" w:type="dxa"/>
              <w:right w:w="113" w:type="dxa"/>
            </w:tcMar>
            <w:vAlign w:val="bottom"/>
          </w:tcPr>
          <w:p w14:paraId="63D5A1A2"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 xml:space="preserve">8,101 </w:t>
            </w:r>
          </w:p>
        </w:tc>
        <w:tc>
          <w:tcPr>
            <w:tcW w:w="1417" w:type="dxa"/>
            <w:tcMar>
              <w:top w:w="28" w:type="dxa"/>
              <w:left w:w="0" w:type="dxa"/>
              <w:bottom w:w="57" w:type="dxa"/>
              <w:right w:w="113" w:type="dxa"/>
            </w:tcMar>
            <w:vAlign w:val="bottom"/>
          </w:tcPr>
          <w:p w14:paraId="15A6B286"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4,573 </w:t>
            </w:r>
          </w:p>
        </w:tc>
        <w:tc>
          <w:tcPr>
            <w:tcW w:w="1417" w:type="dxa"/>
            <w:tcMar>
              <w:top w:w="28" w:type="dxa"/>
              <w:left w:w="0" w:type="dxa"/>
              <w:bottom w:w="57" w:type="dxa"/>
              <w:right w:w="113" w:type="dxa"/>
            </w:tcMar>
            <w:vAlign w:val="bottom"/>
          </w:tcPr>
          <w:p w14:paraId="371B7D05"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5,803 </w:t>
            </w:r>
          </w:p>
        </w:tc>
      </w:tr>
      <w:tr w:rsidR="00D22D38" w:rsidRPr="00D22D38" w14:paraId="574BEB8A" w14:textId="77777777" w:rsidTr="00E445AB">
        <w:trPr>
          <w:trHeight w:val="240"/>
        </w:trPr>
        <w:tc>
          <w:tcPr>
            <w:tcW w:w="5159" w:type="dxa"/>
            <w:tcMar>
              <w:top w:w="28" w:type="dxa"/>
              <w:left w:w="0" w:type="dxa"/>
              <w:bottom w:w="57" w:type="dxa"/>
              <w:right w:w="113" w:type="dxa"/>
            </w:tcMar>
            <w:vAlign w:val="bottom"/>
          </w:tcPr>
          <w:p w14:paraId="4762B06D"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D22D38">
              <w:rPr>
                <w:rFonts w:cs="Open Sans"/>
                <w:color w:val="000000"/>
                <w:sz w:val="16"/>
                <w:szCs w:val="16"/>
                <w:lang w:val="it-IT"/>
              </w:rPr>
              <w:t>Depreciation and amortisation</w:t>
            </w:r>
          </w:p>
        </w:tc>
        <w:tc>
          <w:tcPr>
            <w:tcW w:w="680" w:type="dxa"/>
            <w:tcMar>
              <w:top w:w="28" w:type="dxa"/>
              <w:left w:w="0" w:type="dxa"/>
              <w:bottom w:w="57" w:type="dxa"/>
              <w:right w:w="113" w:type="dxa"/>
            </w:tcMar>
            <w:vAlign w:val="bottom"/>
          </w:tcPr>
          <w:p w14:paraId="301723C9"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2.2A</w:t>
            </w:r>
          </w:p>
        </w:tc>
        <w:tc>
          <w:tcPr>
            <w:tcW w:w="1418" w:type="dxa"/>
            <w:tcMar>
              <w:top w:w="28" w:type="dxa"/>
              <w:left w:w="0" w:type="dxa"/>
              <w:bottom w:w="57" w:type="dxa"/>
              <w:right w:w="113" w:type="dxa"/>
            </w:tcMar>
            <w:vAlign w:val="bottom"/>
          </w:tcPr>
          <w:p w14:paraId="02C495DD"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 xml:space="preserve">3,494 </w:t>
            </w:r>
          </w:p>
        </w:tc>
        <w:tc>
          <w:tcPr>
            <w:tcW w:w="1417" w:type="dxa"/>
            <w:tcMar>
              <w:top w:w="28" w:type="dxa"/>
              <w:left w:w="0" w:type="dxa"/>
              <w:bottom w:w="57" w:type="dxa"/>
              <w:right w:w="113" w:type="dxa"/>
            </w:tcMar>
            <w:vAlign w:val="bottom"/>
          </w:tcPr>
          <w:p w14:paraId="4AB5E978"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3,690 </w:t>
            </w:r>
          </w:p>
        </w:tc>
        <w:tc>
          <w:tcPr>
            <w:tcW w:w="1417" w:type="dxa"/>
            <w:tcMar>
              <w:top w:w="28" w:type="dxa"/>
              <w:left w:w="0" w:type="dxa"/>
              <w:bottom w:w="57" w:type="dxa"/>
              <w:right w:w="113" w:type="dxa"/>
            </w:tcMar>
            <w:vAlign w:val="bottom"/>
          </w:tcPr>
          <w:p w14:paraId="3FCA848D"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3,513 </w:t>
            </w:r>
          </w:p>
        </w:tc>
      </w:tr>
      <w:tr w:rsidR="00D22D38" w:rsidRPr="00D22D38" w14:paraId="3EFB198D" w14:textId="77777777" w:rsidTr="00E445AB">
        <w:trPr>
          <w:trHeight w:val="240"/>
        </w:trPr>
        <w:tc>
          <w:tcPr>
            <w:tcW w:w="5159" w:type="dxa"/>
            <w:tcMar>
              <w:top w:w="28" w:type="dxa"/>
              <w:left w:w="0" w:type="dxa"/>
              <w:bottom w:w="57" w:type="dxa"/>
              <w:right w:w="113" w:type="dxa"/>
            </w:tcMar>
            <w:vAlign w:val="bottom"/>
          </w:tcPr>
          <w:p w14:paraId="1697F091"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D22D38">
              <w:rPr>
                <w:rFonts w:cs="Open Sans"/>
                <w:color w:val="000000"/>
                <w:sz w:val="16"/>
                <w:szCs w:val="16"/>
                <w:lang w:val="it-IT"/>
              </w:rPr>
              <w:t>Finance costs</w:t>
            </w:r>
          </w:p>
        </w:tc>
        <w:tc>
          <w:tcPr>
            <w:tcW w:w="680" w:type="dxa"/>
            <w:tcMar>
              <w:top w:w="28" w:type="dxa"/>
              <w:left w:w="0" w:type="dxa"/>
              <w:bottom w:w="57" w:type="dxa"/>
              <w:right w:w="113" w:type="dxa"/>
            </w:tcMar>
            <w:vAlign w:val="bottom"/>
          </w:tcPr>
          <w:p w14:paraId="5DF49F93"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1.1C</w:t>
            </w:r>
          </w:p>
        </w:tc>
        <w:tc>
          <w:tcPr>
            <w:tcW w:w="1418" w:type="dxa"/>
            <w:tcMar>
              <w:top w:w="28" w:type="dxa"/>
              <w:left w:w="0" w:type="dxa"/>
              <w:bottom w:w="57" w:type="dxa"/>
              <w:right w:w="113" w:type="dxa"/>
            </w:tcMar>
            <w:vAlign w:val="bottom"/>
          </w:tcPr>
          <w:p w14:paraId="0C9AAD63"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 xml:space="preserve">7 </w:t>
            </w:r>
          </w:p>
        </w:tc>
        <w:tc>
          <w:tcPr>
            <w:tcW w:w="1417" w:type="dxa"/>
            <w:tcMar>
              <w:top w:w="28" w:type="dxa"/>
              <w:left w:w="0" w:type="dxa"/>
              <w:bottom w:w="57" w:type="dxa"/>
              <w:right w:w="113" w:type="dxa"/>
            </w:tcMar>
            <w:vAlign w:val="bottom"/>
          </w:tcPr>
          <w:p w14:paraId="24FA606B"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12 </w:t>
            </w:r>
          </w:p>
        </w:tc>
        <w:tc>
          <w:tcPr>
            <w:tcW w:w="1417" w:type="dxa"/>
            <w:tcMar>
              <w:top w:w="28" w:type="dxa"/>
              <w:left w:w="0" w:type="dxa"/>
              <w:bottom w:w="57" w:type="dxa"/>
              <w:right w:w="113" w:type="dxa"/>
            </w:tcMar>
            <w:vAlign w:val="bottom"/>
          </w:tcPr>
          <w:p w14:paraId="3451BE37"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12 </w:t>
            </w:r>
          </w:p>
        </w:tc>
      </w:tr>
      <w:tr w:rsidR="00D22D38" w:rsidRPr="00D22D38" w14:paraId="375812C9" w14:textId="77777777" w:rsidTr="00E445AB">
        <w:trPr>
          <w:trHeight w:val="240"/>
        </w:trPr>
        <w:tc>
          <w:tcPr>
            <w:tcW w:w="5159" w:type="dxa"/>
            <w:tcMar>
              <w:top w:w="57" w:type="dxa"/>
              <w:left w:w="0" w:type="dxa"/>
              <w:bottom w:w="113" w:type="dxa"/>
              <w:right w:w="113" w:type="dxa"/>
            </w:tcMar>
            <w:vAlign w:val="bottom"/>
          </w:tcPr>
          <w:p w14:paraId="420FFA55"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D22D38">
              <w:rPr>
                <w:rFonts w:cs="Open Sans"/>
                <w:color w:val="000000"/>
                <w:sz w:val="16"/>
                <w:szCs w:val="16"/>
                <w:lang w:val="en-US"/>
              </w:rPr>
              <w:t>Write-down and impairment of other assets</w:t>
            </w:r>
          </w:p>
        </w:tc>
        <w:tc>
          <w:tcPr>
            <w:tcW w:w="680" w:type="dxa"/>
            <w:tcMar>
              <w:top w:w="57" w:type="dxa"/>
              <w:left w:w="0" w:type="dxa"/>
              <w:bottom w:w="113" w:type="dxa"/>
              <w:right w:w="113" w:type="dxa"/>
            </w:tcMar>
            <w:vAlign w:val="bottom"/>
          </w:tcPr>
          <w:p w14:paraId="7A036CFC"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1.1D</w:t>
            </w:r>
          </w:p>
        </w:tc>
        <w:tc>
          <w:tcPr>
            <w:tcW w:w="1418" w:type="dxa"/>
            <w:tcMar>
              <w:top w:w="57" w:type="dxa"/>
              <w:left w:w="0" w:type="dxa"/>
              <w:bottom w:w="113" w:type="dxa"/>
              <w:right w:w="113" w:type="dxa"/>
            </w:tcMar>
            <w:vAlign w:val="bottom"/>
          </w:tcPr>
          <w:p w14:paraId="70790524"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 xml:space="preserve"> -</w:t>
            </w:r>
          </w:p>
        </w:tc>
        <w:tc>
          <w:tcPr>
            <w:tcW w:w="1417" w:type="dxa"/>
            <w:tcMar>
              <w:top w:w="57" w:type="dxa"/>
              <w:left w:w="0" w:type="dxa"/>
              <w:bottom w:w="113" w:type="dxa"/>
              <w:right w:w="113" w:type="dxa"/>
            </w:tcMar>
            <w:vAlign w:val="bottom"/>
          </w:tcPr>
          <w:p w14:paraId="6DC7312F"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8 </w:t>
            </w:r>
          </w:p>
        </w:tc>
        <w:tc>
          <w:tcPr>
            <w:tcW w:w="1417" w:type="dxa"/>
            <w:tcMar>
              <w:top w:w="57" w:type="dxa"/>
              <w:left w:w="0" w:type="dxa"/>
              <w:bottom w:w="113" w:type="dxa"/>
              <w:right w:w="113" w:type="dxa"/>
            </w:tcMar>
            <w:vAlign w:val="bottom"/>
          </w:tcPr>
          <w:p w14:paraId="0DB6C2B3"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 - </w:t>
            </w:r>
          </w:p>
        </w:tc>
      </w:tr>
      <w:tr w:rsidR="00D22D38" w:rsidRPr="00D22D38" w14:paraId="72A00A87" w14:textId="77777777" w:rsidTr="00A4595C">
        <w:trPr>
          <w:trHeight w:val="240"/>
        </w:trPr>
        <w:tc>
          <w:tcPr>
            <w:tcW w:w="5159"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48D586FB"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D22D38">
              <w:rPr>
                <w:rFonts w:cs="Open Sans"/>
                <w:b/>
                <w:bCs/>
                <w:color w:val="000000"/>
                <w:sz w:val="16"/>
                <w:szCs w:val="16"/>
                <w:lang w:val="it-IT"/>
              </w:rPr>
              <w:t>Total expenses</w:t>
            </w:r>
          </w:p>
        </w:tc>
        <w:tc>
          <w:tcPr>
            <w:tcW w:w="680"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42A81C7B" w14:textId="77777777" w:rsidR="00D22D38" w:rsidRPr="00D22D38" w:rsidRDefault="00D22D38" w:rsidP="00D22D38">
            <w:pPr>
              <w:autoSpaceDE w:val="0"/>
              <w:autoSpaceDN w:val="0"/>
              <w:adjustRightInd w:val="0"/>
              <w:spacing w:before="0" w:after="0" w:line="240" w:lineRule="auto"/>
              <w:rPr>
                <w:rFonts w:ascii="Open Sans Condensed" w:hAnsi="Open Sans Condensed"/>
                <w:sz w:val="16"/>
                <w:szCs w:val="16"/>
                <w:lang w:val="it-IT"/>
              </w:rPr>
            </w:pPr>
          </w:p>
        </w:tc>
        <w:tc>
          <w:tcPr>
            <w:tcW w:w="1418"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46597798"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 xml:space="preserve">32,439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714DE50C"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29,761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458ED9A"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35,736 </w:t>
            </w:r>
          </w:p>
        </w:tc>
      </w:tr>
      <w:tr w:rsidR="00D22D38" w:rsidRPr="00D22D38" w14:paraId="3448099C" w14:textId="77777777" w:rsidTr="002320D7">
        <w:trPr>
          <w:trHeight w:val="397"/>
        </w:trPr>
        <w:tc>
          <w:tcPr>
            <w:tcW w:w="5159" w:type="dxa"/>
            <w:tcBorders>
              <w:top w:val="nil"/>
            </w:tcBorders>
            <w:tcMar>
              <w:top w:w="28" w:type="dxa"/>
              <w:left w:w="0" w:type="dxa"/>
              <w:bottom w:w="57" w:type="dxa"/>
              <w:right w:w="113" w:type="dxa"/>
            </w:tcMar>
            <w:vAlign w:val="bottom"/>
          </w:tcPr>
          <w:p w14:paraId="412D0FAA" w14:textId="77777777" w:rsidR="00D22D38" w:rsidRPr="00D22D38" w:rsidRDefault="00D22D38" w:rsidP="00D22D38">
            <w:pPr>
              <w:pStyle w:val="FSBodyTextBold"/>
              <w:spacing w:before="0" w:after="0" w:line="240" w:lineRule="auto"/>
            </w:pPr>
            <w:r w:rsidRPr="00D22D38">
              <w:t>Own-source income</w:t>
            </w:r>
          </w:p>
        </w:tc>
        <w:tc>
          <w:tcPr>
            <w:tcW w:w="680" w:type="dxa"/>
            <w:tcBorders>
              <w:top w:val="nil"/>
            </w:tcBorders>
            <w:tcMar>
              <w:top w:w="28" w:type="dxa"/>
              <w:left w:w="0" w:type="dxa"/>
              <w:bottom w:w="57" w:type="dxa"/>
              <w:right w:w="113" w:type="dxa"/>
            </w:tcMar>
            <w:vAlign w:val="bottom"/>
          </w:tcPr>
          <w:p w14:paraId="78BED3BE" w14:textId="77777777" w:rsidR="00D22D38" w:rsidRPr="00D22D38" w:rsidRDefault="00D22D38" w:rsidP="00D22D38">
            <w:pPr>
              <w:pStyle w:val="FSBodyTextBold"/>
              <w:spacing w:before="0" w:after="0" w:line="240" w:lineRule="auto"/>
              <w:rPr>
                <w:rFonts w:ascii="Open Sans Condensed" w:hAnsi="Open Sans Condensed"/>
              </w:rPr>
            </w:pPr>
          </w:p>
        </w:tc>
        <w:tc>
          <w:tcPr>
            <w:tcW w:w="1418" w:type="dxa"/>
            <w:tcBorders>
              <w:top w:val="nil"/>
            </w:tcBorders>
            <w:tcMar>
              <w:top w:w="28" w:type="dxa"/>
              <w:left w:w="0" w:type="dxa"/>
              <w:bottom w:w="57" w:type="dxa"/>
              <w:right w:w="113" w:type="dxa"/>
            </w:tcMar>
            <w:vAlign w:val="bottom"/>
          </w:tcPr>
          <w:p w14:paraId="4BCE0F97" w14:textId="77777777" w:rsidR="00D22D38" w:rsidRPr="00D22D38" w:rsidRDefault="00D22D38" w:rsidP="00D22D38">
            <w:pPr>
              <w:pStyle w:val="FSBodyTextBold"/>
              <w:spacing w:before="0" w:after="0" w:line="240" w:lineRule="auto"/>
              <w:rPr>
                <w:rFonts w:ascii="Open Sans Condensed" w:hAnsi="Open Sans Condensed"/>
              </w:rPr>
            </w:pPr>
          </w:p>
        </w:tc>
        <w:tc>
          <w:tcPr>
            <w:tcW w:w="1417" w:type="dxa"/>
            <w:tcBorders>
              <w:top w:val="nil"/>
            </w:tcBorders>
            <w:tcMar>
              <w:top w:w="28" w:type="dxa"/>
              <w:left w:w="0" w:type="dxa"/>
              <w:bottom w:w="57" w:type="dxa"/>
              <w:right w:w="113" w:type="dxa"/>
            </w:tcMar>
            <w:vAlign w:val="bottom"/>
          </w:tcPr>
          <w:p w14:paraId="3B38FF87" w14:textId="77777777" w:rsidR="00D22D38" w:rsidRPr="00D22D38" w:rsidRDefault="00D22D38" w:rsidP="00D22D38">
            <w:pPr>
              <w:pStyle w:val="FSBodyTextBold"/>
              <w:spacing w:before="0" w:after="0" w:line="240" w:lineRule="auto"/>
              <w:rPr>
                <w:rFonts w:ascii="Open Sans Condensed" w:hAnsi="Open Sans Condensed"/>
              </w:rPr>
            </w:pPr>
          </w:p>
        </w:tc>
        <w:tc>
          <w:tcPr>
            <w:tcW w:w="1417" w:type="dxa"/>
            <w:tcBorders>
              <w:top w:val="nil"/>
            </w:tcBorders>
            <w:tcMar>
              <w:top w:w="28" w:type="dxa"/>
              <w:left w:w="0" w:type="dxa"/>
              <w:bottom w:w="57" w:type="dxa"/>
              <w:right w:w="113" w:type="dxa"/>
            </w:tcMar>
            <w:vAlign w:val="bottom"/>
          </w:tcPr>
          <w:p w14:paraId="14AFB88F" w14:textId="77777777" w:rsidR="00D22D38" w:rsidRPr="00D22D38" w:rsidRDefault="00D22D38" w:rsidP="00D22D38">
            <w:pPr>
              <w:pStyle w:val="FSBodyTextBold"/>
              <w:spacing w:before="0" w:after="0" w:line="240" w:lineRule="auto"/>
              <w:rPr>
                <w:rFonts w:ascii="Open Sans Condensed" w:hAnsi="Open Sans Condensed"/>
              </w:rPr>
            </w:pPr>
          </w:p>
        </w:tc>
      </w:tr>
      <w:tr w:rsidR="00D22D38" w:rsidRPr="00D22D38" w14:paraId="02097E4F" w14:textId="77777777" w:rsidTr="00E445AB">
        <w:trPr>
          <w:trHeight w:val="240"/>
        </w:trPr>
        <w:tc>
          <w:tcPr>
            <w:tcW w:w="5159" w:type="dxa"/>
            <w:tcMar>
              <w:top w:w="28" w:type="dxa"/>
              <w:left w:w="0" w:type="dxa"/>
              <w:bottom w:w="57" w:type="dxa"/>
              <w:right w:w="113" w:type="dxa"/>
            </w:tcMar>
            <w:vAlign w:val="bottom"/>
          </w:tcPr>
          <w:p w14:paraId="0FACEE88"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D22D38">
              <w:rPr>
                <w:rFonts w:cs="Open Sans"/>
                <w:b/>
                <w:bCs/>
                <w:color w:val="000000"/>
                <w:sz w:val="16"/>
                <w:szCs w:val="16"/>
                <w:lang w:val="it-IT"/>
              </w:rPr>
              <w:t>Own-source revenue</w:t>
            </w:r>
          </w:p>
        </w:tc>
        <w:tc>
          <w:tcPr>
            <w:tcW w:w="680" w:type="dxa"/>
            <w:tcMar>
              <w:top w:w="28" w:type="dxa"/>
              <w:left w:w="0" w:type="dxa"/>
              <w:bottom w:w="57" w:type="dxa"/>
              <w:right w:w="113" w:type="dxa"/>
            </w:tcMar>
            <w:vAlign w:val="bottom"/>
          </w:tcPr>
          <w:p w14:paraId="78478363" w14:textId="77777777" w:rsidR="00D22D38" w:rsidRPr="00D22D38" w:rsidRDefault="00D22D38" w:rsidP="00D22D38">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6A885EB4" w14:textId="77777777" w:rsidR="00D22D38" w:rsidRPr="00D22D38" w:rsidRDefault="00D22D38" w:rsidP="00D22D38">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0CA61542" w14:textId="77777777" w:rsidR="00D22D38" w:rsidRPr="00D22D38" w:rsidRDefault="00D22D38" w:rsidP="00D22D38">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5A8A2DBC" w14:textId="77777777" w:rsidR="00D22D38" w:rsidRPr="00D22D38" w:rsidRDefault="00D22D38" w:rsidP="00D22D38">
            <w:pPr>
              <w:autoSpaceDE w:val="0"/>
              <w:autoSpaceDN w:val="0"/>
              <w:adjustRightInd w:val="0"/>
              <w:spacing w:before="0" w:after="0" w:line="240" w:lineRule="auto"/>
              <w:rPr>
                <w:rFonts w:ascii="Open Sans Condensed" w:hAnsi="Open Sans Condensed"/>
                <w:sz w:val="16"/>
                <w:szCs w:val="16"/>
                <w:lang w:val="it-IT"/>
              </w:rPr>
            </w:pPr>
          </w:p>
        </w:tc>
      </w:tr>
      <w:tr w:rsidR="00D22D38" w:rsidRPr="00D22D38" w14:paraId="4375312B" w14:textId="77777777" w:rsidTr="00E445AB">
        <w:trPr>
          <w:trHeight w:val="240"/>
        </w:trPr>
        <w:tc>
          <w:tcPr>
            <w:tcW w:w="5159" w:type="dxa"/>
            <w:tcMar>
              <w:top w:w="28" w:type="dxa"/>
              <w:left w:w="0" w:type="dxa"/>
              <w:bottom w:w="57" w:type="dxa"/>
              <w:right w:w="113" w:type="dxa"/>
            </w:tcMar>
            <w:vAlign w:val="bottom"/>
          </w:tcPr>
          <w:p w14:paraId="413F5D96"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D22D38">
              <w:rPr>
                <w:rFonts w:cs="Open Sans"/>
                <w:color w:val="000000"/>
                <w:sz w:val="16"/>
                <w:szCs w:val="16"/>
                <w:lang w:val="en-US"/>
              </w:rPr>
              <w:t>Revenue from contracts with customers</w:t>
            </w:r>
          </w:p>
        </w:tc>
        <w:tc>
          <w:tcPr>
            <w:tcW w:w="680" w:type="dxa"/>
            <w:tcMar>
              <w:top w:w="28" w:type="dxa"/>
              <w:left w:w="0" w:type="dxa"/>
              <w:bottom w:w="57" w:type="dxa"/>
              <w:right w:w="113" w:type="dxa"/>
            </w:tcMar>
            <w:vAlign w:val="bottom"/>
          </w:tcPr>
          <w:p w14:paraId="36F628E0"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1.2A</w:t>
            </w:r>
          </w:p>
        </w:tc>
        <w:tc>
          <w:tcPr>
            <w:tcW w:w="1418" w:type="dxa"/>
            <w:tcMar>
              <w:top w:w="28" w:type="dxa"/>
              <w:left w:w="0" w:type="dxa"/>
              <w:bottom w:w="57" w:type="dxa"/>
              <w:right w:w="113" w:type="dxa"/>
            </w:tcMar>
            <w:vAlign w:val="bottom"/>
          </w:tcPr>
          <w:p w14:paraId="1C8ADAA4"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 xml:space="preserve">10,969 </w:t>
            </w:r>
          </w:p>
        </w:tc>
        <w:tc>
          <w:tcPr>
            <w:tcW w:w="1417" w:type="dxa"/>
            <w:tcMar>
              <w:top w:w="28" w:type="dxa"/>
              <w:left w:w="0" w:type="dxa"/>
              <w:bottom w:w="57" w:type="dxa"/>
              <w:right w:w="113" w:type="dxa"/>
            </w:tcMar>
            <w:vAlign w:val="bottom"/>
          </w:tcPr>
          <w:p w14:paraId="15F28113"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7,054 </w:t>
            </w:r>
          </w:p>
        </w:tc>
        <w:tc>
          <w:tcPr>
            <w:tcW w:w="1417" w:type="dxa"/>
            <w:tcMar>
              <w:top w:w="28" w:type="dxa"/>
              <w:left w:w="0" w:type="dxa"/>
              <w:bottom w:w="57" w:type="dxa"/>
              <w:right w:w="113" w:type="dxa"/>
            </w:tcMar>
            <w:vAlign w:val="bottom"/>
          </w:tcPr>
          <w:p w14:paraId="134E71EC"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9,090 </w:t>
            </w:r>
          </w:p>
        </w:tc>
      </w:tr>
      <w:tr w:rsidR="00D22D38" w:rsidRPr="00D22D38" w14:paraId="06CFBF09" w14:textId="77777777" w:rsidTr="00E445AB">
        <w:trPr>
          <w:trHeight w:val="240"/>
        </w:trPr>
        <w:tc>
          <w:tcPr>
            <w:tcW w:w="5159" w:type="dxa"/>
            <w:tcMar>
              <w:top w:w="28" w:type="dxa"/>
              <w:left w:w="0" w:type="dxa"/>
              <w:bottom w:w="57" w:type="dxa"/>
              <w:right w:w="113" w:type="dxa"/>
            </w:tcMar>
            <w:vAlign w:val="bottom"/>
          </w:tcPr>
          <w:p w14:paraId="01EC0E93"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D22D38">
              <w:rPr>
                <w:rFonts w:cs="Open Sans"/>
                <w:color w:val="000000"/>
                <w:sz w:val="16"/>
                <w:szCs w:val="16"/>
                <w:lang w:val="it-IT"/>
              </w:rPr>
              <w:t>Interest</w:t>
            </w:r>
          </w:p>
        </w:tc>
        <w:tc>
          <w:tcPr>
            <w:tcW w:w="680" w:type="dxa"/>
            <w:tcMar>
              <w:top w:w="28" w:type="dxa"/>
              <w:left w:w="0" w:type="dxa"/>
              <w:bottom w:w="57" w:type="dxa"/>
              <w:right w:w="113" w:type="dxa"/>
            </w:tcMar>
            <w:vAlign w:val="bottom"/>
          </w:tcPr>
          <w:p w14:paraId="57F7C99C"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1.2B</w:t>
            </w:r>
          </w:p>
        </w:tc>
        <w:tc>
          <w:tcPr>
            <w:tcW w:w="1418" w:type="dxa"/>
            <w:tcMar>
              <w:top w:w="28" w:type="dxa"/>
              <w:left w:w="0" w:type="dxa"/>
              <w:bottom w:w="57" w:type="dxa"/>
              <w:right w:w="113" w:type="dxa"/>
            </w:tcMar>
            <w:vAlign w:val="bottom"/>
          </w:tcPr>
          <w:p w14:paraId="57FE45F5"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 xml:space="preserve">483 </w:t>
            </w:r>
          </w:p>
        </w:tc>
        <w:tc>
          <w:tcPr>
            <w:tcW w:w="1417" w:type="dxa"/>
            <w:tcMar>
              <w:top w:w="28" w:type="dxa"/>
              <w:left w:w="0" w:type="dxa"/>
              <w:bottom w:w="57" w:type="dxa"/>
              <w:right w:w="113" w:type="dxa"/>
            </w:tcMar>
            <w:vAlign w:val="bottom"/>
          </w:tcPr>
          <w:p w14:paraId="50CEA224" w14:textId="3596E23C"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5 </w:t>
            </w:r>
          </w:p>
        </w:tc>
        <w:tc>
          <w:tcPr>
            <w:tcW w:w="1417" w:type="dxa"/>
            <w:tcMar>
              <w:top w:w="28" w:type="dxa"/>
              <w:left w:w="0" w:type="dxa"/>
              <w:bottom w:w="57" w:type="dxa"/>
              <w:right w:w="113" w:type="dxa"/>
            </w:tcMar>
            <w:vAlign w:val="bottom"/>
          </w:tcPr>
          <w:p w14:paraId="222F2CA0"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50 </w:t>
            </w:r>
          </w:p>
        </w:tc>
      </w:tr>
      <w:tr w:rsidR="00D22D38" w:rsidRPr="00D22D38" w14:paraId="6964B4A9" w14:textId="77777777" w:rsidTr="00E445AB">
        <w:trPr>
          <w:trHeight w:val="239"/>
        </w:trPr>
        <w:tc>
          <w:tcPr>
            <w:tcW w:w="5159" w:type="dxa"/>
            <w:tcMar>
              <w:top w:w="113" w:type="dxa"/>
              <w:left w:w="0" w:type="dxa"/>
              <w:bottom w:w="113" w:type="dxa"/>
              <w:right w:w="113" w:type="dxa"/>
            </w:tcMar>
            <w:vAlign w:val="bottom"/>
          </w:tcPr>
          <w:p w14:paraId="6AE065A1"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D22D38">
              <w:rPr>
                <w:rFonts w:cs="Open Sans"/>
                <w:color w:val="000000"/>
                <w:sz w:val="16"/>
                <w:szCs w:val="16"/>
                <w:lang w:val="it-IT"/>
              </w:rPr>
              <w:t>Other Revenue</w:t>
            </w:r>
          </w:p>
        </w:tc>
        <w:tc>
          <w:tcPr>
            <w:tcW w:w="680" w:type="dxa"/>
            <w:tcMar>
              <w:top w:w="113" w:type="dxa"/>
              <w:left w:w="0" w:type="dxa"/>
              <w:bottom w:w="113" w:type="dxa"/>
              <w:right w:w="113" w:type="dxa"/>
            </w:tcMar>
            <w:vAlign w:val="bottom"/>
          </w:tcPr>
          <w:p w14:paraId="3DA7B585"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1.2C</w:t>
            </w:r>
          </w:p>
        </w:tc>
        <w:tc>
          <w:tcPr>
            <w:tcW w:w="1418" w:type="dxa"/>
            <w:tcMar>
              <w:top w:w="113" w:type="dxa"/>
              <w:left w:w="0" w:type="dxa"/>
              <w:bottom w:w="113" w:type="dxa"/>
              <w:right w:w="113" w:type="dxa"/>
            </w:tcMar>
            <w:vAlign w:val="bottom"/>
          </w:tcPr>
          <w:p w14:paraId="65EB75AC"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 xml:space="preserve">58 </w:t>
            </w:r>
          </w:p>
        </w:tc>
        <w:tc>
          <w:tcPr>
            <w:tcW w:w="1417" w:type="dxa"/>
            <w:tcMar>
              <w:top w:w="113" w:type="dxa"/>
              <w:left w:w="0" w:type="dxa"/>
              <w:bottom w:w="113" w:type="dxa"/>
              <w:right w:w="113" w:type="dxa"/>
            </w:tcMar>
            <w:vAlign w:val="bottom"/>
          </w:tcPr>
          <w:p w14:paraId="150E36D5"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46 </w:t>
            </w:r>
          </w:p>
        </w:tc>
        <w:tc>
          <w:tcPr>
            <w:tcW w:w="1417" w:type="dxa"/>
            <w:tcMar>
              <w:top w:w="113" w:type="dxa"/>
              <w:left w:w="0" w:type="dxa"/>
              <w:bottom w:w="113" w:type="dxa"/>
              <w:right w:w="113" w:type="dxa"/>
            </w:tcMar>
            <w:vAlign w:val="bottom"/>
          </w:tcPr>
          <w:p w14:paraId="5D5A39B5"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 -</w:t>
            </w:r>
          </w:p>
        </w:tc>
      </w:tr>
      <w:tr w:rsidR="00D22D38" w:rsidRPr="00D22D38" w14:paraId="0B0C619B" w14:textId="77777777" w:rsidTr="00A4595C">
        <w:trPr>
          <w:trHeight w:val="240"/>
        </w:trPr>
        <w:tc>
          <w:tcPr>
            <w:tcW w:w="5159"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773A46A"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D22D38">
              <w:rPr>
                <w:rFonts w:cs="Open Sans"/>
                <w:b/>
                <w:bCs/>
                <w:color w:val="000000"/>
                <w:sz w:val="16"/>
                <w:szCs w:val="16"/>
                <w:lang w:val="it-IT"/>
              </w:rPr>
              <w:t>Total own-source revenue</w:t>
            </w:r>
          </w:p>
        </w:tc>
        <w:tc>
          <w:tcPr>
            <w:tcW w:w="680"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0A775B5D" w14:textId="77777777" w:rsidR="00D22D38" w:rsidRPr="00D22D38" w:rsidRDefault="00D22D38" w:rsidP="00D22D38">
            <w:pPr>
              <w:autoSpaceDE w:val="0"/>
              <w:autoSpaceDN w:val="0"/>
              <w:adjustRightInd w:val="0"/>
              <w:spacing w:before="0" w:after="0" w:line="240" w:lineRule="auto"/>
              <w:rPr>
                <w:rFonts w:ascii="Open Sans Condensed" w:hAnsi="Open Sans Condensed"/>
                <w:sz w:val="16"/>
                <w:szCs w:val="16"/>
                <w:lang w:val="it-IT"/>
              </w:rPr>
            </w:pPr>
          </w:p>
        </w:tc>
        <w:tc>
          <w:tcPr>
            <w:tcW w:w="1418"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1FF8C4FF"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 xml:space="preserve">11,510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25AA25AF"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7,105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0B746326"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9,140 </w:t>
            </w:r>
          </w:p>
        </w:tc>
      </w:tr>
      <w:tr w:rsidR="00D22D38" w:rsidRPr="00D22D38" w14:paraId="641A20B8" w14:textId="77777777" w:rsidTr="002320D7">
        <w:trPr>
          <w:trHeight w:val="397"/>
        </w:trPr>
        <w:tc>
          <w:tcPr>
            <w:tcW w:w="5159" w:type="dxa"/>
            <w:tcBorders>
              <w:top w:val="nil"/>
            </w:tcBorders>
            <w:tcMar>
              <w:top w:w="28" w:type="dxa"/>
              <w:left w:w="0" w:type="dxa"/>
              <w:bottom w:w="57" w:type="dxa"/>
              <w:right w:w="113" w:type="dxa"/>
            </w:tcMar>
            <w:vAlign w:val="bottom"/>
          </w:tcPr>
          <w:p w14:paraId="0F058768"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D22D38">
              <w:rPr>
                <w:rFonts w:cs="Open Sans"/>
                <w:b/>
                <w:bCs/>
                <w:color w:val="000000"/>
                <w:sz w:val="16"/>
                <w:szCs w:val="16"/>
                <w:lang w:val="it-IT"/>
              </w:rPr>
              <w:t>Gains</w:t>
            </w:r>
          </w:p>
        </w:tc>
        <w:tc>
          <w:tcPr>
            <w:tcW w:w="680" w:type="dxa"/>
            <w:tcBorders>
              <w:top w:val="nil"/>
            </w:tcBorders>
            <w:tcMar>
              <w:top w:w="28" w:type="dxa"/>
              <w:left w:w="0" w:type="dxa"/>
              <w:bottom w:w="57" w:type="dxa"/>
              <w:right w:w="113" w:type="dxa"/>
            </w:tcMar>
            <w:vAlign w:val="bottom"/>
          </w:tcPr>
          <w:p w14:paraId="622858C0" w14:textId="77777777" w:rsidR="00D22D38" w:rsidRPr="00D22D38" w:rsidRDefault="00D22D38" w:rsidP="00D22D38">
            <w:pPr>
              <w:autoSpaceDE w:val="0"/>
              <w:autoSpaceDN w:val="0"/>
              <w:adjustRightInd w:val="0"/>
              <w:spacing w:before="0" w:after="0" w:line="240" w:lineRule="auto"/>
              <w:rPr>
                <w:rFonts w:ascii="Open Sans Condensed" w:hAnsi="Open Sans Condensed"/>
                <w:sz w:val="16"/>
                <w:szCs w:val="16"/>
                <w:lang w:val="it-IT"/>
              </w:rPr>
            </w:pPr>
          </w:p>
        </w:tc>
        <w:tc>
          <w:tcPr>
            <w:tcW w:w="1418" w:type="dxa"/>
            <w:tcBorders>
              <w:top w:val="nil"/>
            </w:tcBorders>
            <w:tcMar>
              <w:top w:w="28" w:type="dxa"/>
              <w:left w:w="0" w:type="dxa"/>
              <w:bottom w:w="57" w:type="dxa"/>
              <w:right w:w="113" w:type="dxa"/>
            </w:tcMar>
            <w:vAlign w:val="bottom"/>
          </w:tcPr>
          <w:p w14:paraId="40E1B1E4" w14:textId="77777777" w:rsidR="00D22D38" w:rsidRPr="00D22D38" w:rsidRDefault="00D22D38" w:rsidP="00D22D38">
            <w:pPr>
              <w:autoSpaceDE w:val="0"/>
              <w:autoSpaceDN w:val="0"/>
              <w:adjustRightInd w:val="0"/>
              <w:spacing w:before="0" w:after="0" w:line="240" w:lineRule="auto"/>
              <w:rPr>
                <w:rFonts w:ascii="Open Sans Condensed" w:hAnsi="Open Sans Condensed"/>
                <w:sz w:val="16"/>
                <w:szCs w:val="16"/>
                <w:lang w:val="it-IT"/>
              </w:rPr>
            </w:pPr>
          </w:p>
        </w:tc>
        <w:tc>
          <w:tcPr>
            <w:tcW w:w="1417" w:type="dxa"/>
            <w:tcBorders>
              <w:top w:val="nil"/>
            </w:tcBorders>
            <w:tcMar>
              <w:top w:w="28" w:type="dxa"/>
              <w:left w:w="0" w:type="dxa"/>
              <w:bottom w:w="57" w:type="dxa"/>
              <w:right w:w="113" w:type="dxa"/>
            </w:tcMar>
            <w:vAlign w:val="bottom"/>
          </w:tcPr>
          <w:p w14:paraId="2D724023" w14:textId="77777777" w:rsidR="00D22D38" w:rsidRPr="00D22D38" w:rsidRDefault="00D22D38" w:rsidP="00D22D38">
            <w:pPr>
              <w:autoSpaceDE w:val="0"/>
              <w:autoSpaceDN w:val="0"/>
              <w:adjustRightInd w:val="0"/>
              <w:spacing w:before="0" w:after="0" w:line="240" w:lineRule="auto"/>
              <w:rPr>
                <w:rFonts w:ascii="Open Sans Condensed" w:hAnsi="Open Sans Condensed"/>
                <w:sz w:val="16"/>
                <w:szCs w:val="16"/>
                <w:lang w:val="it-IT"/>
              </w:rPr>
            </w:pPr>
          </w:p>
        </w:tc>
        <w:tc>
          <w:tcPr>
            <w:tcW w:w="1417" w:type="dxa"/>
            <w:tcBorders>
              <w:top w:val="nil"/>
            </w:tcBorders>
            <w:tcMar>
              <w:top w:w="28" w:type="dxa"/>
              <w:left w:w="0" w:type="dxa"/>
              <w:bottom w:w="57" w:type="dxa"/>
              <w:right w:w="113" w:type="dxa"/>
            </w:tcMar>
            <w:vAlign w:val="bottom"/>
          </w:tcPr>
          <w:p w14:paraId="13133D0F" w14:textId="77777777" w:rsidR="00D22D38" w:rsidRPr="00D22D38" w:rsidRDefault="00D22D38" w:rsidP="00D22D38">
            <w:pPr>
              <w:autoSpaceDE w:val="0"/>
              <w:autoSpaceDN w:val="0"/>
              <w:adjustRightInd w:val="0"/>
              <w:spacing w:before="0" w:after="0" w:line="240" w:lineRule="auto"/>
              <w:rPr>
                <w:rFonts w:ascii="Open Sans Condensed" w:hAnsi="Open Sans Condensed"/>
                <w:sz w:val="16"/>
                <w:szCs w:val="16"/>
                <w:lang w:val="it-IT"/>
              </w:rPr>
            </w:pPr>
          </w:p>
        </w:tc>
      </w:tr>
      <w:tr w:rsidR="00D22D38" w:rsidRPr="00D22D38" w14:paraId="4C615C46" w14:textId="77777777" w:rsidTr="00E445AB">
        <w:trPr>
          <w:trHeight w:val="240"/>
        </w:trPr>
        <w:tc>
          <w:tcPr>
            <w:tcW w:w="5159" w:type="dxa"/>
            <w:tcMar>
              <w:top w:w="113" w:type="dxa"/>
              <w:left w:w="0" w:type="dxa"/>
              <w:bottom w:w="113" w:type="dxa"/>
              <w:right w:w="113" w:type="dxa"/>
            </w:tcMar>
            <w:vAlign w:val="bottom"/>
          </w:tcPr>
          <w:p w14:paraId="59661C7E"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D22D38">
              <w:rPr>
                <w:rFonts w:cs="Open Sans"/>
                <w:color w:val="000000"/>
                <w:sz w:val="16"/>
                <w:szCs w:val="16"/>
                <w:lang w:val="it-IT"/>
              </w:rPr>
              <w:t>Other Gains</w:t>
            </w:r>
          </w:p>
        </w:tc>
        <w:tc>
          <w:tcPr>
            <w:tcW w:w="680" w:type="dxa"/>
            <w:tcMar>
              <w:top w:w="113" w:type="dxa"/>
              <w:left w:w="0" w:type="dxa"/>
              <w:bottom w:w="113" w:type="dxa"/>
              <w:right w:w="113" w:type="dxa"/>
            </w:tcMar>
            <w:vAlign w:val="bottom"/>
          </w:tcPr>
          <w:p w14:paraId="3D5FEBF5"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1.2D</w:t>
            </w:r>
          </w:p>
        </w:tc>
        <w:tc>
          <w:tcPr>
            <w:tcW w:w="1418" w:type="dxa"/>
            <w:tcMar>
              <w:top w:w="113" w:type="dxa"/>
              <w:left w:w="0" w:type="dxa"/>
              <w:bottom w:w="113" w:type="dxa"/>
              <w:right w:w="113" w:type="dxa"/>
            </w:tcMar>
            <w:vAlign w:val="bottom"/>
          </w:tcPr>
          <w:p w14:paraId="23EBFC35"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 xml:space="preserve">14 </w:t>
            </w:r>
          </w:p>
        </w:tc>
        <w:tc>
          <w:tcPr>
            <w:tcW w:w="1417" w:type="dxa"/>
            <w:tcMar>
              <w:top w:w="113" w:type="dxa"/>
              <w:left w:w="0" w:type="dxa"/>
              <w:bottom w:w="113" w:type="dxa"/>
              <w:right w:w="113" w:type="dxa"/>
            </w:tcMar>
            <w:vAlign w:val="bottom"/>
          </w:tcPr>
          <w:p w14:paraId="2F374DCE"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36 </w:t>
            </w:r>
          </w:p>
        </w:tc>
        <w:tc>
          <w:tcPr>
            <w:tcW w:w="1417" w:type="dxa"/>
            <w:tcMar>
              <w:top w:w="113" w:type="dxa"/>
              <w:left w:w="0" w:type="dxa"/>
              <w:bottom w:w="113" w:type="dxa"/>
              <w:right w:w="113" w:type="dxa"/>
            </w:tcMar>
            <w:vAlign w:val="bottom"/>
          </w:tcPr>
          <w:p w14:paraId="77B0956D"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46 </w:t>
            </w:r>
          </w:p>
        </w:tc>
      </w:tr>
      <w:tr w:rsidR="00D22D38" w:rsidRPr="00D22D38" w14:paraId="7C13BE7E" w14:textId="77777777" w:rsidTr="00E445AB">
        <w:trPr>
          <w:trHeight w:val="240"/>
        </w:trPr>
        <w:tc>
          <w:tcPr>
            <w:tcW w:w="5159" w:type="dxa"/>
            <w:shd w:val="clear" w:color="auto" w:fill="F2F2F2" w:themeFill="background1" w:themeFillShade="F2"/>
            <w:tcMar>
              <w:top w:w="113" w:type="dxa"/>
              <w:left w:w="0" w:type="dxa"/>
              <w:bottom w:w="113" w:type="dxa"/>
              <w:right w:w="113" w:type="dxa"/>
            </w:tcMar>
            <w:vAlign w:val="bottom"/>
          </w:tcPr>
          <w:p w14:paraId="4E1DD600"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D22D38">
              <w:rPr>
                <w:rFonts w:cs="Open Sans"/>
                <w:b/>
                <w:bCs/>
                <w:color w:val="000000"/>
                <w:sz w:val="16"/>
                <w:szCs w:val="16"/>
                <w:lang w:val="it-IT"/>
              </w:rPr>
              <w:t>Total gains</w:t>
            </w:r>
          </w:p>
        </w:tc>
        <w:tc>
          <w:tcPr>
            <w:tcW w:w="680" w:type="dxa"/>
            <w:shd w:val="clear" w:color="auto" w:fill="F2F2F2" w:themeFill="background1" w:themeFillShade="F2"/>
            <w:tcMar>
              <w:top w:w="113" w:type="dxa"/>
              <w:left w:w="0" w:type="dxa"/>
              <w:bottom w:w="113" w:type="dxa"/>
              <w:right w:w="113" w:type="dxa"/>
            </w:tcMar>
            <w:vAlign w:val="bottom"/>
          </w:tcPr>
          <w:p w14:paraId="69A79F68" w14:textId="77777777" w:rsidR="00D22D38" w:rsidRPr="00D22D38" w:rsidRDefault="00D22D38" w:rsidP="00D22D38">
            <w:pPr>
              <w:autoSpaceDE w:val="0"/>
              <w:autoSpaceDN w:val="0"/>
              <w:adjustRightInd w:val="0"/>
              <w:spacing w:before="0" w:after="0" w:line="240" w:lineRule="auto"/>
              <w:rPr>
                <w:rFonts w:ascii="Open Sans Condensed" w:hAnsi="Open Sans Condensed"/>
                <w:sz w:val="16"/>
                <w:szCs w:val="16"/>
                <w:lang w:val="it-IT"/>
              </w:rPr>
            </w:pPr>
          </w:p>
        </w:tc>
        <w:tc>
          <w:tcPr>
            <w:tcW w:w="1418" w:type="dxa"/>
            <w:shd w:val="clear" w:color="auto" w:fill="F2F2F2" w:themeFill="background1" w:themeFillShade="F2"/>
            <w:tcMar>
              <w:top w:w="113" w:type="dxa"/>
              <w:left w:w="0" w:type="dxa"/>
              <w:bottom w:w="113" w:type="dxa"/>
              <w:right w:w="113" w:type="dxa"/>
            </w:tcMar>
            <w:vAlign w:val="bottom"/>
          </w:tcPr>
          <w:p w14:paraId="5E9B37B7"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 xml:space="preserve">14 </w:t>
            </w:r>
          </w:p>
        </w:tc>
        <w:tc>
          <w:tcPr>
            <w:tcW w:w="1417" w:type="dxa"/>
            <w:shd w:val="clear" w:color="auto" w:fill="F2F2F2" w:themeFill="background1" w:themeFillShade="F2"/>
            <w:tcMar>
              <w:top w:w="113" w:type="dxa"/>
              <w:left w:w="0" w:type="dxa"/>
              <w:bottom w:w="113" w:type="dxa"/>
              <w:right w:w="113" w:type="dxa"/>
            </w:tcMar>
            <w:vAlign w:val="bottom"/>
          </w:tcPr>
          <w:p w14:paraId="03B546A5"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36 </w:t>
            </w:r>
          </w:p>
        </w:tc>
        <w:tc>
          <w:tcPr>
            <w:tcW w:w="1417" w:type="dxa"/>
            <w:shd w:val="clear" w:color="auto" w:fill="F2F2F2" w:themeFill="background1" w:themeFillShade="F2"/>
            <w:tcMar>
              <w:top w:w="113" w:type="dxa"/>
              <w:left w:w="0" w:type="dxa"/>
              <w:bottom w:w="113" w:type="dxa"/>
              <w:right w:w="113" w:type="dxa"/>
            </w:tcMar>
            <w:vAlign w:val="bottom"/>
          </w:tcPr>
          <w:p w14:paraId="5C63CF47"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46 </w:t>
            </w:r>
          </w:p>
        </w:tc>
      </w:tr>
      <w:tr w:rsidR="00D22D38" w:rsidRPr="00D22D38" w14:paraId="1E0C9C03" w14:textId="77777777" w:rsidTr="00E445AB">
        <w:trPr>
          <w:trHeight w:val="240"/>
        </w:trPr>
        <w:tc>
          <w:tcPr>
            <w:tcW w:w="5159" w:type="dxa"/>
            <w:shd w:val="clear" w:color="auto" w:fill="F2F2F2" w:themeFill="background1" w:themeFillShade="F2"/>
            <w:tcMar>
              <w:top w:w="113" w:type="dxa"/>
              <w:left w:w="0" w:type="dxa"/>
              <w:bottom w:w="113" w:type="dxa"/>
              <w:right w:w="113" w:type="dxa"/>
            </w:tcMar>
            <w:vAlign w:val="bottom"/>
          </w:tcPr>
          <w:p w14:paraId="1C7FD09A"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D22D38">
              <w:rPr>
                <w:rFonts w:cs="Open Sans"/>
                <w:b/>
                <w:bCs/>
                <w:color w:val="000000"/>
                <w:sz w:val="16"/>
                <w:szCs w:val="16"/>
                <w:lang w:val="it-IT"/>
              </w:rPr>
              <w:t>Total own-source income</w:t>
            </w:r>
          </w:p>
        </w:tc>
        <w:tc>
          <w:tcPr>
            <w:tcW w:w="680" w:type="dxa"/>
            <w:shd w:val="clear" w:color="auto" w:fill="F2F2F2" w:themeFill="background1" w:themeFillShade="F2"/>
            <w:tcMar>
              <w:top w:w="113" w:type="dxa"/>
              <w:left w:w="0" w:type="dxa"/>
              <w:bottom w:w="113" w:type="dxa"/>
              <w:right w:w="113" w:type="dxa"/>
            </w:tcMar>
            <w:vAlign w:val="bottom"/>
          </w:tcPr>
          <w:p w14:paraId="6E725BEA" w14:textId="77777777" w:rsidR="00D22D38" w:rsidRPr="00D22D38" w:rsidRDefault="00D22D38" w:rsidP="00D22D38">
            <w:pPr>
              <w:autoSpaceDE w:val="0"/>
              <w:autoSpaceDN w:val="0"/>
              <w:adjustRightInd w:val="0"/>
              <w:spacing w:before="0" w:after="0" w:line="240" w:lineRule="auto"/>
              <w:rPr>
                <w:rFonts w:ascii="Open Sans Condensed" w:hAnsi="Open Sans Condensed"/>
                <w:sz w:val="16"/>
                <w:szCs w:val="16"/>
                <w:lang w:val="it-IT"/>
              </w:rPr>
            </w:pPr>
          </w:p>
        </w:tc>
        <w:tc>
          <w:tcPr>
            <w:tcW w:w="1418" w:type="dxa"/>
            <w:shd w:val="clear" w:color="auto" w:fill="F2F2F2" w:themeFill="background1" w:themeFillShade="F2"/>
            <w:tcMar>
              <w:top w:w="113" w:type="dxa"/>
              <w:left w:w="0" w:type="dxa"/>
              <w:bottom w:w="113" w:type="dxa"/>
              <w:right w:w="113" w:type="dxa"/>
            </w:tcMar>
            <w:vAlign w:val="bottom"/>
          </w:tcPr>
          <w:p w14:paraId="343D1426"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 xml:space="preserve">11,524 </w:t>
            </w:r>
          </w:p>
        </w:tc>
        <w:tc>
          <w:tcPr>
            <w:tcW w:w="1417" w:type="dxa"/>
            <w:shd w:val="clear" w:color="auto" w:fill="F2F2F2" w:themeFill="background1" w:themeFillShade="F2"/>
            <w:tcMar>
              <w:top w:w="113" w:type="dxa"/>
              <w:left w:w="0" w:type="dxa"/>
              <w:bottom w:w="113" w:type="dxa"/>
              <w:right w:w="113" w:type="dxa"/>
            </w:tcMar>
            <w:vAlign w:val="bottom"/>
          </w:tcPr>
          <w:p w14:paraId="263ABE1D"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7,141 </w:t>
            </w:r>
          </w:p>
        </w:tc>
        <w:tc>
          <w:tcPr>
            <w:tcW w:w="1417" w:type="dxa"/>
            <w:shd w:val="clear" w:color="auto" w:fill="F2F2F2" w:themeFill="background1" w:themeFillShade="F2"/>
            <w:tcMar>
              <w:top w:w="113" w:type="dxa"/>
              <w:left w:w="0" w:type="dxa"/>
              <w:bottom w:w="113" w:type="dxa"/>
              <w:right w:w="113" w:type="dxa"/>
            </w:tcMar>
            <w:vAlign w:val="bottom"/>
          </w:tcPr>
          <w:p w14:paraId="369C1CE0"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9,186 </w:t>
            </w:r>
          </w:p>
        </w:tc>
      </w:tr>
      <w:tr w:rsidR="00D22D38" w:rsidRPr="00D22D38" w14:paraId="7EAD8680" w14:textId="77777777" w:rsidTr="00E445AB">
        <w:trPr>
          <w:trHeight w:val="260"/>
        </w:trPr>
        <w:tc>
          <w:tcPr>
            <w:tcW w:w="5159" w:type="dxa"/>
            <w:shd w:val="clear" w:color="auto" w:fill="F2F2F2" w:themeFill="background1" w:themeFillShade="F2"/>
            <w:tcMar>
              <w:top w:w="113" w:type="dxa"/>
              <w:left w:w="0" w:type="dxa"/>
              <w:bottom w:w="113" w:type="dxa"/>
              <w:right w:w="113" w:type="dxa"/>
            </w:tcMar>
            <w:vAlign w:val="bottom"/>
          </w:tcPr>
          <w:p w14:paraId="64C9E260"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D22D38">
              <w:rPr>
                <w:rFonts w:cs="Open Sans"/>
                <w:b/>
                <w:bCs/>
                <w:color w:val="000000"/>
                <w:sz w:val="16"/>
                <w:szCs w:val="16"/>
                <w:lang w:val="it-IT"/>
              </w:rPr>
              <w:t>Net (cost of) services</w:t>
            </w:r>
          </w:p>
        </w:tc>
        <w:tc>
          <w:tcPr>
            <w:tcW w:w="680" w:type="dxa"/>
            <w:shd w:val="clear" w:color="auto" w:fill="F2F2F2" w:themeFill="background1" w:themeFillShade="F2"/>
            <w:tcMar>
              <w:top w:w="113" w:type="dxa"/>
              <w:left w:w="0" w:type="dxa"/>
              <w:bottom w:w="113" w:type="dxa"/>
              <w:right w:w="113" w:type="dxa"/>
            </w:tcMar>
            <w:vAlign w:val="bottom"/>
          </w:tcPr>
          <w:p w14:paraId="2FFE5B10" w14:textId="77777777" w:rsidR="00D22D38" w:rsidRPr="00D22D38" w:rsidRDefault="00D22D38" w:rsidP="00D22D38">
            <w:pPr>
              <w:autoSpaceDE w:val="0"/>
              <w:autoSpaceDN w:val="0"/>
              <w:adjustRightInd w:val="0"/>
              <w:spacing w:before="0" w:after="0" w:line="240" w:lineRule="auto"/>
              <w:rPr>
                <w:rFonts w:ascii="Open Sans Condensed" w:hAnsi="Open Sans Condensed"/>
                <w:sz w:val="16"/>
                <w:szCs w:val="16"/>
                <w:lang w:val="it-IT"/>
              </w:rPr>
            </w:pPr>
          </w:p>
        </w:tc>
        <w:tc>
          <w:tcPr>
            <w:tcW w:w="1418" w:type="dxa"/>
            <w:shd w:val="clear" w:color="auto" w:fill="F2F2F2" w:themeFill="background1" w:themeFillShade="F2"/>
            <w:tcMar>
              <w:top w:w="113" w:type="dxa"/>
              <w:left w:w="0" w:type="dxa"/>
              <w:bottom w:w="113" w:type="dxa"/>
              <w:right w:w="113" w:type="dxa"/>
            </w:tcMar>
            <w:vAlign w:val="bottom"/>
          </w:tcPr>
          <w:p w14:paraId="4BF834A7"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(20,915)</w:t>
            </w:r>
          </w:p>
        </w:tc>
        <w:tc>
          <w:tcPr>
            <w:tcW w:w="1417" w:type="dxa"/>
            <w:shd w:val="clear" w:color="auto" w:fill="F2F2F2" w:themeFill="background1" w:themeFillShade="F2"/>
            <w:tcMar>
              <w:top w:w="113" w:type="dxa"/>
              <w:left w:w="0" w:type="dxa"/>
              <w:bottom w:w="113" w:type="dxa"/>
              <w:right w:w="113" w:type="dxa"/>
            </w:tcMar>
            <w:vAlign w:val="bottom"/>
          </w:tcPr>
          <w:p w14:paraId="0C08BB38"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(22,620)</w:t>
            </w:r>
          </w:p>
        </w:tc>
        <w:tc>
          <w:tcPr>
            <w:tcW w:w="1417" w:type="dxa"/>
            <w:shd w:val="clear" w:color="auto" w:fill="F2F2F2" w:themeFill="background1" w:themeFillShade="F2"/>
            <w:tcMar>
              <w:top w:w="113" w:type="dxa"/>
              <w:left w:w="0" w:type="dxa"/>
              <w:bottom w:w="113" w:type="dxa"/>
              <w:right w:w="113" w:type="dxa"/>
            </w:tcMar>
            <w:vAlign w:val="bottom"/>
          </w:tcPr>
          <w:p w14:paraId="460310EF"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(26,550)</w:t>
            </w:r>
          </w:p>
        </w:tc>
      </w:tr>
      <w:tr w:rsidR="00D22D38" w:rsidRPr="00D22D38" w14:paraId="27919B20" w14:textId="77777777" w:rsidTr="00E445AB">
        <w:trPr>
          <w:trHeight w:val="240"/>
        </w:trPr>
        <w:tc>
          <w:tcPr>
            <w:tcW w:w="5159" w:type="dxa"/>
            <w:shd w:val="clear" w:color="auto" w:fill="F2F2F2" w:themeFill="background1" w:themeFillShade="F2"/>
            <w:tcMar>
              <w:top w:w="113" w:type="dxa"/>
              <w:left w:w="0" w:type="dxa"/>
              <w:bottom w:w="113" w:type="dxa"/>
              <w:right w:w="113" w:type="dxa"/>
            </w:tcMar>
            <w:vAlign w:val="bottom"/>
          </w:tcPr>
          <w:p w14:paraId="620DC8FF"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D22D38">
              <w:rPr>
                <w:rFonts w:cs="Open Sans"/>
                <w:color w:val="000000"/>
                <w:sz w:val="16"/>
                <w:szCs w:val="16"/>
                <w:lang w:val="it-IT"/>
              </w:rPr>
              <w:t>Revenue from Government</w:t>
            </w:r>
          </w:p>
        </w:tc>
        <w:tc>
          <w:tcPr>
            <w:tcW w:w="680" w:type="dxa"/>
            <w:shd w:val="clear" w:color="auto" w:fill="F2F2F2" w:themeFill="background1" w:themeFillShade="F2"/>
            <w:tcMar>
              <w:top w:w="113" w:type="dxa"/>
              <w:left w:w="0" w:type="dxa"/>
              <w:bottom w:w="113" w:type="dxa"/>
              <w:right w:w="113" w:type="dxa"/>
            </w:tcMar>
            <w:vAlign w:val="bottom"/>
          </w:tcPr>
          <w:p w14:paraId="45E4B913"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1.2E</w:t>
            </w:r>
          </w:p>
        </w:tc>
        <w:tc>
          <w:tcPr>
            <w:tcW w:w="1418" w:type="dxa"/>
            <w:shd w:val="clear" w:color="auto" w:fill="F2F2F2" w:themeFill="background1" w:themeFillShade="F2"/>
            <w:tcMar>
              <w:top w:w="113" w:type="dxa"/>
              <w:left w:w="0" w:type="dxa"/>
              <w:bottom w:w="113" w:type="dxa"/>
              <w:right w:w="113" w:type="dxa"/>
            </w:tcMar>
            <w:vAlign w:val="bottom"/>
          </w:tcPr>
          <w:p w14:paraId="729CF0F4"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 xml:space="preserve">26,549 </w:t>
            </w:r>
          </w:p>
        </w:tc>
        <w:tc>
          <w:tcPr>
            <w:tcW w:w="1417" w:type="dxa"/>
            <w:shd w:val="clear" w:color="auto" w:fill="F2F2F2" w:themeFill="background1" w:themeFillShade="F2"/>
            <w:tcMar>
              <w:top w:w="113" w:type="dxa"/>
              <w:left w:w="0" w:type="dxa"/>
              <w:bottom w:w="113" w:type="dxa"/>
              <w:right w:w="113" w:type="dxa"/>
            </w:tcMar>
            <w:vAlign w:val="bottom"/>
          </w:tcPr>
          <w:p w14:paraId="09D4C5CB"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21,646 </w:t>
            </w:r>
          </w:p>
        </w:tc>
        <w:tc>
          <w:tcPr>
            <w:tcW w:w="1417" w:type="dxa"/>
            <w:shd w:val="clear" w:color="auto" w:fill="F2F2F2" w:themeFill="background1" w:themeFillShade="F2"/>
            <w:tcMar>
              <w:top w:w="113" w:type="dxa"/>
              <w:left w:w="0" w:type="dxa"/>
              <w:bottom w:w="113" w:type="dxa"/>
              <w:right w:w="113" w:type="dxa"/>
            </w:tcMar>
            <w:vAlign w:val="bottom"/>
          </w:tcPr>
          <w:p w14:paraId="42B4A7AE"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26,549 </w:t>
            </w:r>
          </w:p>
        </w:tc>
      </w:tr>
      <w:tr w:rsidR="00D22D38" w:rsidRPr="00D22D38" w14:paraId="65A937D9" w14:textId="77777777" w:rsidTr="00E445AB">
        <w:trPr>
          <w:trHeight w:val="260"/>
        </w:trPr>
        <w:tc>
          <w:tcPr>
            <w:tcW w:w="5159" w:type="dxa"/>
            <w:shd w:val="clear" w:color="auto" w:fill="F2F2F2" w:themeFill="background1" w:themeFillShade="F2"/>
            <w:tcMar>
              <w:top w:w="113" w:type="dxa"/>
              <w:left w:w="0" w:type="dxa"/>
              <w:bottom w:w="113" w:type="dxa"/>
              <w:right w:w="113" w:type="dxa"/>
            </w:tcMar>
            <w:vAlign w:val="bottom"/>
          </w:tcPr>
          <w:p w14:paraId="17F8D718"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D22D38">
              <w:rPr>
                <w:rFonts w:cs="Open Sans"/>
                <w:b/>
                <w:bCs/>
                <w:color w:val="000000"/>
                <w:sz w:val="16"/>
                <w:szCs w:val="16"/>
                <w:lang w:val="en-US"/>
              </w:rPr>
              <w:t>Surplus/(Deficit) attributable to the Australian Government</w:t>
            </w:r>
          </w:p>
        </w:tc>
        <w:tc>
          <w:tcPr>
            <w:tcW w:w="680" w:type="dxa"/>
            <w:shd w:val="clear" w:color="auto" w:fill="F2F2F2" w:themeFill="background1" w:themeFillShade="F2"/>
            <w:tcMar>
              <w:top w:w="113" w:type="dxa"/>
              <w:left w:w="0" w:type="dxa"/>
              <w:bottom w:w="113" w:type="dxa"/>
              <w:right w:w="113" w:type="dxa"/>
            </w:tcMar>
            <w:vAlign w:val="bottom"/>
          </w:tcPr>
          <w:p w14:paraId="40607D99" w14:textId="77777777" w:rsidR="00D22D38" w:rsidRPr="00D22D38" w:rsidRDefault="00D22D38" w:rsidP="00D22D38">
            <w:pPr>
              <w:autoSpaceDE w:val="0"/>
              <w:autoSpaceDN w:val="0"/>
              <w:adjustRightInd w:val="0"/>
              <w:spacing w:before="0" w:after="0" w:line="240" w:lineRule="auto"/>
              <w:rPr>
                <w:rFonts w:ascii="Open Sans Condensed" w:hAnsi="Open Sans Condensed"/>
                <w:sz w:val="16"/>
                <w:szCs w:val="16"/>
                <w:lang w:val="en-US"/>
              </w:rPr>
            </w:pPr>
          </w:p>
        </w:tc>
        <w:tc>
          <w:tcPr>
            <w:tcW w:w="1418" w:type="dxa"/>
            <w:shd w:val="clear" w:color="auto" w:fill="F2F2F2" w:themeFill="background1" w:themeFillShade="F2"/>
            <w:tcMar>
              <w:top w:w="113" w:type="dxa"/>
              <w:left w:w="0" w:type="dxa"/>
              <w:bottom w:w="113" w:type="dxa"/>
              <w:right w:w="113" w:type="dxa"/>
            </w:tcMar>
            <w:vAlign w:val="bottom"/>
          </w:tcPr>
          <w:p w14:paraId="50BF342B"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 xml:space="preserve">5,634 </w:t>
            </w:r>
          </w:p>
        </w:tc>
        <w:tc>
          <w:tcPr>
            <w:tcW w:w="1417" w:type="dxa"/>
            <w:shd w:val="clear" w:color="auto" w:fill="F2F2F2" w:themeFill="background1" w:themeFillShade="F2"/>
            <w:tcMar>
              <w:top w:w="113" w:type="dxa"/>
              <w:left w:w="0" w:type="dxa"/>
              <w:bottom w:w="113" w:type="dxa"/>
              <w:right w:w="113" w:type="dxa"/>
            </w:tcMar>
            <w:vAlign w:val="bottom"/>
          </w:tcPr>
          <w:p w14:paraId="52412A70"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(974)</w:t>
            </w:r>
          </w:p>
        </w:tc>
        <w:tc>
          <w:tcPr>
            <w:tcW w:w="1417" w:type="dxa"/>
            <w:shd w:val="clear" w:color="auto" w:fill="F2F2F2" w:themeFill="background1" w:themeFillShade="F2"/>
            <w:tcMar>
              <w:top w:w="113" w:type="dxa"/>
              <w:left w:w="0" w:type="dxa"/>
              <w:bottom w:w="113" w:type="dxa"/>
              <w:right w:w="113" w:type="dxa"/>
            </w:tcMar>
            <w:vAlign w:val="bottom"/>
          </w:tcPr>
          <w:p w14:paraId="2905FC35"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(1)</w:t>
            </w:r>
          </w:p>
        </w:tc>
      </w:tr>
      <w:tr w:rsidR="00D22D38" w:rsidRPr="00D22D38" w14:paraId="01117313" w14:textId="77777777" w:rsidTr="00E445AB">
        <w:trPr>
          <w:trHeight w:val="240"/>
        </w:trPr>
        <w:tc>
          <w:tcPr>
            <w:tcW w:w="5159" w:type="dxa"/>
            <w:tcMar>
              <w:top w:w="227" w:type="dxa"/>
              <w:left w:w="0" w:type="dxa"/>
              <w:bottom w:w="57" w:type="dxa"/>
              <w:right w:w="113" w:type="dxa"/>
            </w:tcMar>
            <w:vAlign w:val="bottom"/>
          </w:tcPr>
          <w:p w14:paraId="27D05B52" w14:textId="77777777" w:rsidR="00D22D38" w:rsidRPr="00D22D38" w:rsidRDefault="00D22D38" w:rsidP="00B5393B">
            <w:pPr>
              <w:pStyle w:val="FSBlueHeadingBold"/>
            </w:pPr>
            <w:r w:rsidRPr="00D22D38">
              <w:t>OTHER COMPREHENSIVE INCOME</w:t>
            </w:r>
          </w:p>
        </w:tc>
        <w:tc>
          <w:tcPr>
            <w:tcW w:w="680" w:type="dxa"/>
            <w:tcMar>
              <w:top w:w="227" w:type="dxa"/>
              <w:left w:w="0" w:type="dxa"/>
              <w:bottom w:w="57" w:type="dxa"/>
              <w:right w:w="113" w:type="dxa"/>
            </w:tcMar>
            <w:vAlign w:val="bottom"/>
          </w:tcPr>
          <w:p w14:paraId="7F4C2A4F" w14:textId="77777777" w:rsidR="00D22D38" w:rsidRPr="00D22D38" w:rsidRDefault="00D22D38" w:rsidP="00B5393B">
            <w:pPr>
              <w:pStyle w:val="FSBlueHeadingBold"/>
              <w:rPr>
                <w:rFonts w:ascii="Open Sans Condensed" w:hAnsi="Open Sans Condensed"/>
                <w:lang w:val="it-IT"/>
              </w:rPr>
            </w:pPr>
          </w:p>
        </w:tc>
        <w:tc>
          <w:tcPr>
            <w:tcW w:w="1418" w:type="dxa"/>
            <w:tcMar>
              <w:top w:w="227" w:type="dxa"/>
              <w:left w:w="0" w:type="dxa"/>
              <w:bottom w:w="57" w:type="dxa"/>
              <w:right w:w="113" w:type="dxa"/>
            </w:tcMar>
            <w:vAlign w:val="bottom"/>
          </w:tcPr>
          <w:p w14:paraId="28000A84" w14:textId="77777777" w:rsidR="00D22D38" w:rsidRPr="00D22D38" w:rsidRDefault="00D22D38" w:rsidP="00B5393B">
            <w:pPr>
              <w:pStyle w:val="FSBlueHeadingBold"/>
              <w:rPr>
                <w:rFonts w:ascii="Open Sans Condensed" w:hAnsi="Open Sans Condensed"/>
                <w:lang w:val="it-IT"/>
              </w:rPr>
            </w:pPr>
          </w:p>
        </w:tc>
        <w:tc>
          <w:tcPr>
            <w:tcW w:w="1417" w:type="dxa"/>
            <w:tcMar>
              <w:top w:w="227" w:type="dxa"/>
              <w:left w:w="0" w:type="dxa"/>
              <w:bottom w:w="57" w:type="dxa"/>
              <w:right w:w="113" w:type="dxa"/>
            </w:tcMar>
            <w:vAlign w:val="bottom"/>
          </w:tcPr>
          <w:p w14:paraId="24A0407F" w14:textId="77777777" w:rsidR="00D22D38" w:rsidRPr="00D22D38" w:rsidRDefault="00D22D38" w:rsidP="00B5393B">
            <w:pPr>
              <w:pStyle w:val="FSBlueHeadingBold"/>
              <w:rPr>
                <w:rFonts w:ascii="Open Sans Condensed" w:hAnsi="Open Sans Condensed"/>
                <w:lang w:val="it-IT"/>
              </w:rPr>
            </w:pPr>
          </w:p>
        </w:tc>
        <w:tc>
          <w:tcPr>
            <w:tcW w:w="1417" w:type="dxa"/>
            <w:tcMar>
              <w:top w:w="227" w:type="dxa"/>
              <w:left w:w="0" w:type="dxa"/>
              <w:bottom w:w="57" w:type="dxa"/>
              <w:right w:w="113" w:type="dxa"/>
            </w:tcMar>
            <w:vAlign w:val="bottom"/>
          </w:tcPr>
          <w:p w14:paraId="32D71A1C" w14:textId="77777777" w:rsidR="00D22D38" w:rsidRPr="00D22D38" w:rsidRDefault="00D22D38" w:rsidP="00B5393B">
            <w:pPr>
              <w:pStyle w:val="FSBlueHeadingBold"/>
              <w:rPr>
                <w:rFonts w:ascii="Open Sans Condensed" w:hAnsi="Open Sans Condensed"/>
                <w:lang w:val="it-IT"/>
              </w:rPr>
            </w:pPr>
          </w:p>
        </w:tc>
      </w:tr>
      <w:tr w:rsidR="00E445AB" w:rsidRPr="00D22D38" w14:paraId="18097C0F" w14:textId="77777777" w:rsidTr="00E445AB">
        <w:trPr>
          <w:trHeight w:val="475"/>
        </w:trPr>
        <w:tc>
          <w:tcPr>
            <w:tcW w:w="5839" w:type="dxa"/>
            <w:gridSpan w:val="2"/>
            <w:tcMar>
              <w:top w:w="28" w:type="dxa"/>
              <w:left w:w="0" w:type="dxa"/>
              <w:bottom w:w="57" w:type="dxa"/>
              <w:right w:w="113" w:type="dxa"/>
            </w:tcMar>
            <w:vAlign w:val="center"/>
          </w:tcPr>
          <w:p w14:paraId="45AD5032" w14:textId="3E99B526" w:rsidR="00E445AB" w:rsidRPr="00D22D38" w:rsidRDefault="00E445AB" w:rsidP="00D22D38">
            <w:pPr>
              <w:autoSpaceDE w:val="0"/>
              <w:autoSpaceDN w:val="0"/>
              <w:adjustRightInd w:val="0"/>
              <w:spacing w:before="0" w:after="0" w:line="240" w:lineRule="auto"/>
              <w:rPr>
                <w:rFonts w:ascii="Open Sans Condensed" w:hAnsi="Open Sans Condensed"/>
                <w:sz w:val="16"/>
                <w:szCs w:val="16"/>
                <w:lang w:val="en-US"/>
              </w:rPr>
            </w:pPr>
            <w:r w:rsidRPr="00D22D38">
              <w:rPr>
                <w:rFonts w:cs="Open Sans"/>
                <w:b/>
                <w:bCs/>
                <w:color w:val="000000"/>
                <w:sz w:val="16"/>
                <w:szCs w:val="16"/>
                <w:lang w:val="en-US"/>
              </w:rPr>
              <w:t>Items not subject to subsequent reclassification to net cost of</w:t>
            </w:r>
            <w:r>
              <w:rPr>
                <w:rFonts w:cs="Open Sans"/>
                <w:b/>
                <w:bCs/>
                <w:color w:val="000000"/>
                <w:sz w:val="16"/>
                <w:szCs w:val="16"/>
                <w:lang w:val="en-US"/>
              </w:rPr>
              <w:t xml:space="preserve"> </w:t>
            </w:r>
            <w:r w:rsidRPr="00D22D38">
              <w:rPr>
                <w:rFonts w:cs="Open Sans"/>
                <w:b/>
                <w:bCs/>
                <w:color w:val="000000"/>
                <w:sz w:val="16"/>
                <w:szCs w:val="16"/>
                <w:lang w:val="en-US"/>
              </w:rPr>
              <w:t>services</w:t>
            </w:r>
          </w:p>
        </w:tc>
        <w:tc>
          <w:tcPr>
            <w:tcW w:w="1418" w:type="dxa"/>
            <w:tcMar>
              <w:top w:w="28" w:type="dxa"/>
              <w:left w:w="0" w:type="dxa"/>
              <w:bottom w:w="57" w:type="dxa"/>
              <w:right w:w="113" w:type="dxa"/>
            </w:tcMar>
            <w:vAlign w:val="bottom"/>
          </w:tcPr>
          <w:p w14:paraId="24EA578F" w14:textId="77777777" w:rsidR="00E445AB" w:rsidRPr="00D22D38" w:rsidRDefault="00E445AB" w:rsidP="00D22D38">
            <w:pPr>
              <w:autoSpaceDE w:val="0"/>
              <w:autoSpaceDN w:val="0"/>
              <w:adjustRightInd w:val="0"/>
              <w:spacing w:before="0" w:after="0" w:line="240" w:lineRule="auto"/>
              <w:rPr>
                <w:rFonts w:ascii="Open Sans Condensed" w:hAnsi="Open Sans Condensed"/>
                <w:sz w:val="16"/>
                <w:szCs w:val="16"/>
                <w:lang w:val="en-US"/>
              </w:rPr>
            </w:pPr>
          </w:p>
        </w:tc>
        <w:tc>
          <w:tcPr>
            <w:tcW w:w="1417" w:type="dxa"/>
            <w:tcMar>
              <w:top w:w="28" w:type="dxa"/>
              <w:left w:w="0" w:type="dxa"/>
              <w:bottom w:w="57" w:type="dxa"/>
              <w:right w:w="113" w:type="dxa"/>
            </w:tcMar>
            <w:vAlign w:val="bottom"/>
          </w:tcPr>
          <w:p w14:paraId="4D2DCC76" w14:textId="77777777" w:rsidR="00E445AB" w:rsidRPr="00D22D38" w:rsidRDefault="00E445AB" w:rsidP="00D22D38">
            <w:pPr>
              <w:autoSpaceDE w:val="0"/>
              <w:autoSpaceDN w:val="0"/>
              <w:adjustRightInd w:val="0"/>
              <w:spacing w:before="0" w:after="0" w:line="240" w:lineRule="auto"/>
              <w:rPr>
                <w:rFonts w:ascii="Open Sans Condensed" w:hAnsi="Open Sans Condensed"/>
                <w:sz w:val="16"/>
                <w:szCs w:val="16"/>
                <w:lang w:val="en-US"/>
              </w:rPr>
            </w:pPr>
          </w:p>
        </w:tc>
        <w:tc>
          <w:tcPr>
            <w:tcW w:w="1417" w:type="dxa"/>
            <w:tcMar>
              <w:top w:w="28" w:type="dxa"/>
              <w:left w:w="0" w:type="dxa"/>
              <w:bottom w:w="57" w:type="dxa"/>
              <w:right w:w="113" w:type="dxa"/>
            </w:tcMar>
            <w:vAlign w:val="bottom"/>
          </w:tcPr>
          <w:p w14:paraId="71099797" w14:textId="77777777" w:rsidR="00E445AB" w:rsidRPr="00D22D38" w:rsidRDefault="00E445AB" w:rsidP="00D22D38">
            <w:pPr>
              <w:autoSpaceDE w:val="0"/>
              <w:autoSpaceDN w:val="0"/>
              <w:adjustRightInd w:val="0"/>
              <w:spacing w:before="0" w:after="0" w:line="240" w:lineRule="auto"/>
              <w:rPr>
                <w:rFonts w:ascii="Open Sans Condensed" w:hAnsi="Open Sans Condensed"/>
                <w:sz w:val="16"/>
                <w:szCs w:val="16"/>
                <w:lang w:val="en-US"/>
              </w:rPr>
            </w:pPr>
          </w:p>
        </w:tc>
      </w:tr>
      <w:tr w:rsidR="00D22D38" w:rsidRPr="00D22D38" w14:paraId="69BD989D" w14:textId="77777777" w:rsidTr="00E445AB">
        <w:trPr>
          <w:trHeight w:val="240"/>
        </w:trPr>
        <w:tc>
          <w:tcPr>
            <w:tcW w:w="5159" w:type="dxa"/>
            <w:tcMar>
              <w:top w:w="113" w:type="dxa"/>
              <w:left w:w="0" w:type="dxa"/>
              <w:bottom w:w="113" w:type="dxa"/>
              <w:right w:w="113" w:type="dxa"/>
            </w:tcMar>
            <w:vAlign w:val="bottom"/>
          </w:tcPr>
          <w:p w14:paraId="3EE91D32"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D22D38">
              <w:rPr>
                <w:rFonts w:cs="Open Sans"/>
                <w:color w:val="000000"/>
                <w:sz w:val="16"/>
                <w:szCs w:val="16"/>
                <w:lang w:val="en-US"/>
              </w:rPr>
              <w:t>Changes in asset revaluation surplus</w:t>
            </w:r>
          </w:p>
        </w:tc>
        <w:tc>
          <w:tcPr>
            <w:tcW w:w="680" w:type="dxa"/>
            <w:tcMar>
              <w:top w:w="113" w:type="dxa"/>
              <w:left w:w="0" w:type="dxa"/>
              <w:bottom w:w="113" w:type="dxa"/>
              <w:right w:w="113" w:type="dxa"/>
            </w:tcMar>
            <w:vAlign w:val="bottom"/>
          </w:tcPr>
          <w:p w14:paraId="1011E786" w14:textId="77777777" w:rsidR="00D22D38" w:rsidRPr="00D22D38" w:rsidRDefault="00D22D38" w:rsidP="00D22D38">
            <w:pPr>
              <w:autoSpaceDE w:val="0"/>
              <w:autoSpaceDN w:val="0"/>
              <w:adjustRightInd w:val="0"/>
              <w:spacing w:before="0" w:after="0" w:line="240" w:lineRule="auto"/>
              <w:rPr>
                <w:rFonts w:ascii="Open Sans Condensed" w:hAnsi="Open Sans Condensed"/>
                <w:sz w:val="16"/>
                <w:szCs w:val="16"/>
                <w:lang w:val="en-US"/>
              </w:rPr>
            </w:pPr>
          </w:p>
        </w:tc>
        <w:tc>
          <w:tcPr>
            <w:tcW w:w="1418" w:type="dxa"/>
            <w:tcMar>
              <w:top w:w="113" w:type="dxa"/>
              <w:left w:w="0" w:type="dxa"/>
              <w:bottom w:w="113" w:type="dxa"/>
              <w:right w:w="113" w:type="dxa"/>
            </w:tcMar>
            <w:vAlign w:val="bottom"/>
          </w:tcPr>
          <w:p w14:paraId="19EBC9C9"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en-US"/>
              </w:rPr>
              <w:t xml:space="preserve"> </w:t>
            </w:r>
            <w:r w:rsidRPr="00D22D38">
              <w:rPr>
                <w:rFonts w:cs="Open Sans"/>
                <w:b/>
                <w:bCs/>
                <w:color w:val="000000"/>
                <w:sz w:val="16"/>
                <w:szCs w:val="16"/>
                <w:lang w:val="it-IT"/>
              </w:rPr>
              <w:t>-</w:t>
            </w:r>
          </w:p>
        </w:tc>
        <w:tc>
          <w:tcPr>
            <w:tcW w:w="1417" w:type="dxa"/>
            <w:tcMar>
              <w:top w:w="113" w:type="dxa"/>
              <w:left w:w="0" w:type="dxa"/>
              <w:bottom w:w="113" w:type="dxa"/>
              <w:right w:w="113" w:type="dxa"/>
            </w:tcMar>
            <w:vAlign w:val="bottom"/>
          </w:tcPr>
          <w:p w14:paraId="05A8F027"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147 </w:t>
            </w:r>
          </w:p>
        </w:tc>
        <w:tc>
          <w:tcPr>
            <w:tcW w:w="1417" w:type="dxa"/>
            <w:tcMar>
              <w:top w:w="113" w:type="dxa"/>
              <w:left w:w="0" w:type="dxa"/>
              <w:bottom w:w="113" w:type="dxa"/>
              <w:right w:w="113" w:type="dxa"/>
            </w:tcMar>
            <w:vAlign w:val="bottom"/>
          </w:tcPr>
          <w:p w14:paraId="3D11AA43"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 -</w:t>
            </w:r>
          </w:p>
        </w:tc>
      </w:tr>
      <w:tr w:rsidR="00D22D38" w:rsidRPr="00D22D38" w14:paraId="0E97C6C9" w14:textId="77777777" w:rsidTr="00E445AB">
        <w:trPr>
          <w:trHeight w:val="260"/>
        </w:trPr>
        <w:tc>
          <w:tcPr>
            <w:tcW w:w="5159"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2994BBCB"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D22D38">
              <w:rPr>
                <w:rFonts w:cs="Open Sans"/>
                <w:b/>
                <w:bCs/>
                <w:color w:val="000000"/>
                <w:sz w:val="16"/>
                <w:szCs w:val="16"/>
                <w:lang w:val="it-IT"/>
              </w:rPr>
              <w:t>Total comprehensive income/(loss)</w:t>
            </w:r>
          </w:p>
        </w:tc>
        <w:tc>
          <w:tcPr>
            <w:tcW w:w="680"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49F51EC8" w14:textId="77777777" w:rsidR="00D22D38" w:rsidRPr="00D22D38" w:rsidRDefault="00D22D38" w:rsidP="00D22D38">
            <w:pPr>
              <w:autoSpaceDE w:val="0"/>
              <w:autoSpaceDN w:val="0"/>
              <w:adjustRightInd w:val="0"/>
              <w:spacing w:before="0" w:after="0" w:line="240" w:lineRule="auto"/>
              <w:rPr>
                <w:rFonts w:ascii="Open Sans Condensed" w:hAnsi="Open Sans Condensed"/>
                <w:lang w:val="it-IT"/>
              </w:rPr>
            </w:pPr>
          </w:p>
        </w:tc>
        <w:tc>
          <w:tcPr>
            <w:tcW w:w="1418"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BAAB5CC"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 xml:space="preserve">5,634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3F0D3677"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b/>
                <w:bCs/>
                <w:color w:val="000000"/>
                <w:sz w:val="16"/>
                <w:szCs w:val="16"/>
                <w:lang w:val="it-IT"/>
              </w:rPr>
              <w:t>(827)</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78EF4786"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D22D38">
              <w:rPr>
                <w:rFonts w:cs="Open Sans"/>
                <w:color w:val="000000"/>
                <w:sz w:val="16"/>
                <w:szCs w:val="16"/>
                <w:lang w:val="it-IT"/>
              </w:rPr>
              <w:t xml:space="preserve"> </w:t>
            </w:r>
            <w:r w:rsidRPr="00D22D38">
              <w:rPr>
                <w:rFonts w:cs="Open Sans"/>
                <w:b/>
                <w:bCs/>
                <w:color w:val="000000"/>
                <w:sz w:val="16"/>
                <w:szCs w:val="16"/>
                <w:lang w:val="it-IT"/>
              </w:rPr>
              <w:t>-</w:t>
            </w:r>
          </w:p>
        </w:tc>
      </w:tr>
      <w:tr w:rsidR="00D22D38" w:rsidRPr="00D22D38" w14:paraId="10D69DF3" w14:textId="77777777" w:rsidTr="00E445AB">
        <w:trPr>
          <w:trHeight w:val="240"/>
        </w:trPr>
        <w:tc>
          <w:tcPr>
            <w:tcW w:w="10091" w:type="dxa"/>
            <w:gridSpan w:val="5"/>
            <w:tcBorders>
              <w:bottom w:val="nil"/>
            </w:tcBorders>
            <w:tcMar>
              <w:top w:w="227" w:type="dxa"/>
              <w:left w:w="0" w:type="dxa"/>
              <w:bottom w:w="57" w:type="dxa"/>
              <w:right w:w="113" w:type="dxa"/>
            </w:tcMar>
            <w:vAlign w:val="bottom"/>
          </w:tcPr>
          <w:p w14:paraId="6FB1BE18" w14:textId="77777777" w:rsidR="00D22D38" w:rsidRPr="00D22D38" w:rsidRDefault="00D22D38" w:rsidP="00D22D38">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D22D38">
              <w:rPr>
                <w:rFonts w:cs="Open Sans"/>
                <w:color w:val="000000"/>
                <w:sz w:val="16"/>
                <w:szCs w:val="16"/>
                <w:lang w:val="en-US"/>
              </w:rPr>
              <w:t>The above statement should be read in conjunction with the accompanying notes.</w:t>
            </w:r>
          </w:p>
        </w:tc>
      </w:tr>
    </w:tbl>
    <w:p w14:paraId="743E30BF" w14:textId="77777777" w:rsidR="00C62C6B" w:rsidRDefault="00C62C6B" w:rsidP="009F4E32">
      <w:pPr>
        <w:keepLines/>
        <w:tabs>
          <w:tab w:val="right" w:pos="6240"/>
          <w:tab w:val="right" w:pos="7280"/>
          <w:tab w:val="right" w:pos="8300"/>
        </w:tabs>
        <w:suppressAutoHyphens/>
        <w:autoSpaceDE w:val="0"/>
        <w:autoSpaceDN w:val="0"/>
        <w:adjustRightInd w:val="0"/>
        <w:spacing w:before="0" w:after="113"/>
        <w:textAlignment w:val="center"/>
        <w:rPr>
          <w:rFonts w:cs="Open Sans"/>
          <w:lang w:val="en-US" w:eastAsia="en-US"/>
        </w:rPr>
      </w:pPr>
    </w:p>
    <w:p w14:paraId="252E69CB" w14:textId="36765240" w:rsidR="009F4E32" w:rsidRPr="009F4E32" w:rsidRDefault="009F4E32" w:rsidP="009F4E32">
      <w:pPr>
        <w:keepLines/>
        <w:tabs>
          <w:tab w:val="right" w:pos="6240"/>
          <w:tab w:val="right" w:pos="7280"/>
          <w:tab w:val="right" w:pos="8300"/>
        </w:tabs>
        <w:suppressAutoHyphens/>
        <w:autoSpaceDE w:val="0"/>
        <w:autoSpaceDN w:val="0"/>
        <w:adjustRightInd w:val="0"/>
        <w:spacing w:before="0" w:after="113"/>
        <w:textAlignment w:val="center"/>
        <w:rPr>
          <w:rFonts w:cs="Open Sans"/>
          <w:b/>
          <w:bCs/>
          <w:color w:val="000000"/>
          <w:sz w:val="16"/>
          <w:szCs w:val="16"/>
          <w:lang w:val="en-US"/>
        </w:rPr>
      </w:pPr>
      <w:r w:rsidRPr="009F4E32">
        <w:rPr>
          <w:rFonts w:cs="Open Sans"/>
          <w:b/>
          <w:bCs/>
          <w:color w:val="000000"/>
          <w:sz w:val="16"/>
          <w:szCs w:val="16"/>
          <w:lang w:val="en-US"/>
        </w:rPr>
        <w:t>Budget Variances Commentary</w:t>
      </w:r>
    </w:p>
    <w:p w14:paraId="009D48B9"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113"/>
        <w:textAlignment w:val="center"/>
        <w:rPr>
          <w:rFonts w:cs="Open Sans"/>
          <w:b/>
          <w:bCs/>
          <w:color w:val="000000"/>
          <w:sz w:val="16"/>
          <w:szCs w:val="16"/>
          <w:lang w:val="en-US"/>
        </w:rPr>
      </w:pPr>
      <w:r w:rsidRPr="009F4E32">
        <w:rPr>
          <w:rFonts w:cs="Open Sans"/>
          <w:b/>
          <w:bCs/>
          <w:color w:val="000000"/>
          <w:sz w:val="16"/>
          <w:szCs w:val="16"/>
          <w:lang w:val="en-US"/>
        </w:rPr>
        <w:t>Statement of Comprehensive Income for Not-for-Profit Reporting Entities</w:t>
      </w:r>
    </w:p>
    <w:p w14:paraId="2CFB889F"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9F4E32">
        <w:rPr>
          <w:rFonts w:cs="Open Sans"/>
          <w:color w:val="000000"/>
          <w:sz w:val="16"/>
          <w:szCs w:val="16"/>
          <w:lang w:val="en-US"/>
        </w:rPr>
        <w:t xml:space="preserve">Employee benefits were lower than budget due to delays in recruitment of suitable staff for new measures approved in the October 2022 Budget. The measures relate to the implementation of the Respect At Work Report recommendations, the development of a National Anti-Racism Strategy and additional temporary resources to address the Complaints backlog. </w:t>
      </w:r>
    </w:p>
    <w:p w14:paraId="48B50412"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9F4E32">
        <w:rPr>
          <w:rFonts w:cs="Open Sans"/>
          <w:color w:val="000000"/>
          <w:sz w:val="16"/>
          <w:szCs w:val="16"/>
          <w:lang w:val="en-US"/>
        </w:rPr>
        <w:t>Supplier expenses are higher than budgeted due to costs associated with hosting the Women’s Voices Summit in Canberra in May 2023 (the scope of which was not confirmed when the October budget was set). The higher than budgeted costs for the Summit are offset by an increase in own-source sponsorship revenue to support the Summit.</w:t>
      </w:r>
    </w:p>
    <w:p w14:paraId="6369F061"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9F4E32">
        <w:rPr>
          <w:rFonts w:cs="Open Sans"/>
          <w:color w:val="000000"/>
          <w:sz w:val="16"/>
          <w:szCs w:val="16"/>
          <w:lang w:val="en-US"/>
        </w:rPr>
        <w:t>Interest revenue is higher than budget due to higher than expected interest rates.</w:t>
      </w:r>
    </w:p>
    <w:p w14:paraId="294F1FF3" w14:textId="77777777" w:rsidR="009F4E32" w:rsidRDefault="009F4E32" w:rsidP="00716F8A">
      <w:pPr>
        <w:autoSpaceDE w:val="0"/>
        <w:autoSpaceDN w:val="0"/>
        <w:adjustRightInd w:val="0"/>
        <w:spacing w:after="160" w:line="201" w:lineRule="atLeast"/>
        <w:rPr>
          <w:rFonts w:cs="Open Sans"/>
          <w:highlight w:val="yellow"/>
          <w:lang w:val="en-US" w:eastAsia="en-US"/>
        </w:rPr>
      </w:pPr>
    </w:p>
    <w:p w14:paraId="56745305" w14:textId="47A1CE24" w:rsidR="009F4E32" w:rsidRDefault="009F4E32">
      <w:pPr>
        <w:spacing w:before="0" w:after="0" w:line="240" w:lineRule="auto"/>
        <w:rPr>
          <w:rFonts w:cs="Open Sans"/>
          <w:highlight w:val="yellow"/>
          <w:lang w:val="en-US" w:eastAsia="en-US"/>
        </w:rPr>
      </w:pPr>
      <w:r w:rsidRPr="644940EB">
        <w:rPr>
          <w:rFonts w:cs="Open Sans"/>
          <w:highlight w:val="yellow"/>
          <w:lang w:val="en-US" w:eastAsia="en-US"/>
        </w:rPr>
        <w:br w:type="page"/>
      </w:r>
    </w:p>
    <w:p w14:paraId="330F09A4" w14:textId="698AF041" w:rsidR="002320D7" w:rsidRPr="002320D7" w:rsidRDefault="00716F8A" w:rsidP="002320D7">
      <w:pPr>
        <w:pStyle w:val="Heading7"/>
        <w:rPr>
          <w:lang w:eastAsia="en-US"/>
        </w:rPr>
      </w:pPr>
      <w:bookmarkStart w:id="42" w:name="_Toc146437048"/>
      <w:r w:rsidRPr="009F4E32">
        <w:rPr>
          <w:lang w:eastAsia="en-US"/>
        </w:rPr>
        <w:t>Statement of Financial Position</w:t>
      </w:r>
      <w:bookmarkEnd w:id="42"/>
    </w:p>
    <w:p w14:paraId="16F9A362" w14:textId="1E42BA0B" w:rsidR="009F4E32" w:rsidRPr="009F4E32" w:rsidRDefault="002320D7" w:rsidP="002320D7">
      <w:pPr>
        <w:pStyle w:val="Fortheyearended"/>
        <w:rPr>
          <w:lang w:eastAsia="en-US"/>
        </w:rPr>
      </w:pPr>
      <w:r>
        <w:rPr>
          <w:lang w:eastAsia="en-US"/>
        </w:rPr>
        <w:t>as at 30 June 2023</w:t>
      </w:r>
    </w:p>
    <w:tbl>
      <w:tblPr>
        <w:tblW w:w="0" w:type="auto"/>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5159"/>
        <w:gridCol w:w="680"/>
        <w:gridCol w:w="1418"/>
        <w:gridCol w:w="1417"/>
        <w:gridCol w:w="1417"/>
      </w:tblGrid>
      <w:tr w:rsidR="00B5393B" w:rsidRPr="00B5393B" w14:paraId="1D353961" w14:textId="77777777" w:rsidTr="00B5393B">
        <w:trPr>
          <w:trHeight w:val="500"/>
          <w:tblHeader/>
        </w:trPr>
        <w:tc>
          <w:tcPr>
            <w:tcW w:w="5839" w:type="dxa"/>
            <w:gridSpan w:val="2"/>
            <w:shd w:val="clear" w:color="auto" w:fill="1CBDC9"/>
            <w:tcMar>
              <w:top w:w="85" w:type="dxa"/>
              <w:left w:w="113" w:type="dxa"/>
              <w:bottom w:w="113" w:type="dxa"/>
              <w:right w:w="113" w:type="dxa"/>
            </w:tcMar>
            <w:vAlign w:val="bottom"/>
          </w:tcPr>
          <w:p w14:paraId="529F4B1E"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9F4E32">
              <w:rPr>
                <w:rFonts w:ascii="Open Sans Condensed" w:hAnsi="Open Sans Condensed" w:cs="Open Sans Condensed"/>
                <w:b/>
                <w:bCs/>
                <w:color w:val="FFFFFF" w:themeColor="background1"/>
                <w:sz w:val="20"/>
                <w:szCs w:val="20"/>
                <w:lang w:val="en-US"/>
              </w:rPr>
              <w:t>Notes</w:t>
            </w:r>
          </w:p>
        </w:tc>
        <w:tc>
          <w:tcPr>
            <w:tcW w:w="1418" w:type="dxa"/>
            <w:shd w:val="clear" w:color="auto" w:fill="1CBDC9"/>
            <w:tcMar>
              <w:top w:w="85" w:type="dxa"/>
              <w:left w:w="113" w:type="dxa"/>
              <w:bottom w:w="113" w:type="dxa"/>
              <w:right w:w="113" w:type="dxa"/>
            </w:tcMar>
            <w:vAlign w:val="bottom"/>
          </w:tcPr>
          <w:p w14:paraId="44119F4E"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9F4E32">
              <w:rPr>
                <w:rFonts w:ascii="Open Sans Condensed" w:hAnsi="Open Sans Condensed" w:cs="Open Sans Condensed"/>
                <w:b/>
                <w:bCs/>
                <w:color w:val="FFFFFF" w:themeColor="background1"/>
                <w:sz w:val="20"/>
                <w:szCs w:val="20"/>
                <w:lang w:val="en-US"/>
              </w:rPr>
              <w:t>2023</w:t>
            </w:r>
          </w:p>
          <w:p w14:paraId="73195244"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9F4E32">
              <w:rPr>
                <w:rFonts w:cs="Open Sans"/>
                <w:b/>
                <w:bCs/>
                <w:color w:val="FFFFFF" w:themeColor="background1"/>
                <w:sz w:val="20"/>
                <w:szCs w:val="20"/>
                <w:lang w:val="en-US"/>
              </w:rPr>
              <w:t>$’000</w:t>
            </w:r>
          </w:p>
        </w:tc>
        <w:tc>
          <w:tcPr>
            <w:tcW w:w="1417" w:type="dxa"/>
            <w:shd w:val="clear" w:color="auto" w:fill="1CBDC9"/>
            <w:tcMar>
              <w:top w:w="85" w:type="dxa"/>
              <w:left w:w="113" w:type="dxa"/>
              <w:bottom w:w="113" w:type="dxa"/>
              <w:right w:w="113" w:type="dxa"/>
            </w:tcMar>
            <w:vAlign w:val="bottom"/>
          </w:tcPr>
          <w:p w14:paraId="2D76003A"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Light" w:hAnsi="Open Sans Condensed Light" w:cs="Open Sans Condensed Light"/>
                <w:color w:val="FFFFFF" w:themeColor="background1"/>
                <w:sz w:val="20"/>
                <w:szCs w:val="20"/>
                <w:lang w:val="en-US"/>
              </w:rPr>
            </w:pPr>
            <w:r w:rsidRPr="009F4E32">
              <w:rPr>
                <w:rFonts w:ascii="Open Sans Condensed Light" w:hAnsi="Open Sans Condensed Light" w:cs="Open Sans Condensed Light"/>
                <w:color w:val="FFFFFF" w:themeColor="background1"/>
                <w:sz w:val="20"/>
                <w:szCs w:val="20"/>
                <w:lang w:val="en-US"/>
              </w:rPr>
              <w:t>2022</w:t>
            </w:r>
          </w:p>
          <w:p w14:paraId="22F37EC6"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9F4E32">
              <w:rPr>
                <w:rFonts w:ascii="Open Sans Condensed Light" w:hAnsi="Open Sans Condensed Light" w:cs="Open Sans Condensed Light"/>
                <w:color w:val="FFFFFF" w:themeColor="background1"/>
                <w:sz w:val="20"/>
                <w:szCs w:val="20"/>
                <w:lang w:val="en-US"/>
              </w:rPr>
              <w:t>$’000</w:t>
            </w:r>
          </w:p>
        </w:tc>
        <w:tc>
          <w:tcPr>
            <w:tcW w:w="1417" w:type="dxa"/>
            <w:shd w:val="clear" w:color="auto" w:fill="1CBDC9"/>
            <w:tcMar>
              <w:top w:w="85" w:type="dxa"/>
              <w:left w:w="113" w:type="dxa"/>
              <w:bottom w:w="113" w:type="dxa"/>
              <w:right w:w="113" w:type="dxa"/>
            </w:tcMar>
            <w:vAlign w:val="bottom"/>
          </w:tcPr>
          <w:p w14:paraId="72533344"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Light" w:hAnsi="Open Sans Condensed Light" w:cs="Open Sans Condensed Light"/>
                <w:color w:val="FFFFFF" w:themeColor="background1"/>
                <w:sz w:val="20"/>
                <w:szCs w:val="20"/>
                <w:lang w:val="en-US"/>
              </w:rPr>
            </w:pPr>
            <w:r w:rsidRPr="009F4E32">
              <w:rPr>
                <w:rFonts w:ascii="Open Sans Condensed Light" w:hAnsi="Open Sans Condensed Light" w:cs="Open Sans Condensed Light"/>
                <w:color w:val="FFFFFF" w:themeColor="background1"/>
                <w:sz w:val="20"/>
                <w:szCs w:val="20"/>
                <w:lang w:val="en-US"/>
              </w:rPr>
              <w:t>Original Budget</w:t>
            </w:r>
          </w:p>
          <w:p w14:paraId="7CE2A086"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9F4E32">
              <w:rPr>
                <w:rFonts w:ascii="Open Sans Condensed Light" w:hAnsi="Open Sans Condensed Light" w:cs="Open Sans Condensed Light"/>
                <w:color w:val="FFFFFF" w:themeColor="background1"/>
                <w:sz w:val="20"/>
                <w:szCs w:val="20"/>
                <w:lang w:val="en-US"/>
              </w:rPr>
              <w:t>$’000</w:t>
            </w:r>
          </w:p>
        </w:tc>
      </w:tr>
      <w:tr w:rsidR="009F4E32" w:rsidRPr="009F4E32" w14:paraId="73AA1E7D" w14:textId="77777777" w:rsidTr="009F4E32">
        <w:trPr>
          <w:trHeight w:val="240"/>
        </w:trPr>
        <w:tc>
          <w:tcPr>
            <w:tcW w:w="5159" w:type="dxa"/>
            <w:tcMar>
              <w:top w:w="227" w:type="dxa"/>
              <w:left w:w="0" w:type="dxa"/>
              <w:bottom w:w="57" w:type="dxa"/>
              <w:right w:w="113" w:type="dxa"/>
            </w:tcMar>
            <w:vAlign w:val="bottom"/>
          </w:tcPr>
          <w:p w14:paraId="1DE70C17"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r w:rsidRPr="009F4E32">
              <w:rPr>
                <w:rFonts w:cs="Open Sans"/>
                <w:b/>
                <w:bCs/>
                <w:color w:val="2BB8C9"/>
                <w:sz w:val="16"/>
                <w:szCs w:val="16"/>
                <w:lang w:val="en-US"/>
              </w:rPr>
              <w:t>ASSETS</w:t>
            </w:r>
          </w:p>
        </w:tc>
        <w:tc>
          <w:tcPr>
            <w:tcW w:w="680" w:type="dxa"/>
            <w:tcMar>
              <w:top w:w="227" w:type="dxa"/>
              <w:left w:w="0" w:type="dxa"/>
              <w:bottom w:w="57" w:type="dxa"/>
              <w:right w:w="113" w:type="dxa"/>
            </w:tcMar>
            <w:vAlign w:val="bottom"/>
          </w:tcPr>
          <w:p w14:paraId="43C79DA1"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27" w:type="dxa"/>
              <w:left w:w="0" w:type="dxa"/>
              <w:bottom w:w="57" w:type="dxa"/>
              <w:right w:w="113" w:type="dxa"/>
            </w:tcMar>
            <w:vAlign w:val="bottom"/>
          </w:tcPr>
          <w:p w14:paraId="5BF70A12"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2F4A338D"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4CA867FC"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39378ED9" w14:textId="77777777" w:rsidTr="009F4E32">
        <w:trPr>
          <w:trHeight w:val="240"/>
        </w:trPr>
        <w:tc>
          <w:tcPr>
            <w:tcW w:w="5159" w:type="dxa"/>
            <w:tcMar>
              <w:top w:w="28" w:type="dxa"/>
              <w:left w:w="0" w:type="dxa"/>
              <w:bottom w:w="57" w:type="dxa"/>
              <w:right w:w="113" w:type="dxa"/>
            </w:tcMar>
            <w:vAlign w:val="bottom"/>
          </w:tcPr>
          <w:p w14:paraId="6060897C"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Financial assets</w:t>
            </w:r>
          </w:p>
        </w:tc>
        <w:tc>
          <w:tcPr>
            <w:tcW w:w="680" w:type="dxa"/>
            <w:tcMar>
              <w:top w:w="28" w:type="dxa"/>
              <w:left w:w="0" w:type="dxa"/>
              <w:bottom w:w="57" w:type="dxa"/>
              <w:right w:w="113" w:type="dxa"/>
            </w:tcMar>
            <w:vAlign w:val="bottom"/>
          </w:tcPr>
          <w:p w14:paraId="72873F6C"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49990938"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0F039445"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175BD643"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550676C2" w14:textId="77777777" w:rsidTr="009F4E32">
        <w:trPr>
          <w:trHeight w:val="240"/>
        </w:trPr>
        <w:tc>
          <w:tcPr>
            <w:tcW w:w="5159" w:type="dxa"/>
            <w:tcMar>
              <w:top w:w="28" w:type="dxa"/>
              <w:left w:w="0" w:type="dxa"/>
              <w:bottom w:w="57" w:type="dxa"/>
              <w:right w:w="113" w:type="dxa"/>
            </w:tcMar>
            <w:vAlign w:val="bottom"/>
          </w:tcPr>
          <w:p w14:paraId="236FF1C0"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color w:val="000000"/>
                <w:sz w:val="16"/>
                <w:szCs w:val="16"/>
                <w:lang w:val="it-IT"/>
              </w:rPr>
              <w:t>Cash and cash equivalents</w:t>
            </w:r>
          </w:p>
        </w:tc>
        <w:tc>
          <w:tcPr>
            <w:tcW w:w="680" w:type="dxa"/>
            <w:tcMar>
              <w:top w:w="28" w:type="dxa"/>
              <w:left w:w="0" w:type="dxa"/>
              <w:bottom w:w="57" w:type="dxa"/>
              <w:right w:w="113" w:type="dxa"/>
            </w:tcMar>
            <w:vAlign w:val="bottom"/>
          </w:tcPr>
          <w:p w14:paraId="189A2134"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2.1A</w:t>
            </w:r>
          </w:p>
        </w:tc>
        <w:tc>
          <w:tcPr>
            <w:tcW w:w="1418" w:type="dxa"/>
            <w:tcMar>
              <w:top w:w="28" w:type="dxa"/>
              <w:left w:w="0" w:type="dxa"/>
              <w:bottom w:w="57" w:type="dxa"/>
              <w:right w:w="113" w:type="dxa"/>
            </w:tcMar>
            <w:vAlign w:val="bottom"/>
          </w:tcPr>
          <w:p w14:paraId="6BF8822F"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26,407 </w:t>
            </w:r>
          </w:p>
        </w:tc>
        <w:tc>
          <w:tcPr>
            <w:tcW w:w="1417" w:type="dxa"/>
            <w:tcMar>
              <w:top w:w="28" w:type="dxa"/>
              <w:left w:w="0" w:type="dxa"/>
              <w:bottom w:w="57" w:type="dxa"/>
              <w:right w:w="113" w:type="dxa"/>
            </w:tcMar>
            <w:vAlign w:val="bottom"/>
          </w:tcPr>
          <w:p w14:paraId="37A72B0D"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15,958 </w:t>
            </w:r>
          </w:p>
        </w:tc>
        <w:tc>
          <w:tcPr>
            <w:tcW w:w="1417" w:type="dxa"/>
            <w:tcMar>
              <w:top w:w="28" w:type="dxa"/>
              <w:left w:w="0" w:type="dxa"/>
              <w:bottom w:w="57" w:type="dxa"/>
              <w:right w:w="113" w:type="dxa"/>
            </w:tcMar>
            <w:vAlign w:val="bottom"/>
          </w:tcPr>
          <w:p w14:paraId="232B73CE"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16,649 </w:t>
            </w:r>
          </w:p>
        </w:tc>
      </w:tr>
      <w:tr w:rsidR="009F4E32" w:rsidRPr="009F4E32" w14:paraId="3B6DBDC3" w14:textId="77777777" w:rsidTr="009F4E32">
        <w:trPr>
          <w:trHeight w:val="240"/>
        </w:trPr>
        <w:tc>
          <w:tcPr>
            <w:tcW w:w="5159" w:type="dxa"/>
            <w:tcMar>
              <w:top w:w="57" w:type="dxa"/>
              <w:left w:w="0" w:type="dxa"/>
              <w:bottom w:w="113" w:type="dxa"/>
              <w:right w:w="113" w:type="dxa"/>
            </w:tcMar>
            <w:vAlign w:val="bottom"/>
          </w:tcPr>
          <w:p w14:paraId="7406D0E8" w14:textId="381E723A"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color w:val="000000"/>
                <w:sz w:val="16"/>
                <w:szCs w:val="16"/>
                <w:lang w:val="it-IT"/>
              </w:rPr>
              <w:t xml:space="preserve">Trade and </w:t>
            </w:r>
            <w:r w:rsidR="00E53F30">
              <w:rPr>
                <w:rFonts w:cs="Open Sans"/>
                <w:color w:val="000000"/>
                <w:sz w:val="16"/>
                <w:szCs w:val="16"/>
                <w:lang w:val="it-IT"/>
              </w:rPr>
              <w:t>o</w:t>
            </w:r>
            <w:r w:rsidRPr="009F4E32">
              <w:rPr>
                <w:rFonts w:cs="Open Sans"/>
                <w:color w:val="000000"/>
                <w:sz w:val="16"/>
                <w:szCs w:val="16"/>
                <w:lang w:val="it-IT"/>
              </w:rPr>
              <w:t xml:space="preserve">ther </w:t>
            </w:r>
            <w:r w:rsidR="00E53F30">
              <w:rPr>
                <w:rFonts w:cs="Open Sans"/>
                <w:color w:val="000000"/>
                <w:sz w:val="16"/>
                <w:szCs w:val="16"/>
                <w:lang w:val="it-IT"/>
              </w:rPr>
              <w:t>r</w:t>
            </w:r>
            <w:r w:rsidRPr="009F4E32">
              <w:rPr>
                <w:rFonts w:cs="Open Sans"/>
                <w:color w:val="000000"/>
                <w:sz w:val="16"/>
                <w:szCs w:val="16"/>
                <w:lang w:val="it-IT"/>
              </w:rPr>
              <w:t>eceivables</w:t>
            </w:r>
          </w:p>
        </w:tc>
        <w:tc>
          <w:tcPr>
            <w:tcW w:w="680" w:type="dxa"/>
            <w:tcMar>
              <w:top w:w="57" w:type="dxa"/>
              <w:left w:w="0" w:type="dxa"/>
              <w:bottom w:w="113" w:type="dxa"/>
              <w:right w:w="113" w:type="dxa"/>
            </w:tcMar>
            <w:vAlign w:val="bottom"/>
          </w:tcPr>
          <w:p w14:paraId="44894BB8"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2.1B</w:t>
            </w:r>
          </w:p>
        </w:tc>
        <w:tc>
          <w:tcPr>
            <w:tcW w:w="1418" w:type="dxa"/>
            <w:tcMar>
              <w:top w:w="57" w:type="dxa"/>
              <w:left w:w="0" w:type="dxa"/>
              <w:bottom w:w="113" w:type="dxa"/>
              <w:right w:w="113" w:type="dxa"/>
            </w:tcMar>
            <w:vAlign w:val="bottom"/>
          </w:tcPr>
          <w:p w14:paraId="622A99D9"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1,083 </w:t>
            </w:r>
          </w:p>
        </w:tc>
        <w:tc>
          <w:tcPr>
            <w:tcW w:w="1417" w:type="dxa"/>
            <w:tcMar>
              <w:top w:w="57" w:type="dxa"/>
              <w:left w:w="0" w:type="dxa"/>
              <w:bottom w:w="113" w:type="dxa"/>
              <w:right w:w="113" w:type="dxa"/>
            </w:tcMar>
            <w:vAlign w:val="bottom"/>
          </w:tcPr>
          <w:p w14:paraId="175D0907"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798 </w:t>
            </w:r>
          </w:p>
        </w:tc>
        <w:tc>
          <w:tcPr>
            <w:tcW w:w="1417" w:type="dxa"/>
            <w:tcMar>
              <w:top w:w="57" w:type="dxa"/>
              <w:left w:w="0" w:type="dxa"/>
              <w:bottom w:w="113" w:type="dxa"/>
              <w:right w:w="113" w:type="dxa"/>
            </w:tcMar>
            <w:vAlign w:val="bottom"/>
          </w:tcPr>
          <w:p w14:paraId="67301A4C"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798 </w:t>
            </w:r>
          </w:p>
        </w:tc>
      </w:tr>
      <w:tr w:rsidR="009F4E32" w:rsidRPr="009F4E32" w14:paraId="3750F7FA" w14:textId="77777777" w:rsidTr="00B5393B">
        <w:trPr>
          <w:trHeight w:val="240"/>
        </w:trPr>
        <w:tc>
          <w:tcPr>
            <w:tcW w:w="5159" w:type="dxa"/>
            <w:shd w:val="clear" w:color="auto" w:fill="F2F2F2" w:themeFill="background1" w:themeFillShade="F2"/>
            <w:tcMar>
              <w:top w:w="113" w:type="dxa"/>
              <w:left w:w="0" w:type="dxa"/>
              <w:bottom w:w="113" w:type="dxa"/>
              <w:right w:w="113" w:type="dxa"/>
            </w:tcMar>
            <w:vAlign w:val="bottom"/>
          </w:tcPr>
          <w:p w14:paraId="7C15A7BF"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Total financial assets</w:t>
            </w:r>
          </w:p>
        </w:tc>
        <w:tc>
          <w:tcPr>
            <w:tcW w:w="680" w:type="dxa"/>
            <w:shd w:val="clear" w:color="auto" w:fill="F2F2F2" w:themeFill="background1" w:themeFillShade="F2"/>
            <w:tcMar>
              <w:top w:w="113" w:type="dxa"/>
              <w:left w:w="0" w:type="dxa"/>
              <w:bottom w:w="113" w:type="dxa"/>
              <w:right w:w="113" w:type="dxa"/>
            </w:tcMar>
            <w:vAlign w:val="bottom"/>
          </w:tcPr>
          <w:p w14:paraId="65D13648"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shd w:val="clear" w:color="auto" w:fill="F2F2F2" w:themeFill="background1" w:themeFillShade="F2"/>
            <w:tcMar>
              <w:top w:w="113" w:type="dxa"/>
              <w:left w:w="0" w:type="dxa"/>
              <w:bottom w:w="113" w:type="dxa"/>
              <w:right w:w="113" w:type="dxa"/>
            </w:tcMar>
            <w:vAlign w:val="bottom"/>
          </w:tcPr>
          <w:p w14:paraId="261C5794"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27,490 </w:t>
            </w:r>
          </w:p>
        </w:tc>
        <w:tc>
          <w:tcPr>
            <w:tcW w:w="1417" w:type="dxa"/>
            <w:shd w:val="clear" w:color="auto" w:fill="F2F2F2" w:themeFill="background1" w:themeFillShade="F2"/>
            <w:tcMar>
              <w:top w:w="113" w:type="dxa"/>
              <w:left w:w="0" w:type="dxa"/>
              <w:bottom w:w="113" w:type="dxa"/>
              <w:right w:w="113" w:type="dxa"/>
            </w:tcMar>
            <w:vAlign w:val="bottom"/>
          </w:tcPr>
          <w:p w14:paraId="28588011"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16,756 </w:t>
            </w:r>
          </w:p>
        </w:tc>
        <w:tc>
          <w:tcPr>
            <w:tcW w:w="1417" w:type="dxa"/>
            <w:shd w:val="clear" w:color="auto" w:fill="F2F2F2" w:themeFill="background1" w:themeFillShade="F2"/>
            <w:tcMar>
              <w:top w:w="113" w:type="dxa"/>
              <w:left w:w="0" w:type="dxa"/>
              <w:bottom w:w="113" w:type="dxa"/>
              <w:right w:w="113" w:type="dxa"/>
            </w:tcMar>
            <w:vAlign w:val="bottom"/>
          </w:tcPr>
          <w:p w14:paraId="6635C199"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17,447 </w:t>
            </w:r>
          </w:p>
        </w:tc>
      </w:tr>
      <w:tr w:rsidR="009F4E32" w:rsidRPr="009F4E32" w14:paraId="72DB68FE" w14:textId="77777777" w:rsidTr="009F4E32">
        <w:trPr>
          <w:trHeight w:val="240"/>
        </w:trPr>
        <w:tc>
          <w:tcPr>
            <w:tcW w:w="5159" w:type="dxa"/>
            <w:tcMar>
              <w:top w:w="227" w:type="dxa"/>
              <w:left w:w="0" w:type="dxa"/>
              <w:bottom w:w="57" w:type="dxa"/>
              <w:right w:w="113" w:type="dxa"/>
            </w:tcMar>
            <w:vAlign w:val="bottom"/>
          </w:tcPr>
          <w:p w14:paraId="38461327"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Non-financial assets</w:t>
            </w:r>
            <w:r w:rsidRPr="009F4E32">
              <w:rPr>
                <w:rFonts w:cs="Open Sans"/>
                <w:color w:val="000000"/>
                <w:sz w:val="16"/>
                <w:szCs w:val="16"/>
                <w:vertAlign w:val="superscript"/>
                <w:lang w:val="it-IT"/>
              </w:rPr>
              <w:t>1</w:t>
            </w:r>
          </w:p>
        </w:tc>
        <w:tc>
          <w:tcPr>
            <w:tcW w:w="680" w:type="dxa"/>
            <w:tcMar>
              <w:top w:w="227" w:type="dxa"/>
              <w:left w:w="0" w:type="dxa"/>
              <w:bottom w:w="57" w:type="dxa"/>
              <w:right w:w="113" w:type="dxa"/>
            </w:tcMar>
            <w:vAlign w:val="bottom"/>
          </w:tcPr>
          <w:p w14:paraId="73599722"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27" w:type="dxa"/>
              <w:left w:w="0" w:type="dxa"/>
              <w:bottom w:w="57" w:type="dxa"/>
              <w:right w:w="113" w:type="dxa"/>
            </w:tcMar>
            <w:vAlign w:val="bottom"/>
          </w:tcPr>
          <w:p w14:paraId="4F07D6A2"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7AC1D240"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78ABD370"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13304194" w14:textId="77777777" w:rsidTr="009F4E32">
        <w:trPr>
          <w:trHeight w:val="240"/>
        </w:trPr>
        <w:tc>
          <w:tcPr>
            <w:tcW w:w="5159" w:type="dxa"/>
            <w:tcMar>
              <w:top w:w="28" w:type="dxa"/>
              <w:left w:w="0" w:type="dxa"/>
              <w:bottom w:w="57" w:type="dxa"/>
              <w:right w:w="113" w:type="dxa"/>
            </w:tcMar>
            <w:vAlign w:val="bottom"/>
          </w:tcPr>
          <w:p w14:paraId="6657DB79"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color w:val="000000"/>
                <w:sz w:val="16"/>
                <w:szCs w:val="16"/>
                <w:lang w:val="en-US"/>
              </w:rPr>
              <w:t>Property subject to operating leases</w:t>
            </w:r>
          </w:p>
        </w:tc>
        <w:tc>
          <w:tcPr>
            <w:tcW w:w="680" w:type="dxa"/>
            <w:tcMar>
              <w:top w:w="28" w:type="dxa"/>
              <w:left w:w="0" w:type="dxa"/>
              <w:bottom w:w="57" w:type="dxa"/>
              <w:right w:w="113" w:type="dxa"/>
            </w:tcMar>
            <w:vAlign w:val="bottom"/>
          </w:tcPr>
          <w:p w14:paraId="538B8CE5"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2.2A</w:t>
            </w:r>
          </w:p>
        </w:tc>
        <w:tc>
          <w:tcPr>
            <w:tcW w:w="1418" w:type="dxa"/>
            <w:tcMar>
              <w:top w:w="28" w:type="dxa"/>
              <w:left w:w="0" w:type="dxa"/>
              <w:bottom w:w="57" w:type="dxa"/>
              <w:right w:w="113" w:type="dxa"/>
            </w:tcMar>
            <w:vAlign w:val="bottom"/>
          </w:tcPr>
          <w:p w14:paraId="2BA90229"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2,500 </w:t>
            </w:r>
          </w:p>
        </w:tc>
        <w:tc>
          <w:tcPr>
            <w:tcW w:w="1417" w:type="dxa"/>
            <w:tcMar>
              <w:top w:w="28" w:type="dxa"/>
              <w:left w:w="0" w:type="dxa"/>
              <w:bottom w:w="57" w:type="dxa"/>
              <w:right w:w="113" w:type="dxa"/>
            </w:tcMar>
            <w:vAlign w:val="bottom"/>
          </w:tcPr>
          <w:p w14:paraId="0DC4B7FD"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5,001 </w:t>
            </w:r>
          </w:p>
        </w:tc>
        <w:tc>
          <w:tcPr>
            <w:tcW w:w="1417" w:type="dxa"/>
            <w:tcMar>
              <w:top w:w="28" w:type="dxa"/>
              <w:left w:w="0" w:type="dxa"/>
              <w:bottom w:w="57" w:type="dxa"/>
              <w:right w:w="113" w:type="dxa"/>
            </w:tcMar>
            <w:vAlign w:val="bottom"/>
          </w:tcPr>
          <w:p w14:paraId="4ED31743"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2,505 </w:t>
            </w:r>
          </w:p>
        </w:tc>
      </w:tr>
      <w:tr w:rsidR="009F4E32" w:rsidRPr="009F4E32" w14:paraId="1C5C98AF" w14:textId="77777777" w:rsidTr="009F4E32">
        <w:trPr>
          <w:trHeight w:val="240"/>
        </w:trPr>
        <w:tc>
          <w:tcPr>
            <w:tcW w:w="5159" w:type="dxa"/>
            <w:tcMar>
              <w:top w:w="28" w:type="dxa"/>
              <w:left w:w="0" w:type="dxa"/>
              <w:bottom w:w="57" w:type="dxa"/>
              <w:right w:w="113" w:type="dxa"/>
            </w:tcMar>
            <w:vAlign w:val="bottom"/>
          </w:tcPr>
          <w:p w14:paraId="3D50953F"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color w:val="000000"/>
                <w:sz w:val="16"/>
                <w:szCs w:val="16"/>
                <w:lang w:val="it-IT"/>
              </w:rPr>
              <w:t>Infrastructure, plant and equipment</w:t>
            </w:r>
          </w:p>
        </w:tc>
        <w:tc>
          <w:tcPr>
            <w:tcW w:w="680" w:type="dxa"/>
            <w:tcMar>
              <w:top w:w="28" w:type="dxa"/>
              <w:left w:w="0" w:type="dxa"/>
              <w:bottom w:w="57" w:type="dxa"/>
              <w:right w:w="113" w:type="dxa"/>
            </w:tcMar>
            <w:vAlign w:val="bottom"/>
          </w:tcPr>
          <w:p w14:paraId="577A5A7E"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2.2A</w:t>
            </w:r>
          </w:p>
        </w:tc>
        <w:tc>
          <w:tcPr>
            <w:tcW w:w="1418" w:type="dxa"/>
            <w:tcMar>
              <w:top w:w="28" w:type="dxa"/>
              <w:left w:w="0" w:type="dxa"/>
              <w:bottom w:w="57" w:type="dxa"/>
              <w:right w:w="113" w:type="dxa"/>
            </w:tcMar>
            <w:vAlign w:val="bottom"/>
          </w:tcPr>
          <w:p w14:paraId="0BEE6DFE"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918 </w:t>
            </w:r>
          </w:p>
        </w:tc>
        <w:tc>
          <w:tcPr>
            <w:tcW w:w="1417" w:type="dxa"/>
            <w:tcMar>
              <w:top w:w="28" w:type="dxa"/>
              <w:left w:w="0" w:type="dxa"/>
              <w:bottom w:w="57" w:type="dxa"/>
              <w:right w:w="113" w:type="dxa"/>
            </w:tcMar>
            <w:vAlign w:val="bottom"/>
          </w:tcPr>
          <w:p w14:paraId="54FE510F"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1,766 </w:t>
            </w:r>
          </w:p>
        </w:tc>
        <w:tc>
          <w:tcPr>
            <w:tcW w:w="1417" w:type="dxa"/>
            <w:tcMar>
              <w:top w:w="28" w:type="dxa"/>
              <w:left w:w="0" w:type="dxa"/>
              <w:bottom w:w="57" w:type="dxa"/>
              <w:right w:w="113" w:type="dxa"/>
            </w:tcMar>
            <w:vAlign w:val="bottom"/>
          </w:tcPr>
          <w:p w14:paraId="3B789799"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1,273 </w:t>
            </w:r>
          </w:p>
        </w:tc>
      </w:tr>
      <w:tr w:rsidR="009F4E32" w:rsidRPr="009F4E32" w14:paraId="266910B7" w14:textId="77777777" w:rsidTr="009F4E32">
        <w:trPr>
          <w:trHeight w:val="240"/>
        </w:trPr>
        <w:tc>
          <w:tcPr>
            <w:tcW w:w="5159" w:type="dxa"/>
            <w:tcMar>
              <w:top w:w="28" w:type="dxa"/>
              <w:left w:w="0" w:type="dxa"/>
              <w:bottom w:w="57" w:type="dxa"/>
              <w:right w:w="113" w:type="dxa"/>
            </w:tcMar>
            <w:vAlign w:val="bottom"/>
          </w:tcPr>
          <w:p w14:paraId="275A2BB8"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color w:val="000000"/>
                <w:sz w:val="16"/>
                <w:szCs w:val="16"/>
                <w:lang w:val="it-IT"/>
              </w:rPr>
              <w:t>Intangibles</w:t>
            </w:r>
          </w:p>
        </w:tc>
        <w:tc>
          <w:tcPr>
            <w:tcW w:w="680" w:type="dxa"/>
            <w:tcMar>
              <w:top w:w="28" w:type="dxa"/>
              <w:left w:w="0" w:type="dxa"/>
              <w:bottom w:w="57" w:type="dxa"/>
              <w:right w:w="113" w:type="dxa"/>
            </w:tcMar>
            <w:vAlign w:val="bottom"/>
          </w:tcPr>
          <w:p w14:paraId="494C09E2"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2.2A</w:t>
            </w:r>
          </w:p>
        </w:tc>
        <w:tc>
          <w:tcPr>
            <w:tcW w:w="1418" w:type="dxa"/>
            <w:tcMar>
              <w:top w:w="28" w:type="dxa"/>
              <w:left w:w="0" w:type="dxa"/>
              <w:bottom w:w="57" w:type="dxa"/>
              <w:right w:w="113" w:type="dxa"/>
            </w:tcMar>
            <w:vAlign w:val="bottom"/>
          </w:tcPr>
          <w:p w14:paraId="05240D5B"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187 </w:t>
            </w:r>
          </w:p>
        </w:tc>
        <w:tc>
          <w:tcPr>
            <w:tcW w:w="1417" w:type="dxa"/>
            <w:tcMar>
              <w:top w:w="28" w:type="dxa"/>
              <w:left w:w="0" w:type="dxa"/>
              <w:bottom w:w="57" w:type="dxa"/>
              <w:right w:w="113" w:type="dxa"/>
            </w:tcMar>
            <w:vAlign w:val="bottom"/>
          </w:tcPr>
          <w:p w14:paraId="5320FEE6"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459 </w:t>
            </w:r>
          </w:p>
        </w:tc>
        <w:tc>
          <w:tcPr>
            <w:tcW w:w="1417" w:type="dxa"/>
            <w:tcMar>
              <w:top w:w="28" w:type="dxa"/>
              <w:left w:w="0" w:type="dxa"/>
              <w:bottom w:w="57" w:type="dxa"/>
              <w:right w:w="113" w:type="dxa"/>
            </w:tcMar>
            <w:vAlign w:val="bottom"/>
          </w:tcPr>
          <w:p w14:paraId="33DFA927"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261 </w:t>
            </w:r>
          </w:p>
        </w:tc>
      </w:tr>
      <w:tr w:rsidR="009F4E32" w:rsidRPr="009F4E32" w14:paraId="7802DA77" w14:textId="77777777" w:rsidTr="009F4E32">
        <w:trPr>
          <w:trHeight w:val="240"/>
        </w:trPr>
        <w:tc>
          <w:tcPr>
            <w:tcW w:w="5159" w:type="dxa"/>
            <w:tcMar>
              <w:top w:w="57" w:type="dxa"/>
              <w:left w:w="0" w:type="dxa"/>
              <w:bottom w:w="113" w:type="dxa"/>
              <w:right w:w="113" w:type="dxa"/>
            </w:tcMar>
            <w:vAlign w:val="bottom"/>
          </w:tcPr>
          <w:p w14:paraId="27B30443"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color w:val="000000"/>
                <w:sz w:val="16"/>
                <w:szCs w:val="16"/>
                <w:lang w:val="it-IT"/>
              </w:rPr>
              <w:t>Other non-financial assets</w:t>
            </w:r>
          </w:p>
        </w:tc>
        <w:tc>
          <w:tcPr>
            <w:tcW w:w="680" w:type="dxa"/>
            <w:tcMar>
              <w:top w:w="57" w:type="dxa"/>
              <w:left w:w="0" w:type="dxa"/>
              <w:bottom w:w="113" w:type="dxa"/>
              <w:right w:w="113" w:type="dxa"/>
            </w:tcMar>
            <w:vAlign w:val="bottom"/>
          </w:tcPr>
          <w:p w14:paraId="19B758A2"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2.2B</w:t>
            </w:r>
          </w:p>
        </w:tc>
        <w:tc>
          <w:tcPr>
            <w:tcW w:w="1418" w:type="dxa"/>
            <w:tcMar>
              <w:top w:w="57" w:type="dxa"/>
              <w:left w:w="0" w:type="dxa"/>
              <w:bottom w:w="113" w:type="dxa"/>
              <w:right w:w="113" w:type="dxa"/>
            </w:tcMar>
            <w:vAlign w:val="bottom"/>
          </w:tcPr>
          <w:p w14:paraId="29CFED9C"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377 </w:t>
            </w:r>
          </w:p>
        </w:tc>
        <w:tc>
          <w:tcPr>
            <w:tcW w:w="1417" w:type="dxa"/>
            <w:tcMar>
              <w:top w:w="57" w:type="dxa"/>
              <w:left w:w="0" w:type="dxa"/>
              <w:bottom w:w="113" w:type="dxa"/>
              <w:right w:w="113" w:type="dxa"/>
            </w:tcMar>
            <w:vAlign w:val="bottom"/>
          </w:tcPr>
          <w:p w14:paraId="28DB3A56"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613 </w:t>
            </w:r>
          </w:p>
        </w:tc>
        <w:tc>
          <w:tcPr>
            <w:tcW w:w="1417" w:type="dxa"/>
            <w:tcMar>
              <w:top w:w="57" w:type="dxa"/>
              <w:left w:w="0" w:type="dxa"/>
              <w:bottom w:w="113" w:type="dxa"/>
              <w:right w:w="113" w:type="dxa"/>
            </w:tcMar>
            <w:vAlign w:val="bottom"/>
          </w:tcPr>
          <w:p w14:paraId="7D59C5B6"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613 </w:t>
            </w:r>
          </w:p>
        </w:tc>
      </w:tr>
      <w:tr w:rsidR="009F4E32" w:rsidRPr="009F4E32" w14:paraId="6ACE8C2A" w14:textId="77777777" w:rsidTr="00B5393B">
        <w:trPr>
          <w:trHeight w:val="240"/>
        </w:trPr>
        <w:tc>
          <w:tcPr>
            <w:tcW w:w="5159" w:type="dxa"/>
            <w:shd w:val="clear" w:color="auto" w:fill="F2F2F2" w:themeFill="background1" w:themeFillShade="F2"/>
            <w:tcMar>
              <w:top w:w="113" w:type="dxa"/>
              <w:left w:w="0" w:type="dxa"/>
              <w:bottom w:w="113" w:type="dxa"/>
              <w:right w:w="113" w:type="dxa"/>
            </w:tcMar>
            <w:vAlign w:val="bottom"/>
          </w:tcPr>
          <w:p w14:paraId="2083F11B"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Total non-financial assets</w:t>
            </w:r>
          </w:p>
        </w:tc>
        <w:tc>
          <w:tcPr>
            <w:tcW w:w="680" w:type="dxa"/>
            <w:shd w:val="clear" w:color="auto" w:fill="F2F2F2" w:themeFill="background1" w:themeFillShade="F2"/>
            <w:tcMar>
              <w:top w:w="113" w:type="dxa"/>
              <w:left w:w="0" w:type="dxa"/>
              <w:bottom w:w="113" w:type="dxa"/>
              <w:right w:w="113" w:type="dxa"/>
            </w:tcMar>
            <w:vAlign w:val="bottom"/>
          </w:tcPr>
          <w:p w14:paraId="00C5659D"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shd w:val="clear" w:color="auto" w:fill="F2F2F2" w:themeFill="background1" w:themeFillShade="F2"/>
            <w:tcMar>
              <w:top w:w="113" w:type="dxa"/>
              <w:left w:w="0" w:type="dxa"/>
              <w:bottom w:w="113" w:type="dxa"/>
              <w:right w:w="113" w:type="dxa"/>
            </w:tcMar>
            <w:vAlign w:val="bottom"/>
          </w:tcPr>
          <w:p w14:paraId="2FD7F27B"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3,982 </w:t>
            </w:r>
          </w:p>
        </w:tc>
        <w:tc>
          <w:tcPr>
            <w:tcW w:w="1417" w:type="dxa"/>
            <w:shd w:val="clear" w:color="auto" w:fill="F2F2F2" w:themeFill="background1" w:themeFillShade="F2"/>
            <w:tcMar>
              <w:top w:w="113" w:type="dxa"/>
              <w:left w:w="0" w:type="dxa"/>
              <w:bottom w:w="113" w:type="dxa"/>
              <w:right w:w="113" w:type="dxa"/>
            </w:tcMar>
            <w:vAlign w:val="bottom"/>
          </w:tcPr>
          <w:p w14:paraId="0A7E263D"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7,839 </w:t>
            </w:r>
          </w:p>
        </w:tc>
        <w:tc>
          <w:tcPr>
            <w:tcW w:w="1417" w:type="dxa"/>
            <w:shd w:val="clear" w:color="auto" w:fill="F2F2F2" w:themeFill="background1" w:themeFillShade="F2"/>
            <w:tcMar>
              <w:top w:w="113" w:type="dxa"/>
              <w:left w:w="0" w:type="dxa"/>
              <w:bottom w:w="113" w:type="dxa"/>
              <w:right w:w="113" w:type="dxa"/>
            </w:tcMar>
            <w:vAlign w:val="bottom"/>
          </w:tcPr>
          <w:p w14:paraId="248DB111"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4,652 </w:t>
            </w:r>
          </w:p>
        </w:tc>
      </w:tr>
      <w:tr w:rsidR="009F4E32" w:rsidRPr="009F4E32" w14:paraId="7652FF3B" w14:textId="77777777" w:rsidTr="00B5393B">
        <w:trPr>
          <w:trHeight w:val="240"/>
        </w:trPr>
        <w:tc>
          <w:tcPr>
            <w:tcW w:w="5159" w:type="dxa"/>
            <w:shd w:val="clear" w:color="auto" w:fill="F2F2F2" w:themeFill="background1" w:themeFillShade="F2"/>
            <w:tcMar>
              <w:top w:w="113" w:type="dxa"/>
              <w:left w:w="0" w:type="dxa"/>
              <w:bottom w:w="113" w:type="dxa"/>
              <w:right w:w="113" w:type="dxa"/>
            </w:tcMar>
            <w:vAlign w:val="bottom"/>
          </w:tcPr>
          <w:p w14:paraId="10E4052F"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en-US"/>
              </w:rPr>
              <w:t>Total assets</w:t>
            </w:r>
          </w:p>
        </w:tc>
        <w:tc>
          <w:tcPr>
            <w:tcW w:w="680" w:type="dxa"/>
            <w:shd w:val="clear" w:color="auto" w:fill="F2F2F2" w:themeFill="background1" w:themeFillShade="F2"/>
            <w:tcMar>
              <w:top w:w="113" w:type="dxa"/>
              <w:left w:w="0" w:type="dxa"/>
              <w:bottom w:w="113" w:type="dxa"/>
              <w:right w:w="113" w:type="dxa"/>
            </w:tcMar>
            <w:vAlign w:val="bottom"/>
          </w:tcPr>
          <w:p w14:paraId="16A796BF"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shd w:val="clear" w:color="auto" w:fill="F2F2F2" w:themeFill="background1" w:themeFillShade="F2"/>
            <w:tcMar>
              <w:top w:w="113" w:type="dxa"/>
              <w:left w:w="0" w:type="dxa"/>
              <w:bottom w:w="113" w:type="dxa"/>
              <w:right w:w="113" w:type="dxa"/>
            </w:tcMar>
            <w:vAlign w:val="bottom"/>
          </w:tcPr>
          <w:p w14:paraId="364ED97B"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en-US"/>
              </w:rPr>
              <w:t xml:space="preserve">31,472 </w:t>
            </w:r>
          </w:p>
        </w:tc>
        <w:tc>
          <w:tcPr>
            <w:tcW w:w="1417" w:type="dxa"/>
            <w:shd w:val="clear" w:color="auto" w:fill="F2F2F2" w:themeFill="background1" w:themeFillShade="F2"/>
            <w:tcMar>
              <w:top w:w="113" w:type="dxa"/>
              <w:left w:w="0" w:type="dxa"/>
              <w:bottom w:w="113" w:type="dxa"/>
              <w:right w:w="113" w:type="dxa"/>
            </w:tcMar>
            <w:vAlign w:val="bottom"/>
          </w:tcPr>
          <w:p w14:paraId="09FA1117"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en-US"/>
              </w:rPr>
              <w:t xml:space="preserve">24,595 </w:t>
            </w:r>
          </w:p>
        </w:tc>
        <w:tc>
          <w:tcPr>
            <w:tcW w:w="1417" w:type="dxa"/>
            <w:shd w:val="clear" w:color="auto" w:fill="F2F2F2" w:themeFill="background1" w:themeFillShade="F2"/>
            <w:tcMar>
              <w:top w:w="113" w:type="dxa"/>
              <w:left w:w="0" w:type="dxa"/>
              <w:bottom w:w="113" w:type="dxa"/>
              <w:right w:w="113" w:type="dxa"/>
            </w:tcMar>
            <w:vAlign w:val="bottom"/>
          </w:tcPr>
          <w:p w14:paraId="596E44D2"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en-US"/>
              </w:rPr>
              <w:t xml:space="preserve">22,099 </w:t>
            </w:r>
          </w:p>
        </w:tc>
      </w:tr>
      <w:tr w:rsidR="009F4E32" w:rsidRPr="009F4E32" w14:paraId="6E9C4320" w14:textId="77777777" w:rsidTr="009F4E32">
        <w:trPr>
          <w:trHeight w:val="240"/>
        </w:trPr>
        <w:tc>
          <w:tcPr>
            <w:tcW w:w="5159" w:type="dxa"/>
            <w:tcMar>
              <w:top w:w="227" w:type="dxa"/>
              <w:left w:w="0" w:type="dxa"/>
              <w:bottom w:w="57" w:type="dxa"/>
              <w:right w:w="113" w:type="dxa"/>
            </w:tcMar>
            <w:vAlign w:val="bottom"/>
          </w:tcPr>
          <w:p w14:paraId="69167D8E"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r w:rsidRPr="009F4E32">
              <w:rPr>
                <w:rFonts w:cs="Open Sans"/>
                <w:b/>
                <w:bCs/>
                <w:color w:val="2BB8C9"/>
                <w:sz w:val="16"/>
                <w:szCs w:val="16"/>
                <w:lang w:val="en-US"/>
              </w:rPr>
              <w:t>LIABILITIES</w:t>
            </w:r>
          </w:p>
        </w:tc>
        <w:tc>
          <w:tcPr>
            <w:tcW w:w="680" w:type="dxa"/>
            <w:tcMar>
              <w:top w:w="227" w:type="dxa"/>
              <w:left w:w="0" w:type="dxa"/>
              <w:bottom w:w="57" w:type="dxa"/>
              <w:right w:w="113" w:type="dxa"/>
            </w:tcMar>
            <w:vAlign w:val="bottom"/>
          </w:tcPr>
          <w:p w14:paraId="1EDBABD8"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27" w:type="dxa"/>
              <w:left w:w="0" w:type="dxa"/>
              <w:bottom w:w="57" w:type="dxa"/>
              <w:right w:w="113" w:type="dxa"/>
            </w:tcMar>
            <w:vAlign w:val="bottom"/>
          </w:tcPr>
          <w:p w14:paraId="6C5C4F96"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2C6630B1"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6766D23C"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253E6DC8" w14:textId="77777777" w:rsidTr="009F4E32">
        <w:trPr>
          <w:trHeight w:val="240"/>
        </w:trPr>
        <w:tc>
          <w:tcPr>
            <w:tcW w:w="5159" w:type="dxa"/>
            <w:tcMar>
              <w:top w:w="28" w:type="dxa"/>
              <w:left w:w="0" w:type="dxa"/>
              <w:bottom w:w="57" w:type="dxa"/>
              <w:right w:w="113" w:type="dxa"/>
            </w:tcMar>
            <w:vAlign w:val="bottom"/>
          </w:tcPr>
          <w:p w14:paraId="7BC82213"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Payables</w:t>
            </w:r>
          </w:p>
        </w:tc>
        <w:tc>
          <w:tcPr>
            <w:tcW w:w="680" w:type="dxa"/>
            <w:tcMar>
              <w:top w:w="28" w:type="dxa"/>
              <w:left w:w="0" w:type="dxa"/>
              <w:bottom w:w="57" w:type="dxa"/>
              <w:right w:w="113" w:type="dxa"/>
            </w:tcMar>
            <w:vAlign w:val="bottom"/>
          </w:tcPr>
          <w:p w14:paraId="47D0320E"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191D265E"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0E55B17A"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08865A2F"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03E63A32" w14:textId="77777777" w:rsidTr="009F4E32">
        <w:trPr>
          <w:trHeight w:val="240"/>
        </w:trPr>
        <w:tc>
          <w:tcPr>
            <w:tcW w:w="5159" w:type="dxa"/>
            <w:tcMar>
              <w:top w:w="28" w:type="dxa"/>
              <w:left w:w="0" w:type="dxa"/>
              <w:bottom w:w="57" w:type="dxa"/>
              <w:right w:w="113" w:type="dxa"/>
            </w:tcMar>
            <w:vAlign w:val="bottom"/>
          </w:tcPr>
          <w:p w14:paraId="670647AD"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color w:val="000000"/>
                <w:sz w:val="16"/>
                <w:szCs w:val="16"/>
                <w:lang w:val="it-IT"/>
              </w:rPr>
              <w:t>Suppliers</w:t>
            </w:r>
          </w:p>
        </w:tc>
        <w:tc>
          <w:tcPr>
            <w:tcW w:w="680" w:type="dxa"/>
            <w:tcMar>
              <w:top w:w="28" w:type="dxa"/>
              <w:left w:w="0" w:type="dxa"/>
              <w:bottom w:w="57" w:type="dxa"/>
              <w:right w:w="113" w:type="dxa"/>
            </w:tcMar>
            <w:vAlign w:val="bottom"/>
          </w:tcPr>
          <w:p w14:paraId="76F8B6A0"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2.3A</w:t>
            </w:r>
          </w:p>
        </w:tc>
        <w:tc>
          <w:tcPr>
            <w:tcW w:w="1418" w:type="dxa"/>
            <w:tcMar>
              <w:top w:w="28" w:type="dxa"/>
              <w:left w:w="0" w:type="dxa"/>
              <w:bottom w:w="57" w:type="dxa"/>
              <w:right w:w="113" w:type="dxa"/>
            </w:tcMar>
            <w:vAlign w:val="bottom"/>
          </w:tcPr>
          <w:p w14:paraId="3E82FEDA"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1,555 </w:t>
            </w:r>
          </w:p>
        </w:tc>
        <w:tc>
          <w:tcPr>
            <w:tcW w:w="1417" w:type="dxa"/>
            <w:tcMar>
              <w:top w:w="28" w:type="dxa"/>
              <w:left w:w="0" w:type="dxa"/>
              <w:bottom w:w="57" w:type="dxa"/>
              <w:right w:w="113" w:type="dxa"/>
            </w:tcMar>
            <w:vAlign w:val="bottom"/>
          </w:tcPr>
          <w:p w14:paraId="4277CC3C"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865 </w:t>
            </w:r>
          </w:p>
        </w:tc>
        <w:tc>
          <w:tcPr>
            <w:tcW w:w="1417" w:type="dxa"/>
            <w:tcMar>
              <w:top w:w="28" w:type="dxa"/>
              <w:left w:w="0" w:type="dxa"/>
              <w:bottom w:w="57" w:type="dxa"/>
              <w:right w:w="113" w:type="dxa"/>
            </w:tcMar>
            <w:vAlign w:val="bottom"/>
          </w:tcPr>
          <w:p w14:paraId="08E2E7E0"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858 </w:t>
            </w:r>
          </w:p>
        </w:tc>
      </w:tr>
      <w:tr w:rsidR="009F4E32" w:rsidRPr="009F4E32" w14:paraId="01A069DB" w14:textId="77777777" w:rsidTr="009F4E32">
        <w:trPr>
          <w:trHeight w:val="240"/>
        </w:trPr>
        <w:tc>
          <w:tcPr>
            <w:tcW w:w="5159" w:type="dxa"/>
            <w:tcMar>
              <w:top w:w="57" w:type="dxa"/>
              <w:left w:w="0" w:type="dxa"/>
              <w:bottom w:w="113" w:type="dxa"/>
              <w:right w:w="113" w:type="dxa"/>
            </w:tcMar>
            <w:vAlign w:val="bottom"/>
          </w:tcPr>
          <w:p w14:paraId="32533E05"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color w:val="000000"/>
                <w:sz w:val="16"/>
                <w:szCs w:val="16"/>
                <w:lang w:val="it-IT"/>
              </w:rPr>
              <w:t>Other Payables</w:t>
            </w:r>
          </w:p>
        </w:tc>
        <w:tc>
          <w:tcPr>
            <w:tcW w:w="680" w:type="dxa"/>
            <w:tcMar>
              <w:top w:w="57" w:type="dxa"/>
              <w:left w:w="0" w:type="dxa"/>
              <w:bottom w:w="113" w:type="dxa"/>
              <w:right w:w="113" w:type="dxa"/>
            </w:tcMar>
            <w:vAlign w:val="bottom"/>
          </w:tcPr>
          <w:p w14:paraId="3E7F25F3"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2.3B</w:t>
            </w:r>
          </w:p>
        </w:tc>
        <w:tc>
          <w:tcPr>
            <w:tcW w:w="1418" w:type="dxa"/>
            <w:tcMar>
              <w:top w:w="57" w:type="dxa"/>
              <w:left w:w="0" w:type="dxa"/>
              <w:bottom w:w="113" w:type="dxa"/>
              <w:right w:w="113" w:type="dxa"/>
            </w:tcMar>
            <w:vAlign w:val="bottom"/>
          </w:tcPr>
          <w:p w14:paraId="2EDFB6D7"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9,600 </w:t>
            </w:r>
          </w:p>
        </w:tc>
        <w:tc>
          <w:tcPr>
            <w:tcW w:w="1417" w:type="dxa"/>
            <w:tcMar>
              <w:top w:w="57" w:type="dxa"/>
              <w:left w:w="0" w:type="dxa"/>
              <w:bottom w:w="113" w:type="dxa"/>
              <w:right w:w="113" w:type="dxa"/>
            </w:tcMar>
            <w:vAlign w:val="bottom"/>
          </w:tcPr>
          <w:p w14:paraId="57762E98"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6,388 </w:t>
            </w:r>
          </w:p>
        </w:tc>
        <w:tc>
          <w:tcPr>
            <w:tcW w:w="1417" w:type="dxa"/>
            <w:tcMar>
              <w:top w:w="57" w:type="dxa"/>
              <w:left w:w="0" w:type="dxa"/>
              <w:bottom w:w="113" w:type="dxa"/>
              <w:right w:w="113" w:type="dxa"/>
            </w:tcMar>
            <w:vAlign w:val="bottom"/>
          </w:tcPr>
          <w:p w14:paraId="6BE66AE9"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6,730 </w:t>
            </w:r>
          </w:p>
        </w:tc>
      </w:tr>
      <w:tr w:rsidR="009F4E32" w:rsidRPr="009F4E32" w14:paraId="65C79143" w14:textId="77777777" w:rsidTr="00B5393B">
        <w:trPr>
          <w:trHeight w:val="240"/>
        </w:trPr>
        <w:tc>
          <w:tcPr>
            <w:tcW w:w="5159" w:type="dxa"/>
            <w:shd w:val="clear" w:color="auto" w:fill="F2F2F2" w:themeFill="background1" w:themeFillShade="F2"/>
            <w:tcMar>
              <w:top w:w="113" w:type="dxa"/>
              <w:left w:w="0" w:type="dxa"/>
              <w:bottom w:w="113" w:type="dxa"/>
              <w:right w:w="113" w:type="dxa"/>
            </w:tcMar>
            <w:vAlign w:val="bottom"/>
          </w:tcPr>
          <w:p w14:paraId="020997C2"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Total payables</w:t>
            </w:r>
          </w:p>
        </w:tc>
        <w:tc>
          <w:tcPr>
            <w:tcW w:w="680" w:type="dxa"/>
            <w:shd w:val="clear" w:color="auto" w:fill="F2F2F2" w:themeFill="background1" w:themeFillShade="F2"/>
            <w:tcMar>
              <w:top w:w="113" w:type="dxa"/>
              <w:left w:w="0" w:type="dxa"/>
              <w:bottom w:w="113" w:type="dxa"/>
              <w:right w:w="113" w:type="dxa"/>
            </w:tcMar>
            <w:vAlign w:val="bottom"/>
          </w:tcPr>
          <w:p w14:paraId="450F8C80"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shd w:val="clear" w:color="auto" w:fill="F2F2F2" w:themeFill="background1" w:themeFillShade="F2"/>
            <w:tcMar>
              <w:top w:w="113" w:type="dxa"/>
              <w:left w:w="0" w:type="dxa"/>
              <w:bottom w:w="113" w:type="dxa"/>
              <w:right w:w="113" w:type="dxa"/>
            </w:tcMar>
            <w:vAlign w:val="bottom"/>
          </w:tcPr>
          <w:p w14:paraId="008DD11F"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11,155 </w:t>
            </w:r>
          </w:p>
        </w:tc>
        <w:tc>
          <w:tcPr>
            <w:tcW w:w="1417" w:type="dxa"/>
            <w:shd w:val="clear" w:color="auto" w:fill="F2F2F2" w:themeFill="background1" w:themeFillShade="F2"/>
            <w:tcMar>
              <w:top w:w="113" w:type="dxa"/>
              <w:left w:w="0" w:type="dxa"/>
              <w:bottom w:w="113" w:type="dxa"/>
              <w:right w:w="113" w:type="dxa"/>
            </w:tcMar>
            <w:vAlign w:val="bottom"/>
          </w:tcPr>
          <w:p w14:paraId="5B9C497C"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7,253 </w:t>
            </w:r>
          </w:p>
        </w:tc>
        <w:tc>
          <w:tcPr>
            <w:tcW w:w="1417" w:type="dxa"/>
            <w:shd w:val="clear" w:color="auto" w:fill="F2F2F2" w:themeFill="background1" w:themeFillShade="F2"/>
            <w:tcMar>
              <w:top w:w="113" w:type="dxa"/>
              <w:left w:w="0" w:type="dxa"/>
              <w:bottom w:w="113" w:type="dxa"/>
              <w:right w:w="113" w:type="dxa"/>
            </w:tcMar>
            <w:vAlign w:val="bottom"/>
          </w:tcPr>
          <w:p w14:paraId="15BBEEDF"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7,588 </w:t>
            </w:r>
          </w:p>
        </w:tc>
      </w:tr>
      <w:tr w:rsidR="009F4E32" w:rsidRPr="009F4E32" w14:paraId="596AD1E2" w14:textId="77777777" w:rsidTr="009F4E32">
        <w:trPr>
          <w:trHeight w:val="240"/>
        </w:trPr>
        <w:tc>
          <w:tcPr>
            <w:tcW w:w="5159" w:type="dxa"/>
            <w:tcMar>
              <w:top w:w="227" w:type="dxa"/>
              <w:left w:w="0" w:type="dxa"/>
              <w:bottom w:w="57" w:type="dxa"/>
              <w:right w:w="113" w:type="dxa"/>
            </w:tcMar>
            <w:vAlign w:val="bottom"/>
          </w:tcPr>
          <w:p w14:paraId="341CB6A5"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Interest bearing liabilities</w:t>
            </w:r>
          </w:p>
        </w:tc>
        <w:tc>
          <w:tcPr>
            <w:tcW w:w="680" w:type="dxa"/>
            <w:tcMar>
              <w:top w:w="227" w:type="dxa"/>
              <w:left w:w="0" w:type="dxa"/>
              <w:bottom w:w="57" w:type="dxa"/>
              <w:right w:w="113" w:type="dxa"/>
            </w:tcMar>
            <w:vAlign w:val="bottom"/>
          </w:tcPr>
          <w:p w14:paraId="4C97A2B8"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27" w:type="dxa"/>
              <w:left w:w="0" w:type="dxa"/>
              <w:bottom w:w="57" w:type="dxa"/>
              <w:right w:w="113" w:type="dxa"/>
            </w:tcMar>
            <w:vAlign w:val="bottom"/>
          </w:tcPr>
          <w:p w14:paraId="704A5152"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6E1EA6E1"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28F4FBC1"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70B585C0" w14:textId="77777777" w:rsidTr="009F4E32">
        <w:trPr>
          <w:trHeight w:val="240"/>
        </w:trPr>
        <w:tc>
          <w:tcPr>
            <w:tcW w:w="5159" w:type="dxa"/>
            <w:tcMar>
              <w:top w:w="113" w:type="dxa"/>
              <w:left w:w="0" w:type="dxa"/>
              <w:bottom w:w="113" w:type="dxa"/>
              <w:right w:w="113" w:type="dxa"/>
            </w:tcMar>
            <w:vAlign w:val="bottom"/>
          </w:tcPr>
          <w:p w14:paraId="7202C2D6"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color w:val="000000"/>
                <w:sz w:val="16"/>
                <w:szCs w:val="16"/>
                <w:lang w:val="it-IT"/>
              </w:rPr>
              <w:t>Leases</w:t>
            </w:r>
          </w:p>
        </w:tc>
        <w:tc>
          <w:tcPr>
            <w:tcW w:w="680" w:type="dxa"/>
            <w:tcMar>
              <w:top w:w="113" w:type="dxa"/>
              <w:left w:w="0" w:type="dxa"/>
              <w:bottom w:w="113" w:type="dxa"/>
              <w:right w:w="113" w:type="dxa"/>
            </w:tcMar>
            <w:vAlign w:val="bottom"/>
          </w:tcPr>
          <w:p w14:paraId="6EF96F9E"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2.4A</w:t>
            </w:r>
          </w:p>
        </w:tc>
        <w:tc>
          <w:tcPr>
            <w:tcW w:w="1418" w:type="dxa"/>
            <w:tcMar>
              <w:top w:w="113" w:type="dxa"/>
              <w:left w:w="0" w:type="dxa"/>
              <w:bottom w:w="113" w:type="dxa"/>
              <w:right w:w="113" w:type="dxa"/>
            </w:tcMar>
            <w:vAlign w:val="bottom"/>
          </w:tcPr>
          <w:p w14:paraId="723C058B"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2,605 </w:t>
            </w:r>
          </w:p>
        </w:tc>
        <w:tc>
          <w:tcPr>
            <w:tcW w:w="1417" w:type="dxa"/>
            <w:tcMar>
              <w:top w:w="113" w:type="dxa"/>
              <w:left w:w="0" w:type="dxa"/>
              <w:bottom w:w="113" w:type="dxa"/>
              <w:right w:w="113" w:type="dxa"/>
            </w:tcMar>
            <w:vAlign w:val="bottom"/>
          </w:tcPr>
          <w:p w14:paraId="03AD9D29"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5,104 </w:t>
            </w:r>
          </w:p>
        </w:tc>
        <w:tc>
          <w:tcPr>
            <w:tcW w:w="1417" w:type="dxa"/>
            <w:tcMar>
              <w:top w:w="113" w:type="dxa"/>
              <w:left w:w="0" w:type="dxa"/>
              <w:bottom w:w="113" w:type="dxa"/>
              <w:right w:w="113" w:type="dxa"/>
            </w:tcMar>
            <w:vAlign w:val="bottom"/>
          </w:tcPr>
          <w:p w14:paraId="3672E485"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2,609 </w:t>
            </w:r>
          </w:p>
        </w:tc>
      </w:tr>
      <w:tr w:rsidR="009F4E32" w:rsidRPr="009F4E32" w14:paraId="05E8818B" w14:textId="77777777" w:rsidTr="00B5393B">
        <w:trPr>
          <w:trHeight w:val="240"/>
        </w:trPr>
        <w:tc>
          <w:tcPr>
            <w:tcW w:w="5159" w:type="dxa"/>
            <w:shd w:val="clear" w:color="auto" w:fill="F2F2F2" w:themeFill="background1" w:themeFillShade="F2"/>
            <w:tcMar>
              <w:top w:w="113" w:type="dxa"/>
              <w:left w:w="0" w:type="dxa"/>
              <w:bottom w:w="113" w:type="dxa"/>
              <w:right w:w="113" w:type="dxa"/>
            </w:tcMar>
            <w:vAlign w:val="bottom"/>
          </w:tcPr>
          <w:p w14:paraId="7ED902DE"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Total interest bearing liabilities</w:t>
            </w:r>
          </w:p>
        </w:tc>
        <w:tc>
          <w:tcPr>
            <w:tcW w:w="680" w:type="dxa"/>
            <w:shd w:val="clear" w:color="auto" w:fill="F2F2F2" w:themeFill="background1" w:themeFillShade="F2"/>
            <w:tcMar>
              <w:top w:w="113" w:type="dxa"/>
              <w:left w:w="0" w:type="dxa"/>
              <w:bottom w:w="113" w:type="dxa"/>
              <w:right w:w="113" w:type="dxa"/>
            </w:tcMar>
            <w:vAlign w:val="bottom"/>
          </w:tcPr>
          <w:p w14:paraId="6650030B"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shd w:val="clear" w:color="auto" w:fill="F2F2F2" w:themeFill="background1" w:themeFillShade="F2"/>
            <w:tcMar>
              <w:top w:w="113" w:type="dxa"/>
              <w:left w:w="0" w:type="dxa"/>
              <w:bottom w:w="113" w:type="dxa"/>
              <w:right w:w="113" w:type="dxa"/>
            </w:tcMar>
            <w:vAlign w:val="bottom"/>
          </w:tcPr>
          <w:p w14:paraId="2691BBB4"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2,605 </w:t>
            </w:r>
          </w:p>
        </w:tc>
        <w:tc>
          <w:tcPr>
            <w:tcW w:w="1417" w:type="dxa"/>
            <w:shd w:val="clear" w:color="auto" w:fill="F2F2F2" w:themeFill="background1" w:themeFillShade="F2"/>
            <w:tcMar>
              <w:top w:w="113" w:type="dxa"/>
              <w:left w:w="0" w:type="dxa"/>
              <w:bottom w:w="113" w:type="dxa"/>
              <w:right w:w="113" w:type="dxa"/>
            </w:tcMar>
            <w:vAlign w:val="bottom"/>
          </w:tcPr>
          <w:p w14:paraId="3FDAA1C9"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5,104 </w:t>
            </w:r>
          </w:p>
        </w:tc>
        <w:tc>
          <w:tcPr>
            <w:tcW w:w="1417" w:type="dxa"/>
            <w:shd w:val="clear" w:color="auto" w:fill="F2F2F2" w:themeFill="background1" w:themeFillShade="F2"/>
            <w:tcMar>
              <w:top w:w="113" w:type="dxa"/>
              <w:left w:w="0" w:type="dxa"/>
              <w:bottom w:w="113" w:type="dxa"/>
              <w:right w:w="113" w:type="dxa"/>
            </w:tcMar>
            <w:vAlign w:val="bottom"/>
          </w:tcPr>
          <w:p w14:paraId="417D7B1B"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2,609 </w:t>
            </w:r>
          </w:p>
        </w:tc>
      </w:tr>
      <w:tr w:rsidR="009F4E32" w:rsidRPr="009F4E32" w14:paraId="0F296EF7" w14:textId="77777777" w:rsidTr="009F4E32">
        <w:trPr>
          <w:trHeight w:val="240"/>
        </w:trPr>
        <w:tc>
          <w:tcPr>
            <w:tcW w:w="5159" w:type="dxa"/>
            <w:tcMar>
              <w:top w:w="170" w:type="dxa"/>
              <w:left w:w="0" w:type="dxa"/>
              <w:bottom w:w="57" w:type="dxa"/>
              <w:right w:w="113" w:type="dxa"/>
            </w:tcMar>
            <w:vAlign w:val="bottom"/>
          </w:tcPr>
          <w:p w14:paraId="43BE76F4"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Provisions</w:t>
            </w:r>
          </w:p>
        </w:tc>
        <w:tc>
          <w:tcPr>
            <w:tcW w:w="680" w:type="dxa"/>
            <w:tcMar>
              <w:top w:w="170" w:type="dxa"/>
              <w:left w:w="0" w:type="dxa"/>
              <w:bottom w:w="57" w:type="dxa"/>
              <w:right w:w="113" w:type="dxa"/>
            </w:tcMar>
            <w:vAlign w:val="bottom"/>
          </w:tcPr>
          <w:p w14:paraId="7CE65716"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170" w:type="dxa"/>
              <w:left w:w="0" w:type="dxa"/>
              <w:bottom w:w="57" w:type="dxa"/>
              <w:right w:w="113" w:type="dxa"/>
            </w:tcMar>
            <w:vAlign w:val="bottom"/>
          </w:tcPr>
          <w:p w14:paraId="2BA7EF23"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170" w:type="dxa"/>
              <w:left w:w="0" w:type="dxa"/>
              <w:bottom w:w="57" w:type="dxa"/>
              <w:right w:w="113" w:type="dxa"/>
            </w:tcMar>
            <w:vAlign w:val="bottom"/>
          </w:tcPr>
          <w:p w14:paraId="648DED33"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170" w:type="dxa"/>
              <w:left w:w="0" w:type="dxa"/>
              <w:bottom w:w="57" w:type="dxa"/>
              <w:right w:w="113" w:type="dxa"/>
            </w:tcMar>
            <w:vAlign w:val="bottom"/>
          </w:tcPr>
          <w:p w14:paraId="33D1B56A"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18657849" w14:textId="77777777" w:rsidTr="009F4E32">
        <w:trPr>
          <w:trHeight w:val="240"/>
        </w:trPr>
        <w:tc>
          <w:tcPr>
            <w:tcW w:w="5159" w:type="dxa"/>
            <w:tcMar>
              <w:top w:w="28" w:type="dxa"/>
              <w:left w:w="0" w:type="dxa"/>
              <w:bottom w:w="57" w:type="dxa"/>
              <w:right w:w="113" w:type="dxa"/>
            </w:tcMar>
            <w:vAlign w:val="bottom"/>
          </w:tcPr>
          <w:p w14:paraId="4392A9D6"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color w:val="000000"/>
                <w:sz w:val="16"/>
                <w:szCs w:val="16"/>
                <w:lang w:val="it-IT"/>
              </w:rPr>
              <w:t>Employee provisions</w:t>
            </w:r>
          </w:p>
        </w:tc>
        <w:tc>
          <w:tcPr>
            <w:tcW w:w="680" w:type="dxa"/>
            <w:tcMar>
              <w:top w:w="28" w:type="dxa"/>
              <w:left w:w="0" w:type="dxa"/>
              <w:bottom w:w="57" w:type="dxa"/>
              <w:right w:w="113" w:type="dxa"/>
            </w:tcMar>
            <w:vAlign w:val="bottom"/>
          </w:tcPr>
          <w:p w14:paraId="6C8A41BE"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3.1A</w:t>
            </w:r>
          </w:p>
        </w:tc>
        <w:tc>
          <w:tcPr>
            <w:tcW w:w="1418" w:type="dxa"/>
            <w:tcMar>
              <w:top w:w="28" w:type="dxa"/>
              <w:left w:w="0" w:type="dxa"/>
              <w:bottom w:w="57" w:type="dxa"/>
              <w:right w:w="113" w:type="dxa"/>
            </w:tcMar>
            <w:vAlign w:val="bottom"/>
          </w:tcPr>
          <w:p w14:paraId="0F090F69"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4,118 </w:t>
            </w:r>
          </w:p>
        </w:tc>
        <w:tc>
          <w:tcPr>
            <w:tcW w:w="1417" w:type="dxa"/>
            <w:tcMar>
              <w:top w:w="28" w:type="dxa"/>
              <w:left w:w="0" w:type="dxa"/>
              <w:bottom w:w="57" w:type="dxa"/>
              <w:right w:w="113" w:type="dxa"/>
            </w:tcMar>
            <w:vAlign w:val="bottom"/>
          </w:tcPr>
          <w:p w14:paraId="69A0EC82"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4,228 </w:t>
            </w:r>
          </w:p>
        </w:tc>
        <w:tc>
          <w:tcPr>
            <w:tcW w:w="1417" w:type="dxa"/>
            <w:tcMar>
              <w:top w:w="28" w:type="dxa"/>
              <w:left w:w="0" w:type="dxa"/>
              <w:bottom w:w="57" w:type="dxa"/>
              <w:right w:w="113" w:type="dxa"/>
            </w:tcMar>
            <w:vAlign w:val="bottom"/>
          </w:tcPr>
          <w:p w14:paraId="5D9E2E5C"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4,361 </w:t>
            </w:r>
          </w:p>
        </w:tc>
      </w:tr>
      <w:tr w:rsidR="009F4E32" w:rsidRPr="009F4E32" w14:paraId="359CEFBC" w14:textId="77777777" w:rsidTr="009F4E32">
        <w:trPr>
          <w:trHeight w:val="240"/>
        </w:trPr>
        <w:tc>
          <w:tcPr>
            <w:tcW w:w="5159" w:type="dxa"/>
            <w:tcMar>
              <w:top w:w="57" w:type="dxa"/>
              <w:left w:w="0" w:type="dxa"/>
              <w:bottom w:w="113" w:type="dxa"/>
              <w:right w:w="113" w:type="dxa"/>
            </w:tcMar>
            <w:vAlign w:val="bottom"/>
          </w:tcPr>
          <w:p w14:paraId="07C43B79"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color w:val="000000"/>
                <w:sz w:val="16"/>
                <w:szCs w:val="16"/>
                <w:lang w:val="it-IT"/>
              </w:rPr>
              <w:t>Other provisions</w:t>
            </w:r>
          </w:p>
        </w:tc>
        <w:tc>
          <w:tcPr>
            <w:tcW w:w="680" w:type="dxa"/>
            <w:tcMar>
              <w:top w:w="57" w:type="dxa"/>
              <w:left w:w="0" w:type="dxa"/>
              <w:bottom w:w="113" w:type="dxa"/>
              <w:right w:w="113" w:type="dxa"/>
            </w:tcMar>
            <w:vAlign w:val="bottom"/>
          </w:tcPr>
          <w:p w14:paraId="0E2A5838"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2.5A</w:t>
            </w:r>
          </w:p>
        </w:tc>
        <w:tc>
          <w:tcPr>
            <w:tcW w:w="1418" w:type="dxa"/>
            <w:tcMar>
              <w:top w:w="57" w:type="dxa"/>
              <w:left w:w="0" w:type="dxa"/>
              <w:bottom w:w="113" w:type="dxa"/>
              <w:right w:w="113" w:type="dxa"/>
            </w:tcMar>
            <w:vAlign w:val="bottom"/>
          </w:tcPr>
          <w:p w14:paraId="098705DC"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511 </w:t>
            </w:r>
          </w:p>
        </w:tc>
        <w:tc>
          <w:tcPr>
            <w:tcW w:w="1417" w:type="dxa"/>
            <w:tcMar>
              <w:top w:w="57" w:type="dxa"/>
              <w:left w:w="0" w:type="dxa"/>
              <w:bottom w:w="113" w:type="dxa"/>
              <w:right w:w="113" w:type="dxa"/>
            </w:tcMar>
            <w:vAlign w:val="bottom"/>
          </w:tcPr>
          <w:p w14:paraId="1BF86E2A"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561 </w:t>
            </w:r>
          </w:p>
        </w:tc>
        <w:tc>
          <w:tcPr>
            <w:tcW w:w="1417" w:type="dxa"/>
            <w:tcMar>
              <w:top w:w="57" w:type="dxa"/>
              <w:left w:w="0" w:type="dxa"/>
              <w:bottom w:w="113" w:type="dxa"/>
              <w:right w:w="113" w:type="dxa"/>
            </w:tcMar>
            <w:vAlign w:val="bottom"/>
          </w:tcPr>
          <w:p w14:paraId="24A6FF4D"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561 </w:t>
            </w:r>
          </w:p>
        </w:tc>
      </w:tr>
      <w:tr w:rsidR="009F4E32" w:rsidRPr="009F4E32" w14:paraId="32CD62DB" w14:textId="77777777" w:rsidTr="00E445AB">
        <w:trPr>
          <w:trHeight w:val="240"/>
        </w:trPr>
        <w:tc>
          <w:tcPr>
            <w:tcW w:w="5159" w:type="dxa"/>
            <w:shd w:val="clear" w:color="auto" w:fill="F2F2F2" w:themeFill="background1" w:themeFillShade="F2"/>
            <w:tcMar>
              <w:top w:w="113" w:type="dxa"/>
              <w:left w:w="0" w:type="dxa"/>
              <w:bottom w:w="113" w:type="dxa"/>
              <w:right w:w="113" w:type="dxa"/>
            </w:tcMar>
            <w:vAlign w:val="bottom"/>
          </w:tcPr>
          <w:p w14:paraId="60A5D311"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Total provisions</w:t>
            </w:r>
          </w:p>
        </w:tc>
        <w:tc>
          <w:tcPr>
            <w:tcW w:w="680" w:type="dxa"/>
            <w:shd w:val="clear" w:color="auto" w:fill="F2F2F2" w:themeFill="background1" w:themeFillShade="F2"/>
            <w:tcMar>
              <w:top w:w="113" w:type="dxa"/>
              <w:left w:w="0" w:type="dxa"/>
              <w:bottom w:w="113" w:type="dxa"/>
              <w:right w:w="113" w:type="dxa"/>
            </w:tcMar>
            <w:vAlign w:val="bottom"/>
          </w:tcPr>
          <w:p w14:paraId="549F0FDC"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shd w:val="clear" w:color="auto" w:fill="F2F2F2" w:themeFill="background1" w:themeFillShade="F2"/>
            <w:tcMar>
              <w:top w:w="113" w:type="dxa"/>
              <w:left w:w="0" w:type="dxa"/>
              <w:bottom w:w="113" w:type="dxa"/>
              <w:right w:w="113" w:type="dxa"/>
            </w:tcMar>
            <w:vAlign w:val="bottom"/>
          </w:tcPr>
          <w:p w14:paraId="75305F35"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4,629 </w:t>
            </w:r>
          </w:p>
        </w:tc>
        <w:tc>
          <w:tcPr>
            <w:tcW w:w="1417" w:type="dxa"/>
            <w:shd w:val="clear" w:color="auto" w:fill="F2F2F2" w:themeFill="background1" w:themeFillShade="F2"/>
            <w:tcMar>
              <w:top w:w="113" w:type="dxa"/>
              <w:left w:w="0" w:type="dxa"/>
              <w:bottom w:w="113" w:type="dxa"/>
              <w:right w:w="113" w:type="dxa"/>
            </w:tcMar>
            <w:vAlign w:val="bottom"/>
          </w:tcPr>
          <w:p w14:paraId="5BC170DC"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4,789 </w:t>
            </w:r>
          </w:p>
        </w:tc>
        <w:tc>
          <w:tcPr>
            <w:tcW w:w="1417" w:type="dxa"/>
            <w:shd w:val="clear" w:color="auto" w:fill="F2F2F2" w:themeFill="background1" w:themeFillShade="F2"/>
            <w:tcMar>
              <w:top w:w="113" w:type="dxa"/>
              <w:left w:w="0" w:type="dxa"/>
              <w:bottom w:w="113" w:type="dxa"/>
              <w:right w:w="113" w:type="dxa"/>
            </w:tcMar>
            <w:vAlign w:val="bottom"/>
          </w:tcPr>
          <w:p w14:paraId="27138476"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4,922 </w:t>
            </w:r>
          </w:p>
        </w:tc>
      </w:tr>
      <w:tr w:rsidR="009F4E32" w:rsidRPr="009F4E32" w14:paraId="3E4950A2" w14:textId="77777777" w:rsidTr="00E445AB">
        <w:trPr>
          <w:trHeight w:val="240"/>
        </w:trPr>
        <w:tc>
          <w:tcPr>
            <w:tcW w:w="5159" w:type="dxa"/>
            <w:shd w:val="clear" w:color="auto" w:fill="F2F2F2" w:themeFill="background1" w:themeFillShade="F2"/>
            <w:tcMar>
              <w:top w:w="113" w:type="dxa"/>
              <w:left w:w="0" w:type="dxa"/>
              <w:bottom w:w="113" w:type="dxa"/>
              <w:right w:w="113" w:type="dxa"/>
            </w:tcMar>
            <w:vAlign w:val="bottom"/>
          </w:tcPr>
          <w:p w14:paraId="0C564A0C"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Total liabilities</w:t>
            </w:r>
          </w:p>
        </w:tc>
        <w:tc>
          <w:tcPr>
            <w:tcW w:w="680" w:type="dxa"/>
            <w:shd w:val="clear" w:color="auto" w:fill="F2F2F2" w:themeFill="background1" w:themeFillShade="F2"/>
            <w:tcMar>
              <w:top w:w="113" w:type="dxa"/>
              <w:left w:w="0" w:type="dxa"/>
              <w:bottom w:w="113" w:type="dxa"/>
              <w:right w:w="113" w:type="dxa"/>
            </w:tcMar>
            <w:vAlign w:val="bottom"/>
          </w:tcPr>
          <w:p w14:paraId="656363B5"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shd w:val="clear" w:color="auto" w:fill="F2F2F2" w:themeFill="background1" w:themeFillShade="F2"/>
            <w:tcMar>
              <w:top w:w="113" w:type="dxa"/>
              <w:left w:w="0" w:type="dxa"/>
              <w:bottom w:w="113" w:type="dxa"/>
              <w:right w:w="113" w:type="dxa"/>
            </w:tcMar>
            <w:vAlign w:val="bottom"/>
          </w:tcPr>
          <w:p w14:paraId="30F4FD2F"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18,389 </w:t>
            </w:r>
          </w:p>
        </w:tc>
        <w:tc>
          <w:tcPr>
            <w:tcW w:w="1417" w:type="dxa"/>
            <w:shd w:val="clear" w:color="auto" w:fill="F2F2F2" w:themeFill="background1" w:themeFillShade="F2"/>
            <w:tcMar>
              <w:top w:w="113" w:type="dxa"/>
              <w:left w:w="0" w:type="dxa"/>
              <w:bottom w:w="113" w:type="dxa"/>
              <w:right w:w="113" w:type="dxa"/>
            </w:tcMar>
            <w:vAlign w:val="bottom"/>
          </w:tcPr>
          <w:p w14:paraId="41A1B32A"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17,146 </w:t>
            </w:r>
          </w:p>
        </w:tc>
        <w:tc>
          <w:tcPr>
            <w:tcW w:w="1417" w:type="dxa"/>
            <w:shd w:val="clear" w:color="auto" w:fill="F2F2F2" w:themeFill="background1" w:themeFillShade="F2"/>
            <w:tcMar>
              <w:top w:w="113" w:type="dxa"/>
              <w:left w:w="0" w:type="dxa"/>
              <w:bottom w:w="113" w:type="dxa"/>
              <w:right w:w="113" w:type="dxa"/>
            </w:tcMar>
            <w:vAlign w:val="bottom"/>
          </w:tcPr>
          <w:p w14:paraId="736329D9"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15,119 </w:t>
            </w:r>
          </w:p>
        </w:tc>
      </w:tr>
      <w:tr w:rsidR="009F4E32" w:rsidRPr="009F4E32" w14:paraId="2D583EC4" w14:textId="77777777" w:rsidTr="007D1E6F">
        <w:trPr>
          <w:trHeight w:val="240"/>
        </w:trPr>
        <w:tc>
          <w:tcPr>
            <w:tcW w:w="5159"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1DA738C9"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Net assets</w:t>
            </w:r>
          </w:p>
        </w:tc>
        <w:tc>
          <w:tcPr>
            <w:tcW w:w="680"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333A3A02"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BD02109"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13,083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A904CF4"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7,449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6CE5220D"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6,980 </w:t>
            </w:r>
          </w:p>
        </w:tc>
      </w:tr>
      <w:tr w:rsidR="007D1E6F" w:rsidRPr="009F4E32" w14:paraId="13360A8D" w14:textId="77777777" w:rsidTr="007D1E6F">
        <w:trPr>
          <w:trHeight w:val="240"/>
        </w:trPr>
        <w:tc>
          <w:tcPr>
            <w:tcW w:w="5159" w:type="dxa"/>
            <w:tcBorders>
              <w:bottom w:val="nil"/>
            </w:tcBorders>
            <w:tcMar>
              <w:top w:w="227" w:type="dxa"/>
              <w:left w:w="0" w:type="dxa"/>
              <w:bottom w:w="57" w:type="dxa"/>
              <w:right w:w="113" w:type="dxa"/>
            </w:tcMar>
            <w:vAlign w:val="bottom"/>
          </w:tcPr>
          <w:p w14:paraId="1943AB2B" w14:textId="77777777" w:rsidR="007D1E6F" w:rsidRPr="009F4E32" w:rsidRDefault="007D1E6F"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p>
        </w:tc>
        <w:tc>
          <w:tcPr>
            <w:tcW w:w="680" w:type="dxa"/>
            <w:tcBorders>
              <w:bottom w:val="nil"/>
            </w:tcBorders>
            <w:tcMar>
              <w:top w:w="227" w:type="dxa"/>
              <w:left w:w="0" w:type="dxa"/>
              <w:bottom w:w="57" w:type="dxa"/>
              <w:right w:w="113" w:type="dxa"/>
            </w:tcMar>
            <w:vAlign w:val="bottom"/>
          </w:tcPr>
          <w:p w14:paraId="540A466B" w14:textId="77777777" w:rsidR="007D1E6F" w:rsidRPr="009F4E32" w:rsidRDefault="007D1E6F"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tcBorders>
              <w:bottom w:val="nil"/>
            </w:tcBorders>
            <w:tcMar>
              <w:top w:w="227" w:type="dxa"/>
              <w:left w:w="0" w:type="dxa"/>
              <w:bottom w:w="57" w:type="dxa"/>
              <w:right w:w="113" w:type="dxa"/>
            </w:tcMar>
            <w:vAlign w:val="bottom"/>
          </w:tcPr>
          <w:p w14:paraId="293C60BF" w14:textId="77777777" w:rsidR="007D1E6F" w:rsidRPr="009F4E32" w:rsidRDefault="007D1E6F"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Borders>
              <w:bottom w:val="nil"/>
            </w:tcBorders>
            <w:tcMar>
              <w:top w:w="227" w:type="dxa"/>
              <w:left w:w="0" w:type="dxa"/>
              <w:bottom w:w="57" w:type="dxa"/>
              <w:right w:w="113" w:type="dxa"/>
            </w:tcMar>
            <w:vAlign w:val="bottom"/>
          </w:tcPr>
          <w:p w14:paraId="0C584C1E" w14:textId="77777777" w:rsidR="007D1E6F" w:rsidRPr="009F4E32" w:rsidRDefault="007D1E6F"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Borders>
              <w:bottom w:val="nil"/>
            </w:tcBorders>
            <w:tcMar>
              <w:top w:w="227" w:type="dxa"/>
              <w:left w:w="0" w:type="dxa"/>
              <w:bottom w:w="57" w:type="dxa"/>
              <w:right w:w="113" w:type="dxa"/>
            </w:tcMar>
            <w:vAlign w:val="bottom"/>
          </w:tcPr>
          <w:p w14:paraId="326CCE60" w14:textId="77777777" w:rsidR="007D1E6F" w:rsidRPr="009F4E32" w:rsidRDefault="007D1E6F" w:rsidP="00B5393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4CC23E32" w14:textId="77777777" w:rsidTr="007D1E6F">
        <w:trPr>
          <w:trHeight w:val="240"/>
        </w:trPr>
        <w:tc>
          <w:tcPr>
            <w:tcW w:w="5159" w:type="dxa"/>
            <w:tcBorders>
              <w:top w:val="nil"/>
            </w:tcBorders>
            <w:tcMar>
              <w:top w:w="227" w:type="dxa"/>
              <w:left w:w="0" w:type="dxa"/>
              <w:bottom w:w="57" w:type="dxa"/>
              <w:right w:w="113" w:type="dxa"/>
            </w:tcMar>
            <w:vAlign w:val="bottom"/>
          </w:tcPr>
          <w:p w14:paraId="2D6CAA37"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r w:rsidRPr="009F4E32">
              <w:rPr>
                <w:rFonts w:cs="Open Sans"/>
                <w:b/>
                <w:bCs/>
                <w:color w:val="2BB8C9"/>
                <w:sz w:val="16"/>
                <w:szCs w:val="16"/>
                <w:lang w:val="en-US"/>
              </w:rPr>
              <w:t>EQUITY</w:t>
            </w:r>
          </w:p>
        </w:tc>
        <w:tc>
          <w:tcPr>
            <w:tcW w:w="680" w:type="dxa"/>
            <w:tcBorders>
              <w:top w:val="nil"/>
            </w:tcBorders>
            <w:tcMar>
              <w:top w:w="227" w:type="dxa"/>
              <w:left w:w="0" w:type="dxa"/>
              <w:bottom w:w="57" w:type="dxa"/>
              <w:right w:w="113" w:type="dxa"/>
            </w:tcMar>
            <w:vAlign w:val="bottom"/>
          </w:tcPr>
          <w:p w14:paraId="3CCABE9F"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tcBorders>
              <w:top w:val="nil"/>
            </w:tcBorders>
            <w:tcMar>
              <w:top w:w="227" w:type="dxa"/>
              <w:left w:w="0" w:type="dxa"/>
              <w:bottom w:w="57" w:type="dxa"/>
              <w:right w:w="113" w:type="dxa"/>
            </w:tcMar>
            <w:vAlign w:val="bottom"/>
          </w:tcPr>
          <w:p w14:paraId="48FFADE8"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Borders>
              <w:top w:val="nil"/>
            </w:tcBorders>
            <w:tcMar>
              <w:top w:w="227" w:type="dxa"/>
              <w:left w:w="0" w:type="dxa"/>
              <w:bottom w:w="57" w:type="dxa"/>
              <w:right w:w="113" w:type="dxa"/>
            </w:tcMar>
            <w:vAlign w:val="bottom"/>
          </w:tcPr>
          <w:p w14:paraId="13BF7673"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7" w:type="dxa"/>
            <w:tcBorders>
              <w:top w:val="nil"/>
            </w:tcBorders>
            <w:tcMar>
              <w:top w:w="227" w:type="dxa"/>
              <w:left w:w="0" w:type="dxa"/>
              <w:bottom w:w="57" w:type="dxa"/>
              <w:right w:w="113" w:type="dxa"/>
            </w:tcMar>
            <w:vAlign w:val="bottom"/>
          </w:tcPr>
          <w:p w14:paraId="332FD319"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3579C2D1" w14:textId="77777777" w:rsidTr="009F4E32">
        <w:trPr>
          <w:trHeight w:val="240"/>
        </w:trPr>
        <w:tc>
          <w:tcPr>
            <w:tcW w:w="5159" w:type="dxa"/>
            <w:tcMar>
              <w:top w:w="28" w:type="dxa"/>
              <w:left w:w="0" w:type="dxa"/>
              <w:bottom w:w="57" w:type="dxa"/>
              <w:right w:w="113" w:type="dxa"/>
            </w:tcMar>
            <w:vAlign w:val="bottom"/>
          </w:tcPr>
          <w:p w14:paraId="52D8F561"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color w:val="000000"/>
                <w:sz w:val="16"/>
                <w:szCs w:val="16"/>
                <w:lang w:val="it-IT"/>
              </w:rPr>
              <w:t>Contributed equity</w:t>
            </w:r>
          </w:p>
        </w:tc>
        <w:tc>
          <w:tcPr>
            <w:tcW w:w="680" w:type="dxa"/>
            <w:tcMar>
              <w:top w:w="28" w:type="dxa"/>
              <w:left w:w="0" w:type="dxa"/>
              <w:bottom w:w="57" w:type="dxa"/>
              <w:right w:w="113" w:type="dxa"/>
            </w:tcMar>
            <w:vAlign w:val="bottom"/>
          </w:tcPr>
          <w:p w14:paraId="684A75AF"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0B91A68D"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18,561 </w:t>
            </w:r>
          </w:p>
        </w:tc>
        <w:tc>
          <w:tcPr>
            <w:tcW w:w="1417" w:type="dxa"/>
            <w:tcMar>
              <w:top w:w="28" w:type="dxa"/>
              <w:left w:w="0" w:type="dxa"/>
              <w:bottom w:w="57" w:type="dxa"/>
              <w:right w:w="113" w:type="dxa"/>
            </w:tcMar>
            <w:vAlign w:val="bottom"/>
          </w:tcPr>
          <w:p w14:paraId="6DAF18E1"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18,561 </w:t>
            </w:r>
          </w:p>
        </w:tc>
        <w:tc>
          <w:tcPr>
            <w:tcW w:w="1417" w:type="dxa"/>
            <w:tcMar>
              <w:top w:w="28" w:type="dxa"/>
              <w:left w:w="0" w:type="dxa"/>
              <w:bottom w:w="57" w:type="dxa"/>
              <w:right w:w="113" w:type="dxa"/>
            </w:tcMar>
            <w:vAlign w:val="bottom"/>
          </w:tcPr>
          <w:p w14:paraId="715A6FA3"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18,561 </w:t>
            </w:r>
          </w:p>
        </w:tc>
      </w:tr>
      <w:tr w:rsidR="009F4E32" w:rsidRPr="009F4E32" w14:paraId="37A30A8B" w14:textId="77777777" w:rsidTr="009F4E32">
        <w:trPr>
          <w:trHeight w:val="240"/>
        </w:trPr>
        <w:tc>
          <w:tcPr>
            <w:tcW w:w="5159" w:type="dxa"/>
            <w:tcMar>
              <w:top w:w="28" w:type="dxa"/>
              <w:left w:w="0" w:type="dxa"/>
              <w:bottom w:w="57" w:type="dxa"/>
              <w:right w:w="113" w:type="dxa"/>
            </w:tcMar>
            <w:vAlign w:val="bottom"/>
          </w:tcPr>
          <w:p w14:paraId="1B33967B"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color w:val="000000"/>
                <w:sz w:val="16"/>
                <w:szCs w:val="16"/>
                <w:lang w:val="it-IT"/>
              </w:rPr>
              <w:t>Reserves</w:t>
            </w:r>
          </w:p>
        </w:tc>
        <w:tc>
          <w:tcPr>
            <w:tcW w:w="680" w:type="dxa"/>
            <w:tcMar>
              <w:top w:w="28" w:type="dxa"/>
              <w:left w:w="0" w:type="dxa"/>
              <w:bottom w:w="57" w:type="dxa"/>
              <w:right w:w="113" w:type="dxa"/>
            </w:tcMar>
            <w:vAlign w:val="bottom"/>
          </w:tcPr>
          <w:p w14:paraId="2520BC42"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73E30611"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2,599 </w:t>
            </w:r>
          </w:p>
        </w:tc>
        <w:tc>
          <w:tcPr>
            <w:tcW w:w="1417" w:type="dxa"/>
            <w:tcMar>
              <w:top w:w="28" w:type="dxa"/>
              <w:left w:w="0" w:type="dxa"/>
              <w:bottom w:w="57" w:type="dxa"/>
              <w:right w:w="113" w:type="dxa"/>
            </w:tcMar>
            <w:vAlign w:val="bottom"/>
          </w:tcPr>
          <w:p w14:paraId="676CAF10"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2,599 </w:t>
            </w:r>
          </w:p>
        </w:tc>
        <w:tc>
          <w:tcPr>
            <w:tcW w:w="1417" w:type="dxa"/>
            <w:tcMar>
              <w:top w:w="28" w:type="dxa"/>
              <w:left w:w="0" w:type="dxa"/>
              <w:bottom w:w="57" w:type="dxa"/>
              <w:right w:w="113" w:type="dxa"/>
            </w:tcMar>
            <w:vAlign w:val="bottom"/>
          </w:tcPr>
          <w:p w14:paraId="4F84E070"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2,599 </w:t>
            </w:r>
          </w:p>
        </w:tc>
      </w:tr>
      <w:tr w:rsidR="009F4E32" w:rsidRPr="009F4E32" w14:paraId="50E1B1D9" w14:textId="77777777" w:rsidTr="009F4E32">
        <w:trPr>
          <w:trHeight w:val="239"/>
        </w:trPr>
        <w:tc>
          <w:tcPr>
            <w:tcW w:w="5159" w:type="dxa"/>
            <w:tcMar>
              <w:top w:w="57" w:type="dxa"/>
              <w:left w:w="0" w:type="dxa"/>
              <w:bottom w:w="113" w:type="dxa"/>
              <w:right w:w="113" w:type="dxa"/>
            </w:tcMar>
            <w:vAlign w:val="bottom"/>
          </w:tcPr>
          <w:p w14:paraId="04D858E2"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color w:val="000000"/>
                <w:sz w:val="16"/>
                <w:szCs w:val="16"/>
                <w:lang w:val="it-IT"/>
              </w:rPr>
              <w:t>Accumulated losses</w:t>
            </w:r>
          </w:p>
        </w:tc>
        <w:tc>
          <w:tcPr>
            <w:tcW w:w="680" w:type="dxa"/>
            <w:tcMar>
              <w:top w:w="57" w:type="dxa"/>
              <w:left w:w="0" w:type="dxa"/>
              <w:bottom w:w="113" w:type="dxa"/>
              <w:right w:w="113" w:type="dxa"/>
            </w:tcMar>
            <w:vAlign w:val="bottom"/>
          </w:tcPr>
          <w:p w14:paraId="7AD6762B"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57" w:type="dxa"/>
              <w:left w:w="0" w:type="dxa"/>
              <w:bottom w:w="113" w:type="dxa"/>
              <w:right w:w="113" w:type="dxa"/>
            </w:tcMar>
            <w:vAlign w:val="bottom"/>
          </w:tcPr>
          <w:p w14:paraId="108045F0"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(8,077)</w:t>
            </w:r>
          </w:p>
        </w:tc>
        <w:tc>
          <w:tcPr>
            <w:tcW w:w="1417" w:type="dxa"/>
            <w:tcMar>
              <w:top w:w="57" w:type="dxa"/>
              <w:left w:w="0" w:type="dxa"/>
              <w:bottom w:w="113" w:type="dxa"/>
              <w:right w:w="113" w:type="dxa"/>
            </w:tcMar>
            <w:vAlign w:val="bottom"/>
          </w:tcPr>
          <w:p w14:paraId="2407B479"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(13,711)</w:t>
            </w:r>
          </w:p>
        </w:tc>
        <w:tc>
          <w:tcPr>
            <w:tcW w:w="1417" w:type="dxa"/>
            <w:tcMar>
              <w:top w:w="57" w:type="dxa"/>
              <w:left w:w="0" w:type="dxa"/>
              <w:bottom w:w="113" w:type="dxa"/>
              <w:right w:w="113" w:type="dxa"/>
            </w:tcMar>
            <w:vAlign w:val="bottom"/>
          </w:tcPr>
          <w:p w14:paraId="56A346D8"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(14,180)</w:t>
            </w:r>
          </w:p>
        </w:tc>
      </w:tr>
      <w:tr w:rsidR="009F4E32" w:rsidRPr="009F4E32" w14:paraId="51CF5DF3" w14:textId="77777777" w:rsidTr="00E445AB">
        <w:trPr>
          <w:trHeight w:val="240"/>
        </w:trPr>
        <w:tc>
          <w:tcPr>
            <w:tcW w:w="5159"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7D70A274"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Total equity</w:t>
            </w:r>
          </w:p>
        </w:tc>
        <w:tc>
          <w:tcPr>
            <w:tcW w:w="680"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65152710" w14:textId="77777777" w:rsidR="009F4E32" w:rsidRPr="009F4E32" w:rsidRDefault="009F4E32" w:rsidP="00B5393B">
            <w:pPr>
              <w:autoSpaceDE w:val="0"/>
              <w:autoSpaceDN w:val="0"/>
              <w:adjustRightInd w:val="0"/>
              <w:spacing w:before="0" w:after="0" w:line="240" w:lineRule="auto"/>
              <w:rPr>
                <w:rFonts w:ascii="Open Sans Condensed" w:hAnsi="Open Sans Condensed"/>
                <w:sz w:val="16"/>
                <w:szCs w:val="16"/>
                <w:lang w:val="it-IT"/>
              </w:rPr>
            </w:pPr>
          </w:p>
        </w:tc>
        <w:tc>
          <w:tcPr>
            <w:tcW w:w="1418"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77887271"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13,083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489B4CE4"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7,449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08E199A1" w14:textId="77777777" w:rsidR="009F4E32" w:rsidRPr="009F4E32" w:rsidRDefault="009F4E32" w:rsidP="00B5393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6,980 </w:t>
            </w:r>
          </w:p>
        </w:tc>
      </w:tr>
      <w:tr w:rsidR="009F4E32" w:rsidRPr="009F4E32" w14:paraId="2BFE329F" w14:textId="77777777" w:rsidTr="00E445AB">
        <w:trPr>
          <w:trHeight w:val="240"/>
        </w:trPr>
        <w:tc>
          <w:tcPr>
            <w:tcW w:w="10091" w:type="dxa"/>
            <w:gridSpan w:val="5"/>
            <w:tcBorders>
              <w:bottom w:val="nil"/>
            </w:tcBorders>
            <w:tcMar>
              <w:top w:w="227" w:type="dxa"/>
              <w:left w:w="0" w:type="dxa"/>
              <w:bottom w:w="57" w:type="dxa"/>
              <w:right w:w="113" w:type="dxa"/>
            </w:tcMar>
            <w:vAlign w:val="bottom"/>
          </w:tcPr>
          <w:p w14:paraId="1B54106A"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9F4E32">
              <w:rPr>
                <w:rFonts w:cs="Open Sans"/>
                <w:color w:val="000000"/>
                <w:sz w:val="16"/>
                <w:szCs w:val="16"/>
                <w:lang w:val="en-US"/>
              </w:rPr>
              <w:t>The above statement should be read in conjunction with the accompanying notes.</w:t>
            </w:r>
          </w:p>
          <w:p w14:paraId="030683E2" w14:textId="61F92052" w:rsidR="009F4E32" w:rsidRPr="009F4E32" w:rsidRDefault="009F4E32" w:rsidP="00B44C0C">
            <w:pPr>
              <w:pStyle w:val="FSNote"/>
            </w:pPr>
            <w:r w:rsidRPr="009F4E32">
              <w:t xml:space="preserve">1. Right-of-use assets are included in the </w:t>
            </w:r>
            <w:r w:rsidR="002320D7">
              <w:t>‘</w:t>
            </w:r>
            <w:r w:rsidR="00B44C0C">
              <w:t>property subject to operating leases’ line item</w:t>
            </w:r>
            <w:r w:rsidRPr="009F4E32">
              <w:t>.</w:t>
            </w:r>
          </w:p>
        </w:tc>
      </w:tr>
    </w:tbl>
    <w:p w14:paraId="79ADBBB1" w14:textId="77777777" w:rsidR="009F4E32" w:rsidRPr="00B44C0C" w:rsidRDefault="009F4E32" w:rsidP="00716F8A">
      <w:pPr>
        <w:autoSpaceDE w:val="0"/>
        <w:autoSpaceDN w:val="0"/>
        <w:adjustRightInd w:val="0"/>
        <w:spacing w:after="160" w:line="201" w:lineRule="atLeast"/>
        <w:rPr>
          <w:rFonts w:cs="Open Sans"/>
          <w:highlight w:val="yellow"/>
          <w:lang w:eastAsia="en-US"/>
        </w:rPr>
      </w:pPr>
    </w:p>
    <w:p w14:paraId="0679F251" w14:textId="77777777" w:rsidR="009F4E32" w:rsidRPr="009F4E32" w:rsidRDefault="009F4E32" w:rsidP="009F4E32">
      <w:pPr>
        <w:keepLines/>
        <w:tabs>
          <w:tab w:val="right" w:pos="6240"/>
          <w:tab w:val="right" w:pos="7280"/>
          <w:tab w:val="right" w:pos="8300"/>
        </w:tabs>
        <w:suppressAutoHyphens/>
        <w:autoSpaceDE w:val="0"/>
        <w:autoSpaceDN w:val="0"/>
        <w:adjustRightInd w:val="0"/>
        <w:spacing w:after="113"/>
        <w:textAlignment w:val="center"/>
        <w:rPr>
          <w:rFonts w:cs="Open Sans"/>
          <w:b/>
          <w:bCs/>
          <w:color w:val="000000"/>
          <w:sz w:val="16"/>
          <w:szCs w:val="16"/>
          <w:lang w:val="en-US"/>
        </w:rPr>
      </w:pPr>
      <w:r w:rsidRPr="009F4E32">
        <w:rPr>
          <w:rFonts w:cs="Open Sans"/>
          <w:b/>
          <w:bCs/>
          <w:color w:val="000000"/>
          <w:sz w:val="16"/>
          <w:szCs w:val="16"/>
          <w:lang w:val="en-US"/>
        </w:rPr>
        <w:t>Budget Variances Commentary</w:t>
      </w:r>
    </w:p>
    <w:p w14:paraId="0F51C3E7"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113"/>
        <w:textAlignment w:val="center"/>
        <w:rPr>
          <w:rFonts w:cs="Open Sans"/>
          <w:b/>
          <w:bCs/>
          <w:color w:val="000000"/>
          <w:sz w:val="16"/>
          <w:szCs w:val="16"/>
          <w:lang w:val="en-US"/>
        </w:rPr>
      </w:pPr>
      <w:r w:rsidRPr="009F4E32">
        <w:rPr>
          <w:rFonts w:cs="Open Sans"/>
          <w:b/>
          <w:bCs/>
          <w:color w:val="000000"/>
          <w:sz w:val="16"/>
          <w:szCs w:val="16"/>
          <w:lang w:val="en-US"/>
        </w:rPr>
        <w:t>Statement of Financial Position for Not-for-Profit Reporting Entities</w:t>
      </w:r>
    </w:p>
    <w:p w14:paraId="4ED52A6B"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57" w:after="113"/>
        <w:textAlignment w:val="center"/>
        <w:rPr>
          <w:rFonts w:cs="Open Sans"/>
          <w:color w:val="000000"/>
          <w:sz w:val="16"/>
          <w:szCs w:val="16"/>
          <w:lang w:val="en-US"/>
        </w:rPr>
      </w:pPr>
      <w:r w:rsidRPr="009F4E32">
        <w:rPr>
          <w:rFonts w:cs="Open Sans"/>
          <w:color w:val="000000"/>
          <w:sz w:val="16"/>
          <w:szCs w:val="16"/>
          <w:lang w:val="en-US"/>
        </w:rPr>
        <w:t>ASSETS</w:t>
      </w:r>
    </w:p>
    <w:p w14:paraId="62C918DF"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9F4E32">
        <w:rPr>
          <w:rFonts w:cs="Open Sans"/>
          <w:color w:val="000000"/>
          <w:sz w:val="16"/>
          <w:szCs w:val="16"/>
          <w:lang w:val="en-US"/>
        </w:rPr>
        <w:t>Total assets as at 30 June 2023 are higher than budget as a result of the surplus operating result for 2022-23 as well as cash received in advance for new partnership agreements entered into since the Budget was set. The cash was received in May 2023 for services the Commission must provide up to 30 June 2025. There is a corresponding increase in the balance of ‘other payables’ as a result of this contract.</w:t>
      </w:r>
    </w:p>
    <w:p w14:paraId="57CC0039"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9F4E32">
        <w:rPr>
          <w:rFonts w:cs="Open Sans"/>
          <w:color w:val="000000"/>
          <w:sz w:val="16"/>
          <w:szCs w:val="16"/>
          <w:lang w:val="en-US"/>
        </w:rPr>
        <w:t>LIABILITIES</w:t>
      </w:r>
    </w:p>
    <w:p w14:paraId="4831630C" w14:textId="7871F2C2" w:rsidR="009F4E32" w:rsidRPr="009F4E32" w:rsidRDefault="009F4E32" w:rsidP="009F4E32">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9F4E32">
        <w:rPr>
          <w:rFonts w:cs="Open Sans"/>
          <w:color w:val="000000"/>
          <w:sz w:val="16"/>
          <w:szCs w:val="16"/>
          <w:lang w:val="en-US"/>
        </w:rPr>
        <w:t>Supplier payables are higher than budget due to timing differences between when invoices for 2022–23 were received and when the payments were made. All supplier payables are within the agreed payment terms. As noted above the balance of ‘other payables’ is higher than budget due to the receipt of cash in advance of services to be delivered by the Commission by 30 June 2025.</w:t>
      </w:r>
    </w:p>
    <w:p w14:paraId="29B1A31F"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57" w:after="113"/>
        <w:textAlignment w:val="center"/>
        <w:rPr>
          <w:rFonts w:cs="Open Sans"/>
          <w:color w:val="000000"/>
          <w:sz w:val="16"/>
          <w:szCs w:val="16"/>
          <w:lang w:val="en-US"/>
        </w:rPr>
      </w:pPr>
      <w:r w:rsidRPr="009F4E32">
        <w:rPr>
          <w:rFonts w:cs="Open Sans"/>
          <w:color w:val="000000"/>
          <w:sz w:val="16"/>
          <w:szCs w:val="16"/>
          <w:lang w:val="en-US"/>
        </w:rPr>
        <w:t>EQUITY</w:t>
      </w:r>
    </w:p>
    <w:p w14:paraId="1ECB94FC"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9F4E32">
        <w:rPr>
          <w:rFonts w:cs="Open Sans"/>
          <w:color w:val="000000"/>
          <w:sz w:val="16"/>
          <w:szCs w:val="16"/>
          <w:lang w:val="en-US"/>
        </w:rPr>
        <w:t>The increase in Total equity compared to budget is as a result of the surplus operating result for 2022–23.</w:t>
      </w:r>
    </w:p>
    <w:p w14:paraId="27AE805A" w14:textId="77777777" w:rsidR="009F4E32" w:rsidRDefault="009F4E32" w:rsidP="00716F8A">
      <w:pPr>
        <w:autoSpaceDE w:val="0"/>
        <w:autoSpaceDN w:val="0"/>
        <w:adjustRightInd w:val="0"/>
        <w:spacing w:after="160" w:line="201" w:lineRule="atLeast"/>
        <w:rPr>
          <w:rFonts w:cs="Open Sans"/>
          <w:highlight w:val="yellow"/>
          <w:lang w:val="en-US" w:eastAsia="en-US"/>
        </w:rPr>
      </w:pPr>
    </w:p>
    <w:p w14:paraId="074B139A" w14:textId="663BBB9B" w:rsidR="009F4E32" w:rsidRDefault="009F4E32">
      <w:pPr>
        <w:spacing w:before="0" w:after="0" w:line="240" w:lineRule="auto"/>
        <w:rPr>
          <w:rFonts w:cs="Open Sans"/>
          <w:highlight w:val="yellow"/>
          <w:lang w:val="en-US" w:eastAsia="en-US"/>
        </w:rPr>
      </w:pPr>
      <w:r>
        <w:rPr>
          <w:rFonts w:cs="Open Sans"/>
          <w:highlight w:val="yellow"/>
          <w:lang w:val="en-US" w:eastAsia="en-US"/>
        </w:rPr>
        <w:br w:type="page"/>
      </w:r>
    </w:p>
    <w:p w14:paraId="255D7BE1" w14:textId="368D7A1D" w:rsidR="00716F8A" w:rsidRDefault="00716F8A" w:rsidP="00B5393B">
      <w:pPr>
        <w:pStyle w:val="Heading7"/>
        <w:rPr>
          <w:lang w:eastAsia="en-US"/>
        </w:rPr>
      </w:pPr>
      <w:bookmarkStart w:id="43" w:name="_Toc146437049"/>
      <w:r w:rsidRPr="009F4E32">
        <w:rPr>
          <w:lang w:eastAsia="en-US"/>
        </w:rPr>
        <w:t>Statement of Changes in Equity</w:t>
      </w:r>
      <w:bookmarkEnd w:id="43"/>
    </w:p>
    <w:p w14:paraId="2B139BB1" w14:textId="6C0A1B73" w:rsidR="000D7121" w:rsidRPr="000D7121" w:rsidRDefault="3D9B656F" w:rsidP="000D7121">
      <w:pPr>
        <w:pStyle w:val="Fortheyearended"/>
      </w:pPr>
      <w:r>
        <w:t>for the year ended June 2023</w:t>
      </w:r>
    </w:p>
    <w:tbl>
      <w:tblPr>
        <w:tblW w:w="10091" w:type="dxa"/>
        <w:tblInd w:w="-8" w:type="dxa"/>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5159"/>
        <w:gridCol w:w="680"/>
        <w:gridCol w:w="1418"/>
        <w:gridCol w:w="1417"/>
        <w:gridCol w:w="1417"/>
      </w:tblGrid>
      <w:tr w:rsidR="00B5393B" w:rsidRPr="00B5393B" w14:paraId="26F5A16D" w14:textId="77777777" w:rsidTr="000D7121">
        <w:trPr>
          <w:trHeight w:val="790"/>
          <w:tblHeader/>
        </w:trPr>
        <w:tc>
          <w:tcPr>
            <w:tcW w:w="5159" w:type="dxa"/>
            <w:shd w:val="clear" w:color="auto" w:fill="1CBDC9"/>
            <w:tcMar>
              <w:top w:w="85" w:type="dxa"/>
              <w:left w:w="113" w:type="dxa"/>
              <w:bottom w:w="113" w:type="dxa"/>
              <w:right w:w="113" w:type="dxa"/>
            </w:tcMar>
            <w:vAlign w:val="bottom"/>
          </w:tcPr>
          <w:p w14:paraId="61E1BE51" w14:textId="77777777" w:rsidR="009F4E32" w:rsidRPr="009F4E32" w:rsidRDefault="009F4E32" w:rsidP="009F4E32">
            <w:pPr>
              <w:autoSpaceDE w:val="0"/>
              <w:autoSpaceDN w:val="0"/>
              <w:adjustRightInd w:val="0"/>
              <w:spacing w:before="0" w:after="0" w:line="240" w:lineRule="auto"/>
              <w:rPr>
                <w:rFonts w:ascii="Open Sans Condensed" w:hAnsi="Open Sans Condensed"/>
                <w:color w:val="FFFFFF" w:themeColor="background1"/>
                <w:sz w:val="20"/>
                <w:szCs w:val="20"/>
                <w:lang w:val="en-US"/>
              </w:rPr>
            </w:pPr>
          </w:p>
        </w:tc>
        <w:tc>
          <w:tcPr>
            <w:tcW w:w="680" w:type="dxa"/>
            <w:shd w:val="clear" w:color="auto" w:fill="1CBDC9"/>
            <w:tcMar>
              <w:top w:w="85" w:type="dxa"/>
              <w:left w:w="113" w:type="dxa"/>
              <w:bottom w:w="113" w:type="dxa"/>
              <w:right w:w="113" w:type="dxa"/>
            </w:tcMar>
            <w:vAlign w:val="bottom"/>
          </w:tcPr>
          <w:p w14:paraId="2C4F1A1F"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9F4E32">
              <w:rPr>
                <w:rFonts w:ascii="Open Sans Condensed" w:hAnsi="Open Sans Condensed" w:cs="Open Sans Condensed"/>
                <w:b/>
                <w:bCs/>
                <w:color w:val="FFFFFF" w:themeColor="background1"/>
                <w:sz w:val="20"/>
                <w:szCs w:val="20"/>
                <w:lang w:val="en-US"/>
              </w:rPr>
              <w:t>Notes</w:t>
            </w:r>
          </w:p>
        </w:tc>
        <w:tc>
          <w:tcPr>
            <w:tcW w:w="1418" w:type="dxa"/>
            <w:shd w:val="clear" w:color="auto" w:fill="1CBDC9"/>
            <w:tcMar>
              <w:top w:w="85" w:type="dxa"/>
              <w:left w:w="113" w:type="dxa"/>
              <w:bottom w:w="113" w:type="dxa"/>
              <w:right w:w="113" w:type="dxa"/>
            </w:tcMar>
            <w:vAlign w:val="bottom"/>
          </w:tcPr>
          <w:p w14:paraId="71A9D1EE"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9F4E32">
              <w:rPr>
                <w:rFonts w:ascii="Open Sans Condensed" w:hAnsi="Open Sans Condensed" w:cs="Open Sans Condensed"/>
                <w:b/>
                <w:bCs/>
                <w:color w:val="FFFFFF" w:themeColor="background1"/>
                <w:sz w:val="20"/>
                <w:szCs w:val="20"/>
                <w:lang w:val="en-US"/>
              </w:rPr>
              <w:t xml:space="preserve">2023 </w:t>
            </w:r>
            <w:r w:rsidRPr="009F4E32">
              <w:rPr>
                <w:rFonts w:ascii="Open Sans Condensed" w:hAnsi="Open Sans Condensed" w:cs="Open Sans Condensed"/>
                <w:b/>
                <w:bCs/>
                <w:color w:val="FFFFFF" w:themeColor="background1"/>
                <w:sz w:val="20"/>
                <w:szCs w:val="20"/>
                <w:lang w:val="en-US"/>
              </w:rPr>
              <w:br/>
              <w:t>$’000</w:t>
            </w:r>
          </w:p>
        </w:tc>
        <w:tc>
          <w:tcPr>
            <w:tcW w:w="1417" w:type="dxa"/>
            <w:shd w:val="clear" w:color="auto" w:fill="1CBDC9"/>
            <w:tcMar>
              <w:top w:w="85" w:type="dxa"/>
              <w:left w:w="113" w:type="dxa"/>
              <w:bottom w:w="113" w:type="dxa"/>
              <w:right w:w="113" w:type="dxa"/>
            </w:tcMar>
            <w:vAlign w:val="bottom"/>
          </w:tcPr>
          <w:p w14:paraId="1AE779EB"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Light" w:hAnsi="Open Sans Condensed Light" w:cs="Open Sans Condensed Light"/>
                <w:color w:val="FFFFFF" w:themeColor="background1"/>
                <w:sz w:val="20"/>
                <w:szCs w:val="20"/>
                <w:lang w:val="en-US"/>
              </w:rPr>
            </w:pPr>
            <w:r w:rsidRPr="009F4E32">
              <w:rPr>
                <w:rFonts w:ascii="Open Sans Condensed Light" w:hAnsi="Open Sans Condensed Light" w:cs="Open Sans Condensed Light"/>
                <w:color w:val="FFFFFF" w:themeColor="background1"/>
                <w:sz w:val="20"/>
                <w:szCs w:val="20"/>
                <w:lang w:val="en-US"/>
              </w:rPr>
              <w:t>2022</w:t>
            </w:r>
          </w:p>
          <w:p w14:paraId="3D3CF9C6"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9F4E32">
              <w:rPr>
                <w:rFonts w:ascii="Open Sans Condensed Light" w:hAnsi="Open Sans Condensed Light" w:cs="Open Sans Condensed Light"/>
                <w:color w:val="FFFFFF" w:themeColor="background1"/>
                <w:sz w:val="20"/>
                <w:szCs w:val="20"/>
                <w:lang w:val="en-US"/>
              </w:rPr>
              <w:t>$’000</w:t>
            </w:r>
          </w:p>
        </w:tc>
        <w:tc>
          <w:tcPr>
            <w:tcW w:w="1417" w:type="dxa"/>
            <w:shd w:val="clear" w:color="auto" w:fill="1CBDC9"/>
            <w:tcMar>
              <w:top w:w="85" w:type="dxa"/>
              <w:left w:w="113" w:type="dxa"/>
              <w:bottom w:w="113" w:type="dxa"/>
              <w:right w:w="113" w:type="dxa"/>
            </w:tcMar>
            <w:vAlign w:val="bottom"/>
          </w:tcPr>
          <w:p w14:paraId="6746ECC1"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9F4E32">
              <w:rPr>
                <w:rFonts w:ascii="Open Sans Condensed Light" w:hAnsi="Open Sans Condensed Light" w:cs="Open Sans Condensed Light"/>
                <w:color w:val="FFFFFF" w:themeColor="background1"/>
                <w:sz w:val="20"/>
                <w:szCs w:val="20"/>
                <w:lang w:val="en-US"/>
              </w:rPr>
              <w:t>Original Budget</w:t>
            </w:r>
            <w:r w:rsidRPr="009F4E32">
              <w:rPr>
                <w:rFonts w:ascii="Open Sans Condensed Light" w:hAnsi="Open Sans Condensed Light" w:cs="Open Sans Condensed Light"/>
                <w:color w:val="FFFFFF" w:themeColor="background1"/>
                <w:sz w:val="20"/>
                <w:szCs w:val="20"/>
                <w:lang w:val="en-US"/>
              </w:rPr>
              <w:br/>
              <w:t>$’000</w:t>
            </w:r>
          </w:p>
        </w:tc>
      </w:tr>
      <w:tr w:rsidR="009F4E32" w:rsidRPr="009F4E32" w14:paraId="553239F2" w14:textId="77777777" w:rsidTr="000D7121">
        <w:trPr>
          <w:trHeight w:val="113"/>
        </w:trPr>
        <w:tc>
          <w:tcPr>
            <w:tcW w:w="5159" w:type="dxa"/>
            <w:tcMar>
              <w:top w:w="227" w:type="dxa"/>
              <w:left w:w="0" w:type="dxa"/>
              <w:bottom w:w="57" w:type="dxa"/>
              <w:right w:w="113" w:type="dxa"/>
            </w:tcMar>
            <w:vAlign w:val="bottom"/>
          </w:tcPr>
          <w:p w14:paraId="383E88FF"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r w:rsidRPr="009F4E32">
              <w:rPr>
                <w:rFonts w:cs="Open Sans"/>
                <w:b/>
                <w:bCs/>
                <w:color w:val="2BB8C9"/>
                <w:sz w:val="16"/>
                <w:szCs w:val="16"/>
                <w:lang w:val="en-US"/>
              </w:rPr>
              <w:t>CONTRIBUTED EQUITY</w:t>
            </w:r>
          </w:p>
        </w:tc>
        <w:tc>
          <w:tcPr>
            <w:tcW w:w="680" w:type="dxa"/>
            <w:tcMar>
              <w:top w:w="227" w:type="dxa"/>
              <w:left w:w="0" w:type="dxa"/>
              <w:bottom w:w="57" w:type="dxa"/>
              <w:right w:w="113" w:type="dxa"/>
            </w:tcMar>
            <w:vAlign w:val="bottom"/>
          </w:tcPr>
          <w:p w14:paraId="521A7388"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27" w:type="dxa"/>
              <w:left w:w="0" w:type="dxa"/>
              <w:bottom w:w="57" w:type="dxa"/>
              <w:right w:w="113" w:type="dxa"/>
            </w:tcMar>
            <w:vAlign w:val="bottom"/>
          </w:tcPr>
          <w:p w14:paraId="5BCEFA87"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2E6DE9E1"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49B2389A"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0B7E8CE8" w14:textId="77777777" w:rsidTr="000D7121">
        <w:trPr>
          <w:trHeight w:val="240"/>
        </w:trPr>
        <w:tc>
          <w:tcPr>
            <w:tcW w:w="5159" w:type="dxa"/>
            <w:tcMar>
              <w:top w:w="28" w:type="dxa"/>
              <w:left w:w="0" w:type="dxa"/>
              <w:bottom w:w="57" w:type="dxa"/>
              <w:right w:w="113" w:type="dxa"/>
            </w:tcMar>
            <w:vAlign w:val="bottom"/>
          </w:tcPr>
          <w:p w14:paraId="02E5D621"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Opening balance</w:t>
            </w:r>
          </w:p>
        </w:tc>
        <w:tc>
          <w:tcPr>
            <w:tcW w:w="680" w:type="dxa"/>
            <w:tcMar>
              <w:top w:w="28" w:type="dxa"/>
              <w:left w:w="0" w:type="dxa"/>
              <w:bottom w:w="57" w:type="dxa"/>
              <w:right w:w="113" w:type="dxa"/>
            </w:tcMar>
            <w:vAlign w:val="bottom"/>
          </w:tcPr>
          <w:p w14:paraId="465461F7"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2E3F207E"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46CE517F"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7419592A"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04FD155A" w14:textId="77777777" w:rsidTr="000D7121">
        <w:trPr>
          <w:trHeight w:val="240"/>
        </w:trPr>
        <w:tc>
          <w:tcPr>
            <w:tcW w:w="5159" w:type="dxa"/>
            <w:tcMar>
              <w:top w:w="113" w:type="dxa"/>
              <w:left w:w="0" w:type="dxa"/>
              <w:bottom w:w="113" w:type="dxa"/>
              <w:right w:w="113" w:type="dxa"/>
            </w:tcMar>
            <w:vAlign w:val="bottom"/>
          </w:tcPr>
          <w:p w14:paraId="10F0624C"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color w:val="000000"/>
                <w:sz w:val="16"/>
                <w:szCs w:val="16"/>
                <w:lang w:val="en-US"/>
              </w:rPr>
              <w:t>Balance carried forward from previous period</w:t>
            </w:r>
          </w:p>
        </w:tc>
        <w:tc>
          <w:tcPr>
            <w:tcW w:w="680" w:type="dxa"/>
            <w:tcMar>
              <w:top w:w="113" w:type="dxa"/>
              <w:left w:w="0" w:type="dxa"/>
              <w:bottom w:w="113" w:type="dxa"/>
              <w:right w:w="113" w:type="dxa"/>
            </w:tcMar>
            <w:vAlign w:val="bottom"/>
          </w:tcPr>
          <w:p w14:paraId="70F7B20E"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en-US"/>
              </w:rPr>
            </w:pPr>
          </w:p>
        </w:tc>
        <w:tc>
          <w:tcPr>
            <w:tcW w:w="1418" w:type="dxa"/>
            <w:tcMar>
              <w:top w:w="113" w:type="dxa"/>
              <w:left w:w="0" w:type="dxa"/>
              <w:bottom w:w="113" w:type="dxa"/>
              <w:right w:w="113" w:type="dxa"/>
            </w:tcMar>
            <w:vAlign w:val="bottom"/>
          </w:tcPr>
          <w:p w14:paraId="6976C8FB"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18,561 </w:t>
            </w:r>
          </w:p>
        </w:tc>
        <w:tc>
          <w:tcPr>
            <w:tcW w:w="1417" w:type="dxa"/>
            <w:tcMar>
              <w:top w:w="113" w:type="dxa"/>
              <w:left w:w="0" w:type="dxa"/>
              <w:bottom w:w="113" w:type="dxa"/>
              <w:right w:w="113" w:type="dxa"/>
            </w:tcMar>
            <w:vAlign w:val="bottom"/>
          </w:tcPr>
          <w:p w14:paraId="0D0935CE"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2,511 </w:t>
            </w:r>
          </w:p>
        </w:tc>
        <w:tc>
          <w:tcPr>
            <w:tcW w:w="1417" w:type="dxa"/>
            <w:tcMar>
              <w:top w:w="113" w:type="dxa"/>
              <w:left w:w="0" w:type="dxa"/>
              <w:bottom w:w="113" w:type="dxa"/>
              <w:right w:w="113" w:type="dxa"/>
            </w:tcMar>
            <w:vAlign w:val="bottom"/>
          </w:tcPr>
          <w:p w14:paraId="3561D38A"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18,561 </w:t>
            </w:r>
          </w:p>
        </w:tc>
      </w:tr>
      <w:tr w:rsidR="009F4E32" w:rsidRPr="009F4E32" w14:paraId="47A789F1" w14:textId="77777777" w:rsidTr="000D7121">
        <w:trPr>
          <w:trHeight w:val="240"/>
        </w:trPr>
        <w:tc>
          <w:tcPr>
            <w:tcW w:w="5159" w:type="dxa"/>
            <w:tcMar>
              <w:top w:w="28" w:type="dxa"/>
              <w:left w:w="0" w:type="dxa"/>
              <w:bottom w:w="57" w:type="dxa"/>
              <w:right w:w="113" w:type="dxa"/>
            </w:tcMar>
            <w:vAlign w:val="bottom"/>
          </w:tcPr>
          <w:p w14:paraId="7C28C45B"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b/>
                <w:bCs/>
                <w:color w:val="000000"/>
                <w:sz w:val="16"/>
                <w:szCs w:val="16"/>
                <w:lang w:val="it-IT"/>
              </w:rPr>
              <w:t>Contributions by owners</w:t>
            </w:r>
          </w:p>
        </w:tc>
        <w:tc>
          <w:tcPr>
            <w:tcW w:w="680" w:type="dxa"/>
            <w:tcMar>
              <w:top w:w="28" w:type="dxa"/>
              <w:left w:w="0" w:type="dxa"/>
              <w:bottom w:w="57" w:type="dxa"/>
              <w:right w:w="113" w:type="dxa"/>
            </w:tcMar>
            <w:vAlign w:val="bottom"/>
          </w:tcPr>
          <w:p w14:paraId="4301CCC5"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37198931"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69B0FEA8"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46265569"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685D9734" w14:textId="77777777" w:rsidTr="000D7121">
        <w:trPr>
          <w:trHeight w:val="113"/>
        </w:trPr>
        <w:tc>
          <w:tcPr>
            <w:tcW w:w="5159" w:type="dxa"/>
            <w:tcMar>
              <w:top w:w="113" w:type="dxa"/>
              <w:left w:w="0" w:type="dxa"/>
              <w:bottom w:w="113" w:type="dxa"/>
              <w:right w:w="113" w:type="dxa"/>
            </w:tcMar>
            <w:vAlign w:val="bottom"/>
          </w:tcPr>
          <w:p w14:paraId="0163B281"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color w:val="000000"/>
                <w:sz w:val="16"/>
                <w:szCs w:val="16"/>
                <w:lang w:val="en-US"/>
              </w:rPr>
              <w:t>Equity injection</w:t>
            </w:r>
          </w:p>
        </w:tc>
        <w:tc>
          <w:tcPr>
            <w:tcW w:w="680" w:type="dxa"/>
            <w:tcMar>
              <w:top w:w="113" w:type="dxa"/>
              <w:left w:w="0" w:type="dxa"/>
              <w:bottom w:w="113" w:type="dxa"/>
              <w:right w:w="113" w:type="dxa"/>
            </w:tcMar>
            <w:vAlign w:val="bottom"/>
          </w:tcPr>
          <w:p w14:paraId="68C3AB12"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113" w:type="dxa"/>
              <w:left w:w="0" w:type="dxa"/>
              <w:bottom w:w="113" w:type="dxa"/>
              <w:right w:w="113" w:type="dxa"/>
            </w:tcMar>
            <w:vAlign w:val="bottom"/>
          </w:tcPr>
          <w:p w14:paraId="3586B1D3"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 </w:t>
            </w:r>
            <w:r w:rsidRPr="009F4E32">
              <w:rPr>
                <w:rFonts w:cs="Open Sans"/>
                <w:b/>
                <w:bCs/>
                <w:color w:val="000000"/>
                <w:sz w:val="16"/>
                <w:szCs w:val="16"/>
                <w:lang w:val="it-IT"/>
              </w:rPr>
              <w:t>-</w:t>
            </w:r>
          </w:p>
        </w:tc>
        <w:tc>
          <w:tcPr>
            <w:tcW w:w="1417" w:type="dxa"/>
            <w:tcMar>
              <w:top w:w="113" w:type="dxa"/>
              <w:left w:w="0" w:type="dxa"/>
              <w:bottom w:w="113" w:type="dxa"/>
              <w:right w:w="113" w:type="dxa"/>
            </w:tcMar>
            <w:vAlign w:val="bottom"/>
          </w:tcPr>
          <w:p w14:paraId="0B60BA41"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16,050</w:t>
            </w:r>
          </w:p>
        </w:tc>
        <w:tc>
          <w:tcPr>
            <w:tcW w:w="1417" w:type="dxa"/>
            <w:tcMar>
              <w:top w:w="113" w:type="dxa"/>
              <w:left w:w="0" w:type="dxa"/>
              <w:bottom w:w="113" w:type="dxa"/>
              <w:right w:w="113" w:type="dxa"/>
            </w:tcMar>
            <w:vAlign w:val="bottom"/>
          </w:tcPr>
          <w:p w14:paraId="18D617D9"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 -</w:t>
            </w:r>
          </w:p>
        </w:tc>
      </w:tr>
      <w:tr w:rsidR="009F4E32" w:rsidRPr="009F4E32" w14:paraId="60E8A2FE" w14:textId="77777777" w:rsidTr="000D7121">
        <w:trPr>
          <w:trHeight w:val="240"/>
        </w:trPr>
        <w:tc>
          <w:tcPr>
            <w:tcW w:w="5159" w:type="dxa"/>
            <w:shd w:val="clear" w:color="auto" w:fill="F2F2F2" w:themeFill="background1" w:themeFillShade="F2"/>
            <w:tcMar>
              <w:top w:w="113" w:type="dxa"/>
              <w:left w:w="0" w:type="dxa"/>
              <w:bottom w:w="113" w:type="dxa"/>
              <w:right w:w="113" w:type="dxa"/>
            </w:tcMar>
            <w:vAlign w:val="bottom"/>
          </w:tcPr>
          <w:p w14:paraId="697E88A5"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en-US"/>
              </w:rPr>
              <w:t>Closing balance as at 30 June</w:t>
            </w:r>
          </w:p>
        </w:tc>
        <w:tc>
          <w:tcPr>
            <w:tcW w:w="680" w:type="dxa"/>
            <w:shd w:val="clear" w:color="auto" w:fill="F2F2F2" w:themeFill="background1" w:themeFillShade="F2"/>
            <w:tcMar>
              <w:top w:w="113" w:type="dxa"/>
              <w:left w:w="0" w:type="dxa"/>
              <w:bottom w:w="113" w:type="dxa"/>
              <w:right w:w="113" w:type="dxa"/>
            </w:tcMar>
            <w:vAlign w:val="bottom"/>
          </w:tcPr>
          <w:p w14:paraId="364D0B37"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en-US"/>
              </w:rPr>
            </w:pPr>
          </w:p>
        </w:tc>
        <w:tc>
          <w:tcPr>
            <w:tcW w:w="1418" w:type="dxa"/>
            <w:shd w:val="clear" w:color="auto" w:fill="F2F2F2" w:themeFill="background1" w:themeFillShade="F2"/>
            <w:tcMar>
              <w:top w:w="113" w:type="dxa"/>
              <w:left w:w="0" w:type="dxa"/>
              <w:bottom w:w="113" w:type="dxa"/>
              <w:right w:w="113" w:type="dxa"/>
            </w:tcMar>
            <w:vAlign w:val="bottom"/>
          </w:tcPr>
          <w:p w14:paraId="44B41EB0"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18,561 </w:t>
            </w:r>
          </w:p>
        </w:tc>
        <w:tc>
          <w:tcPr>
            <w:tcW w:w="1417" w:type="dxa"/>
            <w:shd w:val="clear" w:color="auto" w:fill="F2F2F2" w:themeFill="background1" w:themeFillShade="F2"/>
            <w:tcMar>
              <w:top w:w="113" w:type="dxa"/>
              <w:left w:w="0" w:type="dxa"/>
              <w:bottom w:w="113" w:type="dxa"/>
              <w:right w:w="113" w:type="dxa"/>
            </w:tcMar>
            <w:vAlign w:val="bottom"/>
          </w:tcPr>
          <w:p w14:paraId="4D0A1A62"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18,561 </w:t>
            </w:r>
          </w:p>
        </w:tc>
        <w:tc>
          <w:tcPr>
            <w:tcW w:w="1417" w:type="dxa"/>
            <w:shd w:val="clear" w:color="auto" w:fill="F2F2F2" w:themeFill="background1" w:themeFillShade="F2"/>
            <w:tcMar>
              <w:top w:w="113" w:type="dxa"/>
              <w:left w:w="0" w:type="dxa"/>
              <w:bottom w:w="113" w:type="dxa"/>
              <w:right w:w="113" w:type="dxa"/>
            </w:tcMar>
            <w:vAlign w:val="bottom"/>
          </w:tcPr>
          <w:p w14:paraId="17A2F047"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18,561 </w:t>
            </w:r>
          </w:p>
        </w:tc>
      </w:tr>
      <w:tr w:rsidR="009F4E32" w:rsidRPr="009F4E32" w14:paraId="37470722" w14:textId="77777777" w:rsidTr="000D7121">
        <w:trPr>
          <w:trHeight w:val="113"/>
        </w:trPr>
        <w:tc>
          <w:tcPr>
            <w:tcW w:w="5159" w:type="dxa"/>
            <w:tcMar>
              <w:top w:w="227" w:type="dxa"/>
              <w:left w:w="0" w:type="dxa"/>
              <w:bottom w:w="57" w:type="dxa"/>
              <w:right w:w="113" w:type="dxa"/>
            </w:tcMar>
            <w:vAlign w:val="bottom"/>
          </w:tcPr>
          <w:p w14:paraId="57C1C3E3"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r w:rsidRPr="009F4E32">
              <w:rPr>
                <w:rFonts w:cs="Open Sans"/>
                <w:b/>
                <w:bCs/>
                <w:color w:val="2BB8C9"/>
                <w:sz w:val="16"/>
                <w:szCs w:val="16"/>
                <w:lang w:val="en-US"/>
              </w:rPr>
              <w:t>ACCUMULATED LOSSES</w:t>
            </w:r>
          </w:p>
        </w:tc>
        <w:tc>
          <w:tcPr>
            <w:tcW w:w="680" w:type="dxa"/>
            <w:tcMar>
              <w:top w:w="227" w:type="dxa"/>
              <w:left w:w="0" w:type="dxa"/>
              <w:bottom w:w="57" w:type="dxa"/>
              <w:right w:w="113" w:type="dxa"/>
            </w:tcMar>
            <w:vAlign w:val="bottom"/>
          </w:tcPr>
          <w:p w14:paraId="3F84BE98"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27" w:type="dxa"/>
              <w:left w:w="0" w:type="dxa"/>
              <w:bottom w:w="57" w:type="dxa"/>
              <w:right w:w="113" w:type="dxa"/>
            </w:tcMar>
            <w:vAlign w:val="bottom"/>
          </w:tcPr>
          <w:p w14:paraId="6290B2F8"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642EC78E"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71AA8F44"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0FC01180" w14:textId="77777777" w:rsidTr="000D7121">
        <w:trPr>
          <w:trHeight w:val="240"/>
        </w:trPr>
        <w:tc>
          <w:tcPr>
            <w:tcW w:w="5159" w:type="dxa"/>
            <w:tcMar>
              <w:top w:w="28" w:type="dxa"/>
              <w:left w:w="0" w:type="dxa"/>
              <w:bottom w:w="57" w:type="dxa"/>
              <w:right w:w="113" w:type="dxa"/>
            </w:tcMar>
            <w:vAlign w:val="bottom"/>
          </w:tcPr>
          <w:p w14:paraId="3AE97EB1"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Opening balance</w:t>
            </w:r>
          </w:p>
        </w:tc>
        <w:tc>
          <w:tcPr>
            <w:tcW w:w="680" w:type="dxa"/>
            <w:tcMar>
              <w:top w:w="28" w:type="dxa"/>
              <w:left w:w="0" w:type="dxa"/>
              <w:bottom w:w="57" w:type="dxa"/>
              <w:right w:w="113" w:type="dxa"/>
            </w:tcMar>
            <w:vAlign w:val="bottom"/>
          </w:tcPr>
          <w:p w14:paraId="2AAE0FE3"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72A44B28"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23E4399D"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05830E16"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1312D8C8" w14:textId="77777777" w:rsidTr="000D7121">
        <w:trPr>
          <w:trHeight w:val="240"/>
        </w:trPr>
        <w:tc>
          <w:tcPr>
            <w:tcW w:w="5159" w:type="dxa"/>
            <w:tcMar>
              <w:top w:w="28" w:type="dxa"/>
              <w:left w:w="0" w:type="dxa"/>
              <w:bottom w:w="57" w:type="dxa"/>
              <w:right w:w="113" w:type="dxa"/>
            </w:tcMar>
            <w:vAlign w:val="bottom"/>
          </w:tcPr>
          <w:p w14:paraId="566C151E"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color w:val="000000"/>
                <w:sz w:val="16"/>
                <w:szCs w:val="16"/>
                <w:lang w:val="en-US"/>
              </w:rPr>
              <w:t>Balance carried forward from previous period</w:t>
            </w:r>
          </w:p>
        </w:tc>
        <w:tc>
          <w:tcPr>
            <w:tcW w:w="680" w:type="dxa"/>
            <w:tcMar>
              <w:top w:w="28" w:type="dxa"/>
              <w:left w:w="0" w:type="dxa"/>
              <w:bottom w:w="57" w:type="dxa"/>
              <w:right w:w="113" w:type="dxa"/>
            </w:tcMar>
            <w:vAlign w:val="bottom"/>
          </w:tcPr>
          <w:p w14:paraId="0B7313E4"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en-US"/>
              </w:rPr>
            </w:pPr>
          </w:p>
        </w:tc>
        <w:tc>
          <w:tcPr>
            <w:tcW w:w="1418" w:type="dxa"/>
            <w:tcMar>
              <w:top w:w="28" w:type="dxa"/>
              <w:left w:w="0" w:type="dxa"/>
              <w:bottom w:w="57" w:type="dxa"/>
              <w:right w:w="113" w:type="dxa"/>
            </w:tcMar>
            <w:vAlign w:val="bottom"/>
          </w:tcPr>
          <w:p w14:paraId="58CECC32"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(13,711)</w:t>
            </w:r>
          </w:p>
        </w:tc>
        <w:tc>
          <w:tcPr>
            <w:tcW w:w="1417" w:type="dxa"/>
            <w:tcMar>
              <w:top w:w="28" w:type="dxa"/>
              <w:left w:w="0" w:type="dxa"/>
              <w:bottom w:w="57" w:type="dxa"/>
              <w:right w:w="113" w:type="dxa"/>
            </w:tcMar>
            <w:vAlign w:val="bottom"/>
          </w:tcPr>
          <w:p w14:paraId="107C871D"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(12,737)</w:t>
            </w:r>
          </w:p>
        </w:tc>
        <w:tc>
          <w:tcPr>
            <w:tcW w:w="1417" w:type="dxa"/>
            <w:tcMar>
              <w:top w:w="28" w:type="dxa"/>
              <w:left w:w="0" w:type="dxa"/>
              <w:bottom w:w="57" w:type="dxa"/>
              <w:right w:w="113" w:type="dxa"/>
            </w:tcMar>
            <w:vAlign w:val="bottom"/>
          </w:tcPr>
          <w:p w14:paraId="14581B0F"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(14,179)</w:t>
            </w:r>
          </w:p>
        </w:tc>
      </w:tr>
      <w:tr w:rsidR="009F4E32" w:rsidRPr="009F4E32" w14:paraId="06127781" w14:textId="77777777" w:rsidTr="000D7121">
        <w:trPr>
          <w:trHeight w:val="240"/>
        </w:trPr>
        <w:tc>
          <w:tcPr>
            <w:tcW w:w="5159" w:type="dxa"/>
            <w:tcMar>
              <w:top w:w="28" w:type="dxa"/>
              <w:left w:w="0" w:type="dxa"/>
              <w:bottom w:w="57" w:type="dxa"/>
              <w:right w:w="113" w:type="dxa"/>
            </w:tcMar>
            <w:vAlign w:val="bottom"/>
          </w:tcPr>
          <w:p w14:paraId="55132B53"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Comprehensive income</w:t>
            </w:r>
          </w:p>
        </w:tc>
        <w:tc>
          <w:tcPr>
            <w:tcW w:w="680" w:type="dxa"/>
            <w:tcMar>
              <w:top w:w="28" w:type="dxa"/>
              <w:left w:w="0" w:type="dxa"/>
              <w:bottom w:w="57" w:type="dxa"/>
              <w:right w:w="113" w:type="dxa"/>
            </w:tcMar>
            <w:vAlign w:val="bottom"/>
          </w:tcPr>
          <w:p w14:paraId="5B71F19B"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3D4EBB13"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106B93BC"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0A0F3FE2"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0365F0BA" w14:textId="77777777" w:rsidTr="000D7121">
        <w:trPr>
          <w:trHeight w:val="240"/>
        </w:trPr>
        <w:tc>
          <w:tcPr>
            <w:tcW w:w="5159" w:type="dxa"/>
            <w:tcMar>
              <w:top w:w="113" w:type="dxa"/>
              <w:left w:w="0" w:type="dxa"/>
              <w:bottom w:w="113" w:type="dxa"/>
              <w:right w:w="113" w:type="dxa"/>
            </w:tcMar>
            <w:vAlign w:val="bottom"/>
          </w:tcPr>
          <w:p w14:paraId="0D7F3E66"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color w:val="000000"/>
                <w:sz w:val="16"/>
                <w:szCs w:val="16"/>
                <w:lang w:val="en-US"/>
              </w:rPr>
              <w:t>Surplus/(Deficit) for the period</w:t>
            </w:r>
          </w:p>
        </w:tc>
        <w:tc>
          <w:tcPr>
            <w:tcW w:w="680" w:type="dxa"/>
            <w:tcMar>
              <w:top w:w="113" w:type="dxa"/>
              <w:left w:w="0" w:type="dxa"/>
              <w:bottom w:w="113" w:type="dxa"/>
              <w:right w:w="113" w:type="dxa"/>
            </w:tcMar>
            <w:vAlign w:val="bottom"/>
          </w:tcPr>
          <w:p w14:paraId="65897AD0"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en-US"/>
              </w:rPr>
            </w:pPr>
          </w:p>
        </w:tc>
        <w:tc>
          <w:tcPr>
            <w:tcW w:w="1418" w:type="dxa"/>
            <w:tcMar>
              <w:top w:w="113" w:type="dxa"/>
              <w:left w:w="0" w:type="dxa"/>
              <w:bottom w:w="113" w:type="dxa"/>
              <w:right w:w="113" w:type="dxa"/>
            </w:tcMar>
            <w:vAlign w:val="bottom"/>
          </w:tcPr>
          <w:p w14:paraId="66395A66"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5,634 </w:t>
            </w:r>
          </w:p>
        </w:tc>
        <w:tc>
          <w:tcPr>
            <w:tcW w:w="1417" w:type="dxa"/>
            <w:tcMar>
              <w:top w:w="113" w:type="dxa"/>
              <w:left w:w="0" w:type="dxa"/>
              <w:bottom w:w="113" w:type="dxa"/>
              <w:right w:w="113" w:type="dxa"/>
            </w:tcMar>
            <w:vAlign w:val="bottom"/>
          </w:tcPr>
          <w:p w14:paraId="414DD6EB"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(974)</w:t>
            </w:r>
          </w:p>
        </w:tc>
        <w:tc>
          <w:tcPr>
            <w:tcW w:w="1417" w:type="dxa"/>
            <w:tcMar>
              <w:top w:w="113" w:type="dxa"/>
              <w:left w:w="0" w:type="dxa"/>
              <w:bottom w:w="113" w:type="dxa"/>
              <w:right w:w="113" w:type="dxa"/>
            </w:tcMar>
            <w:vAlign w:val="bottom"/>
          </w:tcPr>
          <w:p w14:paraId="623AC35F"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(1)</w:t>
            </w:r>
          </w:p>
        </w:tc>
      </w:tr>
      <w:tr w:rsidR="009F4E32" w:rsidRPr="009F4E32" w14:paraId="6A5166BF" w14:textId="77777777" w:rsidTr="000D7121">
        <w:trPr>
          <w:trHeight w:val="240"/>
        </w:trPr>
        <w:tc>
          <w:tcPr>
            <w:tcW w:w="5159" w:type="dxa"/>
            <w:shd w:val="clear" w:color="auto" w:fill="F2F2F2" w:themeFill="background1" w:themeFillShade="F2"/>
            <w:tcMar>
              <w:top w:w="113" w:type="dxa"/>
              <w:left w:w="0" w:type="dxa"/>
              <w:bottom w:w="113" w:type="dxa"/>
              <w:right w:w="113" w:type="dxa"/>
            </w:tcMar>
            <w:vAlign w:val="bottom"/>
          </w:tcPr>
          <w:p w14:paraId="78D0C18B"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en-US"/>
              </w:rPr>
              <w:t>Closing balance as at 30 June</w:t>
            </w:r>
          </w:p>
        </w:tc>
        <w:tc>
          <w:tcPr>
            <w:tcW w:w="680" w:type="dxa"/>
            <w:shd w:val="clear" w:color="auto" w:fill="F2F2F2" w:themeFill="background1" w:themeFillShade="F2"/>
            <w:tcMar>
              <w:top w:w="113" w:type="dxa"/>
              <w:left w:w="0" w:type="dxa"/>
              <w:bottom w:w="113" w:type="dxa"/>
              <w:right w:w="113" w:type="dxa"/>
            </w:tcMar>
            <w:vAlign w:val="bottom"/>
          </w:tcPr>
          <w:p w14:paraId="7B9DF79D"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en-US"/>
              </w:rPr>
            </w:pPr>
          </w:p>
        </w:tc>
        <w:tc>
          <w:tcPr>
            <w:tcW w:w="1418" w:type="dxa"/>
            <w:shd w:val="clear" w:color="auto" w:fill="F2F2F2" w:themeFill="background1" w:themeFillShade="F2"/>
            <w:tcMar>
              <w:top w:w="113" w:type="dxa"/>
              <w:left w:w="0" w:type="dxa"/>
              <w:bottom w:w="113" w:type="dxa"/>
              <w:right w:w="113" w:type="dxa"/>
            </w:tcMar>
            <w:vAlign w:val="bottom"/>
          </w:tcPr>
          <w:p w14:paraId="7631477B"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(8,077)</w:t>
            </w:r>
          </w:p>
        </w:tc>
        <w:tc>
          <w:tcPr>
            <w:tcW w:w="1417" w:type="dxa"/>
            <w:shd w:val="clear" w:color="auto" w:fill="F2F2F2" w:themeFill="background1" w:themeFillShade="F2"/>
            <w:tcMar>
              <w:top w:w="113" w:type="dxa"/>
              <w:left w:w="0" w:type="dxa"/>
              <w:bottom w:w="113" w:type="dxa"/>
              <w:right w:w="113" w:type="dxa"/>
            </w:tcMar>
            <w:vAlign w:val="bottom"/>
          </w:tcPr>
          <w:p w14:paraId="5B9026DA"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(13,711)</w:t>
            </w:r>
          </w:p>
        </w:tc>
        <w:tc>
          <w:tcPr>
            <w:tcW w:w="1417" w:type="dxa"/>
            <w:shd w:val="clear" w:color="auto" w:fill="F2F2F2" w:themeFill="background1" w:themeFillShade="F2"/>
            <w:tcMar>
              <w:top w:w="113" w:type="dxa"/>
              <w:left w:w="0" w:type="dxa"/>
              <w:bottom w:w="113" w:type="dxa"/>
              <w:right w:w="113" w:type="dxa"/>
            </w:tcMar>
            <w:vAlign w:val="bottom"/>
          </w:tcPr>
          <w:p w14:paraId="442F6C0F"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(14,180)</w:t>
            </w:r>
          </w:p>
        </w:tc>
      </w:tr>
      <w:tr w:rsidR="009F4E32" w:rsidRPr="009F4E32" w14:paraId="70656088" w14:textId="77777777" w:rsidTr="000D7121">
        <w:trPr>
          <w:trHeight w:val="113"/>
        </w:trPr>
        <w:tc>
          <w:tcPr>
            <w:tcW w:w="5159" w:type="dxa"/>
            <w:tcMar>
              <w:top w:w="227" w:type="dxa"/>
              <w:left w:w="0" w:type="dxa"/>
              <w:bottom w:w="57" w:type="dxa"/>
              <w:right w:w="113" w:type="dxa"/>
            </w:tcMar>
            <w:vAlign w:val="bottom"/>
          </w:tcPr>
          <w:p w14:paraId="4FDF8B6C"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r w:rsidRPr="009F4E32">
              <w:rPr>
                <w:rFonts w:cs="Open Sans"/>
                <w:b/>
                <w:bCs/>
                <w:color w:val="2BB8C9"/>
                <w:sz w:val="16"/>
                <w:szCs w:val="16"/>
                <w:lang w:val="en-US"/>
              </w:rPr>
              <w:t>ASSET REVALUATION RESERVE</w:t>
            </w:r>
          </w:p>
        </w:tc>
        <w:tc>
          <w:tcPr>
            <w:tcW w:w="680" w:type="dxa"/>
            <w:tcMar>
              <w:top w:w="227" w:type="dxa"/>
              <w:left w:w="0" w:type="dxa"/>
              <w:bottom w:w="57" w:type="dxa"/>
              <w:right w:w="113" w:type="dxa"/>
            </w:tcMar>
            <w:vAlign w:val="bottom"/>
          </w:tcPr>
          <w:p w14:paraId="4DF48680"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27" w:type="dxa"/>
              <w:left w:w="0" w:type="dxa"/>
              <w:bottom w:w="57" w:type="dxa"/>
              <w:right w:w="113" w:type="dxa"/>
            </w:tcMar>
            <w:vAlign w:val="bottom"/>
          </w:tcPr>
          <w:p w14:paraId="38D8B54A"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6CAFBB16"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2CA927B7"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1A8BE6DC" w14:textId="77777777" w:rsidTr="000D7121">
        <w:trPr>
          <w:trHeight w:val="240"/>
        </w:trPr>
        <w:tc>
          <w:tcPr>
            <w:tcW w:w="5159" w:type="dxa"/>
            <w:tcMar>
              <w:top w:w="28" w:type="dxa"/>
              <w:left w:w="0" w:type="dxa"/>
              <w:bottom w:w="57" w:type="dxa"/>
              <w:right w:w="113" w:type="dxa"/>
            </w:tcMar>
            <w:vAlign w:val="bottom"/>
          </w:tcPr>
          <w:p w14:paraId="7C35456D"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Opening balance</w:t>
            </w:r>
          </w:p>
        </w:tc>
        <w:tc>
          <w:tcPr>
            <w:tcW w:w="680" w:type="dxa"/>
            <w:tcMar>
              <w:top w:w="28" w:type="dxa"/>
              <w:left w:w="0" w:type="dxa"/>
              <w:bottom w:w="57" w:type="dxa"/>
              <w:right w:w="113" w:type="dxa"/>
            </w:tcMar>
            <w:vAlign w:val="bottom"/>
          </w:tcPr>
          <w:p w14:paraId="22B568C0"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248054DC"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6A443DDB"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5705F4C4"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7F75C300" w14:textId="77777777" w:rsidTr="000D7121">
        <w:trPr>
          <w:trHeight w:val="240"/>
        </w:trPr>
        <w:tc>
          <w:tcPr>
            <w:tcW w:w="5159" w:type="dxa"/>
            <w:tcMar>
              <w:top w:w="28" w:type="dxa"/>
              <w:left w:w="0" w:type="dxa"/>
              <w:bottom w:w="57" w:type="dxa"/>
              <w:right w:w="113" w:type="dxa"/>
            </w:tcMar>
            <w:vAlign w:val="bottom"/>
          </w:tcPr>
          <w:p w14:paraId="04244FBB"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color w:val="000000"/>
                <w:sz w:val="16"/>
                <w:szCs w:val="16"/>
                <w:lang w:val="en-US"/>
              </w:rPr>
              <w:t>Balance carried forward from previous period</w:t>
            </w:r>
          </w:p>
        </w:tc>
        <w:tc>
          <w:tcPr>
            <w:tcW w:w="680" w:type="dxa"/>
            <w:tcMar>
              <w:top w:w="28" w:type="dxa"/>
              <w:left w:w="0" w:type="dxa"/>
              <w:bottom w:w="57" w:type="dxa"/>
              <w:right w:w="113" w:type="dxa"/>
            </w:tcMar>
            <w:vAlign w:val="bottom"/>
          </w:tcPr>
          <w:p w14:paraId="00136931"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en-US"/>
              </w:rPr>
            </w:pPr>
          </w:p>
        </w:tc>
        <w:tc>
          <w:tcPr>
            <w:tcW w:w="1418" w:type="dxa"/>
            <w:tcMar>
              <w:top w:w="28" w:type="dxa"/>
              <w:left w:w="0" w:type="dxa"/>
              <w:bottom w:w="57" w:type="dxa"/>
              <w:right w:w="113" w:type="dxa"/>
            </w:tcMar>
            <w:vAlign w:val="bottom"/>
          </w:tcPr>
          <w:p w14:paraId="03B72F62"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2,599 </w:t>
            </w:r>
          </w:p>
        </w:tc>
        <w:tc>
          <w:tcPr>
            <w:tcW w:w="1417" w:type="dxa"/>
            <w:tcMar>
              <w:top w:w="28" w:type="dxa"/>
              <w:left w:w="0" w:type="dxa"/>
              <w:bottom w:w="57" w:type="dxa"/>
              <w:right w:w="113" w:type="dxa"/>
            </w:tcMar>
            <w:vAlign w:val="bottom"/>
          </w:tcPr>
          <w:p w14:paraId="25A16705"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2,452 </w:t>
            </w:r>
          </w:p>
        </w:tc>
        <w:tc>
          <w:tcPr>
            <w:tcW w:w="1417" w:type="dxa"/>
            <w:tcMar>
              <w:top w:w="28" w:type="dxa"/>
              <w:left w:w="0" w:type="dxa"/>
              <w:bottom w:w="57" w:type="dxa"/>
              <w:right w:w="113" w:type="dxa"/>
            </w:tcMar>
            <w:vAlign w:val="bottom"/>
          </w:tcPr>
          <w:p w14:paraId="3BF9F697"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2,599 </w:t>
            </w:r>
          </w:p>
        </w:tc>
      </w:tr>
      <w:tr w:rsidR="009F4E32" w:rsidRPr="009F4E32" w14:paraId="45BC7DBC" w14:textId="77777777" w:rsidTr="000D7121">
        <w:trPr>
          <w:trHeight w:val="240"/>
        </w:trPr>
        <w:tc>
          <w:tcPr>
            <w:tcW w:w="5159" w:type="dxa"/>
            <w:tcMar>
              <w:top w:w="28" w:type="dxa"/>
              <w:left w:w="0" w:type="dxa"/>
              <w:bottom w:w="57" w:type="dxa"/>
              <w:right w:w="113" w:type="dxa"/>
            </w:tcMar>
            <w:vAlign w:val="bottom"/>
          </w:tcPr>
          <w:p w14:paraId="63C6CBD0"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Comprehensive income</w:t>
            </w:r>
          </w:p>
        </w:tc>
        <w:tc>
          <w:tcPr>
            <w:tcW w:w="680" w:type="dxa"/>
            <w:tcMar>
              <w:top w:w="28" w:type="dxa"/>
              <w:left w:w="0" w:type="dxa"/>
              <w:bottom w:w="57" w:type="dxa"/>
              <w:right w:w="113" w:type="dxa"/>
            </w:tcMar>
            <w:vAlign w:val="bottom"/>
          </w:tcPr>
          <w:p w14:paraId="5C85CB4B"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13D4E932"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6A02DAAF"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0A8C5C45"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20D6EAED" w14:textId="77777777" w:rsidTr="000D7121">
        <w:trPr>
          <w:trHeight w:val="240"/>
        </w:trPr>
        <w:tc>
          <w:tcPr>
            <w:tcW w:w="5159" w:type="dxa"/>
            <w:tcMar>
              <w:top w:w="113" w:type="dxa"/>
              <w:left w:w="0" w:type="dxa"/>
              <w:bottom w:w="113" w:type="dxa"/>
              <w:right w:w="113" w:type="dxa"/>
            </w:tcMar>
            <w:vAlign w:val="bottom"/>
          </w:tcPr>
          <w:p w14:paraId="6B3077C0"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color w:val="000000"/>
                <w:sz w:val="16"/>
                <w:szCs w:val="16"/>
                <w:lang w:val="it-IT"/>
              </w:rPr>
              <w:t>Other comprehensive income</w:t>
            </w:r>
          </w:p>
        </w:tc>
        <w:tc>
          <w:tcPr>
            <w:tcW w:w="680" w:type="dxa"/>
            <w:tcMar>
              <w:top w:w="113" w:type="dxa"/>
              <w:left w:w="0" w:type="dxa"/>
              <w:bottom w:w="113" w:type="dxa"/>
              <w:right w:w="113" w:type="dxa"/>
            </w:tcMar>
            <w:vAlign w:val="bottom"/>
          </w:tcPr>
          <w:p w14:paraId="3D6EF484"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113" w:type="dxa"/>
              <w:left w:w="0" w:type="dxa"/>
              <w:bottom w:w="113" w:type="dxa"/>
              <w:right w:w="113" w:type="dxa"/>
            </w:tcMar>
            <w:vAlign w:val="bottom"/>
          </w:tcPr>
          <w:p w14:paraId="64A737DB"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 -</w:t>
            </w:r>
          </w:p>
        </w:tc>
        <w:tc>
          <w:tcPr>
            <w:tcW w:w="1417" w:type="dxa"/>
            <w:tcMar>
              <w:top w:w="113" w:type="dxa"/>
              <w:left w:w="0" w:type="dxa"/>
              <w:bottom w:w="113" w:type="dxa"/>
              <w:right w:w="113" w:type="dxa"/>
            </w:tcMar>
            <w:vAlign w:val="bottom"/>
          </w:tcPr>
          <w:p w14:paraId="7E16A678"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147 </w:t>
            </w:r>
          </w:p>
        </w:tc>
        <w:tc>
          <w:tcPr>
            <w:tcW w:w="1417" w:type="dxa"/>
            <w:tcMar>
              <w:top w:w="113" w:type="dxa"/>
              <w:left w:w="0" w:type="dxa"/>
              <w:bottom w:w="113" w:type="dxa"/>
              <w:right w:w="113" w:type="dxa"/>
            </w:tcMar>
            <w:vAlign w:val="bottom"/>
          </w:tcPr>
          <w:p w14:paraId="45FD4899"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 -</w:t>
            </w:r>
          </w:p>
        </w:tc>
      </w:tr>
      <w:tr w:rsidR="009F4E32" w:rsidRPr="009F4E32" w14:paraId="20E370BB" w14:textId="77777777" w:rsidTr="000D7121">
        <w:trPr>
          <w:trHeight w:val="240"/>
        </w:trPr>
        <w:tc>
          <w:tcPr>
            <w:tcW w:w="5159" w:type="dxa"/>
            <w:shd w:val="clear" w:color="auto" w:fill="F2F2F2" w:themeFill="background1" w:themeFillShade="F2"/>
            <w:tcMar>
              <w:top w:w="113" w:type="dxa"/>
              <w:left w:w="0" w:type="dxa"/>
              <w:bottom w:w="113" w:type="dxa"/>
              <w:right w:w="113" w:type="dxa"/>
            </w:tcMar>
            <w:vAlign w:val="bottom"/>
          </w:tcPr>
          <w:p w14:paraId="6FFF5BAA"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en-US"/>
              </w:rPr>
              <w:t>Total comprehensive income</w:t>
            </w:r>
          </w:p>
        </w:tc>
        <w:tc>
          <w:tcPr>
            <w:tcW w:w="680" w:type="dxa"/>
            <w:shd w:val="clear" w:color="auto" w:fill="F2F2F2" w:themeFill="background1" w:themeFillShade="F2"/>
            <w:tcMar>
              <w:top w:w="113" w:type="dxa"/>
              <w:left w:w="0" w:type="dxa"/>
              <w:bottom w:w="113" w:type="dxa"/>
              <w:right w:w="113" w:type="dxa"/>
            </w:tcMar>
            <w:vAlign w:val="bottom"/>
          </w:tcPr>
          <w:p w14:paraId="326C733B"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shd w:val="clear" w:color="auto" w:fill="F2F2F2" w:themeFill="background1" w:themeFillShade="F2"/>
            <w:tcMar>
              <w:top w:w="113" w:type="dxa"/>
              <w:left w:w="0" w:type="dxa"/>
              <w:bottom w:w="113" w:type="dxa"/>
              <w:right w:w="113" w:type="dxa"/>
            </w:tcMar>
            <w:vAlign w:val="bottom"/>
          </w:tcPr>
          <w:p w14:paraId="058D7C9F"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 -</w:t>
            </w:r>
          </w:p>
        </w:tc>
        <w:tc>
          <w:tcPr>
            <w:tcW w:w="1417" w:type="dxa"/>
            <w:shd w:val="clear" w:color="auto" w:fill="F2F2F2" w:themeFill="background1" w:themeFillShade="F2"/>
            <w:tcMar>
              <w:top w:w="113" w:type="dxa"/>
              <w:left w:w="0" w:type="dxa"/>
              <w:bottom w:w="113" w:type="dxa"/>
              <w:right w:w="113" w:type="dxa"/>
            </w:tcMar>
            <w:vAlign w:val="bottom"/>
          </w:tcPr>
          <w:p w14:paraId="1FF29F9A"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147 </w:t>
            </w:r>
          </w:p>
        </w:tc>
        <w:tc>
          <w:tcPr>
            <w:tcW w:w="1417" w:type="dxa"/>
            <w:shd w:val="clear" w:color="auto" w:fill="F2F2F2" w:themeFill="background1" w:themeFillShade="F2"/>
            <w:tcMar>
              <w:top w:w="113" w:type="dxa"/>
              <w:left w:w="0" w:type="dxa"/>
              <w:bottom w:w="113" w:type="dxa"/>
              <w:right w:w="113" w:type="dxa"/>
            </w:tcMar>
            <w:vAlign w:val="bottom"/>
          </w:tcPr>
          <w:p w14:paraId="39E1A77E"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 -</w:t>
            </w:r>
          </w:p>
        </w:tc>
      </w:tr>
      <w:tr w:rsidR="009F4E32" w:rsidRPr="009F4E32" w14:paraId="78E9F26D" w14:textId="77777777" w:rsidTr="000D7121">
        <w:trPr>
          <w:trHeight w:val="240"/>
        </w:trPr>
        <w:tc>
          <w:tcPr>
            <w:tcW w:w="5159" w:type="dxa"/>
            <w:shd w:val="clear" w:color="auto" w:fill="F2F2F2" w:themeFill="background1" w:themeFillShade="F2"/>
            <w:tcMar>
              <w:top w:w="113" w:type="dxa"/>
              <w:left w:w="0" w:type="dxa"/>
              <w:bottom w:w="113" w:type="dxa"/>
              <w:right w:w="113" w:type="dxa"/>
            </w:tcMar>
            <w:vAlign w:val="bottom"/>
          </w:tcPr>
          <w:p w14:paraId="5068753F"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en-US"/>
              </w:rPr>
              <w:t>Closing balance as at 30 June</w:t>
            </w:r>
          </w:p>
        </w:tc>
        <w:tc>
          <w:tcPr>
            <w:tcW w:w="680" w:type="dxa"/>
            <w:shd w:val="clear" w:color="auto" w:fill="F2F2F2" w:themeFill="background1" w:themeFillShade="F2"/>
            <w:tcMar>
              <w:top w:w="113" w:type="dxa"/>
              <w:left w:w="0" w:type="dxa"/>
              <w:bottom w:w="113" w:type="dxa"/>
              <w:right w:w="113" w:type="dxa"/>
            </w:tcMar>
            <w:vAlign w:val="bottom"/>
          </w:tcPr>
          <w:p w14:paraId="5266DE62"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en-US"/>
              </w:rPr>
            </w:pPr>
          </w:p>
        </w:tc>
        <w:tc>
          <w:tcPr>
            <w:tcW w:w="1418" w:type="dxa"/>
            <w:shd w:val="clear" w:color="auto" w:fill="F2F2F2" w:themeFill="background1" w:themeFillShade="F2"/>
            <w:tcMar>
              <w:top w:w="113" w:type="dxa"/>
              <w:left w:w="0" w:type="dxa"/>
              <w:bottom w:w="113" w:type="dxa"/>
              <w:right w:w="113" w:type="dxa"/>
            </w:tcMar>
            <w:vAlign w:val="bottom"/>
          </w:tcPr>
          <w:p w14:paraId="4F6E300A"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2,599 </w:t>
            </w:r>
          </w:p>
        </w:tc>
        <w:tc>
          <w:tcPr>
            <w:tcW w:w="1417" w:type="dxa"/>
            <w:shd w:val="clear" w:color="auto" w:fill="F2F2F2" w:themeFill="background1" w:themeFillShade="F2"/>
            <w:tcMar>
              <w:top w:w="113" w:type="dxa"/>
              <w:left w:w="0" w:type="dxa"/>
              <w:bottom w:w="113" w:type="dxa"/>
              <w:right w:w="113" w:type="dxa"/>
            </w:tcMar>
            <w:vAlign w:val="bottom"/>
          </w:tcPr>
          <w:p w14:paraId="5135D2B0"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2,599 </w:t>
            </w:r>
          </w:p>
        </w:tc>
        <w:tc>
          <w:tcPr>
            <w:tcW w:w="1417" w:type="dxa"/>
            <w:shd w:val="clear" w:color="auto" w:fill="F2F2F2" w:themeFill="background1" w:themeFillShade="F2"/>
            <w:tcMar>
              <w:top w:w="113" w:type="dxa"/>
              <w:left w:w="0" w:type="dxa"/>
              <w:bottom w:w="113" w:type="dxa"/>
              <w:right w:w="113" w:type="dxa"/>
            </w:tcMar>
            <w:vAlign w:val="bottom"/>
          </w:tcPr>
          <w:p w14:paraId="18E088B9"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2,599 </w:t>
            </w:r>
          </w:p>
        </w:tc>
      </w:tr>
      <w:tr w:rsidR="009F4E32" w:rsidRPr="009F4E32" w14:paraId="5033B1F8" w14:textId="77777777" w:rsidTr="000D7121">
        <w:trPr>
          <w:trHeight w:val="113"/>
        </w:trPr>
        <w:tc>
          <w:tcPr>
            <w:tcW w:w="5159" w:type="dxa"/>
            <w:tcMar>
              <w:top w:w="227" w:type="dxa"/>
              <w:left w:w="0" w:type="dxa"/>
              <w:bottom w:w="57" w:type="dxa"/>
              <w:right w:w="113" w:type="dxa"/>
            </w:tcMar>
            <w:vAlign w:val="bottom"/>
          </w:tcPr>
          <w:p w14:paraId="42063BE7"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r w:rsidRPr="009F4E32">
              <w:rPr>
                <w:rFonts w:cs="Open Sans"/>
                <w:b/>
                <w:bCs/>
                <w:color w:val="2BB8C9"/>
                <w:sz w:val="16"/>
                <w:szCs w:val="16"/>
                <w:lang w:val="en-US"/>
              </w:rPr>
              <w:t>TOTAL EQUITY</w:t>
            </w:r>
          </w:p>
        </w:tc>
        <w:tc>
          <w:tcPr>
            <w:tcW w:w="680" w:type="dxa"/>
            <w:tcMar>
              <w:top w:w="227" w:type="dxa"/>
              <w:left w:w="0" w:type="dxa"/>
              <w:bottom w:w="57" w:type="dxa"/>
              <w:right w:w="113" w:type="dxa"/>
            </w:tcMar>
            <w:vAlign w:val="bottom"/>
          </w:tcPr>
          <w:p w14:paraId="0434F3F3"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27" w:type="dxa"/>
              <w:left w:w="0" w:type="dxa"/>
              <w:bottom w:w="57" w:type="dxa"/>
              <w:right w:w="113" w:type="dxa"/>
            </w:tcMar>
            <w:vAlign w:val="bottom"/>
          </w:tcPr>
          <w:p w14:paraId="7E7F5B62"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76E1C1F3"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4DDA7127"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3801B491" w14:textId="77777777" w:rsidTr="000D7121">
        <w:trPr>
          <w:trHeight w:val="219"/>
        </w:trPr>
        <w:tc>
          <w:tcPr>
            <w:tcW w:w="5159" w:type="dxa"/>
            <w:tcMar>
              <w:top w:w="28" w:type="dxa"/>
              <w:left w:w="0" w:type="dxa"/>
              <w:bottom w:w="57" w:type="dxa"/>
              <w:right w:w="113" w:type="dxa"/>
            </w:tcMar>
            <w:vAlign w:val="bottom"/>
          </w:tcPr>
          <w:p w14:paraId="6A3F57E6"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Opening balance</w:t>
            </w:r>
          </w:p>
        </w:tc>
        <w:tc>
          <w:tcPr>
            <w:tcW w:w="680" w:type="dxa"/>
            <w:tcMar>
              <w:top w:w="28" w:type="dxa"/>
              <w:left w:w="0" w:type="dxa"/>
              <w:bottom w:w="57" w:type="dxa"/>
              <w:right w:w="113" w:type="dxa"/>
            </w:tcMar>
            <w:vAlign w:val="bottom"/>
          </w:tcPr>
          <w:p w14:paraId="1B1C0679"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1D31035C"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7C5AAB1F"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3D63C823"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55401D66" w14:textId="77777777" w:rsidTr="000D7121">
        <w:trPr>
          <w:trHeight w:val="240"/>
        </w:trPr>
        <w:tc>
          <w:tcPr>
            <w:tcW w:w="5159" w:type="dxa"/>
            <w:tcMar>
              <w:top w:w="28" w:type="dxa"/>
              <w:left w:w="0" w:type="dxa"/>
              <w:bottom w:w="57" w:type="dxa"/>
              <w:right w:w="113" w:type="dxa"/>
            </w:tcMar>
            <w:vAlign w:val="bottom"/>
          </w:tcPr>
          <w:p w14:paraId="3478EDF3"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color w:val="000000"/>
                <w:sz w:val="16"/>
                <w:szCs w:val="16"/>
                <w:lang w:val="en-US"/>
              </w:rPr>
              <w:t>Balance carried forward from previous period</w:t>
            </w:r>
          </w:p>
        </w:tc>
        <w:tc>
          <w:tcPr>
            <w:tcW w:w="680" w:type="dxa"/>
            <w:tcMar>
              <w:top w:w="28" w:type="dxa"/>
              <w:left w:w="0" w:type="dxa"/>
              <w:bottom w:w="57" w:type="dxa"/>
              <w:right w:w="113" w:type="dxa"/>
            </w:tcMar>
            <w:vAlign w:val="bottom"/>
          </w:tcPr>
          <w:p w14:paraId="1E4D63DD"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en-US"/>
              </w:rPr>
            </w:pPr>
          </w:p>
        </w:tc>
        <w:tc>
          <w:tcPr>
            <w:tcW w:w="1418" w:type="dxa"/>
            <w:tcMar>
              <w:top w:w="28" w:type="dxa"/>
              <w:left w:w="0" w:type="dxa"/>
              <w:bottom w:w="57" w:type="dxa"/>
              <w:right w:w="113" w:type="dxa"/>
            </w:tcMar>
            <w:vAlign w:val="bottom"/>
          </w:tcPr>
          <w:p w14:paraId="19FCCDEF"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7,449 </w:t>
            </w:r>
          </w:p>
        </w:tc>
        <w:tc>
          <w:tcPr>
            <w:tcW w:w="1417" w:type="dxa"/>
            <w:tcMar>
              <w:top w:w="28" w:type="dxa"/>
              <w:left w:w="0" w:type="dxa"/>
              <w:bottom w:w="57" w:type="dxa"/>
              <w:right w:w="113" w:type="dxa"/>
            </w:tcMar>
            <w:vAlign w:val="bottom"/>
          </w:tcPr>
          <w:p w14:paraId="12750997"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(7,774)</w:t>
            </w:r>
          </w:p>
        </w:tc>
        <w:tc>
          <w:tcPr>
            <w:tcW w:w="1417" w:type="dxa"/>
            <w:tcMar>
              <w:top w:w="28" w:type="dxa"/>
              <w:left w:w="0" w:type="dxa"/>
              <w:bottom w:w="57" w:type="dxa"/>
              <w:right w:w="113" w:type="dxa"/>
            </w:tcMar>
            <w:vAlign w:val="bottom"/>
          </w:tcPr>
          <w:p w14:paraId="2EFDAF70"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6,981 </w:t>
            </w:r>
          </w:p>
        </w:tc>
      </w:tr>
      <w:tr w:rsidR="009F4E32" w:rsidRPr="009F4E32" w14:paraId="3DA22091" w14:textId="77777777" w:rsidTr="000D7121">
        <w:trPr>
          <w:trHeight w:val="240"/>
        </w:trPr>
        <w:tc>
          <w:tcPr>
            <w:tcW w:w="5159" w:type="dxa"/>
            <w:tcMar>
              <w:top w:w="113" w:type="dxa"/>
              <w:left w:w="0" w:type="dxa"/>
              <w:bottom w:w="113" w:type="dxa"/>
              <w:right w:w="113" w:type="dxa"/>
            </w:tcMar>
            <w:vAlign w:val="bottom"/>
          </w:tcPr>
          <w:p w14:paraId="17B4B75C"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Adjusted opening balance</w:t>
            </w:r>
          </w:p>
        </w:tc>
        <w:tc>
          <w:tcPr>
            <w:tcW w:w="680" w:type="dxa"/>
            <w:tcMar>
              <w:top w:w="113" w:type="dxa"/>
              <w:left w:w="0" w:type="dxa"/>
              <w:bottom w:w="113" w:type="dxa"/>
              <w:right w:w="113" w:type="dxa"/>
            </w:tcMar>
            <w:vAlign w:val="bottom"/>
          </w:tcPr>
          <w:p w14:paraId="0AEB0E14" w14:textId="7632B0AB"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p>
        </w:tc>
        <w:tc>
          <w:tcPr>
            <w:tcW w:w="1418" w:type="dxa"/>
            <w:tcMar>
              <w:top w:w="113" w:type="dxa"/>
              <w:left w:w="0" w:type="dxa"/>
              <w:bottom w:w="113" w:type="dxa"/>
              <w:right w:w="113" w:type="dxa"/>
            </w:tcMar>
            <w:vAlign w:val="bottom"/>
          </w:tcPr>
          <w:p w14:paraId="7687DDF1"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7,449 </w:t>
            </w:r>
          </w:p>
        </w:tc>
        <w:tc>
          <w:tcPr>
            <w:tcW w:w="1417" w:type="dxa"/>
            <w:tcMar>
              <w:top w:w="113" w:type="dxa"/>
              <w:left w:w="0" w:type="dxa"/>
              <w:bottom w:w="113" w:type="dxa"/>
              <w:right w:w="113" w:type="dxa"/>
            </w:tcMar>
            <w:vAlign w:val="bottom"/>
          </w:tcPr>
          <w:p w14:paraId="555A6E18"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(7,774)</w:t>
            </w:r>
          </w:p>
        </w:tc>
        <w:tc>
          <w:tcPr>
            <w:tcW w:w="1417" w:type="dxa"/>
            <w:tcMar>
              <w:top w:w="113" w:type="dxa"/>
              <w:left w:w="0" w:type="dxa"/>
              <w:bottom w:w="113" w:type="dxa"/>
              <w:right w:w="113" w:type="dxa"/>
            </w:tcMar>
            <w:vAlign w:val="bottom"/>
          </w:tcPr>
          <w:p w14:paraId="093E7F31"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6,981 </w:t>
            </w:r>
          </w:p>
        </w:tc>
      </w:tr>
      <w:tr w:rsidR="009F4E32" w:rsidRPr="009F4E32" w14:paraId="1950E0EB" w14:textId="77777777" w:rsidTr="000D7121">
        <w:trPr>
          <w:trHeight w:val="240"/>
        </w:trPr>
        <w:tc>
          <w:tcPr>
            <w:tcW w:w="5159" w:type="dxa"/>
            <w:tcMar>
              <w:top w:w="227" w:type="dxa"/>
              <w:left w:w="0" w:type="dxa"/>
              <w:bottom w:w="57" w:type="dxa"/>
              <w:right w:w="113" w:type="dxa"/>
            </w:tcMar>
            <w:vAlign w:val="bottom"/>
          </w:tcPr>
          <w:p w14:paraId="0FC82322"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Comprehensive income</w:t>
            </w:r>
          </w:p>
        </w:tc>
        <w:tc>
          <w:tcPr>
            <w:tcW w:w="680" w:type="dxa"/>
            <w:tcMar>
              <w:top w:w="227" w:type="dxa"/>
              <w:left w:w="0" w:type="dxa"/>
              <w:bottom w:w="57" w:type="dxa"/>
              <w:right w:w="113" w:type="dxa"/>
            </w:tcMar>
            <w:vAlign w:val="bottom"/>
          </w:tcPr>
          <w:p w14:paraId="0BF89BA2" w14:textId="77777777" w:rsidR="00E445AB" w:rsidRPr="009F4E32" w:rsidRDefault="00E445AB"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27" w:type="dxa"/>
              <w:left w:w="0" w:type="dxa"/>
              <w:bottom w:w="57" w:type="dxa"/>
              <w:right w:w="113" w:type="dxa"/>
            </w:tcMar>
            <w:vAlign w:val="bottom"/>
          </w:tcPr>
          <w:p w14:paraId="5B7745E1"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09C0B324"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40A51CDB"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130444D3" w14:textId="77777777" w:rsidTr="000D7121">
        <w:trPr>
          <w:trHeight w:val="240"/>
        </w:trPr>
        <w:tc>
          <w:tcPr>
            <w:tcW w:w="5159" w:type="dxa"/>
            <w:tcMar>
              <w:top w:w="28" w:type="dxa"/>
              <w:left w:w="0" w:type="dxa"/>
              <w:bottom w:w="57" w:type="dxa"/>
              <w:right w:w="113" w:type="dxa"/>
            </w:tcMar>
            <w:vAlign w:val="bottom"/>
          </w:tcPr>
          <w:p w14:paraId="4ED1454D"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color w:val="000000"/>
                <w:sz w:val="16"/>
                <w:szCs w:val="16"/>
                <w:lang w:val="en-US"/>
              </w:rPr>
              <w:t>Surplus/(Deficit) for the period</w:t>
            </w:r>
          </w:p>
        </w:tc>
        <w:tc>
          <w:tcPr>
            <w:tcW w:w="680" w:type="dxa"/>
            <w:tcMar>
              <w:top w:w="28" w:type="dxa"/>
              <w:left w:w="0" w:type="dxa"/>
              <w:bottom w:w="57" w:type="dxa"/>
              <w:right w:w="113" w:type="dxa"/>
            </w:tcMar>
            <w:vAlign w:val="bottom"/>
          </w:tcPr>
          <w:p w14:paraId="4D5C8213"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en-US"/>
              </w:rPr>
            </w:pPr>
          </w:p>
        </w:tc>
        <w:tc>
          <w:tcPr>
            <w:tcW w:w="1418" w:type="dxa"/>
            <w:tcMar>
              <w:top w:w="28" w:type="dxa"/>
              <w:left w:w="0" w:type="dxa"/>
              <w:bottom w:w="57" w:type="dxa"/>
              <w:right w:w="113" w:type="dxa"/>
            </w:tcMar>
            <w:vAlign w:val="bottom"/>
          </w:tcPr>
          <w:p w14:paraId="70F6EA57"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5,634 </w:t>
            </w:r>
          </w:p>
        </w:tc>
        <w:tc>
          <w:tcPr>
            <w:tcW w:w="1417" w:type="dxa"/>
            <w:tcMar>
              <w:top w:w="28" w:type="dxa"/>
              <w:left w:w="0" w:type="dxa"/>
              <w:bottom w:w="57" w:type="dxa"/>
              <w:right w:w="113" w:type="dxa"/>
            </w:tcMar>
            <w:vAlign w:val="bottom"/>
          </w:tcPr>
          <w:p w14:paraId="4B890AD5"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(974)</w:t>
            </w:r>
          </w:p>
        </w:tc>
        <w:tc>
          <w:tcPr>
            <w:tcW w:w="1417" w:type="dxa"/>
            <w:tcMar>
              <w:top w:w="28" w:type="dxa"/>
              <w:left w:w="0" w:type="dxa"/>
              <w:bottom w:w="57" w:type="dxa"/>
              <w:right w:w="113" w:type="dxa"/>
            </w:tcMar>
            <w:vAlign w:val="bottom"/>
          </w:tcPr>
          <w:p w14:paraId="6371778D"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(1)</w:t>
            </w:r>
          </w:p>
        </w:tc>
      </w:tr>
      <w:tr w:rsidR="009F4E32" w:rsidRPr="009F4E32" w14:paraId="00712E3E" w14:textId="77777777" w:rsidTr="000D7121">
        <w:trPr>
          <w:trHeight w:val="240"/>
        </w:trPr>
        <w:tc>
          <w:tcPr>
            <w:tcW w:w="5159" w:type="dxa"/>
            <w:tcMar>
              <w:top w:w="113" w:type="dxa"/>
              <w:left w:w="0" w:type="dxa"/>
              <w:bottom w:w="113" w:type="dxa"/>
              <w:right w:w="113" w:type="dxa"/>
            </w:tcMar>
            <w:vAlign w:val="bottom"/>
          </w:tcPr>
          <w:p w14:paraId="25D11C02"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color w:val="000000"/>
                <w:sz w:val="16"/>
                <w:szCs w:val="16"/>
                <w:lang w:val="it-IT"/>
              </w:rPr>
              <w:t>Other comprehensive income</w:t>
            </w:r>
          </w:p>
        </w:tc>
        <w:tc>
          <w:tcPr>
            <w:tcW w:w="680" w:type="dxa"/>
            <w:tcMar>
              <w:top w:w="113" w:type="dxa"/>
              <w:left w:w="0" w:type="dxa"/>
              <w:bottom w:w="113" w:type="dxa"/>
              <w:right w:w="113" w:type="dxa"/>
            </w:tcMar>
            <w:vAlign w:val="bottom"/>
          </w:tcPr>
          <w:p w14:paraId="622C4BE5"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113" w:type="dxa"/>
              <w:left w:w="0" w:type="dxa"/>
              <w:bottom w:w="113" w:type="dxa"/>
              <w:right w:w="113" w:type="dxa"/>
            </w:tcMar>
            <w:vAlign w:val="bottom"/>
          </w:tcPr>
          <w:p w14:paraId="586881DB"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 </w:t>
            </w:r>
            <w:r w:rsidRPr="009F4E32">
              <w:rPr>
                <w:rFonts w:cs="Open Sans"/>
                <w:b/>
                <w:bCs/>
                <w:color w:val="000000"/>
                <w:sz w:val="16"/>
                <w:szCs w:val="16"/>
                <w:lang w:val="it-IT"/>
              </w:rPr>
              <w:t>-</w:t>
            </w:r>
          </w:p>
        </w:tc>
        <w:tc>
          <w:tcPr>
            <w:tcW w:w="1417" w:type="dxa"/>
            <w:tcMar>
              <w:top w:w="113" w:type="dxa"/>
              <w:left w:w="0" w:type="dxa"/>
              <w:bottom w:w="113" w:type="dxa"/>
              <w:right w:w="113" w:type="dxa"/>
            </w:tcMar>
            <w:vAlign w:val="bottom"/>
          </w:tcPr>
          <w:p w14:paraId="3C4A9D74"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147</w:t>
            </w:r>
          </w:p>
        </w:tc>
        <w:tc>
          <w:tcPr>
            <w:tcW w:w="1417" w:type="dxa"/>
            <w:tcMar>
              <w:top w:w="113" w:type="dxa"/>
              <w:left w:w="0" w:type="dxa"/>
              <w:bottom w:w="113" w:type="dxa"/>
              <w:right w:w="113" w:type="dxa"/>
            </w:tcMar>
            <w:vAlign w:val="bottom"/>
          </w:tcPr>
          <w:p w14:paraId="15873E64"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 -</w:t>
            </w:r>
          </w:p>
        </w:tc>
      </w:tr>
      <w:tr w:rsidR="009F4E32" w:rsidRPr="009F4E32" w14:paraId="42909BD0" w14:textId="77777777" w:rsidTr="000D7121">
        <w:trPr>
          <w:trHeight w:val="240"/>
        </w:trPr>
        <w:tc>
          <w:tcPr>
            <w:tcW w:w="5159"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11079E93"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Total comprehensive income</w:t>
            </w:r>
          </w:p>
        </w:tc>
        <w:tc>
          <w:tcPr>
            <w:tcW w:w="680"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6C5B1AA8"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b/>
                <w:bCs/>
                <w:color w:val="000000"/>
                <w:sz w:val="16"/>
                <w:szCs w:val="16"/>
                <w:rtl/>
                <w:lang w:val="en-US" w:bidi="ar-YE"/>
              </w:rPr>
              <w:t> </w:t>
            </w:r>
          </w:p>
        </w:tc>
        <w:tc>
          <w:tcPr>
            <w:tcW w:w="1418"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7E1A9FA4"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5,634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E6B61B8"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(827)</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890B585"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(1)</w:t>
            </w:r>
          </w:p>
        </w:tc>
      </w:tr>
      <w:tr w:rsidR="009F4E32" w:rsidRPr="009F4E32" w14:paraId="7457D39C" w14:textId="77777777" w:rsidTr="000D7121">
        <w:trPr>
          <w:trHeight w:val="283"/>
        </w:trPr>
        <w:tc>
          <w:tcPr>
            <w:tcW w:w="5159" w:type="dxa"/>
            <w:tcBorders>
              <w:top w:val="nil"/>
            </w:tcBorders>
            <w:tcMar>
              <w:top w:w="28" w:type="dxa"/>
              <w:left w:w="0" w:type="dxa"/>
              <w:bottom w:w="57" w:type="dxa"/>
              <w:right w:w="113" w:type="dxa"/>
            </w:tcMar>
            <w:vAlign w:val="bottom"/>
          </w:tcPr>
          <w:p w14:paraId="40B65500"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b/>
                <w:bCs/>
                <w:color w:val="000000"/>
                <w:sz w:val="16"/>
                <w:szCs w:val="16"/>
                <w:lang w:val="it-IT"/>
              </w:rPr>
              <w:t>Contributions by owners</w:t>
            </w:r>
          </w:p>
        </w:tc>
        <w:tc>
          <w:tcPr>
            <w:tcW w:w="680" w:type="dxa"/>
            <w:tcBorders>
              <w:top w:val="nil"/>
            </w:tcBorders>
            <w:tcMar>
              <w:top w:w="28" w:type="dxa"/>
              <w:left w:w="0" w:type="dxa"/>
              <w:bottom w:w="57" w:type="dxa"/>
              <w:right w:w="113" w:type="dxa"/>
            </w:tcMar>
            <w:vAlign w:val="bottom"/>
          </w:tcPr>
          <w:p w14:paraId="2DE7C40E"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Borders>
              <w:top w:val="nil"/>
            </w:tcBorders>
            <w:tcMar>
              <w:top w:w="28" w:type="dxa"/>
              <w:left w:w="0" w:type="dxa"/>
              <w:bottom w:w="57" w:type="dxa"/>
              <w:right w:w="113" w:type="dxa"/>
            </w:tcMar>
            <w:vAlign w:val="bottom"/>
          </w:tcPr>
          <w:p w14:paraId="2F592BDF"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Borders>
              <w:top w:val="nil"/>
            </w:tcBorders>
            <w:tcMar>
              <w:top w:w="28" w:type="dxa"/>
              <w:left w:w="0" w:type="dxa"/>
              <w:bottom w:w="57" w:type="dxa"/>
              <w:right w:w="113" w:type="dxa"/>
            </w:tcMar>
            <w:vAlign w:val="bottom"/>
          </w:tcPr>
          <w:p w14:paraId="0AF4DB3D"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7" w:type="dxa"/>
            <w:tcBorders>
              <w:top w:val="nil"/>
            </w:tcBorders>
            <w:tcMar>
              <w:top w:w="28" w:type="dxa"/>
              <w:left w:w="0" w:type="dxa"/>
              <w:bottom w:w="57" w:type="dxa"/>
              <w:right w:w="113" w:type="dxa"/>
            </w:tcMar>
            <w:vAlign w:val="bottom"/>
          </w:tcPr>
          <w:p w14:paraId="6E8B62BD"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r>
      <w:tr w:rsidR="009F4E32" w:rsidRPr="009F4E32" w14:paraId="23FD9D26" w14:textId="77777777" w:rsidTr="000D7121">
        <w:trPr>
          <w:trHeight w:val="240"/>
        </w:trPr>
        <w:tc>
          <w:tcPr>
            <w:tcW w:w="5159" w:type="dxa"/>
            <w:tcMar>
              <w:top w:w="113" w:type="dxa"/>
              <w:left w:w="0" w:type="dxa"/>
              <w:bottom w:w="113" w:type="dxa"/>
              <w:right w:w="113" w:type="dxa"/>
            </w:tcMar>
            <w:vAlign w:val="bottom"/>
          </w:tcPr>
          <w:p w14:paraId="685DF78A"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9F4E32">
              <w:rPr>
                <w:rFonts w:cs="Open Sans"/>
                <w:color w:val="000000"/>
                <w:sz w:val="16"/>
                <w:szCs w:val="16"/>
                <w:lang w:val="it-IT"/>
              </w:rPr>
              <w:t>Equity injection</w:t>
            </w:r>
          </w:p>
        </w:tc>
        <w:tc>
          <w:tcPr>
            <w:tcW w:w="680" w:type="dxa"/>
            <w:tcMar>
              <w:top w:w="113" w:type="dxa"/>
              <w:left w:w="0" w:type="dxa"/>
              <w:bottom w:w="113" w:type="dxa"/>
              <w:right w:w="113" w:type="dxa"/>
            </w:tcMar>
            <w:vAlign w:val="bottom"/>
          </w:tcPr>
          <w:p w14:paraId="77EE4A50" w14:textId="77777777" w:rsidR="009F4E32" w:rsidRPr="009F4E32" w:rsidRDefault="009F4E32" w:rsidP="00E445AB">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113" w:type="dxa"/>
              <w:left w:w="0" w:type="dxa"/>
              <w:bottom w:w="113" w:type="dxa"/>
              <w:right w:w="113" w:type="dxa"/>
            </w:tcMar>
            <w:vAlign w:val="bottom"/>
          </w:tcPr>
          <w:p w14:paraId="0BA5CF75"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 -</w:t>
            </w:r>
          </w:p>
        </w:tc>
        <w:tc>
          <w:tcPr>
            <w:tcW w:w="1417" w:type="dxa"/>
            <w:tcMar>
              <w:top w:w="113" w:type="dxa"/>
              <w:left w:w="0" w:type="dxa"/>
              <w:bottom w:w="113" w:type="dxa"/>
              <w:right w:w="113" w:type="dxa"/>
            </w:tcMar>
            <w:vAlign w:val="bottom"/>
          </w:tcPr>
          <w:p w14:paraId="731480A9"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16,050 </w:t>
            </w:r>
          </w:p>
        </w:tc>
        <w:tc>
          <w:tcPr>
            <w:tcW w:w="1417" w:type="dxa"/>
            <w:tcMar>
              <w:top w:w="113" w:type="dxa"/>
              <w:left w:w="0" w:type="dxa"/>
              <w:bottom w:w="113" w:type="dxa"/>
              <w:right w:w="113" w:type="dxa"/>
            </w:tcMar>
            <w:vAlign w:val="bottom"/>
          </w:tcPr>
          <w:p w14:paraId="7498C655"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 -</w:t>
            </w:r>
          </w:p>
        </w:tc>
      </w:tr>
      <w:tr w:rsidR="009F4E32" w:rsidRPr="009F4E32" w14:paraId="43D57379" w14:textId="77777777" w:rsidTr="000D7121">
        <w:trPr>
          <w:trHeight w:val="240"/>
        </w:trPr>
        <w:tc>
          <w:tcPr>
            <w:tcW w:w="5159" w:type="dxa"/>
            <w:shd w:val="clear" w:color="auto" w:fill="F2F2F2" w:themeFill="background1" w:themeFillShade="F2"/>
            <w:tcMar>
              <w:top w:w="113" w:type="dxa"/>
              <w:left w:w="0" w:type="dxa"/>
              <w:bottom w:w="113" w:type="dxa"/>
              <w:right w:w="113" w:type="dxa"/>
            </w:tcMar>
            <w:vAlign w:val="bottom"/>
          </w:tcPr>
          <w:p w14:paraId="53826E6E"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it-IT"/>
              </w:rPr>
              <w:t>Total transactions with owners</w:t>
            </w:r>
          </w:p>
        </w:tc>
        <w:tc>
          <w:tcPr>
            <w:tcW w:w="680" w:type="dxa"/>
            <w:shd w:val="clear" w:color="auto" w:fill="F2F2F2" w:themeFill="background1" w:themeFillShade="F2"/>
            <w:tcMar>
              <w:top w:w="113" w:type="dxa"/>
              <w:left w:w="0" w:type="dxa"/>
              <w:bottom w:w="113" w:type="dxa"/>
              <w:right w:w="113" w:type="dxa"/>
            </w:tcMar>
            <w:vAlign w:val="bottom"/>
          </w:tcPr>
          <w:p w14:paraId="4DD35192"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b/>
                <w:bCs/>
                <w:color w:val="000000"/>
                <w:sz w:val="16"/>
                <w:szCs w:val="16"/>
                <w:rtl/>
                <w:lang w:val="en-US" w:bidi="ar-YE"/>
              </w:rPr>
              <w:t> </w:t>
            </w:r>
          </w:p>
        </w:tc>
        <w:tc>
          <w:tcPr>
            <w:tcW w:w="1418" w:type="dxa"/>
            <w:shd w:val="clear" w:color="auto" w:fill="F2F2F2" w:themeFill="background1" w:themeFillShade="F2"/>
            <w:tcMar>
              <w:top w:w="113" w:type="dxa"/>
              <w:left w:w="0" w:type="dxa"/>
              <w:bottom w:w="113" w:type="dxa"/>
              <w:right w:w="113" w:type="dxa"/>
            </w:tcMar>
            <w:vAlign w:val="bottom"/>
          </w:tcPr>
          <w:p w14:paraId="3EED1F30"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 -</w:t>
            </w:r>
          </w:p>
        </w:tc>
        <w:tc>
          <w:tcPr>
            <w:tcW w:w="1417" w:type="dxa"/>
            <w:shd w:val="clear" w:color="auto" w:fill="F2F2F2" w:themeFill="background1" w:themeFillShade="F2"/>
            <w:tcMar>
              <w:top w:w="113" w:type="dxa"/>
              <w:left w:w="0" w:type="dxa"/>
              <w:bottom w:w="113" w:type="dxa"/>
              <w:right w:w="113" w:type="dxa"/>
            </w:tcMar>
            <w:vAlign w:val="bottom"/>
          </w:tcPr>
          <w:p w14:paraId="29D2436A"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16,050 </w:t>
            </w:r>
          </w:p>
        </w:tc>
        <w:tc>
          <w:tcPr>
            <w:tcW w:w="1417" w:type="dxa"/>
            <w:shd w:val="clear" w:color="auto" w:fill="F2F2F2" w:themeFill="background1" w:themeFillShade="F2"/>
            <w:tcMar>
              <w:top w:w="113" w:type="dxa"/>
              <w:left w:w="0" w:type="dxa"/>
              <w:bottom w:w="113" w:type="dxa"/>
              <w:right w:w="113" w:type="dxa"/>
            </w:tcMar>
            <w:vAlign w:val="bottom"/>
          </w:tcPr>
          <w:p w14:paraId="0270FE39"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 -</w:t>
            </w:r>
          </w:p>
        </w:tc>
      </w:tr>
      <w:tr w:rsidR="009F4E32" w:rsidRPr="009F4E32" w14:paraId="269954E1" w14:textId="77777777" w:rsidTr="000D7121">
        <w:trPr>
          <w:trHeight w:val="240"/>
        </w:trPr>
        <w:tc>
          <w:tcPr>
            <w:tcW w:w="5159"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6EBBCD96"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b/>
                <w:bCs/>
                <w:color w:val="000000"/>
                <w:sz w:val="16"/>
                <w:szCs w:val="16"/>
                <w:lang w:val="en-US"/>
              </w:rPr>
              <w:t>Closing balance as at 30 June</w:t>
            </w:r>
          </w:p>
        </w:tc>
        <w:tc>
          <w:tcPr>
            <w:tcW w:w="680"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35CAE22A"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b/>
                <w:bCs/>
                <w:color w:val="000000"/>
                <w:sz w:val="16"/>
                <w:szCs w:val="16"/>
                <w:rtl/>
                <w:lang w:val="en-US" w:bidi="ar-YE"/>
              </w:rPr>
              <w:t> </w:t>
            </w:r>
          </w:p>
        </w:tc>
        <w:tc>
          <w:tcPr>
            <w:tcW w:w="1418"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435323AC"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b/>
                <w:bCs/>
                <w:color w:val="000000"/>
                <w:sz w:val="16"/>
                <w:szCs w:val="16"/>
                <w:lang w:val="it-IT"/>
              </w:rPr>
              <w:t xml:space="preserve">13,083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678C6316"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7,449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0FC22886"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9F4E32">
              <w:rPr>
                <w:rFonts w:cs="Open Sans"/>
                <w:color w:val="000000"/>
                <w:sz w:val="16"/>
                <w:szCs w:val="16"/>
                <w:lang w:val="it-IT"/>
              </w:rPr>
              <w:t xml:space="preserve">6,980 </w:t>
            </w:r>
          </w:p>
        </w:tc>
      </w:tr>
      <w:tr w:rsidR="009F4E32" w:rsidRPr="009F4E32" w14:paraId="0D8E1365" w14:textId="77777777" w:rsidTr="000D7121">
        <w:trPr>
          <w:trHeight w:val="240"/>
        </w:trPr>
        <w:tc>
          <w:tcPr>
            <w:tcW w:w="10091" w:type="dxa"/>
            <w:gridSpan w:val="5"/>
            <w:tcBorders>
              <w:bottom w:val="nil"/>
            </w:tcBorders>
            <w:tcMar>
              <w:top w:w="227" w:type="dxa"/>
              <w:left w:w="0" w:type="dxa"/>
              <w:bottom w:w="57" w:type="dxa"/>
              <w:right w:w="113" w:type="dxa"/>
            </w:tcMar>
            <w:vAlign w:val="bottom"/>
          </w:tcPr>
          <w:p w14:paraId="6359F80E" w14:textId="77777777" w:rsidR="009F4E32" w:rsidRPr="009F4E32" w:rsidRDefault="009F4E32" w:rsidP="00E445AB">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9F4E32">
              <w:rPr>
                <w:rFonts w:cs="Open Sans"/>
                <w:color w:val="000000"/>
                <w:sz w:val="16"/>
                <w:szCs w:val="16"/>
                <w:lang w:val="en-US"/>
              </w:rPr>
              <w:t>The above statement should be read in conjunction with the accompanying notes.</w:t>
            </w:r>
          </w:p>
        </w:tc>
      </w:tr>
    </w:tbl>
    <w:p w14:paraId="0D172766" w14:textId="77777777" w:rsidR="009F4E32" w:rsidRDefault="009F4E32" w:rsidP="00716F8A">
      <w:pPr>
        <w:autoSpaceDE w:val="0"/>
        <w:autoSpaceDN w:val="0"/>
        <w:adjustRightInd w:val="0"/>
        <w:spacing w:after="160" w:line="201" w:lineRule="atLeast"/>
        <w:rPr>
          <w:rFonts w:cs="Open Sans"/>
          <w:highlight w:val="yellow"/>
          <w:lang w:eastAsia="en-US"/>
        </w:rPr>
      </w:pPr>
    </w:p>
    <w:p w14:paraId="04C1DE8F"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57" w:after="113"/>
        <w:textAlignment w:val="center"/>
        <w:rPr>
          <w:rFonts w:cs="Open Sans"/>
          <w:b/>
          <w:bCs/>
          <w:color w:val="000000"/>
          <w:sz w:val="16"/>
          <w:szCs w:val="16"/>
          <w:lang w:val="en-US"/>
        </w:rPr>
      </w:pPr>
      <w:r w:rsidRPr="009F4E32">
        <w:rPr>
          <w:rFonts w:cs="Open Sans"/>
          <w:b/>
          <w:bCs/>
          <w:color w:val="000000"/>
          <w:sz w:val="16"/>
          <w:szCs w:val="16"/>
          <w:lang w:val="en-US"/>
        </w:rPr>
        <w:t>Accounting Policy</w:t>
      </w:r>
    </w:p>
    <w:p w14:paraId="1C83CD0C"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0" w:after="113"/>
        <w:textAlignment w:val="center"/>
        <w:rPr>
          <w:rFonts w:cs="Open Sans"/>
          <w:i/>
          <w:iCs/>
          <w:color w:val="000000"/>
          <w:sz w:val="16"/>
          <w:szCs w:val="16"/>
          <w:lang w:val="en-US"/>
        </w:rPr>
      </w:pPr>
      <w:r w:rsidRPr="009F4E32">
        <w:rPr>
          <w:rFonts w:cs="Open Sans"/>
          <w:i/>
          <w:iCs/>
          <w:color w:val="000000"/>
          <w:sz w:val="16"/>
          <w:szCs w:val="16"/>
          <w:lang w:val="en-US"/>
        </w:rPr>
        <w:t xml:space="preserve">Equity Injections </w:t>
      </w:r>
    </w:p>
    <w:p w14:paraId="075E0893" w14:textId="71A17F3E" w:rsidR="009F4E32" w:rsidRPr="009F4E32" w:rsidRDefault="009F4E32" w:rsidP="009F4E32">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9F4E32">
        <w:rPr>
          <w:rFonts w:cs="Open Sans"/>
          <w:color w:val="000000"/>
          <w:sz w:val="16"/>
          <w:szCs w:val="16"/>
          <w:lang w:val="en-US"/>
        </w:rPr>
        <w:t>Amounts appropriated which are designated as ‘equity injections’ for a year (less any formal reductions) are recognised directly in contributed equity in that year.</w:t>
      </w:r>
    </w:p>
    <w:p w14:paraId="3D7BA042"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57" w:after="113"/>
        <w:textAlignment w:val="center"/>
        <w:rPr>
          <w:rFonts w:cs="Open Sans"/>
          <w:b/>
          <w:bCs/>
          <w:color w:val="000000"/>
          <w:sz w:val="16"/>
          <w:szCs w:val="16"/>
          <w:lang w:val="en-US"/>
        </w:rPr>
      </w:pPr>
      <w:r w:rsidRPr="009F4E32">
        <w:rPr>
          <w:rFonts w:cs="Open Sans"/>
          <w:b/>
          <w:bCs/>
          <w:color w:val="000000"/>
          <w:sz w:val="16"/>
          <w:szCs w:val="16"/>
          <w:lang w:val="en-US"/>
        </w:rPr>
        <w:t>Budget Variances Commentary</w:t>
      </w:r>
    </w:p>
    <w:p w14:paraId="4ABFC7F0" w14:textId="77777777" w:rsidR="009F4E32" w:rsidRPr="009F4E32" w:rsidRDefault="009F4E32" w:rsidP="009F4E32">
      <w:pPr>
        <w:keepLines/>
        <w:tabs>
          <w:tab w:val="right" w:pos="6240"/>
          <w:tab w:val="right" w:pos="7280"/>
          <w:tab w:val="right" w:pos="8300"/>
        </w:tabs>
        <w:suppressAutoHyphens/>
        <w:autoSpaceDE w:val="0"/>
        <w:autoSpaceDN w:val="0"/>
        <w:adjustRightInd w:val="0"/>
        <w:spacing w:before="57" w:after="113"/>
        <w:textAlignment w:val="center"/>
        <w:rPr>
          <w:rFonts w:cs="Open Sans"/>
          <w:b/>
          <w:bCs/>
          <w:color w:val="000000"/>
          <w:sz w:val="16"/>
          <w:szCs w:val="16"/>
          <w:lang w:val="en-US"/>
        </w:rPr>
      </w:pPr>
      <w:r w:rsidRPr="009F4E32">
        <w:rPr>
          <w:rFonts w:cs="Open Sans"/>
          <w:b/>
          <w:bCs/>
          <w:color w:val="000000"/>
          <w:sz w:val="16"/>
          <w:szCs w:val="16"/>
          <w:lang w:val="en-US"/>
        </w:rPr>
        <w:t>Statement of Changes in Equity for Not-for-Profit Reporting Entities</w:t>
      </w:r>
    </w:p>
    <w:p w14:paraId="3A66125D" w14:textId="653619C7" w:rsidR="009F4E32" w:rsidRPr="009F4E32" w:rsidRDefault="009F4E32" w:rsidP="009F4E32">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9F4E32">
        <w:rPr>
          <w:rFonts w:cs="Open Sans"/>
          <w:color w:val="000000"/>
          <w:sz w:val="16"/>
          <w:szCs w:val="16"/>
          <w:lang w:val="en-US"/>
        </w:rPr>
        <w:t>Total equity as at 30 June 2023 is higher than budget as a result of the surplus operating result for 2022</w:t>
      </w:r>
      <w:r>
        <w:rPr>
          <w:rFonts w:cs="Open Sans"/>
          <w:color w:val="000000"/>
          <w:sz w:val="16"/>
          <w:szCs w:val="16"/>
          <w:lang w:val="en-US"/>
        </w:rPr>
        <w:t>–</w:t>
      </w:r>
      <w:r w:rsidRPr="009F4E32">
        <w:rPr>
          <w:rFonts w:cs="Open Sans"/>
          <w:color w:val="000000"/>
          <w:sz w:val="16"/>
          <w:szCs w:val="16"/>
          <w:lang w:val="en-US"/>
        </w:rPr>
        <w:t>23. The 2022</w:t>
      </w:r>
      <w:r>
        <w:rPr>
          <w:rFonts w:cs="Open Sans"/>
          <w:color w:val="000000"/>
          <w:sz w:val="16"/>
          <w:szCs w:val="16"/>
          <w:lang w:val="en-US"/>
        </w:rPr>
        <w:t>–</w:t>
      </w:r>
      <w:r w:rsidRPr="009F4E32">
        <w:rPr>
          <w:rFonts w:cs="Open Sans"/>
          <w:color w:val="000000"/>
          <w:sz w:val="16"/>
          <w:szCs w:val="16"/>
          <w:lang w:val="en-US"/>
        </w:rPr>
        <w:t>23 operating surplus is higher than budget due to delays in recruitment of suitable staff for new measures approved in the October 2022 Budget. The measures relate to the implementation of the Respect At Work Report recommendations, the development of a National Anti-Racism Strategy and additional temporary resources to address the Complaints backlog.</w:t>
      </w:r>
    </w:p>
    <w:p w14:paraId="1669BE87" w14:textId="77777777" w:rsidR="009F4E32" w:rsidRDefault="009F4E32" w:rsidP="00716F8A">
      <w:pPr>
        <w:autoSpaceDE w:val="0"/>
        <w:autoSpaceDN w:val="0"/>
        <w:adjustRightInd w:val="0"/>
        <w:spacing w:after="160" w:line="201" w:lineRule="atLeast"/>
        <w:rPr>
          <w:rFonts w:cs="Open Sans"/>
          <w:highlight w:val="yellow"/>
          <w:lang w:val="en-US" w:eastAsia="en-US"/>
        </w:rPr>
      </w:pPr>
    </w:p>
    <w:p w14:paraId="5F92D54E" w14:textId="1F0DF598" w:rsidR="009F4E32" w:rsidRDefault="009F4E32">
      <w:pPr>
        <w:spacing w:before="0" w:after="0" w:line="240" w:lineRule="auto"/>
        <w:rPr>
          <w:rFonts w:cs="Open Sans"/>
          <w:highlight w:val="yellow"/>
          <w:lang w:val="en-US" w:eastAsia="en-US"/>
        </w:rPr>
      </w:pPr>
      <w:r>
        <w:rPr>
          <w:rFonts w:cs="Open Sans"/>
          <w:highlight w:val="yellow"/>
          <w:lang w:val="en-US" w:eastAsia="en-US"/>
        </w:rPr>
        <w:br w:type="page"/>
      </w:r>
    </w:p>
    <w:p w14:paraId="0E661DE4" w14:textId="2D3EC204" w:rsidR="00716F8A" w:rsidRDefault="00716F8A" w:rsidP="00A4595C">
      <w:pPr>
        <w:pStyle w:val="Heading7"/>
        <w:rPr>
          <w:lang w:eastAsia="en-US"/>
        </w:rPr>
      </w:pPr>
      <w:bookmarkStart w:id="44" w:name="_Toc146437050"/>
      <w:r w:rsidRPr="00B40CDF">
        <w:rPr>
          <w:lang w:eastAsia="en-US"/>
        </w:rPr>
        <w:t>Cash Flow Statement</w:t>
      </w:r>
      <w:bookmarkEnd w:id="44"/>
    </w:p>
    <w:p w14:paraId="676E3E5C" w14:textId="2E3261E7" w:rsidR="000D7121" w:rsidRPr="000D7121" w:rsidRDefault="3D9B656F" w:rsidP="000D7121">
      <w:pPr>
        <w:pStyle w:val="Fortheyearended"/>
      </w:pPr>
      <w:r>
        <w:t>for the year ended June 2023</w:t>
      </w:r>
    </w:p>
    <w:tbl>
      <w:tblPr>
        <w:tblW w:w="0" w:type="auto"/>
        <w:tblInd w:w="-8" w:type="dxa"/>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5159"/>
        <w:gridCol w:w="680"/>
        <w:gridCol w:w="1418"/>
        <w:gridCol w:w="1417"/>
        <w:gridCol w:w="1417"/>
      </w:tblGrid>
      <w:tr w:rsidR="007D1E6F" w:rsidRPr="00C7569E" w14:paraId="4B5F8FA6" w14:textId="77777777" w:rsidTr="00A4595C">
        <w:trPr>
          <w:trHeight w:val="300"/>
          <w:tblHeader/>
        </w:trPr>
        <w:tc>
          <w:tcPr>
            <w:tcW w:w="5159" w:type="dxa"/>
            <w:shd w:val="clear" w:color="auto" w:fill="1CBDC9"/>
            <w:tcMar>
              <w:top w:w="85" w:type="dxa"/>
              <w:left w:w="113" w:type="dxa"/>
              <w:bottom w:w="113" w:type="dxa"/>
              <w:right w:w="113" w:type="dxa"/>
            </w:tcMar>
            <w:vAlign w:val="bottom"/>
          </w:tcPr>
          <w:p w14:paraId="6EA9CCA4" w14:textId="77777777" w:rsidR="00C7569E" w:rsidRPr="000D7121" w:rsidRDefault="00C7569E" w:rsidP="00C7569E">
            <w:pPr>
              <w:autoSpaceDE w:val="0"/>
              <w:autoSpaceDN w:val="0"/>
              <w:adjustRightInd w:val="0"/>
              <w:spacing w:before="0" w:after="0" w:line="240" w:lineRule="auto"/>
              <w:rPr>
                <w:rFonts w:ascii="Open Sans Condensed" w:hAnsi="Open Sans Condensed"/>
                <w:color w:val="FFFFFF" w:themeColor="background1"/>
                <w:sz w:val="20"/>
                <w:szCs w:val="20"/>
                <w:lang w:val="en-US"/>
              </w:rPr>
            </w:pPr>
          </w:p>
        </w:tc>
        <w:tc>
          <w:tcPr>
            <w:tcW w:w="680" w:type="dxa"/>
            <w:shd w:val="clear" w:color="auto" w:fill="1CBDC9"/>
            <w:tcMar>
              <w:top w:w="85" w:type="dxa"/>
              <w:left w:w="113" w:type="dxa"/>
              <w:bottom w:w="113" w:type="dxa"/>
              <w:right w:w="113" w:type="dxa"/>
            </w:tcMar>
            <w:vAlign w:val="bottom"/>
          </w:tcPr>
          <w:p w14:paraId="031CA705"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C7569E">
              <w:rPr>
                <w:rFonts w:ascii="Open Sans Condensed" w:hAnsi="Open Sans Condensed" w:cs="Open Sans Condensed"/>
                <w:b/>
                <w:bCs/>
                <w:color w:val="FFFFFF" w:themeColor="background1"/>
                <w:sz w:val="20"/>
                <w:szCs w:val="20"/>
                <w:lang w:val="en-US"/>
              </w:rPr>
              <w:t>Notes</w:t>
            </w:r>
          </w:p>
        </w:tc>
        <w:tc>
          <w:tcPr>
            <w:tcW w:w="1418" w:type="dxa"/>
            <w:shd w:val="clear" w:color="auto" w:fill="1CBDC9"/>
            <w:tcMar>
              <w:top w:w="85" w:type="dxa"/>
              <w:left w:w="113" w:type="dxa"/>
              <w:bottom w:w="113" w:type="dxa"/>
              <w:right w:w="113" w:type="dxa"/>
            </w:tcMar>
            <w:vAlign w:val="bottom"/>
          </w:tcPr>
          <w:p w14:paraId="7D400C75"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C7569E">
              <w:rPr>
                <w:rFonts w:ascii="Open Sans Condensed" w:hAnsi="Open Sans Condensed" w:cs="Open Sans Condensed"/>
                <w:b/>
                <w:bCs/>
                <w:color w:val="FFFFFF" w:themeColor="background1"/>
                <w:sz w:val="20"/>
                <w:szCs w:val="20"/>
                <w:lang w:val="en-US"/>
              </w:rPr>
              <w:t xml:space="preserve">2023 </w:t>
            </w:r>
            <w:r w:rsidRPr="00C7569E">
              <w:rPr>
                <w:rFonts w:ascii="Open Sans Condensed" w:hAnsi="Open Sans Condensed" w:cs="Open Sans Condensed"/>
                <w:b/>
                <w:bCs/>
                <w:color w:val="FFFFFF" w:themeColor="background1"/>
                <w:sz w:val="20"/>
                <w:szCs w:val="20"/>
                <w:lang w:val="en-US"/>
              </w:rPr>
              <w:br/>
              <w:t>$’000</w:t>
            </w:r>
          </w:p>
        </w:tc>
        <w:tc>
          <w:tcPr>
            <w:tcW w:w="1417" w:type="dxa"/>
            <w:shd w:val="clear" w:color="auto" w:fill="1CBDC9"/>
            <w:tcMar>
              <w:top w:w="85" w:type="dxa"/>
              <w:left w:w="113" w:type="dxa"/>
              <w:bottom w:w="113" w:type="dxa"/>
              <w:right w:w="113" w:type="dxa"/>
            </w:tcMar>
            <w:vAlign w:val="bottom"/>
          </w:tcPr>
          <w:p w14:paraId="1D2AD3B4"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Light" w:hAnsi="Open Sans Condensed Light" w:cs="Open Sans Condensed Light"/>
                <w:color w:val="FFFFFF" w:themeColor="background1"/>
                <w:sz w:val="20"/>
                <w:szCs w:val="20"/>
                <w:lang w:val="en-US"/>
              </w:rPr>
            </w:pPr>
            <w:r w:rsidRPr="00C7569E">
              <w:rPr>
                <w:rFonts w:ascii="Open Sans Condensed Light" w:hAnsi="Open Sans Condensed Light" w:cs="Open Sans Condensed Light"/>
                <w:color w:val="FFFFFF" w:themeColor="background1"/>
                <w:sz w:val="20"/>
                <w:szCs w:val="20"/>
                <w:lang w:val="en-US"/>
              </w:rPr>
              <w:t>2022</w:t>
            </w:r>
          </w:p>
          <w:p w14:paraId="0F0859B7"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C7569E">
              <w:rPr>
                <w:rFonts w:ascii="Open Sans Condensed Light" w:hAnsi="Open Sans Condensed Light" w:cs="Open Sans Condensed Light"/>
                <w:color w:val="FFFFFF" w:themeColor="background1"/>
                <w:sz w:val="20"/>
                <w:szCs w:val="20"/>
                <w:lang w:val="en-US"/>
              </w:rPr>
              <w:t>$’000</w:t>
            </w:r>
          </w:p>
        </w:tc>
        <w:tc>
          <w:tcPr>
            <w:tcW w:w="1417" w:type="dxa"/>
            <w:shd w:val="clear" w:color="auto" w:fill="1CBDC9"/>
            <w:tcMar>
              <w:top w:w="85" w:type="dxa"/>
              <w:left w:w="113" w:type="dxa"/>
              <w:bottom w:w="113" w:type="dxa"/>
              <w:right w:w="113" w:type="dxa"/>
            </w:tcMar>
            <w:vAlign w:val="bottom"/>
          </w:tcPr>
          <w:p w14:paraId="4E66733B"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C7569E">
              <w:rPr>
                <w:rFonts w:ascii="Open Sans Condensed Light" w:hAnsi="Open Sans Condensed Light" w:cs="Open Sans Condensed Light"/>
                <w:color w:val="FFFFFF" w:themeColor="background1"/>
                <w:sz w:val="20"/>
                <w:szCs w:val="20"/>
                <w:lang w:val="en-US"/>
              </w:rPr>
              <w:t>Original Budget</w:t>
            </w:r>
            <w:r w:rsidRPr="00C7569E">
              <w:rPr>
                <w:rFonts w:ascii="Open Sans Condensed Light" w:hAnsi="Open Sans Condensed Light" w:cs="Open Sans Condensed Light"/>
                <w:color w:val="FFFFFF" w:themeColor="background1"/>
                <w:sz w:val="20"/>
                <w:szCs w:val="20"/>
                <w:lang w:val="en-US"/>
              </w:rPr>
              <w:br/>
              <w:t>$’000</w:t>
            </w:r>
          </w:p>
        </w:tc>
      </w:tr>
      <w:tr w:rsidR="00C7569E" w:rsidRPr="00C7569E" w14:paraId="5F86D745" w14:textId="77777777" w:rsidTr="00C7569E">
        <w:trPr>
          <w:trHeight w:val="240"/>
        </w:trPr>
        <w:tc>
          <w:tcPr>
            <w:tcW w:w="5159" w:type="dxa"/>
            <w:tcMar>
              <w:top w:w="227" w:type="dxa"/>
              <w:left w:w="0" w:type="dxa"/>
              <w:bottom w:w="57" w:type="dxa"/>
              <w:right w:w="113" w:type="dxa"/>
            </w:tcMar>
            <w:vAlign w:val="bottom"/>
          </w:tcPr>
          <w:p w14:paraId="2C16BEC1"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r w:rsidRPr="00C7569E">
              <w:rPr>
                <w:rFonts w:cs="Open Sans"/>
                <w:b/>
                <w:bCs/>
                <w:color w:val="2BB8C9"/>
                <w:sz w:val="16"/>
                <w:szCs w:val="16"/>
                <w:lang w:val="en-US"/>
              </w:rPr>
              <w:t>OPERATING ACTIVITIES</w:t>
            </w:r>
          </w:p>
        </w:tc>
        <w:tc>
          <w:tcPr>
            <w:tcW w:w="680" w:type="dxa"/>
            <w:tcMar>
              <w:top w:w="227" w:type="dxa"/>
              <w:left w:w="0" w:type="dxa"/>
              <w:bottom w:w="57" w:type="dxa"/>
              <w:right w:w="113" w:type="dxa"/>
            </w:tcMar>
            <w:vAlign w:val="bottom"/>
          </w:tcPr>
          <w:p w14:paraId="7FA0B7B8"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27" w:type="dxa"/>
              <w:left w:w="0" w:type="dxa"/>
              <w:bottom w:w="57" w:type="dxa"/>
              <w:right w:w="113" w:type="dxa"/>
            </w:tcMar>
            <w:vAlign w:val="bottom"/>
          </w:tcPr>
          <w:p w14:paraId="53B5043B"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627024F9"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0347409F"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r>
      <w:tr w:rsidR="00C7569E" w:rsidRPr="00C7569E" w14:paraId="76C9F489" w14:textId="77777777" w:rsidTr="00C7569E">
        <w:trPr>
          <w:trHeight w:val="240"/>
        </w:trPr>
        <w:tc>
          <w:tcPr>
            <w:tcW w:w="5159" w:type="dxa"/>
            <w:tcMar>
              <w:top w:w="28" w:type="dxa"/>
              <w:left w:w="0" w:type="dxa"/>
              <w:bottom w:w="57" w:type="dxa"/>
              <w:right w:w="113" w:type="dxa"/>
            </w:tcMar>
            <w:vAlign w:val="bottom"/>
          </w:tcPr>
          <w:p w14:paraId="52FD6528"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it-IT"/>
              </w:rPr>
              <w:t>Cash received</w:t>
            </w:r>
          </w:p>
        </w:tc>
        <w:tc>
          <w:tcPr>
            <w:tcW w:w="680" w:type="dxa"/>
            <w:tcMar>
              <w:top w:w="28" w:type="dxa"/>
              <w:left w:w="0" w:type="dxa"/>
              <w:bottom w:w="57" w:type="dxa"/>
              <w:right w:w="113" w:type="dxa"/>
            </w:tcMar>
            <w:vAlign w:val="bottom"/>
          </w:tcPr>
          <w:p w14:paraId="5E1EA05F"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57FB4B7B"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5E8B87E5"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29E950B5"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r>
      <w:tr w:rsidR="00C7569E" w:rsidRPr="00C7569E" w14:paraId="762B640E" w14:textId="77777777" w:rsidTr="00C7569E">
        <w:trPr>
          <w:trHeight w:val="240"/>
        </w:trPr>
        <w:tc>
          <w:tcPr>
            <w:tcW w:w="5159" w:type="dxa"/>
            <w:tcMar>
              <w:top w:w="28" w:type="dxa"/>
              <w:left w:w="0" w:type="dxa"/>
              <w:bottom w:w="57" w:type="dxa"/>
              <w:right w:w="113" w:type="dxa"/>
            </w:tcMar>
            <w:vAlign w:val="bottom"/>
          </w:tcPr>
          <w:p w14:paraId="3CB7223B"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it-IT"/>
              </w:rPr>
              <w:t xml:space="preserve">Receipts from Government </w:t>
            </w:r>
          </w:p>
        </w:tc>
        <w:tc>
          <w:tcPr>
            <w:tcW w:w="680" w:type="dxa"/>
            <w:tcMar>
              <w:top w:w="28" w:type="dxa"/>
              <w:left w:w="0" w:type="dxa"/>
              <w:bottom w:w="57" w:type="dxa"/>
              <w:right w:w="113" w:type="dxa"/>
            </w:tcMar>
            <w:vAlign w:val="bottom"/>
          </w:tcPr>
          <w:p w14:paraId="58A91204"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69250276"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26,549 </w:t>
            </w:r>
          </w:p>
        </w:tc>
        <w:tc>
          <w:tcPr>
            <w:tcW w:w="1417" w:type="dxa"/>
            <w:tcMar>
              <w:top w:w="28" w:type="dxa"/>
              <w:left w:w="0" w:type="dxa"/>
              <w:bottom w:w="57" w:type="dxa"/>
              <w:right w:w="113" w:type="dxa"/>
            </w:tcMar>
            <w:vAlign w:val="bottom"/>
          </w:tcPr>
          <w:p w14:paraId="4BDC4EFE"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21,646 </w:t>
            </w:r>
          </w:p>
        </w:tc>
        <w:tc>
          <w:tcPr>
            <w:tcW w:w="1417" w:type="dxa"/>
            <w:tcMar>
              <w:top w:w="28" w:type="dxa"/>
              <w:left w:w="0" w:type="dxa"/>
              <w:bottom w:w="57" w:type="dxa"/>
              <w:right w:w="113" w:type="dxa"/>
            </w:tcMar>
            <w:vAlign w:val="bottom"/>
          </w:tcPr>
          <w:p w14:paraId="5DCF5637"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26,549 </w:t>
            </w:r>
          </w:p>
        </w:tc>
      </w:tr>
      <w:tr w:rsidR="00C7569E" w:rsidRPr="00C7569E" w14:paraId="3695F74E" w14:textId="77777777" w:rsidTr="00C7569E">
        <w:trPr>
          <w:trHeight w:val="240"/>
        </w:trPr>
        <w:tc>
          <w:tcPr>
            <w:tcW w:w="5159" w:type="dxa"/>
            <w:tcMar>
              <w:top w:w="28" w:type="dxa"/>
              <w:left w:w="0" w:type="dxa"/>
              <w:bottom w:w="57" w:type="dxa"/>
              <w:right w:w="113" w:type="dxa"/>
            </w:tcMar>
            <w:vAlign w:val="bottom"/>
          </w:tcPr>
          <w:p w14:paraId="79AA5263"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en-US"/>
              </w:rPr>
              <w:t>Sale of goods and rendering of services</w:t>
            </w:r>
          </w:p>
        </w:tc>
        <w:tc>
          <w:tcPr>
            <w:tcW w:w="680" w:type="dxa"/>
            <w:tcMar>
              <w:top w:w="28" w:type="dxa"/>
              <w:left w:w="0" w:type="dxa"/>
              <w:bottom w:w="57" w:type="dxa"/>
              <w:right w:w="113" w:type="dxa"/>
            </w:tcMar>
            <w:vAlign w:val="bottom"/>
          </w:tcPr>
          <w:p w14:paraId="16278FFC"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en-US"/>
              </w:rPr>
            </w:pPr>
          </w:p>
        </w:tc>
        <w:tc>
          <w:tcPr>
            <w:tcW w:w="1418" w:type="dxa"/>
            <w:tcMar>
              <w:top w:w="28" w:type="dxa"/>
              <w:left w:w="0" w:type="dxa"/>
              <w:bottom w:w="57" w:type="dxa"/>
              <w:right w:w="113" w:type="dxa"/>
            </w:tcMar>
            <w:vAlign w:val="bottom"/>
          </w:tcPr>
          <w:p w14:paraId="06CB7F4E"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15,491 </w:t>
            </w:r>
          </w:p>
        </w:tc>
        <w:tc>
          <w:tcPr>
            <w:tcW w:w="1417" w:type="dxa"/>
            <w:tcMar>
              <w:top w:w="28" w:type="dxa"/>
              <w:left w:w="0" w:type="dxa"/>
              <w:bottom w:w="57" w:type="dxa"/>
              <w:right w:w="113" w:type="dxa"/>
            </w:tcMar>
            <w:vAlign w:val="bottom"/>
          </w:tcPr>
          <w:p w14:paraId="47DF951F"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6,181 </w:t>
            </w:r>
          </w:p>
        </w:tc>
        <w:tc>
          <w:tcPr>
            <w:tcW w:w="1417" w:type="dxa"/>
            <w:tcMar>
              <w:top w:w="28" w:type="dxa"/>
              <w:left w:w="0" w:type="dxa"/>
              <w:bottom w:w="57" w:type="dxa"/>
              <w:right w:w="113" w:type="dxa"/>
            </w:tcMar>
            <w:vAlign w:val="bottom"/>
          </w:tcPr>
          <w:p w14:paraId="6768B288"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9,090 </w:t>
            </w:r>
          </w:p>
        </w:tc>
      </w:tr>
      <w:tr w:rsidR="00C7569E" w:rsidRPr="00C7569E" w14:paraId="6543EA83" w14:textId="77777777" w:rsidTr="00C7569E">
        <w:trPr>
          <w:trHeight w:val="240"/>
        </w:trPr>
        <w:tc>
          <w:tcPr>
            <w:tcW w:w="5159" w:type="dxa"/>
            <w:tcMar>
              <w:top w:w="28" w:type="dxa"/>
              <w:left w:w="0" w:type="dxa"/>
              <w:bottom w:w="57" w:type="dxa"/>
              <w:right w:w="113" w:type="dxa"/>
            </w:tcMar>
            <w:vAlign w:val="bottom"/>
          </w:tcPr>
          <w:p w14:paraId="323D3464"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it-IT"/>
              </w:rPr>
              <w:t>Interest</w:t>
            </w:r>
          </w:p>
        </w:tc>
        <w:tc>
          <w:tcPr>
            <w:tcW w:w="680" w:type="dxa"/>
            <w:tcMar>
              <w:top w:w="28" w:type="dxa"/>
              <w:left w:w="0" w:type="dxa"/>
              <w:bottom w:w="57" w:type="dxa"/>
              <w:right w:w="113" w:type="dxa"/>
            </w:tcMar>
            <w:vAlign w:val="bottom"/>
          </w:tcPr>
          <w:p w14:paraId="710FBDFC"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03F86EB4"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443 </w:t>
            </w:r>
          </w:p>
        </w:tc>
        <w:tc>
          <w:tcPr>
            <w:tcW w:w="1417" w:type="dxa"/>
            <w:tcMar>
              <w:top w:w="28" w:type="dxa"/>
              <w:left w:w="0" w:type="dxa"/>
              <w:bottom w:w="57" w:type="dxa"/>
              <w:right w:w="113" w:type="dxa"/>
            </w:tcMar>
            <w:vAlign w:val="bottom"/>
          </w:tcPr>
          <w:p w14:paraId="6CBB9022"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 -</w:t>
            </w:r>
          </w:p>
        </w:tc>
        <w:tc>
          <w:tcPr>
            <w:tcW w:w="1417" w:type="dxa"/>
            <w:tcMar>
              <w:top w:w="28" w:type="dxa"/>
              <w:left w:w="0" w:type="dxa"/>
              <w:bottom w:w="57" w:type="dxa"/>
              <w:right w:w="113" w:type="dxa"/>
            </w:tcMar>
            <w:vAlign w:val="bottom"/>
          </w:tcPr>
          <w:p w14:paraId="729550A6"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50 </w:t>
            </w:r>
          </w:p>
        </w:tc>
      </w:tr>
      <w:tr w:rsidR="00C7569E" w:rsidRPr="00C7569E" w14:paraId="20535B7E" w14:textId="77777777" w:rsidTr="00C7569E">
        <w:trPr>
          <w:trHeight w:val="240"/>
        </w:trPr>
        <w:tc>
          <w:tcPr>
            <w:tcW w:w="5159" w:type="dxa"/>
            <w:tcMar>
              <w:top w:w="28" w:type="dxa"/>
              <w:left w:w="0" w:type="dxa"/>
              <w:bottom w:w="57" w:type="dxa"/>
              <w:right w:w="113" w:type="dxa"/>
            </w:tcMar>
            <w:vAlign w:val="bottom"/>
          </w:tcPr>
          <w:p w14:paraId="79888751"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it-IT"/>
              </w:rPr>
              <w:t>GST received</w:t>
            </w:r>
          </w:p>
        </w:tc>
        <w:tc>
          <w:tcPr>
            <w:tcW w:w="680" w:type="dxa"/>
            <w:tcMar>
              <w:top w:w="28" w:type="dxa"/>
              <w:left w:w="0" w:type="dxa"/>
              <w:bottom w:w="57" w:type="dxa"/>
              <w:right w:w="113" w:type="dxa"/>
            </w:tcMar>
            <w:vAlign w:val="bottom"/>
          </w:tcPr>
          <w:p w14:paraId="05BC2591"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1DF9D7D0"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1,018 </w:t>
            </w:r>
          </w:p>
        </w:tc>
        <w:tc>
          <w:tcPr>
            <w:tcW w:w="1417" w:type="dxa"/>
            <w:tcMar>
              <w:top w:w="28" w:type="dxa"/>
              <w:left w:w="0" w:type="dxa"/>
              <w:bottom w:w="57" w:type="dxa"/>
              <w:right w:w="113" w:type="dxa"/>
            </w:tcMar>
            <w:vAlign w:val="bottom"/>
          </w:tcPr>
          <w:p w14:paraId="14D8F984"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325 </w:t>
            </w:r>
          </w:p>
        </w:tc>
        <w:tc>
          <w:tcPr>
            <w:tcW w:w="1417" w:type="dxa"/>
            <w:tcMar>
              <w:top w:w="28" w:type="dxa"/>
              <w:left w:w="0" w:type="dxa"/>
              <w:bottom w:w="57" w:type="dxa"/>
              <w:right w:w="113" w:type="dxa"/>
            </w:tcMar>
            <w:vAlign w:val="bottom"/>
          </w:tcPr>
          <w:p w14:paraId="62E90435"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403 </w:t>
            </w:r>
          </w:p>
        </w:tc>
      </w:tr>
      <w:tr w:rsidR="00C7569E" w:rsidRPr="00C7569E" w14:paraId="04AE9607" w14:textId="77777777" w:rsidTr="00C7569E">
        <w:trPr>
          <w:trHeight w:val="240"/>
        </w:trPr>
        <w:tc>
          <w:tcPr>
            <w:tcW w:w="5159" w:type="dxa"/>
            <w:tcMar>
              <w:top w:w="113" w:type="dxa"/>
              <w:left w:w="0" w:type="dxa"/>
              <w:bottom w:w="113" w:type="dxa"/>
              <w:right w:w="113" w:type="dxa"/>
            </w:tcMar>
            <w:vAlign w:val="bottom"/>
          </w:tcPr>
          <w:p w14:paraId="38E9BC60"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it-IT"/>
              </w:rPr>
              <w:t>Other</w:t>
            </w:r>
          </w:p>
        </w:tc>
        <w:tc>
          <w:tcPr>
            <w:tcW w:w="680" w:type="dxa"/>
            <w:tcMar>
              <w:top w:w="113" w:type="dxa"/>
              <w:left w:w="0" w:type="dxa"/>
              <w:bottom w:w="113" w:type="dxa"/>
              <w:right w:w="113" w:type="dxa"/>
            </w:tcMar>
            <w:vAlign w:val="bottom"/>
          </w:tcPr>
          <w:p w14:paraId="79EC9347"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113" w:type="dxa"/>
              <w:left w:w="0" w:type="dxa"/>
              <w:bottom w:w="113" w:type="dxa"/>
              <w:right w:w="113" w:type="dxa"/>
            </w:tcMar>
            <w:vAlign w:val="bottom"/>
          </w:tcPr>
          <w:p w14:paraId="03DAF3EC"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14 </w:t>
            </w:r>
          </w:p>
        </w:tc>
        <w:tc>
          <w:tcPr>
            <w:tcW w:w="1417" w:type="dxa"/>
            <w:tcMar>
              <w:top w:w="113" w:type="dxa"/>
              <w:left w:w="0" w:type="dxa"/>
              <w:bottom w:w="113" w:type="dxa"/>
              <w:right w:w="113" w:type="dxa"/>
            </w:tcMar>
            <w:vAlign w:val="bottom"/>
          </w:tcPr>
          <w:p w14:paraId="01CC5238"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 -</w:t>
            </w:r>
          </w:p>
        </w:tc>
        <w:tc>
          <w:tcPr>
            <w:tcW w:w="1417" w:type="dxa"/>
            <w:tcMar>
              <w:top w:w="113" w:type="dxa"/>
              <w:left w:w="0" w:type="dxa"/>
              <w:bottom w:w="113" w:type="dxa"/>
              <w:right w:w="113" w:type="dxa"/>
            </w:tcMar>
            <w:vAlign w:val="bottom"/>
          </w:tcPr>
          <w:p w14:paraId="167AEBA3"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 -</w:t>
            </w:r>
          </w:p>
        </w:tc>
      </w:tr>
      <w:tr w:rsidR="00C7569E" w:rsidRPr="00C7569E" w14:paraId="52A2A4BA" w14:textId="77777777" w:rsidTr="00A4595C">
        <w:trPr>
          <w:trHeight w:val="240"/>
        </w:trPr>
        <w:tc>
          <w:tcPr>
            <w:tcW w:w="5159" w:type="dxa"/>
            <w:shd w:val="clear" w:color="auto" w:fill="F2F2F2" w:themeFill="background1" w:themeFillShade="F2"/>
            <w:tcMar>
              <w:top w:w="113" w:type="dxa"/>
              <w:left w:w="0" w:type="dxa"/>
              <w:bottom w:w="113" w:type="dxa"/>
              <w:right w:w="113" w:type="dxa"/>
            </w:tcMar>
            <w:vAlign w:val="bottom"/>
          </w:tcPr>
          <w:p w14:paraId="38BE2B70"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it-IT"/>
              </w:rPr>
              <w:t>Total cash received</w:t>
            </w:r>
          </w:p>
        </w:tc>
        <w:tc>
          <w:tcPr>
            <w:tcW w:w="680" w:type="dxa"/>
            <w:shd w:val="clear" w:color="auto" w:fill="F2F2F2" w:themeFill="background1" w:themeFillShade="F2"/>
            <w:tcMar>
              <w:top w:w="113" w:type="dxa"/>
              <w:left w:w="0" w:type="dxa"/>
              <w:bottom w:w="113" w:type="dxa"/>
              <w:right w:w="113" w:type="dxa"/>
            </w:tcMar>
            <w:vAlign w:val="bottom"/>
          </w:tcPr>
          <w:p w14:paraId="7295378F"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shd w:val="clear" w:color="auto" w:fill="F2F2F2" w:themeFill="background1" w:themeFillShade="F2"/>
            <w:tcMar>
              <w:top w:w="113" w:type="dxa"/>
              <w:left w:w="0" w:type="dxa"/>
              <w:bottom w:w="113" w:type="dxa"/>
              <w:right w:w="113" w:type="dxa"/>
            </w:tcMar>
            <w:vAlign w:val="bottom"/>
          </w:tcPr>
          <w:p w14:paraId="61815AEA"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43,515 </w:t>
            </w:r>
          </w:p>
        </w:tc>
        <w:tc>
          <w:tcPr>
            <w:tcW w:w="1417" w:type="dxa"/>
            <w:shd w:val="clear" w:color="auto" w:fill="F2F2F2" w:themeFill="background1" w:themeFillShade="F2"/>
            <w:tcMar>
              <w:top w:w="113" w:type="dxa"/>
              <w:left w:w="0" w:type="dxa"/>
              <w:bottom w:w="113" w:type="dxa"/>
              <w:right w:w="113" w:type="dxa"/>
            </w:tcMar>
            <w:vAlign w:val="bottom"/>
          </w:tcPr>
          <w:p w14:paraId="3A89A77D"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28,152 </w:t>
            </w:r>
          </w:p>
        </w:tc>
        <w:tc>
          <w:tcPr>
            <w:tcW w:w="1417" w:type="dxa"/>
            <w:shd w:val="clear" w:color="auto" w:fill="F2F2F2" w:themeFill="background1" w:themeFillShade="F2"/>
            <w:tcMar>
              <w:top w:w="113" w:type="dxa"/>
              <w:left w:w="0" w:type="dxa"/>
              <w:bottom w:w="113" w:type="dxa"/>
              <w:right w:w="113" w:type="dxa"/>
            </w:tcMar>
            <w:vAlign w:val="bottom"/>
          </w:tcPr>
          <w:p w14:paraId="4DEB3024"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36,092 </w:t>
            </w:r>
          </w:p>
        </w:tc>
      </w:tr>
      <w:tr w:rsidR="00C7569E" w:rsidRPr="00C7569E" w14:paraId="55A02141" w14:textId="77777777" w:rsidTr="00C7569E">
        <w:trPr>
          <w:trHeight w:val="205"/>
        </w:trPr>
        <w:tc>
          <w:tcPr>
            <w:tcW w:w="10091" w:type="dxa"/>
            <w:gridSpan w:val="5"/>
            <w:tcMar>
              <w:top w:w="28" w:type="dxa"/>
              <w:left w:w="0" w:type="dxa"/>
              <w:bottom w:w="57" w:type="dxa"/>
              <w:right w:w="113" w:type="dxa"/>
            </w:tcMar>
            <w:vAlign w:val="bottom"/>
          </w:tcPr>
          <w:p w14:paraId="449650A2"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r>
      <w:tr w:rsidR="00C7569E" w:rsidRPr="00C7569E" w14:paraId="009649EB" w14:textId="77777777" w:rsidTr="00C7569E">
        <w:trPr>
          <w:trHeight w:val="240"/>
        </w:trPr>
        <w:tc>
          <w:tcPr>
            <w:tcW w:w="5159" w:type="dxa"/>
            <w:tcMar>
              <w:top w:w="28" w:type="dxa"/>
              <w:left w:w="0" w:type="dxa"/>
              <w:bottom w:w="57" w:type="dxa"/>
              <w:right w:w="113" w:type="dxa"/>
            </w:tcMar>
            <w:vAlign w:val="bottom"/>
          </w:tcPr>
          <w:p w14:paraId="7B28A29C"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it-IT"/>
              </w:rPr>
              <w:t>Cash used</w:t>
            </w:r>
          </w:p>
        </w:tc>
        <w:tc>
          <w:tcPr>
            <w:tcW w:w="680" w:type="dxa"/>
            <w:tcMar>
              <w:top w:w="28" w:type="dxa"/>
              <w:left w:w="0" w:type="dxa"/>
              <w:bottom w:w="57" w:type="dxa"/>
              <w:right w:w="113" w:type="dxa"/>
            </w:tcMar>
            <w:vAlign w:val="bottom"/>
          </w:tcPr>
          <w:p w14:paraId="60F33F5E"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6ED2ED5C"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2CE8D810"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7BB59807"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r>
      <w:tr w:rsidR="00C7569E" w:rsidRPr="00C7569E" w14:paraId="6D4C9BBB" w14:textId="77777777" w:rsidTr="00C7569E">
        <w:trPr>
          <w:trHeight w:val="240"/>
        </w:trPr>
        <w:tc>
          <w:tcPr>
            <w:tcW w:w="5159" w:type="dxa"/>
            <w:tcMar>
              <w:top w:w="28" w:type="dxa"/>
              <w:left w:w="0" w:type="dxa"/>
              <w:bottom w:w="57" w:type="dxa"/>
              <w:right w:w="113" w:type="dxa"/>
            </w:tcMar>
            <w:vAlign w:val="bottom"/>
          </w:tcPr>
          <w:p w14:paraId="209E7C23"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it-IT"/>
              </w:rPr>
              <w:t>Employees</w:t>
            </w:r>
          </w:p>
        </w:tc>
        <w:tc>
          <w:tcPr>
            <w:tcW w:w="680" w:type="dxa"/>
            <w:tcMar>
              <w:top w:w="28" w:type="dxa"/>
              <w:left w:w="0" w:type="dxa"/>
              <w:bottom w:w="57" w:type="dxa"/>
              <w:right w:w="113" w:type="dxa"/>
            </w:tcMar>
            <w:vAlign w:val="bottom"/>
          </w:tcPr>
          <w:p w14:paraId="7B0D144B"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3FD074D3"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(20,718)</w:t>
            </w:r>
          </w:p>
        </w:tc>
        <w:tc>
          <w:tcPr>
            <w:tcW w:w="1417" w:type="dxa"/>
            <w:tcMar>
              <w:top w:w="28" w:type="dxa"/>
              <w:left w:w="0" w:type="dxa"/>
              <w:bottom w:w="57" w:type="dxa"/>
              <w:right w:w="113" w:type="dxa"/>
            </w:tcMar>
            <w:vAlign w:val="bottom"/>
          </w:tcPr>
          <w:p w14:paraId="3B1E9034"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(22,056)</w:t>
            </w:r>
          </w:p>
        </w:tc>
        <w:tc>
          <w:tcPr>
            <w:tcW w:w="1417" w:type="dxa"/>
            <w:tcMar>
              <w:top w:w="28" w:type="dxa"/>
              <w:left w:w="0" w:type="dxa"/>
              <w:bottom w:w="57" w:type="dxa"/>
              <w:right w:w="113" w:type="dxa"/>
            </w:tcMar>
            <w:vAlign w:val="bottom"/>
          </w:tcPr>
          <w:p w14:paraId="1E8EF4A8"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(26,408)</w:t>
            </w:r>
          </w:p>
        </w:tc>
      </w:tr>
      <w:tr w:rsidR="00C7569E" w:rsidRPr="00C7569E" w14:paraId="7EA048D2" w14:textId="77777777" w:rsidTr="00C7569E">
        <w:trPr>
          <w:trHeight w:val="240"/>
        </w:trPr>
        <w:tc>
          <w:tcPr>
            <w:tcW w:w="5159" w:type="dxa"/>
            <w:tcMar>
              <w:top w:w="28" w:type="dxa"/>
              <w:left w:w="0" w:type="dxa"/>
              <w:bottom w:w="57" w:type="dxa"/>
              <w:right w:w="113" w:type="dxa"/>
            </w:tcMar>
            <w:vAlign w:val="bottom"/>
          </w:tcPr>
          <w:p w14:paraId="2EFF58CF"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it-IT"/>
              </w:rPr>
              <w:t>Suppliers</w:t>
            </w:r>
          </w:p>
        </w:tc>
        <w:tc>
          <w:tcPr>
            <w:tcW w:w="680" w:type="dxa"/>
            <w:tcMar>
              <w:top w:w="28" w:type="dxa"/>
              <w:left w:w="0" w:type="dxa"/>
              <w:bottom w:w="57" w:type="dxa"/>
              <w:right w:w="113" w:type="dxa"/>
            </w:tcMar>
            <w:vAlign w:val="bottom"/>
          </w:tcPr>
          <w:p w14:paraId="14FECB0D"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0DC08100"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(9,048)</w:t>
            </w:r>
          </w:p>
        </w:tc>
        <w:tc>
          <w:tcPr>
            <w:tcW w:w="1417" w:type="dxa"/>
            <w:tcMar>
              <w:top w:w="28" w:type="dxa"/>
              <w:left w:w="0" w:type="dxa"/>
              <w:bottom w:w="57" w:type="dxa"/>
              <w:right w:w="113" w:type="dxa"/>
            </w:tcMar>
            <w:vAlign w:val="bottom"/>
          </w:tcPr>
          <w:p w14:paraId="2D219739"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(5,884)</w:t>
            </w:r>
          </w:p>
        </w:tc>
        <w:tc>
          <w:tcPr>
            <w:tcW w:w="1417" w:type="dxa"/>
            <w:tcMar>
              <w:top w:w="28" w:type="dxa"/>
              <w:left w:w="0" w:type="dxa"/>
              <w:bottom w:w="57" w:type="dxa"/>
              <w:right w:w="113" w:type="dxa"/>
            </w:tcMar>
            <w:vAlign w:val="bottom"/>
          </w:tcPr>
          <w:p w14:paraId="7CB31E59"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(5,757)</w:t>
            </w:r>
          </w:p>
        </w:tc>
      </w:tr>
      <w:tr w:rsidR="00C7569E" w:rsidRPr="00C7569E" w14:paraId="0227753C" w14:textId="77777777" w:rsidTr="00C7569E">
        <w:trPr>
          <w:trHeight w:val="240"/>
        </w:trPr>
        <w:tc>
          <w:tcPr>
            <w:tcW w:w="5159" w:type="dxa"/>
            <w:tcMar>
              <w:top w:w="28" w:type="dxa"/>
              <w:left w:w="0" w:type="dxa"/>
              <w:bottom w:w="57" w:type="dxa"/>
              <w:right w:w="113" w:type="dxa"/>
            </w:tcMar>
            <w:vAlign w:val="bottom"/>
          </w:tcPr>
          <w:p w14:paraId="6616904E"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en-US"/>
              </w:rPr>
              <w:t>Interest payments on lease liabilities</w:t>
            </w:r>
          </w:p>
        </w:tc>
        <w:tc>
          <w:tcPr>
            <w:tcW w:w="680" w:type="dxa"/>
            <w:tcMar>
              <w:top w:w="28" w:type="dxa"/>
              <w:left w:w="0" w:type="dxa"/>
              <w:bottom w:w="57" w:type="dxa"/>
              <w:right w:w="113" w:type="dxa"/>
            </w:tcMar>
            <w:vAlign w:val="bottom"/>
          </w:tcPr>
          <w:p w14:paraId="0AAAEF75"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en-US"/>
              </w:rPr>
            </w:pPr>
          </w:p>
        </w:tc>
        <w:tc>
          <w:tcPr>
            <w:tcW w:w="1418" w:type="dxa"/>
            <w:tcMar>
              <w:top w:w="28" w:type="dxa"/>
              <w:left w:w="0" w:type="dxa"/>
              <w:bottom w:w="57" w:type="dxa"/>
              <w:right w:w="113" w:type="dxa"/>
            </w:tcMar>
            <w:vAlign w:val="bottom"/>
          </w:tcPr>
          <w:p w14:paraId="5AB11D4A"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(7)</w:t>
            </w:r>
          </w:p>
        </w:tc>
        <w:tc>
          <w:tcPr>
            <w:tcW w:w="1417" w:type="dxa"/>
            <w:tcMar>
              <w:top w:w="28" w:type="dxa"/>
              <w:left w:w="0" w:type="dxa"/>
              <w:bottom w:w="57" w:type="dxa"/>
              <w:right w:w="113" w:type="dxa"/>
            </w:tcMar>
            <w:vAlign w:val="bottom"/>
          </w:tcPr>
          <w:p w14:paraId="57BD8C27"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(12)</w:t>
            </w:r>
          </w:p>
        </w:tc>
        <w:tc>
          <w:tcPr>
            <w:tcW w:w="1417" w:type="dxa"/>
            <w:tcMar>
              <w:top w:w="28" w:type="dxa"/>
              <w:left w:w="0" w:type="dxa"/>
              <w:bottom w:w="57" w:type="dxa"/>
              <w:right w:w="113" w:type="dxa"/>
            </w:tcMar>
            <w:vAlign w:val="bottom"/>
          </w:tcPr>
          <w:p w14:paraId="1DB6A011"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(12)</w:t>
            </w:r>
          </w:p>
        </w:tc>
      </w:tr>
      <w:tr w:rsidR="00C7569E" w:rsidRPr="00C7569E" w14:paraId="11026A4A" w14:textId="77777777" w:rsidTr="00C7569E">
        <w:trPr>
          <w:trHeight w:val="240"/>
        </w:trPr>
        <w:tc>
          <w:tcPr>
            <w:tcW w:w="5159" w:type="dxa"/>
            <w:tcMar>
              <w:top w:w="113" w:type="dxa"/>
              <w:left w:w="0" w:type="dxa"/>
              <w:bottom w:w="113" w:type="dxa"/>
              <w:right w:w="113" w:type="dxa"/>
            </w:tcMar>
            <w:vAlign w:val="bottom"/>
          </w:tcPr>
          <w:p w14:paraId="3EC93618"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en-US"/>
              </w:rPr>
              <w:t>GST paid</w:t>
            </w:r>
          </w:p>
        </w:tc>
        <w:tc>
          <w:tcPr>
            <w:tcW w:w="680" w:type="dxa"/>
            <w:tcMar>
              <w:top w:w="113" w:type="dxa"/>
              <w:left w:w="0" w:type="dxa"/>
              <w:bottom w:w="113" w:type="dxa"/>
              <w:right w:w="113" w:type="dxa"/>
            </w:tcMar>
            <w:vAlign w:val="bottom"/>
          </w:tcPr>
          <w:p w14:paraId="482D1282"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113" w:type="dxa"/>
              <w:left w:w="0" w:type="dxa"/>
              <w:bottom w:w="113" w:type="dxa"/>
              <w:right w:w="113" w:type="dxa"/>
            </w:tcMar>
            <w:vAlign w:val="bottom"/>
          </w:tcPr>
          <w:p w14:paraId="042BE344"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(752)</w:t>
            </w:r>
          </w:p>
        </w:tc>
        <w:tc>
          <w:tcPr>
            <w:tcW w:w="1417" w:type="dxa"/>
            <w:tcMar>
              <w:top w:w="113" w:type="dxa"/>
              <w:left w:w="0" w:type="dxa"/>
              <w:bottom w:w="113" w:type="dxa"/>
              <w:right w:w="113" w:type="dxa"/>
            </w:tcMar>
            <w:vAlign w:val="bottom"/>
          </w:tcPr>
          <w:p w14:paraId="22BA599C"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(950)</w:t>
            </w:r>
          </w:p>
        </w:tc>
        <w:tc>
          <w:tcPr>
            <w:tcW w:w="1417" w:type="dxa"/>
            <w:tcMar>
              <w:top w:w="113" w:type="dxa"/>
              <w:left w:w="0" w:type="dxa"/>
              <w:bottom w:w="113" w:type="dxa"/>
              <w:right w:w="113" w:type="dxa"/>
            </w:tcMar>
            <w:vAlign w:val="bottom"/>
          </w:tcPr>
          <w:p w14:paraId="620C6819"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(403)</w:t>
            </w:r>
          </w:p>
        </w:tc>
      </w:tr>
      <w:tr w:rsidR="00C7569E" w:rsidRPr="00C7569E" w14:paraId="478C1299" w14:textId="77777777" w:rsidTr="00A4595C">
        <w:trPr>
          <w:trHeight w:val="240"/>
        </w:trPr>
        <w:tc>
          <w:tcPr>
            <w:tcW w:w="5159" w:type="dxa"/>
            <w:shd w:val="clear" w:color="auto" w:fill="F2F2F2" w:themeFill="background1" w:themeFillShade="F2"/>
            <w:tcMar>
              <w:top w:w="113" w:type="dxa"/>
              <w:left w:w="0" w:type="dxa"/>
              <w:bottom w:w="113" w:type="dxa"/>
              <w:right w:w="113" w:type="dxa"/>
            </w:tcMar>
            <w:vAlign w:val="bottom"/>
          </w:tcPr>
          <w:p w14:paraId="24B45F3E"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it-IT"/>
              </w:rPr>
              <w:t>Total cash used</w:t>
            </w:r>
          </w:p>
        </w:tc>
        <w:tc>
          <w:tcPr>
            <w:tcW w:w="680" w:type="dxa"/>
            <w:shd w:val="clear" w:color="auto" w:fill="F2F2F2" w:themeFill="background1" w:themeFillShade="F2"/>
            <w:tcMar>
              <w:top w:w="113" w:type="dxa"/>
              <w:left w:w="0" w:type="dxa"/>
              <w:bottom w:w="113" w:type="dxa"/>
              <w:right w:w="113" w:type="dxa"/>
            </w:tcMar>
            <w:vAlign w:val="bottom"/>
          </w:tcPr>
          <w:p w14:paraId="36B69681"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shd w:val="clear" w:color="auto" w:fill="F2F2F2" w:themeFill="background1" w:themeFillShade="F2"/>
            <w:tcMar>
              <w:top w:w="113" w:type="dxa"/>
              <w:left w:w="0" w:type="dxa"/>
              <w:bottom w:w="113" w:type="dxa"/>
              <w:right w:w="113" w:type="dxa"/>
            </w:tcMar>
            <w:vAlign w:val="bottom"/>
          </w:tcPr>
          <w:p w14:paraId="15B8A98F"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(30,525)</w:t>
            </w:r>
          </w:p>
        </w:tc>
        <w:tc>
          <w:tcPr>
            <w:tcW w:w="1417" w:type="dxa"/>
            <w:shd w:val="clear" w:color="auto" w:fill="F2F2F2" w:themeFill="background1" w:themeFillShade="F2"/>
            <w:tcMar>
              <w:top w:w="113" w:type="dxa"/>
              <w:left w:w="0" w:type="dxa"/>
              <w:bottom w:w="113" w:type="dxa"/>
              <w:right w:w="113" w:type="dxa"/>
            </w:tcMar>
            <w:vAlign w:val="bottom"/>
          </w:tcPr>
          <w:p w14:paraId="684D8C7E"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(28,902)</w:t>
            </w:r>
          </w:p>
        </w:tc>
        <w:tc>
          <w:tcPr>
            <w:tcW w:w="1417" w:type="dxa"/>
            <w:shd w:val="clear" w:color="auto" w:fill="F2F2F2" w:themeFill="background1" w:themeFillShade="F2"/>
            <w:tcMar>
              <w:top w:w="113" w:type="dxa"/>
              <w:left w:w="0" w:type="dxa"/>
              <w:bottom w:w="113" w:type="dxa"/>
              <w:right w:w="113" w:type="dxa"/>
            </w:tcMar>
            <w:vAlign w:val="bottom"/>
          </w:tcPr>
          <w:p w14:paraId="0213AACC"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(32,580)</w:t>
            </w:r>
          </w:p>
        </w:tc>
      </w:tr>
      <w:tr w:rsidR="00C7569E" w:rsidRPr="00C7569E" w14:paraId="076442E2" w14:textId="77777777" w:rsidTr="00A4595C">
        <w:trPr>
          <w:trHeight w:val="240"/>
        </w:trPr>
        <w:tc>
          <w:tcPr>
            <w:tcW w:w="5159" w:type="dxa"/>
            <w:shd w:val="clear" w:color="auto" w:fill="F2F2F2" w:themeFill="background1" w:themeFillShade="F2"/>
            <w:tcMar>
              <w:top w:w="113" w:type="dxa"/>
              <w:left w:w="0" w:type="dxa"/>
              <w:bottom w:w="113" w:type="dxa"/>
              <w:right w:w="113" w:type="dxa"/>
            </w:tcMar>
            <w:vAlign w:val="bottom"/>
          </w:tcPr>
          <w:p w14:paraId="63B26427"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en-US"/>
              </w:rPr>
              <w:t>Net cash from/(used by) operating activities</w:t>
            </w:r>
          </w:p>
        </w:tc>
        <w:tc>
          <w:tcPr>
            <w:tcW w:w="680" w:type="dxa"/>
            <w:shd w:val="clear" w:color="auto" w:fill="F2F2F2" w:themeFill="background1" w:themeFillShade="F2"/>
            <w:tcMar>
              <w:top w:w="113" w:type="dxa"/>
              <w:left w:w="0" w:type="dxa"/>
              <w:bottom w:w="113" w:type="dxa"/>
              <w:right w:w="113" w:type="dxa"/>
            </w:tcMar>
            <w:vAlign w:val="bottom"/>
          </w:tcPr>
          <w:p w14:paraId="4DB92494"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en-US"/>
              </w:rPr>
            </w:pPr>
          </w:p>
        </w:tc>
        <w:tc>
          <w:tcPr>
            <w:tcW w:w="1418" w:type="dxa"/>
            <w:shd w:val="clear" w:color="auto" w:fill="F2F2F2" w:themeFill="background1" w:themeFillShade="F2"/>
            <w:tcMar>
              <w:top w:w="113" w:type="dxa"/>
              <w:left w:w="0" w:type="dxa"/>
              <w:bottom w:w="113" w:type="dxa"/>
              <w:right w:w="113" w:type="dxa"/>
            </w:tcMar>
            <w:vAlign w:val="bottom"/>
          </w:tcPr>
          <w:p w14:paraId="52BD17A2"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12,990 </w:t>
            </w:r>
          </w:p>
        </w:tc>
        <w:tc>
          <w:tcPr>
            <w:tcW w:w="1417" w:type="dxa"/>
            <w:shd w:val="clear" w:color="auto" w:fill="F2F2F2" w:themeFill="background1" w:themeFillShade="F2"/>
            <w:tcMar>
              <w:top w:w="113" w:type="dxa"/>
              <w:left w:w="0" w:type="dxa"/>
              <w:bottom w:w="113" w:type="dxa"/>
              <w:right w:w="113" w:type="dxa"/>
            </w:tcMar>
            <w:vAlign w:val="bottom"/>
          </w:tcPr>
          <w:p w14:paraId="3B4081D6"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(750)</w:t>
            </w:r>
          </w:p>
        </w:tc>
        <w:tc>
          <w:tcPr>
            <w:tcW w:w="1417" w:type="dxa"/>
            <w:shd w:val="clear" w:color="auto" w:fill="F2F2F2" w:themeFill="background1" w:themeFillShade="F2"/>
            <w:tcMar>
              <w:top w:w="113" w:type="dxa"/>
              <w:left w:w="0" w:type="dxa"/>
              <w:bottom w:w="113" w:type="dxa"/>
              <w:right w:w="113" w:type="dxa"/>
            </w:tcMar>
            <w:vAlign w:val="bottom"/>
          </w:tcPr>
          <w:p w14:paraId="34C1BC5E"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3,512 </w:t>
            </w:r>
          </w:p>
        </w:tc>
      </w:tr>
      <w:tr w:rsidR="00C7569E" w:rsidRPr="00C7569E" w14:paraId="57408229" w14:textId="77777777" w:rsidTr="00C7569E">
        <w:trPr>
          <w:trHeight w:val="240"/>
        </w:trPr>
        <w:tc>
          <w:tcPr>
            <w:tcW w:w="5159" w:type="dxa"/>
            <w:tcMar>
              <w:top w:w="227" w:type="dxa"/>
              <w:left w:w="0" w:type="dxa"/>
              <w:bottom w:w="57" w:type="dxa"/>
              <w:right w:w="113" w:type="dxa"/>
            </w:tcMar>
            <w:vAlign w:val="bottom"/>
          </w:tcPr>
          <w:p w14:paraId="2C669EAF"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r w:rsidRPr="00C7569E">
              <w:rPr>
                <w:rFonts w:cs="Open Sans"/>
                <w:b/>
                <w:bCs/>
                <w:color w:val="2BB8C9"/>
                <w:sz w:val="16"/>
                <w:szCs w:val="16"/>
                <w:lang w:val="en-US"/>
              </w:rPr>
              <w:t>INVESTING ACTIVITIES</w:t>
            </w:r>
          </w:p>
        </w:tc>
        <w:tc>
          <w:tcPr>
            <w:tcW w:w="680" w:type="dxa"/>
            <w:tcMar>
              <w:top w:w="227" w:type="dxa"/>
              <w:left w:w="0" w:type="dxa"/>
              <w:bottom w:w="57" w:type="dxa"/>
              <w:right w:w="113" w:type="dxa"/>
            </w:tcMar>
            <w:vAlign w:val="bottom"/>
          </w:tcPr>
          <w:p w14:paraId="77E27D75"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27" w:type="dxa"/>
              <w:left w:w="0" w:type="dxa"/>
              <w:bottom w:w="57" w:type="dxa"/>
              <w:right w:w="113" w:type="dxa"/>
            </w:tcMar>
            <w:vAlign w:val="bottom"/>
          </w:tcPr>
          <w:p w14:paraId="46F3E232"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15397933"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27" w:type="dxa"/>
              <w:left w:w="0" w:type="dxa"/>
              <w:bottom w:w="57" w:type="dxa"/>
              <w:right w:w="113" w:type="dxa"/>
            </w:tcMar>
            <w:vAlign w:val="bottom"/>
          </w:tcPr>
          <w:p w14:paraId="58EB559E"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r>
      <w:tr w:rsidR="00C7569E" w:rsidRPr="00C7569E" w14:paraId="238B7BA6" w14:textId="77777777" w:rsidTr="00C7569E">
        <w:trPr>
          <w:trHeight w:val="240"/>
        </w:trPr>
        <w:tc>
          <w:tcPr>
            <w:tcW w:w="5159" w:type="dxa"/>
            <w:tcMar>
              <w:top w:w="28" w:type="dxa"/>
              <w:left w:w="0" w:type="dxa"/>
              <w:bottom w:w="57" w:type="dxa"/>
              <w:right w:w="113" w:type="dxa"/>
            </w:tcMar>
            <w:vAlign w:val="bottom"/>
          </w:tcPr>
          <w:p w14:paraId="60CE5115"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it-IT"/>
              </w:rPr>
              <w:t>Cash received</w:t>
            </w:r>
          </w:p>
        </w:tc>
        <w:tc>
          <w:tcPr>
            <w:tcW w:w="680" w:type="dxa"/>
            <w:tcMar>
              <w:top w:w="28" w:type="dxa"/>
              <w:left w:w="0" w:type="dxa"/>
              <w:bottom w:w="57" w:type="dxa"/>
              <w:right w:w="113" w:type="dxa"/>
            </w:tcMar>
            <w:vAlign w:val="bottom"/>
          </w:tcPr>
          <w:p w14:paraId="66098BF0"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174A52F4"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195D092C"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2135AF1C"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r>
      <w:tr w:rsidR="00C7569E" w:rsidRPr="00C7569E" w14:paraId="27F4B6A3" w14:textId="77777777" w:rsidTr="00C7569E">
        <w:trPr>
          <w:trHeight w:val="240"/>
        </w:trPr>
        <w:tc>
          <w:tcPr>
            <w:tcW w:w="5159" w:type="dxa"/>
            <w:tcMar>
              <w:top w:w="113" w:type="dxa"/>
              <w:left w:w="0" w:type="dxa"/>
              <w:bottom w:w="113" w:type="dxa"/>
              <w:right w:w="113" w:type="dxa"/>
            </w:tcMar>
            <w:vAlign w:val="bottom"/>
          </w:tcPr>
          <w:p w14:paraId="391344CE"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en-US"/>
              </w:rPr>
              <w:t>Proceeds from sales of property, plant and equipment</w:t>
            </w:r>
          </w:p>
        </w:tc>
        <w:tc>
          <w:tcPr>
            <w:tcW w:w="680" w:type="dxa"/>
            <w:tcMar>
              <w:top w:w="113" w:type="dxa"/>
              <w:left w:w="0" w:type="dxa"/>
              <w:bottom w:w="113" w:type="dxa"/>
              <w:right w:w="113" w:type="dxa"/>
            </w:tcMar>
            <w:vAlign w:val="bottom"/>
          </w:tcPr>
          <w:p w14:paraId="334360D6"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en-US"/>
              </w:rPr>
            </w:pPr>
          </w:p>
        </w:tc>
        <w:tc>
          <w:tcPr>
            <w:tcW w:w="1418" w:type="dxa"/>
            <w:tcMar>
              <w:top w:w="113" w:type="dxa"/>
              <w:left w:w="0" w:type="dxa"/>
              <w:bottom w:w="113" w:type="dxa"/>
              <w:right w:w="113" w:type="dxa"/>
            </w:tcMar>
            <w:vAlign w:val="bottom"/>
          </w:tcPr>
          <w:p w14:paraId="3AE6CEF4"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en-US"/>
              </w:rPr>
              <w:t xml:space="preserve"> </w:t>
            </w:r>
            <w:r w:rsidRPr="00C7569E">
              <w:rPr>
                <w:rFonts w:cs="Open Sans"/>
                <w:b/>
                <w:bCs/>
                <w:color w:val="000000"/>
                <w:sz w:val="16"/>
                <w:szCs w:val="16"/>
                <w:lang w:val="it-IT"/>
              </w:rPr>
              <w:t>-</w:t>
            </w:r>
          </w:p>
        </w:tc>
        <w:tc>
          <w:tcPr>
            <w:tcW w:w="1417" w:type="dxa"/>
            <w:tcMar>
              <w:top w:w="113" w:type="dxa"/>
              <w:left w:w="0" w:type="dxa"/>
              <w:bottom w:w="113" w:type="dxa"/>
              <w:right w:w="113" w:type="dxa"/>
            </w:tcMar>
            <w:vAlign w:val="bottom"/>
          </w:tcPr>
          <w:p w14:paraId="439E3EFB"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14 </w:t>
            </w:r>
          </w:p>
        </w:tc>
        <w:tc>
          <w:tcPr>
            <w:tcW w:w="1417" w:type="dxa"/>
            <w:tcMar>
              <w:top w:w="113" w:type="dxa"/>
              <w:left w:w="0" w:type="dxa"/>
              <w:bottom w:w="113" w:type="dxa"/>
              <w:right w:w="113" w:type="dxa"/>
            </w:tcMar>
            <w:vAlign w:val="bottom"/>
          </w:tcPr>
          <w:p w14:paraId="28E302F2"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 -</w:t>
            </w:r>
          </w:p>
        </w:tc>
      </w:tr>
      <w:tr w:rsidR="00C7569E" w:rsidRPr="00C7569E" w14:paraId="66C67606" w14:textId="77777777" w:rsidTr="00A4595C">
        <w:trPr>
          <w:trHeight w:val="240"/>
        </w:trPr>
        <w:tc>
          <w:tcPr>
            <w:tcW w:w="5159" w:type="dxa"/>
            <w:shd w:val="clear" w:color="auto" w:fill="F2F2F2" w:themeFill="background1" w:themeFillShade="F2"/>
            <w:tcMar>
              <w:top w:w="113" w:type="dxa"/>
              <w:left w:w="0" w:type="dxa"/>
              <w:bottom w:w="113" w:type="dxa"/>
              <w:right w:w="113" w:type="dxa"/>
            </w:tcMar>
            <w:vAlign w:val="bottom"/>
          </w:tcPr>
          <w:p w14:paraId="720F51F2"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it-IT"/>
              </w:rPr>
              <w:t>Total cash received</w:t>
            </w:r>
          </w:p>
        </w:tc>
        <w:tc>
          <w:tcPr>
            <w:tcW w:w="680" w:type="dxa"/>
            <w:shd w:val="clear" w:color="auto" w:fill="F2F2F2" w:themeFill="background1" w:themeFillShade="F2"/>
            <w:tcMar>
              <w:top w:w="113" w:type="dxa"/>
              <w:left w:w="0" w:type="dxa"/>
              <w:bottom w:w="113" w:type="dxa"/>
              <w:right w:w="113" w:type="dxa"/>
            </w:tcMar>
            <w:vAlign w:val="bottom"/>
          </w:tcPr>
          <w:p w14:paraId="50C79CBC"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shd w:val="clear" w:color="auto" w:fill="F2F2F2" w:themeFill="background1" w:themeFillShade="F2"/>
            <w:tcMar>
              <w:top w:w="113" w:type="dxa"/>
              <w:left w:w="0" w:type="dxa"/>
              <w:bottom w:w="113" w:type="dxa"/>
              <w:right w:w="113" w:type="dxa"/>
            </w:tcMar>
            <w:vAlign w:val="bottom"/>
          </w:tcPr>
          <w:p w14:paraId="14D4C0D3"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 -</w:t>
            </w:r>
          </w:p>
        </w:tc>
        <w:tc>
          <w:tcPr>
            <w:tcW w:w="1417" w:type="dxa"/>
            <w:shd w:val="clear" w:color="auto" w:fill="F2F2F2" w:themeFill="background1" w:themeFillShade="F2"/>
            <w:tcMar>
              <w:top w:w="113" w:type="dxa"/>
              <w:left w:w="0" w:type="dxa"/>
              <w:bottom w:w="113" w:type="dxa"/>
              <w:right w:w="113" w:type="dxa"/>
            </w:tcMar>
            <w:vAlign w:val="bottom"/>
          </w:tcPr>
          <w:p w14:paraId="40F6210A"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14 </w:t>
            </w:r>
          </w:p>
        </w:tc>
        <w:tc>
          <w:tcPr>
            <w:tcW w:w="1417" w:type="dxa"/>
            <w:shd w:val="clear" w:color="auto" w:fill="F2F2F2" w:themeFill="background1" w:themeFillShade="F2"/>
            <w:tcMar>
              <w:top w:w="113" w:type="dxa"/>
              <w:left w:w="0" w:type="dxa"/>
              <w:bottom w:w="113" w:type="dxa"/>
              <w:right w:w="113" w:type="dxa"/>
            </w:tcMar>
            <w:vAlign w:val="bottom"/>
          </w:tcPr>
          <w:p w14:paraId="3D5E53ED"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 -</w:t>
            </w:r>
          </w:p>
        </w:tc>
      </w:tr>
      <w:tr w:rsidR="00C7569E" w:rsidRPr="00C7569E" w14:paraId="24C7A4F3" w14:textId="77777777" w:rsidTr="00C7569E">
        <w:trPr>
          <w:trHeight w:val="240"/>
        </w:trPr>
        <w:tc>
          <w:tcPr>
            <w:tcW w:w="5159" w:type="dxa"/>
            <w:tcMar>
              <w:top w:w="28" w:type="dxa"/>
              <w:left w:w="0" w:type="dxa"/>
              <w:bottom w:w="57" w:type="dxa"/>
              <w:right w:w="113" w:type="dxa"/>
            </w:tcMar>
            <w:vAlign w:val="bottom"/>
          </w:tcPr>
          <w:p w14:paraId="66AAB698"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680" w:type="dxa"/>
            <w:tcMar>
              <w:top w:w="28" w:type="dxa"/>
              <w:left w:w="0" w:type="dxa"/>
              <w:bottom w:w="57" w:type="dxa"/>
              <w:right w:w="113" w:type="dxa"/>
            </w:tcMar>
            <w:vAlign w:val="bottom"/>
          </w:tcPr>
          <w:p w14:paraId="3E2BCD12"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3166FBF0"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56DBFC34"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506744CF"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r>
      <w:tr w:rsidR="00C7569E" w:rsidRPr="00C7569E" w14:paraId="2F59E937" w14:textId="77777777" w:rsidTr="00C7569E">
        <w:trPr>
          <w:trHeight w:val="240"/>
        </w:trPr>
        <w:tc>
          <w:tcPr>
            <w:tcW w:w="5159" w:type="dxa"/>
            <w:tcMar>
              <w:top w:w="28" w:type="dxa"/>
              <w:left w:w="0" w:type="dxa"/>
              <w:bottom w:w="57" w:type="dxa"/>
              <w:right w:w="113" w:type="dxa"/>
            </w:tcMar>
            <w:vAlign w:val="bottom"/>
          </w:tcPr>
          <w:p w14:paraId="1A0FB966"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it-IT"/>
              </w:rPr>
              <w:t>Cash used</w:t>
            </w:r>
          </w:p>
        </w:tc>
        <w:tc>
          <w:tcPr>
            <w:tcW w:w="680" w:type="dxa"/>
            <w:tcMar>
              <w:top w:w="28" w:type="dxa"/>
              <w:left w:w="0" w:type="dxa"/>
              <w:bottom w:w="57" w:type="dxa"/>
              <w:right w:w="113" w:type="dxa"/>
            </w:tcMar>
            <w:vAlign w:val="bottom"/>
          </w:tcPr>
          <w:p w14:paraId="68483D97"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366FCB42"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79D5710C"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0C5EE3E8"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r>
      <w:tr w:rsidR="00C7569E" w:rsidRPr="00C7569E" w14:paraId="6C664DB4" w14:textId="77777777" w:rsidTr="00C7569E">
        <w:trPr>
          <w:trHeight w:val="240"/>
        </w:trPr>
        <w:tc>
          <w:tcPr>
            <w:tcW w:w="5159" w:type="dxa"/>
            <w:tcMar>
              <w:top w:w="28" w:type="dxa"/>
              <w:left w:w="0" w:type="dxa"/>
              <w:bottom w:w="57" w:type="dxa"/>
              <w:right w:w="113" w:type="dxa"/>
            </w:tcMar>
            <w:vAlign w:val="bottom"/>
          </w:tcPr>
          <w:p w14:paraId="2754A3B8"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en-US"/>
              </w:rPr>
              <w:t>Purchase of property, plant and equipment</w:t>
            </w:r>
          </w:p>
        </w:tc>
        <w:tc>
          <w:tcPr>
            <w:tcW w:w="680" w:type="dxa"/>
            <w:tcMar>
              <w:top w:w="28" w:type="dxa"/>
              <w:left w:w="0" w:type="dxa"/>
              <w:bottom w:w="57" w:type="dxa"/>
              <w:right w:w="113" w:type="dxa"/>
            </w:tcMar>
            <w:vAlign w:val="bottom"/>
          </w:tcPr>
          <w:p w14:paraId="7519A148"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en-US"/>
              </w:rPr>
            </w:pPr>
          </w:p>
        </w:tc>
        <w:tc>
          <w:tcPr>
            <w:tcW w:w="1418" w:type="dxa"/>
            <w:tcMar>
              <w:top w:w="28" w:type="dxa"/>
              <w:left w:w="0" w:type="dxa"/>
              <w:bottom w:w="57" w:type="dxa"/>
              <w:right w:w="113" w:type="dxa"/>
            </w:tcMar>
            <w:vAlign w:val="bottom"/>
          </w:tcPr>
          <w:p w14:paraId="734D4662"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(42)</w:t>
            </w:r>
          </w:p>
        </w:tc>
        <w:tc>
          <w:tcPr>
            <w:tcW w:w="1417" w:type="dxa"/>
            <w:tcMar>
              <w:top w:w="28" w:type="dxa"/>
              <w:left w:w="0" w:type="dxa"/>
              <w:bottom w:w="57" w:type="dxa"/>
              <w:right w:w="113" w:type="dxa"/>
            </w:tcMar>
            <w:vAlign w:val="bottom"/>
          </w:tcPr>
          <w:p w14:paraId="769207C6"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(63)</w:t>
            </w:r>
          </w:p>
        </w:tc>
        <w:tc>
          <w:tcPr>
            <w:tcW w:w="1417" w:type="dxa"/>
            <w:tcMar>
              <w:top w:w="28" w:type="dxa"/>
              <w:left w:w="0" w:type="dxa"/>
              <w:bottom w:w="57" w:type="dxa"/>
              <w:right w:w="113" w:type="dxa"/>
            </w:tcMar>
            <w:vAlign w:val="bottom"/>
          </w:tcPr>
          <w:p w14:paraId="5B411F9A"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 -</w:t>
            </w:r>
          </w:p>
        </w:tc>
      </w:tr>
      <w:tr w:rsidR="00C7569E" w:rsidRPr="00C7569E" w14:paraId="6327D77E" w14:textId="77777777" w:rsidTr="00C7569E">
        <w:trPr>
          <w:trHeight w:val="240"/>
        </w:trPr>
        <w:tc>
          <w:tcPr>
            <w:tcW w:w="5159" w:type="dxa"/>
            <w:tcMar>
              <w:top w:w="113" w:type="dxa"/>
              <w:left w:w="0" w:type="dxa"/>
              <w:bottom w:w="113" w:type="dxa"/>
              <w:right w:w="113" w:type="dxa"/>
            </w:tcMar>
            <w:vAlign w:val="bottom"/>
          </w:tcPr>
          <w:p w14:paraId="2BBFEEC6"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it-IT"/>
              </w:rPr>
              <w:t>Purchase of intangibles</w:t>
            </w:r>
          </w:p>
        </w:tc>
        <w:tc>
          <w:tcPr>
            <w:tcW w:w="680" w:type="dxa"/>
            <w:tcMar>
              <w:top w:w="113" w:type="dxa"/>
              <w:left w:w="0" w:type="dxa"/>
              <w:bottom w:w="113" w:type="dxa"/>
              <w:right w:w="113" w:type="dxa"/>
            </w:tcMar>
            <w:vAlign w:val="bottom"/>
          </w:tcPr>
          <w:p w14:paraId="7D37E97C"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113" w:type="dxa"/>
              <w:left w:w="0" w:type="dxa"/>
              <w:bottom w:w="113" w:type="dxa"/>
              <w:right w:w="113" w:type="dxa"/>
            </w:tcMar>
            <w:vAlign w:val="bottom"/>
          </w:tcPr>
          <w:p w14:paraId="650525CB"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 -</w:t>
            </w:r>
          </w:p>
        </w:tc>
        <w:tc>
          <w:tcPr>
            <w:tcW w:w="1417" w:type="dxa"/>
            <w:tcMar>
              <w:top w:w="113" w:type="dxa"/>
              <w:left w:w="0" w:type="dxa"/>
              <w:bottom w:w="113" w:type="dxa"/>
              <w:right w:w="113" w:type="dxa"/>
            </w:tcMar>
            <w:vAlign w:val="bottom"/>
          </w:tcPr>
          <w:p w14:paraId="1187BE3B"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(251)</w:t>
            </w:r>
          </w:p>
        </w:tc>
        <w:tc>
          <w:tcPr>
            <w:tcW w:w="1417" w:type="dxa"/>
            <w:tcMar>
              <w:top w:w="113" w:type="dxa"/>
              <w:left w:w="0" w:type="dxa"/>
              <w:bottom w:w="113" w:type="dxa"/>
              <w:right w:w="113" w:type="dxa"/>
            </w:tcMar>
            <w:vAlign w:val="bottom"/>
          </w:tcPr>
          <w:p w14:paraId="1F999CFA"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326 </w:t>
            </w:r>
          </w:p>
        </w:tc>
      </w:tr>
      <w:tr w:rsidR="00C7569E" w:rsidRPr="00C7569E" w14:paraId="4F9CB823" w14:textId="77777777" w:rsidTr="00A4595C">
        <w:trPr>
          <w:trHeight w:val="240"/>
        </w:trPr>
        <w:tc>
          <w:tcPr>
            <w:tcW w:w="5159" w:type="dxa"/>
            <w:shd w:val="clear" w:color="auto" w:fill="F2F2F2" w:themeFill="background1" w:themeFillShade="F2"/>
            <w:tcMar>
              <w:top w:w="113" w:type="dxa"/>
              <w:left w:w="0" w:type="dxa"/>
              <w:bottom w:w="113" w:type="dxa"/>
              <w:right w:w="113" w:type="dxa"/>
            </w:tcMar>
            <w:vAlign w:val="bottom"/>
          </w:tcPr>
          <w:p w14:paraId="0A82F137"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it-IT"/>
              </w:rPr>
              <w:t>Total cash used</w:t>
            </w:r>
          </w:p>
        </w:tc>
        <w:tc>
          <w:tcPr>
            <w:tcW w:w="680" w:type="dxa"/>
            <w:shd w:val="clear" w:color="auto" w:fill="F2F2F2" w:themeFill="background1" w:themeFillShade="F2"/>
            <w:tcMar>
              <w:top w:w="113" w:type="dxa"/>
              <w:left w:w="0" w:type="dxa"/>
              <w:bottom w:w="113" w:type="dxa"/>
              <w:right w:w="113" w:type="dxa"/>
            </w:tcMar>
            <w:vAlign w:val="bottom"/>
          </w:tcPr>
          <w:p w14:paraId="5C6C88CB"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shd w:val="clear" w:color="auto" w:fill="F2F2F2" w:themeFill="background1" w:themeFillShade="F2"/>
            <w:tcMar>
              <w:top w:w="113" w:type="dxa"/>
              <w:left w:w="0" w:type="dxa"/>
              <w:bottom w:w="113" w:type="dxa"/>
              <w:right w:w="113" w:type="dxa"/>
            </w:tcMar>
            <w:vAlign w:val="bottom"/>
          </w:tcPr>
          <w:p w14:paraId="4AC8CE54"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(42)</w:t>
            </w:r>
          </w:p>
        </w:tc>
        <w:tc>
          <w:tcPr>
            <w:tcW w:w="1417" w:type="dxa"/>
            <w:shd w:val="clear" w:color="auto" w:fill="F2F2F2" w:themeFill="background1" w:themeFillShade="F2"/>
            <w:tcMar>
              <w:top w:w="113" w:type="dxa"/>
              <w:left w:w="0" w:type="dxa"/>
              <w:bottom w:w="113" w:type="dxa"/>
              <w:right w:w="113" w:type="dxa"/>
            </w:tcMar>
            <w:vAlign w:val="bottom"/>
          </w:tcPr>
          <w:p w14:paraId="14A04CA7"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(314)</w:t>
            </w:r>
          </w:p>
        </w:tc>
        <w:tc>
          <w:tcPr>
            <w:tcW w:w="1417" w:type="dxa"/>
            <w:shd w:val="clear" w:color="auto" w:fill="F2F2F2" w:themeFill="background1" w:themeFillShade="F2"/>
            <w:tcMar>
              <w:top w:w="113" w:type="dxa"/>
              <w:left w:w="0" w:type="dxa"/>
              <w:bottom w:w="113" w:type="dxa"/>
              <w:right w:w="113" w:type="dxa"/>
            </w:tcMar>
            <w:vAlign w:val="bottom"/>
          </w:tcPr>
          <w:p w14:paraId="64A957DD"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(326) </w:t>
            </w:r>
          </w:p>
        </w:tc>
      </w:tr>
      <w:tr w:rsidR="00C7569E" w:rsidRPr="00C7569E" w14:paraId="1B5232AD" w14:textId="77777777" w:rsidTr="00A4595C">
        <w:trPr>
          <w:trHeight w:val="240"/>
        </w:trPr>
        <w:tc>
          <w:tcPr>
            <w:tcW w:w="5159"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4A510469"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en-US"/>
              </w:rPr>
              <w:t>Net cash (used by) investing activities</w:t>
            </w:r>
          </w:p>
        </w:tc>
        <w:tc>
          <w:tcPr>
            <w:tcW w:w="680"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212306FD"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en-US"/>
              </w:rPr>
            </w:pPr>
          </w:p>
        </w:tc>
        <w:tc>
          <w:tcPr>
            <w:tcW w:w="1418"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7CFDF64"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(42)</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CB9E41B"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(300)</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6270C569"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(326)</w:t>
            </w:r>
          </w:p>
        </w:tc>
      </w:tr>
      <w:tr w:rsidR="00A4595C" w:rsidRPr="00C7569E" w14:paraId="2F1AD70C" w14:textId="77777777" w:rsidTr="00A4595C">
        <w:trPr>
          <w:trHeight w:val="240"/>
        </w:trPr>
        <w:tc>
          <w:tcPr>
            <w:tcW w:w="5159" w:type="dxa"/>
            <w:tcBorders>
              <w:bottom w:val="nil"/>
            </w:tcBorders>
            <w:tcMar>
              <w:top w:w="227" w:type="dxa"/>
              <w:left w:w="0" w:type="dxa"/>
              <w:bottom w:w="57" w:type="dxa"/>
              <w:right w:w="113" w:type="dxa"/>
            </w:tcMar>
            <w:vAlign w:val="bottom"/>
          </w:tcPr>
          <w:p w14:paraId="4FFE488A" w14:textId="77777777" w:rsidR="00A4595C" w:rsidRDefault="00A4595C"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p>
          <w:p w14:paraId="30922824" w14:textId="77777777" w:rsidR="00A4595C" w:rsidRDefault="00A4595C"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p>
          <w:p w14:paraId="070925A9" w14:textId="77777777" w:rsidR="00A4595C" w:rsidRDefault="00A4595C"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p>
          <w:p w14:paraId="359E33E3" w14:textId="77777777" w:rsidR="00A4595C" w:rsidRPr="00C7569E" w:rsidRDefault="00A4595C"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p>
        </w:tc>
        <w:tc>
          <w:tcPr>
            <w:tcW w:w="680" w:type="dxa"/>
            <w:tcBorders>
              <w:bottom w:val="nil"/>
            </w:tcBorders>
            <w:tcMar>
              <w:top w:w="227" w:type="dxa"/>
              <w:left w:w="0" w:type="dxa"/>
              <w:bottom w:w="57" w:type="dxa"/>
              <w:right w:w="113" w:type="dxa"/>
            </w:tcMar>
            <w:vAlign w:val="bottom"/>
          </w:tcPr>
          <w:p w14:paraId="11396336" w14:textId="77777777" w:rsidR="00A4595C" w:rsidRPr="00C7569E" w:rsidRDefault="00A4595C"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Borders>
              <w:bottom w:val="nil"/>
            </w:tcBorders>
            <w:tcMar>
              <w:top w:w="227" w:type="dxa"/>
              <w:left w:w="0" w:type="dxa"/>
              <w:bottom w:w="57" w:type="dxa"/>
              <w:right w:w="113" w:type="dxa"/>
            </w:tcMar>
            <w:vAlign w:val="bottom"/>
          </w:tcPr>
          <w:p w14:paraId="619FB6A1" w14:textId="77777777" w:rsidR="00A4595C" w:rsidRPr="00C7569E" w:rsidRDefault="00A4595C"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Borders>
              <w:bottom w:val="nil"/>
            </w:tcBorders>
            <w:tcMar>
              <w:top w:w="227" w:type="dxa"/>
              <w:left w:w="0" w:type="dxa"/>
              <w:bottom w:w="57" w:type="dxa"/>
              <w:right w:w="113" w:type="dxa"/>
            </w:tcMar>
            <w:vAlign w:val="bottom"/>
          </w:tcPr>
          <w:p w14:paraId="472E182D" w14:textId="77777777" w:rsidR="00A4595C" w:rsidRPr="00C7569E" w:rsidRDefault="00A4595C"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Borders>
              <w:bottom w:val="nil"/>
            </w:tcBorders>
            <w:tcMar>
              <w:top w:w="227" w:type="dxa"/>
              <w:left w:w="0" w:type="dxa"/>
              <w:bottom w:w="57" w:type="dxa"/>
              <w:right w:w="113" w:type="dxa"/>
            </w:tcMar>
            <w:vAlign w:val="bottom"/>
          </w:tcPr>
          <w:p w14:paraId="4E626072" w14:textId="77777777" w:rsidR="00A4595C" w:rsidRPr="00C7569E" w:rsidRDefault="00A4595C" w:rsidP="007D1E6F">
            <w:pPr>
              <w:autoSpaceDE w:val="0"/>
              <w:autoSpaceDN w:val="0"/>
              <w:adjustRightInd w:val="0"/>
              <w:spacing w:before="0" w:after="0" w:line="240" w:lineRule="auto"/>
              <w:rPr>
                <w:rFonts w:ascii="Open Sans Condensed" w:hAnsi="Open Sans Condensed"/>
                <w:sz w:val="16"/>
                <w:szCs w:val="16"/>
                <w:lang w:val="it-IT"/>
              </w:rPr>
            </w:pPr>
          </w:p>
        </w:tc>
      </w:tr>
      <w:tr w:rsidR="00C7569E" w:rsidRPr="00C7569E" w14:paraId="2816BA74" w14:textId="77777777" w:rsidTr="00A4595C">
        <w:trPr>
          <w:trHeight w:val="240"/>
        </w:trPr>
        <w:tc>
          <w:tcPr>
            <w:tcW w:w="5159" w:type="dxa"/>
            <w:tcBorders>
              <w:top w:val="nil"/>
            </w:tcBorders>
            <w:tcMar>
              <w:top w:w="227" w:type="dxa"/>
              <w:left w:w="0" w:type="dxa"/>
              <w:bottom w:w="57" w:type="dxa"/>
              <w:right w:w="113" w:type="dxa"/>
            </w:tcMar>
            <w:vAlign w:val="bottom"/>
          </w:tcPr>
          <w:p w14:paraId="3B6ECF0B"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r w:rsidRPr="00C7569E">
              <w:rPr>
                <w:rFonts w:cs="Open Sans"/>
                <w:b/>
                <w:bCs/>
                <w:color w:val="2BB8C9"/>
                <w:sz w:val="16"/>
                <w:szCs w:val="16"/>
                <w:lang w:val="en-US"/>
              </w:rPr>
              <w:t>FINANCING ACTIVITIES</w:t>
            </w:r>
          </w:p>
        </w:tc>
        <w:tc>
          <w:tcPr>
            <w:tcW w:w="680" w:type="dxa"/>
            <w:tcBorders>
              <w:top w:val="nil"/>
            </w:tcBorders>
            <w:tcMar>
              <w:top w:w="227" w:type="dxa"/>
              <w:left w:w="0" w:type="dxa"/>
              <w:bottom w:w="57" w:type="dxa"/>
              <w:right w:w="113" w:type="dxa"/>
            </w:tcMar>
            <w:vAlign w:val="bottom"/>
          </w:tcPr>
          <w:p w14:paraId="2509BBAE"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Borders>
              <w:top w:val="nil"/>
            </w:tcBorders>
            <w:tcMar>
              <w:top w:w="227" w:type="dxa"/>
              <w:left w:w="0" w:type="dxa"/>
              <w:bottom w:w="57" w:type="dxa"/>
              <w:right w:w="113" w:type="dxa"/>
            </w:tcMar>
            <w:vAlign w:val="bottom"/>
          </w:tcPr>
          <w:p w14:paraId="0171BE28"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Borders>
              <w:top w:val="nil"/>
            </w:tcBorders>
            <w:tcMar>
              <w:top w:w="227" w:type="dxa"/>
              <w:left w:w="0" w:type="dxa"/>
              <w:bottom w:w="57" w:type="dxa"/>
              <w:right w:w="113" w:type="dxa"/>
            </w:tcMar>
            <w:vAlign w:val="bottom"/>
          </w:tcPr>
          <w:p w14:paraId="0398C400"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Borders>
              <w:top w:val="nil"/>
            </w:tcBorders>
            <w:tcMar>
              <w:top w:w="227" w:type="dxa"/>
              <w:left w:w="0" w:type="dxa"/>
              <w:bottom w:w="57" w:type="dxa"/>
              <w:right w:w="113" w:type="dxa"/>
            </w:tcMar>
            <w:vAlign w:val="bottom"/>
          </w:tcPr>
          <w:p w14:paraId="16A3E1B6"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r>
      <w:tr w:rsidR="00C7569E" w:rsidRPr="00C7569E" w14:paraId="012E39FE" w14:textId="77777777" w:rsidTr="00C7569E">
        <w:trPr>
          <w:trHeight w:val="240"/>
        </w:trPr>
        <w:tc>
          <w:tcPr>
            <w:tcW w:w="5159" w:type="dxa"/>
            <w:tcMar>
              <w:top w:w="28" w:type="dxa"/>
              <w:left w:w="0" w:type="dxa"/>
              <w:bottom w:w="57" w:type="dxa"/>
              <w:right w:w="113" w:type="dxa"/>
            </w:tcMar>
            <w:vAlign w:val="bottom"/>
          </w:tcPr>
          <w:p w14:paraId="0AFBC03C"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it-IT"/>
              </w:rPr>
              <w:t>Cash received</w:t>
            </w:r>
          </w:p>
        </w:tc>
        <w:tc>
          <w:tcPr>
            <w:tcW w:w="680" w:type="dxa"/>
            <w:tcMar>
              <w:top w:w="28" w:type="dxa"/>
              <w:left w:w="0" w:type="dxa"/>
              <w:bottom w:w="57" w:type="dxa"/>
              <w:right w:w="113" w:type="dxa"/>
            </w:tcMar>
            <w:vAlign w:val="bottom"/>
          </w:tcPr>
          <w:p w14:paraId="770A6F95"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28" w:type="dxa"/>
              <w:left w:w="0" w:type="dxa"/>
              <w:bottom w:w="57" w:type="dxa"/>
              <w:right w:w="113" w:type="dxa"/>
            </w:tcMar>
            <w:vAlign w:val="bottom"/>
          </w:tcPr>
          <w:p w14:paraId="6667AF02"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32B1DC55"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Mar>
              <w:top w:w="28" w:type="dxa"/>
              <w:left w:w="0" w:type="dxa"/>
              <w:bottom w:w="57" w:type="dxa"/>
              <w:right w:w="113" w:type="dxa"/>
            </w:tcMar>
            <w:vAlign w:val="bottom"/>
          </w:tcPr>
          <w:p w14:paraId="6C5E8557"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r>
      <w:tr w:rsidR="00C7569E" w:rsidRPr="00C7569E" w14:paraId="402E84BD" w14:textId="77777777" w:rsidTr="00C7569E">
        <w:trPr>
          <w:trHeight w:val="240"/>
        </w:trPr>
        <w:tc>
          <w:tcPr>
            <w:tcW w:w="5159" w:type="dxa"/>
            <w:tcMar>
              <w:top w:w="113" w:type="dxa"/>
              <w:left w:w="0" w:type="dxa"/>
              <w:bottom w:w="113" w:type="dxa"/>
              <w:right w:w="113" w:type="dxa"/>
            </w:tcMar>
            <w:vAlign w:val="bottom"/>
          </w:tcPr>
          <w:p w14:paraId="65738197"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en-US"/>
              </w:rPr>
              <w:t>Contributed equity</w:t>
            </w:r>
          </w:p>
        </w:tc>
        <w:tc>
          <w:tcPr>
            <w:tcW w:w="680" w:type="dxa"/>
            <w:tcMar>
              <w:top w:w="113" w:type="dxa"/>
              <w:left w:w="0" w:type="dxa"/>
              <w:bottom w:w="113" w:type="dxa"/>
              <w:right w:w="113" w:type="dxa"/>
            </w:tcMar>
            <w:vAlign w:val="bottom"/>
          </w:tcPr>
          <w:p w14:paraId="1B3F602A"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Mar>
              <w:top w:w="113" w:type="dxa"/>
              <w:left w:w="0" w:type="dxa"/>
              <w:bottom w:w="113" w:type="dxa"/>
              <w:right w:w="113" w:type="dxa"/>
            </w:tcMar>
            <w:vAlign w:val="bottom"/>
          </w:tcPr>
          <w:p w14:paraId="6958F62F"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 -</w:t>
            </w:r>
          </w:p>
        </w:tc>
        <w:tc>
          <w:tcPr>
            <w:tcW w:w="1417" w:type="dxa"/>
            <w:tcMar>
              <w:top w:w="113" w:type="dxa"/>
              <w:left w:w="0" w:type="dxa"/>
              <w:bottom w:w="113" w:type="dxa"/>
              <w:right w:w="113" w:type="dxa"/>
            </w:tcMar>
            <w:vAlign w:val="bottom"/>
          </w:tcPr>
          <w:p w14:paraId="14E95B7E"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16,050 </w:t>
            </w:r>
          </w:p>
        </w:tc>
        <w:tc>
          <w:tcPr>
            <w:tcW w:w="1417" w:type="dxa"/>
            <w:tcMar>
              <w:top w:w="113" w:type="dxa"/>
              <w:left w:w="0" w:type="dxa"/>
              <w:bottom w:w="113" w:type="dxa"/>
              <w:right w:w="113" w:type="dxa"/>
            </w:tcMar>
            <w:vAlign w:val="bottom"/>
          </w:tcPr>
          <w:p w14:paraId="5767B242"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 -</w:t>
            </w:r>
          </w:p>
        </w:tc>
      </w:tr>
      <w:tr w:rsidR="00C7569E" w:rsidRPr="00C7569E" w14:paraId="3593B747" w14:textId="77777777" w:rsidTr="00A4595C">
        <w:trPr>
          <w:trHeight w:val="240"/>
        </w:trPr>
        <w:tc>
          <w:tcPr>
            <w:tcW w:w="5159"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3A71CAD"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it-IT"/>
              </w:rPr>
              <w:t>Total cash received</w:t>
            </w:r>
          </w:p>
        </w:tc>
        <w:tc>
          <w:tcPr>
            <w:tcW w:w="680"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4D0406C4"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2E8478F4"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2B20E3C3"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16,050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27CE6F61"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 -</w:t>
            </w:r>
          </w:p>
        </w:tc>
      </w:tr>
      <w:tr w:rsidR="00C7569E" w:rsidRPr="00C7569E" w14:paraId="282C62E0" w14:textId="77777777" w:rsidTr="00A4595C">
        <w:trPr>
          <w:trHeight w:val="240"/>
        </w:trPr>
        <w:tc>
          <w:tcPr>
            <w:tcW w:w="5159" w:type="dxa"/>
            <w:tcBorders>
              <w:bottom w:val="nil"/>
            </w:tcBorders>
            <w:tcMar>
              <w:top w:w="28" w:type="dxa"/>
              <w:left w:w="0" w:type="dxa"/>
              <w:bottom w:w="57" w:type="dxa"/>
              <w:right w:w="113" w:type="dxa"/>
            </w:tcMar>
            <w:vAlign w:val="bottom"/>
          </w:tcPr>
          <w:p w14:paraId="7EEAECDD"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680" w:type="dxa"/>
            <w:tcBorders>
              <w:bottom w:val="nil"/>
            </w:tcBorders>
            <w:tcMar>
              <w:top w:w="28" w:type="dxa"/>
              <w:left w:w="0" w:type="dxa"/>
              <w:bottom w:w="57" w:type="dxa"/>
              <w:right w:w="113" w:type="dxa"/>
            </w:tcMar>
            <w:vAlign w:val="bottom"/>
          </w:tcPr>
          <w:p w14:paraId="158DE4D5"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Borders>
              <w:bottom w:val="nil"/>
            </w:tcBorders>
            <w:tcMar>
              <w:top w:w="28" w:type="dxa"/>
              <w:left w:w="0" w:type="dxa"/>
              <w:bottom w:w="57" w:type="dxa"/>
              <w:right w:w="113" w:type="dxa"/>
            </w:tcMar>
            <w:vAlign w:val="bottom"/>
          </w:tcPr>
          <w:p w14:paraId="7F906D4E"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Borders>
              <w:bottom w:val="nil"/>
            </w:tcBorders>
            <w:tcMar>
              <w:top w:w="28" w:type="dxa"/>
              <w:left w:w="0" w:type="dxa"/>
              <w:bottom w:w="57" w:type="dxa"/>
              <w:right w:w="113" w:type="dxa"/>
            </w:tcMar>
            <w:vAlign w:val="bottom"/>
          </w:tcPr>
          <w:p w14:paraId="62BE56CC"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Borders>
              <w:bottom w:val="nil"/>
            </w:tcBorders>
            <w:tcMar>
              <w:top w:w="28" w:type="dxa"/>
              <w:left w:w="0" w:type="dxa"/>
              <w:bottom w:w="57" w:type="dxa"/>
              <w:right w:w="113" w:type="dxa"/>
            </w:tcMar>
            <w:vAlign w:val="bottom"/>
          </w:tcPr>
          <w:p w14:paraId="3B14CDEA"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r>
      <w:tr w:rsidR="00C7569E" w:rsidRPr="00C7569E" w14:paraId="34F8566E" w14:textId="77777777" w:rsidTr="00A4595C">
        <w:trPr>
          <w:trHeight w:val="240"/>
        </w:trPr>
        <w:tc>
          <w:tcPr>
            <w:tcW w:w="5159" w:type="dxa"/>
            <w:tcBorders>
              <w:top w:val="nil"/>
            </w:tcBorders>
            <w:tcMar>
              <w:top w:w="28" w:type="dxa"/>
              <w:left w:w="0" w:type="dxa"/>
              <w:bottom w:w="57" w:type="dxa"/>
              <w:right w:w="113" w:type="dxa"/>
            </w:tcMar>
            <w:vAlign w:val="bottom"/>
          </w:tcPr>
          <w:p w14:paraId="49D9EF2F"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it-IT"/>
              </w:rPr>
              <w:t>Cash used</w:t>
            </w:r>
          </w:p>
        </w:tc>
        <w:tc>
          <w:tcPr>
            <w:tcW w:w="680" w:type="dxa"/>
            <w:tcBorders>
              <w:top w:val="nil"/>
            </w:tcBorders>
            <w:tcMar>
              <w:top w:w="28" w:type="dxa"/>
              <w:left w:w="0" w:type="dxa"/>
              <w:bottom w:w="57" w:type="dxa"/>
              <w:right w:w="113" w:type="dxa"/>
            </w:tcMar>
            <w:vAlign w:val="bottom"/>
          </w:tcPr>
          <w:p w14:paraId="48B9C6AD"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tcBorders>
              <w:top w:val="nil"/>
            </w:tcBorders>
            <w:tcMar>
              <w:top w:w="28" w:type="dxa"/>
              <w:left w:w="0" w:type="dxa"/>
              <w:bottom w:w="57" w:type="dxa"/>
              <w:right w:w="113" w:type="dxa"/>
            </w:tcMar>
            <w:vAlign w:val="bottom"/>
          </w:tcPr>
          <w:p w14:paraId="1A07A435"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Borders>
              <w:top w:val="nil"/>
            </w:tcBorders>
            <w:tcMar>
              <w:top w:w="28" w:type="dxa"/>
              <w:left w:w="0" w:type="dxa"/>
              <w:bottom w:w="57" w:type="dxa"/>
              <w:right w:w="113" w:type="dxa"/>
            </w:tcMar>
            <w:vAlign w:val="bottom"/>
          </w:tcPr>
          <w:p w14:paraId="32333210"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7" w:type="dxa"/>
            <w:tcBorders>
              <w:top w:val="nil"/>
            </w:tcBorders>
            <w:tcMar>
              <w:top w:w="28" w:type="dxa"/>
              <w:left w:w="0" w:type="dxa"/>
              <w:bottom w:w="57" w:type="dxa"/>
              <w:right w:w="113" w:type="dxa"/>
            </w:tcMar>
            <w:vAlign w:val="bottom"/>
          </w:tcPr>
          <w:p w14:paraId="71145B1D"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r>
      <w:tr w:rsidR="00C7569E" w:rsidRPr="00C7569E" w14:paraId="1DD65607" w14:textId="77777777" w:rsidTr="00C7569E">
        <w:trPr>
          <w:trHeight w:val="240"/>
        </w:trPr>
        <w:tc>
          <w:tcPr>
            <w:tcW w:w="5159" w:type="dxa"/>
            <w:tcMar>
              <w:top w:w="113" w:type="dxa"/>
              <w:left w:w="0" w:type="dxa"/>
              <w:bottom w:w="113" w:type="dxa"/>
              <w:right w:w="113" w:type="dxa"/>
            </w:tcMar>
            <w:vAlign w:val="bottom"/>
          </w:tcPr>
          <w:p w14:paraId="36188D35"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en-US"/>
              </w:rPr>
              <w:t>Principal payments of lease liabilities</w:t>
            </w:r>
          </w:p>
        </w:tc>
        <w:tc>
          <w:tcPr>
            <w:tcW w:w="680" w:type="dxa"/>
            <w:tcMar>
              <w:top w:w="113" w:type="dxa"/>
              <w:left w:w="0" w:type="dxa"/>
              <w:bottom w:w="113" w:type="dxa"/>
              <w:right w:w="113" w:type="dxa"/>
            </w:tcMar>
            <w:vAlign w:val="bottom"/>
          </w:tcPr>
          <w:p w14:paraId="66EDFC86"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en-US"/>
              </w:rPr>
            </w:pPr>
          </w:p>
        </w:tc>
        <w:tc>
          <w:tcPr>
            <w:tcW w:w="1418" w:type="dxa"/>
            <w:tcMar>
              <w:top w:w="113" w:type="dxa"/>
              <w:left w:w="0" w:type="dxa"/>
              <w:bottom w:w="113" w:type="dxa"/>
              <w:right w:w="113" w:type="dxa"/>
            </w:tcMar>
            <w:vAlign w:val="bottom"/>
          </w:tcPr>
          <w:p w14:paraId="52FD8B74"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(2,499)</w:t>
            </w:r>
          </w:p>
        </w:tc>
        <w:tc>
          <w:tcPr>
            <w:tcW w:w="1417" w:type="dxa"/>
            <w:tcMar>
              <w:top w:w="113" w:type="dxa"/>
              <w:left w:w="0" w:type="dxa"/>
              <w:bottom w:w="113" w:type="dxa"/>
              <w:right w:w="113" w:type="dxa"/>
            </w:tcMar>
            <w:vAlign w:val="bottom"/>
          </w:tcPr>
          <w:p w14:paraId="63DBB4C2"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(2,398)</w:t>
            </w:r>
          </w:p>
        </w:tc>
        <w:tc>
          <w:tcPr>
            <w:tcW w:w="1417" w:type="dxa"/>
            <w:tcMar>
              <w:top w:w="113" w:type="dxa"/>
              <w:left w:w="0" w:type="dxa"/>
              <w:bottom w:w="113" w:type="dxa"/>
              <w:right w:w="113" w:type="dxa"/>
            </w:tcMar>
            <w:vAlign w:val="bottom"/>
          </w:tcPr>
          <w:p w14:paraId="7EB26B96"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(2,495)</w:t>
            </w:r>
          </w:p>
        </w:tc>
      </w:tr>
      <w:tr w:rsidR="00C7569E" w:rsidRPr="00C7569E" w14:paraId="2123A310" w14:textId="77777777" w:rsidTr="00A4595C">
        <w:trPr>
          <w:trHeight w:val="240"/>
        </w:trPr>
        <w:tc>
          <w:tcPr>
            <w:tcW w:w="5159" w:type="dxa"/>
            <w:shd w:val="clear" w:color="auto" w:fill="F2F2F2" w:themeFill="background1" w:themeFillShade="F2"/>
            <w:tcMar>
              <w:top w:w="113" w:type="dxa"/>
              <w:left w:w="0" w:type="dxa"/>
              <w:bottom w:w="113" w:type="dxa"/>
              <w:right w:w="113" w:type="dxa"/>
            </w:tcMar>
            <w:vAlign w:val="bottom"/>
          </w:tcPr>
          <w:p w14:paraId="42AEF9AC"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it-IT"/>
              </w:rPr>
              <w:t>Total cash used</w:t>
            </w:r>
          </w:p>
        </w:tc>
        <w:tc>
          <w:tcPr>
            <w:tcW w:w="680" w:type="dxa"/>
            <w:shd w:val="clear" w:color="auto" w:fill="F2F2F2" w:themeFill="background1" w:themeFillShade="F2"/>
            <w:tcMar>
              <w:top w:w="113" w:type="dxa"/>
              <w:left w:w="0" w:type="dxa"/>
              <w:bottom w:w="113" w:type="dxa"/>
              <w:right w:w="113" w:type="dxa"/>
            </w:tcMar>
            <w:vAlign w:val="bottom"/>
          </w:tcPr>
          <w:p w14:paraId="4DAD1EFD"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it-IT"/>
              </w:rPr>
            </w:pPr>
          </w:p>
        </w:tc>
        <w:tc>
          <w:tcPr>
            <w:tcW w:w="1418" w:type="dxa"/>
            <w:shd w:val="clear" w:color="auto" w:fill="F2F2F2" w:themeFill="background1" w:themeFillShade="F2"/>
            <w:tcMar>
              <w:top w:w="113" w:type="dxa"/>
              <w:left w:w="0" w:type="dxa"/>
              <w:bottom w:w="113" w:type="dxa"/>
              <w:right w:w="113" w:type="dxa"/>
            </w:tcMar>
            <w:vAlign w:val="bottom"/>
          </w:tcPr>
          <w:p w14:paraId="058AB225"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(2,499)</w:t>
            </w:r>
          </w:p>
        </w:tc>
        <w:tc>
          <w:tcPr>
            <w:tcW w:w="1417" w:type="dxa"/>
            <w:shd w:val="clear" w:color="auto" w:fill="F2F2F2" w:themeFill="background1" w:themeFillShade="F2"/>
            <w:tcMar>
              <w:top w:w="113" w:type="dxa"/>
              <w:left w:w="0" w:type="dxa"/>
              <w:bottom w:w="113" w:type="dxa"/>
              <w:right w:w="113" w:type="dxa"/>
            </w:tcMar>
            <w:vAlign w:val="bottom"/>
          </w:tcPr>
          <w:p w14:paraId="34E0EDF0"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(2,398)</w:t>
            </w:r>
          </w:p>
        </w:tc>
        <w:tc>
          <w:tcPr>
            <w:tcW w:w="1417" w:type="dxa"/>
            <w:shd w:val="clear" w:color="auto" w:fill="F2F2F2" w:themeFill="background1" w:themeFillShade="F2"/>
            <w:tcMar>
              <w:top w:w="113" w:type="dxa"/>
              <w:left w:w="0" w:type="dxa"/>
              <w:bottom w:w="113" w:type="dxa"/>
              <w:right w:w="113" w:type="dxa"/>
            </w:tcMar>
            <w:vAlign w:val="bottom"/>
          </w:tcPr>
          <w:p w14:paraId="3414E861"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(2,495)</w:t>
            </w:r>
          </w:p>
        </w:tc>
      </w:tr>
      <w:tr w:rsidR="00C7569E" w:rsidRPr="00C7569E" w14:paraId="4306ACAC" w14:textId="77777777" w:rsidTr="00A4595C">
        <w:trPr>
          <w:trHeight w:val="240"/>
        </w:trPr>
        <w:tc>
          <w:tcPr>
            <w:tcW w:w="5159" w:type="dxa"/>
            <w:shd w:val="clear" w:color="auto" w:fill="F2F2F2" w:themeFill="background1" w:themeFillShade="F2"/>
            <w:tcMar>
              <w:top w:w="113" w:type="dxa"/>
              <w:left w:w="0" w:type="dxa"/>
              <w:bottom w:w="113" w:type="dxa"/>
              <w:right w:w="113" w:type="dxa"/>
            </w:tcMar>
            <w:vAlign w:val="bottom"/>
          </w:tcPr>
          <w:p w14:paraId="6F335DC6"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en-US"/>
              </w:rPr>
              <w:t>Net cash from/(used by) financing activities</w:t>
            </w:r>
          </w:p>
        </w:tc>
        <w:tc>
          <w:tcPr>
            <w:tcW w:w="680" w:type="dxa"/>
            <w:shd w:val="clear" w:color="auto" w:fill="F2F2F2" w:themeFill="background1" w:themeFillShade="F2"/>
            <w:tcMar>
              <w:top w:w="113" w:type="dxa"/>
              <w:left w:w="0" w:type="dxa"/>
              <w:bottom w:w="113" w:type="dxa"/>
              <w:right w:w="113" w:type="dxa"/>
            </w:tcMar>
            <w:vAlign w:val="bottom"/>
          </w:tcPr>
          <w:p w14:paraId="20A16147"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en-US"/>
              </w:rPr>
            </w:pPr>
          </w:p>
        </w:tc>
        <w:tc>
          <w:tcPr>
            <w:tcW w:w="1418" w:type="dxa"/>
            <w:shd w:val="clear" w:color="auto" w:fill="F2F2F2" w:themeFill="background1" w:themeFillShade="F2"/>
            <w:tcMar>
              <w:top w:w="113" w:type="dxa"/>
              <w:left w:w="0" w:type="dxa"/>
              <w:bottom w:w="113" w:type="dxa"/>
              <w:right w:w="113" w:type="dxa"/>
            </w:tcMar>
            <w:vAlign w:val="bottom"/>
          </w:tcPr>
          <w:p w14:paraId="6A1DAD4B"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(2,499)</w:t>
            </w:r>
          </w:p>
        </w:tc>
        <w:tc>
          <w:tcPr>
            <w:tcW w:w="1417" w:type="dxa"/>
            <w:shd w:val="clear" w:color="auto" w:fill="F2F2F2" w:themeFill="background1" w:themeFillShade="F2"/>
            <w:tcMar>
              <w:top w:w="113" w:type="dxa"/>
              <w:left w:w="0" w:type="dxa"/>
              <w:bottom w:w="113" w:type="dxa"/>
              <w:right w:w="113" w:type="dxa"/>
            </w:tcMar>
            <w:vAlign w:val="bottom"/>
          </w:tcPr>
          <w:p w14:paraId="0F8E018C"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13,652 </w:t>
            </w:r>
          </w:p>
        </w:tc>
        <w:tc>
          <w:tcPr>
            <w:tcW w:w="1417" w:type="dxa"/>
            <w:shd w:val="clear" w:color="auto" w:fill="F2F2F2" w:themeFill="background1" w:themeFillShade="F2"/>
            <w:tcMar>
              <w:top w:w="113" w:type="dxa"/>
              <w:left w:w="0" w:type="dxa"/>
              <w:bottom w:w="113" w:type="dxa"/>
              <w:right w:w="113" w:type="dxa"/>
            </w:tcMar>
            <w:vAlign w:val="bottom"/>
          </w:tcPr>
          <w:p w14:paraId="55DE0F88"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(2,495)</w:t>
            </w:r>
          </w:p>
        </w:tc>
      </w:tr>
      <w:tr w:rsidR="00C7569E" w:rsidRPr="00C7569E" w14:paraId="47147927" w14:textId="77777777" w:rsidTr="00A4595C">
        <w:trPr>
          <w:trHeight w:val="240"/>
        </w:trPr>
        <w:tc>
          <w:tcPr>
            <w:tcW w:w="5159" w:type="dxa"/>
            <w:shd w:val="clear" w:color="auto" w:fill="F2F2F2" w:themeFill="background1" w:themeFillShade="F2"/>
            <w:tcMar>
              <w:top w:w="113" w:type="dxa"/>
              <w:left w:w="0" w:type="dxa"/>
              <w:bottom w:w="113" w:type="dxa"/>
              <w:right w:w="113" w:type="dxa"/>
            </w:tcMar>
            <w:vAlign w:val="bottom"/>
          </w:tcPr>
          <w:p w14:paraId="721B1B46"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en-US"/>
              </w:rPr>
              <w:t>Net increase in cash held</w:t>
            </w:r>
          </w:p>
        </w:tc>
        <w:tc>
          <w:tcPr>
            <w:tcW w:w="680" w:type="dxa"/>
            <w:shd w:val="clear" w:color="auto" w:fill="F2F2F2" w:themeFill="background1" w:themeFillShade="F2"/>
            <w:tcMar>
              <w:top w:w="113" w:type="dxa"/>
              <w:left w:w="0" w:type="dxa"/>
              <w:bottom w:w="113" w:type="dxa"/>
              <w:right w:w="113" w:type="dxa"/>
            </w:tcMar>
            <w:vAlign w:val="bottom"/>
          </w:tcPr>
          <w:p w14:paraId="14F22FA3"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en-US"/>
              </w:rPr>
            </w:pPr>
          </w:p>
        </w:tc>
        <w:tc>
          <w:tcPr>
            <w:tcW w:w="1418" w:type="dxa"/>
            <w:shd w:val="clear" w:color="auto" w:fill="F2F2F2" w:themeFill="background1" w:themeFillShade="F2"/>
            <w:tcMar>
              <w:top w:w="113" w:type="dxa"/>
              <w:left w:w="0" w:type="dxa"/>
              <w:bottom w:w="113" w:type="dxa"/>
              <w:right w:w="113" w:type="dxa"/>
            </w:tcMar>
            <w:vAlign w:val="bottom"/>
          </w:tcPr>
          <w:p w14:paraId="2A1A4693"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10,449 </w:t>
            </w:r>
          </w:p>
        </w:tc>
        <w:tc>
          <w:tcPr>
            <w:tcW w:w="1417" w:type="dxa"/>
            <w:shd w:val="clear" w:color="auto" w:fill="F2F2F2" w:themeFill="background1" w:themeFillShade="F2"/>
            <w:tcMar>
              <w:top w:w="113" w:type="dxa"/>
              <w:left w:w="0" w:type="dxa"/>
              <w:bottom w:w="113" w:type="dxa"/>
              <w:right w:w="113" w:type="dxa"/>
            </w:tcMar>
            <w:vAlign w:val="bottom"/>
          </w:tcPr>
          <w:p w14:paraId="4D123E62"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12,602 </w:t>
            </w:r>
          </w:p>
        </w:tc>
        <w:tc>
          <w:tcPr>
            <w:tcW w:w="1417" w:type="dxa"/>
            <w:shd w:val="clear" w:color="auto" w:fill="F2F2F2" w:themeFill="background1" w:themeFillShade="F2"/>
            <w:tcMar>
              <w:top w:w="113" w:type="dxa"/>
              <w:left w:w="0" w:type="dxa"/>
              <w:bottom w:w="113" w:type="dxa"/>
              <w:right w:w="113" w:type="dxa"/>
            </w:tcMar>
            <w:vAlign w:val="bottom"/>
          </w:tcPr>
          <w:p w14:paraId="4FF00C4B"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691 </w:t>
            </w:r>
          </w:p>
        </w:tc>
      </w:tr>
      <w:tr w:rsidR="00C7569E" w:rsidRPr="00C7569E" w14:paraId="6C995BCB" w14:textId="77777777" w:rsidTr="00C7569E">
        <w:trPr>
          <w:trHeight w:hRule="exact" w:val="453"/>
        </w:trPr>
        <w:tc>
          <w:tcPr>
            <w:tcW w:w="5159" w:type="dxa"/>
            <w:tcMar>
              <w:top w:w="113" w:type="dxa"/>
              <w:left w:w="0" w:type="dxa"/>
              <w:bottom w:w="113" w:type="dxa"/>
              <w:right w:w="113" w:type="dxa"/>
            </w:tcMar>
            <w:vAlign w:val="bottom"/>
          </w:tcPr>
          <w:p w14:paraId="7778BA30"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color w:val="000000"/>
                <w:sz w:val="16"/>
                <w:szCs w:val="16"/>
                <w:lang w:val="en-US"/>
              </w:rPr>
              <w:t>Cash and cash equivalents at the beginning of the reporting period</w:t>
            </w:r>
          </w:p>
        </w:tc>
        <w:tc>
          <w:tcPr>
            <w:tcW w:w="680" w:type="dxa"/>
            <w:tcMar>
              <w:top w:w="113" w:type="dxa"/>
              <w:left w:w="0" w:type="dxa"/>
              <w:bottom w:w="113" w:type="dxa"/>
              <w:right w:w="113" w:type="dxa"/>
            </w:tcMar>
            <w:vAlign w:val="bottom"/>
          </w:tcPr>
          <w:p w14:paraId="6D8BA84A" w14:textId="77777777" w:rsidR="00C7569E" w:rsidRPr="00C7569E" w:rsidRDefault="00C7569E" w:rsidP="007D1E6F">
            <w:pPr>
              <w:autoSpaceDE w:val="0"/>
              <w:autoSpaceDN w:val="0"/>
              <w:adjustRightInd w:val="0"/>
              <w:spacing w:before="0" w:after="0" w:line="240" w:lineRule="auto"/>
              <w:rPr>
                <w:rFonts w:ascii="Open Sans Condensed" w:hAnsi="Open Sans Condensed"/>
                <w:sz w:val="16"/>
                <w:szCs w:val="16"/>
                <w:lang w:val="en-US"/>
              </w:rPr>
            </w:pPr>
          </w:p>
        </w:tc>
        <w:tc>
          <w:tcPr>
            <w:tcW w:w="1418" w:type="dxa"/>
            <w:tcMar>
              <w:top w:w="113" w:type="dxa"/>
              <w:left w:w="0" w:type="dxa"/>
              <w:bottom w:w="113" w:type="dxa"/>
              <w:right w:w="113" w:type="dxa"/>
            </w:tcMar>
            <w:vAlign w:val="bottom"/>
          </w:tcPr>
          <w:p w14:paraId="21C40B75"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15,958 </w:t>
            </w:r>
          </w:p>
        </w:tc>
        <w:tc>
          <w:tcPr>
            <w:tcW w:w="1417" w:type="dxa"/>
            <w:tcMar>
              <w:top w:w="113" w:type="dxa"/>
              <w:left w:w="0" w:type="dxa"/>
              <w:bottom w:w="113" w:type="dxa"/>
              <w:right w:w="113" w:type="dxa"/>
            </w:tcMar>
            <w:vAlign w:val="bottom"/>
          </w:tcPr>
          <w:p w14:paraId="78F8429F"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3,356 </w:t>
            </w:r>
          </w:p>
        </w:tc>
        <w:tc>
          <w:tcPr>
            <w:tcW w:w="1417" w:type="dxa"/>
            <w:tcMar>
              <w:top w:w="113" w:type="dxa"/>
              <w:left w:w="0" w:type="dxa"/>
              <w:bottom w:w="113" w:type="dxa"/>
              <w:right w:w="113" w:type="dxa"/>
            </w:tcMar>
            <w:vAlign w:val="bottom"/>
          </w:tcPr>
          <w:p w14:paraId="6720B3AA" w14:textId="77777777" w:rsidR="00C7569E" w:rsidRPr="00C7569E" w:rsidRDefault="00C7569E" w:rsidP="007D1E6F">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15,958 </w:t>
            </w:r>
          </w:p>
        </w:tc>
      </w:tr>
      <w:tr w:rsidR="00C7569E" w:rsidRPr="00C7569E" w14:paraId="0F3233A9" w14:textId="77777777" w:rsidTr="00A4595C">
        <w:trPr>
          <w:trHeight w:hRule="exact" w:val="454"/>
        </w:trPr>
        <w:tc>
          <w:tcPr>
            <w:tcW w:w="5159"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2636F2F"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en-US"/>
              </w:rPr>
              <w:t>Cash and cash equivalents at the end of the reporting period</w:t>
            </w:r>
          </w:p>
        </w:tc>
        <w:tc>
          <w:tcPr>
            <w:tcW w:w="680"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4BAD4241"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2.1A</w:t>
            </w:r>
          </w:p>
        </w:tc>
        <w:tc>
          <w:tcPr>
            <w:tcW w:w="1418"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0D38BD5"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26,407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EA84A83"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15,958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793F5F26"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16,649 </w:t>
            </w:r>
          </w:p>
        </w:tc>
      </w:tr>
      <w:tr w:rsidR="00C7569E" w:rsidRPr="00C7569E" w14:paraId="2AF01349" w14:textId="77777777" w:rsidTr="007D1E6F">
        <w:trPr>
          <w:trHeight w:val="283"/>
        </w:trPr>
        <w:tc>
          <w:tcPr>
            <w:tcW w:w="10091" w:type="dxa"/>
            <w:gridSpan w:val="5"/>
            <w:tcBorders>
              <w:bottom w:val="nil"/>
            </w:tcBorders>
            <w:tcMar>
              <w:top w:w="227" w:type="dxa"/>
              <w:left w:w="0" w:type="dxa"/>
              <w:bottom w:w="57" w:type="dxa"/>
              <w:right w:w="113" w:type="dxa"/>
            </w:tcMar>
            <w:vAlign w:val="bottom"/>
          </w:tcPr>
          <w:p w14:paraId="13F4A1CE"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C7569E">
              <w:rPr>
                <w:rFonts w:cs="Open Sans"/>
                <w:color w:val="000000"/>
                <w:sz w:val="16"/>
                <w:szCs w:val="16"/>
                <w:lang w:val="en-US"/>
              </w:rPr>
              <w:t>The above statement should be read in conjunction with the accompanying notes.</w:t>
            </w:r>
          </w:p>
        </w:tc>
      </w:tr>
    </w:tbl>
    <w:p w14:paraId="0112517E" w14:textId="77777777" w:rsidR="00B40CDF" w:rsidRDefault="00B40CDF" w:rsidP="00716F8A">
      <w:pPr>
        <w:autoSpaceDE w:val="0"/>
        <w:autoSpaceDN w:val="0"/>
        <w:adjustRightInd w:val="0"/>
        <w:spacing w:after="160" w:line="201" w:lineRule="atLeast"/>
        <w:rPr>
          <w:rFonts w:cs="Open Sans"/>
          <w:lang w:eastAsia="en-US"/>
        </w:rPr>
      </w:pPr>
    </w:p>
    <w:p w14:paraId="25C9A9F0"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113"/>
        <w:textAlignment w:val="center"/>
        <w:rPr>
          <w:rFonts w:cs="Open Sans"/>
          <w:b/>
          <w:bCs/>
          <w:color w:val="000000"/>
          <w:sz w:val="16"/>
          <w:szCs w:val="16"/>
          <w:lang w:val="en-US"/>
        </w:rPr>
      </w:pPr>
      <w:r w:rsidRPr="00C7569E">
        <w:rPr>
          <w:rFonts w:cs="Open Sans"/>
          <w:b/>
          <w:bCs/>
          <w:color w:val="000000"/>
          <w:sz w:val="16"/>
          <w:szCs w:val="16"/>
          <w:lang w:val="en-US"/>
        </w:rPr>
        <w:t>Budget Variances Commentary</w:t>
      </w:r>
    </w:p>
    <w:p w14:paraId="44891B47"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57"/>
        <w:textAlignment w:val="center"/>
        <w:rPr>
          <w:rFonts w:cs="Open Sans"/>
          <w:b/>
          <w:bCs/>
          <w:color w:val="000000"/>
          <w:sz w:val="16"/>
          <w:szCs w:val="16"/>
          <w:lang w:val="en-US"/>
        </w:rPr>
      </w:pPr>
      <w:r w:rsidRPr="00C7569E">
        <w:rPr>
          <w:rFonts w:cs="Open Sans"/>
          <w:b/>
          <w:bCs/>
          <w:color w:val="000000"/>
          <w:sz w:val="16"/>
          <w:szCs w:val="16"/>
          <w:lang w:val="en-US"/>
        </w:rPr>
        <w:t>Cash Flow Statement for Not-for-Profit Reporting Entities</w:t>
      </w:r>
    </w:p>
    <w:p w14:paraId="5AE84A62" w14:textId="467AE9F2" w:rsidR="00C7569E" w:rsidRPr="00C7569E" w:rsidRDefault="00C7569E" w:rsidP="00C7569E">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C7569E">
        <w:rPr>
          <w:rFonts w:cs="Open Sans"/>
          <w:color w:val="000000"/>
          <w:sz w:val="16"/>
          <w:szCs w:val="16"/>
          <w:lang w:val="en-US"/>
        </w:rPr>
        <w:t>Cash received from sales of services is higher than budget due to new partnership agreements entered into since the Budget was set. Cash received from interest is higher than budget due to higher than expected interest rates. The higher than budget receipts from sales resulted in an increase in GST paid to the Australian Taxation Office (ATO).</w:t>
      </w:r>
    </w:p>
    <w:p w14:paraId="1C7A7868"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C7569E">
        <w:rPr>
          <w:rFonts w:cs="Open Sans"/>
          <w:color w:val="000000"/>
          <w:sz w:val="16"/>
          <w:szCs w:val="16"/>
          <w:lang w:val="en-US"/>
        </w:rPr>
        <w:t>Cash used for payments to employees is lower than budget due to delays in recruitment of suitable staff for new measures approved in the October 2022 Budget. The measures relate to the implementation of the Respect At Work Report recommendations, the development of a National Anti-Racism Strategy and additional temporary resources to address the Complaints backlog.</w:t>
      </w:r>
    </w:p>
    <w:p w14:paraId="2169E95A"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C7569E">
        <w:rPr>
          <w:rFonts w:cs="Open Sans"/>
          <w:color w:val="000000"/>
          <w:sz w:val="16"/>
          <w:szCs w:val="16"/>
          <w:lang w:val="en-US"/>
        </w:rPr>
        <w:t>Cash used for payments to suppliers is higher than budget due to payments associated with hosting the Women’s Voices Summit in Canberra in May 2023 (the scope of which was not confirmed when the October Budget was set). The higher than budgeted supplier payments for the Summit are offset by an increase in cash received for sponsorship of the Summit. The higher payments to suppliers resulted in an increase in GST receipts from the ATO.</w:t>
      </w:r>
    </w:p>
    <w:p w14:paraId="5A298F81" w14:textId="77777777" w:rsidR="00C7569E" w:rsidRDefault="00C7569E" w:rsidP="00716F8A">
      <w:pPr>
        <w:autoSpaceDE w:val="0"/>
        <w:autoSpaceDN w:val="0"/>
        <w:adjustRightInd w:val="0"/>
        <w:spacing w:after="160" w:line="201" w:lineRule="atLeast"/>
        <w:rPr>
          <w:rFonts w:cs="Open Sans"/>
          <w:lang w:val="en-US" w:eastAsia="en-US"/>
        </w:rPr>
      </w:pPr>
    </w:p>
    <w:p w14:paraId="394E1AEA" w14:textId="046B4B51" w:rsidR="00C7569E" w:rsidRDefault="00C7569E">
      <w:pPr>
        <w:spacing w:before="0" w:after="0" w:line="240" w:lineRule="auto"/>
        <w:rPr>
          <w:rFonts w:cs="Open Sans"/>
          <w:lang w:val="en-US" w:eastAsia="en-US"/>
        </w:rPr>
      </w:pPr>
      <w:r>
        <w:rPr>
          <w:rFonts w:cs="Open Sans"/>
          <w:lang w:val="en-US" w:eastAsia="en-US"/>
        </w:rPr>
        <w:br w:type="page"/>
      </w:r>
    </w:p>
    <w:p w14:paraId="7E955B50" w14:textId="7E09BCDC" w:rsidR="00716F8A" w:rsidRDefault="00716F8A" w:rsidP="00A4595C">
      <w:pPr>
        <w:pStyle w:val="Heading7"/>
        <w:rPr>
          <w:lang w:eastAsia="en-US"/>
        </w:rPr>
      </w:pPr>
      <w:bookmarkStart w:id="45" w:name="_Toc146437051"/>
      <w:r w:rsidRPr="00C7569E">
        <w:rPr>
          <w:lang w:eastAsia="en-US"/>
        </w:rPr>
        <w:t>Overview</w:t>
      </w:r>
      <w:bookmarkEnd w:id="45"/>
    </w:p>
    <w:p w14:paraId="53026E65"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textAlignment w:val="center"/>
        <w:rPr>
          <w:rFonts w:cs="Open Sans"/>
          <w:color w:val="000000"/>
          <w:sz w:val="16"/>
          <w:szCs w:val="16"/>
          <w:lang w:val="en-US"/>
        </w:rPr>
      </w:pPr>
      <w:r w:rsidRPr="00C7569E">
        <w:rPr>
          <w:rFonts w:cs="Open Sans"/>
          <w:color w:val="000000"/>
          <w:sz w:val="16"/>
          <w:szCs w:val="16"/>
          <w:lang w:val="en-US"/>
        </w:rPr>
        <w:t>The Australian Human Rights Commission (the Commission) is an Australian Government controlled entity. It is a not-for-profit entity. The Commission’s objective is to ensure that Australians have access to independent human rights complaint handling and public inquiry processes and benefit from human rights education, promotion, monitoring and compliance activities.</w:t>
      </w:r>
    </w:p>
    <w:p w14:paraId="1F51F95A"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textAlignment w:val="center"/>
        <w:rPr>
          <w:rFonts w:cs="Open Sans"/>
          <w:color w:val="000000"/>
          <w:sz w:val="16"/>
          <w:szCs w:val="16"/>
          <w:lang w:val="en-US"/>
        </w:rPr>
      </w:pPr>
      <w:r w:rsidRPr="00C7569E">
        <w:rPr>
          <w:rFonts w:cs="Open Sans"/>
          <w:color w:val="000000"/>
          <w:sz w:val="16"/>
          <w:szCs w:val="16"/>
          <w:lang w:val="en-US"/>
        </w:rPr>
        <w:t>The Commission is structured to meet the following outcome:</w:t>
      </w:r>
    </w:p>
    <w:p w14:paraId="26D7B150"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textAlignment w:val="center"/>
        <w:rPr>
          <w:rFonts w:cs="Open Sans"/>
          <w:color w:val="000000"/>
          <w:sz w:val="16"/>
          <w:szCs w:val="16"/>
          <w:lang w:val="en-US"/>
        </w:rPr>
      </w:pPr>
      <w:r w:rsidRPr="00C7569E">
        <w:rPr>
          <w:rFonts w:cs="Open Sans"/>
          <w:color w:val="000000"/>
          <w:sz w:val="16"/>
          <w:szCs w:val="16"/>
          <w:lang w:val="en-US"/>
        </w:rPr>
        <w:t>An Australian society in which human rights are respected, protected and promoted through independent investigation and resolution of complaints, contributions to law and policy reforms, research, education, partnerships, and monitoring and reporting on human rights.</w:t>
      </w:r>
    </w:p>
    <w:p w14:paraId="3BBA05B5"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textAlignment w:val="center"/>
        <w:rPr>
          <w:rFonts w:cs="Open Sans"/>
          <w:color w:val="000000"/>
          <w:sz w:val="16"/>
          <w:szCs w:val="16"/>
          <w:lang w:val="en-US"/>
        </w:rPr>
      </w:pPr>
      <w:r w:rsidRPr="00C7569E">
        <w:rPr>
          <w:rFonts w:cs="Open Sans"/>
          <w:color w:val="000000"/>
          <w:sz w:val="16"/>
          <w:szCs w:val="16"/>
          <w:lang w:val="en-US"/>
        </w:rPr>
        <w:t>The continued existence of the Commission in its present form and with its present programs is dependent on Government policy and on continuing funding by Parliament for the entity’s administration and programs.</w:t>
      </w:r>
    </w:p>
    <w:p w14:paraId="6A79BAB5"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textAlignment w:val="center"/>
        <w:rPr>
          <w:rFonts w:cs="Open Sans"/>
          <w:color w:val="000000"/>
          <w:sz w:val="16"/>
          <w:szCs w:val="16"/>
          <w:lang w:val="en-US"/>
        </w:rPr>
      </w:pPr>
      <w:r w:rsidRPr="00C7569E">
        <w:rPr>
          <w:rFonts w:cs="Open Sans"/>
          <w:color w:val="000000"/>
          <w:sz w:val="16"/>
          <w:szCs w:val="16"/>
          <w:lang w:val="en-US"/>
        </w:rPr>
        <w:t>The Commission activities contributing toward these outcomes are classified as departmental. Departmental activities involve the use of assets, liabilities, income and expenses controlled or incurred by the entity in its own right.</w:t>
      </w:r>
    </w:p>
    <w:p w14:paraId="5AFC964E" w14:textId="77777777" w:rsidR="00C7569E" w:rsidRPr="00C7569E" w:rsidRDefault="00C7569E" w:rsidP="00E8256E">
      <w:pPr>
        <w:pStyle w:val="FSBlueHeadingBold"/>
      </w:pPr>
      <w:r w:rsidRPr="00C7569E">
        <w:t>The Basis of Preparation</w:t>
      </w:r>
    </w:p>
    <w:p w14:paraId="271F2566"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textAlignment w:val="center"/>
        <w:rPr>
          <w:rFonts w:cs="Open Sans"/>
          <w:color w:val="000000"/>
          <w:sz w:val="16"/>
          <w:szCs w:val="16"/>
          <w:lang w:val="en-US"/>
        </w:rPr>
      </w:pPr>
      <w:r w:rsidRPr="00C7569E">
        <w:rPr>
          <w:rFonts w:cs="Open Sans"/>
          <w:color w:val="000000"/>
          <w:sz w:val="16"/>
          <w:szCs w:val="16"/>
          <w:lang w:val="en-US"/>
        </w:rPr>
        <w:t xml:space="preserve">The financial statements are required by: </w:t>
      </w:r>
    </w:p>
    <w:p w14:paraId="70EA8594" w14:textId="77777777" w:rsidR="00C7569E" w:rsidRPr="00C7569E" w:rsidRDefault="00C7569E" w:rsidP="00C7569E">
      <w:pPr>
        <w:keepLines/>
        <w:tabs>
          <w:tab w:val="left" w:pos="567"/>
          <w:tab w:val="left" w:pos="850"/>
        </w:tabs>
        <w:suppressAutoHyphens/>
        <w:autoSpaceDE w:val="0"/>
        <w:autoSpaceDN w:val="0"/>
        <w:adjustRightInd w:val="0"/>
        <w:spacing w:before="0"/>
        <w:ind w:left="567" w:hanging="283"/>
        <w:textAlignment w:val="center"/>
        <w:rPr>
          <w:rFonts w:cs="Open Sans"/>
          <w:color w:val="000000"/>
          <w:sz w:val="16"/>
          <w:szCs w:val="16"/>
          <w:lang w:val="en-US"/>
        </w:rPr>
      </w:pPr>
      <w:r w:rsidRPr="00C7569E">
        <w:rPr>
          <w:rFonts w:cs="Open Sans"/>
          <w:color w:val="000000"/>
          <w:sz w:val="16"/>
          <w:szCs w:val="16"/>
          <w:lang w:val="en-US"/>
        </w:rPr>
        <w:t xml:space="preserve">a) </w:t>
      </w:r>
      <w:r w:rsidRPr="00C7569E">
        <w:rPr>
          <w:rFonts w:cs="Open Sans"/>
          <w:color w:val="000000"/>
          <w:sz w:val="16"/>
          <w:szCs w:val="16"/>
          <w:lang w:val="en-US"/>
        </w:rPr>
        <w:tab/>
        <w:t xml:space="preserve">section 42 of the </w:t>
      </w:r>
      <w:r w:rsidRPr="00C7569E">
        <w:rPr>
          <w:rFonts w:cs="Open Sans"/>
          <w:i/>
          <w:iCs/>
          <w:color w:val="000000"/>
          <w:sz w:val="16"/>
          <w:szCs w:val="16"/>
          <w:lang w:val="en-US"/>
        </w:rPr>
        <w:t>Public Governance, Performance and Accountability Act 2013</w:t>
      </w:r>
    </w:p>
    <w:p w14:paraId="70138290"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textAlignment w:val="center"/>
        <w:rPr>
          <w:rFonts w:cs="Open Sans"/>
          <w:color w:val="000000"/>
          <w:sz w:val="16"/>
          <w:szCs w:val="16"/>
          <w:lang w:val="en-US"/>
        </w:rPr>
      </w:pPr>
      <w:r w:rsidRPr="00C7569E">
        <w:rPr>
          <w:rFonts w:cs="Open Sans"/>
          <w:color w:val="000000"/>
          <w:sz w:val="16"/>
          <w:szCs w:val="16"/>
          <w:lang w:val="en-US"/>
        </w:rPr>
        <w:t>The financial statements have been prepared in accordance with:</w:t>
      </w:r>
    </w:p>
    <w:p w14:paraId="3784BBA2" w14:textId="77777777" w:rsidR="00C7569E" w:rsidRPr="00C7569E" w:rsidRDefault="00C7569E" w:rsidP="00C7569E">
      <w:pPr>
        <w:keepLines/>
        <w:tabs>
          <w:tab w:val="left" w:pos="567"/>
          <w:tab w:val="left" w:pos="850"/>
        </w:tabs>
        <w:suppressAutoHyphens/>
        <w:autoSpaceDE w:val="0"/>
        <w:autoSpaceDN w:val="0"/>
        <w:adjustRightInd w:val="0"/>
        <w:spacing w:before="0" w:after="0"/>
        <w:ind w:left="567" w:hanging="283"/>
        <w:textAlignment w:val="center"/>
        <w:rPr>
          <w:rFonts w:cs="Open Sans"/>
          <w:color w:val="000000"/>
          <w:sz w:val="16"/>
          <w:szCs w:val="16"/>
          <w:lang w:val="en-US"/>
        </w:rPr>
      </w:pPr>
      <w:r w:rsidRPr="00C7569E">
        <w:rPr>
          <w:rFonts w:cs="Open Sans"/>
          <w:color w:val="000000"/>
          <w:sz w:val="16"/>
          <w:szCs w:val="16"/>
          <w:lang w:val="en-US"/>
        </w:rPr>
        <w:t xml:space="preserve">a) </w:t>
      </w:r>
      <w:r w:rsidRPr="00C7569E">
        <w:rPr>
          <w:rFonts w:cs="Open Sans"/>
          <w:color w:val="000000"/>
          <w:sz w:val="16"/>
          <w:szCs w:val="16"/>
          <w:lang w:val="en-US"/>
        </w:rPr>
        <w:tab/>
      </w:r>
      <w:r w:rsidRPr="00C7569E">
        <w:rPr>
          <w:rFonts w:cs="Open Sans"/>
          <w:i/>
          <w:iCs/>
          <w:color w:val="000000"/>
          <w:sz w:val="16"/>
          <w:szCs w:val="16"/>
          <w:lang w:val="en-US"/>
        </w:rPr>
        <w:t>Public Governance, Performance and Accountability (Financial Reporting) Rule 2015</w:t>
      </w:r>
      <w:r w:rsidRPr="00C7569E">
        <w:rPr>
          <w:rFonts w:cs="Open Sans"/>
          <w:color w:val="000000"/>
          <w:sz w:val="16"/>
          <w:szCs w:val="16"/>
          <w:lang w:val="en-US"/>
        </w:rPr>
        <w:t xml:space="preserve"> (FRR); and</w:t>
      </w:r>
    </w:p>
    <w:p w14:paraId="7A1F1049" w14:textId="77777777" w:rsidR="00C7569E" w:rsidRPr="00C7569E" w:rsidRDefault="00C7569E" w:rsidP="00C7569E">
      <w:pPr>
        <w:keepLines/>
        <w:tabs>
          <w:tab w:val="left" w:pos="567"/>
          <w:tab w:val="left" w:pos="850"/>
        </w:tabs>
        <w:suppressAutoHyphens/>
        <w:autoSpaceDE w:val="0"/>
        <w:autoSpaceDN w:val="0"/>
        <w:adjustRightInd w:val="0"/>
        <w:spacing w:before="0"/>
        <w:ind w:left="567" w:hanging="283"/>
        <w:textAlignment w:val="center"/>
        <w:rPr>
          <w:rFonts w:cs="Open Sans"/>
          <w:color w:val="000000"/>
          <w:sz w:val="16"/>
          <w:szCs w:val="16"/>
          <w:lang w:val="en-US"/>
        </w:rPr>
      </w:pPr>
      <w:r w:rsidRPr="00C7569E">
        <w:rPr>
          <w:rFonts w:cs="Open Sans"/>
          <w:color w:val="000000"/>
          <w:sz w:val="16"/>
          <w:szCs w:val="16"/>
          <w:lang w:val="en-US"/>
        </w:rPr>
        <w:t xml:space="preserve">b) </w:t>
      </w:r>
      <w:r w:rsidRPr="00C7569E">
        <w:rPr>
          <w:rFonts w:cs="Open Sans"/>
          <w:color w:val="000000"/>
          <w:sz w:val="16"/>
          <w:szCs w:val="16"/>
          <w:lang w:val="en-US"/>
        </w:rPr>
        <w:tab/>
        <w:t>Australian Accounting Standards and Interpretations – including simplified disclosures for Tier 2 Entities under AASB 1060 issued by the Australian Accounting Standards Board (AASB) that apply for the reporting period.</w:t>
      </w:r>
    </w:p>
    <w:p w14:paraId="14C0C9F1"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textAlignment w:val="center"/>
        <w:rPr>
          <w:rFonts w:cs="Open Sans"/>
          <w:color w:val="000000"/>
          <w:sz w:val="16"/>
          <w:szCs w:val="16"/>
          <w:lang w:val="en-US"/>
        </w:rPr>
      </w:pPr>
      <w:r w:rsidRPr="00C7569E">
        <w:rPr>
          <w:rFonts w:cs="Open Sans"/>
          <w:color w:val="000000"/>
          <w:sz w:val="16"/>
          <w:szCs w:val="16"/>
          <w:lang w:val="en-US"/>
        </w:rPr>
        <w:t>The financial statements have been prepared on an accrual basis and in accordance with the historical cost convention, except for certain assets and liabilities at fair value. Except where stated, no allowance is made for the effect of changing prices on the results or the financial position. The financial statements are presented in Australian dollars.</w:t>
      </w:r>
    </w:p>
    <w:p w14:paraId="430FDAF9" w14:textId="77777777" w:rsidR="00C7569E" w:rsidRPr="00C7569E" w:rsidRDefault="00C7569E" w:rsidP="00E8256E">
      <w:pPr>
        <w:pStyle w:val="FSBlueHeadingBold"/>
      </w:pPr>
      <w:r w:rsidRPr="00C7569E">
        <w:t>New Accounting Standards</w:t>
      </w:r>
    </w:p>
    <w:p w14:paraId="525053AE"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textAlignment w:val="center"/>
        <w:rPr>
          <w:rFonts w:cs="Open Sans"/>
          <w:i/>
          <w:iCs/>
          <w:color w:val="000000"/>
          <w:sz w:val="16"/>
          <w:szCs w:val="16"/>
          <w:lang w:val="en-US"/>
        </w:rPr>
      </w:pPr>
      <w:r w:rsidRPr="00C7569E">
        <w:rPr>
          <w:rFonts w:cs="Open Sans"/>
          <w:i/>
          <w:iCs/>
          <w:color w:val="000000"/>
          <w:sz w:val="16"/>
          <w:szCs w:val="16"/>
          <w:lang w:val="en-US"/>
        </w:rPr>
        <w:t>Adoption of New Australian Accounting Standard Requirements</w:t>
      </w:r>
    </w:p>
    <w:p w14:paraId="6EA71027" w14:textId="746DD149" w:rsidR="00C7569E" w:rsidRPr="00C7569E" w:rsidRDefault="00C7569E" w:rsidP="00C7569E">
      <w:pPr>
        <w:keepLines/>
        <w:tabs>
          <w:tab w:val="right" w:pos="6240"/>
          <w:tab w:val="right" w:pos="7280"/>
          <w:tab w:val="right" w:pos="8300"/>
        </w:tabs>
        <w:suppressAutoHyphens/>
        <w:autoSpaceDE w:val="0"/>
        <w:autoSpaceDN w:val="0"/>
        <w:adjustRightInd w:val="0"/>
        <w:spacing w:before="0"/>
        <w:textAlignment w:val="center"/>
        <w:rPr>
          <w:rFonts w:cs="Open Sans"/>
          <w:color w:val="000000"/>
          <w:sz w:val="16"/>
          <w:szCs w:val="16"/>
          <w:lang w:val="en-US"/>
        </w:rPr>
      </w:pPr>
      <w:r w:rsidRPr="00C7569E">
        <w:rPr>
          <w:rFonts w:cs="Open Sans"/>
          <w:color w:val="000000"/>
          <w:sz w:val="16"/>
          <w:szCs w:val="16"/>
          <w:lang w:val="en-US"/>
        </w:rPr>
        <w:t>Two amending standards (AASB 2021-2 and AASB 2021-6) were adopted earlier than the application date as stated in the standard. This amending standards have been adopted for the 2022-23 reporting period.</w:t>
      </w:r>
    </w:p>
    <w:p w14:paraId="22CAC76C" w14:textId="77777777" w:rsidR="00A4595C" w:rsidRDefault="00A4595C">
      <w:pPr>
        <w:spacing w:before="0" w:after="0" w:line="240" w:lineRule="auto"/>
        <w:rPr>
          <w:rFonts w:cs="Open Sans"/>
          <w:color w:val="000000"/>
          <w:sz w:val="16"/>
          <w:szCs w:val="16"/>
          <w:lang w:val="en-US"/>
        </w:rPr>
      </w:pPr>
      <w:r>
        <w:rPr>
          <w:rFonts w:cs="Open Sans"/>
          <w:color w:val="000000"/>
          <w:sz w:val="16"/>
          <w:szCs w:val="16"/>
          <w:lang w:val="en-US"/>
        </w:rPr>
        <w:br w:type="page"/>
      </w:r>
    </w:p>
    <w:p w14:paraId="1A238F1F" w14:textId="26C65C2C" w:rsidR="00C7569E" w:rsidRPr="00C7569E" w:rsidRDefault="00C7569E" w:rsidP="00C7569E">
      <w:pPr>
        <w:keepLines/>
        <w:tabs>
          <w:tab w:val="right" w:pos="6240"/>
          <w:tab w:val="right" w:pos="7280"/>
          <w:tab w:val="right" w:pos="8300"/>
        </w:tabs>
        <w:suppressAutoHyphens/>
        <w:autoSpaceDE w:val="0"/>
        <w:autoSpaceDN w:val="0"/>
        <w:adjustRightInd w:val="0"/>
        <w:spacing w:before="0"/>
        <w:textAlignment w:val="center"/>
        <w:rPr>
          <w:rFonts w:cs="Open Sans"/>
          <w:color w:val="000000"/>
          <w:sz w:val="16"/>
          <w:szCs w:val="16"/>
          <w:lang w:val="en-US"/>
        </w:rPr>
      </w:pPr>
      <w:r w:rsidRPr="00C7569E">
        <w:rPr>
          <w:rFonts w:cs="Open Sans"/>
          <w:color w:val="000000"/>
          <w:sz w:val="16"/>
          <w:szCs w:val="16"/>
          <w:lang w:val="en-US"/>
        </w:rPr>
        <w:t>The following amending standards which were issued prior to the signing of the statement by the Accountable Authority, Chief Executive and Chief Financial Officer, were applicable to the current reporting period and had no material effect on the entity’s financial statements:</w:t>
      </w:r>
    </w:p>
    <w:tbl>
      <w:tblPr>
        <w:tblW w:w="0" w:type="auto"/>
        <w:tblInd w:w="-8" w:type="dxa"/>
        <w:tblLayout w:type="fixed"/>
        <w:tblCellMar>
          <w:left w:w="0" w:type="dxa"/>
          <w:right w:w="0" w:type="dxa"/>
        </w:tblCellMar>
        <w:tblLook w:val="0000" w:firstRow="0" w:lastRow="0" w:firstColumn="0" w:lastColumn="0" w:noHBand="0" w:noVBand="0"/>
      </w:tblPr>
      <w:tblGrid>
        <w:gridCol w:w="2863"/>
        <w:gridCol w:w="7223"/>
      </w:tblGrid>
      <w:tr w:rsidR="00C7569E" w:rsidRPr="00C7569E" w14:paraId="17412920" w14:textId="77777777" w:rsidTr="00A4595C">
        <w:trPr>
          <w:trHeight w:val="60"/>
        </w:trPr>
        <w:tc>
          <w:tcPr>
            <w:tcW w:w="2863" w:type="dxa"/>
            <w:tcBorders>
              <w:top w:val="single" w:sz="4" w:space="0" w:color="auto"/>
              <w:bottom w:val="single" w:sz="4" w:space="0" w:color="auto"/>
            </w:tcBorders>
            <w:shd w:val="clear" w:color="auto" w:fill="F2F2F2" w:themeFill="background1" w:themeFillShade="F2"/>
            <w:tcMar>
              <w:top w:w="227" w:type="dxa"/>
              <w:left w:w="0" w:type="dxa"/>
              <w:bottom w:w="227" w:type="dxa"/>
              <w:right w:w="113" w:type="dxa"/>
            </w:tcMar>
            <w:vAlign w:val="bottom"/>
          </w:tcPr>
          <w:p w14:paraId="613661C4"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0" w:line="180" w:lineRule="atLeast"/>
              <w:textAlignment w:val="center"/>
              <w:rPr>
                <w:rFonts w:ascii="Open Sans Condensed" w:hAnsi="Open Sans Condensed" w:cs="Open Sans Condensed"/>
                <w:b/>
                <w:bCs/>
                <w:color w:val="000000"/>
                <w:sz w:val="16"/>
                <w:szCs w:val="16"/>
                <w:lang w:val="en-US"/>
              </w:rPr>
            </w:pPr>
            <w:r w:rsidRPr="00C7569E">
              <w:rPr>
                <w:rFonts w:ascii="Open Sans Condensed" w:hAnsi="Open Sans Condensed" w:cs="Open Sans Condensed"/>
                <w:b/>
                <w:bCs/>
                <w:color w:val="000000"/>
                <w:sz w:val="16"/>
                <w:szCs w:val="16"/>
                <w:lang w:val="en-US"/>
              </w:rPr>
              <w:t>Standard/ Interpretation</w:t>
            </w:r>
          </w:p>
        </w:tc>
        <w:tc>
          <w:tcPr>
            <w:tcW w:w="7223" w:type="dxa"/>
            <w:tcBorders>
              <w:top w:val="single" w:sz="4" w:space="0" w:color="auto"/>
              <w:bottom w:val="single" w:sz="4" w:space="0" w:color="auto"/>
            </w:tcBorders>
            <w:shd w:val="clear" w:color="auto" w:fill="F2F2F2" w:themeFill="background1" w:themeFillShade="F2"/>
            <w:tcMar>
              <w:top w:w="227" w:type="dxa"/>
              <w:left w:w="227" w:type="dxa"/>
              <w:bottom w:w="227" w:type="dxa"/>
              <w:right w:w="113" w:type="dxa"/>
            </w:tcMar>
            <w:vAlign w:val="bottom"/>
          </w:tcPr>
          <w:p w14:paraId="7E517D4F"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0" w:line="180" w:lineRule="atLeast"/>
              <w:textAlignment w:val="center"/>
              <w:rPr>
                <w:rFonts w:ascii="Open Sans Condensed" w:hAnsi="Open Sans Condensed" w:cs="Open Sans Condensed"/>
                <w:b/>
                <w:bCs/>
                <w:color w:val="000000"/>
                <w:sz w:val="16"/>
                <w:szCs w:val="16"/>
                <w:lang w:val="en-US"/>
              </w:rPr>
            </w:pPr>
            <w:r w:rsidRPr="00C7569E">
              <w:rPr>
                <w:rFonts w:ascii="Open Sans Condensed" w:hAnsi="Open Sans Condensed" w:cs="Open Sans Condensed"/>
                <w:b/>
                <w:bCs/>
                <w:color w:val="000000"/>
                <w:sz w:val="16"/>
                <w:szCs w:val="16"/>
                <w:lang w:val="en-US"/>
              </w:rPr>
              <w:t>Nature of change in accounting policy, transitional provisions, and adjustment to financial statements</w:t>
            </w:r>
          </w:p>
        </w:tc>
      </w:tr>
      <w:tr w:rsidR="00C7569E" w:rsidRPr="00C7569E" w14:paraId="476C1F5D" w14:textId="77777777" w:rsidTr="00A4595C">
        <w:trPr>
          <w:trHeight w:val="60"/>
        </w:trPr>
        <w:tc>
          <w:tcPr>
            <w:tcW w:w="2863" w:type="dxa"/>
            <w:tcBorders>
              <w:top w:val="single" w:sz="4" w:space="0" w:color="auto"/>
              <w:bottom w:val="single" w:sz="4" w:space="0" w:color="auto"/>
            </w:tcBorders>
            <w:tcMar>
              <w:top w:w="227" w:type="dxa"/>
              <w:left w:w="0" w:type="dxa"/>
              <w:bottom w:w="227" w:type="dxa"/>
              <w:right w:w="113" w:type="dxa"/>
            </w:tcMar>
          </w:tcPr>
          <w:p w14:paraId="39D379FB"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textAlignment w:val="center"/>
              <w:rPr>
                <w:rFonts w:cs="Open Sans"/>
                <w:color w:val="000000"/>
                <w:sz w:val="16"/>
                <w:szCs w:val="16"/>
                <w:lang w:val="en-US"/>
              </w:rPr>
            </w:pPr>
            <w:r w:rsidRPr="00C7569E">
              <w:rPr>
                <w:rFonts w:cs="Open Sans"/>
                <w:color w:val="000000"/>
                <w:sz w:val="16"/>
                <w:szCs w:val="16"/>
                <w:lang w:val="en-US"/>
              </w:rPr>
              <w:t>AASB 2021-2</w:t>
            </w:r>
            <w:r w:rsidRPr="00C7569E">
              <w:rPr>
                <w:rFonts w:cs="Open Sans"/>
                <w:i/>
                <w:iCs/>
                <w:color w:val="000000"/>
                <w:sz w:val="16"/>
                <w:szCs w:val="16"/>
                <w:lang w:val="en-US"/>
              </w:rPr>
              <w:t xml:space="preserve"> Amendments to Australian Accounting Standards – Disclosure of Accounting Policies and Definition of Accounting Estimates </w:t>
            </w:r>
            <w:r w:rsidRPr="00C7569E">
              <w:rPr>
                <w:rFonts w:cs="Open Sans"/>
                <w:color w:val="000000"/>
                <w:sz w:val="16"/>
                <w:szCs w:val="16"/>
                <w:lang w:val="en-US"/>
              </w:rPr>
              <w:t>(AASB 2021-2) and</w:t>
            </w:r>
          </w:p>
        </w:tc>
        <w:tc>
          <w:tcPr>
            <w:tcW w:w="7223" w:type="dxa"/>
            <w:tcBorders>
              <w:top w:val="single" w:sz="4" w:space="0" w:color="auto"/>
              <w:bottom w:val="single" w:sz="4" w:space="0" w:color="auto"/>
            </w:tcBorders>
            <w:tcMar>
              <w:top w:w="227" w:type="dxa"/>
              <w:left w:w="227" w:type="dxa"/>
              <w:bottom w:w="227" w:type="dxa"/>
              <w:right w:w="113" w:type="dxa"/>
            </w:tcMar>
          </w:tcPr>
          <w:p w14:paraId="00FB655C" w14:textId="60A14AFB" w:rsidR="00C7569E" w:rsidRPr="00C7569E" w:rsidRDefault="00C7569E" w:rsidP="00C7569E">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C7569E">
              <w:rPr>
                <w:rFonts w:cs="Open Sans"/>
                <w:color w:val="000000"/>
                <w:sz w:val="16"/>
                <w:szCs w:val="16"/>
                <w:lang w:val="en-US"/>
              </w:rPr>
              <w:t>AASB 2021-2 amends AASB 7, AASB 101, AASB 108, AASB 134 and AASB Practice Statement 2. The amending standard requires the disclosure of material, rather than significant, accounting policies, and clarifies what is considered a change in accounting policy compared to a change in accounting estimate.</w:t>
            </w:r>
          </w:p>
        </w:tc>
      </w:tr>
      <w:tr w:rsidR="00C7569E" w:rsidRPr="00C7569E" w14:paraId="180F653C" w14:textId="77777777" w:rsidTr="00A4595C">
        <w:trPr>
          <w:trHeight w:val="60"/>
        </w:trPr>
        <w:tc>
          <w:tcPr>
            <w:tcW w:w="2863" w:type="dxa"/>
            <w:tcBorders>
              <w:top w:val="single" w:sz="4" w:space="0" w:color="auto"/>
              <w:bottom w:val="single" w:sz="4" w:space="0" w:color="auto"/>
            </w:tcBorders>
            <w:tcMar>
              <w:top w:w="227" w:type="dxa"/>
              <w:left w:w="0" w:type="dxa"/>
              <w:bottom w:w="227" w:type="dxa"/>
              <w:right w:w="113" w:type="dxa"/>
            </w:tcMar>
          </w:tcPr>
          <w:p w14:paraId="19FBFB52"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textAlignment w:val="center"/>
              <w:rPr>
                <w:rFonts w:cs="Open Sans"/>
                <w:color w:val="000000"/>
                <w:sz w:val="16"/>
                <w:szCs w:val="16"/>
                <w:lang w:val="en-US"/>
              </w:rPr>
            </w:pPr>
            <w:r w:rsidRPr="00C7569E">
              <w:rPr>
                <w:rFonts w:cs="Open Sans"/>
                <w:color w:val="000000"/>
                <w:sz w:val="16"/>
                <w:szCs w:val="16"/>
                <w:lang w:val="en-US"/>
              </w:rPr>
              <w:t>AASB 2021-6</w:t>
            </w:r>
            <w:r w:rsidRPr="00C7569E">
              <w:rPr>
                <w:rFonts w:cs="Open Sans"/>
                <w:i/>
                <w:iCs/>
                <w:color w:val="000000"/>
                <w:sz w:val="16"/>
                <w:szCs w:val="16"/>
                <w:lang w:val="en-US"/>
              </w:rPr>
              <w:t xml:space="preserve"> Amendments to Australian Accounting Standards – Disclosure of Accounting Policies: Tier 2 and Other Australian Accounting Standards </w:t>
            </w:r>
            <w:r w:rsidRPr="00C7569E">
              <w:rPr>
                <w:rFonts w:cs="Open Sans"/>
                <w:color w:val="000000"/>
                <w:sz w:val="16"/>
                <w:szCs w:val="16"/>
                <w:lang w:val="en-US"/>
              </w:rPr>
              <w:t>(AASB 2021-6)</w:t>
            </w:r>
          </w:p>
        </w:tc>
        <w:tc>
          <w:tcPr>
            <w:tcW w:w="7223" w:type="dxa"/>
            <w:tcBorders>
              <w:top w:val="single" w:sz="4" w:space="0" w:color="auto"/>
              <w:bottom w:val="single" w:sz="4" w:space="0" w:color="auto"/>
            </w:tcBorders>
            <w:tcMar>
              <w:top w:w="227" w:type="dxa"/>
              <w:left w:w="227" w:type="dxa"/>
              <w:bottom w:w="227" w:type="dxa"/>
              <w:right w:w="113" w:type="dxa"/>
            </w:tcMar>
          </w:tcPr>
          <w:p w14:paraId="72E53122"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C7569E">
              <w:rPr>
                <w:rFonts w:cs="Open Sans"/>
                <w:color w:val="000000"/>
                <w:sz w:val="16"/>
                <w:szCs w:val="16"/>
                <w:lang w:val="en-US"/>
              </w:rPr>
              <w:t>AASB 2021-6 amends the Tier 2 reporting requirements set out in AASB 1049, AASB 1054 and AASB 1060 to reflect the changes made by AASB 2021-2.</w:t>
            </w:r>
          </w:p>
          <w:p w14:paraId="5D9AD5F8" w14:textId="3402DEB2" w:rsidR="00C7569E" w:rsidRPr="00C7569E" w:rsidRDefault="00C7569E" w:rsidP="00C7569E">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C7569E">
              <w:rPr>
                <w:rFonts w:cs="Open Sans"/>
                <w:color w:val="000000"/>
                <w:sz w:val="16"/>
                <w:szCs w:val="16"/>
                <w:lang w:val="en-US"/>
              </w:rPr>
              <w:t>There have been no changes in accounting policies in the current financial year. This amending standard is not expected to have a material impact on the entity’s financial statements for the current reporting period or future reporting periods.</w:t>
            </w:r>
          </w:p>
        </w:tc>
      </w:tr>
    </w:tbl>
    <w:p w14:paraId="21AB75FB"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textAlignment w:val="center"/>
        <w:rPr>
          <w:rFonts w:cs="Open Sans"/>
          <w:color w:val="000000"/>
          <w:sz w:val="16"/>
          <w:szCs w:val="16"/>
          <w:lang w:val="en-US"/>
        </w:rPr>
      </w:pPr>
    </w:p>
    <w:p w14:paraId="49D9E717" w14:textId="77777777" w:rsidR="00C7569E" w:rsidRPr="00E8256E" w:rsidRDefault="00C7569E" w:rsidP="00E8256E">
      <w:pPr>
        <w:pStyle w:val="FSBlueHeadingBold"/>
      </w:pPr>
      <w:r w:rsidRPr="00E8256E">
        <w:t>Taxation</w:t>
      </w:r>
    </w:p>
    <w:p w14:paraId="47832D14"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C7569E">
        <w:rPr>
          <w:rFonts w:cs="Open Sans"/>
          <w:color w:val="000000"/>
          <w:sz w:val="16"/>
          <w:szCs w:val="16"/>
          <w:lang w:val="en-US"/>
        </w:rPr>
        <w:t>The Commission is exempt from all forms of taxation except Fringe Benefits Tax (FBT) and the Goods and Services Tax (GST).</w:t>
      </w:r>
    </w:p>
    <w:p w14:paraId="0E653C4C" w14:textId="77777777" w:rsidR="00C7569E" w:rsidRPr="00E8256E" w:rsidRDefault="00C7569E" w:rsidP="00E8256E">
      <w:pPr>
        <w:pStyle w:val="FSBlueHeadingBold"/>
      </w:pPr>
      <w:r w:rsidRPr="00E8256E">
        <w:t>Events After the Reporting Period</w:t>
      </w:r>
    </w:p>
    <w:p w14:paraId="5CC6F5E4"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C7569E">
        <w:rPr>
          <w:rFonts w:cs="Open Sans"/>
          <w:color w:val="000000"/>
          <w:sz w:val="16"/>
          <w:szCs w:val="16"/>
          <w:lang w:val="en-US"/>
        </w:rPr>
        <w:t>The Commission is not aware of any significant events that have occurred since balance date that warrant disclosure in these financial statements.</w:t>
      </w:r>
    </w:p>
    <w:p w14:paraId="02B4116A" w14:textId="77777777" w:rsidR="00C7569E" w:rsidRDefault="00C7569E" w:rsidP="00716F8A">
      <w:pPr>
        <w:autoSpaceDE w:val="0"/>
        <w:autoSpaceDN w:val="0"/>
        <w:adjustRightInd w:val="0"/>
        <w:spacing w:after="160" w:line="201" w:lineRule="atLeast"/>
        <w:rPr>
          <w:rFonts w:cs="Open Sans"/>
          <w:lang w:eastAsia="en-US"/>
        </w:rPr>
      </w:pPr>
    </w:p>
    <w:p w14:paraId="646731A6" w14:textId="65E8A6C3" w:rsidR="00C7569E" w:rsidRDefault="00C7569E">
      <w:pPr>
        <w:spacing w:before="0" w:after="0" w:line="240" w:lineRule="auto"/>
        <w:rPr>
          <w:rFonts w:cs="Open Sans"/>
          <w:lang w:eastAsia="en-US"/>
        </w:rPr>
      </w:pPr>
      <w:r>
        <w:rPr>
          <w:rFonts w:cs="Open Sans"/>
          <w:lang w:eastAsia="en-US"/>
        </w:rPr>
        <w:br w:type="page"/>
      </w:r>
    </w:p>
    <w:p w14:paraId="42DD01B3" w14:textId="58513FFE" w:rsidR="00716F8A" w:rsidRDefault="00716F8A" w:rsidP="00A4595C">
      <w:pPr>
        <w:pStyle w:val="Heading7"/>
        <w:rPr>
          <w:lang w:eastAsia="en-US"/>
        </w:rPr>
      </w:pPr>
      <w:bookmarkStart w:id="46" w:name="_Toc146437052"/>
      <w:r w:rsidRPr="00C7569E">
        <w:rPr>
          <w:lang w:eastAsia="en-US"/>
        </w:rPr>
        <w:t>Financial Performance</w:t>
      </w:r>
      <w:bookmarkEnd w:id="46"/>
    </w:p>
    <w:p w14:paraId="2F575541"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r w:rsidRPr="00C7569E">
        <w:rPr>
          <w:rFonts w:cs="Open Sans"/>
          <w:color w:val="000000"/>
          <w:sz w:val="16"/>
          <w:szCs w:val="16"/>
          <w:lang w:val="en-US"/>
        </w:rPr>
        <w:t xml:space="preserve">This section analyses the financial performance of Australian Human Rights Commission for the year ended 2023. </w:t>
      </w:r>
    </w:p>
    <w:p w14:paraId="446E76BB" w14:textId="77777777" w:rsidR="00C7569E" w:rsidRPr="00C7569E" w:rsidRDefault="00C7569E" w:rsidP="00C7569E">
      <w:pPr>
        <w:tabs>
          <w:tab w:val="left" w:pos="567"/>
        </w:tabs>
        <w:suppressAutoHyphens/>
        <w:autoSpaceDE w:val="0"/>
        <w:autoSpaceDN w:val="0"/>
        <w:adjustRightInd w:val="0"/>
        <w:spacing w:line="280" w:lineRule="atLeast"/>
        <w:textAlignment w:val="center"/>
        <w:rPr>
          <w:rFonts w:ascii="Open Sans Semibold" w:hAnsi="Open Sans Semibold" w:cs="Open Sans Semibold"/>
          <w:color w:val="2BB8C9"/>
          <w:sz w:val="26"/>
          <w:szCs w:val="26"/>
        </w:rPr>
      </w:pPr>
      <w:r w:rsidRPr="00C7569E">
        <w:rPr>
          <w:rFonts w:ascii="Open Sans Semibold" w:hAnsi="Open Sans Semibold" w:cs="Open Sans Semibold"/>
          <w:color w:val="2BB8C9"/>
          <w:sz w:val="26"/>
          <w:szCs w:val="26"/>
        </w:rPr>
        <w:t>1.1 Expenses</w:t>
      </w:r>
    </w:p>
    <w:tbl>
      <w:tblPr>
        <w:tblW w:w="0" w:type="auto"/>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7257"/>
        <w:gridCol w:w="1417"/>
        <w:gridCol w:w="1417"/>
      </w:tblGrid>
      <w:tr w:rsidR="00A4595C" w:rsidRPr="00A4595C" w14:paraId="11E1C807" w14:textId="77777777" w:rsidTr="00A92A6C">
        <w:trPr>
          <w:trHeight w:val="240"/>
          <w:tblHeader/>
        </w:trPr>
        <w:tc>
          <w:tcPr>
            <w:tcW w:w="7257" w:type="dxa"/>
            <w:shd w:val="clear" w:color="auto" w:fill="1CBDC9"/>
            <w:tcMar>
              <w:top w:w="85" w:type="dxa"/>
              <w:left w:w="113" w:type="dxa"/>
              <w:bottom w:w="113" w:type="dxa"/>
              <w:right w:w="113" w:type="dxa"/>
            </w:tcMar>
            <w:vAlign w:val="bottom"/>
          </w:tcPr>
          <w:p w14:paraId="5CCDAEC9" w14:textId="77777777" w:rsidR="00C7569E" w:rsidRPr="00C7569E" w:rsidRDefault="00C7569E" w:rsidP="00C7569E">
            <w:pPr>
              <w:autoSpaceDE w:val="0"/>
              <w:autoSpaceDN w:val="0"/>
              <w:adjustRightInd w:val="0"/>
              <w:spacing w:before="0" w:after="0" w:line="240" w:lineRule="auto"/>
              <w:rPr>
                <w:rFonts w:ascii="Open Sans Semibold" w:hAnsi="Open Sans Semibold"/>
                <w:color w:val="FFFFFF" w:themeColor="background1"/>
                <w:sz w:val="20"/>
                <w:szCs w:val="20"/>
                <w:lang w:val="it-IT"/>
              </w:rPr>
            </w:pPr>
          </w:p>
        </w:tc>
        <w:tc>
          <w:tcPr>
            <w:tcW w:w="1417" w:type="dxa"/>
            <w:shd w:val="clear" w:color="auto" w:fill="1CBDC9"/>
            <w:tcMar>
              <w:top w:w="85" w:type="dxa"/>
              <w:left w:w="113" w:type="dxa"/>
              <w:bottom w:w="113" w:type="dxa"/>
              <w:right w:w="113" w:type="dxa"/>
            </w:tcMar>
            <w:vAlign w:val="bottom"/>
          </w:tcPr>
          <w:p w14:paraId="59B74077"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C7569E">
              <w:rPr>
                <w:rFonts w:ascii="Open Sans Condensed" w:hAnsi="Open Sans Condensed" w:cs="Open Sans Condensed"/>
                <w:b/>
                <w:bCs/>
                <w:color w:val="FFFFFF" w:themeColor="background1"/>
                <w:sz w:val="20"/>
                <w:szCs w:val="20"/>
                <w:lang w:val="en-US"/>
              </w:rPr>
              <w:t>2023</w:t>
            </w:r>
          </w:p>
          <w:p w14:paraId="66310133"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C7569E">
              <w:rPr>
                <w:rFonts w:ascii="Open Sans Condensed" w:hAnsi="Open Sans Condensed" w:cs="Open Sans Condensed"/>
                <w:b/>
                <w:bCs/>
                <w:color w:val="FFFFFF" w:themeColor="background1"/>
                <w:sz w:val="20"/>
                <w:szCs w:val="20"/>
                <w:lang w:val="en-US"/>
              </w:rPr>
              <w:t>$’000</w:t>
            </w:r>
          </w:p>
        </w:tc>
        <w:tc>
          <w:tcPr>
            <w:tcW w:w="1417" w:type="dxa"/>
            <w:shd w:val="clear" w:color="auto" w:fill="1CBDC9"/>
            <w:tcMar>
              <w:top w:w="85" w:type="dxa"/>
              <w:left w:w="113" w:type="dxa"/>
              <w:bottom w:w="113" w:type="dxa"/>
              <w:right w:w="113" w:type="dxa"/>
            </w:tcMar>
            <w:vAlign w:val="bottom"/>
          </w:tcPr>
          <w:p w14:paraId="0107F7EB"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Light" w:hAnsi="Open Sans Condensed Light" w:cs="Open Sans Condensed Light"/>
                <w:color w:val="FFFFFF" w:themeColor="background1"/>
                <w:sz w:val="20"/>
                <w:szCs w:val="20"/>
                <w:lang w:val="en-US"/>
              </w:rPr>
            </w:pPr>
            <w:r w:rsidRPr="00C7569E">
              <w:rPr>
                <w:rFonts w:ascii="Open Sans Condensed Light" w:hAnsi="Open Sans Condensed Light" w:cs="Open Sans Condensed Light"/>
                <w:color w:val="FFFFFF" w:themeColor="background1"/>
                <w:sz w:val="20"/>
                <w:szCs w:val="20"/>
                <w:lang w:val="en-US"/>
              </w:rPr>
              <w:t>2022</w:t>
            </w:r>
          </w:p>
          <w:p w14:paraId="29BEA58C"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C7569E">
              <w:rPr>
                <w:rFonts w:ascii="Open Sans Condensed Light" w:hAnsi="Open Sans Condensed Light" w:cs="Open Sans Condensed Light"/>
                <w:color w:val="FFFFFF" w:themeColor="background1"/>
                <w:sz w:val="20"/>
                <w:szCs w:val="20"/>
                <w:lang w:val="en-US"/>
              </w:rPr>
              <w:t>$’000</w:t>
            </w:r>
          </w:p>
        </w:tc>
      </w:tr>
      <w:tr w:rsidR="00C7569E" w:rsidRPr="00C7569E" w14:paraId="6FCDE65C" w14:textId="77777777" w:rsidTr="00C7569E">
        <w:trPr>
          <w:trHeight w:val="240"/>
        </w:trPr>
        <w:tc>
          <w:tcPr>
            <w:tcW w:w="7257" w:type="dxa"/>
            <w:tcMar>
              <w:top w:w="227" w:type="dxa"/>
              <w:left w:w="0" w:type="dxa"/>
              <w:bottom w:w="57" w:type="dxa"/>
              <w:right w:w="113" w:type="dxa"/>
            </w:tcMar>
            <w:vAlign w:val="bottom"/>
          </w:tcPr>
          <w:p w14:paraId="1DC35D32" w14:textId="77777777" w:rsidR="00C7569E" w:rsidRPr="00E8256E" w:rsidRDefault="00C7569E" w:rsidP="00E8256E">
            <w:pPr>
              <w:pStyle w:val="FSBlueHeadingBold"/>
            </w:pPr>
            <w:r w:rsidRPr="00E8256E">
              <w:t>1.1A: Employee benefits</w:t>
            </w:r>
          </w:p>
        </w:tc>
        <w:tc>
          <w:tcPr>
            <w:tcW w:w="1417" w:type="dxa"/>
            <w:tcMar>
              <w:top w:w="227" w:type="dxa"/>
              <w:left w:w="0" w:type="dxa"/>
              <w:bottom w:w="57" w:type="dxa"/>
              <w:right w:w="113" w:type="dxa"/>
            </w:tcMar>
            <w:vAlign w:val="bottom"/>
          </w:tcPr>
          <w:p w14:paraId="6ADAFC2C" w14:textId="77777777" w:rsidR="00C7569E" w:rsidRPr="00C7569E" w:rsidRDefault="00C7569E" w:rsidP="00A4595C">
            <w:pPr>
              <w:autoSpaceDE w:val="0"/>
              <w:autoSpaceDN w:val="0"/>
              <w:adjustRightInd w:val="0"/>
              <w:spacing w:before="0" w:after="0" w:line="240" w:lineRule="auto"/>
              <w:rPr>
                <w:rFonts w:ascii="Open Sans Semibold" w:hAnsi="Open Sans Semibold"/>
                <w:sz w:val="16"/>
                <w:szCs w:val="16"/>
                <w:lang w:val="it-IT"/>
              </w:rPr>
            </w:pPr>
          </w:p>
        </w:tc>
        <w:tc>
          <w:tcPr>
            <w:tcW w:w="1417" w:type="dxa"/>
            <w:tcMar>
              <w:top w:w="227" w:type="dxa"/>
              <w:left w:w="0" w:type="dxa"/>
              <w:bottom w:w="57" w:type="dxa"/>
              <w:right w:w="113" w:type="dxa"/>
            </w:tcMar>
            <w:vAlign w:val="bottom"/>
          </w:tcPr>
          <w:p w14:paraId="6E092499" w14:textId="77777777" w:rsidR="00C7569E" w:rsidRPr="00C7569E" w:rsidRDefault="00C7569E" w:rsidP="00A4595C">
            <w:pPr>
              <w:autoSpaceDE w:val="0"/>
              <w:autoSpaceDN w:val="0"/>
              <w:adjustRightInd w:val="0"/>
              <w:spacing w:before="0" w:after="0" w:line="240" w:lineRule="auto"/>
              <w:rPr>
                <w:rFonts w:ascii="Open Sans Semibold" w:hAnsi="Open Sans Semibold"/>
                <w:sz w:val="16"/>
                <w:szCs w:val="16"/>
                <w:lang w:val="it-IT"/>
              </w:rPr>
            </w:pPr>
          </w:p>
        </w:tc>
      </w:tr>
      <w:tr w:rsidR="00C7569E" w:rsidRPr="00C7569E" w14:paraId="377A73D6" w14:textId="77777777" w:rsidTr="00AB5A57">
        <w:trPr>
          <w:trHeight w:val="142"/>
        </w:trPr>
        <w:tc>
          <w:tcPr>
            <w:tcW w:w="7257" w:type="dxa"/>
            <w:tcMar>
              <w:top w:w="28" w:type="dxa"/>
              <w:left w:w="0" w:type="dxa"/>
              <w:bottom w:w="57" w:type="dxa"/>
              <w:right w:w="113" w:type="dxa"/>
            </w:tcMar>
            <w:vAlign w:val="center"/>
          </w:tcPr>
          <w:p w14:paraId="490B3D19"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color w:val="000000"/>
                <w:sz w:val="16"/>
                <w:szCs w:val="16"/>
                <w:lang w:val="it-IT"/>
              </w:rPr>
              <w:t>Wages and salaries</w:t>
            </w:r>
          </w:p>
        </w:tc>
        <w:tc>
          <w:tcPr>
            <w:tcW w:w="1417" w:type="dxa"/>
            <w:tcMar>
              <w:top w:w="28" w:type="dxa"/>
              <w:left w:w="0" w:type="dxa"/>
              <w:bottom w:w="57" w:type="dxa"/>
              <w:right w:w="113" w:type="dxa"/>
            </w:tcMar>
            <w:vAlign w:val="bottom"/>
          </w:tcPr>
          <w:p w14:paraId="4F33D4A7"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16,071 </w:t>
            </w:r>
          </w:p>
        </w:tc>
        <w:tc>
          <w:tcPr>
            <w:tcW w:w="1417" w:type="dxa"/>
            <w:tcMar>
              <w:top w:w="28" w:type="dxa"/>
              <w:left w:w="0" w:type="dxa"/>
              <w:bottom w:w="57" w:type="dxa"/>
              <w:right w:w="113" w:type="dxa"/>
            </w:tcMar>
            <w:vAlign w:val="bottom"/>
          </w:tcPr>
          <w:p w14:paraId="1271EC14"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16,612 </w:t>
            </w:r>
          </w:p>
        </w:tc>
      </w:tr>
      <w:tr w:rsidR="00C7569E" w:rsidRPr="00C7569E" w14:paraId="77533EC6" w14:textId="77777777" w:rsidTr="00C7569E">
        <w:trPr>
          <w:trHeight w:val="240"/>
        </w:trPr>
        <w:tc>
          <w:tcPr>
            <w:tcW w:w="7257" w:type="dxa"/>
            <w:tcMar>
              <w:top w:w="28" w:type="dxa"/>
              <w:left w:w="0" w:type="dxa"/>
              <w:bottom w:w="57" w:type="dxa"/>
              <w:right w:w="113" w:type="dxa"/>
            </w:tcMar>
            <w:vAlign w:val="center"/>
          </w:tcPr>
          <w:p w14:paraId="6FBAB7E6"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color w:val="000000"/>
                <w:sz w:val="16"/>
                <w:szCs w:val="16"/>
                <w:lang w:val="it-IT"/>
              </w:rPr>
              <w:t>Superannuation</w:t>
            </w:r>
          </w:p>
        </w:tc>
        <w:tc>
          <w:tcPr>
            <w:tcW w:w="1417" w:type="dxa"/>
            <w:tcMar>
              <w:top w:w="28" w:type="dxa"/>
              <w:left w:w="0" w:type="dxa"/>
              <w:bottom w:w="57" w:type="dxa"/>
              <w:right w:w="113" w:type="dxa"/>
            </w:tcMar>
            <w:vAlign w:val="bottom"/>
          </w:tcPr>
          <w:p w14:paraId="692DE69E" w14:textId="77777777" w:rsidR="00C7569E" w:rsidRPr="00C7569E" w:rsidRDefault="00C7569E" w:rsidP="00A4595C">
            <w:pPr>
              <w:autoSpaceDE w:val="0"/>
              <w:autoSpaceDN w:val="0"/>
              <w:adjustRightInd w:val="0"/>
              <w:spacing w:before="0" w:after="0" w:line="240" w:lineRule="auto"/>
              <w:rPr>
                <w:rFonts w:ascii="Open Sans Semibold" w:hAnsi="Open Sans Semibold"/>
                <w:sz w:val="16"/>
                <w:szCs w:val="16"/>
                <w:lang w:val="it-IT"/>
              </w:rPr>
            </w:pPr>
          </w:p>
        </w:tc>
        <w:tc>
          <w:tcPr>
            <w:tcW w:w="1417" w:type="dxa"/>
            <w:tcMar>
              <w:top w:w="28" w:type="dxa"/>
              <w:left w:w="0" w:type="dxa"/>
              <w:bottom w:w="57" w:type="dxa"/>
              <w:right w:w="113" w:type="dxa"/>
            </w:tcMar>
            <w:vAlign w:val="bottom"/>
          </w:tcPr>
          <w:p w14:paraId="20F5232D" w14:textId="77777777" w:rsidR="00C7569E" w:rsidRPr="00C7569E" w:rsidRDefault="00C7569E" w:rsidP="00A4595C">
            <w:pPr>
              <w:autoSpaceDE w:val="0"/>
              <w:autoSpaceDN w:val="0"/>
              <w:adjustRightInd w:val="0"/>
              <w:spacing w:before="0" w:after="0" w:line="240" w:lineRule="auto"/>
              <w:rPr>
                <w:rFonts w:ascii="Open Sans Semibold" w:hAnsi="Open Sans Semibold"/>
                <w:sz w:val="16"/>
                <w:szCs w:val="16"/>
                <w:lang w:val="it-IT"/>
              </w:rPr>
            </w:pPr>
          </w:p>
        </w:tc>
      </w:tr>
      <w:tr w:rsidR="00C7569E" w:rsidRPr="00C7569E" w14:paraId="50E270F7" w14:textId="77777777" w:rsidTr="00C7569E">
        <w:trPr>
          <w:trHeight w:val="240"/>
        </w:trPr>
        <w:tc>
          <w:tcPr>
            <w:tcW w:w="7257" w:type="dxa"/>
            <w:tcMar>
              <w:top w:w="28" w:type="dxa"/>
              <w:left w:w="0" w:type="dxa"/>
              <w:bottom w:w="57" w:type="dxa"/>
              <w:right w:w="113" w:type="dxa"/>
            </w:tcMar>
            <w:vAlign w:val="center"/>
          </w:tcPr>
          <w:p w14:paraId="4F9C326E"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ind w:firstLine="180"/>
              <w:textAlignment w:val="center"/>
              <w:rPr>
                <w:rFonts w:cs="Open Sans"/>
                <w:color w:val="000000"/>
                <w:sz w:val="16"/>
                <w:szCs w:val="16"/>
                <w:lang w:val="en-US"/>
              </w:rPr>
            </w:pPr>
            <w:r w:rsidRPr="00C7569E">
              <w:rPr>
                <w:rFonts w:cs="Open Sans"/>
                <w:color w:val="000000"/>
                <w:sz w:val="16"/>
                <w:szCs w:val="16"/>
                <w:lang w:val="it-IT"/>
              </w:rPr>
              <w:t>Defined contribution plans</w:t>
            </w:r>
          </w:p>
        </w:tc>
        <w:tc>
          <w:tcPr>
            <w:tcW w:w="1417" w:type="dxa"/>
            <w:tcMar>
              <w:top w:w="28" w:type="dxa"/>
              <w:left w:w="0" w:type="dxa"/>
              <w:bottom w:w="57" w:type="dxa"/>
              <w:right w:w="113" w:type="dxa"/>
            </w:tcMar>
            <w:vAlign w:val="bottom"/>
          </w:tcPr>
          <w:p w14:paraId="36479395"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1,991 </w:t>
            </w:r>
          </w:p>
        </w:tc>
        <w:tc>
          <w:tcPr>
            <w:tcW w:w="1417" w:type="dxa"/>
            <w:tcMar>
              <w:top w:w="28" w:type="dxa"/>
              <w:left w:w="0" w:type="dxa"/>
              <w:bottom w:w="57" w:type="dxa"/>
              <w:right w:w="113" w:type="dxa"/>
            </w:tcMar>
            <w:vAlign w:val="bottom"/>
          </w:tcPr>
          <w:p w14:paraId="72F58B00"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2,001 </w:t>
            </w:r>
          </w:p>
        </w:tc>
      </w:tr>
      <w:tr w:rsidR="00C7569E" w:rsidRPr="00C7569E" w14:paraId="42D88C3F" w14:textId="77777777" w:rsidTr="00C7569E">
        <w:trPr>
          <w:trHeight w:val="240"/>
        </w:trPr>
        <w:tc>
          <w:tcPr>
            <w:tcW w:w="7257" w:type="dxa"/>
            <w:tcMar>
              <w:top w:w="28" w:type="dxa"/>
              <w:left w:w="0" w:type="dxa"/>
              <w:bottom w:w="57" w:type="dxa"/>
              <w:right w:w="113" w:type="dxa"/>
            </w:tcMar>
            <w:vAlign w:val="center"/>
          </w:tcPr>
          <w:p w14:paraId="1A149836"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ind w:firstLine="180"/>
              <w:textAlignment w:val="center"/>
              <w:rPr>
                <w:rFonts w:cs="Open Sans"/>
                <w:color w:val="000000"/>
                <w:sz w:val="16"/>
                <w:szCs w:val="16"/>
                <w:lang w:val="en-US"/>
              </w:rPr>
            </w:pPr>
            <w:r w:rsidRPr="00C7569E">
              <w:rPr>
                <w:rFonts w:cs="Open Sans"/>
                <w:color w:val="000000"/>
                <w:sz w:val="16"/>
                <w:szCs w:val="16"/>
                <w:lang w:val="it-IT"/>
              </w:rPr>
              <w:t>Defined benefit plans</w:t>
            </w:r>
          </w:p>
        </w:tc>
        <w:tc>
          <w:tcPr>
            <w:tcW w:w="1417" w:type="dxa"/>
            <w:tcMar>
              <w:top w:w="28" w:type="dxa"/>
              <w:left w:w="0" w:type="dxa"/>
              <w:bottom w:w="57" w:type="dxa"/>
              <w:right w:w="113" w:type="dxa"/>
            </w:tcMar>
            <w:vAlign w:val="bottom"/>
          </w:tcPr>
          <w:p w14:paraId="23201959"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566 </w:t>
            </w:r>
          </w:p>
        </w:tc>
        <w:tc>
          <w:tcPr>
            <w:tcW w:w="1417" w:type="dxa"/>
            <w:tcMar>
              <w:top w:w="28" w:type="dxa"/>
              <w:left w:w="0" w:type="dxa"/>
              <w:bottom w:w="57" w:type="dxa"/>
              <w:right w:w="113" w:type="dxa"/>
            </w:tcMar>
            <w:vAlign w:val="bottom"/>
          </w:tcPr>
          <w:p w14:paraId="21793AFC"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655 </w:t>
            </w:r>
          </w:p>
        </w:tc>
      </w:tr>
      <w:tr w:rsidR="00C7569E" w:rsidRPr="00C7569E" w14:paraId="2301C377" w14:textId="77777777" w:rsidTr="00C7569E">
        <w:trPr>
          <w:trHeight w:val="240"/>
        </w:trPr>
        <w:tc>
          <w:tcPr>
            <w:tcW w:w="7257" w:type="dxa"/>
            <w:tcMar>
              <w:top w:w="28" w:type="dxa"/>
              <w:left w:w="0" w:type="dxa"/>
              <w:bottom w:w="57" w:type="dxa"/>
              <w:right w:w="113" w:type="dxa"/>
            </w:tcMar>
            <w:vAlign w:val="center"/>
          </w:tcPr>
          <w:p w14:paraId="0889174B"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color w:val="000000"/>
                <w:sz w:val="16"/>
                <w:szCs w:val="16"/>
                <w:lang w:val="it-IT"/>
              </w:rPr>
              <w:t>Leave and other entitlements</w:t>
            </w:r>
          </w:p>
        </w:tc>
        <w:tc>
          <w:tcPr>
            <w:tcW w:w="1417" w:type="dxa"/>
            <w:tcMar>
              <w:top w:w="28" w:type="dxa"/>
              <w:left w:w="0" w:type="dxa"/>
              <w:bottom w:w="57" w:type="dxa"/>
              <w:right w:w="113" w:type="dxa"/>
            </w:tcMar>
            <w:vAlign w:val="bottom"/>
          </w:tcPr>
          <w:p w14:paraId="0E4F59E3"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2,002 </w:t>
            </w:r>
          </w:p>
        </w:tc>
        <w:tc>
          <w:tcPr>
            <w:tcW w:w="1417" w:type="dxa"/>
            <w:tcMar>
              <w:top w:w="28" w:type="dxa"/>
              <w:left w:w="0" w:type="dxa"/>
              <w:bottom w:w="57" w:type="dxa"/>
              <w:right w:w="113" w:type="dxa"/>
            </w:tcMar>
            <w:vAlign w:val="bottom"/>
          </w:tcPr>
          <w:p w14:paraId="15381170"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1,039 </w:t>
            </w:r>
          </w:p>
        </w:tc>
      </w:tr>
      <w:tr w:rsidR="00C7569E" w:rsidRPr="00C7569E" w14:paraId="20869A82" w14:textId="77777777" w:rsidTr="00C7569E">
        <w:trPr>
          <w:trHeight w:val="240"/>
        </w:trPr>
        <w:tc>
          <w:tcPr>
            <w:tcW w:w="7257" w:type="dxa"/>
            <w:tcMar>
              <w:top w:w="28" w:type="dxa"/>
              <w:left w:w="0" w:type="dxa"/>
              <w:bottom w:w="57" w:type="dxa"/>
              <w:right w:w="113" w:type="dxa"/>
            </w:tcMar>
            <w:vAlign w:val="center"/>
          </w:tcPr>
          <w:p w14:paraId="15B4748A"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color w:val="000000"/>
                <w:sz w:val="16"/>
                <w:szCs w:val="16"/>
                <w:lang w:val="it-IT"/>
              </w:rPr>
              <w:t>Separation and redundancies</w:t>
            </w:r>
          </w:p>
        </w:tc>
        <w:tc>
          <w:tcPr>
            <w:tcW w:w="1417" w:type="dxa"/>
            <w:tcMar>
              <w:top w:w="28" w:type="dxa"/>
              <w:left w:w="0" w:type="dxa"/>
              <w:bottom w:w="57" w:type="dxa"/>
              <w:right w:w="113" w:type="dxa"/>
            </w:tcMar>
            <w:vAlign w:val="bottom"/>
          </w:tcPr>
          <w:p w14:paraId="46E79079"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 -</w:t>
            </w:r>
          </w:p>
        </w:tc>
        <w:tc>
          <w:tcPr>
            <w:tcW w:w="1417" w:type="dxa"/>
            <w:tcMar>
              <w:top w:w="28" w:type="dxa"/>
              <w:left w:w="0" w:type="dxa"/>
              <w:bottom w:w="57" w:type="dxa"/>
              <w:right w:w="113" w:type="dxa"/>
            </w:tcMar>
            <w:vAlign w:val="bottom"/>
          </w:tcPr>
          <w:p w14:paraId="3C9E5098"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937 </w:t>
            </w:r>
          </w:p>
        </w:tc>
      </w:tr>
      <w:tr w:rsidR="00C7569E" w:rsidRPr="00C7569E" w14:paraId="25CAAAE1" w14:textId="77777777" w:rsidTr="00C7569E">
        <w:trPr>
          <w:trHeight w:val="60"/>
        </w:trPr>
        <w:tc>
          <w:tcPr>
            <w:tcW w:w="7257" w:type="dxa"/>
            <w:tcMar>
              <w:top w:w="57" w:type="dxa"/>
              <w:left w:w="0" w:type="dxa"/>
              <w:bottom w:w="113" w:type="dxa"/>
              <w:right w:w="113" w:type="dxa"/>
            </w:tcMar>
            <w:vAlign w:val="center"/>
          </w:tcPr>
          <w:p w14:paraId="66E2250C"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color w:val="000000"/>
                <w:sz w:val="16"/>
                <w:szCs w:val="16"/>
                <w:lang w:val="it-IT"/>
              </w:rPr>
              <w:t>Other employee expenses</w:t>
            </w:r>
          </w:p>
        </w:tc>
        <w:tc>
          <w:tcPr>
            <w:tcW w:w="1417" w:type="dxa"/>
            <w:tcMar>
              <w:top w:w="57" w:type="dxa"/>
              <w:left w:w="0" w:type="dxa"/>
              <w:bottom w:w="113" w:type="dxa"/>
              <w:right w:w="113" w:type="dxa"/>
            </w:tcMar>
            <w:vAlign w:val="bottom"/>
          </w:tcPr>
          <w:p w14:paraId="0CB42391"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207 </w:t>
            </w:r>
          </w:p>
        </w:tc>
        <w:tc>
          <w:tcPr>
            <w:tcW w:w="1417" w:type="dxa"/>
            <w:tcMar>
              <w:top w:w="57" w:type="dxa"/>
              <w:left w:w="0" w:type="dxa"/>
              <w:bottom w:w="113" w:type="dxa"/>
              <w:right w:w="113" w:type="dxa"/>
            </w:tcMar>
            <w:vAlign w:val="bottom"/>
          </w:tcPr>
          <w:p w14:paraId="75C51BDC"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234 </w:t>
            </w:r>
          </w:p>
        </w:tc>
      </w:tr>
      <w:tr w:rsidR="00C7569E" w:rsidRPr="00C7569E" w14:paraId="422195B7" w14:textId="77777777" w:rsidTr="00A92A6C">
        <w:trPr>
          <w:trHeight w:val="240"/>
        </w:trPr>
        <w:tc>
          <w:tcPr>
            <w:tcW w:w="7257" w:type="dxa"/>
            <w:shd w:val="clear" w:color="auto" w:fill="F2F2F2" w:themeFill="background1" w:themeFillShade="F2"/>
            <w:tcMar>
              <w:top w:w="113" w:type="dxa"/>
              <w:left w:w="0" w:type="dxa"/>
              <w:bottom w:w="113" w:type="dxa"/>
              <w:right w:w="113" w:type="dxa"/>
            </w:tcMar>
            <w:vAlign w:val="bottom"/>
          </w:tcPr>
          <w:p w14:paraId="6B0A390D"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it-IT"/>
              </w:rPr>
              <w:t>Total employee benefits</w:t>
            </w:r>
          </w:p>
        </w:tc>
        <w:tc>
          <w:tcPr>
            <w:tcW w:w="1417" w:type="dxa"/>
            <w:shd w:val="clear" w:color="auto" w:fill="F2F2F2" w:themeFill="background1" w:themeFillShade="F2"/>
            <w:tcMar>
              <w:top w:w="113" w:type="dxa"/>
              <w:left w:w="0" w:type="dxa"/>
              <w:bottom w:w="113" w:type="dxa"/>
              <w:right w:w="113" w:type="dxa"/>
            </w:tcMar>
            <w:vAlign w:val="bottom"/>
          </w:tcPr>
          <w:p w14:paraId="023B9439"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20,837 </w:t>
            </w:r>
          </w:p>
        </w:tc>
        <w:tc>
          <w:tcPr>
            <w:tcW w:w="1417" w:type="dxa"/>
            <w:shd w:val="clear" w:color="auto" w:fill="F2F2F2" w:themeFill="background1" w:themeFillShade="F2"/>
            <w:tcMar>
              <w:top w:w="113" w:type="dxa"/>
              <w:left w:w="0" w:type="dxa"/>
              <w:bottom w:w="113" w:type="dxa"/>
              <w:right w:w="113" w:type="dxa"/>
            </w:tcMar>
            <w:vAlign w:val="bottom"/>
          </w:tcPr>
          <w:p w14:paraId="42B202C8"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21,478 </w:t>
            </w:r>
          </w:p>
        </w:tc>
      </w:tr>
      <w:tr w:rsidR="00C7569E" w:rsidRPr="00C7569E" w14:paraId="6B60B774" w14:textId="77777777" w:rsidTr="00C7569E">
        <w:trPr>
          <w:trHeight w:val="512"/>
        </w:trPr>
        <w:tc>
          <w:tcPr>
            <w:tcW w:w="10091" w:type="dxa"/>
            <w:gridSpan w:val="3"/>
            <w:tcMar>
              <w:top w:w="227" w:type="dxa"/>
              <w:left w:w="0" w:type="dxa"/>
              <w:bottom w:w="227" w:type="dxa"/>
              <w:right w:w="113" w:type="dxa"/>
            </w:tcMar>
            <w:vAlign w:val="bottom"/>
          </w:tcPr>
          <w:p w14:paraId="1D795CE8"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000000"/>
                <w:sz w:val="16"/>
                <w:szCs w:val="16"/>
                <w:lang w:val="en-US"/>
              </w:rPr>
            </w:pPr>
            <w:r w:rsidRPr="00C7569E">
              <w:rPr>
                <w:rFonts w:cs="Open Sans"/>
                <w:b/>
                <w:bCs/>
                <w:color w:val="000000"/>
                <w:sz w:val="16"/>
                <w:szCs w:val="16"/>
                <w:lang w:val="en-US"/>
              </w:rPr>
              <w:t>Accounting Policy</w:t>
            </w:r>
          </w:p>
          <w:p w14:paraId="53EDF870"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color w:val="000000"/>
                <w:sz w:val="16"/>
                <w:szCs w:val="16"/>
                <w:lang w:val="en-US"/>
              </w:rPr>
              <w:t>Accounting policies for employee related expenses is contained in the People and relationships section.</w:t>
            </w:r>
          </w:p>
        </w:tc>
      </w:tr>
      <w:tr w:rsidR="00C7569E" w:rsidRPr="00C7569E" w14:paraId="503FB38B" w14:textId="77777777" w:rsidTr="00C7569E">
        <w:trPr>
          <w:trHeight w:val="240"/>
        </w:trPr>
        <w:tc>
          <w:tcPr>
            <w:tcW w:w="7257" w:type="dxa"/>
            <w:tcMar>
              <w:top w:w="227" w:type="dxa"/>
              <w:left w:w="0" w:type="dxa"/>
              <w:bottom w:w="57" w:type="dxa"/>
              <w:right w:w="113" w:type="dxa"/>
            </w:tcMar>
            <w:vAlign w:val="bottom"/>
          </w:tcPr>
          <w:p w14:paraId="786AC404" w14:textId="77777777" w:rsidR="00C7569E" w:rsidRPr="00E8256E" w:rsidRDefault="00C7569E" w:rsidP="00E8256E">
            <w:pPr>
              <w:pStyle w:val="FSBlueHeadingBold"/>
            </w:pPr>
            <w:r w:rsidRPr="00E8256E">
              <w:t>1.1B: Suppliers</w:t>
            </w:r>
          </w:p>
        </w:tc>
        <w:tc>
          <w:tcPr>
            <w:tcW w:w="1417" w:type="dxa"/>
            <w:tcMar>
              <w:top w:w="227" w:type="dxa"/>
              <w:left w:w="0" w:type="dxa"/>
              <w:bottom w:w="57" w:type="dxa"/>
              <w:right w:w="113" w:type="dxa"/>
            </w:tcMar>
            <w:vAlign w:val="bottom"/>
          </w:tcPr>
          <w:p w14:paraId="32EEB66E" w14:textId="77777777" w:rsidR="00C7569E" w:rsidRPr="00C7569E" w:rsidRDefault="00C7569E" w:rsidP="00A4595C">
            <w:pPr>
              <w:autoSpaceDE w:val="0"/>
              <w:autoSpaceDN w:val="0"/>
              <w:adjustRightInd w:val="0"/>
              <w:spacing w:before="0" w:after="0" w:line="240" w:lineRule="auto"/>
              <w:rPr>
                <w:rFonts w:ascii="Open Sans Semibold" w:hAnsi="Open Sans Semibold"/>
                <w:sz w:val="16"/>
                <w:szCs w:val="16"/>
                <w:lang w:val="it-IT"/>
              </w:rPr>
            </w:pPr>
          </w:p>
        </w:tc>
        <w:tc>
          <w:tcPr>
            <w:tcW w:w="1417" w:type="dxa"/>
            <w:tcMar>
              <w:top w:w="227" w:type="dxa"/>
              <w:left w:w="0" w:type="dxa"/>
              <w:bottom w:w="57" w:type="dxa"/>
              <w:right w:w="113" w:type="dxa"/>
            </w:tcMar>
            <w:vAlign w:val="bottom"/>
          </w:tcPr>
          <w:p w14:paraId="0AD95FDF" w14:textId="77777777" w:rsidR="00C7569E" w:rsidRPr="00C7569E" w:rsidRDefault="00C7569E" w:rsidP="00A4595C">
            <w:pPr>
              <w:autoSpaceDE w:val="0"/>
              <w:autoSpaceDN w:val="0"/>
              <w:adjustRightInd w:val="0"/>
              <w:spacing w:before="0" w:after="0" w:line="240" w:lineRule="auto"/>
              <w:rPr>
                <w:rFonts w:ascii="Open Sans Semibold" w:hAnsi="Open Sans Semibold"/>
                <w:sz w:val="16"/>
                <w:szCs w:val="16"/>
                <w:lang w:val="it-IT"/>
              </w:rPr>
            </w:pPr>
          </w:p>
        </w:tc>
      </w:tr>
      <w:tr w:rsidR="00C7569E" w:rsidRPr="00C7569E" w14:paraId="21CB30AE" w14:textId="77777777" w:rsidTr="00C7569E">
        <w:trPr>
          <w:trHeight w:val="240"/>
        </w:trPr>
        <w:tc>
          <w:tcPr>
            <w:tcW w:w="7257" w:type="dxa"/>
            <w:tcMar>
              <w:top w:w="28" w:type="dxa"/>
              <w:left w:w="0" w:type="dxa"/>
              <w:bottom w:w="57" w:type="dxa"/>
              <w:right w:w="113" w:type="dxa"/>
            </w:tcMar>
            <w:vAlign w:val="bottom"/>
          </w:tcPr>
          <w:p w14:paraId="36D7CAEA"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en-US"/>
              </w:rPr>
              <w:t>Goods and services supplied or rendered</w:t>
            </w:r>
          </w:p>
        </w:tc>
        <w:tc>
          <w:tcPr>
            <w:tcW w:w="1417" w:type="dxa"/>
            <w:tcMar>
              <w:top w:w="28" w:type="dxa"/>
              <w:left w:w="0" w:type="dxa"/>
              <w:bottom w:w="57" w:type="dxa"/>
              <w:right w:w="113" w:type="dxa"/>
            </w:tcMar>
            <w:vAlign w:val="bottom"/>
          </w:tcPr>
          <w:p w14:paraId="0F9050AC" w14:textId="77777777" w:rsidR="00C7569E" w:rsidRPr="00C7569E" w:rsidRDefault="00C7569E" w:rsidP="00A4595C">
            <w:pPr>
              <w:autoSpaceDE w:val="0"/>
              <w:autoSpaceDN w:val="0"/>
              <w:adjustRightInd w:val="0"/>
              <w:spacing w:before="0" w:after="0" w:line="240" w:lineRule="auto"/>
              <w:rPr>
                <w:rFonts w:ascii="Open Sans Semibold" w:hAnsi="Open Sans Semibold"/>
                <w:sz w:val="16"/>
                <w:szCs w:val="16"/>
                <w:lang w:val="en-US"/>
              </w:rPr>
            </w:pPr>
          </w:p>
        </w:tc>
        <w:tc>
          <w:tcPr>
            <w:tcW w:w="1417" w:type="dxa"/>
            <w:tcMar>
              <w:top w:w="28" w:type="dxa"/>
              <w:left w:w="0" w:type="dxa"/>
              <w:bottom w:w="57" w:type="dxa"/>
              <w:right w:w="113" w:type="dxa"/>
            </w:tcMar>
            <w:vAlign w:val="bottom"/>
          </w:tcPr>
          <w:p w14:paraId="2E738BE9" w14:textId="77777777" w:rsidR="00C7569E" w:rsidRPr="00C7569E" w:rsidRDefault="00C7569E" w:rsidP="00A4595C">
            <w:pPr>
              <w:autoSpaceDE w:val="0"/>
              <w:autoSpaceDN w:val="0"/>
              <w:adjustRightInd w:val="0"/>
              <w:spacing w:before="0" w:after="0" w:line="240" w:lineRule="auto"/>
              <w:rPr>
                <w:rFonts w:ascii="Open Sans Semibold" w:hAnsi="Open Sans Semibold"/>
                <w:sz w:val="16"/>
                <w:szCs w:val="16"/>
                <w:lang w:val="en-US"/>
              </w:rPr>
            </w:pPr>
          </w:p>
        </w:tc>
      </w:tr>
      <w:tr w:rsidR="00C7569E" w:rsidRPr="00C7569E" w14:paraId="4D3A2150" w14:textId="77777777" w:rsidTr="00C7569E">
        <w:trPr>
          <w:trHeight w:val="240"/>
        </w:trPr>
        <w:tc>
          <w:tcPr>
            <w:tcW w:w="7257" w:type="dxa"/>
            <w:tcMar>
              <w:top w:w="28" w:type="dxa"/>
              <w:left w:w="0" w:type="dxa"/>
              <w:bottom w:w="57" w:type="dxa"/>
              <w:right w:w="113" w:type="dxa"/>
            </w:tcMar>
            <w:vAlign w:val="bottom"/>
          </w:tcPr>
          <w:p w14:paraId="0B173E2F"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it-IT"/>
              </w:rPr>
              <w:t>Insurance</w:t>
            </w:r>
          </w:p>
        </w:tc>
        <w:tc>
          <w:tcPr>
            <w:tcW w:w="1417" w:type="dxa"/>
            <w:tcMar>
              <w:top w:w="28" w:type="dxa"/>
              <w:left w:w="0" w:type="dxa"/>
              <w:bottom w:w="57" w:type="dxa"/>
              <w:right w:w="113" w:type="dxa"/>
            </w:tcMar>
            <w:vAlign w:val="bottom"/>
          </w:tcPr>
          <w:p w14:paraId="15B942AE" w14:textId="1873CDA4"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49 </w:t>
            </w:r>
          </w:p>
        </w:tc>
        <w:tc>
          <w:tcPr>
            <w:tcW w:w="1417" w:type="dxa"/>
            <w:tcMar>
              <w:top w:w="28" w:type="dxa"/>
              <w:left w:w="0" w:type="dxa"/>
              <w:bottom w:w="57" w:type="dxa"/>
              <w:right w:w="113" w:type="dxa"/>
            </w:tcMar>
            <w:vAlign w:val="bottom"/>
          </w:tcPr>
          <w:p w14:paraId="7F3FCA20"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46 </w:t>
            </w:r>
          </w:p>
        </w:tc>
      </w:tr>
      <w:tr w:rsidR="00C7569E" w:rsidRPr="00C7569E" w14:paraId="46D78627" w14:textId="77777777" w:rsidTr="00C7569E">
        <w:trPr>
          <w:trHeight w:val="240"/>
        </w:trPr>
        <w:tc>
          <w:tcPr>
            <w:tcW w:w="7257" w:type="dxa"/>
            <w:tcMar>
              <w:top w:w="28" w:type="dxa"/>
              <w:left w:w="0" w:type="dxa"/>
              <w:bottom w:w="57" w:type="dxa"/>
              <w:right w:w="113" w:type="dxa"/>
            </w:tcMar>
            <w:vAlign w:val="bottom"/>
          </w:tcPr>
          <w:p w14:paraId="4A1CE549"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it-IT"/>
              </w:rPr>
              <w:t>Office consumables</w:t>
            </w:r>
          </w:p>
        </w:tc>
        <w:tc>
          <w:tcPr>
            <w:tcW w:w="1417" w:type="dxa"/>
            <w:tcMar>
              <w:top w:w="28" w:type="dxa"/>
              <w:left w:w="0" w:type="dxa"/>
              <w:bottom w:w="57" w:type="dxa"/>
              <w:right w:w="113" w:type="dxa"/>
            </w:tcMar>
            <w:vAlign w:val="bottom"/>
          </w:tcPr>
          <w:p w14:paraId="5194F896"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67 </w:t>
            </w:r>
          </w:p>
        </w:tc>
        <w:tc>
          <w:tcPr>
            <w:tcW w:w="1417" w:type="dxa"/>
            <w:tcMar>
              <w:top w:w="28" w:type="dxa"/>
              <w:left w:w="0" w:type="dxa"/>
              <w:bottom w:w="57" w:type="dxa"/>
              <w:right w:w="113" w:type="dxa"/>
            </w:tcMar>
            <w:vAlign w:val="bottom"/>
          </w:tcPr>
          <w:p w14:paraId="5B116EE1"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23 </w:t>
            </w:r>
          </w:p>
        </w:tc>
      </w:tr>
      <w:tr w:rsidR="00C7569E" w:rsidRPr="00C7569E" w14:paraId="4C668E97" w14:textId="77777777" w:rsidTr="00C7569E">
        <w:trPr>
          <w:trHeight w:val="240"/>
        </w:trPr>
        <w:tc>
          <w:tcPr>
            <w:tcW w:w="7257" w:type="dxa"/>
            <w:tcMar>
              <w:top w:w="28" w:type="dxa"/>
              <w:left w:w="0" w:type="dxa"/>
              <w:bottom w:w="57" w:type="dxa"/>
              <w:right w:w="113" w:type="dxa"/>
            </w:tcMar>
            <w:vAlign w:val="bottom"/>
          </w:tcPr>
          <w:p w14:paraId="55426CE5"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it-IT"/>
              </w:rPr>
              <w:t>Official Travel</w:t>
            </w:r>
            <w:r w:rsidRPr="00C7569E">
              <w:rPr>
                <w:rFonts w:cs="Open Sans"/>
                <w:color w:val="000000"/>
                <w:sz w:val="16"/>
                <w:szCs w:val="16"/>
                <w:vertAlign w:val="superscript"/>
                <w:lang w:val="it-IT"/>
              </w:rPr>
              <w:t>1</w:t>
            </w:r>
          </w:p>
        </w:tc>
        <w:tc>
          <w:tcPr>
            <w:tcW w:w="1417" w:type="dxa"/>
            <w:tcMar>
              <w:top w:w="28" w:type="dxa"/>
              <w:left w:w="0" w:type="dxa"/>
              <w:bottom w:w="57" w:type="dxa"/>
              <w:right w:w="113" w:type="dxa"/>
            </w:tcMar>
            <w:vAlign w:val="bottom"/>
          </w:tcPr>
          <w:p w14:paraId="70586827"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1,812 </w:t>
            </w:r>
          </w:p>
        </w:tc>
        <w:tc>
          <w:tcPr>
            <w:tcW w:w="1417" w:type="dxa"/>
            <w:tcMar>
              <w:top w:w="28" w:type="dxa"/>
              <w:left w:w="0" w:type="dxa"/>
              <w:bottom w:w="57" w:type="dxa"/>
              <w:right w:w="113" w:type="dxa"/>
            </w:tcMar>
            <w:vAlign w:val="bottom"/>
          </w:tcPr>
          <w:p w14:paraId="0AA08DA4"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179 </w:t>
            </w:r>
          </w:p>
        </w:tc>
      </w:tr>
      <w:tr w:rsidR="00C7569E" w:rsidRPr="00C7569E" w14:paraId="1C2BB1B7" w14:textId="77777777" w:rsidTr="00C7569E">
        <w:trPr>
          <w:trHeight w:val="240"/>
        </w:trPr>
        <w:tc>
          <w:tcPr>
            <w:tcW w:w="7257" w:type="dxa"/>
            <w:tcMar>
              <w:top w:w="28" w:type="dxa"/>
              <w:left w:w="0" w:type="dxa"/>
              <w:bottom w:w="57" w:type="dxa"/>
              <w:right w:w="113" w:type="dxa"/>
            </w:tcMar>
            <w:vAlign w:val="bottom"/>
          </w:tcPr>
          <w:p w14:paraId="157911AC"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it-IT"/>
              </w:rPr>
              <w:t>Postage and freight</w:t>
            </w:r>
          </w:p>
        </w:tc>
        <w:tc>
          <w:tcPr>
            <w:tcW w:w="1417" w:type="dxa"/>
            <w:tcMar>
              <w:top w:w="28" w:type="dxa"/>
              <w:left w:w="0" w:type="dxa"/>
              <w:bottom w:w="57" w:type="dxa"/>
              <w:right w:w="113" w:type="dxa"/>
            </w:tcMar>
            <w:vAlign w:val="bottom"/>
          </w:tcPr>
          <w:p w14:paraId="60A7ACA7"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4 </w:t>
            </w:r>
          </w:p>
        </w:tc>
        <w:tc>
          <w:tcPr>
            <w:tcW w:w="1417" w:type="dxa"/>
            <w:tcMar>
              <w:top w:w="28" w:type="dxa"/>
              <w:left w:w="0" w:type="dxa"/>
              <w:bottom w:w="57" w:type="dxa"/>
              <w:right w:w="113" w:type="dxa"/>
            </w:tcMar>
            <w:vAlign w:val="bottom"/>
          </w:tcPr>
          <w:p w14:paraId="1B977336"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10 </w:t>
            </w:r>
          </w:p>
        </w:tc>
      </w:tr>
      <w:tr w:rsidR="00C7569E" w:rsidRPr="00C7569E" w14:paraId="23D14203" w14:textId="77777777" w:rsidTr="00C7569E">
        <w:trPr>
          <w:trHeight w:val="240"/>
        </w:trPr>
        <w:tc>
          <w:tcPr>
            <w:tcW w:w="7257" w:type="dxa"/>
            <w:tcMar>
              <w:top w:w="28" w:type="dxa"/>
              <w:left w:w="0" w:type="dxa"/>
              <w:bottom w:w="57" w:type="dxa"/>
              <w:right w:w="113" w:type="dxa"/>
            </w:tcMar>
            <w:vAlign w:val="bottom"/>
          </w:tcPr>
          <w:p w14:paraId="534D7DD0"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it-IT"/>
              </w:rPr>
              <w:t>Printing and publications</w:t>
            </w:r>
          </w:p>
        </w:tc>
        <w:tc>
          <w:tcPr>
            <w:tcW w:w="1417" w:type="dxa"/>
            <w:tcMar>
              <w:top w:w="28" w:type="dxa"/>
              <w:left w:w="0" w:type="dxa"/>
              <w:bottom w:w="57" w:type="dxa"/>
              <w:right w:w="113" w:type="dxa"/>
            </w:tcMar>
            <w:vAlign w:val="bottom"/>
          </w:tcPr>
          <w:p w14:paraId="5EE08793"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410 </w:t>
            </w:r>
          </w:p>
        </w:tc>
        <w:tc>
          <w:tcPr>
            <w:tcW w:w="1417" w:type="dxa"/>
            <w:tcMar>
              <w:top w:w="28" w:type="dxa"/>
              <w:left w:w="0" w:type="dxa"/>
              <w:bottom w:w="57" w:type="dxa"/>
              <w:right w:w="113" w:type="dxa"/>
            </w:tcMar>
            <w:vAlign w:val="bottom"/>
          </w:tcPr>
          <w:p w14:paraId="66BE0BA2"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251 </w:t>
            </w:r>
          </w:p>
        </w:tc>
      </w:tr>
      <w:tr w:rsidR="00C7569E" w:rsidRPr="00C7569E" w14:paraId="4430B434" w14:textId="77777777" w:rsidTr="00C7569E">
        <w:trPr>
          <w:trHeight w:val="240"/>
        </w:trPr>
        <w:tc>
          <w:tcPr>
            <w:tcW w:w="7257" w:type="dxa"/>
            <w:tcMar>
              <w:top w:w="28" w:type="dxa"/>
              <w:left w:w="0" w:type="dxa"/>
              <w:bottom w:w="57" w:type="dxa"/>
              <w:right w:w="113" w:type="dxa"/>
            </w:tcMar>
            <w:vAlign w:val="bottom"/>
          </w:tcPr>
          <w:p w14:paraId="2DDE1FBE"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it-IT"/>
              </w:rPr>
              <w:t>Professional services and fees</w:t>
            </w:r>
            <w:r w:rsidRPr="00C7569E">
              <w:rPr>
                <w:rFonts w:cs="Open Sans"/>
                <w:color w:val="000000"/>
                <w:sz w:val="16"/>
                <w:szCs w:val="16"/>
                <w:vertAlign w:val="superscript"/>
                <w:lang w:val="it-IT"/>
              </w:rPr>
              <w:t>1</w:t>
            </w:r>
          </w:p>
        </w:tc>
        <w:tc>
          <w:tcPr>
            <w:tcW w:w="1417" w:type="dxa"/>
            <w:tcMar>
              <w:top w:w="28" w:type="dxa"/>
              <w:left w:w="0" w:type="dxa"/>
              <w:bottom w:w="57" w:type="dxa"/>
              <w:right w:w="113" w:type="dxa"/>
            </w:tcMar>
            <w:vAlign w:val="bottom"/>
          </w:tcPr>
          <w:p w14:paraId="3D748DC5"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2,771 </w:t>
            </w:r>
          </w:p>
        </w:tc>
        <w:tc>
          <w:tcPr>
            <w:tcW w:w="1417" w:type="dxa"/>
            <w:tcMar>
              <w:top w:w="28" w:type="dxa"/>
              <w:left w:w="0" w:type="dxa"/>
              <w:bottom w:w="57" w:type="dxa"/>
              <w:right w:w="113" w:type="dxa"/>
            </w:tcMar>
            <w:vAlign w:val="bottom"/>
          </w:tcPr>
          <w:p w14:paraId="3B6F9EED"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1,724 </w:t>
            </w:r>
          </w:p>
        </w:tc>
      </w:tr>
      <w:tr w:rsidR="00C7569E" w:rsidRPr="00C7569E" w14:paraId="71092A25" w14:textId="77777777" w:rsidTr="00C7569E">
        <w:trPr>
          <w:trHeight w:val="240"/>
        </w:trPr>
        <w:tc>
          <w:tcPr>
            <w:tcW w:w="7257" w:type="dxa"/>
            <w:tcMar>
              <w:top w:w="28" w:type="dxa"/>
              <w:left w:w="0" w:type="dxa"/>
              <w:bottom w:w="57" w:type="dxa"/>
              <w:right w:w="113" w:type="dxa"/>
            </w:tcMar>
            <w:vAlign w:val="bottom"/>
          </w:tcPr>
          <w:p w14:paraId="1B7DFB05"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en-US"/>
              </w:rPr>
              <w:t>Property related outgoings</w:t>
            </w:r>
          </w:p>
        </w:tc>
        <w:tc>
          <w:tcPr>
            <w:tcW w:w="1417" w:type="dxa"/>
            <w:tcMar>
              <w:top w:w="28" w:type="dxa"/>
              <w:left w:w="0" w:type="dxa"/>
              <w:bottom w:w="57" w:type="dxa"/>
              <w:right w:w="113" w:type="dxa"/>
            </w:tcMar>
            <w:vAlign w:val="bottom"/>
          </w:tcPr>
          <w:p w14:paraId="4B13B746"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877 </w:t>
            </w:r>
          </w:p>
        </w:tc>
        <w:tc>
          <w:tcPr>
            <w:tcW w:w="1417" w:type="dxa"/>
            <w:tcMar>
              <w:top w:w="28" w:type="dxa"/>
              <w:left w:w="0" w:type="dxa"/>
              <w:bottom w:w="57" w:type="dxa"/>
              <w:right w:w="113" w:type="dxa"/>
            </w:tcMar>
            <w:vAlign w:val="bottom"/>
          </w:tcPr>
          <w:p w14:paraId="4E6AC4B5"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841 </w:t>
            </w:r>
          </w:p>
        </w:tc>
      </w:tr>
      <w:tr w:rsidR="00C7569E" w:rsidRPr="00C7569E" w14:paraId="2843FCD2" w14:textId="77777777" w:rsidTr="00C7569E">
        <w:trPr>
          <w:trHeight w:val="240"/>
        </w:trPr>
        <w:tc>
          <w:tcPr>
            <w:tcW w:w="7257" w:type="dxa"/>
            <w:tcMar>
              <w:top w:w="28" w:type="dxa"/>
              <w:left w:w="0" w:type="dxa"/>
              <w:bottom w:w="57" w:type="dxa"/>
              <w:right w:w="113" w:type="dxa"/>
            </w:tcMar>
            <w:vAlign w:val="bottom"/>
          </w:tcPr>
          <w:p w14:paraId="07A2B7D8"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en-US"/>
              </w:rPr>
              <w:t>Reference materials, subscriptions and licenses</w:t>
            </w:r>
          </w:p>
        </w:tc>
        <w:tc>
          <w:tcPr>
            <w:tcW w:w="1417" w:type="dxa"/>
            <w:tcMar>
              <w:top w:w="28" w:type="dxa"/>
              <w:left w:w="0" w:type="dxa"/>
              <w:bottom w:w="57" w:type="dxa"/>
              <w:right w:w="113" w:type="dxa"/>
            </w:tcMar>
            <w:vAlign w:val="bottom"/>
          </w:tcPr>
          <w:p w14:paraId="08738A40"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794 </w:t>
            </w:r>
          </w:p>
        </w:tc>
        <w:tc>
          <w:tcPr>
            <w:tcW w:w="1417" w:type="dxa"/>
            <w:tcMar>
              <w:top w:w="28" w:type="dxa"/>
              <w:left w:w="0" w:type="dxa"/>
              <w:bottom w:w="57" w:type="dxa"/>
              <w:right w:w="113" w:type="dxa"/>
            </w:tcMar>
            <w:vAlign w:val="bottom"/>
          </w:tcPr>
          <w:p w14:paraId="538B763E"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864 </w:t>
            </w:r>
          </w:p>
        </w:tc>
      </w:tr>
      <w:tr w:rsidR="00C7569E" w:rsidRPr="00C7569E" w14:paraId="246F6652" w14:textId="77777777" w:rsidTr="00C7569E">
        <w:trPr>
          <w:trHeight w:val="240"/>
        </w:trPr>
        <w:tc>
          <w:tcPr>
            <w:tcW w:w="7257" w:type="dxa"/>
            <w:tcMar>
              <w:top w:w="28" w:type="dxa"/>
              <w:left w:w="0" w:type="dxa"/>
              <w:bottom w:w="57" w:type="dxa"/>
              <w:right w:w="113" w:type="dxa"/>
            </w:tcMar>
            <w:vAlign w:val="bottom"/>
          </w:tcPr>
          <w:p w14:paraId="5346C507"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it-IT"/>
              </w:rPr>
              <w:t>Staff training</w:t>
            </w:r>
          </w:p>
        </w:tc>
        <w:tc>
          <w:tcPr>
            <w:tcW w:w="1417" w:type="dxa"/>
            <w:tcMar>
              <w:top w:w="28" w:type="dxa"/>
              <w:left w:w="0" w:type="dxa"/>
              <w:bottom w:w="57" w:type="dxa"/>
              <w:right w:w="113" w:type="dxa"/>
            </w:tcMar>
            <w:vAlign w:val="bottom"/>
          </w:tcPr>
          <w:p w14:paraId="5D0174FC"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157 </w:t>
            </w:r>
          </w:p>
        </w:tc>
        <w:tc>
          <w:tcPr>
            <w:tcW w:w="1417" w:type="dxa"/>
            <w:tcMar>
              <w:top w:w="28" w:type="dxa"/>
              <w:left w:w="0" w:type="dxa"/>
              <w:bottom w:w="57" w:type="dxa"/>
              <w:right w:w="113" w:type="dxa"/>
            </w:tcMar>
            <w:vAlign w:val="bottom"/>
          </w:tcPr>
          <w:p w14:paraId="1BF1C06A"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117 </w:t>
            </w:r>
          </w:p>
        </w:tc>
      </w:tr>
      <w:tr w:rsidR="00C7569E" w:rsidRPr="00C7569E" w14:paraId="2D494BE0" w14:textId="77777777" w:rsidTr="00C7569E">
        <w:trPr>
          <w:trHeight w:val="240"/>
        </w:trPr>
        <w:tc>
          <w:tcPr>
            <w:tcW w:w="7257" w:type="dxa"/>
            <w:tcMar>
              <w:top w:w="28" w:type="dxa"/>
              <w:left w:w="0" w:type="dxa"/>
              <w:bottom w:w="57" w:type="dxa"/>
              <w:right w:w="113" w:type="dxa"/>
            </w:tcMar>
            <w:vAlign w:val="bottom"/>
          </w:tcPr>
          <w:p w14:paraId="60B51A06"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it-IT"/>
              </w:rPr>
              <w:t>Telecommunications</w:t>
            </w:r>
          </w:p>
        </w:tc>
        <w:tc>
          <w:tcPr>
            <w:tcW w:w="1417" w:type="dxa"/>
            <w:tcMar>
              <w:top w:w="28" w:type="dxa"/>
              <w:left w:w="0" w:type="dxa"/>
              <w:bottom w:w="57" w:type="dxa"/>
              <w:right w:w="113" w:type="dxa"/>
            </w:tcMar>
            <w:vAlign w:val="bottom"/>
          </w:tcPr>
          <w:p w14:paraId="1EB447E6"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84 </w:t>
            </w:r>
          </w:p>
        </w:tc>
        <w:tc>
          <w:tcPr>
            <w:tcW w:w="1417" w:type="dxa"/>
            <w:tcMar>
              <w:top w:w="28" w:type="dxa"/>
              <w:left w:w="0" w:type="dxa"/>
              <w:bottom w:w="57" w:type="dxa"/>
              <w:right w:w="113" w:type="dxa"/>
            </w:tcMar>
            <w:vAlign w:val="bottom"/>
          </w:tcPr>
          <w:p w14:paraId="053715BB"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104 </w:t>
            </w:r>
          </w:p>
        </w:tc>
      </w:tr>
      <w:tr w:rsidR="00C7569E" w:rsidRPr="00C7569E" w14:paraId="705707C7" w14:textId="77777777" w:rsidTr="00C7569E">
        <w:trPr>
          <w:trHeight w:val="240"/>
        </w:trPr>
        <w:tc>
          <w:tcPr>
            <w:tcW w:w="7257" w:type="dxa"/>
            <w:tcMar>
              <w:top w:w="28" w:type="dxa"/>
              <w:left w:w="0" w:type="dxa"/>
              <w:bottom w:w="57" w:type="dxa"/>
              <w:right w:w="113" w:type="dxa"/>
            </w:tcMar>
            <w:vAlign w:val="bottom"/>
          </w:tcPr>
          <w:p w14:paraId="6FF098E7"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en-US"/>
              </w:rPr>
              <w:t>Summit venue hire and other costs</w:t>
            </w:r>
          </w:p>
        </w:tc>
        <w:tc>
          <w:tcPr>
            <w:tcW w:w="1417" w:type="dxa"/>
            <w:tcMar>
              <w:top w:w="28" w:type="dxa"/>
              <w:left w:w="0" w:type="dxa"/>
              <w:bottom w:w="57" w:type="dxa"/>
              <w:right w:w="113" w:type="dxa"/>
            </w:tcMar>
            <w:vAlign w:val="bottom"/>
          </w:tcPr>
          <w:p w14:paraId="7C26CF86"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764 </w:t>
            </w:r>
          </w:p>
        </w:tc>
        <w:tc>
          <w:tcPr>
            <w:tcW w:w="1417" w:type="dxa"/>
            <w:tcMar>
              <w:top w:w="28" w:type="dxa"/>
              <w:left w:w="0" w:type="dxa"/>
              <w:bottom w:w="57" w:type="dxa"/>
              <w:right w:w="113" w:type="dxa"/>
            </w:tcMar>
            <w:vAlign w:val="bottom"/>
          </w:tcPr>
          <w:p w14:paraId="77F44063"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 </w:t>
            </w:r>
          </w:p>
        </w:tc>
      </w:tr>
      <w:tr w:rsidR="00C7569E" w:rsidRPr="00C7569E" w14:paraId="3D29E80D" w14:textId="77777777" w:rsidTr="00C7569E">
        <w:trPr>
          <w:trHeight w:val="207"/>
        </w:trPr>
        <w:tc>
          <w:tcPr>
            <w:tcW w:w="7257" w:type="dxa"/>
            <w:tcMar>
              <w:top w:w="57" w:type="dxa"/>
              <w:left w:w="0" w:type="dxa"/>
              <w:bottom w:w="113" w:type="dxa"/>
              <w:right w:w="113" w:type="dxa"/>
            </w:tcMar>
            <w:vAlign w:val="bottom"/>
          </w:tcPr>
          <w:p w14:paraId="55D25A33"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C7569E">
              <w:rPr>
                <w:rFonts w:cs="Open Sans"/>
                <w:color w:val="000000"/>
                <w:sz w:val="16"/>
                <w:szCs w:val="16"/>
                <w:lang w:val="it-IT"/>
              </w:rPr>
              <w:t>Other</w:t>
            </w:r>
          </w:p>
        </w:tc>
        <w:tc>
          <w:tcPr>
            <w:tcW w:w="1417" w:type="dxa"/>
            <w:tcMar>
              <w:top w:w="57" w:type="dxa"/>
              <w:left w:w="0" w:type="dxa"/>
              <w:bottom w:w="113" w:type="dxa"/>
              <w:right w:w="113" w:type="dxa"/>
            </w:tcMar>
            <w:vAlign w:val="bottom"/>
          </w:tcPr>
          <w:p w14:paraId="01DB2894"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150 </w:t>
            </w:r>
          </w:p>
        </w:tc>
        <w:tc>
          <w:tcPr>
            <w:tcW w:w="1417" w:type="dxa"/>
            <w:tcMar>
              <w:top w:w="57" w:type="dxa"/>
              <w:left w:w="0" w:type="dxa"/>
              <w:bottom w:w="113" w:type="dxa"/>
              <w:right w:w="113" w:type="dxa"/>
            </w:tcMar>
            <w:vAlign w:val="bottom"/>
          </w:tcPr>
          <w:p w14:paraId="4FB06545"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244 </w:t>
            </w:r>
          </w:p>
        </w:tc>
      </w:tr>
      <w:tr w:rsidR="00C7569E" w:rsidRPr="00C7569E" w14:paraId="6E733F9C" w14:textId="77777777" w:rsidTr="00A92A6C">
        <w:trPr>
          <w:trHeight w:val="240"/>
        </w:trPr>
        <w:tc>
          <w:tcPr>
            <w:tcW w:w="7257" w:type="dxa"/>
            <w:shd w:val="clear" w:color="auto" w:fill="F2F2F2" w:themeFill="background1" w:themeFillShade="F2"/>
            <w:tcMar>
              <w:top w:w="113" w:type="dxa"/>
              <w:left w:w="0" w:type="dxa"/>
              <w:bottom w:w="113" w:type="dxa"/>
              <w:right w:w="113" w:type="dxa"/>
            </w:tcMar>
            <w:vAlign w:val="bottom"/>
          </w:tcPr>
          <w:p w14:paraId="0BB81F5B"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en-US"/>
              </w:rPr>
              <w:t>Total goods and services supplied or rendered</w:t>
            </w:r>
          </w:p>
        </w:tc>
        <w:tc>
          <w:tcPr>
            <w:tcW w:w="1417" w:type="dxa"/>
            <w:shd w:val="clear" w:color="auto" w:fill="F2F2F2" w:themeFill="background1" w:themeFillShade="F2"/>
            <w:tcMar>
              <w:top w:w="113" w:type="dxa"/>
              <w:left w:w="0" w:type="dxa"/>
              <w:bottom w:w="113" w:type="dxa"/>
              <w:right w:w="113" w:type="dxa"/>
            </w:tcMar>
            <w:vAlign w:val="bottom"/>
          </w:tcPr>
          <w:p w14:paraId="3197975D"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7,939 </w:t>
            </w:r>
          </w:p>
        </w:tc>
        <w:tc>
          <w:tcPr>
            <w:tcW w:w="1417" w:type="dxa"/>
            <w:shd w:val="clear" w:color="auto" w:fill="F2F2F2" w:themeFill="background1" w:themeFillShade="F2"/>
            <w:tcMar>
              <w:top w:w="113" w:type="dxa"/>
              <w:left w:w="0" w:type="dxa"/>
              <w:bottom w:w="113" w:type="dxa"/>
              <w:right w:w="113" w:type="dxa"/>
            </w:tcMar>
            <w:vAlign w:val="bottom"/>
          </w:tcPr>
          <w:p w14:paraId="1F969232"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4,404 </w:t>
            </w:r>
          </w:p>
        </w:tc>
      </w:tr>
      <w:tr w:rsidR="00C7569E" w:rsidRPr="00C7569E" w14:paraId="1D79FC0A" w14:textId="77777777" w:rsidTr="00C7569E">
        <w:trPr>
          <w:trHeight w:val="240"/>
        </w:trPr>
        <w:tc>
          <w:tcPr>
            <w:tcW w:w="7257" w:type="dxa"/>
            <w:tcMar>
              <w:top w:w="227" w:type="dxa"/>
              <w:left w:w="0" w:type="dxa"/>
              <w:bottom w:w="57" w:type="dxa"/>
              <w:right w:w="113" w:type="dxa"/>
            </w:tcMar>
            <w:vAlign w:val="bottom"/>
          </w:tcPr>
          <w:p w14:paraId="565C2D65"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color w:val="000000"/>
                <w:sz w:val="16"/>
                <w:szCs w:val="16"/>
                <w:lang w:val="it-IT"/>
              </w:rPr>
              <w:t>Goods supplied</w:t>
            </w:r>
          </w:p>
        </w:tc>
        <w:tc>
          <w:tcPr>
            <w:tcW w:w="1417" w:type="dxa"/>
            <w:tcMar>
              <w:top w:w="227" w:type="dxa"/>
              <w:left w:w="0" w:type="dxa"/>
              <w:bottom w:w="57" w:type="dxa"/>
              <w:right w:w="113" w:type="dxa"/>
            </w:tcMar>
            <w:vAlign w:val="bottom"/>
          </w:tcPr>
          <w:p w14:paraId="294660EC"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477 </w:t>
            </w:r>
          </w:p>
        </w:tc>
        <w:tc>
          <w:tcPr>
            <w:tcW w:w="1417" w:type="dxa"/>
            <w:tcMar>
              <w:top w:w="227" w:type="dxa"/>
              <w:left w:w="0" w:type="dxa"/>
              <w:bottom w:w="57" w:type="dxa"/>
              <w:right w:w="113" w:type="dxa"/>
            </w:tcMar>
            <w:vAlign w:val="bottom"/>
          </w:tcPr>
          <w:p w14:paraId="0C01006D"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274 </w:t>
            </w:r>
          </w:p>
        </w:tc>
      </w:tr>
      <w:tr w:rsidR="00C7569E" w:rsidRPr="00C7569E" w14:paraId="3D2CD9E0" w14:textId="77777777" w:rsidTr="00C7569E">
        <w:trPr>
          <w:trHeight w:val="240"/>
        </w:trPr>
        <w:tc>
          <w:tcPr>
            <w:tcW w:w="7257" w:type="dxa"/>
            <w:tcMar>
              <w:top w:w="113" w:type="dxa"/>
              <w:left w:w="0" w:type="dxa"/>
              <w:bottom w:w="113" w:type="dxa"/>
              <w:right w:w="113" w:type="dxa"/>
            </w:tcMar>
            <w:vAlign w:val="bottom"/>
          </w:tcPr>
          <w:p w14:paraId="6BC6C613"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color w:val="000000"/>
                <w:sz w:val="16"/>
                <w:szCs w:val="16"/>
                <w:lang w:val="it-IT"/>
              </w:rPr>
              <w:t>Services rendered</w:t>
            </w:r>
          </w:p>
        </w:tc>
        <w:tc>
          <w:tcPr>
            <w:tcW w:w="1417" w:type="dxa"/>
            <w:tcMar>
              <w:top w:w="113" w:type="dxa"/>
              <w:left w:w="0" w:type="dxa"/>
              <w:bottom w:w="113" w:type="dxa"/>
              <w:right w:w="113" w:type="dxa"/>
            </w:tcMar>
            <w:vAlign w:val="bottom"/>
          </w:tcPr>
          <w:p w14:paraId="43A9BAD1"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7,462 </w:t>
            </w:r>
          </w:p>
        </w:tc>
        <w:tc>
          <w:tcPr>
            <w:tcW w:w="1417" w:type="dxa"/>
            <w:tcMar>
              <w:top w:w="113" w:type="dxa"/>
              <w:left w:w="0" w:type="dxa"/>
              <w:bottom w:w="113" w:type="dxa"/>
              <w:right w:w="113" w:type="dxa"/>
            </w:tcMar>
            <w:vAlign w:val="bottom"/>
          </w:tcPr>
          <w:p w14:paraId="6170BDC3"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4,130 </w:t>
            </w:r>
          </w:p>
        </w:tc>
      </w:tr>
      <w:tr w:rsidR="00C7569E" w:rsidRPr="00C7569E" w14:paraId="1D4F9376" w14:textId="77777777" w:rsidTr="00A92A6C">
        <w:trPr>
          <w:trHeight w:val="240"/>
        </w:trPr>
        <w:tc>
          <w:tcPr>
            <w:tcW w:w="7257" w:type="dxa"/>
            <w:shd w:val="clear" w:color="auto" w:fill="F2F2F2" w:themeFill="background1" w:themeFillShade="F2"/>
            <w:tcMar>
              <w:top w:w="113" w:type="dxa"/>
              <w:left w:w="0" w:type="dxa"/>
              <w:bottom w:w="113" w:type="dxa"/>
              <w:right w:w="113" w:type="dxa"/>
            </w:tcMar>
            <w:vAlign w:val="bottom"/>
          </w:tcPr>
          <w:p w14:paraId="7CAF3FC3"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en-US"/>
              </w:rPr>
              <w:t>Total goods and services supplied or rendered</w:t>
            </w:r>
          </w:p>
        </w:tc>
        <w:tc>
          <w:tcPr>
            <w:tcW w:w="1417" w:type="dxa"/>
            <w:shd w:val="clear" w:color="auto" w:fill="F2F2F2" w:themeFill="background1" w:themeFillShade="F2"/>
            <w:tcMar>
              <w:top w:w="113" w:type="dxa"/>
              <w:left w:w="0" w:type="dxa"/>
              <w:bottom w:w="113" w:type="dxa"/>
              <w:right w:w="113" w:type="dxa"/>
            </w:tcMar>
            <w:vAlign w:val="bottom"/>
          </w:tcPr>
          <w:p w14:paraId="6A2E106D"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7,939 </w:t>
            </w:r>
          </w:p>
        </w:tc>
        <w:tc>
          <w:tcPr>
            <w:tcW w:w="1417" w:type="dxa"/>
            <w:shd w:val="clear" w:color="auto" w:fill="F2F2F2" w:themeFill="background1" w:themeFillShade="F2"/>
            <w:tcMar>
              <w:top w:w="113" w:type="dxa"/>
              <w:left w:w="0" w:type="dxa"/>
              <w:bottom w:w="113" w:type="dxa"/>
              <w:right w:w="113" w:type="dxa"/>
            </w:tcMar>
            <w:vAlign w:val="bottom"/>
          </w:tcPr>
          <w:p w14:paraId="043917B8"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4,404 </w:t>
            </w:r>
          </w:p>
        </w:tc>
      </w:tr>
      <w:tr w:rsidR="00C7569E" w:rsidRPr="00C7569E" w14:paraId="51435D61" w14:textId="77777777" w:rsidTr="00C7569E">
        <w:trPr>
          <w:trHeight w:val="240"/>
        </w:trPr>
        <w:tc>
          <w:tcPr>
            <w:tcW w:w="7257" w:type="dxa"/>
            <w:tcMar>
              <w:top w:w="227" w:type="dxa"/>
              <w:left w:w="0" w:type="dxa"/>
              <w:bottom w:w="57" w:type="dxa"/>
              <w:right w:w="113" w:type="dxa"/>
            </w:tcMar>
            <w:vAlign w:val="bottom"/>
          </w:tcPr>
          <w:p w14:paraId="10D8D064"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it-IT"/>
              </w:rPr>
              <w:t>Other suppliers</w:t>
            </w:r>
          </w:p>
        </w:tc>
        <w:tc>
          <w:tcPr>
            <w:tcW w:w="1417" w:type="dxa"/>
            <w:tcMar>
              <w:top w:w="227" w:type="dxa"/>
              <w:left w:w="0" w:type="dxa"/>
              <w:bottom w:w="57" w:type="dxa"/>
              <w:right w:w="113" w:type="dxa"/>
            </w:tcMar>
            <w:vAlign w:val="bottom"/>
          </w:tcPr>
          <w:p w14:paraId="68BF3A7B" w14:textId="77777777" w:rsidR="00C7569E" w:rsidRPr="00C7569E" w:rsidRDefault="00C7569E" w:rsidP="00A4595C">
            <w:pPr>
              <w:autoSpaceDE w:val="0"/>
              <w:autoSpaceDN w:val="0"/>
              <w:adjustRightInd w:val="0"/>
              <w:spacing w:before="0" w:after="0" w:line="240" w:lineRule="auto"/>
              <w:rPr>
                <w:rFonts w:ascii="Open Sans Semibold" w:hAnsi="Open Sans Semibold"/>
                <w:sz w:val="16"/>
                <w:szCs w:val="16"/>
                <w:lang w:val="it-IT"/>
              </w:rPr>
            </w:pPr>
          </w:p>
        </w:tc>
        <w:tc>
          <w:tcPr>
            <w:tcW w:w="1417" w:type="dxa"/>
            <w:tcMar>
              <w:top w:w="227" w:type="dxa"/>
              <w:left w:w="0" w:type="dxa"/>
              <w:bottom w:w="57" w:type="dxa"/>
              <w:right w:w="113" w:type="dxa"/>
            </w:tcMar>
            <w:vAlign w:val="bottom"/>
          </w:tcPr>
          <w:p w14:paraId="0B337CB2" w14:textId="77777777" w:rsidR="00C7569E" w:rsidRPr="00C7569E" w:rsidRDefault="00C7569E" w:rsidP="00A4595C">
            <w:pPr>
              <w:autoSpaceDE w:val="0"/>
              <w:autoSpaceDN w:val="0"/>
              <w:adjustRightInd w:val="0"/>
              <w:spacing w:before="0" w:after="0" w:line="240" w:lineRule="auto"/>
              <w:rPr>
                <w:rFonts w:ascii="Open Sans Semibold" w:hAnsi="Open Sans Semibold"/>
                <w:sz w:val="16"/>
                <w:szCs w:val="16"/>
                <w:lang w:val="it-IT"/>
              </w:rPr>
            </w:pPr>
          </w:p>
        </w:tc>
      </w:tr>
      <w:tr w:rsidR="00C7569E" w:rsidRPr="00C7569E" w14:paraId="759C5878" w14:textId="77777777" w:rsidTr="00C7569E">
        <w:trPr>
          <w:trHeight w:val="260"/>
        </w:trPr>
        <w:tc>
          <w:tcPr>
            <w:tcW w:w="7257" w:type="dxa"/>
            <w:tcMar>
              <w:top w:w="113" w:type="dxa"/>
              <w:left w:w="0" w:type="dxa"/>
              <w:bottom w:w="113" w:type="dxa"/>
              <w:right w:w="113" w:type="dxa"/>
            </w:tcMar>
            <w:vAlign w:val="bottom"/>
          </w:tcPr>
          <w:p w14:paraId="20622C3B"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color w:val="000000"/>
                <w:sz w:val="16"/>
                <w:szCs w:val="16"/>
                <w:lang w:val="it-IT"/>
              </w:rPr>
              <w:t>Workers compensation expenses</w:t>
            </w:r>
          </w:p>
        </w:tc>
        <w:tc>
          <w:tcPr>
            <w:tcW w:w="1417" w:type="dxa"/>
            <w:tcMar>
              <w:top w:w="113" w:type="dxa"/>
              <w:left w:w="0" w:type="dxa"/>
              <w:bottom w:w="113" w:type="dxa"/>
              <w:right w:w="113" w:type="dxa"/>
            </w:tcMar>
            <w:vAlign w:val="bottom"/>
          </w:tcPr>
          <w:p w14:paraId="71478CAD"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39 </w:t>
            </w:r>
          </w:p>
        </w:tc>
        <w:tc>
          <w:tcPr>
            <w:tcW w:w="1417" w:type="dxa"/>
            <w:tcMar>
              <w:top w:w="113" w:type="dxa"/>
              <w:left w:w="0" w:type="dxa"/>
              <w:bottom w:w="113" w:type="dxa"/>
              <w:right w:w="113" w:type="dxa"/>
            </w:tcMar>
            <w:vAlign w:val="bottom"/>
          </w:tcPr>
          <w:p w14:paraId="60ECC05B"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33 </w:t>
            </w:r>
          </w:p>
        </w:tc>
      </w:tr>
      <w:tr w:rsidR="00C7569E" w:rsidRPr="00C7569E" w14:paraId="28582843" w14:textId="77777777" w:rsidTr="00C7569E">
        <w:trPr>
          <w:trHeight w:val="240"/>
        </w:trPr>
        <w:tc>
          <w:tcPr>
            <w:tcW w:w="7257" w:type="dxa"/>
            <w:tcMar>
              <w:top w:w="113" w:type="dxa"/>
              <w:left w:w="0" w:type="dxa"/>
              <w:bottom w:w="113" w:type="dxa"/>
              <w:right w:w="113" w:type="dxa"/>
            </w:tcMar>
            <w:vAlign w:val="bottom"/>
          </w:tcPr>
          <w:p w14:paraId="09FAE5A3"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color w:val="000000"/>
                <w:sz w:val="16"/>
                <w:szCs w:val="16"/>
                <w:lang w:val="it-IT"/>
              </w:rPr>
              <w:t>Low value leases</w:t>
            </w:r>
          </w:p>
        </w:tc>
        <w:tc>
          <w:tcPr>
            <w:tcW w:w="1417" w:type="dxa"/>
            <w:tcMar>
              <w:top w:w="113" w:type="dxa"/>
              <w:left w:w="0" w:type="dxa"/>
              <w:bottom w:w="113" w:type="dxa"/>
              <w:right w:w="113" w:type="dxa"/>
            </w:tcMar>
            <w:vAlign w:val="bottom"/>
          </w:tcPr>
          <w:p w14:paraId="79486338"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123 </w:t>
            </w:r>
          </w:p>
        </w:tc>
        <w:tc>
          <w:tcPr>
            <w:tcW w:w="1417" w:type="dxa"/>
            <w:tcMar>
              <w:top w:w="113" w:type="dxa"/>
              <w:left w:w="0" w:type="dxa"/>
              <w:bottom w:w="113" w:type="dxa"/>
              <w:right w:w="113" w:type="dxa"/>
            </w:tcMar>
            <w:vAlign w:val="bottom"/>
          </w:tcPr>
          <w:p w14:paraId="691366B5"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136 </w:t>
            </w:r>
          </w:p>
        </w:tc>
      </w:tr>
      <w:tr w:rsidR="00C7569E" w:rsidRPr="00C7569E" w14:paraId="442F76AC" w14:textId="77777777" w:rsidTr="00A92A6C">
        <w:trPr>
          <w:trHeight w:val="240"/>
        </w:trPr>
        <w:tc>
          <w:tcPr>
            <w:tcW w:w="7257" w:type="dxa"/>
            <w:shd w:val="clear" w:color="auto" w:fill="F2F2F2" w:themeFill="background1" w:themeFillShade="F2"/>
            <w:tcMar>
              <w:top w:w="113" w:type="dxa"/>
              <w:left w:w="0" w:type="dxa"/>
              <w:bottom w:w="113" w:type="dxa"/>
              <w:right w:w="113" w:type="dxa"/>
            </w:tcMar>
            <w:vAlign w:val="bottom"/>
          </w:tcPr>
          <w:p w14:paraId="590D6B81"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it-IT"/>
              </w:rPr>
              <w:t>Total other suppliers</w:t>
            </w:r>
          </w:p>
        </w:tc>
        <w:tc>
          <w:tcPr>
            <w:tcW w:w="1417" w:type="dxa"/>
            <w:shd w:val="clear" w:color="auto" w:fill="F2F2F2" w:themeFill="background1" w:themeFillShade="F2"/>
            <w:tcMar>
              <w:top w:w="113" w:type="dxa"/>
              <w:left w:w="0" w:type="dxa"/>
              <w:bottom w:w="113" w:type="dxa"/>
              <w:right w:w="113" w:type="dxa"/>
            </w:tcMar>
            <w:vAlign w:val="bottom"/>
          </w:tcPr>
          <w:p w14:paraId="72E2138B"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162 </w:t>
            </w:r>
          </w:p>
        </w:tc>
        <w:tc>
          <w:tcPr>
            <w:tcW w:w="1417" w:type="dxa"/>
            <w:shd w:val="clear" w:color="auto" w:fill="F2F2F2" w:themeFill="background1" w:themeFillShade="F2"/>
            <w:tcMar>
              <w:top w:w="113" w:type="dxa"/>
              <w:left w:w="0" w:type="dxa"/>
              <w:bottom w:w="113" w:type="dxa"/>
              <w:right w:w="113" w:type="dxa"/>
            </w:tcMar>
            <w:vAlign w:val="bottom"/>
          </w:tcPr>
          <w:p w14:paraId="6614B9F9"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169</w:t>
            </w:r>
            <w:r w:rsidRPr="00C7569E">
              <w:rPr>
                <w:rFonts w:cs="Open Sans"/>
                <w:b/>
                <w:bCs/>
                <w:color w:val="000000"/>
                <w:sz w:val="16"/>
                <w:szCs w:val="16"/>
                <w:lang w:val="it-IT"/>
              </w:rPr>
              <w:t xml:space="preserve"> </w:t>
            </w:r>
          </w:p>
        </w:tc>
      </w:tr>
      <w:tr w:rsidR="00C7569E" w:rsidRPr="00C7569E" w14:paraId="1DE20ABF" w14:textId="77777777" w:rsidTr="00A92A6C">
        <w:trPr>
          <w:trHeight w:val="240"/>
        </w:trPr>
        <w:tc>
          <w:tcPr>
            <w:tcW w:w="7257" w:type="dxa"/>
            <w:shd w:val="clear" w:color="auto" w:fill="F2F2F2" w:themeFill="background1" w:themeFillShade="F2"/>
            <w:tcMar>
              <w:top w:w="113" w:type="dxa"/>
              <w:left w:w="0" w:type="dxa"/>
              <w:bottom w:w="113" w:type="dxa"/>
              <w:right w:w="113" w:type="dxa"/>
            </w:tcMar>
            <w:vAlign w:val="bottom"/>
          </w:tcPr>
          <w:p w14:paraId="6BE88FEE"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b/>
                <w:bCs/>
                <w:color w:val="000000"/>
                <w:sz w:val="16"/>
                <w:szCs w:val="16"/>
                <w:lang w:val="it-IT"/>
              </w:rPr>
              <w:t>Total suppliers</w:t>
            </w:r>
          </w:p>
        </w:tc>
        <w:tc>
          <w:tcPr>
            <w:tcW w:w="1417" w:type="dxa"/>
            <w:shd w:val="clear" w:color="auto" w:fill="F2F2F2" w:themeFill="background1" w:themeFillShade="F2"/>
            <w:tcMar>
              <w:top w:w="113" w:type="dxa"/>
              <w:left w:w="0" w:type="dxa"/>
              <w:bottom w:w="113" w:type="dxa"/>
              <w:right w:w="113" w:type="dxa"/>
            </w:tcMar>
            <w:vAlign w:val="bottom"/>
          </w:tcPr>
          <w:p w14:paraId="53E6896F"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8,101 </w:t>
            </w:r>
          </w:p>
        </w:tc>
        <w:tc>
          <w:tcPr>
            <w:tcW w:w="1417" w:type="dxa"/>
            <w:shd w:val="clear" w:color="auto" w:fill="F2F2F2" w:themeFill="background1" w:themeFillShade="F2"/>
            <w:tcMar>
              <w:top w:w="113" w:type="dxa"/>
              <w:left w:w="0" w:type="dxa"/>
              <w:bottom w:w="113" w:type="dxa"/>
              <w:right w:w="113" w:type="dxa"/>
            </w:tcMar>
            <w:vAlign w:val="bottom"/>
          </w:tcPr>
          <w:p w14:paraId="4E33376C" w14:textId="77777777" w:rsidR="00C7569E" w:rsidRPr="00C7569E" w:rsidRDefault="00C7569E" w:rsidP="00A4595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4,573 </w:t>
            </w:r>
          </w:p>
        </w:tc>
      </w:tr>
    </w:tbl>
    <w:p w14:paraId="03C2F311" w14:textId="77777777" w:rsidR="00C7569E" w:rsidRPr="00C7569E" w:rsidRDefault="00C7569E" w:rsidP="00C7569E">
      <w:pPr>
        <w:keepLines/>
        <w:suppressAutoHyphens/>
        <w:autoSpaceDE w:val="0"/>
        <w:autoSpaceDN w:val="0"/>
        <w:adjustRightInd w:val="0"/>
        <w:spacing w:before="0"/>
        <w:textAlignment w:val="center"/>
        <w:rPr>
          <w:rFonts w:cs="Open Sans"/>
          <w:color w:val="000000"/>
          <w:sz w:val="20"/>
          <w:szCs w:val="20"/>
          <w:lang w:val="en-US"/>
        </w:rPr>
      </w:pPr>
    </w:p>
    <w:p w14:paraId="68F3970F"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4"/>
          <w:szCs w:val="14"/>
          <w:lang w:val="en-US"/>
        </w:rPr>
      </w:pPr>
      <w:r w:rsidRPr="00C7569E">
        <w:rPr>
          <w:rFonts w:cs="Open Sans"/>
          <w:color w:val="000000"/>
          <w:sz w:val="14"/>
          <w:szCs w:val="14"/>
          <w:lang w:val="en-US"/>
        </w:rPr>
        <w:t>1. 2022-23 balances are abnormally high due to increased costs associated with hosting the Women’s Voices Summit in Canberra in May 2023.</w:t>
      </w:r>
    </w:p>
    <w:p w14:paraId="63F70A04" w14:textId="77777777" w:rsidR="00C7569E" w:rsidRPr="00C7569E" w:rsidRDefault="00C7569E" w:rsidP="00C7569E">
      <w:pPr>
        <w:keepNext/>
        <w:keepLines/>
        <w:suppressAutoHyphens/>
        <w:autoSpaceDE w:val="0"/>
        <w:autoSpaceDN w:val="0"/>
        <w:adjustRightInd w:val="0"/>
        <w:spacing w:before="0" w:after="0"/>
        <w:ind w:left="397" w:hanging="397"/>
        <w:textAlignment w:val="center"/>
        <w:rPr>
          <w:rFonts w:cs="Open Sans"/>
          <w:color w:val="000000"/>
          <w:sz w:val="14"/>
          <w:szCs w:val="14"/>
          <w:lang w:val="en-US"/>
        </w:rPr>
      </w:pPr>
      <w:r w:rsidRPr="00C7569E">
        <w:rPr>
          <w:rFonts w:cs="Open Sans"/>
          <w:color w:val="000000"/>
          <w:sz w:val="14"/>
          <w:szCs w:val="14"/>
          <w:lang w:val="en-US"/>
        </w:rPr>
        <w:t>The above lease disclosures should be read in conjunction with the accompanying notes 1.1C, 1.1D, 1.2A and 2.4A.</w:t>
      </w:r>
    </w:p>
    <w:p w14:paraId="1748270E"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113"/>
        <w:textAlignment w:val="center"/>
        <w:rPr>
          <w:rFonts w:cs="Open Sans"/>
          <w:color w:val="000000"/>
          <w:sz w:val="16"/>
          <w:szCs w:val="16"/>
          <w:lang w:val="en-US"/>
        </w:rPr>
      </w:pPr>
    </w:p>
    <w:p w14:paraId="464AABD9"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113"/>
        <w:textAlignment w:val="center"/>
        <w:rPr>
          <w:rFonts w:cs="Open Sans"/>
          <w:b/>
          <w:bCs/>
          <w:color w:val="000000"/>
          <w:sz w:val="16"/>
          <w:szCs w:val="16"/>
          <w:lang w:val="en-US"/>
        </w:rPr>
      </w:pPr>
      <w:r w:rsidRPr="00C7569E">
        <w:rPr>
          <w:rFonts w:cs="Open Sans"/>
          <w:b/>
          <w:bCs/>
          <w:color w:val="000000"/>
          <w:sz w:val="16"/>
          <w:szCs w:val="16"/>
          <w:lang w:val="en-US"/>
        </w:rPr>
        <w:t>Accounting Policy</w:t>
      </w:r>
    </w:p>
    <w:p w14:paraId="39AF7E1F"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113"/>
        <w:textAlignment w:val="center"/>
        <w:rPr>
          <w:rFonts w:cs="Open Sans"/>
          <w:i/>
          <w:iCs/>
          <w:color w:val="000000"/>
          <w:sz w:val="16"/>
          <w:szCs w:val="16"/>
          <w:lang w:val="en-US"/>
        </w:rPr>
      </w:pPr>
      <w:r w:rsidRPr="00C7569E">
        <w:rPr>
          <w:rFonts w:cs="Open Sans"/>
          <w:i/>
          <w:iCs/>
          <w:color w:val="000000"/>
          <w:sz w:val="16"/>
          <w:szCs w:val="16"/>
          <w:lang w:val="en-US"/>
        </w:rPr>
        <w:t>Short-term leases and leases of low-value assets</w:t>
      </w:r>
    </w:p>
    <w:p w14:paraId="4679F30C" w14:textId="10066769" w:rsidR="00C7569E" w:rsidRPr="00C7569E" w:rsidRDefault="00C7569E" w:rsidP="00C7569E">
      <w:pPr>
        <w:keepLines/>
        <w:tabs>
          <w:tab w:val="right" w:pos="6240"/>
          <w:tab w:val="right" w:pos="7280"/>
          <w:tab w:val="right" w:pos="8300"/>
        </w:tabs>
        <w:suppressAutoHyphens/>
        <w:autoSpaceDE w:val="0"/>
        <w:autoSpaceDN w:val="0"/>
        <w:adjustRightInd w:val="0"/>
        <w:spacing w:before="0" w:after="283"/>
        <w:textAlignment w:val="center"/>
        <w:rPr>
          <w:rFonts w:cs="Open Sans"/>
          <w:color w:val="000000"/>
          <w:sz w:val="16"/>
          <w:szCs w:val="16"/>
          <w:lang w:val="en-US"/>
        </w:rPr>
      </w:pPr>
      <w:r w:rsidRPr="00C7569E">
        <w:rPr>
          <w:rFonts w:cs="Open Sans"/>
          <w:color w:val="000000"/>
          <w:sz w:val="16"/>
          <w:szCs w:val="16"/>
          <w:lang w:val="en-US"/>
        </w:rPr>
        <w:t>The Commission has elected not to recognise right-of-use assets and lease liabilities for short-term leases of assets that have a lease term of 12 months or less and leases of low-value assets (less than $10,000). The Commission recognises the lease payments associated with these leases as an expense on a straight-line basis over the lease term.</w:t>
      </w:r>
    </w:p>
    <w:tbl>
      <w:tblPr>
        <w:tblW w:w="0" w:type="auto"/>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7257"/>
        <w:gridCol w:w="1417"/>
        <w:gridCol w:w="1417"/>
      </w:tblGrid>
      <w:tr w:rsidR="00A92A6C" w:rsidRPr="00A92A6C" w14:paraId="617B9E21" w14:textId="77777777" w:rsidTr="00A92A6C">
        <w:trPr>
          <w:trHeight w:val="240"/>
          <w:tblHeader/>
        </w:trPr>
        <w:tc>
          <w:tcPr>
            <w:tcW w:w="7257" w:type="dxa"/>
            <w:shd w:val="clear" w:color="auto" w:fill="1CBDC9"/>
            <w:tcMar>
              <w:top w:w="85" w:type="dxa"/>
              <w:left w:w="113" w:type="dxa"/>
              <w:bottom w:w="113" w:type="dxa"/>
              <w:right w:w="113" w:type="dxa"/>
            </w:tcMar>
            <w:vAlign w:val="bottom"/>
          </w:tcPr>
          <w:p w14:paraId="6560B043" w14:textId="77777777" w:rsidR="00C7569E" w:rsidRPr="00C7569E" w:rsidRDefault="00C7569E" w:rsidP="00C7569E">
            <w:pPr>
              <w:autoSpaceDE w:val="0"/>
              <w:autoSpaceDN w:val="0"/>
              <w:adjustRightInd w:val="0"/>
              <w:spacing w:before="0" w:after="0" w:line="240" w:lineRule="auto"/>
              <w:rPr>
                <w:rFonts w:ascii="Open Sans Semibold" w:hAnsi="Open Sans Semibold"/>
                <w:color w:val="FFFFFF" w:themeColor="background1"/>
                <w:sz w:val="20"/>
                <w:szCs w:val="20"/>
                <w:lang w:val="en-US"/>
              </w:rPr>
            </w:pPr>
          </w:p>
        </w:tc>
        <w:tc>
          <w:tcPr>
            <w:tcW w:w="1417" w:type="dxa"/>
            <w:shd w:val="clear" w:color="auto" w:fill="1CBDC9"/>
            <w:tcMar>
              <w:top w:w="85" w:type="dxa"/>
              <w:left w:w="113" w:type="dxa"/>
              <w:bottom w:w="113" w:type="dxa"/>
              <w:right w:w="113" w:type="dxa"/>
            </w:tcMar>
            <w:vAlign w:val="bottom"/>
          </w:tcPr>
          <w:p w14:paraId="4956F12D"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C7569E">
              <w:rPr>
                <w:rFonts w:ascii="Open Sans Condensed" w:hAnsi="Open Sans Condensed" w:cs="Open Sans Condensed"/>
                <w:b/>
                <w:bCs/>
                <w:color w:val="FFFFFF" w:themeColor="background1"/>
                <w:sz w:val="20"/>
                <w:szCs w:val="20"/>
                <w:lang w:val="en-US"/>
              </w:rPr>
              <w:t>2023</w:t>
            </w:r>
          </w:p>
          <w:p w14:paraId="276F2856"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C7569E">
              <w:rPr>
                <w:rFonts w:ascii="Open Sans Condensed" w:hAnsi="Open Sans Condensed" w:cs="Open Sans Condensed"/>
                <w:b/>
                <w:bCs/>
                <w:color w:val="FFFFFF" w:themeColor="background1"/>
                <w:sz w:val="20"/>
                <w:szCs w:val="20"/>
                <w:lang w:val="en-US"/>
              </w:rPr>
              <w:t>$’000</w:t>
            </w:r>
          </w:p>
        </w:tc>
        <w:tc>
          <w:tcPr>
            <w:tcW w:w="1417" w:type="dxa"/>
            <w:shd w:val="clear" w:color="auto" w:fill="1CBDC9"/>
            <w:tcMar>
              <w:top w:w="85" w:type="dxa"/>
              <w:left w:w="113" w:type="dxa"/>
              <w:bottom w:w="113" w:type="dxa"/>
              <w:right w:w="113" w:type="dxa"/>
            </w:tcMar>
            <w:vAlign w:val="bottom"/>
          </w:tcPr>
          <w:p w14:paraId="6E6B2EAD"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Light" w:hAnsi="Open Sans Condensed Light" w:cs="Open Sans Condensed Light"/>
                <w:color w:val="FFFFFF" w:themeColor="background1"/>
                <w:sz w:val="20"/>
                <w:szCs w:val="20"/>
                <w:lang w:val="en-US"/>
              </w:rPr>
            </w:pPr>
            <w:r w:rsidRPr="00C7569E">
              <w:rPr>
                <w:rFonts w:ascii="Open Sans Condensed Light" w:hAnsi="Open Sans Condensed Light" w:cs="Open Sans Condensed Light"/>
                <w:color w:val="FFFFFF" w:themeColor="background1"/>
                <w:sz w:val="20"/>
                <w:szCs w:val="20"/>
                <w:lang w:val="en-US"/>
              </w:rPr>
              <w:t>2022</w:t>
            </w:r>
          </w:p>
          <w:p w14:paraId="20EA8EF9" w14:textId="77777777" w:rsidR="00C7569E" w:rsidRPr="00C7569E" w:rsidRDefault="00C7569E" w:rsidP="00C7569E">
            <w:pPr>
              <w:keepLines/>
              <w:tabs>
                <w:tab w:val="right" w:pos="6240"/>
                <w:tab w:val="right" w:pos="7280"/>
                <w:tab w:val="right" w:pos="8300"/>
              </w:tabs>
              <w:suppressAutoHyphens/>
              <w:autoSpaceDE w:val="0"/>
              <w:autoSpaceDN w:val="0"/>
              <w:adjustRightInd w:val="0"/>
              <w:spacing w:before="0" w:after="0" w:line="180" w:lineRule="atLeast"/>
              <w:jc w:val="right"/>
              <w:textAlignment w:val="center"/>
              <w:rPr>
                <w:rFonts w:ascii="Open Sans Condensed" w:hAnsi="Open Sans Condensed" w:cs="Open Sans Condensed"/>
                <w:b/>
                <w:bCs/>
                <w:color w:val="FFFFFF" w:themeColor="background1"/>
                <w:sz w:val="20"/>
                <w:szCs w:val="20"/>
                <w:lang w:val="en-US"/>
              </w:rPr>
            </w:pPr>
            <w:r w:rsidRPr="00C7569E">
              <w:rPr>
                <w:rFonts w:ascii="Open Sans Condensed Light" w:hAnsi="Open Sans Condensed Light" w:cs="Open Sans Condensed Light"/>
                <w:color w:val="FFFFFF" w:themeColor="background1"/>
                <w:sz w:val="20"/>
                <w:szCs w:val="20"/>
                <w:lang w:val="en-US"/>
              </w:rPr>
              <w:t>$’000</w:t>
            </w:r>
          </w:p>
        </w:tc>
      </w:tr>
      <w:tr w:rsidR="00C7569E" w:rsidRPr="00C7569E" w14:paraId="01BB407D" w14:textId="77777777" w:rsidTr="00C7569E">
        <w:trPr>
          <w:trHeight w:val="240"/>
        </w:trPr>
        <w:tc>
          <w:tcPr>
            <w:tcW w:w="7257" w:type="dxa"/>
            <w:tcMar>
              <w:top w:w="28" w:type="dxa"/>
              <w:left w:w="0" w:type="dxa"/>
              <w:bottom w:w="57" w:type="dxa"/>
              <w:right w:w="113" w:type="dxa"/>
            </w:tcMar>
            <w:vAlign w:val="bottom"/>
          </w:tcPr>
          <w:p w14:paraId="5E6E3041" w14:textId="77777777" w:rsidR="00C7569E" w:rsidRPr="00C7569E" w:rsidRDefault="00C7569E" w:rsidP="00E8256E">
            <w:pPr>
              <w:pStyle w:val="FSBlueHeadingBold"/>
            </w:pPr>
            <w:r w:rsidRPr="00C7569E">
              <w:t>1.1C: Finance costs</w:t>
            </w:r>
          </w:p>
        </w:tc>
        <w:tc>
          <w:tcPr>
            <w:tcW w:w="1417" w:type="dxa"/>
            <w:tcMar>
              <w:top w:w="28" w:type="dxa"/>
              <w:left w:w="0" w:type="dxa"/>
              <w:bottom w:w="57" w:type="dxa"/>
              <w:right w:w="113" w:type="dxa"/>
            </w:tcMar>
            <w:vAlign w:val="bottom"/>
          </w:tcPr>
          <w:p w14:paraId="443E0667" w14:textId="77777777" w:rsidR="00C7569E" w:rsidRPr="00C7569E" w:rsidRDefault="00C7569E" w:rsidP="00A92A6C">
            <w:pPr>
              <w:autoSpaceDE w:val="0"/>
              <w:autoSpaceDN w:val="0"/>
              <w:adjustRightInd w:val="0"/>
              <w:spacing w:before="120" w:after="0" w:line="240" w:lineRule="auto"/>
              <w:rPr>
                <w:rFonts w:ascii="Open Sans Semibold" w:hAnsi="Open Sans Semibold"/>
                <w:sz w:val="16"/>
                <w:szCs w:val="16"/>
                <w:lang w:val="it-IT"/>
              </w:rPr>
            </w:pPr>
          </w:p>
        </w:tc>
        <w:tc>
          <w:tcPr>
            <w:tcW w:w="1417" w:type="dxa"/>
            <w:tcMar>
              <w:top w:w="28" w:type="dxa"/>
              <w:left w:w="0" w:type="dxa"/>
              <w:bottom w:w="57" w:type="dxa"/>
              <w:right w:w="113" w:type="dxa"/>
            </w:tcMar>
            <w:vAlign w:val="bottom"/>
          </w:tcPr>
          <w:p w14:paraId="1A8880A0" w14:textId="77777777" w:rsidR="00C7569E" w:rsidRPr="00C7569E" w:rsidRDefault="00C7569E" w:rsidP="00A92A6C">
            <w:pPr>
              <w:autoSpaceDE w:val="0"/>
              <w:autoSpaceDN w:val="0"/>
              <w:adjustRightInd w:val="0"/>
              <w:spacing w:before="120" w:after="0" w:line="240" w:lineRule="auto"/>
              <w:rPr>
                <w:rFonts w:ascii="Open Sans Semibold" w:hAnsi="Open Sans Semibold"/>
                <w:sz w:val="16"/>
                <w:szCs w:val="16"/>
                <w:lang w:val="it-IT"/>
              </w:rPr>
            </w:pPr>
          </w:p>
        </w:tc>
      </w:tr>
      <w:tr w:rsidR="00C7569E" w:rsidRPr="00C7569E" w14:paraId="53839CC5" w14:textId="77777777" w:rsidTr="00C7569E">
        <w:trPr>
          <w:trHeight w:val="260"/>
        </w:trPr>
        <w:tc>
          <w:tcPr>
            <w:tcW w:w="7257" w:type="dxa"/>
            <w:tcMar>
              <w:top w:w="113" w:type="dxa"/>
              <w:left w:w="0" w:type="dxa"/>
              <w:bottom w:w="113" w:type="dxa"/>
              <w:right w:w="113" w:type="dxa"/>
            </w:tcMar>
            <w:vAlign w:val="bottom"/>
          </w:tcPr>
          <w:p w14:paraId="07A59E08" w14:textId="77777777" w:rsidR="00C7569E" w:rsidRPr="00C7569E" w:rsidRDefault="00C7569E" w:rsidP="00A92A6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color w:val="000000"/>
                <w:sz w:val="16"/>
                <w:szCs w:val="16"/>
                <w:lang w:val="it-IT"/>
              </w:rPr>
              <w:t>Interest on lease liabilities</w:t>
            </w:r>
          </w:p>
        </w:tc>
        <w:tc>
          <w:tcPr>
            <w:tcW w:w="1417" w:type="dxa"/>
            <w:tcMar>
              <w:top w:w="113" w:type="dxa"/>
              <w:left w:w="0" w:type="dxa"/>
              <w:bottom w:w="113" w:type="dxa"/>
              <w:right w:w="113" w:type="dxa"/>
            </w:tcMar>
            <w:vAlign w:val="bottom"/>
          </w:tcPr>
          <w:p w14:paraId="77AC493C" w14:textId="77777777" w:rsidR="00C7569E" w:rsidRPr="00C7569E" w:rsidRDefault="00C7569E" w:rsidP="00A92A6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7 </w:t>
            </w:r>
          </w:p>
        </w:tc>
        <w:tc>
          <w:tcPr>
            <w:tcW w:w="1417" w:type="dxa"/>
            <w:tcMar>
              <w:top w:w="113" w:type="dxa"/>
              <w:left w:w="0" w:type="dxa"/>
              <w:bottom w:w="113" w:type="dxa"/>
              <w:right w:w="113" w:type="dxa"/>
            </w:tcMar>
            <w:vAlign w:val="bottom"/>
          </w:tcPr>
          <w:p w14:paraId="278279B3" w14:textId="77777777" w:rsidR="00C7569E" w:rsidRPr="00C7569E" w:rsidRDefault="00C7569E" w:rsidP="00A92A6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12 </w:t>
            </w:r>
          </w:p>
        </w:tc>
      </w:tr>
      <w:tr w:rsidR="00C7569E" w:rsidRPr="00C7569E" w14:paraId="7CF571B7" w14:textId="77777777" w:rsidTr="00A92A6C">
        <w:trPr>
          <w:trHeight w:val="240"/>
        </w:trPr>
        <w:tc>
          <w:tcPr>
            <w:tcW w:w="7257" w:type="dxa"/>
            <w:shd w:val="clear" w:color="auto" w:fill="F2F2F2" w:themeFill="background1" w:themeFillShade="F2"/>
            <w:tcMar>
              <w:top w:w="113" w:type="dxa"/>
              <w:left w:w="0" w:type="dxa"/>
              <w:bottom w:w="113" w:type="dxa"/>
              <w:right w:w="113" w:type="dxa"/>
            </w:tcMar>
            <w:vAlign w:val="bottom"/>
          </w:tcPr>
          <w:p w14:paraId="7B221C1C" w14:textId="77777777" w:rsidR="00C7569E" w:rsidRPr="00C7569E" w:rsidRDefault="00C7569E" w:rsidP="00A92A6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000000"/>
                <w:sz w:val="16"/>
                <w:szCs w:val="16"/>
                <w:lang w:val="en-US"/>
              </w:rPr>
            </w:pPr>
            <w:r w:rsidRPr="00C7569E">
              <w:rPr>
                <w:rFonts w:cs="Open Sans"/>
                <w:b/>
                <w:bCs/>
                <w:color w:val="000000"/>
                <w:sz w:val="16"/>
                <w:szCs w:val="16"/>
                <w:lang w:val="en-US"/>
              </w:rPr>
              <w:t>Total finance costs</w:t>
            </w:r>
          </w:p>
        </w:tc>
        <w:tc>
          <w:tcPr>
            <w:tcW w:w="1417" w:type="dxa"/>
            <w:shd w:val="clear" w:color="auto" w:fill="F2F2F2" w:themeFill="background1" w:themeFillShade="F2"/>
            <w:tcMar>
              <w:top w:w="113" w:type="dxa"/>
              <w:left w:w="0" w:type="dxa"/>
              <w:bottom w:w="113" w:type="dxa"/>
              <w:right w:w="113" w:type="dxa"/>
            </w:tcMar>
            <w:vAlign w:val="bottom"/>
          </w:tcPr>
          <w:p w14:paraId="669D699D" w14:textId="77777777" w:rsidR="00C7569E" w:rsidRPr="00C7569E" w:rsidRDefault="00C7569E" w:rsidP="00A92A6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b/>
                <w:bCs/>
                <w:color w:val="000000"/>
                <w:sz w:val="16"/>
                <w:szCs w:val="16"/>
                <w:lang w:val="it-IT"/>
              </w:rPr>
              <w:t xml:space="preserve">7 </w:t>
            </w:r>
          </w:p>
        </w:tc>
        <w:tc>
          <w:tcPr>
            <w:tcW w:w="1417" w:type="dxa"/>
            <w:shd w:val="clear" w:color="auto" w:fill="F2F2F2" w:themeFill="background1" w:themeFillShade="F2"/>
            <w:tcMar>
              <w:top w:w="113" w:type="dxa"/>
              <w:left w:w="0" w:type="dxa"/>
              <w:bottom w:w="113" w:type="dxa"/>
              <w:right w:w="113" w:type="dxa"/>
            </w:tcMar>
            <w:vAlign w:val="bottom"/>
          </w:tcPr>
          <w:p w14:paraId="3FE98739" w14:textId="77777777" w:rsidR="00C7569E" w:rsidRPr="00C7569E" w:rsidRDefault="00C7569E" w:rsidP="00A92A6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it-IT"/>
              </w:rPr>
              <w:t xml:space="preserve">12 </w:t>
            </w:r>
          </w:p>
        </w:tc>
      </w:tr>
      <w:tr w:rsidR="00C7569E" w:rsidRPr="00C7569E" w14:paraId="6A976374" w14:textId="77777777" w:rsidTr="00C7569E">
        <w:trPr>
          <w:trHeight w:hRule="exact" w:val="566"/>
        </w:trPr>
        <w:tc>
          <w:tcPr>
            <w:tcW w:w="7257" w:type="dxa"/>
            <w:tcMar>
              <w:top w:w="28" w:type="dxa"/>
              <w:left w:w="0" w:type="dxa"/>
              <w:bottom w:w="57" w:type="dxa"/>
              <w:right w:w="113" w:type="dxa"/>
            </w:tcMar>
            <w:vAlign w:val="bottom"/>
          </w:tcPr>
          <w:p w14:paraId="6F187BC7" w14:textId="77777777" w:rsidR="00C7569E" w:rsidRPr="00C7569E" w:rsidRDefault="00C7569E" w:rsidP="00A92A6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color w:val="000000"/>
                <w:sz w:val="16"/>
                <w:szCs w:val="16"/>
                <w:lang w:val="en-US"/>
              </w:rPr>
              <w:t>The above lease disclosures should be read in conjunction with the accompanying notes 1.1C, 1.1D, 1.2A and 2.4A.</w:t>
            </w:r>
          </w:p>
        </w:tc>
        <w:tc>
          <w:tcPr>
            <w:tcW w:w="1417" w:type="dxa"/>
            <w:tcMar>
              <w:top w:w="28" w:type="dxa"/>
              <w:left w:w="0" w:type="dxa"/>
              <w:bottom w:w="57" w:type="dxa"/>
              <w:right w:w="113" w:type="dxa"/>
            </w:tcMar>
            <w:vAlign w:val="bottom"/>
          </w:tcPr>
          <w:p w14:paraId="19517CB4" w14:textId="77777777" w:rsidR="00C7569E" w:rsidRPr="00C7569E" w:rsidRDefault="00C7569E" w:rsidP="00A92A6C">
            <w:pPr>
              <w:autoSpaceDE w:val="0"/>
              <w:autoSpaceDN w:val="0"/>
              <w:adjustRightInd w:val="0"/>
              <w:spacing w:before="0" w:after="0" w:line="240" w:lineRule="auto"/>
              <w:rPr>
                <w:rFonts w:ascii="Open Sans Semibold" w:hAnsi="Open Sans Semibold"/>
                <w:sz w:val="16"/>
                <w:szCs w:val="16"/>
                <w:lang w:val="en-US"/>
              </w:rPr>
            </w:pPr>
          </w:p>
        </w:tc>
        <w:tc>
          <w:tcPr>
            <w:tcW w:w="1417" w:type="dxa"/>
            <w:tcMar>
              <w:top w:w="28" w:type="dxa"/>
              <w:left w:w="0" w:type="dxa"/>
              <w:bottom w:w="57" w:type="dxa"/>
              <w:right w:w="113" w:type="dxa"/>
            </w:tcMar>
            <w:vAlign w:val="bottom"/>
          </w:tcPr>
          <w:p w14:paraId="6629BF29" w14:textId="77777777" w:rsidR="00C7569E" w:rsidRPr="00C7569E" w:rsidRDefault="00C7569E" w:rsidP="00A92A6C">
            <w:pPr>
              <w:autoSpaceDE w:val="0"/>
              <w:autoSpaceDN w:val="0"/>
              <w:adjustRightInd w:val="0"/>
              <w:spacing w:before="0" w:after="0" w:line="240" w:lineRule="auto"/>
              <w:rPr>
                <w:rFonts w:ascii="Open Sans Semibold" w:hAnsi="Open Sans Semibold"/>
                <w:sz w:val="16"/>
                <w:szCs w:val="16"/>
                <w:lang w:val="en-US"/>
              </w:rPr>
            </w:pPr>
          </w:p>
        </w:tc>
      </w:tr>
      <w:tr w:rsidR="00C7569E" w:rsidRPr="00C7569E" w14:paraId="5C3116AB" w14:textId="77777777" w:rsidTr="00C7569E">
        <w:trPr>
          <w:trHeight w:hRule="exact" w:val="453"/>
        </w:trPr>
        <w:tc>
          <w:tcPr>
            <w:tcW w:w="7257" w:type="dxa"/>
            <w:tcMar>
              <w:top w:w="28" w:type="dxa"/>
              <w:left w:w="0" w:type="dxa"/>
              <w:bottom w:w="57" w:type="dxa"/>
              <w:right w:w="113" w:type="dxa"/>
            </w:tcMar>
            <w:vAlign w:val="bottom"/>
          </w:tcPr>
          <w:p w14:paraId="4CCF57FE" w14:textId="77777777" w:rsidR="00C7569E" w:rsidRPr="00C7569E" w:rsidRDefault="00C7569E" w:rsidP="00A92A6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000000"/>
                <w:sz w:val="16"/>
                <w:szCs w:val="16"/>
                <w:lang w:val="en-US"/>
              </w:rPr>
            </w:pPr>
            <w:r w:rsidRPr="00C7569E">
              <w:rPr>
                <w:rFonts w:cs="Open Sans"/>
                <w:b/>
                <w:bCs/>
                <w:color w:val="000000"/>
                <w:sz w:val="16"/>
                <w:szCs w:val="16"/>
                <w:lang w:val="en-US"/>
              </w:rPr>
              <w:t>Accounting Policy</w:t>
            </w:r>
          </w:p>
        </w:tc>
        <w:tc>
          <w:tcPr>
            <w:tcW w:w="1417" w:type="dxa"/>
            <w:tcMar>
              <w:top w:w="28" w:type="dxa"/>
              <w:left w:w="0" w:type="dxa"/>
              <w:bottom w:w="57" w:type="dxa"/>
              <w:right w:w="113" w:type="dxa"/>
            </w:tcMar>
            <w:vAlign w:val="bottom"/>
          </w:tcPr>
          <w:p w14:paraId="496F98F8" w14:textId="77777777" w:rsidR="00C7569E" w:rsidRPr="00C7569E" w:rsidRDefault="00C7569E" w:rsidP="00A92A6C">
            <w:pPr>
              <w:autoSpaceDE w:val="0"/>
              <w:autoSpaceDN w:val="0"/>
              <w:adjustRightInd w:val="0"/>
              <w:spacing w:before="0" w:after="0" w:line="240" w:lineRule="auto"/>
              <w:rPr>
                <w:rFonts w:ascii="Open Sans Semibold" w:hAnsi="Open Sans Semibold"/>
                <w:sz w:val="16"/>
                <w:szCs w:val="16"/>
                <w:lang w:val="it-IT"/>
              </w:rPr>
            </w:pPr>
          </w:p>
        </w:tc>
        <w:tc>
          <w:tcPr>
            <w:tcW w:w="1417" w:type="dxa"/>
            <w:tcMar>
              <w:top w:w="28" w:type="dxa"/>
              <w:left w:w="0" w:type="dxa"/>
              <w:bottom w:w="57" w:type="dxa"/>
              <w:right w:w="113" w:type="dxa"/>
            </w:tcMar>
            <w:vAlign w:val="bottom"/>
          </w:tcPr>
          <w:p w14:paraId="594C38EF" w14:textId="77777777" w:rsidR="00C7569E" w:rsidRPr="00C7569E" w:rsidRDefault="00C7569E" w:rsidP="00A92A6C">
            <w:pPr>
              <w:autoSpaceDE w:val="0"/>
              <w:autoSpaceDN w:val="0"/>
              <w:adjustRightInd w:val="0"/>
              <w:spacing w:before="0" w:after="0" w:line="240" w:lineRule="auto"/>
              <w:rPr>
                <w:rFonts w:ascii="Open Sans Semibold" w:hAnsi="Open Sans Semibold"/>
                <w:sz w:val="16"/>
                <w:szCs w:val="16"/>
                <w:lang w:val="it-IT"/>
              </w:rPr>
            </w:pPr>
          </w:p>
        </w:tc>
      </w:tr>
      <w:tr w:rsidR="00C7569E" w:rsidRPr="00C7569E" w14:paraId="206A8103" w14:textId="77777777" w:rsidTr="00C7569E">
        <w:trPr>
          <w:trHeight w:val="240"/>
        </w:trPr>
        <w:tc>
          <w:tcPr>
            <w:tcW w:w="7257" w:type="dxa"/>
            <w:tcMar>
              <w:top w:w="28" w:type="dxa"/>
              <w:left w:w="0" w:type="dxa"/>
              <w:bottom w:w="57" w:type="dxa"/>
              <w:right w:w="113" w:type="dxa"/>
            </w:tcMar>
            <w:vAlign w:val="bottom"/>
          </w:tcPr>
          <w:p w14:paraId="623F82E6" w14:textId="77777777" w:rsidR="00C7569E" w:rsidRPr="00C7569E" w:rsidRDefault="00C7569E" w:rsidP="00A92A6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color w:val="000000"/>
                <w:sz w:val="16"/>
                <w:szCs w:val="16"/>
                <w:lang w:val="en-US"/>
              </w:rPr>
              <w:t>All borrowing costs are expensed as incurred.</w:t>
            </w:r>
          </w:p>
        </w:tc>
        <w:tc>
          <w:tcPr>
            <w:tcW w:w="1417" w:type="dxa"/>
            <w:tcMar>
              <w:top w:w="28" w:type="dxa"/>
              <w:left w:w="0" w:type="dxa"/>
              <w:bottom w:w="57" w:type="dxa"/>
              <w:right w:w="113" w:type="dxa"/>
            </w:tcMar>
            <w:vAlign w:val="bottom"/>
          </w:tcPr>
          <w:p w14:paraId="398D9728" w14:textId="77777777" w:rsidR="00C7569E" w:rsidRPr="00C7569E" w:rsidRDefault="00C7569E" w:rsidP="00A92A6C">
            <w:pPr>
              <w:autoSpaceDE w:val="0"/>
              <w:autoSpaceDN w:val="0"/>
              <w:adjustRightInd w:val="0"/>
              <w:spacing w:before="0" w:after="0" w:line="240" w:lineRule="auto"/>
              <w:rPr>
                <w:rFonts w:ascii="Open Sans Semibold" w:hAnsi="Open Sans Semibold"/>
                <w:sz w:val="16"/>
                <w:szCs w:val="16"/>
                <w:lang w:val="en-US"/>
              </w:rPr>
            </w:pPr>
          </w:p>
        </w:tc>
        <w:tc>
          <w:tcPr>
            <w:tcW w:w="1417" w:type="dxa"/>
            <w:tcMar>
              <w:top w:w="28" w:type="dxa"/>
              <w:left w:w="0" w:type="dxa"/>
              <w:bottom w:w="57" w:type="dxa"/>
              <w:right w:w="113" w:type="dxa"/>
            </w:tcMar>
            <w:vAlign w:val="bottom"/>
          </w:tcPr>
          <w:p w14:paraId="07ECBF10" w14:textId="77777777" w:rsidR="00C7569E" w:rsidRPr="00C7569E" w:rsidRDefault="00C7569E" w:rsidP="00A92A6C">
            <w:pPr>
              <w:autoSpaceDE w:val="0"/>
              <w:autoSpaceDN w:val="0"/>
              <w:adjustRightInd w:val="0"/>
              <w:spacing w:before="0" w:after="0" w:line="240" w:lineRule="auto"/>
              <w:rPr>
                <w:rFonts w:ascii="Open Sans Semibold" w:hAnsi="Open Sans Semibold"/>
                <w:sz w:val="16"/>
                <w:szCs w:val="16"/>
                <w:lang w:val="en-US"/>
              </w:rPr>
            </w:pPr>
          </w:p>
        </w:tc>
      </w:tr>
      <w:tr w:rsidR="00C7569E" w:rsidRPr="00C7569E" w14:paraId="2F1A8D5C" w14:textId="77777777" w:rsidTr="00C7569E">
        <w:trPr>
          <w:trHeight w:val="240"/>
        </w:trPr>
        <w:tc>
          <w:tcPr>
            <w:tcW w:w="7257" w:type="dxa"/>
            <w:tcMar>
              <w:top w:w="113" w:type="dxa"/>
              <w:left w:w="0" w:type="dxa"/>
              <w:bottom w:w="113" w:type="dxa"/>
              <w:right w:w="113" w:type="dxa"/>
            </w:tcMar>
            <w:vAlign w:val="bottom"/>
          </w:tcPr>
          <w:p w14:paraId="30E40C69" w14:textId="77777777" w:rsidR="00C7569E" w:rsidRPr="00C7569E" w:rsidRDefault="00C7569E" w:rsidP="00A92A6C">
            <w:pPr>
              <w:autoSpaceDE w:val="0"/>
              <w:autoSpaceDN w:val="0"/>
              <w:adjustRightInd w:val="0"/>
              <w:spacing w:before="0" w:after="0" w:line="240" w:lineRule="auto"/>
              <w:rPr>
                <w:rFonts w:ascii="Open Sans Semibold" w:hAnsi="Open Sans Semibold"/>
                <w:sz w:val="16"/>
                <w:szCs w:val="16"/>
                <w:lang w:val="en-US"/>
              </w:rPr>
            </w:pPr>
          </w:p>
        </w:tc>
        <w:tc>
          <w:tcPr>
            <w:tcW w:w="1417" w:type="dxa"/>
            <w:tcMar>
              <w:top w:w="113" w:type="dxa"/>
              <w:left w:w="0" w:type="dxa"/>
              <w:bottom w:w="113" w:type="dxa"/>
              <w:right w:w="113" w:type="dxa"/>
            </w:tcMar>
            <w:vAlign w:val="bottom"/>
          </w:tcPr>
          <w:p w14:paraId="37BCD417" w14:textId="77777777" w:rsidR="00C7569E" w:rsidRPr="00C7569E" w:rsidRDefault="00C7569E" w:rsidP="00A92A6C">
            <w:pPr>
              <w:autoSpaceDE w:val="0"/>
              <w:autoSpaceDN w:val="0"/>
              <w:adjustRightInd w:val="0"/>
              <w:spacing w:before="0" w:after="0" w:line="240" w:lineRule="auto"/>
              <w:rPr>
                <w:rFonts w:ascii="Open Sans Semibold" w:hAnsi="Open Sans Semibold"/>
                <w:sz w:val="16"/>
                <w:szCs w:val="16"/>
                <w:lang w:val="en-US"/>
              </w:rPr>
            </w:pPr>
          </w:p>
        </w:tc>
        <w:tc>
          <w:tcPr>
            <w:tcW w:w="1417" w:type="dxa"/>
            <w:tcMar>
              <w:top w:w="113" w:type="dxa"/>
              <w:left w:w="0" w:type="dxa"/>
              <w:bottom w:w="113" w:type="dxa"/>
              <w:right w:w="113" w:type="dxa"/>
            </w:tcMar>
            <w:vAlign w:val="bottom"/>
          </w:tcPr>
          <w:p w14:paraId="622135D1" w14:textId="77777777" w:rsidR="00C7569E" w:rsidRPr="00C7569E" w:rsidRDefault="00C7569E" w:rsidP="00A92A6C">
            <w:pPr>
              <w:autoSpaceDE w:val="0"/>
              <w:autoSpaceDN w:val="0"/>
              <w:adjustRightInd w:val="0"/>
              <w:spacing w:before="0" w:after="0" w:line="240" w:lineRule="auto"/>
              <w:rPr>
                <w:rFonts w:ascii="Open Sans Semibold" w:hAnsi="Open Sans Semibold"/>
                <w:sz w:val="16"/>
                <w:szCs w:val="16"/>
                <w:lang w:val="en-US"/>
              </w:rPr>
            </w:pPr>
          </w:p>
        </w:tc>
      </w:tr>
      <w:tr w:rsidR="00C7569E" w:rsidRPr="00C7569E" w14:paraId="5477EC3A" w14:textId="77777777" w:rsidTr="00C7569E">
        <w:trPr>
          <w:trHeight w:val="240"/>
        </w:trPr>
        <w:tc>
          <w:tcPr>
            <w:tcW w:w="7257" w:type="dxa"/>
            <w:tcMar>
              <w:top w:w="113" w:type="dxa"/>
              <w:left w:w="0" w:type="dxa"/>
              <w:bottom w:w="113" w:type="dxa"/>
              <w:right w:w="113" w:type="dxa"/>
            </w:tcMar>
            <w:vAlign w:val="bottom"/>
          </w:tcPr>
          <w:p w14:paraId="28ADD49F" w14:textId="77777777" w:rsidR="00C7569E" w:rsidRPr="00E8256E" w:rsidRDefault="00C7569E" w:rsidP="00E8256E">
            <w:pPr>
              <w:pStyle w:val="FSBlueHeadingBold"/>
            </w:pPr>
            <w:r w:rsidRPr="00E8256E">
              <w:t>1.1D: Write-down and impairment of other assets</w:t>
            </w:r>
          </w:p>
        </w:tc>
        <w:tc>
          <w:tcPr>
            <w:tcW w:w="1417" w:type="dxa"/>
            <w:tcMar>
              <w:top w:w="113" w:type="dxa"/>
              <w:left w:w="0" w:type="dxa"/>
              <w:bottom w:w="113" w:type="dxa"/>
              <w:right w:w="113" w:type="dxa"/>
            </w:tcMar>
            <w:vAlign w:val="bottom"/>
          </w:tcPr>
          <w:p w14:paraId="2FC29534" w14:textId="77777777" w:rsidR="00C7569E" w:rsidRPr="00C7569E" w:rsidRDefault="00C7569E" w:rsidP="00A92A6C">
            <w:pPr>
              <w:autoSpaceDE w:val="0"/>
              <w:autoSpaceDN w:val="0"/>
              <w:adjustRightInd w:val="0"/>
              <w:spacing w:before="0" w:after="0" w:line="240" w:lineRule="auto"/>
              <w:rPr>
                <w:rFonts w:ascii="Open Sans Semibold" w:hAnsi="Open Sans Semibold"/>
                <w:sz w:val="16"/>
                <w:szCs w:val="16"/>
                <w:lang w:val="en-US"/>
              </w:rPr>
            </w:pPr>
          </w:p>
        </w:tc>
        <w:tc>
          <w:tcPr>
            <w:tcW w:w="1417" w:type="dxa"/>
            <w:tcMar>
              <w:top w:w="113" w:type="dxa"/>
              <w:left w:w="0" w:type="dxa"/>
              <w:bottom w:w="113" w:type="dxa"/>
              <w:right w:w="113" w:type="dxa"/>
            </w:tcMar>
            <w:vAlign w:val="bottom"/>
          </w:tcPr>
          <w:p w14:paraId="56E2C3A1" w14:textId="77777777" w:rsidR="00C7569E" w:rsidRPr="00C7569E" w:rsidRDefault="00C7569E" w:rsidP="00A92A6C">
            <w:pPr>
              <w:autoSpaceDE w:val="0"/>
              <w:autoSpaceDN w:val="0"/>
              <w:adjustRightInd w:val="0"/>
              <w:spacing w:before="0" w:after="0" w:line="240" w:lineRule="auto"/>
              <w:rPr>
                <w:rFonts w:ascii="Open Sans Semibold" w:hAnsi="Open Sans Semibold"/>
                <w:sz w:val="16"/>
                <w:szCs w:val="16"/>
                <w:lang w:val="en-US"/>
              </w:rPr>
            </w:pPr>
          </w:p>
        </w:tc>
      </w:tr>
      <w:tr w:rsidR="00C7569E" w:rsidRPr="00C7569E" w14:paraId="4B6D05BF" w14:textId="77777777" w:rsidTr="00C7569E">
        <w:trPr>
          <w:trHeight w:val="240"/>
        </w:trPr>
        <w:tc>
          <w:tcPr>
            <w:tcW w:w="7257" w:type="dxa"/>
            <w:tcMar>
              <w:top w:w="113" w:type="dxa"/>
              <w:left w:w="0" w:type="dxa"/>
              <w:bottom w:w="113" w:type="dxa"/>
              <w:right w:w="113" w:type="dxa"/>
            </w:tcMar>
            <w:vAlign w:val="bottom"/>
          </w:tcPr>
          <w:p w14:paraId="17AE46C3" w14:textId="77777777" w:rsidR="00C7569E" w:rsidRPr="00C7569E" w:rsidRDefault="00C7569E" w:rsidP="00A92A6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C7569E">
              <w:rPr>
                <w:rFonts w:cs="Open Sans"/>
                <w:color w:val="000000"/>
                <w:sz w:val="16"/>
                <w:szCs w:val="16"/>
                <w:lang w:val="en-US"/>
              </w:rPr>
              <w:t>Impairment of property, plant and equipment</w:t>
            </w:r>
          </w:p>
        </w:tc>
        <w:tc>
          <w:tcPr>
            <w:tcW w:w="1417" w:type="dxa"/>
            <w:tcMar>
              <w:top w:w="113" w:type="dxa"/>
              <w:left w:w="0" w:type="dxa"/>
              <w:bottom w:w="113" w:type="dxa"/>
              <w:right w:w="113" w:type="dxa"/>
            </w:tcMar>
            <w:vAlign w:val="bottom"/>
          </w:tcPr>
          <w:p w14:paraId="13DD6A94" w14:textId="77777777" w:rsidR="00C7569E" w:rsidRPr="00C7569E" w:rsidRDefault="00C7569E" w:rsidP="00A92A6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en-US"/>
              </w:rPr>
              <w:t xml:space="preserve"> </w:t>
            </w:r>
            <w:r w:rsidRPr="00C7569E">
              <w:rPr>
                <w:rFonts w:cs="Open Sans"/>
                <w:b/>
                <w:bCs/>
                <w:color w:val="000000"/>
                <w:sz w:val="16"/>
                <w:szCs w:val="16"/>
                <w:lang w:val="en-US"/>
              </w:rPr>
              <w:t>-</w:t>
            </w:r>
          </w:p>
        </w:tc>
        <w:tc>
          <w:tcPr>
            <w:tcW w:w="1417" w:type="dxa"/>
            <w:tcMar>
              <w:top w:w="113" w:type="dxa"/>
              <w:left w:w="0" w:type="dxa"/>
              <w:bottom w:w="113" w:type="dxa"/>
              <w:right w:w="113" w:type="dxa"/>
            </w:tcMar>
            <w:vAlign w:val="bottom"/>
          </w:tcPr>
          <w:p w14:paraId="304E6B09" w14:textId="77777777" w:rsidR="00C7569E" w:rsidRPr="00C7569E" w:rsidRDefault="00C7569E" w:rsidP="00A92A6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en-US"/>
              </w:rPr>
              <w:t>8</w:t>
            </w:r>
          </w:p>
        </w:tc>
      </w:tr>
      <w:tr w:rsidR="00C7569E" w:rsidRPr="00C7569E" w14:paraId="427E8BAC" w14:textId="77777777" w:rsidTr="00A92A6C">
        <w:trPr>
          <w:trHeight w:val="240"/>
        </w:trPr>
        <w:tc>
          <w:tcPr>
            <w:tcW w:w="7257" w:type="dxa"/>
            <w:shd w:val="clear" w:color="auto" w:fill="F2F2F2" w:themeFill="background1" w:themeFillShade="F2"/>
            <w:tcMar>
              <w:top w:w="113" w:type="dxa"/>
              <w:left w:w="0" w:type="dxa"/>
              <w:bottom w:w="113" w:type="dxa"/>
              <w:right w:w="113" w:type="dxa"/>
            </w:tcMar>
            <w:vAlign w:val="bottom"/>
          </w:tcPr>
          <w:p w14:paraId="3082432F" w14:textId="77777777" w:rsidR="00C7569E" w:rsidRPr="00C7569E" w:rsidRDefault="00C7569E" w:rsidP="00A92A6C">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000000"/>
                <w:sz w:val="16"/>
                <w:szCs w:val="16"/>
                <w:lang w:val="en-US"/>
              </w:rPr>
            </w:pPr>
            <w:r w:rsidRPr="00C7569E">
              <w:rPr>
                <w:rFonts w:cs="Open Sans"/>
                <w:b/>
                <w:bCs/>
                <w:color w:val="000000"/>
                <w:sz w:val="16"/>
                <w:szCs w:val="16"/>
                <w:lang w:val="en-US"/>
              </w:rPr>
              <w:t>Total write-down and impairment of other assets</w:t>
            </w:r>
          </w:p>
        </w:tc>
        <w:tc>
          <w:tcPr>
            <w:tcW w:w="1417" w:type="dxa"/>
            <w:shd w:val="clear" w:color="auto" w:fill="F2F2F2" w:themeFill="background1" w:themeFillShade="F2"/>
            <w:tcMar>
              <w:top w:w="113" w:type="dxa"/>
              <w:left w:w="0" w:type="dxa"/>
              <w:bottom w:w="113" w:type="dxa"/>
              <w:right w:w="113" w:type="dxa"/>
            </w:tcMar>
            <w:vAlign w:val="bottom"/>
          </w:tcPr>
          <w:p w14:paraId="105830E7" w14:textId="77777777" w:rsidR="00C7569E" w:rsidRPr="00134B23" w:rsidRDefault="00C7569E" w:rsidP="00A92A6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b/>
                <w:bCs/>
                <w:color w:val="000000"/>
                <w:sz w:val="16"/>
                <w:szCs w:val="16"/>
                <w:lang w:val="en-US"/>
              </w:rPr>
            </w:pPr>
            <w:r w:rsidRPr="00C7569E">
              <w:rPr>
                <w:rFonts w:cs="Open Sans"/>
                <w:b/>
                <w:bCs/>
                <w:color w:val="000000"/>
                <w:sz w:val="16"/>
                <w:szCs w:val="16"/>
                <w:lang w:val="en-US"/>
              </w:rPr>
              <w:t xml:space="preserve"> </w:t>
            </w:r>
            <w:r w:rsidRPr="00134B23">
              <w:rPr>
                <w:rFonts w:cs="Open Sans"/>
                <w:b/>
                <w:bCs/>
                <w:color w:val="000000"/>
                <w:sz w:val="16"/>
                <w:szCs w:val="16"/>
                <w:lang w:val="en-US"/>
              </w:rPr>
              <w:t>-</w:t>
            </w:r>
          </w:p>
        </w:tc>
        <w:tc>
          <w:tcPr>
            <w:tcW w:w="1417" w:type="dxa"/>
            <w:shd w:val="clear" w:color="auto" w:fill="F2F2F2" w:themeFill="background1" w:themeFillShade="F2"/>
            <w:tcMar>
              <w:top w:w="113" w:type="dxa"/>
              <w:left w:w="0" w:type="dxa"/>
              <w:bottom w:w="113" w:type="dxa"/>
              <w:right w:w="113" w:type="dxa"/>
            </w:tcMar>
            <w:vAlign w:val="bottom"/>
          </w:tcPr>
          <w:p w14:paraId="2258C4B1" w14:textId="77777777" w:rsidR="00C7569E" w:rsidRPr="00C7569E" w:rsidRDefault="00C7569E" w:rsidP="00A92A6C">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C7569E">
              <w:rPr>
                <w:rFonts w:cs="Open Sans"/>
                <w:color w:val="000000"/>
                <w:sz w:val="16"/>
                <w:szCs w:val="16"/>
                <w:lang w:val="en-US"/>
              </w:rPr>
              <w:t>8</w:t>
            </w:r>
          </w:p>
        </w:tc>
      </w:tr>
    </w:tbl>
    <w:p w14:paraId="0BC1295E" w14:textId="77777777" w:rsidR="00C7569E" w:rsidRPr="00C7569E" w:rsidRDefault="00C7569E" w:rsidP="00C7569E">
      <w:pPr>
        <w:rPr>
          <w:lang w:val="en-US"/>
        </w:rPr>
      </w:pPr>
    </w:p>
    <w:p w14:paraId="5B0CB919" w14:textId="77777777" w:rsidR="00F47023" w:rsidRDefault="00F47023" w:rsidP="00F47023">
      <w:pPr>
        <w:pStyle w:val="Heading2-Tutti"/>
        <w:spacing w:after="113"/>
      </w:pPr>
      <w:r>
        <w:t>1.2 Own-Source Revenue and Gains</w:t>
      </w:r>
    </w:p>
    <w:tbl>
      <w:tblPr>
        <w:tblW w:w="0" w:type="auto"/>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7257"/>
        <w:gridCol w:w="1417"/>
        <w:gridCol w:w="1417"/>
      </w:tblGrid>
      <w:tr w:rsidR="00F47023" w:rsidRPr="00F47023" w14:paraId="525CEE2F" w14:textId="77777777" w:rsidTr="00F47023">
        <w:trPr>
          <w:trHeight w:val="255"/>
        </w:trPr>
        <w:tc>
          <w:tcPr>
            <w:tcW w:w="7257" w:type="dxa"/>
            <w:shd w:val="clear" w:color="auto" w:fill="1CBDC9"/>
            <w:tcMar>
              <w:top w:w="85" w:type="dxa"/>
              <w:left w:w="113" w:type="dxa"/>
              <w:bottom w:w="113" w:type="dxa"/>
              <w:right w:w="113" w:type="dxa"/>
            </w:tcMar>
            <w:vAlign w:val="bottom"/>
          </w:tcPr>
          <w:p w14:paraId="1225D15F" w14:textId="77777777" w:rsidR="00F47023" w:rsidRPr="005432C6" w:rsidRDefault="00F47023">
            <w:pPr>
              <w:pStyle w:val="Nessunostileparagrafo"/>
              <w:spacing w:line="240" w:lineRule="auto"/>
              <w:textAlignment w:val="auto"/>
              <w:rPr>
                <w:rFonts w:ascii="Open Sans Semibold" w:hAnsi="Open Sans Semibold" w:cs="Times New Roman"/>
                <w:color w:val="FFFFFF" w:themeColor="background1"/>
                <w:sz w:val="20"/>
                <w:szCs w:val="20"/>
              </w:rPr>
            </w:pPr>
          </w:p>
        </w:tc>
        <w:tc>
          <w:tcPr>
            <w:tcW w:w="1417" w:type="dxa"/>
            <w:shd w:val="clear" w:color="auto" w:fill="1CBDC9"/>
            <w:tcMar>
              <w:top w:w="85" w:type="dxa"/>
              <w:left w:w="113" w:type="dxa"/>
              <w:bottom w:w="113" w:type="dxa"/>
              <w:right w:w="113" w:type="dxa"/>
            </w:tcMar>
            <w:vAlign w:val="bottom"/>
          </w:tcPr>
          <w:p w14:paraId="4FDDE275" w14:textId="77777777" w:rsidR="00F47023" w:rsidRPr="00F47023" w:rsidRDefault="00F47023">
            <w:pPr>
              <w:pStyle w:val="FSHeaderRow"/>
              <w:rPr>
                <w:color w:val="FFFFFF" w:themeColor="background1"/>
                <w:sz w:val="20"/>
                <w:szCs w:val="20"/>
              </w:rPr>
            </w:pPr>
            <w:r w:rsidRPr="00F47023">
              <w:rPr>
                <w:color w:val="FFFFFF" w:themeColor="background1"/>
                <w:sz w:val="20"/>
                <w:szCs w:val="20"/>
              </w:rPr>
              <w:t>2023</w:t>
            </w:r>
          </w:p>
          <w:p w14:paraId="0E457E25" w14:textId="77777777" w:rsidR="00F47023" w:rsidRPr="00F47023" w:rsidRDefault="00F47023">
            <w:pPr>
              <w:pStyle w:val="FSHeaderRow"/>
              <w:rPr>
                <w:color w:val="FFFFFF" w:themeColor="background1"/>
                <w:sz w:val="20"/>
                <w:szCs w:val="20"/>
              </w:rPr>
            </w:pPr>
            <w:r w:rsidRPr="00F47023">
              <w:rPr>
                <w:color w:val="FFFFFF" w:themeColor="background1"/>
                <w:sz w:val="20"/>
                <w:szCs w:val="20"/>
              </w:rPr>
              <w:t>$’000</w:t>
            </w:r>
          </w:p>
        </w:tc>
        <w:tc>
          <w:tcPr>
            <w:tcW w:w="1417" w:type="dxa"/>
            <w:shd w:val="clear" w:color="auto" w:fill="1CBDC9"/>
            <w:tcMar>
              <w:top w:w="85" w:type="dxa"/>
              <w:left w:w="113" w:type="dxa"/>
              <w:bottom w:w="113" w:type="dxa"/>
              <w:right w:w="113" w:type="dxa"/>
            </w:tcMar>
            <w:vAlign w:val="bottom"/>
          </w:tcPr>
          <w:p w14:paraId="1B050A8A" w14:textId="77777777" w:rsidR="00F47023" w:rsidRPr="00F47023" w:rsidRDefault="00F47023">
            <w:pPr>
              <w:pStyle w:val="FSHeaderRow"/>
              <w:rPr>
                <w:rStyle w:val="FSUnboldCond"/>
                <w:b w:val="0"/>
                <w:bCs w:val="0"/>
                <w:color w:val="FFFFFF" w:themeColor="background1"/>
                <w:sz w:val="20"/>
                <w:szCs w:val="20"/>
              </w:rPr>
            </w:pPr>
            <w:r w:rsidRPr="00F47023">
              <w:rPr>
                <w:rStyle w:val="FSUnboldCond"/>
                <w:b w:val="0"/>
                <w:bCs w:val="0"/>
                <w:color w:val="FFFFFF" w:themeColor="background1"/>
                <w:sz w:val="20"/>
                <w:szCs w:val="20"/>
              </w:rPr>
              <w:t>2022</w:t>
            </w:r>
          </w:p>
          <w:p w14:paraId="2B721358" w14:textId="77777777" w:rsidR="00F47023" w:rsidRPr="00F47023" w:rsidRDefault="00F47023">
            <w:pPr>
              <w:pStyle w:val="FSHeaderRow"/>
              <w:rPr>
                <w:color w:val="FFFFFF" w:themeColor="background1"/>
                <w:sz w:val="20"/>
                <w:szCs w:val="20"/>
              </w:rPr>
            </w:pPr>
            <w:r w:rsidRPr="00F47023">
              <w:rPr>
                <w:rStyle w:val="FSUnboldCond"/>
                <w:b w:val="0"/>
                <w:bCs w:val="0"/>
                <w:color w:val="FFFFFF" w:themeColor="background1"/>
                <w:sz w:val="20"/>
                <w:szCs w:val="20"/>
              </w:rPr>
              <w:t>$’000</w:t>
            </w:r>
          </w:p>
        </w:tc>
      </w:tr>
      <w:tr w:rsidR="00F47023" w:rsidRPr="00F47023" w14:paraId="447ABEC7" w14:textId="77777777" w:rsidTr="00F47023">
        <w:trPr>
          <w:trHeight w:val="240"/>
        </w:trPr>
        <w:tc>
          <w:tcPr>
            <w:tcW w:w="7257" w:type="dxa"/>
            <w:tcMar>
              <w:top w:w="113" w:type="dxa"/>
              <w:left w:w="0" w:type="dxa"/>
              <w:bottom w:w="57" w:type="dxa"/>
              <w:right w:w="113" w:type="dxa"/>
            </w:tcMar>
            <w:vAlign w:val="bottom"/>
          </w:tcPr>
          <w:p w14:paraId="522A6B66" w14:textId="77777777" w:rsidR="00F47023" w:rsidRPr="00F47023" w:rsidRDefault="00F47023" w:rsidP="00F47023">
            <w:pPr>
              <w:pStyle w:val="FSBlueHeadingBold"/>
            </w:pPr>
            <w:r w:rsidRPr="00F47023">
              <w:rPr>
                <w:rStyle w:val="Bold"/>
                <w:rFonts w:eastAsia="MS Mincho"/>
                <w:b/>
                <w:bCs/>
              </w:rPr>
              <w:t>OWN-SOURCE REVENUE</w:t>
            </w:r>
          </w:p>
        </w:tc>
        <w:tc>
          <w:tcPr>
            <w:tcW w:w="1417" w:type="dxa"/>
            <w:tcMar>
              <w:top w:w="113" w:type="dxa"/>
              <w:left w:w="0" w:type="dxa"/>
              <w:bottom w:w="57" w:type="dxa"/>
              <w:right w:w="113" w:type="dxa"/>
            </w:tcMar>
            <w:vAlign w:val="bottom"/>
          </w:tcPr>
          <w:p w14:paraId="4066F83A" w14:textId="77777777" w:rsidR="00F47023" w:rsidRPr="00F47023" w:rsidRDefault="00F47023" w:rsidP="00F4702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113" w:type="dxa"/>
              <w:left w:w="0" w:type="dxa"/>
              <w:bottom w:w="57" w:type="dxa"/>
              <w:right w:w="113" w:type="dxa"/>
            </w:tcMar>
            <w:vAlign w:val="bottom"/>
          </w:tcPr>
          <w:p w14:paraId="494DB08C" w14:textId="77777777" w:rsidR="00F47023" w:rsidRPr="00F47023" w:rsidRDefault="00F47023" w:rsidP="00F47023">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F47023" w14:paraId="19F073C3" w14:textId="77777777" w:rsidTr="00F47023">
        <w:trPr>
          <w:trHeight w:val="240"/>
        </w:trPr>
        <w:tc>
          <w:tcPr>
            <w:tcW w:w="7257" w:type="dxa"/>
            <w:tcMar>
              <w:top w:w="28" w:type="dxa"/>
              <w:left w:w="0" w:type="dxa"/>
              <w:bottom w:w="57" w:type="dxa"/>
              <w:right w:w="113" w:type="dxa"/>
            </w:tcMar>
            <w:vAlign w:val="bottom"/>
          </w:tcPr>
          <w:p w14:paraId="33F5C2EB" w14:textId="77777777" w:rsidR="00F47023" w:rsidRPr="00E8256E" w:rsidRDefault="00F47023" w:rsidP="00E8256E">
            <w:pPr>
              <w:pStyle w:val="FSBlueHeadingBold"/>
            </w:pPr>
            <w:r w:rsidRPr="00E8256E">
              <w:rPr>
                <w:rFonts w:eastAsia="MS Mincho"/>
              </w:rPr>
              <w:t>1.2A: Revenue from contracts with customers</w:t>
            </w:r>
          </w:p>
        </w:tc>
        <w:tc>
          <w:tcPr>
            <w:tcW w:w="1417" w:type="dxa"/>
            <w:tcMar>
              <w:top w:w="80" w:type="dxa"/>
              <w:left w:w="80" w:type="dxa"/>
              <w:bottom w:w="80" w:type="dxa"/>
              <w:right w:w="80" w:type="dxa"/>
            </w:tcMar>
          </w:tcPr>
          <w:p w14:paraId="7643770D" w14:textId="77777777" w:rsidR="00F47023" w:rsidRPr="00F47023" w:rsidRDefault="00F47023" w:rsidP="00F47023">
            <w:pPr>
              <w:pStyle w:val="Nessunostileparagrafo"/>
              <w:spacing w:line="240" w:lineRule="auto"/>
              <w:textAlignment w:val="auto"/>
              <w:rPr>
                <w:rFonts w:ascii="Open Sans Semibold" w:hAnsi="Open Sans Semibold" w:cs="Times New Roman"/>
                <w:color w:val="auto"/>
                <w:sz w:val="16"/>
                <w:szCs w:val="16"/>
              </w:rPr>
            </w:pPr>
          </w:p>
        </w:tc>
        <w:tc>
          <w:tcPr>
            <w:tcW w:w="1417" w:type="dxa"/>
            <w:tcMar>
              <w:top w:w="80" w:type="dxa"/>
              <w:left w:w="80" w:type="dxa"/>
              <w:bottom w:w="80" w:type="dxa"/>
              <w:right w:w="80" w:type="dxa"/>
            </w:tcMar>
          </w:tcPr>
          <w:p w14:paraId="153B2B15" w14:textId="77777777" w:rsidR="00F47023" w:rsidRPr="00F47023" w:rsidRDefault="00F47023" w:rsidP="00F47023">
            <w:pPr>
              <w:pStyle w:val="Nessunostileparagrafo"/>
              <w:spacing w:line="240" w:lineRule="auto"/>
              <w:textAlignment w:val="auto"/>
              <w:rPr>
                <w:rFonts w:ascii="Open Sans Semibold" w:hAnsi="Open Sans Semibold" w:cs="Times New Roman"/>
                <w:color w:val="auto"/>
                <w:sz w:val="16"/>
                <w:szCs w:val="16"/>
              </w:rPr>
            </w:pPr>
          </w:p>
        </w:tc>
      </w:tr>
      <w:tr w:rsidR="00F47023" w:rsidRPr="00F47023" w14:paraId="26686E57" w14:textId="77777777" w:rsidTr="00F47023">
        <w:trPr>
          <w:trHeight w:val="240"/>
        </w:trPr>
        <w:tc>
          <w:tcPr>
            <w:tcW w:w="7257" w:type="dxa"/>
            <w:tcMar>
              <w:top w:w="113" w:type="dxa"/>
              <w:left w:w="0" w:type="dxa"/>
              <w:bottom w:w="113" w:type="dxa"/>
              <w:right w:w="113" w:type="dxa"/>
            </w:tcMar>
            <w:vAlign w:val="bottom"/>
          </w:tcPr>
          <w:p w14:paraId="3895BCFB" w14:textId="77777777" w:rsidR="00F47023" w:rsidRPr="00F47023" w:rsidRDefault="00F47023" w:rsidP="00F47023">
            <w:pPr>
              <w:pStyle w:val="FSBodyText"/>
              <w:spacing w:after="0" w:line="240" w:lineRule="auto"/>
            </w:pPr>
            <w:r w:rsidRPr="00F47023">
              <w:rPr>
                <w:lang w:val="it-IT"/>
              </w:rPr>
              <w:t>Rendering of services</w:t>
            </w:r>
          </w:p>
        </w:tc>
        <w:tc>
          <w:tcPr>
            <w:tcW w:w="1417" w:type="dxa"/>
            <w:tcMar>
              <w:top w:w="113" w:type="dxa"/>
              <w:left w:w="0" w:type="dxa"/>
              <w:bottom w:w="113" w:type="dxa"/>
              <w:right w:w="113" w:type="dxa"/>
            </w:tcMar>
            <w:vAlign w:val="bottom"/>
          </w:tcPr>
          <w:p w14:paraId="637FCB6A" w14:textId="77777777" w:rsidR="00F47023" w:rsidRPr="00F47023" w:rsidRDefault="00F47023" w:rsidP="00F47023">
            <w:pPr>
              <w:pStyle w:val="FSBodyText"/>
              <w:spacing w:after="0" w:line="240" w:lineRule="auto"/>
              <w:jc w:val="right"/>
            </w:pPr>
            <w:r w:rsidRPr="00F47023">
              <w:rPr>
                <w:rStyle w:val="Bold"/>
                <w:rFonts w:eastAsia="MS Mincho"/>
                <w:lang w:val="it-IT"/>
              </w:rPr>
              <w:t xml:space="preserve">10,969 </w:t>
            </w:r>
          </w:p>
        </w:tc>
        <w:tc>
          <w:tcPr>
            <w:tcW w:w="1417" w:type="dxa"/>
            <w:tcMar>
              <w:top w:w="113" w:type="dxa"/>
              <w:left w:w="0" w:type="dxa"/>
              <w:bottom w:w="113" w:type="dxa"/>
              <w:right w:w="113" w:type="dxa"/>
            </w:tcMar>
            <w:vAlign w:val="bottom"/>
          </w:tcPr>
          <w:p w14:paraId="38AB805E" w14:textId="77777777" w:rsidR="00F47023" w:rsidRPr="00F47023" w:rsidRDefault="00F47023" w:rsidP="00F47023">
            <w:pPr>
              <w:pStyle w:val="FSBodyText"/>
              <w:spacing w:after="0" w:line="240" w:lineRule="auto"/>
              <w:jc w:val="right"/>
            </w:pPr>
            <w:r w:rsidRPr="00F47023">
              <w:rPr>
                <w:lang w:val="it-IT"/>
              </w:rPr>
              <w:t xml:space="preserve">7,054 </w:t>
            </w:r>
          </w:p>
        </w:tc>
      </w:tr>
      <w:tr w:rsidR="00F47023" w:rsidRPr="00F47023" w14:paraId="24F40522" w14:textId="77777777" w:rsidTr="005432C6">
        <w:trPr>
          <w:trHeight w:val="240"/>
        </w:trPr>
        <w:tc>
          <w:tcPr>
            <w:tcW w:w="725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0F5DD16E" w14:textId="77777777" w:rsidR="00F47023" w:rsidRPr="00F47023" w:rsidRDefault="00F47023" w:rsidP="00F47023">
            <w:pPr>
              <w:pStyle w:val="FSBodyText"/>
              <w:spacing w:after="0" w:line="240" w:lineRule="auto"/>
            </w:pPr>
            <w:r w:rsidRPr="00F47023">
              <w:rPr>
                <w:rStyle w:val="Bold"/>
                <w:rFonts w:eastAsia="MS Mincho"/>
              </w:rPr>
              <w:t>Total revenue from contracts with customers</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1D3829ED" w14:textId="77777777" w:rsidR="00F47023" w:rsidRPr="00F47023" w:rsidRDefault="00F47023" w:rsidP="00F47023">
            <w:pPr>
              <w:pStyle w:val="FSBodyText"/>
              <w:spacing w:after="0" w:line="240" w:lineRule="auto"/>
              <w:jc w:val="right"/>
            </w:pPr>
            <w:r w:rsidRPr="00F47023">
              <w:rPr>
                <w:rStyle w:val="Bold"/>
                <w:rFonts w:eastAsia="MS Mincho"/>
                <w:lang w:val="it-IT"/>
              </w:rPr>
              <w:t xml:space="preserve">10,969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0EAD2F16" w14:textId="77777777" w:rsidR="00F47023" w:rsidRPr="00F47023" w:rsidRDefault="00F47023" w:rsidP="00F47023">
            <w:pPr>
              <w:pStyle w:val="FSBodyText"/>
              <w:spacing w:after="0" w:line="240" w:lineRule="auto"/>
              <w:jc w:val="right"/>
            </w:pPr>
            <w:r w:rsidRPr="00F47023">
              <w:rPr>
                <w:lang w:val="it-IT"/>
              </w:rPr>
              <w:t>7,054</w:t>
            </w:r>
          </w:p>
        </w:tc>
      </w:tr>
      <w:tr w:rsidR="00F47023" w:rsidRPr="00F47023" w14:paraId="2E2FEAFD" w14:textId="77777777" w:rsidTr="005432C6">
        <w:trPr>
          <w:trHeight w:val="113"/>
        </w:trPr>
        <w:tc>
          <w:tcPr>
            <w:tcW w:w="7257" w:type="dxa"/>
            <w:tcBorders>
              <w:bottom w:val="nil"/>
            </w:tcBorders>
            <w:tcMar>
              <w:top w:w="113" w:type="dxa"/>
              <w:left w:w="80" w:type="dxa"/>
              <w:bottom w:w="80" w:type="dxa"/>
              <w:right w:w="80" w:type="dxa"/>
            </w:tcMar>
          </w:tcPr>
          <w:p w14:paraId="4075AE49" w14:textId="77777777" w:rsidR="00F47023" w:rsidRPr="00F47023" w:rsidRDefault="00F47023" w:rsidP="00F4702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Borders>
              <w:bottom w:val="nil"/>
            </w:tcBorders>
            <w:tcMar>
              <w:top w:w="113" w:type="dxa"/>
              <w:left w:w="80" w:type="dxa"/>
              <w:bottom w:w="80" w:type="dxa"/>
              <w:right w:w="80" w:type="dxa"/>
            </w:tcMar>
          </w:tcPr>
          <w:p w14:paraId="7DAC048D" w14:textId="77777777" w:rsidR="00F47023" w:rsidRPr="00F47023" w:rsidRDefault="00F47023" w:rsidP="00F4702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Borders>
              <w:bottom w:val="nil"/>
            </w:tcBorders>
            <w:tcMar>
              <w:top w:w="113" w:type="dxa"/>
              <w:left w:w="80" w:type="dxa"/>
              <w:bottom w:w="80" w:type="dxa"/>
              <w:right w:w="80" w:type="dxa"/>
            </w:tcMar>
          </w:tcPr>
          <w:p w14:paraId="4B3793DA" w14:textId="77777777" w:rsidR="00F47023" w:rsidRPr="00F47023" w:rsidRDefault="00F47023" w:rsidP="00F47023">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F47023" w14:paraId="1E42B9C1" w14:textId="77777777" w:rsidTr="005432C6">
        <w:trPr>
          <w:trHeight w:val="240"/>
        </w:trPr>
        <w:tc>
          <w:tcPr>
            <w:tcW w:w="7257" w:type="dxa"/>
            <w:tcBorders>
              <w:top w:val="nil"/>
            </w:tcBorders>
            <w:tcMar>
              <w:top w:w="28" w:type="dxa"/>
              <w:left w:w="0" w:type="dxa"/>
              <w:bottom w:w="57" w:type="dxa"/>
              <w:right w:w="113" w:type="dxa"/>
            </w:tcMar>
            <w:vAlign w:val="bottom"/>
          </w:tcPr>
          <w:p w14:paraId="7F56A8C0" w14:textId="77777777" w:rsidR="00F47023" w:rsidRPr="00F47023" w:rsidRDefault="00F47023" w:rsidP="00F47023">
            <w:pPr>
              <w:pStyle w:val="FSBodyText"/>
              <w:spacing w:after="0" w:line="240" w:lineRule="auto"/>
            </w:pPr>
            <w:r w:rsidRPr="00F47023">
              <w:rPr>
                <w:lang w:val="it-IT"/>
              </w:rPr>
              <w:t>Major product / service line:</w:t>
            </w:r>
          </w:p>
        </w:tc>
        <w:tc>
          <w:tcPr>
            <w:tcW w:w="1417" w:type="dxa"/>
            <w:tcBorders>
              <w:top w:val="nil"/>
            </w:tcBorders>
            <w:tcMar>
              <w:top w:w="80" w:type="dxa"/>
              <w:left w:w="80" w:type="dxa"/>
              <w:bottom w:w="80" w:type="dxa"/>
              <w:right w:w="80" w:type="dxa"/>
            </w:tcMar>
          </w:tcPr>
          <w:p w14:paraId="3A94BA79" w14:textId="77777777" w:rsidR="00F47023" w:rsidRPr="00F47023" w:rsidRDefault="00F47023" w:rsidP="00F4702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Borders>
              <w:top w:val="nil"/>
            </w:tcBorders>
            <w:tcMar>
              <w:top w:w="80" w:type="dxa"/>
              <w:left w:w="80" w:type="dxa"/>
              <w:bottom w:w="80" w:type="dxa"/>
              <w:right w:w="80" w:type="dxa"/>
            </w:tcMar>
          </w:tcPr>
          <w:p w14:paraId="76C27D02" w14:textId="77777777" w:rsidR="00F47023" w:rsidRPr="00F47023" w:rsidRDefault="00F47023" w:rsidP="00F47023">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F47023" w14:paraId="02C88B54" w14:textId="77777777" w:rsidTr="00F47023">
        <w:trPr>
          <w:trHeight w:val="240"/>
        </w:trPr>
        <w:tc>
          <w:tcPr>
            <w:tcW w:w="7257" w:type="dxa"/>
            <w:tcMar>
              <w:top w:w="113" w:type="dxa"/>
              <w:left w:w="0" w:type="dxa"/>
              <w:bottom w:w="113" w:type="dxa"/>
              <w:right w:w="113" w:type="dxa"/>
            </w:tcMar>
            <w:vAlign w:val="bottom"/>
          </w:tcPr>
          <w:p w14:paraId="00DCD68B" w14:textId="77777777" w:rsidR="00F47023" w:rsidRPr="00F47023" w:rsidRDefault="00F47023" w:rsidP="00F47023">
            <w:pPr>
              <w:pStyle w:val="FSBodyText"/>
              <w:spacing w:after="0" w:line="240" w:lineRule="auto"/>
              <w:ind w:firstLine="180"/>
            </w:pPr>
            <w:r w:rsidRPr="00F47023">
              <w:rPr>
                <w:lang w:val="it-IT"/>
              </w:rPr>
              <w:t>Service delivery</w:t>
            </w:r>
          </w:p>
        </w:tc>
        <w:tc>
          <w:tcPr>
            <w:tcW w:w="1417" w:type="dxa"/>
            <w:tcMar>
              <w:top w:w="113" w:type="dxa"/>
              <w:left w:w="0" w:type="dxa"/>
              <w:bottom w:w="113" w:type="dxa"/>
              <w:right w:w="113" w:type="dxa"/>
            </w:tcMar>
            <w:vAlign w:val="bottom"/>
          </w:tcPr>
          <w:p w14:paraId="331F332A" w14:textId="77777777" w:rsidR="00F47023" w:rsidRPr="00F47023" w:rsidRDefault="00F47023" w:rsidP="00F47023">
            <w:pPr>
              <w:pStyle w:val="FSBodyText"/>
              <w:spacing w:after="0" w:line="240" w:lineRule="auto"/>
              <w:jc w:val="right"/>
            </w:pPr>
            <w:r w:rsidRPr="00F47023">
              <w:rPr>
                <w:rStyle w:val="Bold"/>
                <w:rFonts w:eastAsia="MS Mincho"/>
                <w:lang w:val="it-IT"/>
              </w:rPr>
              <w:t>10,969</w:t>
            </w:r>
          </w:p>
        </w:tc>
        <w:tc>
          <w:tcPr>
            <w:tcW w:w="1417" w:type="dxa"/>
            <w:tcMar>
              <w:top w:w="113" w:type="dxa"/>
              <w:left w:w="0" w:type="dxa"/>
              <w:bottom w:w="113" w:type="dxa"/>
              <w:right w:w="113" w:type="dxa"/>
            </w:tcMar>
            <w:vAlign w:val="bottom"/>
          </w:tcPr>
          <w:p w14:paraId="4EFAB397" w14:textId="77777777" w:rsidR="00F47023" w:rsidRPr="00F47023" w:rsidRDefault="00F47023" w:rsidP="00F47023">
            <w:pPr>
              <w:pStyle w:val="FSBodyText"/>
              <w:spacing w:after="0" w:line="240" w:lineRule="auto"/>
              <w:jc w:val="right"/>
            </w:pPr>
            <w:r w:rsidRPr="00F47023">
              <w:rPr>
                <w:lang w:val="it-IT"/>
              </w:rPr>
              <w:t>7,054</w:t>
            </w:r>
          </w:p>
        </w:tc>
      </w:tr>
      <w:tr w:rsidR="00F47023" w:rsidRPr="00F47023" w14:paraId="6A498A55" w14:textId="77777777" w:rsidTr="00F47023">
        <w:trPr>
          <w:trHeight w:val="240"/>
        </w:trPr>
        <w:tc>
          <w:tcPr>
            <w:tcW w:w="7257" w:type="dxa"/>
            <w:shd w:val="clear" w:color="auto" w:fill="F2F2F2" w:themeFill="background1" w:themeFillShade="F2"/>
            <w:tcMar>
              <w:top w:w="113" w:type="dxa"/>
              <w:left w:w="0" w:type="dxa"/>
              <w:bottom w:w="113" w:type="dxa"/>
              <w:right w:w="113" w:type="dxa"/>
            </w:tcMar>
            <w:vAlign w:val="bottom"/>
          </w:tcPr>
          <w:p w14:paraId="6295BAC1" w14:textId="77777777" w:rsidR="00F47023" w:rsidRPr="00F47023" w:rsidRDefault="00F47023" w:rsidP="00F4702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shd w:val="clear" w:color="auto" w:fill="F2F2F2" w:themeFill="background1" w:themeFillShade="F2"/>
            <w:tcMar>
              <w:top w:w="113" w:type="dxa"/>
              <w:left w:w="0" w:type="dxa"/>
              <w:bottom w:w="113" w:type="dxa"/>
              <w:right w:w="113" w:type="dxa"/>
            </w:tcMar>
            <w:vAlign w:val="bottom"/>
          </w:tcPr>
          <w:p w14:paraId="252A6286" w14:textId="77777777" w:rsidR="00F47023" w:rsidRPr="00F47023" w:rsidRDefault="00F47023" w:rsidP="00F47023">
            <w:pPr>
              <w:pStyle w:val="FSBodyText"/>
              <w:spacing w:after="0" w:line="240" w:lineRule="auto"/>
              <w:jc w:val="right"/>
            </w:pPr>
            <w:r w:rsidRPr="00F47023">
              <w:rPr>
                <w:rStyle w:val="Bold"/>
                <w:rFonts w:eastAsia="MS Mincho"/>
                <w:lang w:val="it-IT"/>
              </w:rPr>
              <w:t>10,969</w:t>
            </w:r>
          </w:p>
        </w:tc>
        <w:tc>
          <w:tcPr>
            <w:tcW w:w="1417" w:type="dxa"/>
            <w:shd w:val="clear" w:color="auto" w:fill="F2F2F2" w:themeFill="background1" w:themeFillShade="F2"/>
            <w:tcMar>
              <w:top w:w="113" w:type="dxa"/>
              <w:left w:w="0" w:type="dxa"/>
              <w:bottom w:w="113" w:type="dxa"/>
              <w:right w:w="113" w:type="dxa"/>
            </w:tcMar>
            <w:vAlign w:val="bottom"/>
          </w:tcPr>
          <w:p w14:paraId="66126214" w14:textId="77777777" w:rsidR="00F47023" w:rsidRPr="00F47023" w:rsidRDefault="00F47023" w:rsidP="00F47023">
            <w:pPr>
              <w:pStyle w:val="FSBodyText"/>
              <w:spacing w:after="0" w:line="240" w:lineRule="auto"/>
              <w:jc w:val="right"/>
            </w:pPr>
            <w:r w:rsidRPr="00F47023">
              <w:rPr>
                <w:lang w:val="it-IT"/>
              </w:rPr>
              <w:t>7,054</w:t>
            </w:r>
          </w:p>
        </w:tc>
      </w:tr>
      <w:tr w:rsidR="00F47023" w:rsidRPr="00F47023" w14:paraId="733FF120" w14:textId="77777777" w:rsidTr="00F47023">
        <w:trPr>
          <w:trHeight w:val="240"/>
        </w:trPr>
        <w:tc>
          <w:tcPr>
            <w:tcW w:w="7257" w:type="dxa"/>
            <w:tcMar>
              <w:top w:w="113" w:type="dxa"/>
              <w:left w:w="0" w:type="dxa"/>
              <w:bottom w:w="57" w:type="dxa"/>
              <w:right w:w="113" w:type="dxa"/>
            </w:tcMar>
            <w:vAlign w:val="bottom"/>
          </w:tcPr>
          <w:p w14:paraId="224CBC64" w14:textId="77777777" w:rsidR="00F47023" w:rsidRPr="00F47023" w:rsidRDefault="00F47023" w:rsidP="00F47023">
            <w:pPr>
              <w:pStyle w:val="FSBodyText"/>
              <w:spacing w:after="0" w:line="240" w:lineRule="auto"/>
            </w:pPr>
            <w:r w:rsidRPr="00F47023">
              <w:rPr>
                <w:lang w:val="it-IT"/>
              </w:rPr>
              <w:t>Type of customer:</w:t>
            </w:r>
          </w:p>
        </w:tc>
        <w:tc>
          <w:tcPr>
            <w:tcW w:w="1417" w:type="dxa"/>
            <w:tcMar>
              <w:top w:w="113" w:type="dxa"/>
              <w:left w:w="80" w:type="dxa"/>
              <w:bottom w:w="80" w:type="dxa"/>
              <w:right w:w="80" w:type="dxa"/>
            </w:tcMar>
          </w:tcPr>
          <w:p w14:paraId="74E4162D" w14:textId="77777777" w:rsidR="00F47023" w:rsidRPr="00F47023" w:rsidRDefault="00F47023" w:rsidP="00F4702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113" w:type="dxa"/>
              <w:left w:w="80" w:type="dxa"/>
              <w:bottom w:w="80" w:type="dxa"/>
              <w:right w:w="80" w:type="dxa"/>
            </w:tcMar>
          </w:tcPr>
          <w:p w14:paraId="6D33B1FC" w14:textId="77777777" w:rsidR="00F47023" w:rsidRPr="00F47023" w:rsidRDefault="00F47023" w:rsidP="00F47023">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F47023" w14:paraId="7AD1CFB1" w14:textId="77777777" w:rsidTr="00F47023">
        <w:trPr>
          <w:trHeight w:val="240"/>
        </w:trPr>
        <w:tc>
          <w:tcPr>
            <w:tcW w:w="7257" w:type="dxa"/>
            <w:tcMar>
              <w:top w:w="28" w:type="dxa"/>
              <w:left w:w="0" w:type="dxa"/>
              <w:bottom w:w="57" w:type="dxa"/>
              <w:right w:w="113" w:type="dxa"/>
            </w:tcMar>
            <w:vAlign w:val="bottom"/>
          </w:tcPr>
          <w:p w14:paraId="77125E12" w14:textId="77777777" w:rsidR="00F47023" w:rsidRPr="00F47023" w:rsidRDefault="00F47023" w:rsidP="00F47023">
            <w:pPr>
              <w:pStyle w:val="FSBodyText"/>
              <w:spacing w:after="0" w:line="240" w:lineRule="auto"/>
              <w:ind w:firstLine="180"/>
            </w:pPr>
            <w:r w:rsidRPr="00F47023">
              <w:t>Australian Government entities (related parties)</w:t>
            </w:r>
          </w:p>
        </w:tc>
        <w:tc>
          <w:tcPr>
            <w:tcW w:w="1417" w:type="dxa"/>
            <w:tcMar>
              <w:top w:w="80" w:type="dxa"/>
              <w:left w:w="80" w:type="dxa"/>
              <w:bottom w:w="80" w:type="dxa"/>
              <w:right w:w="80" w:type="dxa"/>
            </w:tcMar>
            <w:vAlign w:val="bottom"/>
          </w:tcPr>
          <w:p w14:paraId="16AFC5B6" w14:textId="77777777" w:rsidR="00F47023" w:rsidRPr="00F47023" w:rsidRDefault="00F47023" w:rsidP="00F47023">
            <w:pPr>
              <w:pStyle w:val="FSBodyText"/>
              <w:spacing w:after="0" w:line="240" w:lineRule="auto"/>
              <w:jc w:val="right"/>
            </w:pPr>
            <w:r w:rsidRPr="00F47023">
              <w:rPr>
                <w:rStyle w:val="Bold"/>
                <w:rFonts w:eastAsia="MS Mincho"/>
                <w:lang w:val="it-IT"/>
              </w:rPr>
              <w:t xml:space="preserve">7,966 </w:t>
            </w:r>
          </w:p>
        </w:tc>
        <w:tc>
          <w:tcPr>
            <w:tcW w:w="1417" w:type="dxa"/>
            <w:tcMar>
              <w:top w:w="80" w:type="dxa"/>
              <w:left w:w="80" w:type="dxa"/>
              <w:bottom w:w="80" w:type="dxa"/>
              <w:right w:w="80" w:type="dxa"/>
            </w:tcMar>
            <w:vAlign w:val="bottom"/>
          </w:tcPr>
          <w:p w14:paraId="7040A39E" w14:textId="77777777" w:rsidR="00F47023" w:rsidRPr="00F47023" w:rsidRDefault="00F47023" w:rsidP="00F47023">
            <w:pPr>
              <w:pStyle w:val="FSBodyText"/>
              <w:spacing w:after="0" w:line="240" w:lineRule="auto"/>
              <w:jc w:val="right"/>
            </w:pPr>
            <w:r w:rsidRPr="00F47023">
              <w:rPr>
                <w:lang w:val="it-IT"/>
              </w:rPr>
              <w:t xml:space="preserve">5,860 </w:t>
            </w:r>
          </w:p>
        </w:tc>
      </w:tr>
      <w:tr w:rsidR="00F47023" w:rsidRPr="00F47023" w14:paraId="5DE5985D" w14:textId="77777777" w:rsidTr="00F47023">
        <w:trPr>
          <w:trHeight w:val="240"/>
        </w:trPr>
        <w:tc>
          <w:tcPr>
            <w:tcW w:w="7257" w:type="dxa"/>
            <w:tcMar>
              <w:top w:w="28" w:type="dxa"/>
              <w:left w:w="0" w:type="dxa"/>
              <w:bottom w:w="57" w:type="dxa"/>
              <w:right w:w="113" w:type="dxa"/>
            </w:tcMar>
            <w:vAlign w:val="bottom"/>
          </w:tcPr>
          <w:p w14:paraId="5E19BDB3" w14:textId="77777777" w:rsidR="00F47023" w:rsidRPr="00F47023" w:rsidRDefault="00F47023" w:rsidP="00F47023">
            <w:pPr>
              <w:pStyle w:val="FSBodyText"/>
              <w:spacing w:after="0" w:line="240" w:lineRule="auto"/>
              <w:ind w:firstLine="180"/>
            </w:pPr>
            <w:r w:rsidRPr="00F47023">
              <w:rPr>
                <w:lang w:val="it-IT"/>
              </w:rPr>
              <w:t>State and Territory Governments</w:t>
            </w:r>
          </w:p>
        </w:tc>
        <w:tc>
          <w:tcPr>
            <w:tcW w:w="1417" w:type="dxa"/>
            <w:tcMar>
              <w:top w:w="80" w:type="dxa"/>
              <w:left w:w="80" w:type="dxa"/>
              <w:bottom w:w="80" w:type="dxa"/>
              <w:right w:w="80" w:type="dxa"/>
            </w:tcMar>
            <w:vAlign w:val="bottom"/>
          </w:tcPr>
          <w:p w14:paraId="1C8F545F" w14:textId="77777777" w:rsidR="00F47023" w:rsidRPr="00F47023" w:rsidRDefault="00F47023" w:rsidP="00F47023">
            <w:pPr>
              <w:pStyle w:val="FSBodyText"/>
              <w:spacing w:after="0" w:line="240" w:lineRule="auto"/>
              <w:jc w:val="right"/>
            </w:pPr>
            <w:r w:rsidRPr="00F47023">
              <w:rPr>
                <w:rStyle w:val="Bold"/>
                <w:rFonts w:eastAsia="MS Mincho"/>
                <w:lang w:val="it-IT"/>
              </w:rPr>
              <w:t xml:space="preserve">298 </w:t>
            </w:r>
          </w:p>
        </w:tc>
        <w:tc>
          <w:tcPr>
            <w:tcW w:w="1417" w:type="dxa"/>
            <w:tcMar>
              <w:top w:w="80" w:type="dxa"/>
              <w:left w:w="80" w:type="dxa"/>
              <w:bottom w:w="80" w:type="dxa"/>
              <w:right w:w="80" w:type="dxa"/>
            </w:tcMar>
            <w:vAlign w:val="bottom"/>
          </w:tcPr>
          <w:p w14:paraId="41A479E8" w14:textId="77777777" w:rsidR="00F47023" w:rsidRPr="00F47023" w:rsidRDefault="00F47023" w:rsidP="00F47023">
            <w:pPr>
              <w:pStyle w:val="FSBodyText"/>
              <w:spacing w:after="0" w:line="240" w:lineRule="auto"/>
              <w:jc w:val="right"/>
            </w:pPr>
            <w:r w:rsidRPr="00F47023">
              <w:rPr>
                <w:lang w:val="it-IT"/>
              </w:rPr>
              <w:t xml:space="preserve">8 </w:t>
            </w:r>
          </w:p>
        </w:tc>
      </w:tr>
      <w:tr w:rsidR="00F47023" w:rsidRPr="00F47023" w14:paraId="524DC7D6" w14:textId="77777777" w:rsidTr="00F47023">
        <w:trPr>
          <w:trHeight w:val="240"/>
        </w:trPr>
        <w:tc>
          <w:tcPr>
            <w:tcW w:w="7257" w:type="dxa"/>
            <w:tcMar>
              <w:top w:w="113" w:type="dxa"/>
              <w:left w:w="0" w:type="dxa"/>
              <w:bottom w:w="113" w:type="dxa"/>
              <w:right w:w="113" w:type="dxa"/>
            </w:tcMar>
            <w:vAlign w:val="bottom"/>
          </w:tcPr>
          <w:p w14:paraId="4C1314E1" w14:textId="77777777" w:rsidR="00F47023" w:rsidRPr="00F47023" w:rsidRDefault="00F47023" w:rsidP="00F47023">
            <w:pPr>
              <w:pStyle w:val="FSBodyText"/>
              <w:spacing w:after="0" w:line="240" w:lineRule="auto"/>
              <w:ind w:firstLine="180"/>
            </w:pPr>
            <w:r w:rsidRPr="00F47023">
              <w:rPr>
                <w:lang w:val="it-IT"/>
              </w:rPr>
              <w:t>Non-government entities</w:t>
            </w:r>
          </w:p>
        </w:tc>
        <w:tc>
          <w:tcPr>
            <w:tcW w:w="1417" w:type="dxa"/>
            <w:tcMar>
              <w:top w:w="113" w:type="dxa"/>
              <w:left w:w="0" w:type="dxa"/>
              <w:bottom w:w="113" w:type="dxa"/>
              <w:right w:w="113" w:type="dxa"/>
            </w:tcMar>
            <w:vAlign w:val="bottom"/>
          </w:tcPr>
          <w:p w14:paraId="1314E790" w14:textId="77777777" w:rsidR="00F47023" w:rsidRPr="00F47023" w:rsidRDefault="00F47023" w:rsidP="00F47023">
            <w:pPr>
              <w:pStyle w:val="FSBodyText"/>
              <w:spacing w:after="0" w:line="240" w:lineRule="auto"/>
              <w:jc w:val="right"/>
            </w:pPr>
            <w:r w:rsidRPr="00F47023">
              <w:rPr>
                <w:rStyle w:val="Bold"/>
                <w:rFonts w:eastAsia="MS Mincho"/>
                <w:lang w:val="it-IT"/>
              </w:rPr>
              <w:t xml:space="preserve">2,705 </w:t>
            </w:r>
          </w:p>
        </w:tc>
        <w:tc>
          <w:tcPr>
            <w:tcW w:w="1417" w:type="dxa"/>
            <w:tcMar>
              <w:top w:w="113" w:type="dxa"/>
              <w:left w:w="0" w:type="dxa"/>
              <w:bottom w:w="113" w:type="dxa"/>
              <w:right w:w="113" w:type="dxa"/>
            </w:tcMar>
            <w:vAlign w:val="bottom"/>
          </w:tcPr>
          <w:p w14:paraId="24044167" w14:textId="77777777" w:rsidR="00F47023" w:rsidRPr="00F47023" w:rsidRDefault="00F47023" w:rsidP="00F47023">
            <w:pPr>
              <w:pStyle w:val="FSBodyText"/>
              <w:spacing w:after="0" w:line="240" w:lineRule="auto"/>
              <w:jc w:val="right"/>
            </w:pPr>
            <w:r w:rsidRPr="00F47023">
              <w:rPr>
                <w:lang w:val="it-IT"/>
              </w:rPr>
              <w:t xml:space="preserve">1,186 </w:t>
            </w:r>
          </w:p>
        </w:tc>
      </w:tr>
      <w:tr w:rsidR="00F47023" w:rsidRPr="00F47023" w14:paraId="3FBC48C5" w14:textId="77777777" w:rsidTr="00F47023">
        <w:trPr>
          <w:trHeight w:val="240"/>
        </w:trPr>
        <w:tc>
          <w:tcPr>
            <w:tcW w:w="7257" w:type="dxa"/>
            <w:shd w:val="clear" w:color="auto" w:fill="F2F2F2" w:themeFill="background1" w:themeFillShade="F2"/>
            <w:tcMar>
              <w:top w:w="113" w:type="dxa"/>
              <w:left w:w="0" w:type="dxa"/>
              <w:bottom w:w="113" w:type="dxa"/>
              <w:right w:w="113" w:type="dxa"/>
            </w:tcMar>
            <w:vAlign w:val="bottom"/>
          </w:tcPr>
          <w:p w14:paraId="0CF83828" w14:textId="77777777" w:rsidR="00F47023" w:rsidRPr="00F47023" w:rsidRDefault="00F47023" w:rsidP="00F4702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shd w:val="clear" w:color="auto" w:fill="F2F2F2" w:themeFill="background1" w:themeFillShade="F2"/>
            <w:tcMar>
              <w:top w:w="113" w:type="dxa"/>
              <w:left w:w="0" w:type="dxa"/>
              <w:bottom w:w="113" w:type="dxa"/>
              <w:right w:w="113" w:type="dxa"/>
            </w:tcMar>
            <w:vAlign w:val="bottom"/>
          </w:tcPr>
          <w:p w14:paraId="298F2116" w14:textId="77777777" w:rsidR="00F47023" w:rsidRPr="00F47023" w:rsidRDefault="00F47023" w:rsidP="00F47023">
            <w:pPr>
              <w:pStyle w:val="FSBodyText"/>
              <w:spacing w:after="0" w:line="240" w:lineRule="auto"/>
              <w:jc w:val="right"/>
            </w:pPr>
            <w:r w:rsidRPr="00F47023">
              <w:rPr>
                <w:rStyle w:val="Bold"/>
                <w:rFonts w:eastAsia="MS Mincho"/>
                <w:lang w:val="it-IT"/>
              </w:rPr>
              <w:t xml:space="preserve">10,969 </w:t>
            </w:r>
          </w:p>
        </w:tc>
        <w:tc>
          <w:tcPr>
            <w:tcW w:w="1417" w:type="dxa"/>
            <w:shd w:val="clear" w:color="auto" w:fill="F2F2F2" w:themeFill="background1" w:themeFillShade="F2"/>
            <w:tcMar>
              <w:top w:w="113" w:type="dxa"/>
              <w:left w:w="0" w:type="dxa"/>
              <w:bottom w:w="113" w:type="dxa"/>
              <w:right w:w="113" w:type="dxa"/>
            </w:tcMar>
            <w:vAlign w:val="bottom"/>
          </w:tcPr>
          <w:p w14:paraId="72F51890" w14:textId="77777777" w:rsidR="00F47023" w:rsidRPr="00F47023" w:rsidRDefault="00F47023" w:rsidP="00F47023">
            <w:pPr>
              <w:pStyle w:val="FSBodyText"/>
              <w:spacing w:after="0" w:line="240" w:lineRule="auto"/>
              <w:jc w:val="right"/>
            </w:pPr>
            <w:r w:rsidRPr="00F47023">
              <w:rPr>
                <w:lang w:val="it-IT"/>
              </w:rPr>
              <w:t xml:space="preserve">7,054 </w:t>
            </w:r>
          </w:p>
        </w:tc>
      </w:tr>
      <w:tr w:rsidR="00F47023" w:rsidRPr="00F47023" w14:paraId="563A2237" w14:textId="77777777" w:rsidTr="00F47023">
        <w:trPr>
          <w:trHeight w:val="240"/>
        </w:trPr>
        <w:tc>
          <w:tcPr>
            <w:tcW w:w="7257" w:type="dxa"/>
            <w:tcMar>
              <w:top w:w="113" w:type="dxa"/>
              <w:left w:w="0" w:type="dxa"/>
              <w:bottom w:w="57" w:type="dxa"/>
              <w:right w:w="113" w:type="dxa"/>
            </w:tcMar>
            <w:vAlign w:val="bottom"/>
          </w:tcPr>
          <w:p w14:paraId="35407C2B" w14:textId="77777777" w:rsidR="00F47023" w:rsidRPr="00F47023" w:rsidRDefault="00F47023" w:rsidP="00F47023">
            <w:pPr>
              <w:pStyle w:val="FSBodyText"/>
              <w:spacing w:after="0" w:line="240" w:lineRule="auto"/>
            </w:pPr>
            <w:r w:rsidRPr="00F47023">
              <w:t>Timing of transfer of goods and services:</w:t>
            </w:r>
          </w:p>
        </w:tc>
        <w:tc>
          <w:tcPr>
            <w:tcW w:w="1417" w:type="dxa"/>
            <w:tcMar>
              <w:top w:w="113" w:type="dxa"/>
              <w:left w:w="80" w:type="dxa"/>
              <w:bottom w:w="80" w:type="dxa"/>
              <w:right w:w="80" w:type="dxa"/>
            </w:tcMar>
          </w:tcPr>
          <w:p w14:paraId="05E845DB" w14:textId="77777777" w:rsidR="00F47023" w:rsidRPr="00F47023" w:rsidRDefault="00F47023" w:rsidP="00F47023">
            <w:pPr>
              <w:pStyle w:val="Nessunostileparagrafo"/>
              <w:spacing w:line="240" w:lineRule="auto"/>
              <w:textAlignment w:val="auto"/>
              <w:rPr>
                <w:rFonts w:ascii="Open Sans Semibold" w:hAnsi="Open Sans Semibold" w:cs="Times New Roman"/>
                <w:color w:val="auto"/>
                <w:sz w:val="16"/>
                <w:szCs w:val="16"/>
              </w:rPr>
            </w:pPr>
          </w:p>
        </w:tc>
        <w:tc>
          <w:tcPr>
            <w:tcW w:w="1417" w:type="dxa"/>
            <w:tcMar>
              <w:top w:w="113" w:type="dxa"/>
              <w:left w:w="80" w:type="dxa"/>
              <w:bottom w:w="80" w:type="dxa"/>
              <w:right w:w="80" w:type="dxa"/>
            </w:tcMar>
          </w:tcPr>
          <w:p w14:paraId="3ACC99EE" w14:textId="77777777" w:rsidR="00F47023" w:rsidRPr="00F47023" w:rsidRDefault="00F47023" w:rsidP="00F47023">
            <w:pPr>
              <w:pStyle w:val="Nessunostileparagrafo"/>
              <w:spacing w:line="240" w:lineRule="auto"/>
              <w:textAlignment w:val="auto"/>
              <w:rPr>
                <w:rFonts w:ascii="Open Sans Semibold" w:hAnsi="Open Sans Semibold" w:cs="Times New Roman"/>
                <w:color w:val="auto"/>
                <w:sz w:val="16"/>
                <w:szCs w:val="16"/>
              </w:rPr>
            </w:pPr>
          </w:p>
        </w:tc>
      </w:tr>
      <w:tr w:rsidR="00F47023" w:rsidRPr="00F47023" w14:paraId="02D50E7A" w14:textId="77777777" w:rsidTr="00F47023">
        <w:trPr>
          <w:trHeight w:val="240"/>
        </w:trPr>
        <w:tc>
          <w:tcPr>
            <w:tcW w:w="7257" w:type="dxa"/>
            <w:tcMar>
              <w:top w:w="28" w:type="dxa"/>
              <w:left w:w="0" w:type="dxa"/>
              <w:bottom w:w="57" w:type="dxa"/>
              <w:right w:w="113" w:type="dxa"/>
            </w:tcMar>
            <w:vAlign w:val="bottom"/>
          </w:tcPr>
          <w:p w14:paraId="0F3F8142" w14:textId="77777777" w:rsidR="00F47023" w:rsidRPr="00F47023" w:rsidRDefault="00F47023" w:rsidP="00F47023">
            <w:pPr>
              <w:pStyle w:val="FSBodyText"/>
              <w:spacing w:after="0" w:line="240" w:lineRule="auto"/>
              <w:ind w:firstLine="180"/>
            </w:pPr>
            <w:r w:rsidRPr="00F47023">
              <w:rPr>
                <w:lang w:val="it-IT"/>
              </w:rPr>
              <w:t>Over time</w:t>
            </w:r>
          </w:p>
        </w:tc>
        <w:tc>
          <w:tcPr>
            <w:tcW w:w="1417" w:type="dxa"/>
            <w:tcMar>
              <w:top w:w="80" w:type="dxa"/>
              <w:left w:w="80" w:type="dxa"/>
              <w:bottom w:w="80" w:type="dxa"/>
              <w:right w:w="80" w:type="dxa"/>
            </w:tcMar>
            <w:vAlign w:val="bottom"/>
          </w:tcPr>
          <w:p w14:paraId="124E7C53" w14:textId="77777777" w:rsidR="00F47023" w:rsidRPr="00F47023" w:rsidRDefault="00F47023" w:rsidP="00F47023">
            <w:pPr>
              <w:pStyle w:val="FSBodyText"/>
              <w:spacing w:after="0" w:line="240" w:lineRule="auto"/>
              <w:jc w:val="right"/>
            </w:pPr>
            <w:r w:rsidRPr="00F47023">
              <w:rPr>
                <w:rStyle w:val="Bold"/>
                <w:rFonts w:eastAsia="MS Mincho"/>
                <w:lang w:val="it-IT"/>
              </w:rPr>
              <w:t xml:space="preserve">9,595 </w:t>
            </w:r>
          </w:p>
        </w:tc>
        <w:tc>
          <w:tcPr>
            <w:tcW w:w="1417" w:type="dxa"/>
            <w:tcMar>
              <w:top w:w="80" w:type="dxa"/>
              <w:left w:w="80" w:type="dxa"/>
              <w:bottom w:w="80" w:type="dxa"/>
              <w:right w:w="80" w:type="dxa"/>
            </w:tcMar>
            <w:vAlign w:val="bottom"/>
          </w:tcPr>
          <w:p w14:paraId="68042A3B" w14:textId="77777777" w:rsidR="00F47023" w:rsidRPr="00F47023" w:rsidRDefault="00F47023" w:rsidP="00F47023">
            <w:pPr>
              <w:pStyle w:val="FSBodyText"/>
              <w:spacing w:after="0" w:line="240" w:lineRule="auto"/>
              <w:jc w:val="right"/>
            </w:pPr>
            <w:r w:rsidRPr="00F47023">
              <w:rPr>
                <w:lang w:val="it-IT"/>
              </w:rPr>
              <w:t xml:space="preserve">6,266 </w:t>
            </w:r>
          </w:p>
        </w:tc>
      </w:tr>
      <w:tr w:rsidR="00F47023" w:rsidRPr="00F47023" w14:paraId="2353F017" w14:textId="77777777" w:rsidTr="00F47023">
        <w:trPr>
          <w:trHeight w:val="240"/>
        </w:trPr>
        <w:tc>
          <w:tcPr>
            <w:tcW w:w="7257" w:type="dxa"/>
            <w:tcMar>
              <w:top w:w="113" w:type="dxa"/>
              <w:left w:w="0" w:type="dxa"/>
              <w:bottom w:w="113" w:type="dxa"/>
              <w:right w:w="113" w:type="dxa"/>
            </w:tcMar>
            <w:vAlign w:val="bottom"/>
          </w:tcPr>
          <w:p w14:paraId="42990728" w14:textId="77777777" w:rsidR="00F47023" w:rsidRPr="00F47023" w:rsidRDefault="00F47023" w:rsidP="00F47023">
            <w:pPr>
              <w:pStyle w:val="FSBodyText"/>
              <w:spacing w:after="0" w:line="240" w:lineRule="auto"/>
              <w:ind w:firstLine="180"/>
            </w:pPr>
            <w:r w:rsidRPr="00F47023">
              <w:rPr>
                <w:lang w:val="it-IT"/>
              </w:rPr>
              <w:t>Point in time</w:t>
            </w:r>
          </w:p>
        </w:tc>
        <w:tc>
          <w:tcPr>
            <w:tcW w:w="1417" w:type="dxa"/>
            <w:tcMar>
              <w:top w:w="113" w:type="dxa"/>
              <w:left w:w="0" w:type="dxa"/>
              <w:bottom w:w="113" w:type="dxa"/>
              <w:right w:w="113" w:type="dxa"/>
            </w:tcMar>
            <w:vAlign w:val="bottom"/>
          </w:tcPr>
          <w:p w14:paraId="03B46327" w14:textId="77777777" w:rsidR="00F47023" w:rsidRPr="00F47023" w:rsidRDefault="00F47023" w:rsidP="00F47023">
            <w:pPr>
              <w:pStyle w:val="FSBodyText"/>
              <w:spacing w:after="0" w:line="240" w:lineRule="auto"/>
              <w:jc w:val="right"/>
            </w:pPr>
            <w:r w:rsidRPr="00F47023">
              <w:rPr>
                <w:rStyle w:val="Bold"/>
                <w:rFonts w:eastAsia="MS Mincho"/>
                <w:lang w:val="it-IT"/>
              </w:rPr>
              <w:t xml:space="preserve">1,374 </w:t>
            </w:r>
          </w:p>
        </w:tc>
        <w:tc>
          <w:tcPr>
            <w:tcW w:w="1417" w:type="dxa"/>
            <w:tcMar>
              <w:top w:w="113" w:type="dxa"/>
              <w:left w:w="0" w:type="dxa"/>
              <w:bottom w:w="113" w:type="dxa"/>
              <w:right w:w="113" w:type="dxa"/>
            </w:tcMar>
            <w:vAlign w:val="bottom"/>
          </w:tcPr>
          <w:p w14:paraId="3A4C7C93" w14:textId="77777777" w:rsidR="00F47023" w:rsidRPr="00F47023" w:rsidRDefault="00F47023" w:rsidP="00F47023">
            <w:pPr>
              <w:pStyle w:val="FSBodyText"/>
              <w:spacing w:after="0" w:line="240" w:lineRule="auto"/>
              <w:jc w:val="right"/>
            </w:pPr>
            <w:r w:rsidRPr="00F47023">
              <w:rPr>
                <w:lang w:val="it-IT"/>
              </w:rPr>
              <w:t xml:space="preserve">778 </w:t>
            </w:r>
          </w:p>
        </w:tc>
      </w:tr>
      <w:tr w:rsidR="00F47023" w:rsidRPr="00F47023" w14:paraId="4EECE856" w14:textId="77777777" w:rsidTr="00F47023">
        <w:trPr>
          <w:trHeight w:val="240"/>
        </w:trPr>
        <w:tc>
          <w:tcPr>
            <w:tcW w:w="7257" w:type="dxa"/>
            <w:shd w:val="clear" w:color="auto" w:fill="F2F2F2" w:themeFill="background1" w:themeFillShade="F2"/>
            <w:tcMar>
              <w:top w:w="113" w:type="dxa"/>
              <w:left w:w="0" w:type="dxa"/>
              <w:bottom w:w="113" w:type="dxa"/>
              <w:right w:w="113" w:type="dxa"/>
            </w:tcMar>
            <w:vAlign w:val="bottom"/>
          </w:tcPr>
          <w:p w14:paraId="662E7047" w14:textId="77777777" w:rsidR="00F47023" w:rsidRPr="00F47023" w:rsidRDefault="00F47023" w:rsidP="00F4702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shd w:val="clear" w:color="auto" w:fill="F2F2F2" w:themeFill="background1" w:themeFillShade="F2"/>
            <w:tcMar>
              <w:top w:w="113" w:type="dxa"/>
              <w:left w:w="0" w:type="dxa"/>
              <w:bottom w:w="113" w:type="dxa"/>
              <w:right w:w="113" w:type="dxa"/>
            </w:tcMar>
            <w:vAlign w:val="bottom"/>
          </w:tcPr>
          <w:p w14:paraId="1E965067" w14:textId="77777777" w:rsidR="00F47023" w:rsidRPr="00F47023" w:rsidRDefault="00F47023" w:rsidP="00F47023">
            <w:pPr>
              <w:pStyle w:val="FSBodyText"/>
              <w:spacing w:after="0" w:line="240" w:lineRule="auto"/>
              <w:jc w:val="right"/>
            </w:pPr>
            <w:r w:rsidRPr="00F47023">
              <w:rPr>
                <w:rStyle w:val="Bold"/>
                <w:rFonts w:eastAsia="MS Mincho"/>
                <w:lang w:val="it-IT"/>
              </w:rPr>
              <w:t xml:space="preserve">10,969 </w:t>
            </w:r>
          </w:p>
        </w:tc>
        <w:tc>
          <w:tcPr>
            <w:tcW w:w="1417" w:type="dxa"/>
            <w:shd w:val="clear" w:color="auto" w:fill="F2F2F2" w:themeFill="background1" w:themeFillShade="F2"/>
            <w:tcMar>
              <w:top w:w="113" w:type="dxa"/>
              <w:left w:w="0" w:type="dxa"/>
              <w:bottom w:w="113" w:type="dxa"/>
              <w:right w:w="113" w:type="dxa"/>
            </w:tcMar>
            <w:vAlign w:val="bottom"/>
          </w:tcPr>
          <w:p w14:paraId="07973585" w14:textId="77777777" w:rsidR="00F47023" w:rsidRPr="00F47023" w:rsidRDefault="00F47023" w:rsidP="00F47023">
            <w:pPr>
              <w:pStyle w:val="FSBodyText"/>
              <w:spacing w:after="0" w:line="240" w:lineRule="auto"/>
              <w:jc w:val="right"/>
            </w:pPr>
            <w:r w:rsidRPr="00F47023">
              <w:rPr>
                <w:lang w:val="it-IT"/>
              </w:rPr>
              <w:t xml:space="preserve">7,054 </w:t>
            </w:r>
          </w:p>
        </w:tc>
      </w:tr>
    </w:tbl>
    <w:p w14:paraId="719A0DD8" w14:textId="77777777" w:rsidR="00F47023" w:rsidRDefault="00F47023" w:rsidP="00F47023">
      <w:pPr>
        <w:pStyle w:val="FSBodyText"/>
        <w:rPr>
          <w:sz w:val="26"/>
          <w:szCs w:val="26"/>
        </w:rPr>
      </w:pPr>
    </w:p>
    <w:p w14:paraId="3E12192C" w14:textId="77777777" w:rsidR="00F47023" w:rsidRDefault="00F47023" w:rsidP="00F47023">
      <w:pPr>
        <w:pStyle w:val="FSBodyTextBold"/>
        <w:rPr>
          <w:rStyle w:val="Bold"/>
          <w:rFonts w:eastAsia="MS Mincho"/>
          <w:b/>
          <w:bCs/>
        </w:rPr>
      </w:pPr>
      <w:r>
        <w:rPr>
          <w:rStyle w:val="Bold"/>
          <w:rFonts w:eastAsia="MS Mincho"/>
          <w:b/>
          <w:bCs/>
        </w:rPr>
        <w:t>Accounting Policy</w:t>
      </w:r>
    </w:p>
    <w:p w14:paraId="575C70A5" w14:textId="77777777" w:rsidR="00F47023" w:rsidRDefault="00F47023" w:rsidP="00F47023">
      <w:pPr>
        <w:pStyle w:val="FSBodyText"/>
      </w:pPr>
      <w:r>
        <w:t>Revenue from the rendering of services is recognised when performance of specific service obligations, that are required and enforceable under a contract or agreement made between the Commission and the customer, sufficiently allow the Commission to determine when they have been satisfied.</w:t>
      </w:r>
    </w:p>
    <w:p w14:paraId="105A449C" w14:textId="77777777" w:rsidR="00F47023" w:rsidRDefault="00F47023" w:rsidP="00F47023">
      <w:pPr>
        <w:pStyle w:val="FSBodyText"/>
      </w:pPr>
      <w:r>
        <w:t>The principal activities from which the Commission generates its revenue include, service fees and direct cost recoveries from the supply of domestic and international human rights technical assistance programs, development of education resources and delivery of training services and interest earned on short-term bank deposits.</w:t>
      </w:r>
    </w:p>
    <w:p w14:paraId="07FCF9B5" w14:textId="70D79E2B" w:rsidR="00F47023" w:rsidRDefault="00F47023" w:rsidP="00F47023">
      <w:pPr>
        <w:pStyle w:val="FSBodyText"/>
      </w:pPr>
      <w:r>
        <w:t>The Commission predominantly provides services to its customers under agreed terms and conditions contained in</w:t>
      </w:r>
      <w:r w:rsidR="00F240F5">
        <w:t xml:space="preserve"> </w:t>
      </w:r>
      <w:r>
        <w:t xml:space="preserve">contracts or agreements made between the two parties. The nature, timing of satisfaction of performance obligations, and any significant payment terms are specified in the agreed terms and conditions, milestones and payment schedules. </w:t>
      </w:r>
    </w:p>
    <w:p w14:paraId="0F0440BD" w14:textId="77777777" w:rsidR="00F47023" w:rsidRDefault="00F47023" w:rsidP="00F47023">
      <w:pPr>
        <w:pStyle w:val="FSBodyText"/>
      </w:pPr>
      <w:r>
        <w:t xml:space="preserve">The transaction price is the total amount of consideration to which the Commission expects to be entitled in exchange for transferring promised services to a customer. The consideration promised in a contract with a customer may include fixed amounts, variable amounts, or both. No consideration from contracts is excluded in the transaction price. In the event that a change is required to any of the terms and conditions contained in a contract or agreement, including transaction price, a Contract Variation is agreed between the parties. The Commission has a right to consideration from a customer in an amount that corresponds directly with the value to the customer of the Commission’s performance completed to date under the original contract or subsequent variations to the contract. </w:t>
      </w:r>
    </w:p>
    <w:p w14:paraId="31345E0A" w14:textId="77777777" w:rsidR="00F47023" w:rsidRDefault="00F47023" w:rsidP="00F47023">
      <w:pPr>
        <w:pStyle w:val="FSBodyText"/>
      </w:pPr>
      <w:r>
        <w:t>Where performance obligations are satisfied over time, revenue is recognised monthly in arrears following a review of costs incurred for the delivery of service obligations for the project(s) and activities related to the customer contract. Costs incurred are primarily recurring in nature, and the customer simultaneously receives and effectively gains control of the services as the Commission performs its obligations.</w:t>
      </w:r>
    </w:p>
    <w:p w14:paraId="41087522" w14:textId="77777777" w:rsidR="00F47023" w:rsidRDefault="00F47023" w:rsidP="00F47023">
      <w:pPr>
        <w:pStyle w:val="FSBodyText"/>
      </w:pPr>
      <w:r>
        <w:t xml:space="preserve">Revenue for performance obligations satisfied at a point in time is recognised in accordance with specified milestones for the performance of obligations in the contract, for example “acceptance of a final report by the customer”. Customer contracts with performance obligations satisfied at a point in time are short-term and include agreed dates for completion of milestones and transferral of any deliverable(s), this also indicates when a customer obtains control of outputs from the promised services. Milestone completion is confirmed with relevant contract manager prior to revenue recognition. </w:t>
      </w:r>
    </w:p>
    <w:p w14:paraId="7B1A5801" w14:textId="3CAF1307" w:rsidR="00B857F6" w:rsidRDefault="00F47023" w:rsidP="00F47023">
      <w:pPr>
        <w:pStyle w:val="FSBodyText"/>
      </w:pPr>
      <w:r>
        <w:t>Receivables for goods and services, which have 30 day terms, are recognised at the nominal amounts due less any impairment allowance account. Collectability of debts is reviewed at end of the reporting period. Allowances are made when collectability of the debt is no longer probable.</w:t>
      </w:r>
    </w:p>
    <w:p w14:paraId="11BAC66F" w14:textId="77777777" w:rsidR="00B857F6" w:rsidRDefault="00B857F6" w:rsidP="00F47023">
      <w:pPr>
        <w:pStyle w:val="FSBodyText"/>
      </w:pPr>
    </w:p>
    <w:tbl>
      <w:tblPr>
        <w:tblW w:w="10091" w:type="dxa"/>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7337"/>
        <w:gridCol w:w="1361"/>
        <w:gridCol w:w="1393"/>
      </w:tblGrid>
      <w:tr w:rsidR="00B857F6" w:rsidRPr="00B857F6" w14:paraId="6C4381B5" w14:textId="77777777" w:rsidTr="00DB5ABC">
        <w:trPr>
          <w:trHeight w:val="255"/>
          <w:tblHeader/>
        </w:trPr>
        <w:tc>
          <w:tcPr>
            <w:tcW w:w="7337" w:type="dxa"/>
            <w:shd w:val="clear" w:color="auto" w:fill="1CBDC9"/>
            <w:tcMar>
              <w:top w:w="85" w:type="dxa"/>
              <w:left w:w="113" w:type="dxa"/>
              <w:bottom w:w="113" w:type="dxa"/>
              <w:right w:w="113" w:type="dxa"/>
            </w:tcMar>
            <w:vAlign w:val="bottom"/>
          </w:tcPr>
          <w:p w14:paraId="33C75620" w14:textId="77777777" w:rsidR="00B857F6" w:rsidRPr="008400E5" w:rsidRDefault="00B857F6" w:rsidP="00B857F6">
            <w:pPr>
              <w:autoSpaceDE w:val="0"/>
              <w:autoSpaceDN w:val="0"/>
              <w:adjustRightInd w:val="0"/>
              <w:spacing w:before="0" w:after="0" w:line="240" w:lineRule="auto"/>
              <w:rPr>
                <w:rFonts w:ascii="Open Sans Condensed" w:hAnsi="Open Sans Condensed"/>
                <w:color w:val="FFFFFF" w:themeColor="background1"/>
                <w:sz w:val="20"/>
                <w:szCs w:val="20"/>
                <w:lang w:val="en-US"/>
              </w:rPr>
            </w:pPr>
          </w:p>
        </w:tc>
        <w:tc>
          <w:tcPr>
            <w:tcW w:w="1361" w:type="dxa"/>
            <w:shd w:val="clear" w:color="auto" w:fill="1CBDC9"/>
            <w:tcMar>
              <w:top w:w="85" w:type="dxa"/>
              <w:left w:w="113" w:type="dxa"/>
              <w:bottom w:w="113" w:type="dxa"/>
              <w:right w:w="113" w:type="dxa"/>
            </w:tcMar>
            <w:vAlign w:val="bottom"/>
          </w:tcPr>
          <w:p w14:paraId="013FE711"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ascii="Open Sans Condensed" w:hAnsi="Open Sans Condensed" w:cs="Open Sans Condensed"/>
                <w:b/>
                <w:bCs/>
                <w:color w:val="FFFFFF" w:themeColor="background1"/>
                <w:sz w:val="20"/>
                <w:szCs w:val="20"/>
                <w:lang w:val="en-US"/>
              </w:rPr>
            </w:pPr>
            <w:r w:rsidRPr="00B857F6">
              <w:rPr>
                <w:rFonts w:ascii="Open Sans Condensed" w:hAnsi="Open Sans Condensed" w:cs="Open Sans Condensed"/>
                <w:b/>
                <w:bCs/>
                <w:color w:val="FFFFFF" w:themeColor="background1"/>
                <w:sz w:val="20"/>
                <w:szCs w:val="20"/>
                <w:lang w:val="en-US"/>
              </w:rPr>
              <w:t>2023</w:t>
            </w:r>
          </w:p>
          <w:p w14:paraId="0B9017B3"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ascii="Open Sans Condensed" w:hAnsi="Open Sans Condensed" w:cs="Open Sans Condensed"/>
                <w:b/>
                <w:bCs/>
                <w:color w:val="FFFFFF" w:themeColor="background1"/>
                <w:sz w:val="20"/>
                <w:szCs w:val="20"/>
                <w:lang w:val="en-US"/>
              </w:rPr>
            </w:pPr>
            <w:r w:rsidRPr="00B857F6">
              <w:rPr>
                <w:rFonts w:ascii="Open Sans Condensed" w:hAnsi="Open Sans Condensed" w:cs="Open Sans Condensed"/>
                <w:b/>
                <w:bCs/>
                <w:color w:val="FFFFFF" w:themeColor="background1"/>
                <w:sz w:val="20"/>
                <w:szCs w:val="20"/>
                <w:lang w:val="en-US"/>
              </w:rPr>
              <w:t>$’000</w:t>
            </w:r>
          </w:p>
        </w:tc>
        <w:tc>
          <w:tcPr>
            <w:tcW w:w="1393" w:type="dxa"/>
            <w:shd w:val="clear" w:color="auto" w:fill="1CBDC9"/>
            <w:tcMar>
              <w:top w:w="85" w:type="dxa"/>
              <w:left w:w="113" w:type="dxa"/>
              <w:bottom w:w="113" w:type="dxa"/>
              <w:right w:w="113" w:type="dxa"/>
            </w:tcMar>
            <w:vAlign w:val="bottom"/>
          </w:tcPr>
          <w:p w14:paraId="31E9DB10"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ascii="Open Sans Condensed Light" w:hAnsi="Open Sans Condensed Light" w:cs="Open Sans Condensed Light"/>
                <w:color w:val="FFFFFF" w:themeColor="background1"/>
                <w:sz w:val="20"/>
                <w:szCs w:val="20"/>
                <w:lang w:val="en-US"/>
              </w:rPr>
            </w:pPr>
            <w:r w:rsidRPr="00B857F6">
              <w:rPr>
                <w:rFonts w:ascii="Open Sans Condensed Light" w:hAnsi="Open Sans Condensed Light" w:cs="Open Sans Condensed Light"/>
                <w:color w:val="FFFFFF" w:themeColor="background1"/>
                <w:sz w:val="20"/>
                <w:szCs w:val="20"/>
                <w:lang w:val="en-US"/>
              </w:rPr>
              <w:t>2022</w:t>
            </w:r>
          </w:p>
          <w:p w14:paraId="7385BA28"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ascii="Open Sans Condensed" w:hAnsi="Open Sans Condensed" w:cs="Open Sans Condensed"/>
                <w:b/>
                <w:bCs/>
                <w:color w:val="FFFFFF" w:themeColor="background1"/>
                <w:sz w:val="20"/>
                <w:szCs w:val="20"/>
                <w:lang w:val="en-US"/>
              </w:rPr>
            </w:pPr>
            <w:r w:rsidRPr="00B857F6">
              <w:rPr>
                <w:rFonts w:ascii="Open Sans Condensed Light" w:hAnsi="Open Sans Condensed Light" w:cs="Open Sans Condensed Light"/>
                <w:color w:val="FFFFFF" w:themeColor="background1"/>
                <w:sz w:val="20"/>
                <w:szCs w:val="20"/>
                <w:lang w:val="en-US"/>
              </w:rPr>
              <w:t>$’000</w:t>
            </w:r>
          </w:p>
        </w:tc>
      </w:tr>
      <w:tr w:rsidR="00B857F6" w:rsidRPr="00B857F6" w14:paraId="43E3905C" w14:textId="77777777" w:rsidTr="00DB5ABC">
        <w:trPr>
          <w:trHeight w:val="240"/>
        </w:trPr>
        <w:tc>
          <w:tcPr>
            <w:tcW w:w="7337" w:type="dxa"/>
            <w:tcMar>
              <w:top w:w="113" w:type="dxa"/>
              <w:left w:w="0" w:type="dxa"/>
              <w:bottom w:w="57" w:type="dxa"/>
              <w:right w:w="113" w:type="dxa"/>
            </w:tcMar>
            <w:vAlign w:val="bottom"/>
          </w:tcPr>
          <w:p w14:paraId="74D3F7DC" w14:textId="77777777" w:rsidR="00B857F6" w:rsidRPr="00B857F6" w:rsidRDefault="00B857F6" w:rsidP="00E8256E">
            <w:pPr>
              <w:pStyle w:val="FSBlueHeadingBold"/>
            </w:pPr>
            <w:r w:rsidRPr="00B857F6">
              <w:t>1.2B: Interest</w:t>
            </w:r>
          </w:p>
        </w:tc>
        <w:tc>
          <w:tcPr>
            <w:tcW w:w="1361" w:type="dxa"/>
            <w:tcMar>
              <w:top w:w="113" w:type="dxa"/>
              <w:left w:w="0" w:type="dxa"/>
              <w:bottom w:w="57" w:type="dxa"/>
              <w:right w:w="113" w:type="dxa"/>
            </w:tcMar>
            <w:vAlign w:val="bottom"/>
          </w:tcPr>
          <w:p w14:paraId="02D89D8D" w14:textId="77777777" w:rsidR="00B857F6" w:rsidRPr="00B857F6" w:rsidRDefault="00B857F6" w:rsidP="00B857F6">
            <w:pPr>
              <w:autoSpaceDE w:val="0"/>
              <w:autoSpaceDN w:val="0"/>
              <w:adjustRightInd w:val="0"/>
              <w:spacing w:before="0" w:after="0" w:line="240" w:lineRule="auto"/>
              <w:rPr>
                <w:rFonts w:ascii="Open Sans Condensed" w:hAnsi="Open Sans Condensed"/>
                <w:sz w:val="16"/>
                <w:szCs w:val="16"/>
                <w:lang w:val="it-IT"/>
              </w:rPr>
            </w:pPr>
          </w:p>
        </w:tc>
        <w:tc>
          <w:tcPr>
            <w:tcW w:w="1393" w:type="dxa"/>
            <w:tcMar>
              <w:top w:w="113" w:type="dxa"/>
              <w:left w:w="80" w:type="dxa"/>
              <w:bottom w:w="80" w:type="dxa"/>
              <w:right w:w="80" w:type="dxa"/>
            </w:tcMar>
            <w:vAlign w:val="bottom"/>
          </w:tcPr>
          <w:p w14:paraId="4B20C99E" w14:textId="77777777" w:rsidR="00B857F6" w:rsidRPr="00B857F6" w:rsidRDefault="00B857F6" w:rsidP="00B857F6">
            <w:pPr>
              <w:autoSpaceDE w:val="0"/>
              <w:autoSpaceDN w:val="0"/>
              <w:adjustRightInd w:val="0"/>
              <w:spacing w:before="0" w:after="0" w:line="240" w:lineRule="auto"/>
              <w:rPr>
                <w:rFonts w:ascii="Open Sans Condensed" w:hAnsi="Open Sans Condensed"/>
                <w:sz w:val="16"/>
                <w:szCs w:val="16"/>
                <w:lang w:val="it-IT"/>
              </w:rPr>
            </w:pPr>
          </w:p>
        </w:tc>
      </w:tr>
      <w:tr w:rsidR="00B857F6" w:rsidRPr="00B857F6" w14:paraId="59B8CB0B" w14:textId="77777777" w:rsidTr="00DB5ABC">
        <w:trPr>
          <w:trHeight w:val="240"/>
        </w:trPr>
        <w:tc>
          <w:tcPr>
            <w:tcW w:w="7337" w:type="dxa"/>
            <w:tcMar>
              <w:top w:w="113" w:type="dxa"/>
              <w:left w:w="0" w:type="dxa"/>
              <w:bottom w:w="113" w:type="dxa"/>
              <w:right w:w="113" w:type="dxa"/>
            </w:tcMar>
            <w:vAlign w:val="bottom"/>
          </w:tcPr>
          <w:p w14:paraId="0C2601BA"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B857F6">
              <w:rPr>
                <w:rFonts w:cs="Open Sans"/>
                <w:color w:val="000000"/>
                <w:sz w:val="16"/>
                <w:szCs w:val="16"/>
                <w:lang w:val="it-IT"/>
              </w:rPr>
              <w:t>Deposits</w:t>
            </w:r>
          </w:p>
        </w:tc>
        <w:tc>
          <w:tcPr>
            <w:tcW w:w="1361" w:type="dxa"/>
            <w:tcMar>
              <w:top w:w="113" w:type="dxa"/>
              <w:left w:w="0" w:type="dxa"/>
              <w:bottom w:w="113" w:type="dxa"/>
              <w:right w:w="113" w:type="dxa"/>
            </w:tcMar>
            <w:vAlign w:val="bottom"/>
          </w:tcPr>
          <w:p w14:paraId="291CEA0E"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b/>
                <w:bCs/>
                <w:color w:val="000000"/>
                <w:sz w:val="16"/>
                <w:szCs w:val="16"/>
                <w:lang w:val="it-IT"/>
              </w:rPr>
              <w:t xml:space="preserve">483 </w:t>
            </w:r>
          </w:p>
        </w:tc>
        <w:tc>
          <w:tcPr>
            <w:tcW w:w="1393" w:type="dxa"/>
            <w:tcMar>
              <w:top w:w="113" w:type="dxa"/>
              <w:left w:w="0" w:type="dxa"/>
              <w:bottom w:w="113" w:type="dxa"/>
              <w:right w:w="113" w:type="dxa"/>
            </w:tcMar>
            <w:vAlign w:val="bottom"/>
          </w:tcPr>
          <w:p w14:paraId="554BD860"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color w:val="000000"/>
                <w:sz w:val="16"/>
                <w:szCs w:val="16"/>
                <w:lang w:val="it-IT"/>
              </w:rPr>
              <w:t xml:space="preserve">5 </w:t>
            </w:r>
          </w:p>
        </w:tc>
      </w:tr>
      <w:tr w:rsidR="00B857F6" w:rsidRPr="00B857F6" w14:paraId="02702D11" w14:textId="77777777" w:rsidTr="00DB5ABC">
        <w:trPr>
          <w:trHeight w:val="240"/>
        </w:trPr>
        <w:tc>
          <w:tcPr>
            <w:tcW w:w="7337" w:type="dxa"/>
            <w:shd w:val="clear" w:color="auto" w:fill="F2F2F2" w:themeFill="background1" w:themeFillShade="F2"/>
            <w:tcMar>
              <w:top w:w="113" w:type="dxa"/>
              <w:left w:w="0" w:type="dxa"/>
              <w:bottom w:w="113" w:type="dxa"/>
              <w:right w:w="113" w:type="dxa"/>
            </w:tcMar>
            <w:vAlign w:val="bottom"/>
          </w:tcPr>
          <w:p w14:paraId="21523B9E"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B857F6">
              <w:rPr>
                <w:rFonts w:cs="Open Sans"/>
                <w:b/>
                <w:bCs/>
                <w:color w:val="000000"/>
                <w:sz w:val="16"/>
                <w:szCs w:val="16"/>
                <w:lang w:val="it-IT"/>
              </w:rPr>
              <w:t>Total interest</w:t>
            </w:r>
          </w:p>
        </w:tc>
        <w:tc>
          <w:tcPr>
            <w:tcW w:w="1361" w:type="dxa"/>
            <w:shd w:val="clear" w:color="auto" w:fill="F2F2F2" w:themeFill="background1" w:themeFillShade="F2"/>
            <w:tcMar>
              <w:top w:w="113" w:type="dxa"/>
              <w:left w:w="0" w:type="dxa"/>
              <w:bottom w:w="113" w:type="dxa"/>
              <w:right w:w="113" w:type="dxa"/>
            </w:tcMar>
            <w:vAlign w:val="bottom"/>
          </w:tcPr>
          <w:p w14:paraId="6AC5CEF9"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b/>
                <w:bCs/>
                <w:color w:val="000000"/>
                <w:sz w:val="16"/>
                <w:szCs w:val="16"/>
                <w:lang w:val="it-IT"/>
              </w:rPr>
              <w:t xml:space="preserve">483 </w:t>
            </w:r>
          </w:p>
        </w:tc>
        <w:tc>
          <w:tcPr>
            <w:tcW w:w="1393" w:type="dxa"/>
            <w:shd w:val="clear" w:color="auto" w:fill="F2F2F2" w:themeFill="background1" w:themeFillShade="F2"/>
            <w:tcMar>
              <w:top w:w="113" w:type="dxa"/>
              <w:left w:w="0" w:type="dxa"/>
              <w:bottom w:w="113" w:type="dxa"/>
              <w:right w:w="113" w:type="dxa"/>
            </w:tcMar>
            <w:vAlign w:val="bottom"/>
          </w:tcPr>
          <w:p w14:paraId="41A21799"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color w:val="000000"/>
                <w:sz w:val="16"/>
                <w:szCs w:val="16"/>
                <w:lang w:val="it-IT"/>
              </w:rPr>
              <w:t xml:space="preserve">5 </w:t>
            </w:r>
          </w:p>
        </w:tc>
      </w:tr>
      <w:tr w:rsidR="00B857F6" w:rsidRPr="00B857F6" w14:paraId="409ADB81" w14:textId="77777777" w:rsidTr="00DB5ABC">
        <w:trPr>
          <w:trHeight w:val="373"/>
        </w:trPr>
        <w:tc>
          <w:tcPr>
            <w:tcW w:w="10091" w:type="dxa"/>
            <w:gridSpan w:val="3"/>
            <w:tcMar>
              <w:top w:w="170" w:type="dxa"/>
              <w:left w:w="0" w:type="dxa"/>
              <w:bottom w:w="170" w:type="dxa"/>
              <w:right w:w="113" w:type="dxa"/>
            </w:tcMar>
            <w:vAlign w:val="bottom"/>
          </w:tcPr>
          <w:p w14:paraId="247D888B"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000000"/>
                <w:sz w:val="16"/>
                <w:szCs w:val="16"/>
                <w:lang w:val="en-US"/>
              </w:rPr>
            </w:pPr>
            <w:r w:rsidRPr="00B857F6">
              <w:rPr>
                <w:rFonts w:cs="Open Sans"/>
                <w:b/>
                <w:bCs/>
                <w:color w:val="000000"/>
                <w:sz w:val="16"/>
                <w:szCs w:val="16"/>
                <w:lang w:val="en-US"/>
              </w:rPr>
              <w:t>Accounting Policy</w:t>
            </w:r>
          </w:p>
          <w:p w14:paraId="7EEC0C25"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B857F6">
              <w:rPr>
                <w:rFonts w:cs="Open Sans"/>
                <w:color w:val="000000"/>
                <w:sz w:val="16"/>
                <w:szCs w:val="16"/>
                <w:lang w:val="en-US"/>
              </w:rPr>
              <w:t>Interest revenue is recognised using the effective interest method.</w:t>
            </w:r>
          </w:p>
        </w:tc>
      </w:tr>
      <w:tr w:rsidR="00B857F6" w:rsidRPr="00B857F6" w14:paraId="42A2D5D5" w14:textId="77777777" w:rsidTr="00DB5ABC">
        <w:trPr>
          <w:trHeight w:val="240"/>
        </w:trPr>
        <w:tc>
          <w:tcPr>
            <w:tcW w:w="7337" w:type="dxa"/>
            <w:tcMar>
              <w:top w:w="113" w:type="dxa"/>
              <w:left w:w="0" w:type="dxa"/>
              <w:bottom w:w="57" w:type="dxa"/>
              <w:right w:w="113" w:type="dxa"/>
            </w:tcMar>
            <w:vAlign w:val="bottom"/>
          </w:tcPr>
          <w:p w14:paraId="0FE3CBA4" w14:textId="77777777" w:rsidR="00B857F6" w:rsidRPr="00B857F6" w:rsidRDefault="00B857F6" w:rsidP="00E8256E">
            <w:pPr>
              <w:pStyle w:val="FSBlueHeadingBold"/>
            </w:pPr>
            <w:r w:rsidRPr="00B857F6">
              <w:t>1.2C: Other Revenue</w:t>
            </w:r>
          </w:p>
        </w:tc>
        <w:tc>
          <w:tcPr>
            <w:tcW w:w="1361" w:type="dxa"/>
            <w:tcMar>
              <w:top w:w="113" w:type="dxa"/>
              <w:left w:w="0" w:type="dxa"/>
              <w:bottom w:w="57" w:type="dxa"/>
              <w:right w:w="113" w:type="dxa"/>
            </w:tcMar>
            <w:vAlign w:val="bottom"/>
          </w:tcPr>
          <w:p w14:paraId="31081C02" w14:textId="77777777" w:rsidR="00B857F6" w:rsidRPr="00B857F6" w:rsidRDefault="00B857F6" w:rsidP="00B857F6">
            <w:pPr>
              <w:autoSpaceDE w:val="0"/>
              <w:autoSpaceDN w:val="0"/>
              <w:adjustRightInd w:val="0"/>
              <w:spacing w:before="0" w:after="0" w:line="240" w:lineRule="auto"/>
              <w:rPr>
                <w:rFonts w:ascii="Open Sans Condensed" w:hAnsi="Open Sans Condensed"/>
                <w:sz w:val="16"/>
                <w:szCs w:val="16"/>
                <w:lang w:val="it-IT"/>
              </w:rPr>
            </w:pPr>
          </w:p>
        </w:tc>
        <w:tc>
          <w:tcPr>
            <w:tcW w:w="1393" w:type="dxa"/>
            <w:tcMar>
              <w:top w:w="113" w:type="dxa"/>
              <w:left w:w="80" w:type="dxa"/>
              <w:bottom w:w="80" w:type="dxa"/>
              <w:right w:w="80" w:type="dxa"/>
            </w:tcMar>
            <w:vAlign w:val="bottom"/>
          </w:tcPr>
          <w:p w14:paraId="1F2752DE" w14:textId="77777777" w:rsidR="00B857F6" w:rsidRPr="00B857F6" w:rsidRDefault="00B857F6" w:rsidP="00B857F6">
            <w:pPr>
              <w:autoSpaceDE w:val="0"/>
              <w:autoSpaceDN w:val="0"/>
              <w:adjustRightInd w:val="0"/>
              <w:spacing w:before="0" w:after="0" w:line="240" w:lineRule="auto"/>
              <w:rPr>
                <w:rFonts w:ascii="Open Sans Condensed" w:hAnsi="Open Sans Condensed"/>
                <w:sz w:val="16"/>
                <w:szCs w:val="16"/>
                <w:lang w:val="it-IT"/>
              </w:rPr>
            </w:pPr>
          </w:p>
        </w:tc>
      </w:tr>
      <w:tr w:rsidR="00B857F6" w:rsidRPr="00B857F6" w14:paraId="268CECDF" w14:textId="77777777" w:rsidTr="00DB5ABC">
        <w:trPr>
          <w:trHeight w:val="240"/>
        </w:trPr>
        <w:tc>
          <w:tcPr>
            <w:tcW w:w="7337" w:type="dxa"/>
            <w:tcMar>
              <w:top w:w="28" w:type="dxa"/>
              <w:left w:w="0" w:type="dxa"/>
              <w:bottom w:w="57" w:type="dxa"/>
              <w:right w:w="113" w:type="dxa"/>
            </w:tcMar>
            <w:vAlign w:val="bottom"/>
          </w:tcPr>
          <w:p w14:paraId="7BF21548"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B857F6">
              <w:rPr>
                <w:rFonts w:cs="Open Sans"/>
                <w:color w:val="000000"/>
                <w:sz w:val="16"/>
                <w:szCs w:val="16"/>
                <w:lang w:val="en-US"/>
              </w:rPr>
              <w:t>Resources received free of charge</w:t>
            </w:r>
          </w:p>
        </w:tc>
        <w:tc>
          <w:tcPr>
            <w:tcW w:w="1361" w:type="dxa"/>
            <w:tcMar>
              <w:top w:w="28" w:type="dxa"/>
              <w:left w:w="0" w:type="dxa"/>
              <w:bottom w:w="57" w:type="dxa"/>
              <w:right w:w="113" w:type="dxa"/>
            </w:tcMar>
            <w:vAlign w:val="bottom"/>
          </w:tcPr>
          <w:p w14:paraId="1127613F" w14:textId="77777777" w:rsidR="00B857F6" w:rsidRPr="00B857F6" w:rsidRDefault="00B857F6" w:rsidP="00B857F6">
            <w:pPr>
              <w:autoSpaceDE w:val="0"/>
              <w:autoSpaceDN w:val="0"/>
              <w:adjustRightInd w:val="0"/>
              <w:spacing w:before="0" w:after="0" w:line="240" w:lineRule="auto"/>
              <w:rPr>
                <w:rFonts w:ascii="Open Sans Condensed" w:hAnsi="Open Sans Condensed"/>
                <w:sz w:val="16"/>
                <w:szCs w:val="16"/>
                <w:lang w:val="en-US"/>
              </w:rPr>
            </w:pPr>
          </w:p>
        </w:tc>
        <w:tc>
          <w:tcPr>
            <w:tcW w:w="1393" w:type="dxa"/>
            <w:tcMar>
              <w:top w:w="80" w:type="dxa"/>
              <w:left w:w="80" w:type="dxa"/>
              <w:bottom w:w="80" w:type="dxa"/>
              <w:right w:w="80" w:type="dxa"/>
            </w:tcMar>
            <w:vAlign w:val="bottom"/>
          </w:tcPr>
          <w:p w14:paraId="2ECA6B8E" w14:textId="77777777" w:rsidR="00B857F6" w:rsidRPr="00B857F6" w:rsidRDefault="00B857F6" w:rsidP="00B857F6">
            <w:pPr>
              <w:autoSpaceDE w:val="0"/>
              <w:autoSpaceDN w:val="0"/>
              <w:adjustRightInd w:val="0"/>
              <w:spacing w:before="0" w:after="0" w:line="240" w:lineRule="auto"/>
              <w:rPr>
                <w:rFonts w:ascii="Open Sans Condensed" w:hAnsi="Open Sans Condensed"/>
                <w:sz w:val="16"/>
                <w:szCs w:val="16"/>
                <w:lang w:val="en-US"/>
              </w:rPr>
            </w:pPr>
          </w:p>
        </w:tc>
      </w:tr>
      <w:tr w:rsidR="00B857F6" w:rsidRPr="00B857F6" w14:paraId="0EC1EF62" w14:textId="77777777" w:rsidTr="00DB5ABC">
        <w:trPr>
          <w:trHeight w:val="240"/>
        </w:trPr>
        <w:tc>
          <w:tcPr>
            <w:tcW w:w="7337" w:type="dxa"/>
            <w:tcMar>
              <w:top w:w="28" w:type="dxa"/>
              <w:left w:w="0" w:type="dxa"/>
              <w:bottom w:w="57" w:type="dxa"/>
              <w:right w:w="113" w:type="dxa"/>
            </w:tcMar>
            <w:vAlign w:val="bottom"/>
          </w:tcPr>
          <w:p w14:paraId="0767E907"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ind w:firstLine="180"/>
              <w:textAlignment w:val="center"/>
              <w:rPr>
                <w:rFonts w:cs="Open Sans"/>
                <w:color w:val="000000"/>
                <w:sz w:val="16"/>
                <w:szCs w:val="16"/>
                <w:lang w:val="en-US"/>
              </w:rPr>
            </w:pPr>
            <w:r w:rsidRPr="00B857F6">
              <w:rPr>
                <w:rFonts w:cs="Open Sans"/>
                <w:color w:val="000000"/>
                <w:sz w:val="16"/>
                <w:szCs w:val="16"/>
                <w:lang w:val="it-IT"/>
              </w:rPr>
              <w:t>Remuneration of auditors</w:t>
            </w:r>
          </w:p>
        </w:tc>
        <w:tc>
          <w:tcPr>
            <w:tcW w:w="1361" w:type="dxa"/>
            <w:tcMar>
              <w:top w:w="28" w:type="dxa"/>
              <w:left w:w="0" w:type="dxa"/>
              <w:bottom w:w="57" w:type="dxa"/>
              <w:right w:w="113" w:type="dxa"/>
            </w:tcMar>
            <w:vAlign w:val="bottom"/>
          </w:tcPr>
          <w:p w14:paraId="386365FE"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b/>
                <w:bCs/>
                <w:color w:val="000000"/>
                <w:sz w:val="16"/>
                <w:szCs w:val="16"/>
                <w:lang w:val="en-US"/>
              </w:rPr>
              <w:t>46</w:t>
            </w:r>
          </w:p>
        </w:tc>
        <w:tc>
          <w:tcPr>
            <w:tcW w:w="1393" w:type="dxa"/>
            <w:tcMar>
              <w:top w:w="80" w:type="dxa"/>
              <w:left w:w="80" w:type="dxa"/>
              <w:bottom w:w="80" w:type="dxa"/>
              <w:right w:w="80" w:type="dxa"/>
            </w:tcMar>
            <w:vAlign w:val="bottom"/>
          </w:tcPr>
          <w:p w14:paraId="584CA0CE"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color w:val="000000"/>
                <w:sz w:val="16"/>
                <w:szCs w:val="16"/>
                <w:lang w:val="it-IT"/>
              </w:rPr>
              <w:t>46</w:t>
            </w:r>
          </w:p>
        </w:tc>
      </w:tr>
      <w:tr w:rsidR="00B857F6" w:rsidRPr="00B857F6" w14:paraId="2742B7BE" w14:textId="77777777" w:rsidTr="00DB5ABC">
        <w:trPr>
          <w:trHeight w:val="240"/>
        </w:trPr>
        <w:tc>
          <w:tcPr>
            <w:tcW w:w="7337" w:type="dxa"/>
            <w:tcMar>
              <w:top w:w="113" w:type="dxa"/>
              <w:left w:w="0" w:type="dxa"/>
              <w:bottom w:w="113" w:type="dxa"/>
              <w:right w:w="113" w:type="dxa"/>
            </w:tcMar>
            <w:vAlign w:val="bottom"/>
          </w:tcPr>
          <w:p w14:paraId="41092F56"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ind w:firstLine="180"/>
              <w:textAlignment w:val="center"/>
              <w:rPr>
                <w:rFonts w:cs="Open Sans"/>
                <w:color w:val="000000"/>
                <w:sz w:val="16"/>
                <w:szCs w:val="16"/>
                <w:lang w:val="en-US"/>
              </w:rPr>
            </w:pPr>
            <w:r w:rsidRPr="00B857F6">
              <w:rPr>
                <w:rFonts w:cs="Open Sans"/>
                <w:color w:val="000000"/>
                <w:sz w:val="16"/>
                <w:szCs w:val="16"/>
                <w:lang w:val="it-IT"/>
              </w:rPr>
              <w:t>Other</w:t>
            </w:r>
          </w:p>
        </w:tc>
        <w:tc>
          <w:tcPr>
            <w:tcW w:w="1361" w:type="dxa"/>
            <w:tcMar>
              <w:top w:w="113" w:type="dxa"/>
              <w:left w:w="0" w:type="dxa"/>
              <w:bottom w:w="113" w:type="dxa"/>
              <w:right w:w="113" w:type="dxa"/>
            </w:tcMar>
            <w:vAlign w:val="bottom"/>
          </w:tcPr>
          <w:p w14:paraId="1869BA94"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b/>
                <w:bCs/>
                <w:color w:val="000000"/>
                <w:sz w:val="16"/>
                <w:szCs w:val="16"/>
                <w:lang w:val="en-US"/>
              </w:rPr>
              <w:t>12</w:t>
            </w:r>
          </w:p>
        </w:tc>
        <w:tc>
          <w:tcPr>
            <w:tcW w:w="1393" w:type="dxa"/>
            <w:tcMar>
              <w:top w:w="113" w:type="dxa"/>
              <w:left w:w="0" w:type="dxa"/>
              <w:bottom w:w="113" w:type="dxa"/>
              <w:right w:w="113" w:type="dxa"/>
            </w:tcMar>
            <w:vAlign w:val="bottom"/>
          </w:tcPr>
          <w:p w14:paraId="2B278C6B"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color w:val="000000"/>
                <w:sz w:val="16"/>
                <w:szCs w:val="16"/>
                <w:lang w:val="it-IT"/>
              </w:rPr>
              <w:t xml:space="preserve"> -</w:t>
            </w:r>
          </w:p>
        </w:tc>
      </w:tr>
      <w:tr w:rsidR="00B857F6" w:rsidRPr="00B857F6" w14:paraId="61DEFDF7" w14:textId="77777777" w:rsidTr="00DB5ABC">
        <w:trPr>
          <w:trHeight w:val="240"/>
        </w:trPr>
        <w:tc>
          <w:tcPr>
            <w:tcW w:w="7337" w:type="dxa"/>
            <w:shd w:val="clear" w:color="auto" w:fill="F2F2F2" w:themeFill="background1" w:themeFillShade="F2"/>
            <w:tcMar>
              <w:top w:w="113" w:type="dxa"/>
              <w:left w:w="0" w:type="dxa"/>
              <w:bottom w:w="113" w:type="dxa"/>
              <w:right w:w="113" w:type="dxa"/>
            </w:tcMar>
            <w:vAlign w:val="bottom"/>
          </w:tcPr>
          <w:p w14:paraId="458FC9D1"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B857F6">
              <w:rPr>
                <w:rFonts w:cs="Open Sans"/>
                <w:b/>
                <w:bCs/>
                <w:color w:val="000000"/>
                <w:sz w:val="16"/>
                <w:szCs w:val="16"/>
                <w:lang w:val="it-IT"/>
              </w:rPr>
              <w:t>Total other revenue</w:t>
            </w:r>
          </w:p>
        </w:tc>
        <w:tc>
          <w:tcPr>
            <w:tcW w:w="1361" w:type="dxa"/>
            <w:shd w:val="clear" w:color="auto" w:fill="F2F2F2" w:themeFill="background1" w:themeFillShade="F2"/>
            <w:tcMar>
              <w:top w:w="113" w:type="dxa"/>
              <w:left w:w="0" w:type="dxa"/>
              <w:bottom w:w="113" w:type="dxa"/>
              <w:right w:w="113" w:type="dxa"/>
            </w:tcMar>
            <w:vAlign w:val="bottom"/>
          </w:tcPr>
          <w:p w14:paraId="383E2FF1"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b/>
                <w:bCs/>
                <w:color w:val="000000"/>
                <w:sz w:val="16"/>
                <w:szCs w:val="16"/>
                <w:lang w:val="it-IT"/>
              </w:rPr>
              <w:t xml:space="preserve">58 </w:t>
            </w:r>
          </w:p>
        </w:tc>
        <w:tc>
          <w:tcPr>
            <w:tcW w:w="1393" w:type="dxa"/>
            <w:shd w:val="clear" w:color="auto" w:fill="F2F2F2" w:themeFill="background1" w:themeFillShade="F2"/>
            <w:tcMar>
              <w:top w:w="113" w:type="dxa"/>
              <w:left w:w="0" w:type="dxa"/>
              <w:bottom w:w="113" w:type="dxa"/>
              <w:right w:w="113" w:type="dxa"/>
            </w:tcMar>
            <w:vAlign w:val="bottom"/>
          </w:tcPr>
          <w:p w14:paraId="44C2024C"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color w:val="000000"/>
                <w:sz w:val="16"/>
                <w:szCs w:val="16"/>
                <w:lang w:val="it-IT"/>
              </w:rPr>
              <w:t xml:space="preserve">46 </w:t>
            </w:r>
          </w:p>
        </w:tc>
      </w:tr>
      <w:tr w:rsidR="00B857F6" w:rsidRPr="00B857F6" w14:paraId="6D74C9AF" w14:textId="77777777" w:rsidTr="00DB5ABC">
        <w:trPr>
          <w:trHeight w:val="1230"/>
        </w:trPr>
        <w:tc>
          <w:tcPr>
            <w:tcW w:w="10091" w:type="dxa"/>
            <w:gridSpan w:val="3"/>
            <w:tcMar>
              <w:top w:w="170" w:type="dxa"/>
              <w:left w:w="0" w:type="dxa"/>
              <w:bottom w:w="170" w:type="dxa"/>
              <w:right w:w="113" w:type="dxa"/>
            </w:tcMar>
            <w:vAlign w:val="bottom"/>
          </w:tcPr>
          <w:p w14:paraId="42C1DD33"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120" w:line="240" w:lineRule="auto"/>
              <w:textAlignment w:val="center"/>
              <w:rPr>
                <w:rFonts w:cs="Open Sans"/>
                <w:b/>
                <w:bCs/>
                <w:color w:val="000000"/>
                <w:sz w:val="16"/>
                <w:szCs w:val="16"/>
                <w:lang w:val="en-US"/>
              </w:rPr>
            </w:pPr>
            <w:r w:rsidRPr="00B857F6">
              <w:rPr>
                <w:rFonts w:cs="Open Sans"/>
                <w:b/>
                <w:bCs/>
                <w:color w:val="000000"/>
                <w:sz w:val="16"/>
                <w:szCs w:val="16"/>
                <w:lang w:val="en-US"/>
              </w:rPr>
              <w:t>Accounting Policy</w:t>
            </w:r>
          </w:p>
          <w:p w14:paraId="224FB9A8"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120" w:line="240" w:lineRule="auto"/>
              <w:textAlignment w:val="center"/>
              <w:rPr>
                <w:rFonts w:cs="Open Sans"/>
                <w:i/>
                <w:iCs/>
                <w:color w:val="000000"/>
                <w:sz w:val="16"/>
                <w:szCs w:val="16"/>
                <w:lang w:val="en-US"/>
              </w:rPr>
            </w:pPr>
            <w:r w:rsidRPr="00B857F6">
              <w:rPr>
                <w:rFonts w:cs="Open Sans"/>
                <w:i/>
                <w:iCs/>
                <w:color w:val="000000"/>
                <w:sz w:val="16"/>
                <w:szCs w:val="16"/>
                <w:lang w:val="en-US"/>
              </w:rPr>
              <w:t>Resources Received Free of Charge</w:t>
            </w:r>
          </w:p>
          <w:p w14:paraId="33767759" w14:textId="77777777" w:rsidR="00B857F6" w:rsidRDefault="00B857F6" w:rsidP="00B857F6">
            <w:pPr>
              <w:keepLines/>
              <w:tabs>
                <w:tab w:val="right" w:pos="6240"/>
                <w:tab w:val="right" w:pos="7280"/>
                <w:tab w:val="right" w:pos="8300"/>
              </w:tabs>
              <w:suppressAutoHyphens/>
              <w:autoSpaceDE w:val="0"/>
              <w:autoSpaceDN w:val="0"/>
              <w:adjustRightInd w:val="0"/>
              <w:spacing w:before="0" w:after="120" w:line="240" w:lineRule="auto"/>
              <w:textAlignment w:val="center"/>
              <w:rPr>
                <w:rFonts w:cs="Open Sans"/>
                <w:color w:val="000000"/>
                <w:sz w:val="16"/>
                <w:szCs w:val="16"/>
                <w:lang w:val="en-US"/>
              </w:rPr>
            </w:pPr>
            <w:r w:rsidRPr="00B857F6">
              <w:rPr>
                <w:rFonts w:cs="Open Sans"/>
                <w:color w:val="000000"/>
                <w:sz w:val="16"/>
                <w:szCs w:val="16"/>
                <w:lang w:val="en-US"/>
              </w:rPr>
              <w:t>Resources received free of charge are recognised as revenue when, and only when, a fair value can be reliably determined and the services would have been purchased if they had not been donated. Use of those resources is recognised as an expense. Resources received free of charge are recorded as either revenue or gains depending on their nature</w:t>
            </w:r>
          </w:p>
          <w:p w14:paraId="67922A7C" w14:textId="115FD4B3" w:rsidR="00B857F6" w:rsidRPr="00B857F6" w:rsidRDefault="00B857F6" w:rsidP="00B857F6">
            <w:pPr>
              <w:keepLines/>
              <w:tabs>
                <w:tab w:val="right" w:pos="6240"/>
                <w:tab w:val="right" w:pos="7280"/>
                <w:tab w:val="right" w:pos="8300"/>
              </w:tabs>
              <w:suppressAutoHyphens/>
              <w:autoSpaceDE w:val="0"/>
              <w:autoSpaceDN w:val="0"/>
              <w:adjustRightInd w:val="0"/>
              <w:spacing w:before="0" w:after="120" w:line="240" w:lineRule="auto"/>
              <w:textAlignment w:val="center"/>
              <w:rPr>
                <w:rFonts w:cs="Open Sans"/>
                <w:color w:val="000000"/>
                <w:sz w:val="16"/>
                <w:szCs w:val="16"/>
                <w:lang w:val="en-US"/>
              </w:rPr>
            </w:pPr>
          </w:p>
        </w:tc>
      </w:tr>
      <w:tr w:rsidR="00B857F6" w:rsidRPr="00B857F6" w14:paraId="6A72EFFD" w14:textId="77777777" w:rsidTr="00DB5ABC">
        <w:trPr>
          <w:trHeight w:val="240"/>
        </w:trPr>
        <w:tc>
          <w:tcPr>
            <w:tcW w:w="10091" w:type="dxa"/>
            <w:gridSpan w:val="3"/>
            <w:tcMar>
              <w:top w:w="113" w:type="dxa"/>
              <w:left w:w="0" w:type="dxa"/>
              <w:bottom w:w="57" w:type="dxa"/>
              <w:right w:w="113" w:type="dxa"/>
            </w:tcMar>
            <w:vAlign w:val="bottom"/>
          </w:tcPr>
          <w:p w14:paraId="346A3B55"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B857F6">
              <w:rPr>
                <w:rFonts w:cs="Open Sans"/>
                <w:b/>
                <w:bCs/>
                <w:caps/>
                <w:color w:val="2BB8C9"/>
                <w:sz w:val="16"/>
                <w:szCs w:val="16"/>
                <w:lang w:val="it-IT"/>
              </w:rPr>
              <w:t>Gains</w:t>
            </w:r>
          </w:p>
        </w:tc>
      </w:tr>
      <w:tr w:rsidR="00B857F6" w:rsidRPr="00B857F6" w14:paraId="205508E9" w14:textId="77777777" w:rsidTr="00DB5ABC">
        <w:trPr>
          <w:trHeight w:val="240"/>
        </w:trPr>
        <w:tc>
          <w:tcPr>
            <w:tcW w:w="7337" w:type="dxa"/>
            <w:tcMar>
              <w:top w:w="28" w:type="dxa"/>
              <w:left w:w="0" w:type="dxa"/>
              <w:bottom w:w="57" w:type="dxa"/>
              <w:right w:w="113" w:type="dxa"/>
            </w:tcMar>
            <w:vAlign w:val="bottom"/>
          </w:tcPr>
          <w:p w14:paraId="566D9B05"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r w:rsidRPr="00B857F6">
              <w:rPr>
                <w:rFonts w:cs="Open Sans"/>
                <w:b/>
                <w:bCs/>
                <w:color w:val="2BB8C9"/>
                <w:sz w:val="16"/>
                <w:szCs w:val="16"/>
                <w:lang w:val="en-US"/>
              </w:rPr>
              <w:t>1.2D: Other Gains</w:t>
            </w:r>
          </w:p>
        </w:tc>
        <w:tc>
          <w:tcPr>
            <w:tcW w:w="1361" w:type="dxa"/>
            <w:tcMar>
              <w:top w:w="28" w:type="dxa"/>
              <w:left w:w="0" w:type="dxa"/>
              <w:bottom w:w="57" w:type="dxa"/>
              <w:right w:w="113" w:type="dxa"/>
            </w:tcMar>
            <w:vAlign w:val="bottom"/>
          </w:tcPr>
          <w:p w14:paraId="45E0EE0D" w14:textId="77777777" w:rsidR="00B857F6" w:rsidRPr="00B857F6" w:rsidRDefault="00B857F6" w:rsidP="00B857F6">
            <w:pPr>
              <w:autoSpaceDE w:val="0"/>
              <w:autoSpaceDN w:val="0"/>
              <w:adjustRightInd w:val="0"/>
              <w:spacing w:before="0" w:after="0" w:line="240" w:lineRule="auto"/>
              <w:rPr>
                <w:rFonts w:ascii="Open Sans Condensed" w:hAnsi="Open Sans Condensed"/>
                <w:sz w:val="16"/>
                <w:szCs w:val="16"/>
                <w:lang w:val="it-IT"/>
              </w:rPr>
            </w:pPr>
          </w:p>
        </w:tc>
        <w:tc>
          <w:tcPr>
            <w:tcW w:w="1393" w:type="dxa"/>
            <w:tcMar>
              <w:top w:w="80" w:type="dxa"/>
              <w:left w:w="80" w:type="dxa"/>
              <w:bottom w:w="80" w:type="dxa"/>
              <w:right w:w="80" w:type="dxa"/>
            </w:tcMar>
            <w:vAlign w:val="bottom"/>
          </w:tcPr>
          <w:p w14:paraId="61193D64" w14:textId="77777777" w:rsidR="00B857F6" w:rsidRPr="00B857F6" w:rsidRDefault="00B857F6" w:rsidP="00B857F6">
            <w:pPr>
              <w:autoSpaceDE w:val="0"/>
              <w:autoSpaceDN w:val="0"/>
              <w:adjustRightInd w:val="0"/>
              <w:spacing w:before="0" w:after="0" w:line="240" w:lineRule="auto"/>
              <w:rPr>
                <w:rFonts w:ascii="Open Sans Condensed" w:hAnsi="Open Sans Condensed"/>
                <w:sz w:val="16"/>
                <w:szCs w:val="16"/>
                <w:lang w:val="it-IT"/>
              </w:rPr>
            </w:pPr>
          </w:p>
        </w:tc>
      </w:tr>
      <w:tr w:rsidR="00B857F6" w:rsidRPr="00B857F6" w14:paraId="18F32BA5" w14:textId="77777777" w:rsidTr="00DB5ABC">
        <w:trPr>
          <w:trHeight w:val="240"/>
        </w:trPr>
        <w:tc>
          <w:tcPr>
            <w:tcW w:w="7337" w:type="dxa"/>
            <w:tcMar>
              <w:top w:w="28" w:type="dxa"/>
              <w:left w:w="0" w:type="dxa"/>
              <w:bottom w:w="57" w:type="dxa"/>
              <w:right w:w="113" w:type="dxa"/>
            </w:tcMar>
            <w:vAlign w:val="bottom"/>
          </w:tcPr>
          <w:p w14:paraId="7943957A"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B857F6">
              <w:rPr>
                <w:rFonts w:cs="Open Sans"/>
                <w:color w:val="000000"/>
                <w:sz w:val="16"/>
                <w:szCs w:val="16"/>
                <w:lang w:val="en-US"/>
              </w:rPr>
              <w:t>Other - Sale of assets</w:t>
            </w:r>
          </w:p>
        </w:tc>
        <w:tc>
          <w:tcPr>
            <w:tcW w:w="1361" w:type="dxa"/>
            <w:tcMar>
              <w:top w:w="28" w:type="dxa"/>
              <w:left w:w="0" w:type="dxa"/>
              <w:bottom w:w="57" w:type="dxa"/>
              <w:right w:w="113" w:type="dxa"/>
            </w:tcMar>
            <w:vAlign w:val="bottom"/>
          </w:tcPr>
          <w:p w14:paraId="30CA6A6C"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b/>
                <w:bCs/>
                <w:color w:val="000000"/>
                <w:sz w:val="16"/>
                <w:szCs w:val="16"/>
                <w:lang w:val="en-US"/>
              </w:rPr>
              <w:t xml:space="preserve"> </w:t>
            </w:r>
            <w:r w:rsidRPr="00B857F6">
              <w:rPr>
                <w:rFonts w:cs="Open Sans"/>
                <w:b/>
                <w:bCs/>
                <w:color w:val="000000"/>
                <w:sz w:val="16"/>
                <w:szCs w:val="16"/>
                <w:lang w:val="it-IT"/>
              </w:rPr>
              <w:t>-</w:t>
            </w:r>
          </w:p>
        </w:tc>
        <w:tc>
          <w:tcPr>
            <w:tcW w:w="1393" w:type="dxa"/>
            <w:tcMar>
              <w:top w:w="80" w:type="dxa"/>
              <w:left w:w="80" w:type="dxa"/>
              <w:bottom w:w="80" w:type="dxa"/>
              <w:right w:w="80" w:type="dxa"/>
            </w:tcMar>
            <w:vAlign w:val="bottom"/>
          </w:tcPr>
          <w:p w14:paraId="606189DF"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color w:val="000000"/>
                <w:sz w:val="16"/>
                <w:szCs w:val="16"/>
                <w:lang w:val="it-IT"/>
              </w:rPr>
              <w:t xml:space="preserve">14 </w:t>
            </w:r>
          </w:p>
        </w:tc>
      </w:tr>
      <w:tr w:rsidR="00B857F6" w:rsidRPr="00B857F6" w14:paraId="0D517B18" w14:textId="77777777" w:rsidTr="00DB5ABC">
        <w:trPr>
          <w:trHeight w:val="240"/>
        </w:trPr>
        <w:tc>
          <w:tcPr>
            <w:tcW w:w="7337" w:type="dxa"/>
            <w:tcMar>
              <w:top w:w="57" w:type="dxa"/>
              <w:left w:w="0" w:type="dxa"/>
              <w:bottom w:w="113" w:type="dxa"/>
              <w:right w:w="113" w:type="dxa"/>
            </w:tcMar>
            <w:vAlign w:val="bottom"/>
          </w:tcPr>
          <w:p w14:paraId="43DE278B"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B857F6">
              <w:rPr>
                <w:rFonts w:cs="Open Sans"/>
                <w:color w:val="000000"/>
                <w:sz w:val="16"/>
                <w:szCs w:val="16"/>
                <w:lang w:val="it-IT"/>
              </w:rPr>
              <w:t>Other</w:t>
            </w:r>
          </w:p>
        </w:tc>
        <w:tc>
          <w:tcPr>
            <w:tcW w:w="1361" w:type="dxa"/>
            <w:tcMar>
              <w:top w:w="57" w:type="dxa"/>
              <w:left w:w="0" w:type="dxa"/>
              <w:bottom w:w="113" w:type="dxa"/>
              <w:right w:w="113" w:type="dxa"/>
            </w:tcMar>
            <w:vAlign w:val="bottom"/>
          </w:tcPr>
          <w:p w14:paraId="3C9FC7BA"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b/>
                <w:bCs/>
                <w:color w:val="000000"/>
                <w:sz w:val="16"/>
                <w:szCs w:val="16"/>
                <w:lang w:val="it-IT"/>
              </w:rPr>
              <w:t xml:space="preserve">14 </w:t>
            </w:r>
          </w:p>
        </w:tc>
        <w:tc>
          <w:tcPr>
            <w:tcW w:w="1393" w:type="dxa"/>
            <w:tcMar>
              <w:top w:w="57" w:type="dxa"/>
              <w:left w:w="0" w:type="dxa"/>
              <w:bottom w:w="113" w:type="dxa"/>
              <w:right w:w="80" w:type="dxa"/>
            </w:tcMar>
            <w:vAlign w:val="bottom"/>
          </w:tcPr>
          <w:p w14:paraId="58BE084E"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color w:val="000000"/>
                <w:sz w:val="16"/>
                <w:szCs w:val="16"/>
                <w:lang w:val="it-IT"/>
              </w:rPr>
              <w:t>22</w:t>
            </w:r>
          </w:p>
        </w:tc>
      </w:tr>
      <w:tr w:rsidR="00B857F6" w:rsidRPr="00B857F6" w14:paraId="6DA6BD58" w14:textId="77777777" w:rsidTr="00DB5ABC">
        <w:trPr>
          <w:trHeight w:val="240"/>
        </w:trPr>
        <w:tc>
          <w:tcPr>
            <w:tcW w:w="7337" w:type="dxa"/>
            <w:shd w:val="clear" w:color="auto" w:fill="F2F2F2" w:themeFill="background1" w:themeFillShade="F2"/>
            <w:tcMar>
              <w:top w:w="113" w:type="dxa"/>
              <w:left w:w="0" w:type="dxa"/>
              <w:bottom w:w="113" w:type="dxa"/>
              <w:right w:w="113" w:type="dxa"/>
            </w:tcMar>
            <w:vAlign w:val="bottom"/>
          </w:tcPr>
          <w:p w14:paraId="09EC0AA2"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B857F6">
              <w:rPr>
                <w:rFonts w:cs="Open Sans"/>
                <w:b/>
                <w:bCs/>
                <w:color w:val="000000"/>
                <w:sz w:val="16"/>
                <w:szCs w:val="16"/>
                <w:lang w:val="it-IT"/>
              </w:rPr>
              <w:t>Total other gains</w:t>
            </w:r>
          </w:p>
        </w:tc>
        <w:tc>
          <w:tcPr>
            <w:tcW w:w="1361" w:type="dxa"/>
            <w:shd w:val="clear" w:color="auto" w:fill="F2F2F2" w:themeFill="background1" w:themeFillShade="F2"/>
            <w:tcMar>
              <w:top w:w="113" w:type="dxa"/>
              <w:left w:w="0" w:type="dxa"/>
              <w:bottom w:w="113" w:type="dxa"/>
              <w:right w:w="113" w:type="dxa"/>
            </w:tcMar>
            <w:vAlign w:val="bottom"/>
          </w:tcPr>
          <w:p w14:paraId="3F60A432"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b/>
                <w:bCs/>
                <w:color w:val="000000"/>
                <w:sz w:val="16"/>
                <w:szCs w:val="16"/>
                <w:lang w:val="it-IT"/>
              </w:rPr>
              <w:t xml:space="preserve">14 </w:t>
            </w:r>
          </w:p>
        </w:tc>
        <w:tc>
          <w:tcPr>
            <w:tcW w:w="1393" w:type="dxa"/>
            <w:shd w:val="clear" w:color="auto" w:fill="F2F2F2" w:themeFill="background1" w:themeFillShade="F2"/>
            <w:tcMar>
              <w:top w:w="113" w:type="dxa"/>
              <w:left w:w="0" w:type="dxa"/>
              <w:bottom w:w="113" w:type="dxa"/>
              <w:right w:w="80" w:type="dxa"/>
            </w:tcMar>
            <w:vAlign w:val="bottom"/>
          </w:tcPr>
          <w:p w14:paraId="7987E69B"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color w:val="000000"/>
                <w:sz w:val="16"/>
                <w:szCs w:val="16"/>
                <w:lang w:val="it-IT"/>
              </w:rPr>
              <w:t xml:space="preserve">36 </w:t>
            </w:r>
          </w:p>
        </w:tc>
      </w:tr>
      <w:tr w:rsidR="00DB5ABC" w:rsidRPr="00B857F6" w14:paraId="6CB3C68E" w14:textId="77777777" w:rsidTr="00DB5ABC">
        <w:trPr>
          <w:trHeight w:hRule="exact" w:val="454"/>
        </w:trPr>
        <w:tc>
          <w:tcPr>
            <w:tcW w:w="10091" w:type="dxa"/>
            <w:gridSpan w:val="3"/>
            <w:tcMar>
              <w:top w:w="28" w:type="dxa"/>
              <w:left w:w="0" w:type="dxa"/>
              <w:bottom w:w="57" w:type="dxa"/>
              <w:right w:w="113" w:type="dxa"/>
            </w:tcMar>
            <w:vAlign w:val="bottom"/>
          </w:tcPr>
          <w:p w14:paraId="43A6AFD1" w14:textId="3F36580D" w:rsidR="00DB5ABC" w:rsidRPr="00B857F6" w:rsidRDefault="00DB5ABC" w:rsidP="00B857F6">
            <w:pPr>
              <w:autoSpaceDE w:val="0"/>
              <w:autoSpaceDN w:val="0"/>
              <w:adjustRightInd w:val="0"/>
              <w:spacing w:before="0" w:after="0" w:line="240" w:lineRule="auto"/>
              <w:rPr>
                <w:rFonts w:ascii="Open Sans Condensed" w:hAnsi="Open Sans Condensed"/>
                <w:sz w:val="16"/>
                <w:szCs w:val="16"/>
                <w:lang w:val="en-US"/>
              </w:rPr>
            </w:pPr>
            <w:r w:rsidRPr="00B857F6">
              <w:rPr>
                <w:rFonts w:cs="Open Sans"/>
                <w:color w:val="000000"/>
                <w:sz w:val="16"/>
                <w:szCs w:val="16"/>
                <w:lang w:val="en-US"/>
              </w:rPr>
              <w:t>The above lease disclosure should be read in conjunction with the accompanying notes 1.1B, 1.1D and 1.2E.</w:t>
            </w:r>
          </w:p>
        </w:tc>
      </w:tr>
      <w:tr w:rsidR="00B857F6" w:rsidRPr="00B857F6" w14:paraId="20A1F974" w14:textId="77777777" w:rsidTr="00DB5ABC">
        <w:trPr>
          <w:trHeight w:val="1530"/>
        </w:trPr>
        <w:tc>
          <w:tcPr>
            <w:tcW w:w="10091" w:type="dxa"/>
            <w:gridSpan w:val="3"/>
            <w:tcMar>
              <w:top w:w="170" w:type="dxa"/>
              <w:left w:w="0" w:type="dxa"/>
              <w:bottom w:w="170" w:type="dxa"/>
              <w:right w:w="113" w:type="dxa"/>
            </w:tcMar>
            <w:vAlign w:val="bottom"/>
          </w:tcPr>
          <w:p w14:paraId="47D5296D"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120" w:line="240" w:lineRule="auto"/>
              <w:textAlignment w:val="center"/>
              <w:rPr>
                <w:rFonts w:cs="Open Sans"/>
                <w:b/>
                <w:bCs/>
                <w:color w:val="000000"/>
                <w:sz w:val="16"/>
                <w:szCs w:val="16"/>
                <w:lang w:val="en-US"/>
              </w:rPr>
            </w:pPr>
            <w:r w:rsidRPr="00B857F6">
              <w:rPr>
                <w:rFonts w:cs="Open Sans"/>
                <w:b/>
                <w:bCs/>
                <w:color w:val="000000"/>
                <w:sz w:val="16"/>
                <w:szCs w:val="16"/>
                <w:lang w:val="en-US"/>
              </w:rPr>
              <w:t>Accounting Policy</w:t>
            </w:r>
          </w:p>
          <w:p w14:paraId="57A30D64"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120" w:line="240" w:lineRule="auto"/>
              <w:textAlignment w:val="center"/>
              <w:rPr>
                <w:rFonts w:cs="Open Sans"/>
                <w:i/>
                <w:iCs/>
                <w:color w:val="000000"/>
                <w:sz w:val="16"/>
                <w:szCs w:val="16"/>
                <w:lang w:val="en-US"/>
              </w:rPr>
            </w:pPr>
            <w:r w:rsidRPr="00B857F6">
              <w:rPr>
                <w:rFonts w:cs="Open Sans"/>
                <w:i/>
                <w:iCs/>
                <w:color w:val="000000"/>
                <w:sz w:val="16"/>
                <w:szCs w:val="16"/>
                <w:lang w:val="en-US"/>
              </w:rPr>
              <w:t>Sale of Assets</w:t>
            </w:r>
          </w:p>
          <w:p w14:paraId="2545AA85"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120" w:line="240" w:lineRule="auto"/>
              <w:textAlignment w:val="center"/>
              <w:rPr>
                <w:rFonts w:cs="Open Sans"/>
                <w:color w:val="000000"/>
                <w:sz w:val="16"/>
                <w:szCs w:val="16"/>
                <w:lang w:val="en-US"/>
              </w:rPr>
            </w:pPr>
            <w:r w:rsidRPr="00B857F6">
              <w:rPr>
                <w:rFonts w:cs="Open Sans"/>
                <w:color w:val="000000"/>
                <w:sz w:val="16"/>
                <w:szCs w:val="16"/>
                <w:lang w:val="en-US"/>
              </w:rPr>
              <w:t>Gains from disposal of assets are recognised when control of the asset has passed to the buyer.</w:t>
            </w:r>
          </w:p>
          <w:p w14:paraId="7CAB6716"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120" w:line="240" w:lineRule="auto"/>
              <w:textAlignment w:val="center"/>
              <w:rPr>
                <w:rFonts w:cs="Open Sans"/>
                <w:i/>
                <w:iCs/>
                <w:color w:val="000000"/>
                <w:sz w:val="16"/>
                <w:szCs w:val="16"/>
                <w:lang w:val="en-US"/>
              </w:rPr>
            </w:pPr>
            <w:r w:rsidRPr="00B857F6">
              <w:rPr>
                <w:rFonts w:cs="Open Sans"/>
                <w:i/>
                <w:iCs/>
                <w:color w:val="000000"/>
                <w:sz w:val="16"/>
                <w:szCs w:val="16"/>
                <w:lang w:val="en-US"/>
              </w:rPr>
              <w:t>Other Gains</w:t>
            </w:r>
          </w:p>
          <w:p w14:paraId="569EAEBA"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120" w:line="240" w:lineRule="auto"/>
              <w:textAlignment w:val="center"/>
              <w:rPr>
                <w:rFonts w:cs="Open Sans"/>
                <w:color w:val="000000"/>
                <w:sz w:val="16"/>
                <w:szCs w:val="16"/>
                <w:lang w:val="en-US"/>
              </w:rPr>
            </w:pPr>
            <w:r w:rsidRPr="00B857F6">
              <w:rPr>
                <w:rFonts w:cs="Open Sans"/>
                <w:color w:val="000000"/>
                <w:sz w:val="16"/>
                <w:szCs w:val="16"/>
                <w:lang w:val="en-US"/>
              </w:rPr>
              <w:t>Gains on the reduction of prior year provisions are recognised at their nominal value as gains, when, and only when, the original provision for services has been determined to no longer be required.</w:t>
            </w:r>
          </w:p>
        </w:tc>
      </w:tr>
      <w:tr w:rsidR="00B857F6" w:rsidRPr="00B857F6" w14:paraId="5DACC954" w14:textId="77777777" w:rsidTr="00DB5ABC">
        <w:trPr>
          <w:trHeight w:val="240"/>
        </w:trPr>
        <w:tc>
          <w:tcPr>
            <w:tcW w:w="7337" w:type="dxa"/>
            <w:tcMar>
              <w:top w:w="113" w:type="dxa"/>
              <w:left w:w="0" w:type="dxa"/>
              <w:bottom w:w="57" w:type="dxa"/>
              <w:right w:w="113" w:type="dxa"/>
            </w:tcMar>
            <w:vAlign w:val="bottom"/>
          </w:tcPr>
          <w:p w14:paraId="00EB8F7E"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b/>
                <w:bCs/>
                <w:color w:val="2BB8C9"/>
                <w:sz w:val="16"/>
                <w:szCs w:val="16"/>
                <w:lang w:val="en-US"/>
              </w:rPr>
            </w:pPr>
            <w:r w:rsidRPr="00B857F6">
              <w:rPr>
                <w:rFonts w:cs="Open Sans"/>
                <w:b/>
                <w:bCs/>
                <w:color w:val="2BB8C9"/>
                <w:sz w:val="16"/>
                <w:szCs w:val="16"/>
                <w:lang w:val="en-US"/>
              </w:rPr>
              <w:t>1.2E: Revenue from Government</w:t>
            </w:r>
          </w:p>
        </w:tc>
        <w:tc>
          <w:tcPr>
            <w:tcW w:w="1361" w:type="dxa"/>
            <w:tcMar>
              <w:top w:w="113" w:type="dxa"/>
              <w:left w:w="0" w:type="dxa"/>
              <w:bottom w:w="57" w:type="dxa"/>
              <w:right w:w="113" w:type="dxa"/>
            </w:tcMar>
            <w:vAlign w:val="bottom"/>
          </w:tcPr>
          <w:p w14:paraId="67EC78A9" w14:textId="77777777" w:rsidR="00B857F6" w:rsidRPr="00B857F6" w:rsidRDefault="00B857F6" w:rsidP="00B857F6">
            <w:pPr>
              <w:autoSpaceDE w:val="0"/>
              <w:autoSpaceDN w:val="0"/>
              <w:adjustRightInd w:val="0"/>
              <w:spacing w:before="0" w:after="0" w:line="240" w:lineRule="auto"/>
              <w:rPr>
                <w:rFonts w:ascii="Open Sans Condensed" w:hAnsi="Open Sans Condensed"/>
                <w:sz w:val="16"/>
                <w:szCs w:val="16"/>
                <w:lang w:val="it-IT"/>
              </w:rPr>
            </w:pPr>
          </w:p>
        </w:tc>
        <w:tc>
          <w:tcPr>
            <w:tcW w:w="1393" w:type="dxa"/>
            <w:tcMar>
              <w:top w:w="113" w:type="dxa"/>
              <w:left w:w="0" w:type="dxa"/>
              <w:bottom w:w="57" w:type="dxa"/>
              <w:right w:w="113" w:type="dxa"/>
            </w:tcMar>
            <w:vAlign w:val="bottom"/>
          </w:tcPr>
          <w:p w14:paraId="75DDEBD2" w14:textId="77777777" w:rsidR="00B857F6" w:rsidRPr="00B857F6" w:rsidRDefault="00B857F6" w:rsidP="00B857F6">
            <w:pPr>
              <w:autoSpaceDE w:val="0"/>
              <w:autoSpaceDN w:val="0"/>
              <w:adjustRightInd w:val="0"/>
              <w:spacing w:before="0" w:after="0" w:line="240" w:lineRule="auto"/>
              <w:rPr>
                <w:rFonts w:ascii="Open Sans Condensed" w:hAnsi="Open Sans Condensed"/>
                <w:sz w:val="16"/>
                <w:szCs w:val="16"/>
                <w:lang w:val="it-IT"/>
              </w:rPr>
            </w:pPr>
          </w:p>
        </w:tc>
      </w:tr>
      <w:tr w:rsidR="00B857F6" w:rsidRPr="00B857F6" w14:paraId="3F24EDD3" w14:textId="77777777" w:rsidTr="00DB5ABC">
        <w:trPr>
          <w:trHeight w:val="240"/>
        </w:trPr>
        <w:tc>
          <w:tcPr>
            <w:tcW w:w="7337" w:type="dxa"/>
            <w:tcMar>
              <w:top w:w="28" w:type="dxa"/>
              <w:left w:w="0" w:type="dxa"/>
              <w:bottom w:w="57" w:type="dxa"/>
              <w:right w:w="113" w:type="dxa"/>
            </w:tcMar>
            <w:vAlign w:val="bottom"/>
          </w:tcPr>
          <w:p w14:paraId="48B486E3"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B857F6">
              <w:rPr>
                <w:rFonts w:cs="Open Sans"/>
                <w:color w:val="000000"/>
                <w:sz w:val="16"/>
                <w:szCs w:val="16"/>
                <w:lang w:val="it-IT"/>
              </w:rPr>
              <w:t>Attorney-General’s Department:</w:t>
            </w:r>
          </w:p>
        </w:tc>
        <w:tc>
          <w:tcPr>
            <w:tcW w:w="1361" w:type="dxa"/>
            <w:tcMar>
              <w:top w:w="28" w:type="dxa"/>
              <w:left w:w="0" w:type="dxa"/>
              <w:bottom w:w="57" w:type="dxa"/>
              <w:right w:w="113" w:type="dxa"/>
            </w:tcMar>
            <w:vAlign w:val="bottom"/>
          </w:tcPr>
          <w:p w14:paraId="50A79778" w14:textId="77777777" w:rsidR="00B857F6" w:rsidRPr="00B857F6" w:rsidRDefault="00B857F6" w:rsidP="00B857F6">
            <w:pPr>
              <w:autoSpaceDE w:val="0"/>
              <w:autoSpaceDN w:val="0"/>
              <w:adjustRightInd w:val="0"/>
              <w:spacing w:before="0" w:after="0" w:line="240" w:lineRule="auto"/>
              <w:rPr>
                <w:rFonts w:ascii="Open Sans Condensed" w:hAnsi="Open Sans Condensed"/>
                <w:sz w:val="16"/>
                <w:szCs w:val="16"/>
                <w:lang w:val="it-IT"/>
              </w:rPr>
            </w:pPr>
          </w:p>
        </w:tc>
        <w:tc>
          <w:tcPr>
            <w:tcW w:w="1393" w:type="dxa"/>
            <w:tcMar>
              <w:top w:w="28" w:type="dxa"/>
              <w:left w:w="0" w:type="dxa"/>
              <w:bottom w:w="57" w:type="dxa"/>
              <w:right w:w="113" w:type="dxa"/>
            </w:tcMar>
            <w:vAlign w:val="bottom"/>
          </w:tcPr>
          <w:p w14:paraId="486AAABD" w14:textId="77777777" w:rsidR="00B857F6" w:rsidRPr="00B857F6" w:rsidRDefault="00B857F6" w:rsidP="00B857F6">
            <w:pPr>
              <w:autoSpaceDE w:val="0"/>
              <w:autoSpaceDN w:val="0"/>
              <w:adjustRightInd w:val="0"/>
              <w:spacing w:before="0" w:after="0" w:line="240" w:lineRule="auto"/>
              <w:rPr>
                <w:rFonts w:ascii="Open Sans Condensed" w:hAnsi="Open Sans Condensed"/>
                <w:sz w:val="16"/>
                <w:szCs w:val="16"/>
                <w:lang w:val="it-IT"/>
              </w:rPr>
            </w:pPr>
          </w:p>
        </w:tc>
      </w:tr>
      <w:tr w:rsidR="00B857F6" w:rsidRPr="00B857F6" w14:paraId="5DC8F2E0" w14:textId="77777777" w:rsidTr="00DB5ABC">
        <w:trPr>
          <w:trHeight w:val="240"/>
        </w:trPr>
        <w:tc>
          <w:tcPr>
            <w:tcW w:w="7337" w:type="dxa"/>
            <w:tcMar>
              <w:top w:w="113" w:type="dxa"/>
              <w:left w:w="0" w:type="dxa"/>
              <w:bottom w:w="113" w:type="dxa"/>
              <w:right w:w="113" w:type="dxa"/>
            </w:tcMar>
            <w:vAlign w:val="bottom"/>
          </w:tcPr>
          <w:p w14:paraId="06C49757"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ind w:firstLine="360"/>
              <w:textAlignment w:val="center"/>
              <w:rPr>
                <w:rFonts w:cs="Open Sans"/>
                <w:color w:val="000000"/>
                <w:sz w:val="16"/>
                <w:szCs w:val="16"/>
                <w:lang w:val="en-US"/>
              </w:rPr>
            </w:pPr>
            <w:r w:rsidRPr="00B857F6">
              <w:rPr>
                <w:rFonts w:cs="Open Sans"/>
                <w:color w:val="000000"/>
                <w:sz w:val="16"/>
                <w:szCs w:val="16"/>
                <w:lang w:val="en-US"/>
              </w:rPr>
              <w:t>Corporate Commonwealth entity payment item</w:t>
            </w:r>
          </w:p>
        </w:tc>
        <w:tc>
          <w:tcPr>
            <w:tcW w:w="1361" w:type="dxa"/>
            <w:tcMar>
              <w:top w:w="113" w:type="dxa"/>
              <w:left w:w="0" w:type="dxa"/>
              <w:bottom w:w="113" w:type="dxa"/>
              <w:right w:w="113" w:type="dxa"/>
            </w:tcMar>
            <w:vAlign w:val="bottom"/>
          </w:tcPr>
          <w:p w14:paraId="3EEE965C"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b/>
                <w:bCs/>
                <w:color w:val="000000"/>
                <w:sz w:val="16"/>
                <w:szCs w:val="16"/>
                <w:lang w:val="it-IT"/>
              </w:rPr>
              <w:t xml:space="preserve">26,549 </w:t>
            </w:r>
          </w:p>
        </w:tc>
        <w:tc>
          <w:tcPr>
            <w:tcW w:w="1393" w:type="dxa"/>
            <w:tcMar>
              <w:top w:w="113" w:type="dxa"/>
              <w:left w:w="0" w:type="dxa"/>
              <w:bottom w:w="113" w:type="dxa"/>
              <w:right w:w="113" w:type="dxa"/>
            </w:tcMar>
            <w:vAlign w:val="bottom"/>
          </w:tcPr>
          <w:p w14:paraId="620B1246"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color w:val="000000"/>
                <w:sz w:val="16"/>
                <w:szCs w:val="16"/>
                <w:lang w:val="it-IT"/>
              </w:rPr>
              <w:t xml:space="preserve">21,646 </w:t>
            </w:r>
          </w:p>
        </w:tc>
      </w:tr>
      <w:tr w:rsidR="00B857F6" w:rsidRPr="00B857F6" w14:paraId="5CBCBA35" w14:textId="77777777" w:rsidTr="00DB5ABC">
        <w:trPr>
          <w:trHeight w:val="240"/>
        </w:trPr>
        <w:tc>
          <w:tcPr>
            <w:tcW w:w="7337" w:type="dxa"/>
            <w:shd w:val="clear" w:color="auto" w:fill="F2F2F2" w:themeFill="background1" w:themeFillShade="F2"/>
            <w:tcMar>
              <w:top w:w="113" w:type="dxa"/>
              <w:left w:w="0" w:type="dxa"/>
              <w:bottom w:w="113" w:type="dxa"/>
              <w:right w:w="113" w:type="dxa"/>
            </w:tcMar>
            <w:vAlign w:val="bottom"/>
          </w:tcPr>
          <w:p w14:paraId="011A675A"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textAlignment w:val="center"/>
              <w:rPr>
                <w:rFonts w:cs="Open Sans"/>
                <w:color w:val="000000"/>
                <w:sz w:val="16"/>
                <w:szCs w:val="16"/>
                <w:lang w:val="en-US"/>
              </w:rPr>
            </w:pPr>
            <w:r w:rsidRPr="00B857F6">
              <w:rPr>
                <w:rFonts w:cs="Open Sans"/>
                <w:b/>
                <w:bCs/>
                <w:color w:val="000000"/>
                <w:sz w:val="16"/>
                <w:szCs w:val="16"/>
                <w:lang w:val="it-IT"/>
              </w:rPr>
              <w:t>Total revenue from Government</w:t>
            </w:r>
          </w:p>
        </w:tc>
        <w:tc>
          <w:tcPr>
            <w:tcW w:w="1361" w:type="dxa"/>
            <w:shd w:val="clear" w:color="auto" w:fill="F2F2F2" w:themeFill="background1" w:themeFillShade="F2"/>
            <w:tcMar>
              <w:top w:w="113" w:type="dxa"/>
              <w:left w:w="0" w:type="dxa"/>
              <w:bottom w:w="113" w:type="dxa"/>
              <w:right w:w="113" w:type="dxa"/>
            </w:tcMar>
            <w:vAlign w:val="bottom"/>
          </w:tcPr>
          <w:p w14:paraId="6CFB915A"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b/>
                <w:bCs/>
                <w:color w:val="000000"/>
                <w:sz w:val="16"/>
                <w:szCs w:val="16"/>
                <w:lang w:val="it-IT"/>
              </w:rPr>
              <w:t xml:space="preserve">26,549 </w:t>
            </w:r>
          </w:p>
        </w:tc>
        <w:tc>
          <w:tcPr>
            <w:tcW w:w="1393" w:type="dxa"/>
            <w:shd w:val="clear" w:color="auto" w:fill="F2F2F2" w:themeFill="background1" w:themeFillShade="F2"/>
            <w:tcMar>
              <w:top w:w="113" w:type="dxa"/>
              <w:left w:w="0" w:type="dxa"/>
              <w:bottom w:w="113" w:type="dxa"/>
              <w:right w:w="113" w:type="dxa"/>
            </w:tcMar>
            <w:vAlign w:val="bottom"/>
          </w:tcPr>
          <w:p w14:paraId="0A04299A"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0" w:line="240" w:lineRule="auto"/>
              <w:jc w:val="right"/>
              <w:textAlignment w:val="center"/>
              <w:rPr>
                <w:rFonts w:cs="Open Sans"/>
                <w:color w:val="000000"/>
                <w:sz w:val="16"/>
                <w:szCs w:val="16"/>
                <w:lang w:val="en-US"/>
              </w:rPr>
            </w:pPr>
            <w:r w:rsidRPr="00B857F6">
              <w:rPr>
                <w:rFonts w:cs="Open Sans"/>
                <w:color w:val="000000"/>
                <w:sz w:val="16"/>
                <w:szCs w:val="16"/>
                <w:lang w:val="it-IT"/>
              </w:rPr>
              <w:t xml:space="preserve">21,646 </w:t>
            </w:r>
          </w:p>
        </w:tc>
      </w:tr>
      <w:tr w:rsidR="00B857F6" w:rsidRPr="00B857F6" w14:paraId="66D752C3" w14:textId="77777777" w:rsidTr="00DB5ABC">
        <w:trPr>
          <w:trHeight w:val="1016"/>
        </w:trPr>
        <w:tc>
          <w:tcPr>
            <w:tcW w:w="10091" w:type="dxa"/>
            <w:gridSpan w:val="3"/>
            <w:tcMar>
              <w:top w:w="170" w:type="dxa"/>
              <w:left w:w="0" w:type="dxa"/>
              <w:bottom w:w="57" w:type="dxa"/>
              <w:right w:w="113" w:type="dxa"/>
            </w:tcMar>
            <w:vAlign w:val="bottom"/>
          </w:tcPr>
          <w:p w14:paraId="4F40651C"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120" w:line="240" w:lineRule="auto"/>
              <w:jc w:val="both"/>
              <w:textAlignment w:val="center"/>
              <w:rPr>
                <w:rFonts w:cs="Open Sans"/>
                <w:b/>
                <w:bCs/>
                <w:color w:val="000000"/>
                <w:sz w:val="16"/>
                <w:szCs w:val="16"/>
                <w:lang w:val="en-US"/>
              </w:rPr>
            </w:pPr>
            <w:r w:rsidRPr="00B857F6">
              <w:rPr>
                <w:rFonts w:cs="Open Sans"/>
                <w:b/>
                <w:bCs/>
                <w:color w:val="000000"/>
                <w:sz w:val="16"/>
                <w:szCs w:val="16"/>
                <w:lang w:val="en-US"/>
              </w:rPr>
              <w:t>Accounting Policy</w:t>
            </w:r>
          </w:p>
          <w:p w14:paraId="7473C58D"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120" w:line="240" w:lineRule="auto"/>
              <w:jc w:val="both"/>
              <w:textAlignment w:val="center"/>
              <w:rPr>
                <w:rFonts w:cs="Open Sans"/>
                <w:i/>
                <w:iCs/>
                <w:color w:val="000000"/>
                <w:sz w:val="16"/>
                <w:szCs w:val="16"/>
                <w:lang w:val="en-US"/>
              </w:rPr>
            </w:pPr>
            <w:r w:rsidRPr="00B857F6">
              <w:rPr>
                <w:rFonts w:cs="Open Sans"/>
                <w:i/>
                <w:iCs/>
                <w:color w:val="000000"/>
                <w:sz w:val="16"/>
                <w:szCs w:val="16"/>
                <w:lang w:val="en-US"/>
              </w:rPr>
              <w:t xml:space="preserve">Revenue from Government </w:t>
            </w:r>
          </w:p>
          <w:p w14:paraId="186E9F05" w14:textId="77777777" w:rsidR="00B857F6" w:rsidRPr="00B857F6" w:rsidRDefault="00B857F6" w:rsidP="00B857F6">
            <w:pPr>
              <w:keepLines/>
              <w:tabs>
                <w:tab w:val="right" w:pos="6240"/>
                <w:tab w:val="right" w:pos="7280"/>
                <w:tab w:val="right" w:pos="8300"/>
              </w:tabs>
              <w:suppressAutoHyphens/>
              <w:autoSpaceDE w:val="0"/>
              <w:autoSpaceDN w:val="0"/>
              <w:adjustRightInd w:val="0"/>
              <w:spacing w:before="0" w:after="120" w:line="240" w:lineRule="auto"/>
              <w:textAlignment w:val="center"/>
              <w:rPr>
                <w:rFonts w:cs="Open Sans"/>
                <w:color w:val="000000"/>
                <w:sz w:val="16"/>
                <w:szCs w:val="16"/>
                <w:lang w:val="en-US"/>
              </w:rPr>
            </w:pPr>
            <w:r w:rsidRPr="00B857F6">
              <w:rPr>
                <w:rFonts w:cs="Open Sans"/>
                <w:color w:val="000000"/>
                <w:sz w:val="16"/>
                <w:szCs w:val="16"/>
                <w:lang w:val="en-US"/>
              </w:rPr>
              <w:t>Funding received from the Attorney-General’s Department (received by the Commission as a corporate Commonwealth entity) is recognised as Revenue from Government unless the funding is in the nature of an equity injection or a loan.</w:t>
            </w:r>
          </w:p>
        </w:tc>
      </w:tr>
    </w:tbl>
    <w:p w14:paraId="363F2E18" w14:textId="77777777" w:rsidR="00B857F6" w:rsidRDefault="00B857F6" w:rsidP="00F47023">
      <w:pPr>
        <w:pStyle w:val="FSBodyText"/>
      </w:pPr>
    </w:p>
    <w:p w14:paraId="33D1B14C" w14:textId="0E8B922B" w:rsidR="005432C6" w:rsidRDefault="005432C6">
      <w:pPr>
        <w:spacing w:before="0" w:after="0" w:line="240" w:lineRule="auto"/>
        <w:rPr>
          <w:rFonts w:cs="Open Sans"/>
          <w:color w:val="000000"/>
          <w:sz w:val="16"/>
          <w:szCs w:val="16"/>
          <w:lang w:val="en-US"/>
        </w:rPr>
      </w:pPr>
      <w:r>
        <w:br w:type="page"/>
      </w:r>
    </w:p>
    <w:p w14:paraId="11EEC4F3" w14:textId="67719C26" w:rsidR="005432C6" w:rsidRDefault="005432C6" w:rsidP="005432C6">
      <w:pPr>
        <w:pStyle w:val="Heading7"/>
      </w:pPr>
      <w:bookmarkStart w:id="47" w:name="_Toc146437053"/>
      <w:r>
        <w:t>Financial Position</w:t>
      </w:r>
      <w:bookmarkEnd w:id="47"/>
    </w:p>
    <w:p w14:paraId="5CF3C0F6" w14:textId="77777777" w:rsidR="00F47023" w:rsidRDefault="00F47023" w:rsidP="00F47023">
      <w:pPr>
        <w:pStyle w:val="FSBodyText"/>
      </w:pPr>
      <w:r>
        <w:t>This section analyses the Australian Human Rights Commission assets used to conduct its operations and the operating liabilities incurred as a result. Employee related information is disclosed in the People and Relationships section.</w:t>
      </w:r>
    </w:p>
    <w:p w14:paraId="0E3E72B7" w14:textId="77777777" w:rsidR="00F47023" w:rsidRDefault="00F47023" w:rsidP="00F47023">
      <w:pPr>
        <w:pStyle w:val="FSHeading2-Tutti"/>
        <w:rPr>
          <w:color w:val="2BB8C9"/>
        </w:rPr>
      </w:pPr>
      <w:r>
        <w:rPr>
          <w:color w:val="2BB8C9"/>
        </w:rPr>
        <w:t>2.1 Financial Assets</w:t>
      </w:r>
    </w:p>
    <w:tbl>
      <w:tblPr>
        <w:tblW w:w="0" w:type="auto"/>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7257"/>
        <w:gridCol w:w="1417"/>
        <w:gridCol w:w="1417"/>
      </w:tblGrid>
      <w:tr w:rsidR="00EB65B5" w:rsidRPr="00EB65B5" w14:paraId="2273B328" w14:textId="77777777" w:rsidTr="00EB65B5">
        <w:trPr>
          <w:trHeight w:val="255"/>
        </w:trPr>
        <w:tc>
          <w:tcPr>
            <w:tcW w:w="7257" w:type="dxa"/>
            <w:shd w:val="clear" w:color="auto" w:fill="1CBDC9"/>
            <w:tcMar>
              <w:top w:w="85" w:type="dxa"/>
              <w:left w:w="113" w:type="dxa"/>
              <w:bottom w:w="113" w:type="dxa"/>
              <w:right w:w="113" w:type="dxa"/>
            </w:tcMar>
            <w:vAlign w:val="bottom"/>
          </w:tcPr>
          <w:p w14:paraId="0CC385B0" w14:textId="77777777" w:rsidR="00F47023" w:rsidRPr="00EB65B5" w:rsidRDefault="00F47023">
            <w:pPr>
              <w:pStyle w:val="Nessunostileparagrafo"/>
              <w:spacing w:line="240" w:lineRule="auto"/>
              <w:textAlignment w:val="auto"/>
              <w:rPr>
                <w:rFonts w:ascii="Open Sans Semibold" w:hAnsi="Open Sans Semibold" w:cs="Times New Roman"/>
                <w:color w:val="FFFFFF" w:themeColor="background1"/>
                <w:sz w:val="20"/>
                <w:szCs w:val="20"/>
                <w:lang w:val="it-IT"/>
              </w:rPr>
            </w:pPr>
          </w:p>
        </w:tc>
        <w:tc>
          <w:tcPr>
            <w:tcW w:w="1417" w:type="dxa"/>
            <w:shd w:val="clear" w:color="auto" w:fill="1CBDC9"/>
            <w:tcMar>
              <w:top w:w="85" w:type="dxa"/>
              <w:left w:w="113" w:type="dxa"/>
              <w:bottom w:w="113" w:type="dxa"/>
              <w:right w:w="113" w:type="dxa"/>
            </w:tcMar>
            <w:vAlign w:val="bottom"/>
          </w:tcPr>
          <w:p w14:paraId="43EC750C" w14:textId="77777777" w:rsidR="00F47023" w:rsidRPr="00EB65B5" w:rsidRDefault="00F47023">
            <w:pPr>
              <w:pStyle w:val="FSHeaderRow"/>
              <w:rPr>
                <w:color w:val="FFFFFF" w:themeColor="background1"/>
                <w:sz w:val="20"/>
                <w:szCs w:val="20"/>
              </w:rPr>
            </w:pPr>
            <w:r w:rsidRPr="00EB65B5">
              <w:rPr>
                <w:color w:val="FFFFFF" w:themeColor="background1"/>
                <w:sz w:val="20"/>
                <w:szCs w:val="20"/>
              </w:rPr>
              <w:t>2023</w:t>
            </w:r>
          </w:p>
          <w:p w14:paraId="61532B78" w14:textId="77777777" w:rsidR="00F47023" w:rsidRPr="00EB65B5" w:rsidRDefault="00F47023">
            <w:pPr>
              <w:pStyle w:val="FSHeaderRow"/>
              <w:rPr>
                <w:color w:val="FFFFFF" w:themeColor="background1"/>
                <w:sz w:val="20"/>
                <w:szCs w:val="20"/>
              </w:rPr>
            </w:pPr>
            <w:r w:rsidRPr="00EB65B5">
              <w:rPr>
                <w:color w:val="FFFFFF" w:themeColor="background1"/>
                <w:sz w:val="20"/>
                <w:szCs w:val="20"/>
              </w:rPr>
              <w:t>$’000</w:t>
            </w:r>
          </w:p>
        </w:tc>
        <w:tc>
          <w:tcPr>
            <w:tcW w:w="1417" w:type="dxa"/>
            <w:shd w:val="clear" w:color="auto" w:fill="1CBDC9"/>
            <w:tcMar>
              <w:top w:w="85" w:type="dxa"/>
              <w:left w:w="113" w:type="dxa"/>
              <w:bottom w:w="113" w:type="dxa"/>
              <w:right w:w="113" w:type="dxa"/>
            </w:tcMar>
            <w:vAlign w:val="bottom"/>
          </w:tcPr>
          <w:p w14:paraId="4EB779D4" w14:textId="77777777" w:rsidR="00F47023" w:rsidRPr="00EB65B5" w:rsidRDefault="00F47023">
            <w:pPr>
              <w:pStyle w:val="FSHeaderRow"/>
              <w:rPr>
                <w:rStyle w:val="FSUnboldCond"/>
                <w:b w:val="0"/>
                <w:bCs w:val="0"/>
                <w:color w:val="FFFFFF" w:themeColor="background1"/>
                <w:sz w:val="20"/>
                <w:szCs w:val="20"/>
              </w:rPr>
            </w:pPr>
            <w:r w:rsidRPr="00EB65B5">
              <w:rPr>
                <w:rStyle w:val="FSUnboldCond"/>
                <w:b w:val="0"/>
                <w:bCs w:val="0"/>
                <w:color w:val="FFFFFF" w:themeColor="background1"/>
                <w:sz w:val="20"/>
                <w:szCs w:val="20"/>
              </w:rPr>
              <w:t>2022</w:t>
            </w:r>
          </w:p>
          <w:p w14:paraId="6FC98EAF" w14:textId="77777777" w:rsidR="00F47023" w:rsidRPr="00EB65B5" w:rsidRDefault="00F47023">
            <w:pPr>
              <w:pStyle w:val="FSHeaderRow"/>
              <w:rPr>
                <w:color w:val="FFFFFF" w:themeColor="background1"/>
                <w:sz w:val="20"/>
                <w:szCs w:val="20"/>
              </w:rPr>
            </w:pPr>
            <w:r w:rsidRPr="00EB65B5">
              <w:rPr>
                <w:rStyle w:val="FSUnboldCond"/>
                <w:b w:val="0"/>
                <w:bCs w:val="0"/>
                <w:color w:val="FFFFFF" w:themeColor="background1"/>
                <w:sz w:val="20"/>
                <w:szCs w:val="20"/>
              </w:rPr>
              <w:t>$’000</w:t>
            </w:r>
          </w:p>
        </w:tc>
      </w:tr>
      <w:tr w:rsidR="00F47023" w:rsidRPr="00EB65B5" w14:paraId="7D24F268" w14:textId="77777777" w:rsidTr="00EB65B5">
        <w:trPr>
          <w:trHeight w:val="113"/>
        </w:trPr>
        <w:tc>
          <w:tcPr>
            <w:tcW w:w="7257" w:type="dxa"/>
            <w:tcMar>
              <w:top w:w="227" w:type="dxa"/>
              <w:left w:w="0" w:type="dxa"/>
              <w:bottom w:w="57" w:type="dxa"/>
              <w:right w:w="113" w:type="dxa"/>
            </w:tcMar>
            <w:vAlign w:val="bottom"/>
          </w:tcPr>
          <w:p w14:paraId="4BACC871" w14:textId="77777777" w:rsidR="00F47023" w:rsidRPr="00EB65B5" w:rsidRDefault="00F47023" w:rsidP="00EB65B5">
            <w:pPr>
              <w:pStyle w:val="FSBlueHeadingBold"/>
            </w:pPr>
            <w:r w:rsidRPr="00EB65B5">
              <w:rPr>
                <w:rStyle w:val="Bold"/>
                <w:rFonts w:eastAsia="MS Mincho"/>
                <w:b/>
                <w:bCs/>
              </w:rPr>
              <w:t>2.1A: Cash and cash equivalents</w:t>
            </w:r>
          </w:p>
        </w:tc>
        <w:tc>
          <w:tcPr>
            <w:tcW w:w="1417" w:type="dxa"/>
            <w:tcMar>
              <w:top w:w="227" w:type="dxa"/>
              <w:left w:w="0" w:type="dxa"/>
              <w:bottom w:w="57" w:type="dxa"/>
              <w:right w:w="113" w:type="dxa"/>
            </w:tcMar>
            <w:vAlign w:val="bottom"/>
          </w:tcPr>
          <w:p w14:paraId="3E9278C2" w14:textId="77777777" w:rsidR="00F47023" w:rsidRPr="00EB65B5" w:rsidRDefault="00F47023" w:rsidP="00EB65B5">
            <w:pPr>
              <w:pStyle w:val="Nessunostileparagrafo"/>
              <w:spacing w:line="240" w:lineRule="auto"/>
              <w:textAlignment w:val="auto"/>
              <w:rPr>
                <w:rFonts w:ascii="Open Sans Semibold" w:hAnsi="Open Sans Semibold" w:cs="Times New Roman"/>
                <w:color w:val="auto"/>
                <w:sz w:val="16"/>
                <w:szCs w:val="16"/>
              </w:rPr>
            </w:pPr>
          </w:p>
        </w:tc>
        <w:tc>
          <w:tcPr>
            <w:tcW w:w="1417" w:type="dxa"/>
            <w:tcMar>
              <w:top w:w="227" w:type="dxa"/>
              <w:left w:w="0" w:type="dxa"/>
              <w:bottom w:w="57" w:type="dxa"/>
              <w:right w:w="113" w:type="dxa"/>
            </w:tcMar>
            <w:vAlign w:val="bottom"/>
          </w:tcPr>
          <w:p w14:paraId="142F7EEC" w14:textId="77777777" w:rsidR="00F47023" w:rsidRPr="00EB65B5" w:rsidRDefault="00F47023" w:rsidP="00EB65B5">
            <w:pPr>
              <w:pStyle w:val="Nessunostileparagrafo"/>
              <w:spacing w:line="240" w:lineRule="auto"/>
              <w:textAlignment w:val="auto"/>
              <w:rPr>
                <w:rFonts w:ascii="Open Sans Semibold" w:hAnsi="Open Sans Semibold" w:cs="Times New Roman"/>
                <w:color w:val="auto"/>
                <w:sz w:val="16"/>
                <w:szCs w:val="16"/>
              </w:rPr>
            </w:pPr>
          </w:p>
        </w:tc>
      </w:tr>
      <w:tr w:rsidR="00F47023" w:rsidRPr="00EB65B5" w14:paraId="041688A0" w14:textId="77777777" w:rsidTr="00EB65B5">
        <w:trPr>
          <w:trHeight w:val="240"/>
        </w:trPr>
        <w:tc>
          <w:tcPr>
            <w:tcW w:w="7257" w:type="dxa"/>
            <w:tcMar>
              <w:top w:w="113" w:type="dxa"/>
              <w:left w:w="0" w:type="dxa"/>
              <w:bottom w:w="113" w:type="dxa"/>
              <w:right w:w="113" w:type="dxa"/>
            </w:tcMar>
            <w:vAlign w:val="bottom"/>
          </w:tcPr>
          <w:p w14:paraId="0D747559" w14:textId="77777777" w:rsidR="00F47023" w:rsidRPr="00EB65B5" w:rsidRDefault="00F47023" w:rsidP="00EB65B5">
            <w:pPr>
              <w:pStyle w:val="FSBodyText"/>
              <w:spacing w:after="0" w:line="240" w:lineRule="auto"/>
            </w:pPr>
            <w:r w:rsidRPr="00EB65B5">
              <w:t>Cash on hand and at bank</w:t>
            </w:r>
          </w:p>
        </w:tc>
        <w:tc>
          <w:tcPr>
            <w:tcW w:w="1417" w:type="dxa"/>
            <w:tcMar>
              <w:top w:w="113" w:type="dxa"/>
              <w:left w:w="0" w:type="dxa"/>
              <w:bottom w:w="113" w:type="dxa"/>
              <w:right w:w="113" w:type="dxa"/>
            </w:tcMar>
            <w:vAlign w:val="bottom"/>
          </w:tcPr>
          <w:p w14:paraId="47C68AA8" w14:textId="77777777" w:rsidR="00F47023" w:rsidRPr="00EB65B5" w:rsidRDefault="00F47023" w:rsidP="00EB65B5">
            <w:pPr>
              <w:pStyle w:val="FSBodyText"/>
              <w:spacing w:after="0" w:line="240" w:lineRule="auto"/>
              <w:jc w:val="right"/>
            </w:pPr>
            <w:r w:rsidRPr="00EB65B5">
              <w:rPr>
                <w:rStyle w:val="Bold"/>
                <w:rFonts w:eastAsia="MS Mincho"/>
                <w:lang w:val="it-IT"/>
              </w:rPr>
              <w:t xml:space="preserve">26,407 </w:t>
            </w:r>
          </w:p>
        </w:tc>
        <w:tc>
          <w:tcPr>
            <w:tcW w:w="1417" w:type="dxa"/>
            <w:tcMar>
              <w:top w:w="113" w:type="dxa"/>
              <w:left w:w="0" w:type="dxa"/>
              <w:bottom w:w="113" w:type="dxa"/>
              <w:right w:w="113" w:type="dxa"/>
            </w:tcMar>
            <w:vAlign w:val="bottom"/>
          </w:tcPr>
          <w:p w14:paraId="26C23922" w14:textId="77777777" w:rsidR="00F47023" w:rsidRPr="00EB65B5" w:rsidRDefault="00F47023" w:rsidP="00EB65B5">
            <w:pPr>
              <w:pStyle w:val="FSBodyText"/>
              <w:spacing w:after="0" w:line="240" w:lineRule="auto"/>
              <w:jc w:val="right"/>
            </w:pPr>
            <w:r w:rsidRPr="00EB65B5">
              <w:rPr>
                <w:lang w:val="it-IT"/>
              </w:rPr>
              <w:t xml:space="preserve">15,958 </w:t>
            </w:r>
          </w:p>
        </w:tc>
      </w:tr>
      <w:tr w:rsidR="00F47023" w:rsidRPr="00EB65B5" w14:paraId="1A632606" w14:textId="77777777" w:rsidTr="00EB65B5">
        <w:trPr>
          <w:trHeight w:val="240"/>
        </w:trPr>
        <w:tc>
          <w:tcPr>
            <w:tcW w:w="725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6F84093C" w14:textId="77777777" w:rsidR="00F47023" w:rsidRPr="00EB65B5" w:rsidRDefault="00F47023" w:rsidP="00EB65B5">
            <w:pPr>
              <w:pStyle w:val="FSBodyText"/>
              <w:spacing w:after="0" w:line="240" w:lineRule="auto"/>
            </w:pPr>
            <w:r w:rsidRPr="00EB65B5">
              <w:rPr>
                <w:rStyle w:val="Bold"/>
                <w:rFonts w:eastAsia="MS Mincho"/>
              </w:rPr>
              <w:t>Total cash and cash equivalents</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37633BF5" w14:textId="77777777" w:rsidR="00F47023" w:rsidRPr="00EB65B5" w:rsidRDefault="00F47023" w:rsidP="00EB65B5">
            <w:pPr>
              <w:pStyle w:val="FSBodyText"/>
              <w:spacing w:after="0" w:line="240" w:lineRule="auto"/>
              <w:jc w:val="right"/>
            </w:pPr>
            <w:r w:rsidRPr="00EB65B5">
              <w:rPr>
                <w:rStyle w:val="Bold"/>
                <w:rFonts w:eastAsia="MS Mincho"/>
                <w:lang w:val="it-IT"/>
              </w:rPr>
              <w:t xml:space="preserve">26,407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74FFF4E7" w14:textId="77777777" w:rsidR="00F47023" w:rsidRPr="00EB65B5" w:rsidRDefault="00F47023" w:rsidP="00EB65B5">
            <w:pPr>
              <w:pStyle w:val="FSBodyText"/>
              <w:spacing w:after="0" w:line="240" w:lineRule="auto"/>
              <w:jc w:val="right"/>
            </w:pPr>
            <w:r w:rsidRPr="00EB65B5">
              <w:rPr>
                <w:lang w:val="it-IT"/>
              </w:rPr>
              <w:t xml:space="preserve">15,958 </w:t>
            </w:r>
          </w:p>
        </w:tc>
      </w:tr>
      <w:tr w:rsidR="00F47023" w:rsidRPr="00EB65B5" w14:paraId="7214EDC9" w14:textId="77777777" w:rsidTr="00EB65B5">
        <w:trPr>
          <w:trHeight w:val="1321"/>
        </w:trPr>
        <w:tc>
          <w:tcPr>
            <w:tcW w:w="10091" w:type="dxa"/>
            <w:gridSpan w:val="3"/>
            <w:tcBorders>
              <w:bottom w:val="nil"/>
            </w:tcBorders>
            <w:tcMar>
              <w:top w:w="227" w:type="dxa"/>
              <w:left w:w="0" w:type="dxa"/>
              <w:bottom w:w="227" w:type="dxa"/>
              <w:right w:w="113" w:type="dxa"/>
            </w:tcMar>
            <w:vAlign w:val="bottom"/>
          </w:tcPr>
          <w:p w14:paraId="68B6816E" w14:textId="77777777" w:rsidR="00F47023" w:rsidRPr="00EB65B5" w:rsidRDefault="00F47023" w:rsidP="00EB65B5">
            <w:pPr>
              <w:pStyle w:val="FSBodyText"/>
              <w:spacing w:after="120" w:line="240" w:lineRule="auto"/>
              <w:rPr>
                <w:rStyle w:val="Bold"/>
                <w:rFonts w:eastAsia="MS Mincho"/>
              </w:rPr>
            </w:pPr>
            <w:r w:rsidRPr="00EB65B5">
              <w:rPr>
                <w:rStyle w:val="Bold"/>
                <w:rFonts w:eastAsia="MS Mincho"/>
              </w:rPr>
              <w:t>Accounting Policy</w:t>
            </w:r>
          </w:p>
          <w:p w14:paraId="3C903D37" w14:textId="77777777" w:rsidR="00F47023" w:rsidRPr="00EB65B5" w:rsidRDefault="00F47023" w:rsidP="00EB65B5">
            <w:pPr>
              <w:pStyle w:val="FSBodyText"/>
              <w:spacing w:after="0" w:line="240" w:lineRule="auto"/>
            </w:pPr>
            <w:r w:rsidRPr="00EB65B5">
              <w:t>Cash is recognised at its nominal amount. Cash and cash equivalents include:</w:t>
            </w:r>
          </w:p>
          <w:p w14:paraId="0489422C" w14:textId="77777777" w:rsidR="00F47023" w:rsidRPr="00EB65B5" w:rsidRDefault="00F47023" w:rsidP="00EB65B5">
            <w:pPr>
              <w:pStyle w:val="FSBodyText"/>
              <w:spacing w:after="0" w:line="240" w:lineRule="auto"/>
              <w:ind w:left="568" w:hanging="284"/>
            </w:pPr>
            <w:r w:rsidRPr="00EB65B5">
              <w:t>a)</w:t>
            </w:r>
            <w:r w:rsidRPr="00EB65B5">
              <w:tab/>
              <w:t>cash on hand;</w:t>
            </w:r>
          </w:p>
          <w:p w14:paraId="20BC47A3" w14:textId="77777777" w:rsidR="00F47023" w:rsidRPr="00EB65B5" w:rsidRDefault="00F47023" w:rsidP="00EB65B5">
            <w:pPr>
              <w:pStyle w:val="FSBodyText"/>
              <w:spacing w:after="0" w:line="240" w:lineRule="auto"/>
              <w:ind w:left="568" w:hanging="284"/>
            </w:pPr>
            <w:r w:rsidRPr="00EB65B5">
              <w:t>b)</w:t>
            </w:r>
            <w:r w:rsidRPr="00EB65B5">
              <w:tab/>
              <w:t>demand deposits in bank accounts with an original maturity of 3 months or less that are readily convertible to known amounts of cash and subject to insignificant risk of changes in value. At the reporting date the Commission did not hold any term deposits with a maturity greater than three months.</w:t>
            </w:r>
          </w:p>
        </w:tc>
      </w:tr>
      <w:tr w:rsidR="00F47023" w:rsidRPr="00EB65B5" w14:paraId="4E747F88" w14:textId="77777777" w:rsidTr="00EB65B5">
        <w:trPr>
          <w:trHeight w:val="240"/>
        </w:trPr>
        <w:tc>
          <w:tcPr>
            <w:tcW w:w="7257" w:type="dxa"/>
            <w:tcBorders>
              <w:top w:val="nil"/>
            </w:tcBorders>
            <w:tcMar>
              <w:top w:w="28" w:type="dxa"/>
              <w:left w:w="0" w:type="dxa"/>
              <w:bottom w:w="57" w:type="dxa"/>
              <w:right w:w="113" w:type="dxa"/>
            </w:tcMar>
            <w:vAlign w:val="bottom"/>
          </w:tcPr>
          <w:p w14:paraId="27F3335A" w14:textId="77777777" w:rsidR="00F47023" w:rsidRPr="00EB65B5" w:rsidRDefault="00F47023" w:rsidP="00EB65B5">
            <w:pPr>
              <w:pStyle w:val="FSBlueHeadingBold"/>
            </w:pPr>
            <w:r w:rsidRPr="00EB65B5">
              <w:rPr>
                <w:rStyle w:val="Bold"/>
                <w:rFonts w:eastAsia="MS Mincho"/>
                <w:b/>
                <w:bCs/>
              </w:rPr>
              <w:t>2.1B: Trade and other receivables</w:t>
            </w:r>
          </w:p>
        </w:tc>
        <w:tc>
          <w:tcPr>
            <w:tcW w:w="1417" w:type="dxa"/>
            <w:tcBorders>
              <w:top w:val="nil"/>
            </w:tcBorders>
            <w:tcMar>
              <w:top w:w="28" w:type="dxa"/>
              <w:left w:w="0" w:type="dxa"/>
              <w:bottom w:w="57" w:type="dxa"/>
              <w:right w:w="113" w:type="dxa"/>
            </w:tcMar>
            <w:vAlign w:val="bottom"/>
          </w:tcPr>
          <w:p w14:paraId="3805DCC9" w14:textId="77777777" w:rsidR="00F47023" w:rsidRPr="00EB65B5" w:rsidRDefault="00F47023" w:rsidP="00EB65B5">
            <w:pPr>
              <w:pStyle w:val="Nessunostileparagrafo"/>
              <w:spacing w:line="240" w:lineRule="auto"/>
              <w:textAlignment w:val="auto"/>
              <w:rPr>
                <w:rFonts w:ascii="Open Sans Semibold" w:hAnsi="Open Sans Semibold" w:cs="Times New Roman"/>
                <w:color w:val="auto"/>
                <w:sz w:val="16"/>
                <w:szCs w:val="16"/>
              </w:rPr>
            </w:pPr>
          </w:p>
        </w:tc>
        <w:tc>
          <w:tcPr>
            <w:tcW w:w="1417" w:type="dxa"/>
            <w:tcBorders>
              <w:top w:val="nil"/>
            </w:tcBorders>
            <w:tcMar>
              <w:top w:w="28" w:type="dxa"/>
              <w:left w:w="0" w:type="dxa"/>
              <w:bottom w:w="57" w:type="dxa"/>
              <w:right w:w="113" w:type="dxa"/>
            </w:tcMar>
            <w:vAlign w:val="bottom"/>
          </w:tcPr>
          <w:p w14:paraId="53F3E3BC" w14:textId="77777777" w:rsidR="00F47023" w:rsidRPr="00EB65B5" w:rsidRDefault="00F47023" w:rsidP="00EB65B5">
            <w:pPr>
              <w:pStyle w:val="Nessunostileparagrafo"/>
              <w:spacing w:line="240" w:lineRule="auto"/>
              <w:textAlignment w:val="auto"/>
              <w:rPr>
                <w:rFonts w:ascii="Open Sans Semibold" w:hAnsi="Open Sans Semibold" w:cs="Times New Roman"/>
                <w:color w:val="auto"/>
                <w:sz w:val="16"/>
                <w:szCs w:val="16"/>
              </w:rPr>
            </w:pPr>
          </w:p>
        </w:tc>
      </w:tr>
      <w:tr w:rsidR="00F47023" w:rsidRPr="00EB65B5" w14:paraId="5DC27914" w14:textId="77777777" w:rsidTr="00EB65B5">
        <w:trPr>
          <w:trHeight w:val="240"/>
        </w:trPr>
        <w:tc>
          <w:tcPr>
            <w:tcW w:w="7257" w:type="dxa"/>
            <w:tcMar>
              <w:top w:w="28" w:type="dxa"/>
              <w:left w:w="0" w:type="dxa"/>
              <w:bottom w:w="57" w:type="dxa"/>
              <w:right w:w="113" w:type="dxa"/>
            </w:tcMar>
            <w:vAlign w:val="bottom"/>
          </w:tcPr>
          <w:p w14:paraId="664D753F" w14:textId="77777777" w:rsidR="00F47023" w:rsidRPr="00EB65B5" w:rsidRDefault="00F47023" w:rsidP="00EB65B5">
            <w:pPr>
              <w:pStyle w:val="FSBodyText"/>
              <w:spacing w:after="0" w:line="240" w:lineRule="auto"/>
            </w:pPr>
            <w:r w:rsidRPr="00EB65B5">
              <w:rPr>
                <w:rStyle w:val="Bold"/>
                <w:rFonts w:eastAsia="MS Mincho"/>
                <w:lang w:val="it-IT"/>
              </w:rPr>
              <w:t>Goods and services receivables</w:t>
            </w:r>
          </w:p>
        </w:tc>
        <w:tc>
          <w:tcPr>
            <w:tcW w:w="1417" w:type="dxa"/>
            <w:tcMar>
              <w:top w:w="28" w:type="dxa"/>
              <w:left w:w="0" w:type="dxa"/>
              <w:bottom w:w="57" w:type="dxa"/>
              <w:right w:w="113" w:type="dxa"/>
            </w:tcMar>
            <w:vAlign w:val="bottom"/>
          </w:tcPr>
          <w:p w14:paraId="4497E0DB" w14:textId="77777777" w:rsidR="00F47023" w:rsidRPr="00EB65B5" w:rsidRDefault="00F47023" w:rsidP="00EB65B5">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28" w:type="dxa"/>
              <w:left w:w="0" w:type="dxa"/>
              <w:bottom w:w="57" w:type="dxa"/>
              <w:right w:w="113" w:type="dxa"/>
            </w:tcMar>
            <w:vAlign w:val="bottom"/>
          </w:tcPr>
          <w:p w14:paraId="119A0BC7" w14:textId="77777777" w:rsidR="00F47023" w:rsidRPr="00EB65B5" w:rsidRDefault="00F47023" w:rsidP="00EB65B5">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EB65B5" w14:paraId="58AAB8F7" w14:textId="77777777" w:rsidTr="00EB65B5">
        <w:trPr>
          <w:trHeight w:val="240"/>
        </w:trPr>
        <w:tc>
          <w:tcPr>
            <w:tcW w:w="7257" w:type="dxa"/>
            <w:tcMar>
              <w:top w:w="113" w:type="dxa"/>
              <w:left w:w="0" w:type="dxa"/>
              <w:bottom w:w="113" w:type="dxa"/>
              <w:right w:w="113" w:type="dxa"/>
            </w:tcMar>
            <w:vAlign w:val="bottom"/>
          </w:tcPr>
          <w:p w14:paraId="08ABDF6B" w14:textId="77777777" w:rsidR="00F47023" w:rsidRPr="00EB65B5" w:rsidRDefault="00F47023" w:rsidP="00EB65B5">
            <w:pPr>
              <w:pStyle w:val="FSBodyText"/>
              <w:spacing w:after="0" w:line="240" w:lineRule="auto"/>
            </w:pPr>
            <w:r w:rsidRPr="00EB65B5">
              <w:rPr>
                <w:lang w:val="it-IT"/>
              </w:rPr>
              <w:t>Goods and services</w:t>
            </w:r>
          </w:p>
        </w:tc>
        <w:tc>
          <w:tcPr>
            <w:tcW w:w="1417" w:type="dxa"/>
            <w:tcMar>
              <w:top w:w="113" w:type="dxa"/>
              <w:left w:w="0" w:type="dxa"/>
              <w:bottom w:w="113" w:type="dxa"/>
              <w:right w:w="113" w:type="dxa"/>
            </w:tcMar>
            <w:vAlign w:val="bottom"/>
          </w:tcPr>
          <w:p w14:paraId="44A6B59B" w14:textId="77777777" w:rsidR="00F47023" w:rsidRPr="00EB65B5" w:rsidRDefault="00F47023" w:rsidP="00EB65B5">
            <w:pPr>
              <w:pStyle w:val="FSBodyText"/>
              <w:spacing w:after="0" w:line="240" w:lineRule="auto"/>
              <w:jc w:val="right"/>
            </w:pPr>
            <w:r w:rsidRPr="00EB65B5">
              <w:rPr>
                <w:rStyle w:val="Bold"/>
                <w:rFonts w:eastAsia="MS Mincho"/>
                <w:lang w:val="it-IT"/>
              </w:rPr>
              <w:t xml:space="preserve">878 </w:t>
            </w:r>
          </w:p>
        </w:tc>
        <w:tc>
          <w:tcPr>
            <w:tcW w:w="1417" w:type="dxa"/>
            <w:tcMar>
              <w:top w:w="113" w:type="dxa"/>
              <w:left w:w="0" w:type="dxa"/>
              <w:bottom w:w="113" w:type="dxa"/>
              <w:right w:w="113" w:type="dxa"/>
            </w:tcMar>
            <w:vAlign w:val="bottom"/>
          </w:tcPr>
          <w:p w14:paraId="4A91DBD1" w14:textId="77777777" w:rsidR="00F47023" w:rsidRPr="00EB65B5" w:rsidRDefault="00F47023" w:rsidP="00EB65B5">
            <w:pPr>
              <w:pStyle w:val="FSBodyText"/>
              <w:spacing w:after="0" w:line="240" w:lineRule="auto"/>
              <w:jc w:val="right"/>
            </w:pPr>
            <w:r w:rsidRPr="00EB65B5">
              <w:rPr>
                <w:lang w:val="it-IT"/>
              </w:rPr>
              <w:t xml:space="preserve">698 </w:t>
            </w:r>
          </w:p>
        </w:tc>
      </w:tr>
      <w:tr w:rsidR="00F47023" w:rsidRPr="00EB65B5" w14:paraId="304773DC" w14:textId="77777777" w:rsidTr="00EB65B5">
        <w:trPr>
          <w:trHeight w:val="240"/>
        </w:trPr>
        <w:tc>
          <w:tcPr>
            <w:tcW w:w="7257" w:type="dxa"/>
            <w:shd w:val="clear" w:color="auto" w:fill="F2F2F2" w:themeFill="background1" w:themeFillShade="F2"/>
            <w:tcMar>
              <w:top w:w="113" w:type="dxa"/>
              <w:left w:w="0" w:type="dxa"/>
              <w:bottom w:w="113" w:type="dxa"/>
              <w:right w:w="113" w:type="dxa"/>
            </w:tcMar>
            <w:vAlign w:val="bottom"/>
          </w:tcPr>
          <w:p w14:paraId="2886C5FB" w14:textId="77777777" w:rsidR="00F47023" w:rsidRPr="00EB65B5" w:rsidRDefault="00F47023" w:rsidP="00EB65B5">
            <w:pPr>
              <w:pStyle w:val="FSBodyText"/>
              <w:spacing w:after="0" w:line="240" w:lineRule="auto"/>
            </w:pPr>
            <w:r w:rsidRPr="00EB65B5">
              <w:rPr>
                <w:rStyle w:val="Bold"/>
                <w:rFonts w:eastAsia="MS Mincho"/>
              </w:rPr>
              <w:t>Total goods and services receivables</w:t>
            </w:r>
          </w:p>
        </w:tc>
        <w:tc>
          <w:tcPr>
            <w:tcW w:w="1417" w:type="dxa"/>
            <w:shd w:val="clear" w:color="auto" w:fill="F2F2F2" w:themeFill="background1" w:themeFillShade="F2"/>
            <w:tcMar>
              <w:top w:w="113" w:type="dxa"/>
              <w:left w:w="0" w:type="dxa"/>
              <w:bottom w:w="113" w:type="dxa"/>
              <w:right w:w="113" w:type="dxa"/>
            </w:tcMar>
            <w:vAlign w:val="bottom"/>
          </w:tcPr>
          <w:p w14:paraId="5565F763" w14:textId="77777777" w:rsidR="00F47023" w:rsidRPr="00EB65B5" w:rsidRDefault="00F47023" w:rsidP="00EB65B5">
            <w:pPr>
              <w:pStyle w:val="FSBodyText"/>
              <w:spacing w:after="0" w:line="240" w:lineRule="auto"/>
              <w:jc w:val="right"/>
            </w:pPr>
            <w:r w:rsidRPr="00EB65B5">
              <w:rPr>
                <w:rStyle w:val="Bold"/>
                <w:rFonts w:eastAsia="MS Mincho"/>
                <w:lang w:val="it-IT"/>
              </w:rPr>
              <w:t xml:space="preserve">878 </w:t>
            </w:r>
          </w:p>
        </w:tc>
        <w:tc>
          <w:tcPr>
            <w:tcW w:w="1417" w:type="dxa"/>
            <w:shd w:val="clear" w:color="auto" w:fill="F2F2F2" w:themeFill="background1" w:themeFillShade="F2"/>
            <w:tcMar>
              <w:top w:w="113" w:type="dxa"/>
              <w:left w:w="0" w:type="dxa"/>
              <w:bottom w:w="113" w:type="dxa"/>
              <w:right w:w="113" w:type="dxa"/>
            </w:tcMar>
            <w:vAlign w:val="bottom"/>
          </w:tcPr>
          <w:p w14:paraId="43D07C90" w14:textId="77777777" w:rsidR="00F47023" w:rsidRPr="00EB65B5" w:rsidRDefault="00F47023" w:rsidP="00EB65B5">
            <w:pPr>
              <w:pStyle w:val="FSBodyText"/>
              <w:spacing w:after="0" w:line="240" w:lineRule="auto"/>
              <w:jc w:val="right"/>
            </w:pPr>
            <w:r w:rsidRPr="00EB65B5">
              <w:rPr>
                <w:lang w:val="it-IT"/>
              </w:rPr>
              <w:t xml:space="preserve">698 </w:t>
            </w:r>
          </w:p>
        </w:tc>
      </w:tr>
      <w:tr w:rsidR="00F47023" w:rsidRPr="00EB65B5" w14:paraId="206E0E8B" w14:textId="77777777" w:rsidTr="00EB65B5">
        <w:trPr>
          <w:trHeight w:val="240"/>
        </w:trPr>
        <w:tc>
          <w:tcPr>
            <w:tcW w:w="7257" w:type="dxa"/>
            <w:tcMar>
              <w:top w:w="28" w:type="dxa"/>
              <w:left w:w="0" w:type="dxa"/>
              <w:bottom w:w="57" w:type="dxa"/>
              <w:right w:w="113" w:type="dxa"/>
            </w:tcMar>
            <w:vAlign w:val="bottom"/>
          </w:tcPr>
          <w:p w14:paraId="403486B4" w14:textId="77777777" w:rsidR="00F47023" w:rsidRPr="00EB65B5" w:rsidRDefault="00F47023" w:rsidP="00EB65B5">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28" w:type="dxa"/>
              <w:left w:w="0" w:type="dxa"/>
              <w:bottom w:w="57" w:type="dxa"/>
              <w:right w:w="113" w:type="dxa"/>
            </w:tcMar>
            <w:vAlign w:val="bottom"/>
          </w:tcPr>
          <w:p w14:paraId="3A2081AE" w14:textId="77777777" w:rsidR="00F47023" w:rsidRPr="00EB65B5" w:rsidRDefault="00F47023" w:rsidP="00EB65B5">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28" w:type="dxa"/>
              <w:left w:w="0" w:type="dxa"/>
              <w:bottom w:w="57" w:type="dxa"/>
              <w:right w:w="113" w:type="dxa"/>
            </w:tcMar>
            <w:vAlign w:val="bottom"/>
          </w:tcPr>
          <w:p w14:paraId="0C1BC555" w14:textId="77777777" w:rsidR="00F47023" w:rsidRPr="00EB65B5" w:rsidRDefault="00F47023" w:rsidP="00EB65B5">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EB65B5" w14:paraId="4C2317EF" w14:textId="77777777" w:rsidTr="00EB65B5">
        <w:trPr>
          <w:trHeight w:val="240"/>
        </w:trPr>
        <w:tc>
          <w:tcPr>
            <w:tcW w:w="7257" w:type="dxa"/>
            <w:tcMar>
              <w:top w:w="28" w:type="dxa"/>
              <w:left w:w="0" w:type="dxa"/>
              <w:bottom w:w="57" w:type="dxa"/>
              <w:right w:w="113" w:type="dxa"/>
            </w:tcMar>
            <w:vAlign w:val="bottom"/>
          </w:tcPr>
          <w:p w14:paraId="3930BAF8" w14:textId="77777777" w:rsidR="00F47023" w:rsidRPr="00EB65B5" w:rsidRDefault="00F47023" w:rsidP="00EB65B5">
            <w:pPr>
              <w:pStyle w:val="FSBodyText"/>
              <w:spacing w:after="0" w:line="240" w:lineRule="auto"/>
            </w:pPr>
            <w:r w:rsidRPr="00EB65B5">
              <w:rPr>
                <w:rStyle w:val="Bold"/>
                <w:rFonts w:eastAsia="MS Mincho"/>
                <w:lang w:val="it-IT"/>
              </w:rPr>
              <w:t>Other receivables</w:t>
            </w:r>
          </w:p>
        </w:tc>
        <w:tc>
          <w:tcPr>
            <w:tcW w:w="1417" w:type="dxa"/>
            <w:tcMar>
              <w:top w:w="28" w:type="dxa"/>
              <w:left w:w="0" w:type="dxa"/>
              <w:bottom w:w="57" w:type="dxa"/>
              <w:right w:w="113" w:type="dxa"/>
            </w:tcMar>
            <w:vAlign w:val="bottom"/>
          </w:tcPr>
          <w:p w14:paraId="1D819915" w14:textId="77777777" w:rsidR="00F47023" w:rsidRPr="00EB65B5" w:rsidRDefault="00F47023" w:rsidP="00EB65B5">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28" w:type="dxa"/>
              <w:left w:w="0" w:type="dxa"/>
              <w:bottom w:w="57" w:type="dxa"/>
              <w:right w:w="113" w:type="dxa"/>
            </w:tcMar>
            <w:vAlign w:val="bottom"/>
          </w:tcPr>
          <w:p w14:paraId="0FDA7E11" w14:textId="77777777" w:rsidR="00F47023" w:rsidRPr="00EB65B5" w:rsidRDefault="00F47023" w:rsidP="00EB65B5">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EB65B5" w14:paraId="61E242F1" w14:textId="77777777" w:rsidTr="00EB65B5">
        <w:trPr>
          <w:trHeight w:val="240"/>
        </w:trPr>
        <w:tc>
          <w:tcPr>
            <w:tcW w:w="7257" w:type="dxa"/>
            <w:tcMar>
              <w:top w:w="28" w:type="dxa"/>
              <w:left w:w="0" w:type="dxa"/>
              <w:bottom w:w="57" w:type="dxa"/>
              <w:right w:w="113" w:type="dxa"/>
            </w:tcMar>
            <w:vAlign w:val="bottom"/>
          </w:tcPr>
          <w:p w14:paraId="795A09C8" w14:textId="77777777" w:rsidR="00F47023" w:rsidRPr="00EB65B5" w:rsidRDefault="00F47023" w:rsidP="00EB65B5">
            <w:pPr>
              <w:pStyle w:val="FSBodyText"/>
              <w:spacing w:after="0" w:line="240" w:lineRule="auto"/>
              <w:ind w:firstLine="360"/>
            </w:pPr>
            <w:r w:rsidRPr="00EB65B5">
              <w:rPr>
                <w:lang w:val="it-IT"/>
              </w:rPr>
              <w:t>Interest</w:t>
            </w:r>
          </w:p>
        </w:tc>
        <w:tc>
          <w:tcPr>
            <w:tcW w:w="1417" w:type="dxa"/>
            <w:tcMar>
              <w:top w:w="28" w:type="dxa"/>
              <w:left w:w="0" w:type="dxa"/>
              <w:bottom w:w="57" w:type="dxa"/>
              <w:right w:w="113" w:type="dxa"/>
            </w:tcMar>
            <w:vAlign w:val="bottom"/>
          </w:tcPr>
          <w:p w14:paraId="0E363552" w14:textId="77777777" w:rsidR="00F47023" w:rsidRPr="00EB65B5" w:rsidRDefault="00F47023" w:rsidP="00EB65B5">
            <w:pPr>
              <w:pStyle w:val="FSBodyText"/>
              <w:spacing w:after="0" w:line="240" w:lineRule="auto"/>
              <w:jc w:val="right"/>
            </w:pPr>
            <w:r w:rsidRPr="00EB65B5">
              <w:rPr>
                <w:rStyle w:val="Bold"/>
                <w:rFonts w:eastAsia="MS Mincho"/>
                <w:lang w:val="it-IT"/>
              </w:rPr>
              <w:t xml:space="preserve">45 </w:t>
            </w:r>
          </w:p>
        </w:tc>
        <w:tc>
          <w:tcPr>
            <w:tcW w:w="1417" w:type="dxa"/>
            <w:tcMar>
              <w:top w:w="28" w:type="dxa"/>
              <w:left w:w="0" w:type="dxa"/>
              <w:bottom w:w="57" w:type="dxa"/>
              <w:right w:w="113" w:type="dxa"/>
            </w:tcMar>
            <w:vAlign w:val="bottom"/>
          </w:tcPr>
          <w:p w14:paraId="50A84169" w14:textId="77777777" w:rsidR="00F47023" w:rsidRPr="00EB65B5" w:rsidRDefault="00F47023" w:rsidP="00EB65B5">
            <w:pPr>
              <w:pStyle w:val="FSBodyText"/>
              <w:spacing w:after="0" w:line="240" w:lineRule="auto"/>
              <w:jc w:val="right"/>
            </w:pPr>
            <w:r w:rsidRPr="00EB65B5">
              <w:rPr>
                <w:lang w:val="it-IT"/>
              </w:rPr>
              <w:t xml:space="preserve">5 </w:t>
            </w:r>
          </w:p>
        </w:tc>
      </w:tr>
      <w:tr w:rsidR="00F47023" w:rsidRPr="00EB65B5" w14:paraId="0DD68408" w14:textId="77777777" w:rsidTr="00EB65B5">
        <w:trPr>
          <w:trHeight w:val="240"/>
        </w:trPr>
        <w:tc>
          <w:tcPr>
            <w:tcW w:w="7257" w:type="dxa"/>
            <w:tcMar>
              <w:top w:w="57" w:type="dxa"/>
              <w:left w:w="0" w:type="dxa"/>
              <w:bottom w:w="113" w:type="dxa"/>
              <w:right w:w="113" w:type="dxa"/>
            </w:tcMar>
            <w:vAlign w:val="bottom"/>
          </w:tcPr>
          <w:p w14:paraId="402F03AC" w14:textId="77777777" w:rsidR="00F47023" w:rsidRPr="00EB65B5" w:rsidRDefault="00F47023" w:rsidP="00EB65B5">
            <w:pPr>
              <w:pStyle w:val="FSBodyText"/>
              <w:spacing w:after="0" w:line="240" w:lineRule="auto"/>
              <w:ind w:firstLine="360"/>
            </w:pPr>
            <w:r w:rsidRPr="00EB65B5">
              <w:t>GST Receivable from the Australian Taxation Office</w:t>
            </w:r>
          </w:p>
        </w:tc>
        <w:tc>
          <w:tcPr>
            <w:tcW w:w="1417" w:type="dxa"/>
            <w:tcMar>
              <w:top w:w="57" w:type="dxa"/>
              <w:left w:w="0" w:type="dxa"/>
              <w:bottom w:w="113" w:type="dxa"/>
              <w:right w:w="113" w:type="dxa"/>
            </w:tcMar>
            <w:vAlign w:val="bottom"/>
          </w:tcPr>
          <w:p w14:paraId="66ACBB71" w14:textId="77777777" w:rsidR="00F47023" w:rsidRPr="00EB65B5" w:rsidRDefault="00F47023" w:rsidP="00EB65B5">
            <w:pPr>
              <w:pStyle w:val="FSBodyText"/>
              <w:spacing w:after="0" w:line="240" w:lineRule="auto"/>
              <w:jc w:val="right"/>
            </w:pPr>
            <w:r w:rsidRPr="00EB65B5">
              <w:rPr>
                <w:rStyle w:val="Bold"/>
                <w:rFonts w:eastAsia="MS Mincho"/>
                <w:lang w:val="it-IT"/>
              </w:rPr>
              <w:t xml:space="preserve">160 </w:t>
            </w:r>
          </w:p>
        </w:tc>
        <w:tc>
          <w:tcPr>
            <w:tcW w:w="1417" w:type="dxa"/>
            <w:tcMar>
              <w:top w:w="57" w:type="dxa"/>
              <w:left w:w="0" w:type="dxa"/>
              <w:bottom w:w="113" w:type="dxa"/>
              <w:right w:w="113" w:type="dxa"/>
            </w:tcMar>
            <w:vAlign w:val="bottom"/>
          </w:tcPr>
          <w:p w14:paraId="0B9FD5B7" w14:textId="77777777" w:rsidR="00F47023" w:rsidRPr="00EB65B5" w:rsidRDefault="00F47023" w:rsidP="00EB65B5">
            <w:pPr>
              <w:pStyle w:val="FSBodyText"/>
              <w:spacing w:after="0" w:line="240" w:lineRule="auto"/>
              <w:jc w:val="right"/>
            </w:pPr>
            <w:r w:rsidRPr="00EB65B5">
              <w:rPr>
                <w:lang w:val="it-IT"/>
              </w:rPr>
              <w:t xml:space="preserve">95 </w:t>
            </w:r>
          </w:p>
        </w:tc>
      </w:tr>
      <w:tr w:rsidR="00F47023" w:rsidRPr="00EB65B5" w14:paraId="5B38A7D8" w14:textId="77777777" w:rsidTr="00EB65B5">
        <w:trPr>
          <w:trHeight w:val="240"/>
        </w:trPr>
        <w:tc>
          <w:tcPr>
            <w:tcW w:w="7257" w:type="dxa"/>
            <w:shd w:val="clear" w:color="auto" w:fill="F2F2F2" w:themeFill="background1" w:themeFillShade="F2"/>
            <w:tcMar>
              <w:top w:w="113" w:type="dxa"/>
              <w:left w:w="0" w:type="dxa"/>
              <w:bottom w:w="113" w:type="dxa"/>
              <w:right w:w="113" w:type="dxa"/>
            </w:tcMar>
            <w:vAlign w:val="bottom"/>
          </w:tcPr>
          <w:p w14:paraId="7993E35F" w14:textId="77777777" w:rsidR="00F47023" w:rsidRPr="00EB65B5" w:rsidRDefault="00F47023" w:rsidP="00EB65B5">
            <w:pPr>
              <w:pStyle w:val="FSBodyText"/>
              <w:spacing w:after="0" w:line="240" w:lineRule="auto"/>
            </w:pPr>
            <w:r w:rsidRPr="00EB65B5">
              <w:rPr>
                <w:rStyle w:val="Bold"/>
                <w:rFonts w:eastAsia="MS Mincho"/>
                <w:lang w:val="it-IT"/>
              </w:rPr>
              <w:t>Total other receivables</w:t>
            </w:r>
          </w:p>
        </w:tc>
        <w:tc>
          <w:tcPr>
            <w:tcW w:w="1417" w:type="dxa"/>
            <w:shd w:val="clear" w:color="auto" w:fill="F2F2F2" w:themeFill="background1" w:themeFillShade="F2"/>
            <w:tcMar>
              <w:top w:w="113" w:type="dxa"/>
              <w:left w:w="0" w:type="dxa"/>
              <w:bottom w:w="113" w:type="dxa"/>
              <w:right w:w="113" w:type="dxa"/>
            </w:tcMar>
            <w:vAlign w:val="bottom"/>
          </w:tcPr>
          <w:p w14:paraId="3986A3C1" w14:textId="77777777" w:rsidR="00F47023" w:rsidRPr="00EB65B5" w:rsidRDefault="00F47023" w:rsidP="00EB65B5">
            <w:pPr>
              <w:pStyle w:val="FSBodyText"/>
              <w:spacing w:after="0" w:line="240" w:lineRule="auto"/>
              <w:jc w:val="right"/>
            </w:pPr>
            <w:r w:rsidRPr="00EB65B5">
              <w:rPr>
                <w:rStyle w:val="Bold"/>
                <w:rFonts w:eastAsia="MS Mincho"/>
                <w:lang w:val="it-IT"/>
              </w:rPr>
              <w:t xml:space="preserve">205 </w:t>
            </w:r>
          </w:p>
        </w:tc>
        <w:tc>
          <w:tcPr>
            <w:tcW w:w="1417" w:type="dxa"/>
            <w:shd w:val="clear" w:color="auto" w:fill="F2F2F2" w:themeFill="background1" w:themeFillShade="F2"/>
            <w:tcMar>
              <w:top w:w="113" w:type="dxa"/>
              <w:left w:w="0" w:type="dxa"/>
              <w:bottom w:w="113" w:type="dxa"/>
              <w:right w:w="113" w:type="dxa"/>
            </w:tcMar>
            <w:vAlign w:val="bottom"/>
          </w:tcPr>
          <w:p w14:paraId="7D4500B2" w14:textId="77777777" w:rsidR="00F47023" w:rsidRPr="00EB65B5" w:rsidRDefault="00F47023" w:rsidP="00EB65B5">
            <w:pPr>
              <w:pStyle w:val="FSBodyText"/>
              <w:spacing w:after="0" w:line="240" w:lineRule="auto"/>
              <w:jc w:val="right"/>
            </w:pPr>
            <w:r w:rsidRPr="00EB65B5">
              <w:rPr>
                <w:lang w:val="it-IT"/>
              </w:rPr>
              <w:t xml:space="preserve">100 </w:t>
            </w:r>
          </w:p>
        </w:tc>
      </w:tr>
      <w:tr w:rsidR="00F47023" w:rsidRPr="00EB65B5" w14:paraId="05CE6439" w14:textId="77777777" w:rsidTr="00EB65B5">
        <w:trPr>
          <w:trHeight w:val="240"/>
        </w:trPr>
        <w:tc>
          <w:tcPr>
            <w:tcW w:w="7257" w:type="dxa"/>
            <w:shd w:val="clear" w:color="auto" w:fill="F2F2F2" w:themeFill="background1" w:themeFillShade="F2"/>
            <w:tcMar>
              <w:top w:w="113" w:type="dxa"/>
              <w:left w:w="0" w:type="dxa"/>
              <w:bottom w:w="113" w:type="dxa"/>
              <w:right w:w="113" w:type="dxa"/>
            </w:tcMar>
            <w:vAlign w:val="bottom"/>
          </w:tcPr>
          <w:p w14:paraId="278BFAFD" w14:textId="77777777" w:rsidR="00F47023" w:rsidRPr="00EB65B5" w:rsidRDefault="00F47023" w:rsidP="00EB65B5">
            <w:pPr>
              <w:pStyle w:val="FSBodyText"/>
              <w:spacing w:after="0" w:line="240" w:lineRule="auto"/>
            </w:pPr>
            <w:r w:rsidRPr="00EB65B5">
              <w:rPr>
                <w:rStyle w:val="Bold"/>
                <w:rFonts w:eastAsia="MS Mincho"/>
              </w:rPr>
              <w:t>Total trade and other receivables (gross)</w:t>
            </w:r>
          </w:p>
        </w:tc>
        <w:tc>
          <w:tcPr>
            <w:tcW w:w="1417" w:type="dxa"/>
            <w:shd w:val="clear" w:color="auto" w:fill="F2F2F2" w:themeFill="background1" w:themeFillShade="F2"/>
            <w:tcMar>
              <w:top w:w="113" w:type="dxa"/>
              <w:left w:w="0" w:type="dxa"/>
              <w:bottom w:w="113" w:type="dxa"/>
              <w:right w:w="113" w:type="dxa"/>
            </w:tcMar>
            <w:vAlign w:val="bottom"/>
          </w:tcPr>
          <w:p w14:paraId="40287681" w14:textId="77777777" w:rsidR="00F47023" w:rsidRPr="00EB65B5" w:rsidRDefault="00F47023" w:rsidP="00EB65B5">
            <w:pPr>
              <w:pStyle w:val="FSBodyText"/>
              <w:spacing w:after="0" w:line="240" w:lineRule="auto"/>
              <w:jc w:val="right"/>
            </w:pPr>
            <w:r w:rsidRPr="00EB65B5">
              <w:rPr>
                <w:rStyle w:val="Bold"/>
                <w:rFonts w:eastAsia="MS Mincho"/>
                <w:lang w:val="it-IT"/>
              </w:rPr>
              <w:t xml:space="preserve">1,083 </w:t>
            </w:r>
          </w:p>
        </w:tc>
        <w:tc>
          <w:tcPr>
            <w:tcW w:w="1417" w:type="dxa"/>
            <w:shd w:val="clear" w:color="auto" w:fill="F2F2F2" w:themeFill="background1" w:themeFillShade="F2"/>
            <w:tcMar>
              <w:top w:w="113" w:type="dxa"/>
              <w:left w:w="0" w:type="dxa"/>
              <w:bottom w:w="113" w:type="dxa"/>
              <w:right w:w="113" w:type="dxa"/>
            </w:tcMar>
            <w:vAlign w:val="bottom"/>
          </w:tcPr>
          <w:p w14:paraId="6B570E59" w14:textId="77777777" w:rsidR="00F47023" w:rsidRPr="00EB65B5" w:rsidRDefault="00F47023" w:rsidP="00EB65B5">
            <w:pPr>
              <w:pStyle w:val="FSBodyText"/>
              <w:spacing w:after="0" w:line="240" w:lineRule="auto"/>
              <w:jc w:val="right"/>
            </w:pPr>
            <w:r w:rsidRPr="00EB65B5">
              <w:rPr>
                <w:lang w:val="it-IT"/>
              </w:rPr>
              <w:t xml:space="preserve">798 </w:t>
            </w:r>
          </w:p>
        </w:tc>
      </w:tr>
      <w:tr w:rsidR="00F47023" w:rsidRPr="00EB65B5" w14:paraId="3968A796" w14:textId="77777777" w:rsidTr="00EB65B5">
        <w:trPr>
          <w:trHeight w:val="240"/>
        </w:trPr>
        <w:tc>
          <w:tcPr>
            <w:tcW w:w="725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9E783CC" w14:textId="77777777" w:rsidR="00F47023" w:rsidRPr="00EB65B5" w:rsidRDefault="00F47023" w:rsidP="00EB65B5">
            <w:pPr>
              <w:pStyle w:val="FSBodyText"/>
              <w:spacing w:after="0" w:line="240" w:lineRule="auto"/>
            </w:pPr>
            <w:r w:rsidRPr="00EB65B5">
              <w:rPr>
                <w:rStyle w:val="Bold"/>
                <w:rFonts w:eastAsia="MS Mincho"/>
              </w:rPr>
              <w:t>Total trade and other receivables (net)</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21B7FF94" w14:textId="77777777" w:rsidR="00F47023" w:rsidRPr="00EB65B5" w:rsidRDefault="00F47023" w:rsidP="00EB65B5">
            <w:pPr>
              <w:pStyle w:val="FSBodyText"/>
              <w:spacing w:after="0" w:line="240" w:lineRule="auto"/>
              <w:jc w:val="right"/>
            </w:pPr>
            <w:r w:rsidRPr="00EB65B5">
              <w:rPr>
                <w:rStyle w:val="Bold"/>
                <w:rFonts w:eastAsia="MS Mincho"/>
                <w:lang w:val="it-IT"/>
              </w:rPr>
              <w:t xml:space="preserve">1,083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2AD49BC5" w14:textId="77777777" w:rsidR="00F47023" w:rsidRPr="00EB65B5" w:rsidRDefault="00F47023" w:rsidP="00EB65B5">
            <w:pPr>
              <w:pStyle w:val="FSBodyText"/>
              <w:spacing w:after="0" w:line="240" w:lineRule="auto"/>
              <w:jc w:val="right"/>
            </w:pPr>
            <w:r w:rsidRPr="00EB65B5">
              <w:rPr>
                <w:lang w:val="it-IT"/>
              </w:rPr>
              <w:t xml:space="preserve">798 </w:t>
            </w:r>
          </w:p>
        </w:tc>
      </w:tr>
      <w:tr w:rsidR="00F47023" w:rsidRPr="00EB65B5" w14:paraId="02C9FB08" w14:textId="77777777" w:rsidTr="00EB65B5">
        <w:trPr>
          <w:trHeight w:val="57"/>
        </w:trPr>
        <w:tc>
          <w:tcPr>
            <w:tcW w:w="7257" w:type="dxa"/>
            <w:tcBorders>
              <w:bottom w:val="nil"/>
            </w:tcBorders>
            <w:tcMar>
              <w:top w:w="28" w:type="dxa"/>
              <w:left w:w="0" w:type="dxa"/>
              <w:bottom w:w="57" w:type="dxa"/>
              <w:right w:w="113" w:type="dxa"/>
            </w:tcMar>
            <w:vAlign w:val="bottom"/>
          </w:tcPr>
          <w:p w14:paraId="7EF20938" w14:textId="77777777" w:rsidR="00F47023" w:rsidRPr="00EB65B5" w:rsidRDefault="00F47023" w:rsidP="00EB65B5">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Borders>
              <w:bottom w:val="nil"/>
            </w:tcBorders>
            <w:tcMar>
              <w:top w:w="28" w:type="dxa"/>
              <w:left w:w="0" w:type="dxa"/>
              <w:bottom w:w="57" w:type="dxa"/>
              <w:right w:w="113" w:type="dxa"/>
            </w:tcMar>
            <w:vAlign w:val="bottom"/>
          </w:tcPr>
          <w:p w14:paraId="2658A07B" w14:textId="77777777" w:rsidR="00F47023" w:rsidRPr="00EB65B5" w:rsidRDefault="00F47023" w:rsidP="00EB65B5">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Borders>
              <w:bottom w:val="nil"/>
            </w:tcBorders>
            <w:tcMar>
              <w:top w:w="28" w:type="dxa"/>
              <w:left w:w="0" w:type="dxa"/>
              <w:bottom w:w="57" w:type="dxa"/>
              <w:right w:w="113" w:type="dxa"/>
            </w:tcMar>
            <w:vAlign w:val="bottom"/>
          </w:tcPr>
          <w:p w14:paraId="3111612E" w14:textId="77777777" w:rsidR="00F47023" w:rsidRPr="00EB65B5" w:rsidRDefault="00F47023" w:rsidP="00EB65B5">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EB65B5" w14:paraId="709CFC86" w14:textId="77777777" w:rsidTr="00EB65B5">
        <w:trPr>
          <w:trHeight w:val="240"/>
        </w:trPr>
        <w:tc>
          <w:tcPr>
            <w:tcW w:w="7257" w:type="dxa"/>
            <w:tcBorders>
              <w:top w:val="nil"/>
            </w:tcBorders>
            <w:tcMar>
              <w:top w:w="28" w:type="dxa"/>
              <w:left w:w="0" w:type="dxa"/>
              <w:bottom w:w="57" w:type="dxa"/>
              <w:right w:w="113" w:type="dxa"/>
            </w:tcMar>
            <w:vAlign w:val="bottom"/>
          </w:tcPr>
          <w:p w14:paraId="19B002CD" w14:textId="77777777" w:rsidR="00F47023" w:rsidRPr="00EB65B5" w:rsidRDefault="00F47023" w:rsidP="00EB65B5">
            <w:pPr>
              <w:pStyle w:val="FSBodyText"/>
              <w:spacing w:after="0" w:line="240" w:lineRule="auto"/>
            </w:pPr>
            <w:r w:rsidRPr="00EB65B5">
              <w:rPr>
                <w:rStyle w:val="Bold"/>
                <w:rFonts w:eastAsia="MS Mincho"/>
              </w:rPr>
              <w:t>Trade and other receivables (net) expected to be recovered</w:t>
            </w:r>
          </w:p>
        </w:tc>
        <w:tc>
          <w:tcPr>
            <w:tcW w:w="1417" w:type="dxa"/>
            <w:tcBorders>
              <w:top w:val="nil"/>
            </w:tcBorders>
            <w:tcMar>
              <w:top w:w="28" w:type="dxa"/>
              <w:left w:w="0" w:type="dxa"/>
              <w:bottom w:w="57" w:type="dxa"/>
              <w:right w:w="113" w:type="dxa"/>
            </w:tcMar>
            <w:vAlign w:val="bottom"/>
          </w:tcPr>
          <w:p w14:paraId="1068425A" w14:textId="77777777" w:rsidR="00F47023" w:rsidRPr="00EB65B5" w:rsidRDefault="00F47023" w:rsidP="00EB65B5">
            <w:pPr>
              <w:pStyle w:val="Nessunostileparagrafo"/>
              <w:spacing w:line="240" w:lineRule="auto"/>
              <w:textAlignment w:val="auto"/>
              <w:rPr>
                <w:rFonts w:ascii="Open Sans Semibold" w:hAnsi="Open Sans Semibold" w:cs="Times New Roman"/>
                <w:color w:val="auto"/>
                <w:sz w:val="16"/>
                <w:szCs w:val="16"/>
              </w:rPr>
            </w:pPr>
          </w:p>
        </w:tc>
        <w:tc>
          <w:tcPr>
            <w:tcW w:w="1417" w:type="dxa"/>
            <w:tcBorders>
              <w:top w:val="nil"/>
            </w:tcBorders>
            <w:tcMar>
              <w:top w:w="28" w:type="dxa"/>
              <w:left w:w="0" w:type="dxa"/>
              <w:bottom w:w="57" w:type="dxa"/>
              <w:right w:w="113" w:type="dxa"/>
            </w:tcMar>
            <w:vAlign w:val="bottom"/>
          </w:tcPr>
          <w:p w14:paraId="0AC632F1" w14:textId="77777777" w:rsidR="00F47023" w:rsidRPr="00EB65B5" w:rsidRDefault="00F47023" w:rsidP="00EB65B5">
            <w:pPr>
              <w:pStyle w:val="Nessunostileparagrafo"/>
              <w:spacing w:line="240" w:lineRule="auto"/>
              <w:textAlignment w:val="auto"/>
              <w:rPr>
                <w:rFonts w:ascii="Open Sans Semibold" w:hAnsi="Open Sans Semibold" w:cs="Times New Roman"/>
                <w:color w:val="auto"/>
                <w:sz w:val="16"/>
                <w:szCs w:val="16"/>
              </w:rPr>
            </w:pPr>
          </w:p>
        </w:tc>
      </w:tr>
      <w:tr w:rsidR="00F47023" w:rsidRPr="00EB65B5" w14:paraId="4A6DE3CB" w14:textId="77777777" w:rsidTr="00EB65B5">
        <w:trPr>
          <w:trHeight w:val="240"/>
        </w:trPr>
        <w:tc>
          <w:tcPr>
            <w:tcW w:w="7257" w:type="dxa"/>
            <w:tcMar>
              <w:top w:w="113" w:type="dxa"/>
              <w:left w:w="0" w:type="dxa"/>
              <w:bottom w:w="113" w:type="dxa"/>
              <w:right w:w="113" w:type="dxa"/>
            </w:tcMar>
            <w:vAlign w:val="bottom"/>
          </w:tcPr>
          <w:p w14:paraId="51908AA1" w14:textId="77777777" w:rsidR="00F47023" w:rsidRPr="00EB65B5" w:rsidRDefault="00F47023" w:rsidP="00EB65B5">
            <w:pPr>
              <w:pStyle w:val="FSBodyText"/>
              <w:spacing w:after="0" w:line="240" w:lineRule="auto"/>
              <w:ind w:firstLine="360"/>
            </w:pPr>
            <w:r w:rsidRPr="00EB65B5">
              <w:rPr>
                <w:lang w:val="it-IT"/>
              </w:rPr>
              <w:t>No more than 12 months</w:t>
            </w:r>
          </w:p>
        </w:tc>
        <w:tc>
          <w:tcPr>
            <w:tcW w:w="1417" w:type="dxa"/>
            <w:tcMar>
              <w:top w:w="113" w:type="dxa"/>
              <w:left w:w="0" w:type="dxa"/>
              <w:bottom w:w="113" w:type="dxa"/>
              <w:right w:w="113" w:type="dxa"/>
            </w:tcMar>
            <w:vAlign w:val="bottom"/>
          </w:tcPr>
          <w:p w14:paraId="3123162F" w14:textId="77777777" w:rsidR="00F47023" w:rsidRPr="00EB65B5" w:rsidRDefault="00F47023" w:rsidP="00EB65B5">
            <w:pPr>
              <w:pStyle w:val="FSBodyText"/>
              <w:spacing w:after="0" w:line="240" w:lineRule="auto"/>
              <w:jc w:val="right"/>
            </w:pPr>
            <w:r w:rsidRPr="00EB65B5">
              <w:rPr>
                <w:rStyle w:val="Bold"/>
                <w:rFonts w:eastAsia="MS Mincho"/>
                <w:lang w:val="it-IT"/>
              </w:rPr>
              <w:t xml:space="preserve">1,083 </w:t>
            </w:r>
          </w:p>
        </w:tc>
        <w:tc>
          <w:tcPr>
            <w:tcW w:w="1417" w:type="dxa"/>
            <w:tcMar>
              <w:top w:w="113" w:type="dxa"/>
              <w:left w:w="0" w:type="dxa"/>
              <w:bottom w:w="113" w:type="dxa"/>
              <w:right w:w="113" w:type="dxa"/>
            </w:tcMar>
            <w:vAlign w:val="bottom"/>
          </w:tcPr>
          <w:p w14:paraId="2A16DECB" w14:textId="77777777" w:rsidR="00F47023" w:rsidRPr="00EB65B5" w:rsidRDefault="00F47023" w:rsidP="00EB65B5">
            <w:pPr>
              <w:pStyle w:val="FSBodyText"/>
              <w:spacing w:after="0" w:line="240" w:lineRule="auto"/>
              <w:jc w:val="right"/>
            </w:pPr>
            <w:r w:rsidRPr="00EB65B5">
              <w:rPr>
                <w:lang w:val="it-IT"/>
              </w:rPr>
              <w:t xml:space="preserve">798 </w:t>
            </w:r>
          </w:p>
        </w:tc>
      </w:tr>
      <w:tr w:rsidR="00F47023" w:rsidRPr="00EB65B5" w14:paraId="3A465FA8" w14:textId="77777777" w:rsidTr="00EB65B5">
        <w:trPr>
          <w:trHeight w:val="240"/>
        </w:trPr>
        <w:tc>
          <w:tcPr>
            <w:tcW w:w="725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74C8B89C" w14:textId="77777777" w:rsidR="00F47023" w:rsidRPr="00EB65B5" w:rsidRDefault="00F47023" w:rsidP="00EB65B5">
            <w:pPr>
              <w:pStyle w:val="FSBodyText"/>
              <w:spacing w:after="0" w:line="240" w:lineRule="auto"/>
            </w:pPr>
            <w:r w:rsidRPr="00EB65B5">
              <w:rPr>
                <w:rStyle w:val="Bold"/>
                <w:rFonts w:eastAsia="MS Mincho"/>
              </w:rPr>
              <w:t>Total trade and other receivables (net)</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35F3F04" w14:textId="77777777" w:rsidR="00F47023" w:rsidRPr="00EB65B5" w:rsidRDefault="00F47023" w:rsidP="00EB65B5">
            <w:pPr>
              <w:pStyle w:val="FSBodyText"/>
              <w:spacing w:after="0" w:line="240" w:lineRule="auto"/>
              <w:jc w:val="right"/>
            </w:pPr>
            <w:r w:rsidRPr="00EB65B5">
              <w:rPr>
                <w:rStyle w:val="Bold"/>
                <w:rFonts w:eastAsia="MS Mincho"/>
                <w:lang w:val="it-IT"/>
              </w:rPr>
              <w:t xml:space="preserve">1,083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08017085" w14:textId="77777777" w:rsidR="00F47023" w:rsidRPr="00EB65B5" w:rsidRDefault="00F47023" w:rsidP="00EB65B5">
            <w:pPr>
              <w:pStyle w:val="FSBodyText"/>
              <w:spacing w:after="0" w:line="240" w:lineRule="auto"/>
              <w:jc w:val="right"/>
            </w:pPr>
            <w:r w:rsidRPr="00EB65B5">
              <w:rPr>
                <w:lang w:val="it-IT"/>
              </w:rPr>
              <w:t xml:space="preserve">798 </w:t>
            </w:r>
          </w:p>
        </w:tc>
      </w:tr>
      <w:tr w:rsidR="00F47023" w:rsidRPr="00EB65B5" w14:paraId="6FC165B1" w14:textId="77777777" w:rsidTr="00EB65B5">
        <w:trPr>
          <w:trHeight w:val="510"/>
        </w:trPr>
        <w:tc>
          <w:tcPr>
            <w:tcW w:w="10091" w:type="dxa"/>
            <w:gridSpan w:val="3"/>
            <w:tcBorders>
              <w:bottom w:val="nil"/>
            </w:tcBorders>
            <w:tcMar>
              <w:top w:w="340" w:type="dxa"/>
              <w:left w:w="0" w:type="dxa"/>
              <w:bottom w:w="227" w:type="dxa"/>
              <w:right w:w="113" w:type="dxa"/>
            </w:tcMar>
            <w:vAlign w:val="bottom"/>
          </w:tcPr>
          <w:p w14:paraId="38D0727E" w14:textId="77777777" w:rsidR="00F47023" w:rsidRPr="00EB65B5" w:rsidRDefault="00F47023" w:rsidP="00EB65B5">
            <w:pPr>
              <w:pStyle w:val="FSBodyText"/>
              <w:spacing w:after="120" w:line="240" w:lineRule="auto"/>
              <w:rPr>
                <w:rStyle w:val="Bold"/>
                <w:rFonts w:eastAsia="MS Mincho"/>
              </w:rPr>
            </w:pPr>
            <w:r w:rsidRPr="00EB65B5">
              <w:rPr>
                <w:rStyle w:val="Bold"/>
                <w:rFonts w:eastAsia="MS Mincho"/>
              </w:rPr>
              <w:t>Accounting Policy</w:t>
            </w:r>
          </w:p>
          <w:p w14:paraId="2FC52A09" w14:textId="77777777" w:rsidR="00F47023" w:rsidRPr="00EB65B5" w:rsidRDefault="00F47023" w:rsidP="00EB65B5">
            <w:pPr>
              <w:pStyle w:val="FSBodyText"/>
              <w:spacing w:after="120" w:line="240" w:lineRule="auto"/>
              <w:rPr>
                <w:rStyle w:val="Italic"/>
              </w:rPr>
            </w:pPr>
            <w:r w:rsidRPr="00EB65B5">
              <w:rPr>
                <w:rStyle w:val="Italic"/>
              </w:rPr>
              <w:t>Receivables</w:t>
            </w:r>
          </w:p>
          <w:p w14:paraId="39EA6214" w14:textId="77777777" w:rsidR="00F47023" w:rsidRPr="00EB65B5" w:rsidRDefault="00F47023" w:rsidP="00EB65B5">
            <w:pPr>
              <w:pStyle w:val="FSBodyText"/>
              <w:spacing w:after="0" w:line="240" w:lineRule="auto"/>
            </w:pPr>
            <w:r w:rsidRPr="00EB65B5">
              <w:t>Receivables are measured at amortised cost using the effective interest method less impairment.</w:t>
            </w:r>
          </w:p>
        </w:tc>
      </w:tr>
    </w:tbl>
    <w:p w14:paraId="339BD1B8" w14:textId="77777777" w:rsidR="00F47023" w:rsidRDefault="00F47023" w:rsidP="00F47023">
      <w:pPr>
        <w:pStyle w:val="FSBodyText"/>
      </w:pPr>
    </w:p>
    <w:p w14:paraId="7BC95EB3" w14:textId="77777777" w:rsidR="00F47023" w:rsidRDefault="00F47023" w:rsidP="00F47023">
      <w:pPr>
        <w:pStyle w:val="FSHeading2-Tutti"/>
        <w:spacing w:after="113"/>
        <w:rPr>
          <w:color w:val="2BB8C9"/>
        </w:rPr>
      </w:pPr>
      <w:r>
        <w:rPr>
          <w:color w:val="2BB8C9"/>
        </w:rPr>
        <w:t>2.2 Non-Financial Assets</w:t>
      </w:r>
    </w:p>
    <w:p w14:paraId="7742F794" w14:textId="77777777" w:rsidR="00F47023" w:rsidRDefault="00F47023" w:rsidP="00F47023">
      <w:pPr>
        <w:pStyle w:val="FSBlueHeadingBold"/>
        <w:spacing w:after="170"/>
        <w:rPr>
          <w:rStyle w:val="Bold"/>
          <w:rFonts w:eastAsia="MS Mincho"/>
          <w:b/>
          <w:bCs/>
        </w:rPr>
      </w:pPr>
      <w:r>
        <w:rPr>
          <w:rStyle w:val="Bold"/>
          <w:rFonts w:eastAsia="MS Mincho"/>
          <w:b/>
          <w:bCs/>
        </w:rPr>
        <w:t>2.2A: Reconciliation of the Opening and Closing Balances of Property, Plant and Equipment and Intangibles</w:t>
      </w:r>
    </w:p>
    <w:p w14:paraId="5F20E106" w14:textId="77777777" w:rsidR="00F47023" w:rsidRDefault="00F47023" w:rsidP="00F47023">
      <w:pPr>
        <w:pStyle w:val="FSBodyText"/>
        <w:rPr>
          <w:rStyle w:val="Bold"/>
          <w:rFonts w:eastAsia="MS Mincho"/>
        </w:rPr>
      </w:pPr>
      <w:r>
        <w:rPr>
          <w:rStyle w:val="Bold"/>
          <w:rFonts w:eastAsia="MS Mincho"/>
        </w:rPr>
        <w:t>Reconciliation of the opening and closing balances of property, plant and equipment for 2023</w:t>
      </w:r>
    </w:p>
    <w:tbl>
      <w:tblPr>
        <w:tblW w:w="0" w:type="auto"/>
        <w:tblLayout w:type="fixed"/>
        <w:tblCellMar>
          <w:left w:w="0" w:type="dxa"/>
          <w:right w:w="0" w:type="dxa"/>
        </w:tblCellMar>
        <w:tblLook w:val="0000" w:firstRow="0" w:lastRow="0" w:firstColumn="0" w:lastColumn="0" w:noHBand="0" w:noVBand="0"/>
      </w:tblPr>
      <w:tblGrid>
        <w:gridCol w:w="3028"/>
        <w:gridCol w:w="850"/>
        <w:gridCol w:w="1190"/>
        <w:gridCol w:w="1191"/>
        <w:gridCol w:w="1210"/>
        <w:gridCol w:w="964"/>
        <w:gridCol w:w="964"/>
        <w:gridCol w:w="694"/>
      </w:tblGrid>
      <w:tr w:rsidR="00EB65B5" w:rsidRPr="00EB65B5" w14:paraId="6DAF6329" w14:textId="77777777" w:rsidTr="00EB65B5">
        <w:trPr>
          <w:trHeight w:val="551"/>
        </w:trPr>
        <w:tc>
          <w:tcPr>
            <w:tcW w:w="3028" w:type="dxa"/>
            <w:tcBorders>
              <w:top w:val="single" w:sz="8" w:space="0" w:color="6D6E70"/>
              <w:left w:val="nil"/>
              <w:bottom w:val="single" w:sz="4" w:space="0" w:color="auto"/>
              <w:right w:val="nil"/>
            </w:tcBorders>
            <w:shd w:val="clear" w:color="auto" w:fill="1CBDC9"/>
            <w:tcMar>
              <w:top w:w="85" w:type="dxa"/>
              <w:left w:w="113" w:type="dxa"/>
              <w:bottom w:w="113" w:type="dxa"/>
              <w:right w:w="113" w:type="dxa"/>
            </w:tcMar>
            <w:vAlign w:val="bottom"/>
          </w:tcPr>
          <w:p w14:paraId="0B65918D" w14:textId="77777777" w:rsidR="00F47023" w:rsidRPr="00EB65B5" w:rsidRDefault="00F47023">
            <w:pPr>
              <w:pStyle w:val="Nessunostileparagrafo"/>
              <w:spacing w:line="240" w:lineRule="auto"/>
              <w:textAlignment w:val="auto"/>
              <w:rPr>
                <w:rFonts w:ascii="Open Sans Semibold" w:hAnsi="Open Sans Semibold" w:cs="Times New Roman"/>
                <w:color w:val="FFFFFF" w:themeColor="background1"/>
                <w:sz w:val="16"/>
                <w:szCs w:val="16"/>
              </w:rPr>
            </w:pPr>
          </w:p>
        </w:tc>
        <w:tc>
          <w:tcPr>
            <w:tcW w:w="850" w:type="dxa"/>
            <w:tcBorders>
              <w:top w:val="single" w:sz="8" w:space="0" w:color="6D6E70"/>
              <w:left w:val="nil"/>
              <w:bottom w:val="single" w:sz="4" w:space="0" w:color="auto"/>
              <w:right w:val="nil"/>
            </w:tcBorders>
            <w:shd w:val="clear" w:color="auto" w:fill="1CBDC9"/>
            <w:tcMar>
              <w:top w:w="85" w:type="dxa"/>
              <w:left w:w="113" w:type="dxa"/>
              <w:bottom w:w="113" w:type="dxa"/>
              <w:right w:w="113" w:type="dxa"/>
            </w:tcMar>
            <w:vAlign w:val="bottom"/>
          </w:tcPr>
          <w:p w14:paraId="528D970D" w14:textId="77777777" w:rsidR="00F47023" w:rsidRPr="00EB65B5" w:rsidRDefault="00F47023">
            <w:pPr>
              <w:pStyle w:val="FSHeaderRow"/>
              <w:rPr>
                <w:color w:val="FFFFFF" w:themeColor="background1"/>
              </w:rPr>
            </w:pPr>
            <w:r w:rsidRPr="00EB65B5">
              <w:rPr>
                <w:color w:val="FFFFFF" w:themeColor="background1"/>
              </w:rPr>
              <w:t>Property Subject to Operating Leases</w:t>
            </w:r>
          </w:p>
          <w:p w14:paraId="1CE8BCD8" w14:textId="77777777" w:rsidR="00F47023" w:rsidRPr="00EB65B5" w:rsidRDefault="00F47023">
            <w:pPr>
              <w:pStyle w:val="FSHeaderRow"/>
              <w:rPr>
                <w:color w:val="FFFFFF" w:themeColor="background1"/>
              </w:rPr>
            </w:pPr>
            <w:r w:rsidRPr="00EB65B5">
              <w:rPr>
                <w:color w:val="FFFFFF" w:themeColor="background1"/>
              </w:rPr>
              <w:t>$’000</w:t>
            </w:r>
          </w:p>
        </w:tc>
        <w:tc>
          <w:tcPr>
            <w:tcW w:w="1190" w:type="dxa"/>
            <w:tcBorders>
              <w:top w:val="single" w:sz="8" w:space="0" w:color="6D6E70"/>
              <w:left w:val="nil"/>
              <w:bottom w:val="single" w:sz="4" w:space="0" w:color="auto"/>
              <w:right w:val="nil"/>
            </w:tcBorders>
            <w:shd w:val="clear" w:color="auto" w:fill="1CBDC9"/>
            <w:tcMar>
              <w:top w:w="85" w:type="dxa"/>
              <w:left w:w="113" w:type="dxa"/>
              <w:bottom w:w="113" w:type="dxa"/>
              <w:right w:w="113" w:type="dxa"/>
            </w:tcMar>
            <w:vAlign w:val="bottom"/>
          </w:tcPr>
          <w:p w14:paraId="27A16C42" w14:textId="77777777" w:rsidR="00F47023" w:rsidRPr="00EB65B5" w:rsidRDefault="00F47023">
            <w:pPr>
              <w:pStyle w:val="FSHeaderRow"/>
              <w:rPr>
                <w:color w:val="FFFFFF" w:themeColor="background1"/>
              </w:rPr>
            </w:pPr>
            <w:r w:rsidRPr="00EB65B5">
              <w:rPr>
                <w:color w:val="FFFFFF" w:themeColor="background1"/>
              </w:rPr>
              <w:t>Lease Improvements</w:t>
            </w:r>
          </w:p>
          <w:p w14:paraId="76C2E5E2" w14:textId="77777777" w:rsidR="00F47023" w:rsidRPr="00EB65B5" w:rsidRDefault="00F47023">
            <w:pPr>
              <w:pStyle w:val="FSHeaderRow"/>
              <w:rPr>
                <w:color w:val="FFFFFF" w:themeColor="background1"/>
              </w:rPr>
            </w:pPr>
            <w:r w:rsidRPr="00EB65B5">
              <w:rPr>
                <w:color w:val="FFFFFF" w:themeColor="background1"/>
              </w:rPr>
              <w:t>$’000</w:t>
            </w:r>
          </w:p>
        </w:tc>
        <w:tc>
          <w:tcPr>
            <w:tcW w:w="1191" w:type="dxa"/>
            <w:tcBorders>
              <w:top w:val="single" w:sz="8" w:space="0" w:color="6D6E70"/>
              <w:left w:val="nil"/>
              <w:bottom w:val="single" w:sz="4" w:space="0" w:color="auto"/>
              <w:right w:val="nil"/>
            </w:tcBorders>
            <w:shd w:val="clear" w:color="auto" w:fill="1CBDC9"/>
            <w:tcMar>
              <w:top w:w="85" w:type="dxa"/>
              <w:left w:w="113" w:type="dxa"/>
              <w:bottom w:w="113" w:type="dxa"/>
              <w:right w:w="113" w:type="dxa"/>
            </w:tcMar>
            <w:vAlign w:val="bottom"/>
          </w:tcPr>
          <w:p w14:paraId="2DF9FB00" w14:textId="77777777" w:rsidR="00F47023" w:rsidRPr="00EB65B5" w:rsidRDefault="00F47023">
            <w:pPr>
              <w:pStyle w:val="FSHeaderRow"/>
              <w:rPr>
                <w:color w:val="FFFFFF" w:themeColor="background1"/>
              </w:rPr>
            </w:pPr>
            <w:r w:rsidRPr="00EB65B5">
              <w:rPr>
                <w:color w:val="FFFFFF" w:themeColor="background1"/>
              </w:rPr>
              <w:t>Computer, Plant and Equipment</w:t>
            </w:r>
          </w:p>
          <w:p w14:paraId="6A1EF80E" w14:textId="77777777" w:rsidR="00F47023" w:rsidRPr="00EB65B5" w:rsidRDefault="00F47023">
            <w:pPr>
              <w:pStyle w:val="FSHeaderRow"/>
              <w:rPr>
                <w:color w:val="FFFFFF" w:themeColor="background1"/>
              </w:rPr>
            </w:pPr>
            <w:r w:rsidRPr="00EB65B5">
              <w:rPr>
                <w:color w:val="FFFFFF" w:themeColor="background1"/>
              </w:rPr>
              <w:t>$’000</w:t>
            </w:r>
          </w:p>
        </w:tc>
        <w:tc>
          <w:tcPr>
            <w:tcW w:w="1210" w:type="dxa"/>
            <w:tcBorders>
              <w:top w:val="single" w:sz="8" w:space="0" w:color="6D6E70"/>
              <w:left w:val="nil"/>
              <w:bottom w:val="single" w:sz="4" w:space="0" w:color="auto"/>
              <w:right w:val="nil"/>
            </w:tcBorders>
            <w:shd w:val="clear" w:color="auto" w:fill="1CBDC9"/>
            <w:tcMar>
              <w:top w:w="85" w:type="dxa"/>
              <w:left w:w="113" w:type="dxa"/>
              <w:bottom w:w="113" w:type="dxa"/>
              <w:right w:w="113" w:type="dxa"/>
            </w:tcMar>
            <w:vAlign w:val="bottom"/>
          </w:tcPr>
          <w:p w14:paraId="411F0EBF" w14:textId="77777777" w:rsidR="00F47023" w:rsidRPr="00EB65B5" w:rsidRDefault="00F47023">
            <w:pPr>
              <w:pStyle w:val="FSHeaderRow"/>
              <w:rPr>
                <w:color w:val="FFFFFF" w:themeColor="background1"/>
              </w:rPr>
            </w:pPr>
            <w:r w:rsidRPr="00EB65B5">
              <w:rPr>
                <w:color w:val="FFFFFF" w:themeColor="background1"/>
              </w:rPr>
              <w:t>Computer, Plant and Equipment - Work in Progress</w:t>
            </w:r>
          </w:p>
          <w:p w14:paraId="5F85912C" w14:textId="77777777" w:rsidR="00F47023" w:rsidRPr="00EB65B5" w:rsidRDefault="00F47023">
            <w:pPr>
              <w:pStyle w:val="FSHeaderRow"/>
              <w:rPr>
                <w:color w:val="FFFFFF" w:themeColor="background1"/>
              </w:rPr>
            </w:pPr>
            <w:r w:rsidRPr="00EB65B5">
              <w:rPr>
                <w:color w:val="FFFFFF" w:themeColor="background1"/>
              </w:rPr>
              <w:t>$’000</w:t>
            </w:r>
          </w:p>
        </w:tc>
        <w:tc>
          <w:tcPr>
            <w:tcW w:w="964" w:type="dxa"/>
            <w:tcBorders>
              <w:top w:val="single" w:sz="8" w:space="0" w:color="6D6E70"/>
              <w:left w:val="nil"/>
              <w:bottom w:val="single" w:sz="4" w:space="0" w:color="auto"/>
              <w:right w:val="nil"/>
            </w:tcBorders>
            <w:shd w:val="clear" w:color="auto" w:fill="1CBDC9"/>
            <w:tcMar>
              <w:top w:w="85" w:type="dxa"/>
              <w:left w:w="113" w:type="dxa"/>
              <w:bottom w:w="113" w:type="dxa"/>
              <w:right w:w="113" w:type="dxa"/>
            </w:tcMar>
            <w:vAlign w:val="bottom"/>
          </w:tcPr>
          <w:p w14:paraId="221F3262" w14:textId="77777777" w:rsidR="00F47023" w:rsidRPr="00EB65B5" w:rsidRDefault="00F47023">
            <w:pPr>
              <w:pStyle w:val="FSHeaderRow"/>
              <w:rPr>
                <w:color w:val="FFFFFF" w:themeColor="background1"/>
              </w:rPr>
            </w:pPr>
            <w:r w:rsidRPr="00EB65B5">
              <w:rPr>
                <w:color w:val="FFFFFF" w:themeColor="background1"/>
              </w:rPr>
              <w:t>Intangibles</w:t>
            </w:r>
          </w:p>
          <w:p w14:paraId="21DC9493" w14:textId="77777777" w:rsidR="00F47023" w:rsidRPr="00EB65B5" w:rsidRDefault="00F47023">
            <w:pPr>
              <w:pStyle w:val="FSHeaderRow"/>
              <w:rPr>
                <w:color w:val="FFFFFF" w:themeColor="background1"/>
              </w:rPr>
            </w:pPr>
            <w:r w:rsidRPr="00EB65B5">
              <w:rPr>
                <w:color w:val="FFFFFF" w:themeColor="background1"/>
                <w:lang w:val="it-IT"/>
              </w:rPr>
              <w:t>$’000</w:t>
            </w:r>
          </w:p>
        </w:tc>
        <w:tc>
          <w:tcPr>
            <w:tcW w:w="964" w:type="dxa"/>
            <w:tcBorders>
              <w:top w:val="single" w:sz="8" w:space="0" w:color="6D6E70"/>
              <w:left w:val="nil"/>
              <w:bottom w:val="single" w:sz="4" w:space="0" w:color="auto"/>
              <w:right w:val="nil"/>
            </w:tcBorders>
            <w:shd w:val="clear" w:color="auto" w:fill="1CBDC9"/>
            <w:tcMar>
              <w:top w:w="85" w:type="dxa"/>
              <w:left w:w="113" w:type="dxa"/>
              <w:bottom w:w="113" w:type="dxa"/>
              <w:right w:w="113" w:type="dxa"/>
            </w:tcMar>
            <w:vAlign w:val="bottom"/>
          </w:tcPr>
          <w:p w14:paraId="263C7D02" w14:textId="77777777" w:rsidR="00F47023" w:rsidRPr="00EB65B5" w:rsidRDefault="00F47023">
            <w:pPr>
              <w:pStyle w:val="FSHeaderRow"/>
              <w:rPr>
                <w:color w:val="FFFFFF" w:themeColor="background1"/>
              </w:rPr>
            </w:pPr>
            <w:r w:rsidRPr="00EB65B5">
              <w:rPr>
                <w:color w:val="FFFFFF" w:themeColor="background1"/>
              </w:rPr>
              <w:t>Intangibles - Work in Progress</w:t>
            </w:r>
          </w:p>
          <w:p w14:paraId="799472A4" w14:textId="77777777" w:rsidR="00F47023" w:rsidRPr="00EB65B5" w:rsidRDefault="00F47023">
            <w:pPr>
              <w:pStyle w:val="FSHeaderRow"/>
              <w:rPr>
                <w:color w:val="FFFFFF" w:themeColor="background1"/>
              </w:rPr>
            </w:pPr>
            <w:r w:rsidRPr="00EB65B5">
              <w:rPr>
                <w:color w:val="FFFFFF" w:themeColor="background1"/>
              </w:rPr>
              <w:t>$’000</w:t>
            </w:r>
          </w:p>
        </w:tc>
        <w:tc>
          <w:tcPr>
            <w:tcW w:w="694" w:type="dxa"/>
            <w:tcBorders>
              <w:top w:val="single" w:sz="8" w:space="0" w:color="6D6E70"/>
              <w:left w:val="nil"/>
              <w:bottom w:val="single" w:sz="4" w:space="0" w:color="auto"/>
              <w:right w:val="nil"/>
            </w:tcBorders>
            <w:shd w:val="clear" w:color="auto" w:fill="1CBDC9"/>
            <w:tcMar>
              <w:top w:w="85" w:type="dxa"/>
              <w:left w:w="113" w:type="dxa"/>
              <w:bottom w:w="113" w:type="dxa"/>
              <w:right w:w="113" w:type="dxa"/>
            </w:tcMar>
            <w:vAlign w:val="bottom"/>
          </w:tcPr>
          <w:p w14:paraId="4EFEF144" w14:textId="77777777" w:rsidR="00F47023" w:rsidRPr="00EB65B5" w:rsidRDefault="00F47023">
            <w:pPr>
              <w:pStyle w:val="FSHeaderRow"/>
              <w:rPr>
                <w:color w:val="FFFFFF" w:themeColor="background1"/>
                <w:lang w:val="it-IT"/>
              </w:rPr>
            </w:pPr>
            <w:r w:rsidRPr="00EB65B5">
              <w:rPr>
                <w:color w:val="FFFFFF" w:themeColor="background1"/>
                <w:lang w:val="it-IT"/>
              </w:rPr>
              <w:t>Total</w:t>
            </w:r>
          </w:p>
          <w:p w14:paraId="257AA8ED" w14:textId="77777777" w:rsidR="00F47023" w:rsidRPr="00EB65B5" w:rsidRDefault="00F47023">
            <w:pPr>
              <w:pStyle w:val="FSHeaderRow"/>
              <w:rPr>
                <w:color w:val="FFFFFF" w:themeColor="background1"/>
              </w:rPr>
            </w:pPr>
            <w:r w:rsidRPr="00EB65B5">
              <w:rPr>
                <w:color w:val="FFFFFF" w:themeColor="background1"/>
              </w:rPr>
              <w:t>$’000</w:t>
            </w:r>
          </w:p>
        </w:tc>
      </w:tr>
      <w:tr w:rsidR="00F47023" w:rsidRPr="000A4433" w14:paraId="2F8C3472" w14:textId="77777777" w:rsidTr="00EB65B5">
        <w:trPr>
          <w:trHeight w:val="240"/>
        </w:trPr>
        <w:tc>
          <w:tcPr>
            <w:tcW w:w="3028" w:type="dxa"/>
            <w:tcBorders>
              <w:top w:val="single" w:sz="4" w:space="0" w:color="auto"/>
              <w:left w:val="nil"/>
              <w:bottom w:val="nil"/>
              <w:right w:val="nil"/>
            </w:tcBorders>
            <w:tcMar>
              <w:top w:w="227" w:type="dxa"/>
              <w:left w:w="0" w:type="dxa"/>
              <w:bottom w:w="57" w:type="dxa"/>
              <w:right w:w="113" w:type="dxa"/>
            </w:tcMar>
            <w:vAlign w:val="bottom"/>
          </w:tcPr>
          <w:p w14:paraId="7C7C1EA4" w14:textId="77777777" w:rsidR="00F47023" w:rsidRPr="000A4433" w:rsidRDefault="00F47023" w:rsidP="000A4433">
            <w:pPr>
              <w:pStyle w:val="FSBodyText"/>
              <w:spacing w:after="0" w:line="240" w:lineRule="auto"/>
            </w:pPr>
            <w:r w:rsidRPr="000A4433">
              <w:rPr>
                <w:rStyle w:val="Bold"/>
                <w:rFonts w:eastAsia="MS Mincho"/>
                <w:lang w:val="it-IT"/>
              </w:rPr>
              <w:t>As at 1 July 2022</w:t>
            </w:r>
          </w:p>
        </w:tc>
        <w:tc>
          <w:tcPr>
            <w:tcW w:w="850" w:type="dxa"/>
            <w:tcBorders>
              <w:top w:val="single" w:sz="4" w:space="0" w:color="auto"/>
              <w:left w:val="nil"/>
              <w:bottom w:val="nil"/>
              <w:right w:val="nil"/>
            </w:tcBorders>
            <w:tcMar>
              <w:top w:w="227" w:type="dxa"/>
              <w:left w:w="0" w:type="dxa"/>
              <w:bottom w:w="57" w:type="dxa"/>
              <w:right w:w="113" w:type="dxa"/>
            </w:tcMar>
            <w:vAlign w:val="bottom"/>
          </w:tcPr>
          <w:p w14:paraId="40B0786F"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1190" w:type="dxa"/>
            <w:tcBorders>
              <w:top w:val="single" w:sz="4" w:space="0" w:color="auto"/>
              <w:left w:val="nil"/>
              <w:bottom w:val="nil"/>
              <w:right w:val="nil"/>
            </w:tcBorders>
            <w:tcMar>
              <w:top w:w="227" w:type="dxa"/>
              <w:left w:w="0" w:type="dxa"/>
              <w:bottom w:w="57" w:type="dxa"/>
              <w:right w:w="113" w:type="dxa"/>
            </w:tcMar>
            <w:vAlign w:val="bottom"/>
          </w:tcPr>
          <w:p w14:paraId="4D0901BB"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1191" w:type="dxa"/>
            <w:tcBorders>
              <w:top w:val="single" w:sz="4" w:space="0" w:color="auto"/>
              <w:left w:val="nil"/>
              <w:bottom w:val="nil"/>
              <w:right w:val="nil"/>
            </w:tcBorders>
            <w:tcMar>
              <w:top w:w="227" w:type="dxa"/>
              <w:left w:w="0" w:type="dxa"/>
              <w:bottom w:w="57" w:type="dxa"/>
              <w:right w:w="113" w:type="dxa"/>
            </w:tcMar>
            <w:vAlign w:val="bottom"/>
          </w:tcPr>
          <w:p w14:paraId="6D9440BE"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1210" w:type="dxa"/>
            <w:tcBorders>
              <w:top w:val="single" w:sz="4" w:space="0" w:color="auto"/>
              <w:left w:val="nil"/>
              <w:bottom w:val="nil"/>
              <w:right w:val="nil"/>
            </w:tcBorders>
            <w:tcMar>
              <w:top w:w="227" w:type="dxa"/>
              <w:left w:w="0" w:type="dxa"/>
              <w:bottom w:w="57" w:type="dxa"/>
              <w:right w:w="113" w:type="dxa"/>
            </w:tcMar>
            <w:vAlign w:val="bottom"/>
          </w:tcPr>
          <w:p w14:paraId="6B84A2BF"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964" w:type="dxa"/>
            <w:tcBorders>
              <w:top w:val="single" w:sz="4" w:space="0" w:color="auto"/>
              <w:left w:val="nil"/>
              <w:bottom w:val="nil"/>
              <w:right w:val="nil"/>
            </w:tcBorders>
            <w:tcMar>
              <w:top w:w="227" w:type="dxa"/>
              <w:left w:w="0" w:type="dxa"/>
              <w:bottom w:w="57" w:type="dxa"/>
              <w:right w:w="113" w:type="dxa"/>
            </w:tcMar>
            <w:vAlign w:val="bottom"/>
          </w:tcPr>
          <w:p w14:paraId="5A645E9D"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964" w:type="dxa"/>
            <w:tcBorders>
              <w:top w:val="single" w:sz="4" w:space="0" w:color="auto"/>
              <w:left w:val="nil"/>
              <w:bottom w:val="nil"/>
              <w:right w:val="nil"/>
            </w:tcBorders>
            <w:tcMar>
              <w:top w:w="227" w:type="dxa"/>
              <w:left w:w="0" w:type="dxa"/>
              <w:bottom w:w="57" w:type="dxa"/>
              <w:right w:w="113" w:type="dxa"/>
            </w:tcMar>
            <w:vAlign w:val="bottom"/>
          </w:tcPr>
          <w:p w14:paraId="578E9629"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694" w:type="dxa"/>
            <w:tcBorders>
              <w:top w:val="single" w:sz="4" w:space="0" w:color="auto"/>
              <w:left w:val="nil"/>
              <w:bottom w:val="nil"/>
              <w:right w:val="nil"/>
            </w:tcBorders>
            <w:tcMar>
              <w:top w:w="227" w:type="dxa"/>
              <w:left w:w="0" w:type="dxa"/>
              <w:bottom w:w="57" w:type="dxa"/>
              <w:right w:w="113" w:type="dxa"/>
            </w:tcMar>
            <w:vAlign w:val="bottom"/>
          </w:tcPr>
          <w:p w14:paraId="142376AB"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0A4433" w14:paraId="5AF8BE86" w14:textId="77777777">
        <w:trPr>
          <w:trHeight w:val="240"/>
        </w:trPr>
        <w:tc>
          <w:tcPr>
            <w:tcW w:w="3028" w:type="dxa"/>
            <w:tcBorders>
              <w:top w:val="nil"/>
              <w:left w:val="nil"/>
              <w:bottom w:val="nil"/>
              <w:right w:val="nil"/>
            </w:tcBorders>
            <w:tcMar>
              <w:top w:w="28" w:type="dxa"/>
              <w:left w:w="0" w:type="dxa"/>
              <w:bottom w:w="57" w:type="dxa"/>
              <w:right w:w="113" w:type="dxa"/>
            </w:tcMar>
            <w:vAlign w:val="bottom"/>
          </w:tcPr>
          <w:p w14:paraId="30C4C757" w14:textId="77777777" w:rsidR="00F47023" w:rsidRPr="000A4433" w:rsidRDefault="00F47023" w:rsidP="000A4433">
            <w:pPr>
              <w:pStyle w:val="FSBodyText"/>
              <w:spacing w:after="0" w:line="240" w:lineRule="auto"/>
            </w:pPr>
            <w:r w:rsidRPr="000A4433">
              <w:rPr>
                <w:lang w:val="it-IT"/>
              </w:rPr>
              <w:t>Gross book value</w:t>
            </w:r>
          </w:p>
        </w:tc>
        <w:tc>
          <w:tcPr>
            <w:tcW w:w="850" w:type="dxa"/>
            <w:tcBorders>
              <w:top w:val="nil"/>
              <w:left w:val="nil"/>
              <w:bottom w:val="nil"/>
              <w:right w:val="nil"/>
            </w:tcBorders>
            <w:tcMar>
              <w:top w:w="28" w:type="dxa"/>
              <w:left w:w="0" w:type="dxa"/>
              <w:bottom w:w="57" w:type="dxa"/>
              <w:right w:w="113" w:type="dxa"/>
            </w:tcMar>
            <w:vAlign w:val="bottom"/>
          </w:tcPr>
          <w:p w14:paraId="08202ADA"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7,502 </w:t>
            </w:r>
          </w:p>
        </w:tc>
        <w:tc>
          <w:tcPr>
            <w:tcW w:w="1190" w:type="dxa"/>
            <w:tcBorders>
              <w:top w:val="nil"/>
              <w:left w:val="nil"/>
              <w:bottom w:val="nil"/>
              <w:right w:val="nil"/>
            </w:tcBorders>
            <w:tcMar>
              <w:top w:w="28" w:type="dxa"/>
              <w:left w:w="0" w:type="dxa"/>
              <w:bottom w:w="57" w:type="dxa"/>
              <w:right w:w="113" w:type="dxa"/>
            </w:tcMar>
            <w:vAlign w:val="bottom"/>
          </w:tcPr>
          <w:p w14:paraId="5518A34B"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1,797 </w:t>
            </w:r>
          </w:p>
        </w:tc>
        <w:tc>
          <w:tcPr>
            <w:tcW w:w="1191" w:type="dxa"/>
            <w:tcBorders>
              <w:top w:val="nil"/>
              <w:left w:val="nil"/>
              <w:bottom w:val="nil"/>
              <w:right w:val="nil"/>
            </w:tcBorders>
            <w:tcMar>
              <w:top w:w="28" w:type="dxa"/>
              <w:left w:w="0" w:type="dxa"/>
              <w:bottom w:w="57" w:type="dxa"/>
              <w:right w:w="113" w:type="dxa"/>
            </w:tcMar>
            <w:vAlign w:val="bottom"/>
          </w:tcPr>
          <w:p w14:paraId="2D3D53A2"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76 </w:t>
            </w:r>
          </w:p>
        </w:tc>
        <w:tc>
          <w:tcPr>
            <w:tcW w:w="1210" w:type="dxa"/>
            <w:tcBorders>
              <w:top w:val="nil"/>
              <w:left w:val="nil"/>
              <w:bottom w:val="nil"/>
              <w:right w:val="nil"/>
            </w:tcBorders>
            <w:tcMar>
              <w:top w:w="28" w:type="dxa"/>
              <w:left w:w="0" w:type="dxa"/>
              <w:bottom w:w="57" w:type="dxa"/>
              <w:right w:w="113" w:type="dxa"/>
            </w:tcMar>
            <w:vAlign w:val="bottom"/>
          </w:tcPr>
          <w:p w14:paraId="24BE2A19"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63 </w:t>
            </w:r>
          </w:p>
        </w:tc>
        <w:tc>
          <w:tcPr>
            <w:tcW w:w="964" w:type="dxa"/>
            <w:tcBorders>
              <w:top w:val="nil"/>
              <w:left w:val="nil"/>
              <w:bottom w:val="nil"/>
              <w:right w:val="nil"/>
            </w:tcBorders>
            <w:tcMar>
              <w:top w:w="28" w:type="dxa"/>
              <w:left w:w="0" w:type="dxa"/>
              <w:bottom w:w="57" w:type="dxa"/>
              <w:right w:w="113" w:type="dxa"/>
            </w:tcMar>
            <w:vAlign w:val="bottom"/>
          </w:tcPr>
          <w:p w14:paraId="2E61B60F"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2,572 </w:t>
            </w:r>
          </w:p>
        </w:tc>
        <w:tc>
          <w:tcPr>
            <w:tcW w:w="964" w:type="dxa"/>
            <w:tcBorders>
              <w:top w:val="nil"/>
              <w:left w:val="nil"/>
              <w:bottom w:val="nil"/>
              <w:right w:val="nil"/>
            </w:tcBorders>
            <w:tcMar>
              <w:top w:w="28" w:type="dxa"/>
              <w:left w:w="0" w:type="dxa"/>
              <w:bottom w:w="57" w:type="dxa"/>
              <w:right w:w="113" w:type="dxa"/>
            </w:tcMar>
            <w:vAlign w:val="bottom"/>
          </w:tcPr>
          <w:p w14:paraId="75922108"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169 </w:t>
            </w:r>
          </w:p>
        </w:tc>
        <w:tc>
          <w:tcPr>
            <w:tcW w:w="694" w:type="dxa"/>
            <w:tcBorders>
              <w:top w:val="nil"/>
              <w:left w:val="nil"/>
              <w:bottom w:val="nil"/>
              <w:right w:val="nil"/>
            </w:tcBorders>
            <w:tcMar>
              <w:top w:w="28" w:type="dxa"/>
              <w:left w:w="0" w:type="dxa"/>
              <w:bottom w:w="57" w:type="dxa"/>
              <w:right w:w="113" w:type="dxa"/>
            </w:tcMar>
            <w:vAlign w:val="bottom"/>
          </w:tcPr>
          <w:p w14:paraId="020A29F8"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12,179 </w:t>
            </w:r>
          </w:p>
        </w:tc>
      </w:tr>
      <w:tr w:rsidR="00F47023" w:rsidRPr="000A4433" w14:paraId="0C5143B0" w14:textId="77777777">
        <w:trPr>
          <w:trHeight w:val="240"/>
        </w:trPr>
        <w:tc>
          <w:tcPr>
            <w:tcW w:w="3028" w:type="dxa"/>
            <w:tcBorders>
              <w:top w:val="nil"/>
              <w:left w:val="nil"/>
              <w:bottom w:val="single" w:sz="8" w:space="0" w:color="6D6E70"/>
              <w:right w:val="nil"/>
            </w:tcBorders>
            <w:tcMar>
              <w:top w:w="28" w:type="dxa"/>
              <w:left w:w="0" w:type="dxa"/>
              <w:bottom w:w="113" w:type="dxa"/>
              <w:right w:w="113" w:type="dxa"/>
            </w:tcMar>
            <w:vAlign w:val="bottom"/>
          </w:tcPr>
          <w:p w14:paraId="13B1F3B3" w14:textId="77777777" w:rsidR="00F47023" w:rsidRPr="000A4433" w:rsidRDefault="00F47023" w:rsidP="000A4433">
            <w:pPr>
              <w:pStyle w:val="FSBodyText"/>
              <w:spacing w:after="0" w:line="240" w:lineRule="auto"/>
            </w:pPr>
            <w:r w:rsidRPr="000A4433">
              <w:t>Accumulated depreciation, amortisation and impairment</w:t>
            </w:r>
          </w:p>
        </w:tc>
        <w:tc>
          <w:tcPr>
            <w:tcW w:w="850" w:type="dxa"/>
            <w:tcBorders>
              <w:top w:val="nil"/>
              <w:left w:val="nil"/>
              <w:bottom w:val="single" w:sz="8" w:space="0" w:color="6D6E70"/>
              <w:right w:val="nil"/>
            </w:tcBorders>
            <w:tcMar>
              <w:top w:w="28" w:type="dxa"/>
              <w:left w:w="0" w:type="dxa"/>
              <w:bottom w:w="113" w:type="dxa"/>
              <w:right w:w="113" w:type="dxa"/>
            </w:tcMar>
            <w:vAlign w:val="bottom"/>
          </w:tcPr>
          <w:p w14:paraId="2CDEDC6A" w14:textId="77777777" w:rsidR="00F47023" w:rsidRPr="000A4433" w:rsidRDefault="00F47023" w:rsidP="000A4433">
            <w:pPr>
              <w:pStyle w:val="FSBodyText"/>
              <w:spacing w:after="0" w:line="240" w:lineRule="auto"/>
              <w:jc w:val="right"/>
            </w:pPr>
            <w:r w:rsidRPr="000A4433">
              <w:rPr>
                <w:rStyle w:val="Bold"/>
                <w:rFonts w:eastAsia="MS Mincho"/>
                <w:lang w:val="it-IT"/>
              </w:rPr>
              <w:t>(2,501)</w:t>
            </w:r>
          </w:p>
        </w:tc>
        <w:tc>
          <w:tcPr>
            <w:tcW w:w="1190" w:type="dxa"/>
            <w:tcBorders>
              <w:top w:val="nil"/>
              <w:left w:val="nil"/>
              <w:bottom w:val="single" w:sz="8" w:space="0" w:color="6D6E70"/>
              <w:right w:val="nil"/>
            </w:tcBorders>
            <w:tcMar>
              <w:top w:w="28" w:type="dxa"/>
              <w:left w:w="0" w:type="dxa"/>
              <w:bottom w:w="113" w:type="dxa"/>
              <w:right w:w="113" w:type="dxa"/>
            </w:tcMar>
            <w:vAlign w:val="bottom"/>
          </w:tcPr>
          <w:p w14:paraId="7CBAA5CC" w14:textId="77777777" w:rsidR="00F47023" w:rsidRPr="000A4433" w:rsidRDefault="00F47023" w:rsidP="000A4433">
            <w:pPr>
              <w:pStyle w:val="FSBodyText"/>
              <w:spacing w:after="0" w:line="240" w:lineRule="auto"/>
              <w:jc w:val="right"/>
            </w:pPr>
            <w:r w:rsidRPr="000A4433">
              <w:rPr>
                <w:rStyle w:val="Bold"/>
                <w:rFonts w:eastAsia="MS Mincho"/>
                <w:lang w:val="it-IT"/>
              </w:rPr>
              <w:t>(170)</w:t>
            </w:r>
          </w:p>
        </w:tc>
        <w:tc>
          <w:tcPr>
            <w:tcW w:w="1191" w:type="dxa"/>
            <w:tcBorders>
              <w:top w:val="nil"/>
              <w:left w:val="nil"/>
              <w:bottom w:val="single" w:sz="8" w:space="0" w:color="6D6E70"/>
              <w:right w:val="nil"/>
            </w:tcBorders>
            <w:tcMar>
              <w:top w:w="28" w:type="dxa"/>
              <w:left w:w="0" w:type="dxa"/>
              <w:bottom w:w="113" w:type="dxa"/>
              <w:right w:w="113" w:type="dxa"/>
            </w:tcMar>
            <w:vAlign w:val="bottom"/>
          </w:tcPr>
          <w:p w14:paraId="1F777467"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1210" w:type="dxa"/>
            <w:tcBorders>
              <w:top w:val="nil"/>
              <w:left w:val="nil"/>
              <w:bottom w:val="single" w:sz="8" w:space="0" w:color="6D6E70"/>
              <w:right w:val="nil"/>
            </w:tcBorders>
            <w:tcMar>
              <w:top w:w="28" w:type="dxa"/>
              <w:left w:w="0" w:type="dxa"/>
              <w:bottom w:w="113" w:type="dxa"/>
              <w:right w:w="113" w:type="dxa"/>
            </w:tcMar>
            <w:vAlign w:val="bottom"/>
          </w:tcPr>
          <w:p w14:paraId="44B95F78"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964" w:type="dxa"/>
            <w:tcBorders>
              <w:top w:val="nil"/>
              <w:left w:val="nil"/>
              <w:bottom w:val="single" w:sz="8" w:space="0" w:color="6D6E70"/>
              <w:right w:val="nil"/>
            </w:tcBorders>
            <w:tcMar>
              <w:top w:w="28" w:type="dxa"/>
              <w:left w:w="0" w:type="dxa"/>
              <w:bottom w:w="113" w:type="dxa"/>
              <w:right w:w="113" w:type="dxa"/>
            </w:tcMar>
            <w:vAlign w:val="bottom"/>
          </w:tcPr>
          <w:p w14:paraId="16906672" w14:textId="77777777" w:rsidR="00F47023" w:rsidRPr="000A4433" w:rsidRDefault="00F47023" w:rsidP="000A4433">
            <w:pPr>
              <w:pStyle w:val="FSBodyText"/>
              <w:spacing w:after="0" w:line="240" w:lineRule="auto"/>
              <w:jc w:val="right"/>
            </w:pPr>
            <w:r w:rsidRPr="000A4433">
              <w:rPr>
                <w:rStyle w:val="Bold"/>
                <w:rFonts w:eastAsia="MS Mincho"/>
                <w:lang w:val="it-IT"/>
              </w:rPr>
              <w:t>(2,282)</w:t>
            </w:r>
          </w:p>
        </w:tc>
        <w:tc>
          <w:tcPr>
            <w:tcW w:w="964" w:type="dxa"/>
            <w:tcBorders>
              <w:top w:val="nil"/>
              <w:left w:val="nil"/>
              <w:bottom w:val="single" w:sz="8" w:space="0" w:color="6D6E70"/>
              <w:right w:val="nil"/>
            </w:tcBorders>
            <w:tcMar>
              <w:top w:w="28" w:type="dxa"/>
              <w:left w:w="0" w:type="dxa"/>
              <w:bottom w:w="113" w:type="dxa"/>
              <w:right w:w="113" w:type="dxa"/>
            </w:tcMar>
            <w:vAlign w:val="bottom"/>
          </w:tcPr>
          <w:p w14:paraId="3CB6F3D0"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694" w:type="dxa"/>
            <w:tcBorders>
              <w:top w:val="nil"/>
              <w:left w:val="nil"/>
              <w:bottom w:val="single" w:sz="8" w:space="0" w:color="6D6E70"/>
              <w:right w:val="nil"/>
            </w:tcBorders>
            <w:tcMar>
              <w:top w:w="28" w:type="dxa"/>
              <w:left w:w="0" w:type="dxa"/>
              <w:bottom w:w="113" w:type="dxa"/>
              <w:right w:w="113" w:type="dxa"/>
            </w:tcMar>
            <w:vAlign w:val="bottom"/>
          </w:tcPr>
          <w:p w14:paraId="51B44894" w14:textId="77777777" w:rsidR="00F47023" w:rsidRPr="000A4433" w:rsidRDefault="00F47023" w:rsidP="000A4433">
            <w:pPr>
              <w:pStyle w:val="FSBodyText"/>
              <w:spacing w:after="0" w:line="240" w:lineRule="auto"/>
              <w:jc w:val="right"/>
            </w:pPr>
            <w:r w:rsidRPr="000A4433">
              <w:rPr>
                <w:rStyle w:val="Bold"/>
                <w:rFonts w:eastAsia="MS Mincho"/>
                <w:lang w:val="it-IT"/>
              </w:rPr>
              <w:t>(4,953)</w:t>
            </w:r>
          </w:p>
        </w:tc>
      </w:tr>
      <w:tr w:rsidR="00F47023" w:rsidRPr="000A4433" w14:paraId="39AD6203" w14:textId="77777777" w:rsidTr="00EB65B5">
        <w:trPr>
          <w:trHeight w:val="240"/>
        </w:trPr>
        <w:tc>
          <w:tcPr>
            <w:tcW w:w="3028"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249E7C53" w14:textId="77777777" w:rsidR="00F47023" w:rsidRPr="000A4433" w:rsidRDefault="00F47023" w:rsidP="000A4433">
            <w:pPr>
              <w:pStyle w:val="FSBodyText"/>
              <w:spacing w:after="0" w:line="240" w:lineRule="auto"/>
            </w:pPr>
            <w:r w:rsidRPr="000A4433">
              <w:rPr>
                <w:rStyle w:val="Bold"/>
                <w:rFonts w:eastAsia="MS Mincho"/>
                <w:lang w:val="it-IT"/>
              </w:rPr>
              <w:t>Total as at 1 July 2022</w:t>
            </w:r>
          </w:p>
        </w:tc>
        <w:tc>
          <w:tcPr>
            <w:tcW w:w="850"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6F143745"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5,001 </w:t>
            </w:r>
          </w:p>
        </w:tc>
        <w:tc>
          <w:tcPr>
            <w:tcW w:w="1190"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759937F7"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1,627 </w:t>
            </w:r>
          </w:p>
        </w:tc>
        <w:tc>
          <w:tcPr>
            <w:tcW w:w="1191"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12050022"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76 </w:t>
            </w:r>
          </w:p>
        </w:tc>
        <w:tc>
          <w:tcPr>
            <w:tcW w:w="1210"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64E2E680"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63 </w:t>
            </w:r>
          </w:p>
        </w:tc>
        <w:tc>
          <w:tcPr>
            <w:tcW w:w="964"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6FB1A7A5"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290 </w:t>
            </w:r>
          </w:p>
        </w:tc>
        <w:tc>
          <w:tcPr>
            <w:tcW w:w="964"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0D795B68"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169 </w:t>
            </w:r>
          </w:p>
        </w:tc>
        <w:tc>
          <w:tcPr>
            <w:tcW w:w="694"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03B45F01"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7,226 </w:t>
            </w:r>
          </w:p>
        </w:tc>
      </w:tr>
      <w:tr w:rsidR="00F47023" w:rsidRPr="000A4433" w14:paraId="71EBBEA9" w14:textId="77777777" w:rsidTr="00EB65B5">
        <w:trPr>
          <w:trHeight w:val="240"/>
        </w:trPr>
        <w:tc>
          <w:tcPr>
            <w:tcW w:w="3028"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4B95CCDA" w14:textId="77777777" w:rsidR="00F47023" w:rsidRPr="000A4433" w:rsidRDefault="00F47023" w:rsidP="000A4433">
            <w:pPr>
              <w:pStyle w:val="FSBodyText"/>
              <w:spacing w:after="0" w:line="240" w:lineRule="auto"/>
            </w:pPr>
            <w:r w:rsidRPr="000A4433">
              <w:rPr>
                <w:rStyle w:val="Bold"/>
                <w:rFonts w:eastAsia="MS Mincho"/>
              </w:rPr>
              <w:t>Adjusted total as at 1 July 2022</w:t>
            </w:r>
          </w:p>
        </w:tc>
        <w:tc>
          <w:tcPr>
            <w:tcW w:w="850"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4CE0B723"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5,001 </w:t>
            </w:r>
          </w:p>
        </w:tc>
        <w:tc>
          <w:tcPr>
            <w:tcW w:w="1190"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63DEA1CA"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1,627 </w:t>
            </w:r>
          </w:p>
        </w:tc>
        <w:tc>
          <w:tcPr>
            <w:tcW w:w="1191"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6EF1A7AF"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76 </w:t>
            </w:r>
          </w:p>
        </w:tc>
        <w:tc>
          <w:tcPr>
            <w:tcW w:w="1210"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47BAD498"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63 </w:t>
            </w:r>
          </w:p>
        </w:tc>
        <w:tc>
          <w:tcPr>
            <w:tcW w:w="964"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657A93F9"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290 </w:t>
            </w:r>
          </w:p>
        </w:tc>
        <w:tc>
          <w:tcPr>
            <w:tcW w:w="964"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2A8B9F9C"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169 </w:t>
            </w:r>
          </w:p>
        </w:tc>
        <w:tc>
          <w:tcPr>
            <w:tcW w:w="694"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4976E994"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7,226 </w:t>
            </w:r>
          </w:p>
        </w:tc>
      </w:tr>
      <w:tr w:rsidR="00F47023" w:rsidRPr="000A4433" w14:paraId="26A69003" w14:textId="77777777">
        <w:trPr>
          <w:trHeight w:val="280"/>
        </w:trPr>
        <w:tc>
          <w:tcPr>
            <w:tcW w:w="3028" w:type="dxa"/>
            <w:tcBorders>
              <w:top w:val="single" w:sz="8" w:space="0" w:color="6D6E70"/>
              <w:left w:val="nil"/>
              <w:bottom w:val="nil"/>
              <w:right w:val="nil"/>
            </w:tcBorders>
            <w:tcMar>
              <w:top w:w="227" w:type="dxa"/>
              <w:left w:w="0" w:type="dxa"/>
              <w:bottom w:w="57" w:type="dxa"/>
              <w:right w:w="113" w:type="dxa"/>
            </w:tcMar>
            <w:vAlign w:val="bottom"/>
          </w:tcPr>
          <w:p w14:paraId="7BFE48CF" w14:textId="77777777" w:rsidR="00F47023" w:rsidRPr="000A4433" w:rsidRDefault="00F47023" w:rsidP="000A4433">
            <w:pPr>
              <w:pStyle w:val="FSBodyText"/>
              <w:spacing w:after="0" w:line="240" w:lineRule="auto"/>
            </w:pPr>
            <w:r w:rsidRPr="000A4433">
              <w:rPr>
                <w:lang w:val="it-IT"/>
              </w:rPr>
              <w:t>Additions</w:t>
            </w:r>
          </w:p>
        </w:tc>
        <w:tc>
          <w:tcPr>
            <w:tcW w:w="850" w:type="dxa"/>
            <w:tcBorders>
              <w:top w:val="single" w:sz="8" w:space="0" w:color="6D6E70"/>
              <w:left w:val="nil"/>
              <w:bottom w:val="nil"/>
              <w:right w:val="nil"/>
            </w:tcBorders>
            <w:tcMar>
              <w:top w:w="227" w:type="dxa"/>
              <w:left w:w="0" w:type="dxa"/>
              <w:bottom w:w="57" w:type="dxa"/>
              <w:right w:w="113" w:type="dxa"/>
            </w:tcMar>
            <w:vAlign w:val="bottom"/>
          </w:tcPr>
          <w:p w14:paraId="653C314C"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1190" w:type="dxa"/>
            <w:tcBorders>
              <w:top w:val="single" w:sz="8" w:space="0" w:color="6D6E70"/>
              <w:left w:val="nil"/>
              <w:bottom w:val="nil"/>
              <w:right w:val="nil"/>
            </w:tcBorders>
            <w:tcMar>
              <w:top w:w="227" w:type="dxa"/>
              <w:left w:w="0" w:type="dxa"/>
              <w:bottom w:w="57" w:type="dxa"/>
              <w:right w:w="113" w:type="dxa"/>
            </w:tcMar>
            <w:vAlign w:val="bottom"/>
          </w:tcPr>
          <w:p w14:paraId="513C1370"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1191" w:type="dxa"/>
            <w:tcBorders>
              <w:top w:val="single" w:sz="8" w:space="0" w:color="6D6E70"/>
              <w:left w:val="nil"/>
              <w:bottom w:val="nil"/>
              <w:right w:val="nil"/>
            </w:tcBorders>
            <w:tcMar>
              <w:top w:w="227" w:type="dxa"/>
              <w:left w:w="0" w:type="dxa"/>
              <w:bottom w:w="57" w:type="dxa"/>
              <w:right w:w="113" w:type="dxa"/>
            </w:tcMar>
            <w:vAlign w:val="bottom"/>
          </w:tcPr>
          <w:p w14:paraId="08C29FEF"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1210" w:type="dxa"/>
            <w:tcBorders>
              <w:top w:val="single" w:sz="8" w:space="0" w:color="6D6E70"/>
              <w:left w:val="nil"/>
              <w:bottom w:val="nil"/>
              <w:right w:val="nil"/>
            </w:tcBorders>
            <w:tcMar>
              <w:top w:w="227" w:type="dxa"/>
              <w:left w:w="0" w:type="dxa"/>
              <w:bottom w:w="57" w:type="dxa"/>
              <w:right w:w="113" w:type="dxa"/>
            </w:tcMar>
            <w:vAlign w:val="bottom"/>
          </w:tcPr>
          <w:p w14:paraId="2D7E4B0C"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964" w:type="dxa"/>
            <w:tcBorders>
              <w:top w:val="single" w:sz="8" w:space="0" w:color="6D6E70"/>
              <w:left w:val="nil"/>
              <w:bottom w:val="nil"/>
              <w:right w:val="nil"/>
            </w:tcBorders>
            <w:tcMar>
              <w:top w:w="227" w:type="dxa"/>
              <w:left w:w="0" w:type="dxa"/>
              <w:bottom w:w="57" w:type="dxa"/>
              <w:right w:w="113" w:type="dxa"/>
            </w:tcMar>
            <w:vAlign w:val="bottom"/>
          </w:tcPr>
          <w:p w14:paraId="6111E02D"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964" w:type="dxa"/>
            <w:tcBorders>
              <w:top w:val="single" w:sz="8" w:space="0" w:color="6D6E70"/>
              <w:left w:val="nil"/>
              <w:bottom w:val="nil"/>
              <w:right w:val="nil"/>
            </w:tcBorders>
            <w:tcMar>
              <w:top w:w="227" w:type="dxa"/>
              <w:left w:w="0" w:type="dxa"/>
              <w:bottom w:w="57" w:type="dxa"/>
              <w:right w:w="113" w:type="dxa"/>
            </w:tcMar>
            <w:vAlign w:val="bottom"/>
          </w:tcPr>
          <w:p w14:paraId="05D20FDE"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694" w:type="dxa"/>
            <w:tcBorders>
              <w:top w:val="single" w:sz="8" w:space="0" w:color="6D6E70"/>
              <w:left w:val="nil"/>
              <w:bottom w:val="nil"/>
              <w:right w:val="nil"/>
            </w:tcBorders>
            <w:tcMar>
              <w:top w:w="227" w:type="dxa"/>
              <w:left w:w="0" w:type="dxa"/>
              <w:bottom w:w="57" w:type="dxa"/>
              <w:right w:w="113" w:type="dxa"/>
            </w:tcMar>
            <w:vAlign w:val="bottom"/>
          </w:tcPr>
          <w:p w14:paraId="66B7723E"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0A4433" w14:paraId="1F9BA29F" w14:textId="77777777">
        <w:trPr>
          <w:trHeight w:val="240"/>
        </w:trPr>
        <w:tc>
          <w:tcPr>
            <w:tcW w:w="3028" w:type="dxa"/>
            <w:tcBorders>
              <w:top w:val="nil"/>
              <w:left w:val="nil"/>
              <w:bottom w:val="nil"/>
              <w:right w:val="nil"/>
            </w:tcBorders>
            <w:tcMar>
              <w:top w:w="28" w:type="dxa"/>
              <w:left w:w="0" w:type="dxa"/>
              <w:bottom w:w="57" w:type="dxa"/>
              <w:right w:w="113" w:type="dxa"/>
            </w:tcMar>
            <w:vAlign w:val="bottom"/>
          </w:tcPr>
          <w:p w14:paraId="5EEF949C" w14:textId="77777777" w:rsidR="00F47023" w:rsidRPr="000A4433" w:rsidRDefault="00F47023" w:rsidP="000A4433">
            <w:pPr>
              <w:pStyle w:val="FSBodyText"/>
              <w:spacing w:after="0" w:line="240" w:lineRule="auto"/>
              <w:ind w:firstLine="180"/>
            </w:pPr>
            <w:r w:rsidRPr="000A4433">
              <w:rPr>
                <w:lang w:val="it-IT"/>
              </w:rPr>
              <w:t>Purchase</w:t>
            </w:r>
          </w:p>
        </w:tc>
        <w:tc>
          <w:tcPr>
            <w:tcW w:w="850" w:type="dxa"/>
            <w:tcBorders>
              <w:top w:val="nil"/>
              <w:left w:val="nil"/>
              <w:bottom w:val="nil"/>
              <w:right w:val="nil"/>
            </w:tcBorders>
            <w:tcMar>
              <w:top w:w="28" w:type="dxa"/>
              <w:left w:w="0" w:type="dxa"/>
              <w:bottom w:w="57" w:type="dxa"/>
              <w:right w:w="113" w:type="dxa"/>
            </w:tcMar>
            <w:vAlign w:val="bottom"/>
          </w:tcPr>
          <w:p w14:paraId="2825167D"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1190" w:type="dxa"/>
            <w:tcBorders>
              <w:top w:val="nil"/>
              <w:left w:val="nil"/>
              <w:bottom w:val="nil"/>
              <w:right w:val="nil"/>
            </w:tcBorders>
            <w:tcMar>
              <w:top w:w="28" w:type="dxa"/>
              <w:left w:w="0" w:type="dxa"/>
              <w:bottom w:w="57" w:type="dxa"/>
              <w:right w:w="113" w:type="dxa"/>
            </w:tcMar>
            <w:vAlign w:val="bottom"/>
          </w:tcPr>
          <w:p w14:paraId="31DC8FE1"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1191" w:type="dxa"/>
            <w:tcBorders>
              <w:top w:val="nil"/>
              <w:left w:val="nil"/>
              <w:bottom w:val="nil"/>
              <w:right w:val="nil"/>
            </w:tcBorders>
            <w:tcMar>
              <w:top w:w="28" w:type="dxa"/>
              <w:left w:w="0" w:type="dxa"/>
              <w:bottom w:w="57" w:type="dxa"/>
              <w:right w:w="113" w:type="dxa"/>
            </w:tcMar>
            <w:vAlign w:val="bottom"/>
          </w:tcPr>
          <w:p w14:paraId="758875BD"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19 </w:t>
            </w:r>
          </w:p>
        </w:tc>
        <w:tc>
          <w:tcPr>
            <w:tcW w:w="1210" w:type="dxa"/>
            <w:tcBorders>
              <w:top w:val="nil"/>
              <w:left w:val="nil"/>
              <w:bottom w:val="nil"/>
              <w:right w:val="nil"/>
            </w:tcBorders>
            <w:tcMar>
              <w:top w:w="28" w:type="dxa"/>
              <w:left w:w="0" w:type="dxa"/>
              <w:bottom w:w="57" w:type="dxa"/>
              <w:right w:w="113" w:type="dxa"/>
            </w:tcMar>
            <w:vAlign w:val="bottom"/>
          </w:tcPr>
          <w:p w14:paraId="0F19CD0C"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23 </w:t>
            </w:r>
          </w:p>
        </w:tc>
        <w:tc>
          <w:tcPr>
            <w:tcW w:w="964" w:type="dxa"/>
            <w:tcBorders>
              <w:top w:val="nil"/>
              <w:left w:val="nil"/>
              <w:bottom w:val="nil"/>
              <w:right w:val="nil"/>
            </w:tcBorders>
            <w:tcMar>
              <w:top w:w="28" w:type="dxa"/>
              <w:left w:w="0" w:type="dxa"/>
              <w:bottom w:w="57" w:type="dxa"/>
              <w:right w:w="113" w:type="dxa"/>
            </w:tcMar>
            <w:vAlign w:val="bottom"/>
          </w:tcPr>
          <w:p w14:paraId="6BDC02B9"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964" w:type="dxa"/>
            <w:tcBorders>
              <w:top w:val="nil"/>
              <w:left w:val="nil"/>
              <w:bottom w:val="nil"/>
              <w:right w:val="nil"/>
            </w:tcBorders>
            <w:tcMar>
              <w:top w:w="28" w:type="dxa"/>
              <w:left w:w="0" w:type="dxa"/>
              <w:bottom w:w="57" w:type="dxa"/>
              <w:right w:w="113" w:type="dxa"/>
            </w:tcMar>
            <w:vAlign w:val="bottom"/>
          </w:tcPr>
          <w:p w14:paraId="72616A57"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694" w:type="dxa"/>
            <w:tcBorders>
              <w:top w:val="nil"/>
              <w:left w:val="nil"/>
              <w:bottom w:val="nil"/>
              <w:right w:val="nil"/>
            </w:tcBorders>
            <w:tcMar>
              <w:top w:w="28" w:type="dxa"/>
              <w:left w:w="0" w:type="dxa"/>
              <w:bottom w:w="57" w:type="dxa"/>
              <w:right w:w="113" w:type="dxa"/>
            </w:tcMar>
            <w:vAlign w:val="bottom"/>
          </w:tcPr>
          <w:p w14:paraId="1E398478"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42 </w:t>
            </w:r>
          </w:p>
        </w:tc>
      </w:tr>
      <w:tr w:rsidR="00F47023" w:rsidRPr="000A4433" w14:paraId="1F48C7C4" w14:textId="77777777">
        <w:trPr>
          <w:trHeight w:val="240"/>
        </w:trPr>
        <w:tc>
          <w:tcPr>
            <w:tcW w:w="3028" w:type="dxa"/>
            <w:tcBorders>
              <w:top w:val="nil"/>
              <w:left w:val="nil"/>
              <w:bottom w:val="nil"/>
              <w:right w:val="nil"/>
            </w:tcBorders>
            <w:tcMar>
              <w:top w:w="28" w:type="dxa"/>
              <w:left w:w="0" w:type="dxa"/>
              <w:bottom w:w="57" w:type="dxa"/>
              <w:right w:w="113" w:type="dxa"/>
            </w:tcMar>
            <w:vAlign w:val="bottom"/>
          </w:tcPr>
          <w:p w14:paraId="30BA7BFD" w14:textId="77777777" w:rsidR="00F47023" w:rsidRPr="000A4433" w:rsidRDefault="00F47023" w:rsidP="000A4433">
            <w:pPr>
              <w:pStyle w:val="FSBodyText"/>
              <w:spacing w:after="0" w:line="240" w:lineRule="auto"/>
              <w:ind w:firstLine="180"/>
            </w:pPr>
            <w:r w:rsidRPr="000A4433">
              <w:rPr>
                <w:lang w:val="it-IT"/>
              </w:rPr>
              <w:t>Work in progress transfer</w:t>
            </w:r>
          </w:p>
        </w:tc>
        <w:tc>
          <w:tcPr>
            <w:tcW w:w="850" w:type="dxa"/>
            <w:tcBorders>
              <w:top w:val="nil"/>
              <w:left w:val="nil"/>
              <w:bottom w:val="nil"/>
              <w:right w:val="nil"/>
            </w:tcBorders>
            <w:tcMar>
              <w:top w:w="28" w:type="dxa"/>
              <w:left w:w="0" w:type="dxa"/>
              <w:bottom w:w="57" w:type="dxa"/>
              <w:right w:w="113" w:type="dxa"/>
            </w:tcMar>
            <w:vAlign w:val="bottom"/>
          </w:tcPr>
          <w:p w14:paraId="7D3364A9"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1190" w:type="dxa"/>
            <w:tcBorders>
              <w:top w:val="nil"/>
              <w:left w:val="nil"/>
              <w:bottom w:val="nil"/>
              <w:right w:val="nil"/>
            </w:tcBorders>
            <w:tcMar>
              <w:top w:w="28" w:type="dxa"/>
              <w:left w:w="0" w:type="dxa"/>
              <w:bottom w:w="57" w:type="dxa"/>
              <w:right w:w="113" w:type="dxa"/>
            </w:tcMar>
            <w:vAlign w:val="bottom"/>
          </w:tcPr>
          <w:p w14:paraId="37A999BC"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1191" w:type="dxa"/>
            <w:tcBorders>
              <w:top w:val="nil"/>
              <w:left w:val="nil"/>
              <w:bottom w:val="nil"/>
              <w:right w:val="nil"/>
            </w:tcBorders>
            <w:tcMar>
              <w:top w:w="28" w:type="dxa"/>
              <w:left w:w="0" w:type="dxa"/>
              <w:bottom w:w="57" w:type="dxa"/>
              <w:right w:w="113" w:type="dxa"/>
            </w:tcMar>
            <w:vAlign w:val="bottom"/>
          </w:tcPr>
          <w:p w14:paraId="007BA22F" w14:textId="77777777" w:rsidR="00F47023" w:rsidRPr="000A4433" w:rsidRDefault="00F47023" w:rsidP="000A4433">
            <w:pPr>
              <w:pStyle w:val="FSBodyText"/>
              <w:spacing w:after="0" w:line="240" w:lineRule="auto"/>
              <w:jc w:val="right"/>
            </w:pPr>
            <w:r w:rsidRPr="000A4433">
              <w:rPr>
                <w:b/>
                <w:bCs/>
              </w:rPr>
              <w:t>86</w:t>
            </w:r>
          </w:p>
        </w:tc>
        <w:tc>
          <w:tcPr>
            <w:tcW w:w="1210" w:type="dxa"/>
            <w:tcBorders>
              <w:top w:val="nil"/>
              <w:left w:val="nil"/>
              <w:bottom w:val="nil"/>
              <w:right w:val="nil"/>
            </w:tcBorders>
            <w:tcMar>
              <w:top w:w="28" w:type="dxa"/>
              <w:left w:w="0" w:type="dxa"/>
              <w:bottom w:w="57" w:type="dxa"/>
              <w:right w:w="113" w:type="dxa"/>
            </w:tcMar>
            <w:vAlign w:val="bottom"/>
          </w:tcPr>
          <w:p w14:paraId="2209933B" w14:textId="77777777" w:rsidR="00F47023" w:rsidRPr="000A4433" w:rsidRDefault="00F47023" w:rsidP="000A4433">
            <w:pPr>
              <w:pStyle w:val="FSBodyText"/>
              <w:spacing w:after="0" w:line="240" w:lineRule="auto"/>
              <w:jc w:val="right"/>
            </w:pPr>
            <w:r w:rsidRPr="000A4433">
              <w:rPr>
                <w:b/>
                <w:bCs/>
              </w:rPr>
              <w:t>(86)</w:t>
            </w:r>
          </w:p>
        </w:tc>
        <w:tc>
          <w:tcPr>
            <w:tcW w:w="964" w:type="dxa"/>
            <w:tcBorders>
              <w:top w:val="nil"/>
              <w:left w:val="nil"/>
              <w:bottom w:val="nil"/>
              <w:right w:val="nil"/>
            </w:tcBorders>
            <w:tcMar>
              <w:top w:w="28" w:type="dxa"/>
              <w:left w:w="0" w:type="dxa"/>
              <w:bottom w:w="57" w:type="dxa"/>
              <w:right w:w="113" w:type="dxa"/>
            </w:tcMar>
            <w:vAlign w:val="bottom"/>
          </w:tcPr>
          <w:p w14:paraId="64621413"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964" w:type="dxa"/>
            <w:tcBorders>
              <w:top w:val="nil"/>
              <w:left w:val="nil"/>
              <w:bottom w:val="nil"/>
              <w:right w:val="nil"/>
            </w:tcBorders>
            <w:tcMar>
              <w:top w:w="28" w:type="dxa"/>
              <w:left w:w="0" w:type="dxa"/>
              <w:bottom w:w="57" w:type="dxa"/>
              <w:right w:w="113" w:type="dxa"/>
            </w:tcMar>
            <w:vAlign w:val="bottom"/>
          </w:tcPr>
          <w:p w14:paraId="21A919D9" w14:textId="77777777" w:rsidR="00F47023" w:rsidRPr="000A4433" w:rsidRDefault="00F47023" w:rsidP="000A4433">
            <w:pPr>
              <w:pStyle w:val="FSBodyText"/>
              <w:spacing w:after="0" w:line="240" w:lineRule="auto"/>
              <w:jc w:val="right"/>
            </w:pPr>
            <w:r w:rsidRPr="000A4433">
              <w:rPr>
                <w:rStyle w:val="Bold"/>
                <w:rFonts w:eastAsia="MS Mincho"/>
                <w:lang w:val="it-IT"/>
              </w:rPr>
              <w:t>(169)</w:t>
            </w:r>
          </w:p>
        </w:tc>
        <w:tc>
          <w:tcPr>
            <w:tcW w:w="694" w:type="dxa"/>
            <w:tcBorders>
              <w:top w:val="nil"/>
              <w:left w:val="nil"/>
              <w:bottom w:val="nil"/>
              <w:right w:val="nil"/>
            </w:tcBorders>
            <w:tcMar>
              <w:top w:w="28" w:type="dxa"/>
              <w:left w:w="0" w:type="dxa"/>
              <w:bottom w:w="57" w:type="dxa"/>
              <w:right w:w="113" w:type="dxa"/>
            </w:tcMar>
            <w:vAlign w:val="bottom"/>
          </w:tcPr>
          <w:p w14:paraId="6F515C24" w14:textId="77777777" w:rsidR="00F47023" w:rsidRPr="000A4433" w:rsidRDefault="00F47023" w:rsidP="000A4433">
            <w:pPr>
              <w:pStyle w:val="FSBodyText"/>
              <w:spacing w:after="0" w:line="240" w:lineRule="auto"/>
              <w:jc w:val="right"/>
            </w:pPr>
            <w:r w:rsidRPr="000A4433">
              <w:rPr>
                <w:b/>
                <w:bCs/>
              </w:rPr>
              <w:t>(169)</w:t>
            </w:r>
          </w:p>
        </w:tc>
      </w:tr>
      <w:tr w:rsidR="00F47023" w:rsidRPr="000A4433" w14:paraId="3AC93996" w14:textId="77777777">
        <w:trPr>
          <w:trHeight w:val="240"/>
        </w:trPr>
        <w:tc>
          <w:tcPr>
            <w:tcW w:w="3028" w:type="dxa"/>
            <w:tcBorders>
              <w:top w:val="nil"/>
              <w:left w:val="nil"/>
              <w:bottom w:val="nil"/>
              <w:right w:val="nil"/>
            </w:tcBorders>
            <w:tcMar>
              <w:top w:w="28" w:type="dxa"/>
              <w:left w:w="0" w:type="dxa"/>
              <w:bottom w:w="57" w:type="dxa"/>
              <w:right w:w="113" w:type="dxa"/>
            </w:tcMar>
            <w:vAlign w:val="bottom"/>
          </w:tcPr>
          <w:p w14:paraId="46247941" w14:textId="77777777" w:rsidR="00F47023" w:rsidRPr="000A4433" w:rsidRDefault="00F47023" w:rsidP="000A4433">
            <w:pPr>
              <w:pStyle w:val="FSBodyText"/>
              <w:spacing w:after="0" w:line="240" w:lineRule="auto"/>
            </w:pPr>
            <w:r w:rsidRPr="000A4433">
              <w:rPr>
                <w:lang w:val="it-IT"/>
              </w:rPr>
              <w:t>Depreciation and amortisation</w:t>
            </w:r>
          </w:p>
        </w:tc>
        <w:tc>
          <w:tcPr>
            <w:tcW w:w="850" w:type="dxa"/>
            <w:tcBorders>
              <w:top w:val="nil"/>
              <w:left w:val="nil"/>
              <w:bottom w:val="nil"/>
              <w:right w:val="nil"/>
            </w:tcBorders>
            <w:tcMar>
              <w:top w:w="28" w:type="dxa"/>
              <w:left w:w="0" w:type="dxa"/>
              <w:bottom w:w="57" w:type="dxa"/>
              <w:right w:w="113" w:type="dxa"/>
            </w:tcMar>
            <w:vAlign w:val="bottom"/>
          </w:tcPr>
          <w:p w14:paraId="004C7E4C"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1190" w:type="dxa"/>
            <w:tcBorders>
              <w:top w:val="nil"/>
              <w:left w:val="nil"/>
              <w:bottom w:val="nil"/>
              <w:right w:val="nil"/>
            </w:tcBorders>
            <w:tcMar>
              <w:top w:w="28" w:type="dxa"/>
              <w:left w:w="0" w:type="dxa"/>
              <w:bottom w:w="57" w:type="dxa"/>
              <w:right w:w="113" w:type="dxa"/>
            </w:tcMar>
            <w:vAlign w:val="bottom"/>
          </w:tcPr>
          <w:p w14:paraId="1195C842" w14:textId="77777777" w:rsidR="00F47023" w:rsidRPr="000A4433" w:rsidRDefault="00F47023" w:rsidP="000A4433">
            <w:pPr>
              <w:pStyle w:val="FSBodyText"/>
              <w:spacing w:after="0" w:line="240" w:lineRule="auto"/>
              <w:jc w:val="right"/>
            </w:pPr>
            <w:r w:rsidRPr="000A4433">
              <w:rPr>
                <w:rStyle w:val="Bold"/>
                <w:rFonts w:eastAsia="MS Mincho"/>
                <w:lang w:val="it-IT"/>
              </w:rPr>
              <w:t>(813)</w:t>
            </w:r>
          </w:p>
        </w:tc>
        <w:tc>
          <w:tcPr>
            <w:tcW w:w="1191" w:type="dxa"/>
            <w:tcBorders>
              <w:top w:val="nil"/>
              <w:left w:val="nil"/>
              <w:bottom w:val="nil"/>
              <w:right w:val="nil"/>
            </w:tcBorders>
            <w:tcMar>
              <w:top w:w="28" w:type="dxa"/>
              <w:left w:w="0" w:type="dxa"/>
              <w:bottom w:w="57" w:type="dxa"/>
              <w:right w:w="113" w:type="dxa"/>
            </w:tcMar>
            <w:vAlign w:val="bottom"/>
          </w:tcPr>
          <w:p w14:paraId="3A304A9E" w14:textId="77777777" w:rsidR="00F47023" w:rsidRPr="000A4433" w:rsidRDefault="00F47023" w:rsidP="000A4433">
            <w:pPr>
              <w:pStyle w:val="FSBodyText"/>
              <w:spacing w:after="0" w:line="240" w:lineRule="auto"/>
              <w:jc w:val="right"/>
            </w:pPr>
            <w:r w:rsidRPr="000A4433">
              <w:rPr>
                <w:rStyle w:val="Bold"/>
                <w:rFonts w:eastAsia="MS Mincho"/>
                <w:lang w:val="it-IT"/>
              </w:rPr>
              <w:t>(77)</w:t>
            </w:r>
          </w:p>
        </w:tc>
        <w:tc>
          <w:tcPr>
            <w:tcW w:w="1210" w:type="dxa"/>
            <w:tcBorders>
              <w:top w:val="nil"/>
              <w:left w:val="nil"/>
              <w:bottom w:val="nil"/>
              <w:right w:val="nil"/>
            </w:tcBorders>
            <w:tcMar>
              <w:top w:w="28" w:type="dxa"/>
              <w:left w:w="0" w:type="dxa"/>
              <w:bottom w:w="57" w:type="dxa"/>
              <w:right w:w="113" w:type="dxa"/>
            </w:tcMar>
            <w:vAlign w:val="bottom"/>
          </w:tcPr>
          <w:p w14:paraId="69AB71E8"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964" w:type="dxa"/>
            <w:tcBorders>
              <w:top w:val="nil"/>
              <w:left w:val="nil"/>
              <w:bottom w:val="nil"/>
              <w:right w:val="nil"/>
            </w:tcBorders>
            <w:tcMar>
              <w:top w:w="28" w:type="dxa"/>
              <w:left w:w="0" w:type="dxa"/>
              <w:bottom w:w="57" w:type="dxa"/>
              <w:right w:w="113" w:type="dxa"/>
            </w:tcMar>
            <w:vAlign w:val="bottom"/>
          </w:tcPr>
          <w:p w14:paraId="713DD3E1" w14:textId="77777777" w:rsidR="00F47023" w:rsidRPr="000A4433" w:rsidRDefault="00F47023" w:rsidP="000A4433">
            <w:pPr>
              <w:pStyle w:val="FSBodyText"/>
              <w:spacing w:after="0" w:line="240" w:lineRule="auto"/>
              <w:jc w:val="right"/>
            </w:pPr>
            <w:r w:rsidRPr="000A4433">
              <w:rPr>
                <w:rStyle w:val="Bold"/>
                <w:rFonts w:eastAsia="MS Mincho"/>
                <w:lang w:val="it-IT"/>
              </w:rPr>
              <w:t>(103)</w:t>
            </w:r>
          </w:p>
        </w:tc>
        <w:tc>
          <w:tcPr>
            <w:tcW w:w="964" w:type="dxa"/>
            <w:tcBorders>
              <w:top w:val="nil"/>
              <w:left w:val="nil"/>
              <w:bottom w:val="nil"/>
              <w:right w:val="nil"/>
            </w:tcBorders>
            <w:tcMar>
              <w:top w:w="28" w:type="dxa"/>
              <w:left w:w="0" w:type="dxa"/>
              <w:bottom w:w="57" w:type="dxa"/>
              <w:right w:w="113" w:type="dxa"/>
            </w:tcMar>
            <w:vAlign w:val="bottom"/>
          </w:tcPr>
          <w:p w14:paraId="6BF64F94"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694" w:type="dxa"/>
            <w:tcBorders>
              <w:top w:val="nil"/>
              <w:left w:val="nil"/>
              <w:bottom w:val="nil"/>
              <w:right w:val="nil"/>
            </w:tcBorders>
            <w:tcMar>
              <w:top w:w="28" w:type="dxa"/>
              <w:left w:w="0" w:type="dxa"/>
              <w:bottom w:w="57" w:type="dxa"/>
              <w:right w:w="113" w:type="dxa"/>
            </w:tcMar>
            <w:vAlign w:val="bottom"/>
          </w:tcPr>
          <w:p w14:paraId="6357CFBC" w14:textId="77777777" w:rsidR="00F47023" w:rsidRPr="000A4433" w:rsidRDefault="00F47023" w:rsidP="000A4433">
            <w:pPr>
              <w:pStyle w:val="FSBodyText"/>
              <w:spacing w:after="0" w:line="240" w:lineRule="auto"/>
              <w:jc w:val="right"/>
            </w:pPr>
            <w:r w:rsidRPr="000A4433">
              <w:rPr>
                <w:rStyle w:val="Bold"/>
                <w:rFonts w:eastAsia="MS Mincho"/>
                <w:lang w:val="it-IT"/>
              </w:rPr>
              <w:t>(993)</w:t>
            </w:r>
          </w:p>
        </w:tc>
      </w:tr>
      <w:tr w:rsidR="00F47023" w:rsidRPr="000A4433" w14:paraId="34B65E71" w14:textId="77777777">
        <w:trPr>
          <w:trHeight w:val="240"/>
        </w:trPr>
        <w:tc>
          <w:tcPr>
            <w:tcW w:w="3028" w:type="dxa"/>
            <w:tcBorders>
              <w:top w:val="nil"/>
              <w:left w:val="nil"/>
              <w:bottom w:val="single" w:sz="8" w:space="0" w:color="6D6E70"/>
              <w:right w:val="nil"/>
            </w:tcBorders>
            <w:tcMar>
              <w:top w:w="57" w:type="dxa"/>
              <w:left w:w="0" w:type="dxa"/>
              <w:bottom w:w="113" w:type="dxa"/>
              <w:right w:w="113" w:type="dxa"/>
            </w:tcMar>
            <w:vAlign w:val="bottom"/>
          </w:tcPr>
          <w:p w14:paraId="54B3049C" w14:textId="77777777" w:rsidR="00F47023" w:rsidRPr="000A4433" w:rsidRDefault="00F47023" w:rsidP="000A4433">
            <w:pPr>
              <w:pStyle w:val="FSBodyText"/>
              <w:spacing w:after="0" w:line="240" w:lineRule="auto"/>
            </w:pPr>
            <w:r w:rsidRPr="000A4433">
              <w:t>Depreciation on right-of-use assets</w:t>
            </w:r>
          </w:p>
        </w:tc>
        <w:tc>
          <w:tcPr>
            <w:tcW w:w="850" w:type="dxa"/>
            <w:tcBorders>
              <w:top w:val="nil"/>
              <w:left w:val="nil"/>
              <w:bottom w:val="single" w:sz="8" w:space="0" w:color="6D6E70"/>
              <w:right w:val="nil"/>
            </w:tcBorders>
            <w:tcMar>
              <w:top w:w="57" w:type="dxa"/>
              <w:left w:w="0" w:type="dxa"/>
              <w:bottom w:w="113" w:type="dxa"/>
              <w:right w:w="113" w:type="dxa"/>
            </w:tcMar>
            <w:vAlign w:val="bottom"/>
          </w:tcPr>
          <w:p w14:paraId="72C4BBB2" w14:textId="77777777" w:rsidR="00F47023" w:rsidRPr="000A4433" w:rsidRDefault="00F47023" w:rsidP="000A4433">
            <w:pPr>
              <w:pStyle w:val="FSBodyText"/>
              <w:spacing w:after="0" w:line="240" w:lineRule="auto"/>
              <w:jc w:val="right"/>
            </w:pPr>
            <w:r w:rsidRPr="000A4433">
              <w:rPr>
                <w:rStyle w:val="Bold"/>
                <w:rFonts w:eastAsia="MS Mincho"/>
                <w:lang w:val="it-IT"/>
              </w:rPr>
              <w:t>(2,501)</w:t>
            </w:r>
          </w:p>
        </w:tc>
        <w:tc>
          <w:tcPr>
            <w:tcW w:w="1190" w:type="dxa"/>
            <w:tcBorders>
              <w:top w:val="nil"/>
              <w:left w:val="nil"/>
              <w:bottom w:val="single" w:sz="8" w:space="0" w:color="6D6E70"/>
              <w:right w:val="nil"/>
            </w:tcBorders>
            <w:tcMar>
              <w:top w:w="57" w:type="dxa"/>
              <w:left w:w="0" w:type="dxa"/>
              <w:bottom w:w="113" w:type="dxa"/>
              <w:right w:w="113" w:type="dxa"/>
            </w:tcMar>
            <w:vAlign w:val="bottom"/>
          </w:tcPr>
          <w:p w14:paraId="00619281"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1191" w:type="dxa"/>
            <w:tcBorders>
              <w:top w:val="nil"/>
              <w:left w:val="nil"/>
              <w:bottom w:val="single" w:sz="8" w:space="0" w:color="6D6E70"/>
              <w:right w:val="nil"/>
            </w:tcBorders>
            <w:tcMar>
              <w:top w:w="57" w:type="dxa"/>
              <w:left w:w="0" w:type="dxa"/>
              <w:bottom w:w="113" w:type="dxa"/>
              <w:right w:w="113" w:type="dxa"/>
            </w:tcMar>
            <w:vAlign w:val="bottom"/>
          </w:tcPr>
          <w:p w14:paraId="3A3E157D"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1210" w:type="dxa"/>
            <w:tcBorders>
              <w:top w:val="nil"/>
              <w:left w:val="nil"/>
              <w:bottom w:val="single" w:sz="8" w:space="0" w:color="6D6E70"/>
              <w:right w:val="nil"/>
            </w:tcBorders>
            <w:tcMar>
              <w:top w:w="57" w:type="dxa"/>
              <w:left w:w="0" w:type="dxa"/>
              <w:bottom w:w="113" w:type="dxa"/>
              <w:right w:w="113" w:type="dxa"/>
            </w:tcMar>
            <w:vAlign w:val="bottom"/>
          </w:tcPr>
          <w:p w14:paraId="7ACB1FD8"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964" w:type="dxa"/>
            <w:tcBorders>
              <w:top w:val="nil"/>
              <w:left w:val="nil"/>
              <w:bottom w:val="single" w:sz="8" w:space="0" w:color="6D6E70"/>
              <w:right w:val="nil"/>
            </w:tcBorders>
            <w:tcMar>
              <w:top w:w="57" w:type="dxa"/>
              <w:left w:w="0" w:type="dxa"/>
              <w:bottom w:w="113" w:type="dxa"/>
              <w:right w:w="113" w:type="dxa"/>
            </w:tcMar>
            <w:vAlign w:val="bottom"/>
          </w:tcPr>
          <w:p w14:paraId="5D919BFA"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964" w:type="dxa"/>
            <w:tcBorders>
              <w:top w:val="nil"/>
              <w:left w:val="nil"/>
              <w:bottom w:val="single" w:sz="8" w:space="0" w:color="6D6E70"/>
              <w:right w:val="nil"/>
            </w:tcBorders>
            <w:tcMar>
              <w:top w:w="57" w:type="dxa"/>
              <w:left w:w="0" w:type="dxa"/>
              <w:bottom w:w="113" w:type="dxa"/>
              <w:right w:w="113" w:type="dxa"/>
            </w:tcMar>
            <w:vAlign w:val="bottom"/>
          </w:tcPr>
          <w:p w14:paraId="36199F10"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694" w:type="dxa"/>
            <w:tcBorders>
              <w:top w:val="nil"/>
              <w:left w:val="nil"/>
              <w:bottom w:val="single" w:sz="8" w:space="0" w:color="6D6E70"/>
              <w:right w:val="nil"/>
            </w:tcBorders>
            <w:tcMar>
              <w:top w:w="57" w:type="dxa"/>
              <w:left w:w="0" w:type="dxa"/>
              <w:bottom w:w="113" w:type="dxa"/>
              <w:right w:w="113" w:type="dxa"/>
            </w:tcMar>
            <w:vAlign w:val="bottom"/>
          </w:tcPr>
          <w:p w14:paraId="0FF7E91B" w14:textId="77777777" w:rsidR="00F47023" w:rsidRPr="000A4433" w:rsidRDefault="00F47023" w:rsidP="000A4433">
            <w:pPr>
              <w:pStyle w:val="FSBodyText"/>
              <w:spacing w:after="0" w:line="240" w:lineRule="auto"/>
              <w:jc w:val="right"/>
            </w:pPr>
            <w:r w:rsidRPr="000A4433">
              <w:rPr>
                <w:rStyle w:val="Bold"/>
                <w:rFonts w:eastAsia="MS Mincho"/>
                <w:lang w:val="it-IT"/>
              </w:rPr>
              <w:t>(2,501)</w:t>
            </w:r>
          </w:p>
        </w:tc>
      </w:tr>
      <w:tr w:rsidR="00F47023" w:rsidRPr="000A4433" w14:paraId="17442E9C" w14:textId="77777777" w:rsidTr="00EB65B5">
        <w:trPr>
          <w:trHeight w:val="240"/>
        </w:trPr>
        <w:tc>
          <w:tcPr>
            <w:tcW w:w="3028"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5351E047" w14:textId="77777777" w:rsidR="00F47023" w:rsidRPr="000A4433" w:rsidRDefault="00F47023" w:rsidP="000A4433">
            <w:pPr>
              <w:pStyle w:val="FSBodyText"/>
              <w:spacing w:after="0" w:line="240" w:lineRule="auto"/>
            </w:pPr>
            <w:r w:rsidRPr="000A4433">
              <w:rPr>
                <w:rStyle w:val="Bold"/>
                <w:rFonts w:eastAsia="MS Mincho"/>
                <w:lang w:val="it-IT"/>
              </w:rPr>
              <w:t>Total as at 30 June 2023</w:t>
            </w:r>
          </w:p>
        </w:tc>
        <w:tc>
          <w:tcPr>
            <w:tcW w:w="850"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0715EBB9"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2,500 </w:t>
            </w:r>
          </w:p>
        </w:tc>
        <w:tc>
          <w:tcPr>
            <w:tcW w:w="1190"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6F00C935"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814 </w:t>
            </w:r>
          </w:p>
        </w:tc>
        <w:tc>
          <w:tcPr>
            <w:tcW w:w="1191"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0C33EE84"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104 </w:t>
            </w:r>
          </w:p>
        </w:tc>
        <w:tc>
          <w:tcPr>
            <w:tcW w:w="1210"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3F5205F6"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964"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48BB7733"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187 </w:t>
            </w:r>
          </w:p>
        </w:tc>
        <w:tc>
          <w:tcPr>
            <w:tcW w:w="964"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5AD8A848"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694"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44BCBA4E"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3,605 </w:t>
            </w:r>
          </w:p>
        </w:tc>
      </w:tr>
      <w:tr w:rsidR="00F47023" w:rsidRPr="000A4433" w14:paraId="459C3A9F" w14:textId="77777777">
        <w:trPr>
          <w:trHeight w:val="240"/>
        </w:trPr>
        <w:tc>
          <w:tcPr>
            <w:tcW w:w="3028" w:type="dxa"/>
            <w:tcBorders>
              <w:top w:val="single" w:sz="8" w:space="0" w:color="6D6E70"/>
              <w:left w:val="nil"/>
              <w:bottom w:val="nil"/>
              <w:right w:val="nil"/>
            </w:tcBorders>
            <w:tcMar>
              <w:top w:w="227" w:type="dxa"/>
              <w:left w:w="0" w:type="dxa"/>
              <w:bottom w:w="57" w:type="dxa"/>
              <w:right w:w="113" w:type="dxa"/>
            </w:tcMar>
            <w:vAlign w:val="bottom"/>
          </w:tcPr>
          <w:p w14:paraId="2DBCDC35" w14:textId="77777777" w:rsidR="00F47023" w:rsidRPr="000A4433" w:rsidRDefault="00F47023" w:rsidP="000A4433">
            <w:pPr>
              <w:pStyle w:val="FSBodyText"/>
              <w:spacing w:after="0" w:line="240" w:lineRule="auto"/>
            </w:pPr>
            <w:r w:rsidRPr="000A4433">
              <w:rPr>
                <w:rStyle w:val="Bold"/>
                <w:rFonts w:eastAsia="MS Mincho"/>
              </w:rPr>
              <w:t xml:space="preserve">Total as at 30 June 2023 </w:t>
            </w:r>
            <w:r w:rsidRPr="000A4433">
              <w:rPr>
                <w:rStyle w:val="Bold"/>
                <w:rFonts w:eastAsia="MS Mincho"/>
              </w:rPr>
              <w:br/>
              <w:t>represented by</w:t>
            </w:r>
          </w:p>
        </w:tc>
        <w:tc>
          <w:tcPr>
            <w:tcW w:w="850" w:type="dxa"/>
            <w:tcBorders>
              <w:top w:val="single" w:sz="8" w:space="0" w:color="6D6E70"/>
              <w:left w:val="nil"/>
              <w:bottom w:val="nil"/>
              <w:right w:val="nil"/>
            </w:tcBorders>
            <w:tcMar>
              <w:top w:w="227" w:type="dxa"/>
              <w:left w:w="0" w:type="dxa"/>
              <w:bottom w:w="57" w:type="dxa"/>
              <w:right w:w="113" w:type="dxa"/>
            </w:tcMar>
            <w:vAlign w:val="bottom"/>
          </w:tcPr>
          <w:p w14:paraId="4158A64F"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c>
          <w:tcPr>
            <w:tcW w:w="1190" w:type="dxa"/>
            <w:tcBorders>
              <w:top w:val="single" w:sz="8" w:space="0" w:color="6D6E70"/>
              <w:left w:val="nil"/>
              <w:bottom w:val="nil"/>
              <w:right w:val="nil"/>
            </w:tcBorders>
            <w:tcMar>
              <w:top w:w="227" w:type="dxa"/>
              <w:left w:w="0" w:type="dxa"/>
              <w:bottom w:w="57" w:type="dxa"/>
              <w:right w:w="113" w:type="dxa"/>
            </w:tcMar>
            <w:vAlign w:val="bottom"/>
          </w:tcPr>
          <w:p w14:paraId="00F1025D"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c>
          <w:tcPr>
            <w:tcW w:w="1191" w:type="dxa"/>
            <w:tcBorders>
              <w:top w:val="single" w:sz="8" w:space="0" w:color="6D6E70"/>
              <w:left w:val="nil"/>
              <w:bottom w:val="nil"/>
              <w:right w:val="nil"/>
            </w:tcBorders>
            <w:tcMar>
              <w:top w:w="227" w:type="dxa"/>
              <w:left w:w="0" w:type="dxa"/>
              <w:bottom w:w="57" w:type="dxa"/>
              <w:right w:w="113" w:type="dxa"/>
            </w:tcMar>
            <w:vAlign w:val="bottom"/>
          </w:tcPr>
          <w:p w14:paraId="38F45F36"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c>
          <w:tcPr>
            <w:tcW w:w="1210" w:type="dxa"/>
            <w:tcBorders>
              <w:top w:val="single" w:sz="8" w:space="0" w:color="6D6E70"/>
              <w:left w:val="nil"/>
              <w:bottom w:val="nil"/>
              <w:right w:val="nil"/>
            </w:tcBorders>
            <w:tcMar>
              <w:top w:w="227" w:type="dxa"/>
              <w:left w:w="0" w:type="dxa"/>
              <w:bottom w:w="57" w:type="dxa"/>
              <w:right w:w="113" w:type="dxa"/>
            </w:tcMar>
            <w:vAlign w:val="bottom"/>
          </w:tcPr>
          <w:p w14:paraId="11F561A7"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c>
          <w:tcPr>
            <w:tcW w:w="964" w:type="dxa"/>
            <w:tcBorders>
              <w:top w:val="single" w:sz="8" w:space="0" w:color="6D6E70"/>
              <w:left w:val="nil"/>
              <w:bottom w:val="nil"/>
              <w:right w:val="nil"/>
            </w:tcBorders>
            <w:tcMar>
              <w:top w:w="227" w:type="dxa"/>
              <w:left w:w="0" w:type="dxa"/>
              <w:bottom w:w="57" w:type="dxa"/>
              <w:right w:w="113" w:type="dxa"/>
            </w:tcMar>
            <w:vAlign w:val="bottom"/>
          </w:tcPr>
          <w:p w14:paraId="0DB00A1B"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c>
          <w:tcPr>
            <w:tcW w:w="964" w:type="dxa"/>
            <w:tcBorders>
              <w:top w:val="single" w:sz="8" w:space="0" w:color="6D6E70"/>
              <w:left w:val="nil"/>
              <w:bottom w:val="nil"/>
              <w:right w:val="nil"/>
            </w:tcBorders>
            <w:tcMar>
              <w:top w:w="227" w:type="dxa"/>
              <w:left w:w="0" w:type="dxa"/>
              <w:bottom w:w="57" w:type="dxa"/>
              <w:right w:w="113" w:type="dxa"/>
            </w:tcMar>
            <w:vAlign w:val="bottom"/>
          </w:tcPr>
          <w:p w14:paraId="35805765"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c>
          <w:tcPr>
            <w:tcW w:w="694" w:type="dxa"/>
            <w:tcBorders>
              <w:top w:val="single" w:sz="8" w:space="0" w:color="6D6E70"/>
              <w:left w:val="nil"/>
              <w:bottom w:val="nil"/>
              <w:right w:val="nil"/>
            </w:tcBorders>
            <w:tcMar>
              <w:top w:w="227" w:type="dxa"/>
              <w:left w:w="0" w:type="dxa"/>
              <w:bottom w:w="57" w:type="dxa"/>
              <w:right w:w="113" w:type="dxa"/>
            </w:tcMar>
            <w:vAlign w:val="bottom"/>
          </w:tcPr>
          <w:p w14:paraId="17A59044"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r>
      <w:tr w:rsidR="00F47023" w:rsidRPr="000A4433" w14:paraId="7EE15915" w14:textId="77777777">
        <w:trPr>
          <w:trHeight w:val="240"/>
        </w:trPr>
        <w:tc>
          <w:tcPr>
            <w:tcW w:w="3028" w:type="dxa"/>
            <w:tcBorders>
              <w:top w:val="nil"/>
              <w:left w:val="nil"/>
              <w:bottom w:val="nil"/>
              <w:right w:val="nil"/>
            </w:tcBorders>
            <w:tcMar>
              <w:top w:w="28" w:type="dxa"/>
              <w:left w:w="0" w:type="dxa"/>
              <w:bottom w:w="57" w:type="dxa"/>
              <w:right w:w="113" w:type="dxa"/>
            </w:tcMar>
            <w:vAlign w:val="bottom"/>
          </w:tcPr>
          <w:p w14:paraId="1581CF43" w14:textId="77777777" w:rsidR="00F47023" w:rsidRPr="000A4433" w:rsidRDefault="00F47023" w:rsidP="000A4433">
            <w:pPr>
              <w:pStyle w:val="FSBodyText"/>
              <w:spacing w:after="0" w:line="240" w:lineRule="auto"/>
            </w:pPr>
            <w:r w:rsidRPr="000A4433">
              <w:rPr>
                <w:lang w:val="it-IT"/>
              </w:rPr>
              <w:t>Gross book value</w:t>
            </w:r>
          </w:p>
        </w:tc>
        <w:tc>
          <w:tcPr>
            <w:tcW w:w="850" w:type="dxa"/>
            <w:tcBorders>
              <w:top w:val="nil"/>
              <w:left w:val="nil"/>
              <w:bottom w:val="nil"/>
              <w:right w:val="nil"/>
            </w:tcBorders>
            <w:tcMar>
              <w:top w:w="28" w:type="dxa"/>
              <w:left w:w="0" w:type="dxa"/>
              <w:bottom w:w="57" w:type="dxa"/>
              <w:right w:w="113" w:type="dxa"/>
            </w:tcMar>
            <w:vAlign w:val="bottom"/>
          </w:tcPr>
          <w:p w14:paraId="2FF90D97"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7,502 </w:t>
            </w:r>
          </w:p>
        </w:tc>
        <w:tc>
          <w:tcPr>
            <w:tcW w:w="1190" w:type="dxa"/>
            <w:tcBorders>
              <w:top w:val="nil"/>
              <w:left w:val="nil"/>
              <w:bottom w:val="nil"/>
              <w:right w:val="nil"/>
            </w:tcBorders>
            <w:tcMar>
              <w:top w:w="28" w:type="dxa"/>
              <w:left w:w="0" w:type="dxa"/>
              <w:bottom w:w="57" w:type="dxa"/>
              <w:right w:w="113" w:type="dxa"/>
            </w:tcMar>
            <w:vAlign w:val="bottom"/>
          </w:tcPr>
          <w:p w14:paraId="008B21F1"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1,797 </w:t>
            </w:r>
          </w:p>
        </w:tc>
        <w:tc>
          <w:tcPr>
            <w:tcW w:w="1191" w:type="dxa"/>
            <w:tcBorders>
              <w:top w:val="nil"/>
              <w:left w:val="nil"/>
              <w:bottom w:val="nil"/>
              <w:right w:val="nil"/>
            </w:tcBorders>
            <w:tcMar>
              <w:top w:w="28" w:type="dxa"/>
              <w:left w:w="0" w:type="dxa"/>
              <w:bottom w:w="57" w:type="dxa"/>
              <w:right w:w="113" w:type="dxa"/>
            </w:tcMar>
            <w:vAlign w:val="bottom"/>
          </w:tcPr>
          <w:p w14:paraId="74A1C3FC"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163 </w:t>
            </w:r>
          </w:p>
        </w:tc>
        <w:tc>
          <w:tcPr>
            <w:tcW w:w="1210" w:type="dxa"/>
            <w:tcBorders>
              <w:top w:val="nil"/>
              <w:left w:val="nil"/>
              <w:bottom w:val="nil"/>
              <w:right w:val="nil"/>
            </w:tcBorders>
            <w:tcMar>
              <w:top w:w="28" w:type="dxa"/>
              <w:left w:w="0" w:type="dxa"/>
              <w:bottom w:w="57" w:type="dxa"/>
              <w:right w:w="113" w:type="dxa"/>
            </w:tcMar>
            <w:vAlign w:val="bottom"/>
          </w:tcPr>
          <w:p w14:paraId="7CE8858B"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964" w:type="dxa"/>
            <w:tcBorders>
              <w:top w:val="nil"/>
              <w:left w:val="nil"/>
              <w:bottom w:val="nil"/>
              <w:right w:val="nil"/>
            </w:tcBorders>
            <w:tcMar>
              <w:top w:w="28" w:type="dxa"/>
              <w:left w:w="0" w:type="dxa"/>
              <w:bottom w:w="57" w:type="dxa"/>
              <w:right w:w="113" w:type="dxa"/>
            </w:tcMar>
            <w:vAlign w:val="bottom"/>
          </w:tcPr>
          <w:p w14:paraId="7F58198E"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2,394 </w:t>
            </w:r>
          </w:p>
        </w:tc>
        <w:tc>
          <w:tcPr>
            <w:tcW w:w="964" w:type="dxa"/>
            <w:tcBorders>
              <w:top w:val="nil"/>
              <w:left w:val="nil"/>
              <w:bottom w:val="nil"/>
              <w:right w:val="nil"/>
            </w:tcBorders>
            <w:tcMar>
              <w:top w:w="28" w:type="dxa"/>
              <w:left w:w="0" w:type="dxa"/>
              <w:bottom w:w="57" w:type="dxa"/>
              <w:right w:w="113" w:type="dxa"/>
            </w:tcMar>
            <w:vAlign w:val="bottom"/>
          </w:tcPr>
          <w:p w14:paraId="71D96AB9"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694" w:type="dxa"/>
            <w:tcBorders>
              <w:top w:val="nil"/>
              <w:left w:val="nil"/>
              <w:bottom w:val="nil"/>
              <w:right w:val="nil"/>
            </w:tcBorders>
            <w:tcMar>
              <w:top w:w="28" w:type="dxa"/>
              <w:left w:w="0" w:type="dxa"/>
              <w:bottom w:w="57" w:type="dxa"/>
              <w:right w:w="113" w:type="dxa"/>
            </w:tcMar>
            <w:vAlign w:val="bottom"/>
          </w:tcPr>
          <w:p w14:paraId="3CE02B13"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11,856 </w:t>
            </w:r>
          </w:p>
        </w:tc>
      </w:tr>
      <w:tr w:rsidR="00F47023" w:rsidRPr="000A4433" w14:paraId="447A550A" w14:textId="77777777">
        <w:trPr>
          <w:trHeight w:val="240"/>
        </w:trPr>
        <w:tc>
          <w:tcPr>
            <w:tcW w:w="3028" w:type="dxa"/>
            <w:tcBorders>
              <w:top w:val="nil"/>
              <w:left w:val="nil"/>
              <w:bottom w:val="single" w:sz="8" w:space="0" w:color="6D6E70"/>
              <w:right w:val="nil"/>
            </w:tcBorders>
            <w:tcMar>
              <w:top w:w="57" w:type="dxa"/>
              <w:left w:w="0" w:type="dxa"/>
              <w:bottom w:w="113" w:type="dxa"/>
              <w:right w:w="113" w:type="dxa"/>
            </w:tcMar>
            <w:vAlign w:val="bottom"/>
          </w:tcPr>
          <w:p w14:paraId="26236B06" w14:textId="77777777" w:rsidR="00F47023" w:rsidRPr="000A4433" w:rsidRDefault="00F47023" w:rsidP="000A4433">
            <w:pPr>
              <w:pStyle w:val="FSBodyText"/>
              <w:spacing w:after="0" w:line="240" w:lineRule="auto"/>
            </w:pPr>
            <w:r w:rsidRPr="000A4433">
              <w:t>Accumulated depreciation, amortisation and impairment</w:t>
            </w:r>
          </w:p>
        </w:tc>
        <w:tc>
          <w:tcPr>
            <w:tcW w:w="850" w:type="dxa"/>
            <w:tcBorders>
              <w:top w:val="nil"/>
              <w:left w:val="nil"/>
              <w:bottom w:val="single" w:sz="8" w:space="0" w:color="6D6E70"/>
              <w:right w:val="nil"/>
            </w:tcBorders>
            <w:tcMar>
              <w:top w:w="57" w:type="dxa"/>
              <w:left w:w="0" w:type="dxa"/>
              <w:bottom w:w="113" w:type="dxa"/>
              <w:right w:w="113" w:type="dxa"/>
            </w:tcMar>
            <w:vAlign w:val="bottom"/>
          </w:tcPr>
          <w:p w14:paraId="37CD8A57" w14:textId="77777777" w:rsidR="00F47023" w:rsidRPr="000A4433" w:rsidRDefault="00F47023" w:rsidP="000A4433">
            <w:pPr>
              <w:pStyle w:val="FSBodyText"/>
              <w:spacing w:after="0" w:line="240" w:lineRule="auto"/>
              <w:jc w:val="right"/>
            </w:pPr>
            <w:r w:rsidRPr="000A4433">
              <w:rPr>
                <w:rStyle w:val="Bold"/>
                <w:rFonts w:eastAsia="MS Mincho"/>
                <w:lang w:val="it-IT"/>
              </w:rPr>
              <w:t>(5,002)</w:t>
            </w:r>
          </w:p>
        </w:tc>
        <w:tc>
          <w:tcPr>
            <w:tcW w:w="1190" w:type="dxa"/>
            <w:tcBorders>
              <w:top w:val="nil"/>
              <w:left w:val="nil"/>
              <w:bottom w:val="single" w:sz="8" w:space="0" w:color="6D6E70"/>
              <w:right w:val="nil"/>
            </w:tcBorders>
            <w:tcMar>
              <w:top w:w="57" w:type="dxa"/>
              <w:left w:w="0" w:type="dxa"/>
              <w:bottom w:w="113" w:type="dxa"/>
              <w:right w:w="113" w:type="dxa"/>
            </w:tcMar>
            <w:vAlign w:val="bottom"/>
          </w:tcPr>
          <w:p w14:paraId="6340F82E" w14:textId="77777777" w:rsidR="00F47023" w:rsidRPr="000A4433" w:rsidRDefault="00F47023" w:rsidP="000A4433">
            <w:pPr>
              <w:pStyle w:val="FSBodyText"/>
              <w:spacing w:after="0" w:line="240" w:lineRule="auto"/>
              <w:jc w:val="right"/>
            </w:pPr>
            <w:r w:rsidRPr="000A4433">
              <w:rPr>
                <w:rStyle w:val="Bold"/>
                <w:rFonts w:eastAsia="MS Mincho"/>
                <w:lang w:val="it-IT"/>
              </w:rPr>
              <w:t>(983)</w:t>
            </w:r>
          </w:p>
        </w:tc>
        <w:tc>
          <w:tcPr>
            <w:tcW w:w="1191" w:type="dxa"/>
            <w:tcBorders>
              <w:top w:val="nil"/>
              <w:left w:val="nil"/>
              <w:bottom w:val="single" w:sz="8" w:space="0" w:color="6D6E70"/>
              <w:right w:val="nil"/>
            </w:tcBorders>
            <w:tcMar>
              <w:top w:w="57" w:type="dxa"/>
              <w:left w:w="0" w:type="dxa"/>
              <w:bottom w:w="113" w:type="dxa"/>
              <w:right w:w="113" w:type="dxa"/>
            </w:tcMar>
            <w:vAlign w:val="bottom"/>
          </w:tcPr>
          <w:p w14:paraId="4E7DEEFA" w14:textId="77777777" w:rsidR="00F47023" w:rsidRPr="000A4433" w:rsidRDefault="00F47023" w:rsidP="000A4433">
            <w:pPr>
              <w:pStyle w:val="FSBodyText"/>
              <w:spacing w:after="0" w:line="240" w:lineRule="auto"/>
              <w:jc w:val="right"/>
            </w:pPr>
            <w:r w:rsidRPr="000A4433">
              <w:rPr>
                <w:rStyle w:val="Bold"/>
                <w:rFonts w:eastAsia="MS Mincho"/>
              </w:rPr>
              <w:t>(59)</w:t>
            </w:r>
          </w:p>
        </w:tc>
        <w:tc>
          <w:tcPr>
            <w:tcW w:w="1210" w:type="dxa"/>
            <w:tcBorders>
              <w:top w:val="nil"/>
              <w:left w:val="nil"/>
              <w:bottom w:val="single" w:sz="8" w:space="0" w:color="6D6E70"/>
              <w:right w:val="nil"/>
            </w:tcBorders>
            <w:tcMar>
              <w:top w:w="57" w:type="dxa"/>
              <w:left w:w="0" w:type="dxa"/>
              <w:bottom w:w="113" w:type="dxa"/>
              <w:right w:w="113" w:type="dxa"/>
            </w:tcMar>
            <w:vAlign w:val="bottom"/>
          </w:tcPr>
          <w:p w14:paraId="5045C6BC"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964" w:type="dxa"/>
            <w:tcBorders>
              <w:top w:val="nil"/>
              <w:left w:val="nil"/>
              <w:bottom w:val="single" w:sz="8" w:space="0" w:color="6D6E70"/>
              <w:right w:val="nil"/>
            </w:tcBorders>
            <w:tcMar>
              <w:top w:w="57" w:type="dxa"/>
              <w:left w:w="0" w:type="dxa"/>
              <w:bottom w:w="113" w:type="dxa"/>
              <w:right w:w="113" w:type="dxa"/>
            </w:tcMar>
            <w:vAlign w:val="bottom"/>
          </w:tcPr>
          <w:p w14:paraId="1FE5F2F0" w14:textId="77777777" w:rsidR="00F47023" w:rsidRPr="000A4433" w:rsidRDefault="00F47023" w:rsidP="000A4433">
            <w:pPr>
              <w:pStyle w:val="FSBodyText"/>
              <w:spacing w:after="0" w:line="240" w:lineRule="auto"/>
              <w:jc w:val="right"/>
            </w:pPr>
            <w:r w:rsidRPr="000A4433">
              <w:rPr>
                <w:rStyle w:val="Bold"/>
                <w:rFonts w:eastAsia="MS Mincho"/>
                <w:lang w:val="it-IT"/>
              </w:rPr>
              <w:t>(2,207)</w:t>
            </w:r>
          </w:p>
        </w:tc>
        <w:tc>
          <w:tcPr>
            <w:tcW w:w="964" w:type="dxa"/>
            <w:tcBorders>
              <w:top w:val="nil"/>
              <w:left w:val="nil"/>
              <w:bottom w:val="single" w:sz="8" w:space="0" w:color="6D6E70"/>
              <w:right w:val="nil"/>
            </w:tcBorders>
            <w:tcMar>
              <w:top w:w="57" w:type="dxa"/>
              <w:left w:w="0" w:type="dxa"/>
              <w:bottom w:w="113" w:type="dxa"/>
              <w:right w:w="113" w:type="dxa"/>
            </w:tcMar>
            <w:vAlign w:val="bottom"/>
          </w:tcPr>
          <w:p w14:paraId="53A5B674"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694" w:type="dxa"/>
            <w:tcBorders>
              <w:top w:val="nil"/>
              <w:left w:val="nil"/>
              <w:bottom w:val="single" w:sz="8" w:space="0" w:color="6D6E70"/>
              <w:right w:val="nil"/>
            </w:tcBorders>
            <w:tcMar>
              <w:top w:w="57" w:type="dxa"/>
              <w:left w:w="0" w:type="dxa"/>
              <w:bottom w:w="113" w:type="dxa"/>
              <w:right w:w="113" w:type="dxa"/>
            </w:tcMar>
            <w:vAlign w:val="bottom"/>
          </w:tcPr>
          <w:p w14:paraId="1755751B" w14:textId="77777777" w:rsidR="00F47023" w:rsidRPr="000A4433" w:rsidRDefault="00F47023" w:rsidP="000A4433">
            <w:pPr>
              <w:pStyle w:val="FSBodyText"/>
              <w:spacing w:after="0" w:line="240" w:lineRule="auto"/>
              <w:jc w:val="right"/>
            </w:pPr>
            <w:r w:rsidRPr="000A4433">
              <w:rPr>
                <w:rStyle w:val="Bold"/>
                <w:rFonts w:eastAsia="MS Mincho"/>
                <w:lang w:val="it-IT"/>
              </w:rPr>
              <w:t>(8,251)</w:t>
            </w:r>
          </w:p>
        </w:tc>
      </w:tr>
      <w:tr w:rsidR="00F47023" w:rsidRPr="000A4433" w14:paraId="3BB52FE1" w14:textId="77777777" w:rsidTr="000A4433">
        <w:trPr>
          <w:trHeight w:val="240"/>
        </w:trPr>
        <w:tc>
          <w:tcPr>
            <w:tcW w:w="3028"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241D3E5F" w14:textId="77777777" w:rsidR="00F47023" w:rsidRPr="000A4433" w:rsidRDefault="00F47023" w:rsidP="000A4433">
            <w:pPr>
              <w:pStyle w:val="FSBodyText"/>
              <w:spacing w:after="0" w:line="240" w:lineRule="auto"/>
            </w:pPr>
            <w:r w:rsidRPr="000A4433">
              <w:rPr>
                <w:rStyle w:val="Bold"/>
                <w:rFonts w:eastAsia="MS Mincho"/>
                <w:lang w:val="it-IT"/>
              </w:rPr>
              <w:t>Total as at 30</w:t>
            </w:r>
            <w:r w:rsidRPr="000A4433">
              <w:rPr>
                <w:lang w:val="it-IT"/>
              </w:rPr>
              <w:t xml:space="preserve"> </w:t>
            </w:r>
            <w:r w:rsidRPr="000A4433">
              <w:rPr>
                <w:rStyle w:val="Bold"/>
                <w:rFonts w:eastAsia="MS Mincho"/>
                <w:lang w:val="it-IT"/>
              </w:rPr>
              <w:t>June 2023</w:t>
            </w:r>
          </w:p>
        </w:tc>
        <w:tc>
          <w:tcPr>
            <w:tcW w:w="850"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10EE7EE8"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2,500 </w:t>
            </w:r>
          </w:p>
        </w:tc>
        <w:tc>
          <w:tcPr>
            <w:tcW w:w="1190"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28874D32"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814 </w:t>
            </w:r>
          </w:p>
        </w:tc>
        <w:tc>
          <w:tcPr>
            <w:tcW w:w="1191"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69A93281"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104 </w:t>
            </w:r>
          </w:p>
        </w:tc>
        <w:tc>
          <w:tcPr>
            <w:tcW w:w="1210"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1B0379AC"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964"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6F5F8A28"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187 </w:t>
            </w:r>
          </w:p>
        </w:tc>
        <w:tc>
          <w:tcPr>
            <w:tcW w:w="964"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3F441618"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694"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32107069"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3,605 </w:t>
            </w:r>
          </w:p>
        </w:tc>
      </w:tr>
      <w:tr w:rsidR="00F47023" w:rsidRPr="000A4433" w14:paraId="1BB385FD" w14:textId="77777777" w:rsidTr="000A4433">
        <w:trPr>
          <w:trHeight w:val="160"/>
        </w:trPr>
        <w:tc>
          <w:tcPr>
            <w:tcW w:w="10091" w:type="dxa"/>
            <w:gridSpan w:val="8"/>
            <w:tcBorders>
              <w:top w:val="single" w:sz="8" w:space="0" w:color="6D6E70"/>
              <w:left w:val="nil"/>
              <w:bottom w:val="single" w:sz="4" w:space="0" w:color="auto"/>
              <w:right w:val="nil"/>
            </w:tcBorders>
            <w:tcMar>
              <w:top w:w="113" w:type="dxa"/>
              <w:left w:w="0" w:type="dxa"/>
              <w:bottom w:w="113" w:type="dxa"/>
              <w:right w:w="113" w:type="dxa"/>
            </w:tcMar>
            <w:vAlign w:val="bottom"/>
          </w:tcPr>
          <w:p w14:paraId="30FAAC5F"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0A4433" w14:paraId="4E65702E" w14:textId="77777777" w:rsidTr="000A4433">
        <w:trPr>
          <w:trHeight w:val="240"/>
        </w:trPr>
        <w:tc>
          <w:tcPr>
            <w:tcW w:w="3028" w:type="dxa"/>
            <w:tcBorders>
              <w:top w:val="single" w:sz="4" w:space="0" w:color="auto"/>
              <w:left w:val="nil"/>
              <w:bottom w:val="single" w:sz="8" w:space="0" w:color="6D6E70"/>
              <w:right w:val="nil"/>
            </w:tcBorders>
            <w:shd w:val="clear" w:color="auto" w:fill="F2F2F2" w:themeFill="background1" w:themeFillShade="F2"/>
            <w:tcMar>
              <w:top w:w="113" w:type="dxa"/>
              <w:left w:w="0" w:type="dxa"/>
              <w:bottom w:w="113" w:type="dxa"/>
              <w:right w:w="113" w:type="dxa"/>
            </w:tcMar>
            <w:vAlign w:val="center"/>
          </w:tcPr>
          <w:p w14:paraId="51280DB5" w14:textId="77777777" w:rsidR="00F47023" w:rsidRPr="000A4433" w:rsidRDefault="00F47023" w:rsidP="000A4433">
            <w:pPr>
              <w:pStyle w:val="FSBodyText"/>
              <w:spacing w:after="0" w:line="240" w:lineRule="auto"/>
            </w:pPr>
            <w:r w:rsidRPr="000A4433">
              <w:rPr>
                <w:rStyle w:val="Bold"/>
                <w:rFonts w:eastAsia="MS Mincho"/>
              </w:rPr>
              <w:t xml:space="preserve">Carrying amount of </w:t>
            </w:r>
            <w:r w:rsidRPr="000A4433">
              <w:rPr>
                <w:rStyle w:val="Bold"/>
                <w:rFonts w:eastAsia="MS Mincho"/>
              </w:rPr>
              <w:br/>
              <w:t>right-of-use assets</w:t>
            </w:r>
          </w:p>
        </w:tc>
        <w:tc>
          <w:tcPr>
            <w:tcW w:w="850" w:type="dxa"/>
            <w:tcBorders>
              <w:top w:val="single" w:sz="4" w:space="0" w:color="auto"/>
              <w:left w:val="nil"/>
              <w:bottom w:val="single" w:sz="8" w:space="0" w:color="6D6E70"/>
              <w:right w:val="nil"/>
            </w:tcBorders>
            <w:shd w:val="clear" w:color="auto" w:fill="F2F2F2" w:themeFill="background1" w:themeFillShade="F2"/>
            <w:tcMar>
              <w:top w:w="113" w:type="dxa"/>
              <w:left w:w="0" w:type="dxa"/>
              <w:bottom w:w="113" w:type="dxa"/>
              <w:right w:w="113" w:type="dxa"/>
            </w:tcMar>
            <w:vAlign w:val="center"/>
          </w:tcPr>
          <w:p w14:paraId="08A2A795"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2,500 </w:t>
            </w:r>
          </w:p>
        </w:tc>
        <w:tc>
          <w:tcPr>
            <w:tcW w:w="1190" w:type="dxa"/>
            <w:tcBorders>
              <w:top w:val="single" w:sz="4" w:space="0" w:color="auto"/>
              <w:left w:val="nil"/>
              <w:bottom w:val="single" w:sz="8" w:space="0" w:color="6D6E70"/>
              <w:right w:val="nil"/>
            </w:tcBorders>
            <w:shd w:val="clear" w:color="auto" w:fill="F2F2F2" w:themeFill="background1" w:themeFillShade="F2"/>
            <w:tcMar>
              <w:top w:w="113" w:type="dxa"/>
              <w:left w:w="0" w:type="dxa"/>
              <w:bottom w:w="113" w:type="dxa"/>
              <w:right w:w="113" w:type="dxa"/>
            </w:tcMar>
            <w:vAlign w:val="center"/>
          </w:tcPr>
          <w:p w14:paraId="6303B5E6"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1191" w:type="dxa"/>
            <w:tcBorders>
              <w:top w:val="single" w:sz="4" w:space="0" w:color="auto"/>
              <w:left w:val="nil"/>
              <w:bottom w:val="single" w:sz="8" w:space="0" w:color="6D6E70"/>
              <w:right w:val="nil"/>
            </w:tcBorders>
            <w:shd w:val="clear" w:color="auto" w:fill="F2F2F2" w:themeFill="background1" w:themeFillShade="F2"/>
            <w:tcMar>
              <w:top w:w="113" w:type="dxa"/>
              <w:left w:w="0" w:type="dxa"/>
              <w:bottom w:w="113" w:type="dxa"/>
              <w:right w:w="113" w:type="dxa"/>
            </w:tcMar>
            <w:vAlign w:val="center"/>
          </w:tcPr>
          <w:p w14:paraId="2066304B" w14:textId="77777777" w:rsidR="00F47023" w:rsidRPr="000A4433" w:rsidRDefault="00F47023" w:rsidP="000A4433">
            <w:pPr>
              <w:pStyle w:val="FSBodyText"/>
              <w:spacing w:after="0" w:line="240" w:lineRule="auto"/>
              <w:jc w:val="right"/>
            </w:pPr>
            <w:r w:rsidRPr="000A4433">
              <w:rPr>
                <w:rStyle w:val="Bold"/>
                <w:rFonts w:eastAsia="MS Mincho"/>
              </w:rPr>
              <w:t>-</w:t>
            </w:r>
          </w:p>
        </w:tc>
        <w:tc>
          <w:tcPr>
            <w:tcW w:w="1210" w:type="dxa"/>
            <w:tcBorders>
              <w:top w:val="single" w:sz="4" w:space="0" w:color="auto"/>
              <w:left w:val="nil"/>
              <w:bottom w:val="single" w:sz="8" w:space="0" w:color="6D6E70"/>
              <w:right w:val="nil"/>
            </w:tcBorders>
            <w:shd w:val="clear" w:color="auto" w:fill="F2F2F2" w:themeFill="background1" w:themeFillShade="F2"/>
            <w:tcMar>
              <w:top w:w="113" w:type="dxa"/>
              <w:left w:w="0" w:type="dxa"/>
              <w:bottom w:w="113" w:type="dxa"/>
              <w:right w:w="113" w:type="dxa"/>
            </w:tcMar>
            <w:vAlign w:val="center"/>
          </w:tcPr>
          <w:p w14:paraId="0B576AC4"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964" w:type="dxa"/>
            <w:tcBorders>
              <w:top w:val="single" w:sz="4" w:space="0" w:color="auto"/>
              <w:left w:val="nil"/>
              <w:bottom w:val="single" w:sz="8" w:space="0" w:color="6D6E70"/>
              <w:right w:val="nil"/>
            </w:tcBorders>
            <w:shd w:val="clear" w:color="auto" w:fill="F2F2F2" w:themeFill="background1" w:themeFillShade="F2"/>
            <w:tcMar>
              <w:top w:w="113" w:type="dxa"/>
              <w:left w:w="0" w:type="dxa"/>
              <w:bottom w:w="113" w:type="dxa"/>
              <w:right w:w="113" w:type="dxa"/>
            </w:tcMar>
            <w:vAlign w:val="center"/>
          </w:tcPr>
          <w:p w14:paraId="33A7998D"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964" w:type="dxa"/>
            <w:tcBorders>
              <w:top w:val="single" w:sz="4" w:space="0" w:color="auto"/>
              <w:left w:val="nil"/>
              <w:bottom w:val="single" w:sz="8" w:space="0" w:color="6D6E70"/>
              <w:right w:val="nil"/>
            </w:tcBorders>
            <w:shd w:val="clear" w:color="auto" w:fill="F2F2F2" w:themeFill="background1" w:themeFillShade="F2"/>
            <w:tcMar>
              <w:top w:w="113" w:type="dxa"/>
              <w:left w:w="0" w:type="dxa"/>
              <w:bottom w:w="113" w:type="dxa"/>
              <w:right w:w="113" w:type="dxa"/>
            </w:tcMar>
            <w:vAlign w:val="center"/>
          </w:tcPr>
          <w:p w14:paraId="3FBA807A"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694" w:type="dxa"/>
            <w:tcBorders>
              <w:top w:val="single" w:sz="4" w:space="0" w:color="auto"/>
              <w:left w:val="nil"/>
              <w:bottom w:val="single" w:sz="8" w:space="0" w:color="6D6E70"/>
              <w:right w:val="nil"/>
            </w:tcBorders>
            <w:shd w:val="clear" w:color="auto" w:fill="F2F2F2" w:themeFill="background1" w:themeFillShade="F2"/>
            <w:tcMar>
              <w:top w:w="113" w:type="dxa"/>
              <w:left w:w="0" w:type="dxa"/>
              <w:bottom w:w="113" w:type="dxa"/>
              <w:right w:w="113" w:type="dxa"/>
            </w:tcMar>
            <w:vAlign w:val="center"/>
          </w:tcPr>
          <w:p w14:paraId="70DFA262"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2,500 </w:t>
            </w:r>
          </w:p>
        </w:tc>
      </w:tr>
      <w:tr w:rsidR="00F47023" w:rsidRPr="00F47023" w14:paraId="5EEE3EE1" w14:textId="77777777">
        <w:trPr>
          <w:trHeight w:val="260"/>
        </w:trPr>
        <w:tc>
          <w:tcPr>
            <w:tcW w:w="10091" w:type="dxa"/>
            <w:gridSpan w:val="8"/>
            <w:tcBorders>
              <w:top w:val="single" w:sz="8" w:space="0" w:color="6D6E70"/>
              <w:left w:val="nil"/>
              <w:bottom w:val="nil"/>
              <w:right w:val="nil"/>
            </w:tcBorders>
            <w:tcMar>
              <w:top w:w="340" w:type="dxa"/>
              <w:left w:w="0" w:type="dxa"/>
              <w:bottom w:w="57" w:type="dxa"/>
              <w:right w:w="113" w:type="dxa"/>
            </w:tcMar>
            <w:vAlign w:val="bottom"/>
          </w:tcPr>
          <w:p w14:paraId="248D61D0" w14:textId="77777777" w:rsidR="00F47023" w:rsidRDefault="00F47023">
            <w:pPr>
              <w:pStyle w:val="FSBodyText"/>
            </w:pPr>
            <w:r>
              <w:t>No indicators of impairment were found for infrastructure, plant and equipment and intangibles.</w:t>
            </w:r>
          </w:p>
        </w:tc>
      </w:tr>
      <w:tr w:rsidR="00F47023" w:rsidRPr="00F47023" w14:paraId="14D849E3" w14:textId="77777777">
        <w:trPr>
          <w:trHeight w:val="260"/>
        </w:trPr>
        <w:tc>
          <w:tcPr>
            <w:tcW w:w="10091" w:type="dxa"/>
            <w:gridSpan w:val="8"/>
            <w:tcBorders>
              <w:top w:val="nil"/>
              <w:left w:val="nil"/>
              <w:bottom w:val="nil"/>
              <w:right w:val="nil"/>
            </w:tcBorders>
            <w:tcMar>
              <w:top w:w="28" w:type="dxa"/>
              <w:left w:w="0" w:type="dxa"/>
              <w:bottom w:w="57" w:type="dxa"/>
              <w:right w:w="113" w:type="dxa"/>
            </w:tcMar>
            <w:vAlign w:val="bottom"/>
          </w:tcPr>
          <w:p w14:paraId="74EF212A" w14:textId="77777777" w:rsidR="00F47023" w:rsidRDefault="00F47023">
            <w:pPr>
              <w:pStyle w:val="FSBodyText"/>
            </w:pPr>
            <w:r>
              <w:t>No infrastructure, plant and equipment and intangibles are expected to be sold or disposed of within the next 12 months.</w:t>
            </w:r>
          </w:p>
        </w:tc>
      </w:tr>
      <w:tr w:rsidR="00F47023" w14:paraId="36EEC9C2" w14:textId="77777777">
        <w:trPr>
          <w:trHeight w:val="979"/>
        </w:trPr>
        <w:tc>
          <w:tcPr>
            <w:tcW w:w="10091" w:type="dxa"/>
            <w:gridSpan w:val="8"/>
            <w:tcBorders>
              <w:top w:val="nil"/>
              <w:left w:val="nil"/>
              <w:bottom w:val="nil"/>
              <w:right w:val="nil"/>
            </w:tcBorders>
            <w:tcMar>
              <w:top w:w="283" w:type="dxa"/>
              <w:left w:w="0" w:type="dxa"/>
              <w:bottom w:w="57" w:type="dxa"/>
              <w:right w:w="113" w:type="dxa"/>
            </w:tcMar>
            <w:vAlign w:val="bottom"/>
          </w:tcPr>
          <w:p w14:paraId="48974615" w14:textId="77777777" w:rsidR="00F47023" w:rsidRDefault="00F47023">
            <w:pPr>
              <w:pStyle w:val="FSBodyText"/>
              <w:rPr>
                <w:rStyle w:val="Bold"/>
                <w:rFonts w:eastAsia="MS Mincho"/>
              </w:rPr>
            </w:pPr>
            <w:r>
              <w:rPr>
                <w:rStyle w:val="Bold"/>
                <w:rFonts w:eastAsia="MS Mincho"/>
              </w:rPr>
              <w:t>Revaluations of non-financial assets</w:t>
            </w:r>
          </w:p>
          <w:p w14:paraId="6E686B71" w14:textId="77777777" w:rsidR="00F47023" w:rsidRDefault="00F47023">
            <w:pPr>
              <w:pStyle w:val="FSBodyText"/>
            </w:pPr>
            <w:r>
              <w:t>All revaluations were conducted in accordance with the revaluation policy stated at Note 2.2. On 30 June 2023, an independent valuer conducted the revaluations. The independent valuation was not materially different to the carrying value of assets, therefore no adjustments were made to carrying value. Assets are being held at the lower value.</w:t>
            </w:r>
          </w:p>
        </w:tc>
      </w:tr>
    </w:tbl>
    <w:p w14:paraId="0480C5D6" w14:textId="77777777" w:rsidR="00F47023" w:rsidRDefault="00F47023" w:rsidP="00F47023">
      <w:pPr>
        <w:pStyle w:val="FSBodyText"/>
        <w:rPr>
          <w:rStyle w:val="Bold"/>
          <w:rFonts w:eastAsia="MS Mincho"/>
        </w:rPr>
      </w:pPr>
      <w:r>
        <w:rPr>
          <w:rStyle w:val="Bold"/>
          <w:rFonts w:eastAsia="MS Mincho"/>
        </w:rPr>
        <w:t>Accounting Policy</w:t>
      </w:r>
    </w:p>
    <w:p w14:paraId="5B324475" w14:textId="77777777" w:rsidR="00F47023" w:rsidRDefault="00F47023" w:rsidP="00F47023">
      <w:pPr>
        <w:pStyle w:val="FSBodyText"/>
      </w:pPr>
      <w:r>
        <w:t xml:space="preserve">Assets are recorded at cost on acquisition except as stated below. The cost of acquisition includes the fair value of assets transferred in exchange and liabilities undertaken. Financial assets are initially measured at their fair value plus transaction costs where appropriate. </w:t>
      </w:r>
    </w:p>
    <w:p w14:paraId="327932AB" w14:textId="77777777" w:rsidR="00F47023" w:rsidRDefault="00F47023" w:rsidP="00F47023">
      <w:pPr>
        <w:pStyle w:val="FSBodyText"/>
      </w:pPr>
      <w:r>
        <w:t>Assets acquired at no cost, or for nominal consideration, are initially recognised as assets and income at their fair value at the date of acquisition, unless acquired as a consequence of restructuring of administrative arrangements. In the latter case, assets are initially recognised as contributions by owners at the amounts at which they were recognised in the transferor’s accounts immediately prior to the restructuring.</w:t>
      </w:r>
    </w:p>
    <w:p w14:paraId="6E998EC1" w14:textId="77777777" w:rsidR="00F47023" w:rsidRDefault="00F47023" w:rsidP="00F47023">
      <w:pPr>
        <w:pStyle w:val="FSBodyText"/>
        <w:spacing w:before="57"/>
        <w:rPr>
          <w:rStyle w:val="Italic"/>
        </w:rPr>
      </w:pPr>
      <w:r>
        <w:rPr>
          <w:rStyle w:val="Italic"/>
        </w:rPr>
        <w:t>Asset Recognition Threshold</w:t>
      </w:r>
    </w:p>
    <w:p w14:paraId="14066AA4" w14:textId="77777777" w:rsidR="00F47023" w:rsidRDefault="00F47023" w:rsidP="00F47023">
      <w:pPr>
        <w:pStyle w:val="FSBodyText"/>
      </w:pPr>
      <w:r>
        <w:t>Purchases of property, plant and equipment are recognised initially at cost in the statement of financial position, except for purchases costing less than $5,000, which are expensed in the year of acquisition (other than where they form part of a group of similar items which are significant in total).</w:t>
      </w:r>
    </w:p>
    <w:p w14:paraId="5535D80A" w14:textId="369A180C" w:rsidR="00F47023" w:rsidRDefault="00F47023" w:rsidP="00F47023">
      <w:pPr>
        <w:pStyle w:val="FSBodyText"/>
      </w:pPr>
      <w:r>
        <w:t>The initial cost of an asset includes an estimate of the cost of dismantling and removing the item and restoring the site on which it is located. This is particularly relevant to ‘make good’ provisions in property leases taken up by the entity where there exists an obligation to restore the property to its original condition. These costs are included in the value of the Commission’s leasehold improvements with a corresponding provision for the ‘make good’ recognise</w:t>
      </w:r>
      <w:r w:rsidR="00F848D1">
        <w:t>d</w:t>
      </w:r>
      <w:r>
        <w:t>.</w:t>
      </w:r>
    </w:p>
    <w:p w14:paraId="0DADD5E5" w14:textId="77777777" w:rsidR="00F47023" w:rsidRDefault="00F47023" w:rsidP="00F47023">
      <w:pPr>
        <w:pStyle w:val="FSBodyText"/>
        <w:spacing w:before="57"/>
        <w:rPr>
          <w:rStyle w:val="Italic"/>
        </w:rPr>
      </w:pPr>
      <w:r>
        <w:rPr>
          <w:rStyle w:val="Italic"/>
        </w:rPr>
        <w:t>Lease Right of Use (ROU) Assets</w:t>
      </w:r>
    </w:p>
    <w:p w14:paraId="60F378FF" w14:textId="77777777" w:rsidR="00F47023" w:rsidRDefault="00F47023" w:rsidP="00F47023">
      <w:pPr>
        <w:pStyle w:val="FSBodyText"/>
      </w:pPr>
      <w:r>
        <w:t>Leased ROU assets are capitalised at the commencement date of the lease and comprise of the initial lease liability amount, initial direct costs incurred when entering into the lease less any lease incentives received. These assets are accounted for by Commonwealth lessees as separate asset classes to corresponding assets owned outright, but included in the same column as where the corresponding underlying assets would be presented if they were owned.</w:t>
      </w:r>
    </w:p>
    <w:p w14:paraId="7775C16C" w14:textId="77777777" w:rsidR="00F47023" w:rsidRDefault="00F47023" w:rsidP="00F47023">
      <w:pPr>
        <w:pStyle w:val="FSBodyText"/>
      </w:pPr>
      <w:r>
        <w:t>On initial adoption of AASB 16 the Commission has adjusted the ROU assets at the date of initial application by the amount of any provision for onerous leases recognised immediately before the date of initial application. Following initial application, an impairment review is undertaken for any right of use lease asset that shows indicators of impairment and an impairment loss is recognised against any right of use lease asset that is impaired. Lease ROU assets continue to be measured at cost after initial recognition in Commonwealth agency, General Government Sector (GGS) and Whole of Government financial statements.</w:t>
      </w:r>
    </w:p>
    <w:p w14:paraId="7B8A56EC" w14:textId="77777777" w:rsidR="00F47023" w:rsidRDefault="00F47023" w:rsidP="00F47023">
      <w:pPr>
        <w:pStyle w:val="FSBodyText"/>
        <w:spacing w:before="57"/>
      </w:pPr>
      <w:r>
        <w:rPr>
          <w:rStyle w:val="Italic"/>
        </w:rPr>
        <w:t>Revaluations</w:t>
      </w:r>
    </w:p>
    <w:p w14:paraId="0535A455" w14:textId="77777777" w:rsidR="00F47023" w:rsidRDefault="00F47023" w:rsidP="00F47023">
      <w:pPr>
        <w:pStyle w:val="FSBodyText"/>
      </w:pPr>
      <w:r>
        <w:t>Following initial recognition at cost, property, plant and equipment (excluding ROU assets) are carried at fair value (or an amount not materially different from fair value) less subsequent accumulated depreciation and accumulated impairment losses. Valuations are conducted with sufficient frequency to ensure that the carrying amounts of assets did not differ materially from the assets’ fair values as at the reporting date. The regularity of independent valuations depended upon the volatility of movements in market values for the relevant assets.</w:t>
      </w:r>
    </w:p>
    <w:p w14:paraId="75EE0972" w14:textId="4EF555EE" w:rsidR="00F47023" w:rsidRDefault="00F47023" w:rsidP="00F47023">
      <w:pPr>
        <w:pStyle w:val="FSBodyText"/>
      </w:pPr>
      <w:r>
        <w:t>Revaluation adjustments are made on a class basis. Any revaluation increment is credited to equity under the heading of asset revaluation reserve except to the extent that it reversed a previous revaluation decrement of the same asset class that was previously recognised in the surplus/deficit.</w:t>
      </w:r>
    </w:p>
    <w:p w14:paraId="47ED5FF0" w14:textId="77777777" w:rsidR="00F47023" w:rsidRDefault="00F47023" w:rsidP="00F47023">
      <w:pPr>
        <w:pStyle w:val="FSBodyText"/>
      </w:pPr>
      <w:r>
        <w:t>Revaluation decrements for a class of assets are recognised directly in the surplus/deficit except to the extent that they reversed a previous revaluation increment for that class.</w:t>
      </w:r>
    </w:p>
    <w:p w14:paraId="788647E3" w14:textId="77777777" w:rsidR="00F47023" w:rsidRDefault="00F47023" w:rsidP="00F47023">
      <w:pPr>
        <w:pStyle w:val="FSBodyText"/>
      </w:pPr>
      <w:r>
        <w:t>Any accumulated depreciation as at the revaluation date is eliminated against the gross carrying amount of the asset and the asset restated to the revalued amount.</w:t>
      </w:r>
    </w:p>
    <w:p w14:paraId="5280B72A" w14:textId="77777777" w:rsidR="00F47023" w:rsidRDefault="00F47023" w:rsidP="00F47023">
      <w:pPr>
        <w:pStyle w:val="FSBodyText"/>
        <w:spacing w:before="57"/>
      </w:pPr>
      <w:r>
        <w:rPr>
          <w:rStyle w:val="Italic"/>
        </w:rPr>
        <w:t>Depreciation</w:t>
      </w:r>
    </w:p>
    <w:p w14:paraId="2EFFAF15" w14:textId="77777777" w:rsidR="00F47023" w:rsidRDefault="00F47023" w:rsidP="00F47023">
      <w:pPr>
        <w:pStyle w:val="FSBodyText"/>
      </w:pPr>
      <w:r>
        <w:t>Depreciable property, plant and equipment assets are written-off to their estimated residual values over their estimated useful lives to the Commission using, in all cases, the straight-line method of depreciation.</w:t>
      </w:r>
    </w:p>
    <w:p w14:paraId="21EC96E4" w14:textId="77777777" w:rsidR="00F47023" w:rsidRDefault="00F47023" w:rsidP="00F47023">
      <w:pPr>
        <w:pStyle w:val="FSBodyText"/>
      </w:pPr>
      <w:r>
        <w:t>Depreciation rates (useful lives), residual values and methods are reviewed at each reporting date and necessary adjustments are recognised in the current, or current and future reporting periods, as appropriate.</w:t>
      </w:r>
    </w:p>
    <w:p w14:paraId="0C656FA4" w14:textId="77777777" w:rsidR="00F47023" w:rsidRDefault="00F47023" w:rsidP="00F47023">
      <w:pPr>
        <w:pStyle w:val="FSBodyText"/>
      </w:pPr>
      <w:r>
        <w:t>Depreciation rates applying to each class of depreciable asset are based on the following useful lives:</w:t>
      </w:r>
    </w:p>
    <w:p w14:paraId="6757753C" w14:textId="77777777" w:rsidR="000A4433" w:rsidRDefault="000A4433" w:rsidP="00F47023">
      <w:pPr>
        <w:pStyle w:val="FSBodyText"/>
      </w:pPr>
    </w:p>
    <w:tbl>
      <w:tblPr>
        <w:tblW w:w="0" w:type="auto"/>
        <w:tblInd w:w="-8" w:type="dxa"/>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7257"/>
        <w:gridCol w:w="1417"/>
        <w:gridCol w:w="1417"/>
      </w:tblGrid>
      <w:tr w:rsidR="00F47023" w:rsidRPr="000A4433" w14:paraId="36111994" w14:textId="77777777" w:rsidTr="000A4433">
        <w:trPr>
          <w:trHeight w:val="60"/>
        </w:trPr>
        <w:tc>
          <w:tcPr>
            <w:tcW w:w="7257" w:type="dxa"/>
            <w:shd w:val="clear" w:color="auto" w:fill="F2F2F2" w:themeFill="background1" w:themeFillShade="F2"/>
            <w:tcMar>
              <w:top w:w="85" w:type="dxa"/>
              <w:left w:w="113" w:type="dxa"/>
              <w:bottom w:w="113" w:type="dxa"/>
              <w:right w:w="113" w:type="dxa"/>
            </w:tcMar>
            <w:vAlign w:val="bottom"/>
          </w:tcPr>
          <w:p w14:paraId="2A788CA5" w14:textId="77777777" w:rsidR="00F47023" w:rsidRPr="000A4433" w:rsidRDefault="00F47023">
            <w:pPr>
              <w:pStyle w:val="Nessunostileparagrafo"/>
              <w:spacing w:line="240" w:lineRule="auto"/>
              <w:textAlignment w:val="auto"/>
              <w:rPr>
                <w:rFonts w:ascii="Open Sans Semibold" w:hAnsi="Open Sans Semibold" w:cs="Times New Roman"/>
                <w:color w:val="auto"/>
                <w:sz w:val="20"/>
                <w:szCs w:val="20"/>
              </w:rPr>
            </w:pPr>
          </w:p>
        </w:tc>
        <w:tc>
          <w:tcPr>
            <w:tcW w:w="1417" w:type="dxa"/>
            <w:shd w:val="clear" w:color="auto" w:fill="F2F2F2" w:themeFill="background1" w:themeFillShade="F2"/>
            <w:tcMar>
              <w:top w:w="85" w:type="dxa"/>
              <w:left w:w="113" w:type="dxa"/>
              <w:bottom w:w="113" w:type="dxa"/>
              <w:right w:w="113" w:type="dxa"/>
            </w:tcMar>
            <w:vAlign w:val="bottom"/>
          </w:tcPr>
          <w:p w14:paraId="6DB853E8" w14:textId="77777777" w:rsidR="00F47023" w:rsidRPr="000A4433" w:rsidRDefault="00F47023">
            <w:pPr>
              <w:pStyle w:val="FSHeaderRow"/>
              <w:rPr>
                <w:sz w:val="20"/>
                <w:szCs w:val="20"/>
              </w:rPr>
            </w:pPr>
            <w:r w:rsidRPr="000A4433">
              <w:rPr>
                <w:sz w:val="20"/>
                <w:szCs w:val="20"/>
              </w:rPr>
              <w:t>2023</w:t>
            </w:r>
          </w:p>
        </w:tc>
        <w:tc>
          <w:tcPr>
            <w:tcW w:w="1417" w:type="dxa"/>
            <w:shd w:val="clear" w:color="auto" w:fill="F2F2F2" w:themeFill="background1" w:themeFillShade="F2"/>
            <w:tcMar>
              <w:top w:w="85" w:type="dxa"/>
              <w:left w:w="113" w:type="dxa"/>
              <w:bottom w:w="113" w:type="dxa"/>
              <w:right w:w="113" w:type="dxa"/>
            </w:tcMar>
            <w:vAlign w:val="bottom"/>
          </w:tcPr>
          <w:p w14:paraId="5377CD70" w14:textId="77777777" w:rsidR="00F47023" w:rsidRPr="000A4433" w:rsidRDefault="00F47023">
            <w:pPr>
              <w:pStyle w:val="FSHeaderRow"/>
              <w:rPr>
                <w:sz w:val="20"/>
                <w:szCs w:val="20"/>
              </w:rPr>
            </w:pPr>
            <w:r w:rsidRPr="000A4433">
              <w:rPr>
                <w:rStyle w:val="FSUnboldCond"/>
                <w:b w:val="0"/>
                <w:bCs w:val="0"/>
                <w:sz w:val="20"/>
                <w:szCs w:val="20"/>
              </w:rPr>
              <w:t>2022</w:t>
            </w:r>
          </w:p>
        </w:tc>
      </w:tr>
      <w:tr w:rsidR="00F47023" w14:paraId="56693951" w14:textId="77777777" w:rsidTr="000A4433">
        <w:trPr>
          <w:trHeight w:val="60"/>
        </w:trPr>
        <w:tc>
          <w:tcPr>
            <w:tcW w:w="7257" w:type="dxa"/>
            <w:tcMar>
              <w:top w:w="113" w:type="dxa"/>
              <w:left w:w="0" w:type="dxa"/>
              <w:bottom w:w="57" w:type="dxa"/>
              <w:right w:w="113" w:type="dxa"/>
            </w:tcMar>
            <w:vAlign w:val="bottom"/>
          </w:tcPr>
          <w:p w14:paraId="490F1F14" w14:textId="77777777" w:rsidR="00F47023" w:rsidRDefault="00F47023" w:rsidP="000A4433">
            <w:pPr>
              <w:pStyle w:val="FSBodyText"/>
              <w:spacing w:after="0" w:line="240" w:lineRule="auto"/>
            </w:pPr>
            <w:r>
              <w:t>Leasehold improvements</w:t>
            </w:r>
          </w:p>
        </w:tc>
        <w:tc>
          <w:tcPr>
            <w:tcW w:w="1417" w:type="dxa"/>
            <w:tcMar>
              <w:top w:w="113" w:type="dxa"/>
              <w:left w:w="0" w:type="dxa"/>
              <w:bottom w:w="57" w:type="dxa"/>
              <w:right w:w="113" w:type="dxa"/>
            </w:tcMar>
            <w:vAlign w:val="bottom"/>
          </w:tcPr>
          <w:p w14:paraId="642813B6" w14:textId="77777777" w:rsidR="00F47023" w:rsidRDefault="00F47023" w:rsidP="000A4433">
            <w:pPr>
              <w:pStyle w:val="FSBodyText"/>
              <w:spacing w:after="0" w:line="240" w:lineRule="auto"/>
              <w:jc w:val="right"/>
            </w:pPr>
            <w:r>
              <w:t>Lease term</w:t>
            </w:r>
          </w:p>
        </w:tc>
        <w:tc>
          <w:tcPr>
            <w:tcW w:w="1417" w:type="dxa"/>
            <w:tcMar>
              <w:top w:w="113" w:type="dxa"/>
              <w:left w:w="0" w:type="dxa"/>
              <w:bottom w:w="57" w:type="dxa"/>
              <w:right w:w="113" w:type="dxa"/>
            </w:tcMar>
            <w:vAlign w:val="bottom"/>
          </w:tcPr>
          <w:p w14:paraId="708917F6" w14:textId="77777777" w:rsidR="00F47023" w:rsidRDefault="00F47023" w:rsidP="000A4433">
            <w:pPr>
              <w:pStyle w:val="FSBodyText"/>
              <w:spacing w:after="0" w:line="240" w:lineRule="auto"/>
              <w:jc w:val="right"/>
            </w:pPr>
            <w:r>
              <w:t>Lease term</w:t>
            </w:r>
          </w:p>
        </w:tc>
      </w:tr>
      <w:tr w:rsidR="00F47023" w14:paraId="52D2F5C9" w14:textId="77777777" w:rsidTr="000A4433">
        <w:trPr>
          <w:trHeight w:val="60"/>
        </w:trPr>
        <w:tc>
          <w:tcPr>
            <w:tcW w:w="7257" w:type="dxa"/>
            <w:tcMar>
              <w:top w:w="113" w:type="dxa"/>
              <w:left w:w="0" w:type="dxa"/>
              <w:bottom w:w="113" w:type="dxa"/>
              <w:right w:w="113" w:type="dxa"/>
            </w:tcMar>
            <w:vAlign w:val="bottom"/>
          </w:tcPr>
          <w:p w14:paraId="1DC8C97F" w14:textId="77777777" w:rsidR="00F47023" w:rsidRDefault="00F47023" w:rsidP="000A4433">
            <w:pPr>
              <w:pStyle w:val="FSBodyText"/>
              <w:spacing w:after="0" w:line="240" w:lineRule="auto"/>
            </w:pPr>
            <w:r>
              <w:t>Plant and equipment</w:t>
            </w:r>
          </w:p>
        </w:tc>
        <w:tc>
          <w:tcPr>
            <w:tcW w:w="1417" w:type="dxa"/>
            <w:tcMar>
              <w:top w:w="113" w:type="dxa"/>
              <w:left w:w="0" w:type="dxa"/>
              <w:bottom w:w="113" w:type="dxa"/>
              <w:right w:w="113" w:type="dxa"/>
            </w:tcMar>
            <w:vAlign w:val="bottom"/>
          </w:tcPr>
          <w:p w14:paraId="3AE6C449" w14:textId="77777777" w:rsidR="00F47023" w:rsidRDefault="00F47023" w:rsidP="000A4433">
            <w:pPr>
              <w:pStyle w:val="FSBodyText"/>
              <w:spacing w:after="0" w:line="240" w:lineRule="auto"/>
              <w:jc w:val="right"/>
            </w:pPr>
            <w:r>
              <w:t>4 to 10 years</w:t>
            </w:r>
          </w:p>
        </w:tc>
        <w:tc>
          <w:tcPr>
            <w:tcW w:w="1417" w:type="dxa"/>
            <w:tcMar>
              <w:top w:w="113" w:type="dxa"/>
              <w:left w:w="0" w:type="dxa"/>
              <w:bottom w:w="113" w:type="dxa"/>
              <w:right w:w="113" w:type="dxa"/>
            </w:tcMar>
            <w:vAlign w:val="bottom"/>
          </w:tcPr>
          <w:p w14:paraId="4204F25F" w14:textId="77777777" w:rsidR="00F47023" w:rsidRDefault="00F47023" w:rsidP="000A4433">
            <w:pPr>
              <w:pStyle w:val="FSBodyText"/>
              <w:spacing w:after="0" w:line="240" w:lineRule="auto"/>
              <w:jc w:val="right"/>
            </w:pPr>
            <w:r>
              <w:t>4 to 10 years</w:t>
            </w:r>
          </w:p>
        </w:tc>
      </w:tr>
    </w:tbl>
    <w:p w14:paraId="022C009B" w14:textId="77777777" w:rsidR="00F47023" w:rsidRDefault="00F47023" w:rsidP="00F47023">
      <w:pPr>
        <w:pStyle w:val="FSBodyText"/>
      </w:pPr>
    </w:p>
    <w:p w14:paraId="6D1FF2F4" w14:textId="77777777" w:rsidR="00F47023" w:rsidRDefault="00F47023" w:rsidP="00F47023">
      <w:pPr>
        <w:pStyle w:val="FSBodyText"/>
      </w:pPr>
      <w:r>
        <w:t>The depreciation rates for ROU assets are based on the commencement date to the earlier of the end of the useful life of the ROU asset or the end of the lease term.</w:t>
      </w:r>
    </w:p>
    <w:p w14:paraId="31D7922B" w14:textId="77777777" w:rsidR="000A4433" w:rsidRDefault="000A4433" w:rsidP="00F47023">
      <w:pPr>
        <w:pStyle w:val="FSBodyText"/>
      </w:pPr>
    </w:p>
    <w:p w14:paraId="25654627" w14:textId="77777777" w:rsidR="00F47023" w:rsidRDefault="00F47023" w:rsidP="00F47023">
      <w:pPr>
        <w:pStyle w:val="FSBodyText"/>
        <w:rPr>
          <w:rStyle w:val="Italic"/>
          <w:u w:val="thick"/>
        </w:rPr>
      </w:pPr>
      <w:r>
        <w:rPr>
          <w:rStyle w:val="Italic"/>
        </w:rPr>
        <w:t>Impairment</w:t>
      </w:r>
    </w:p>
    <w:p w14:paraId="3940FEE4" w14:textId="77777777" w:rsidR="00F47023" w:rsidRDefault="00F47023" w:rsidP="00F47023">
      <w:pPr>
        <w:pStyle w:val="FSBodyText"/>
      </w:pPr>
      <w:r>
        <w:t>All assets were assessed for impairment at 30 June 2023. Where indications of impairment exist, the asset’s recoverable amount is estimated and an impairment adjustment made if the asset’s recoverable amount is less than its carrying amount.</w:t>
      </w:r>
    </w:p>
    <w:p w14:paraId="0D7F3790" w14:textId="70C4F4EF" w:rsidR="00F47023" w:rsidRDefault="00F47023" w:rsidP="00F47023">
      <w:pPr>
        <w:pStyle w:val="FSBodyText"/>
      </w:pPr>
      <w:r>
        <w:t>The recoverable amount of an asset is the higher of its fair value less costs of disposal and its value in use. Value in use is the present value of the future cash flows expected to be derived from the asset. Where the future economic benefit of an asset is not primarily dependent on the asset’s ability to generate future cash flows, and the asset would be replaced if the entity were deprived of the asset, its value in use is taken to be its depreciated replacement cost</w:t>
      </w:r>
      <w:r w:rsidR="00E8256E">
        <w:t>.</w:t>
      </w:r>
    </w:p>
    <w:p w14:paraId="648354C5" w14:textId="77777777" w:rsidR="00F47023" w:rsidRDefault="00F47023" w:rsidP="00F47023">
      <w:pPr>
        <w:pStyle w:val="FSBodyText"/>
        <w:spacing w:before="57"/>
        <w:rPr>
          <w:rStyle w:val="Italic"/>
        </w:rPr>
      </w:pPr>
      <w:r>
        <w:rPr>
          <w:rStyle w:val="Italic"/>
        </w:rPr>
        <w:t>Derecognition</w:t>
      </w:r>
    </w:p>
    <w:p w14:paraId="1D57F205" w14:textId="77777777" w:rsidR="00F47023" w:rsidRDefault="00F47023" w:rsidP="00F47023">
      <w:pPr>
        <w:pStyle w:val="FSBodyText"/>
      </w:pPr>
      <w:r>
        <w:t>An item of property, plant and equipment is derecognised upon disposal or when no further future economic benefits are expected from its use or disposal.</w:t>
      </w:r>
    </w:p>
    <w:p w14:paraId="51EC653C" w14:textId="77777777" w:rsidR="00F47023" w:rsidRDefault="00F47023" w:rsidP="00F47023">
      <w:pPr>
        <w:pStyle w:val="FSBodyText"/>
        <w:spacing w:before="57"/>
        <w:rPr>
          <w:rStyle w:val="Italic"/>
        </w:rPr>
      </w:pPr>
      <w:r>
        <w:rPr>
          <w:rStyle w:val="Italic"/>
        </w:rPr>
        <w:t>Intangibles</w:t>
      </w:r>
    </w:p>
    <w:p w14:paraId="74F48A35" w14:textId="77777777" w:rsidR="00F47023" w:rsidRDefault="00F47023" w:rsidP="00F47023">
      <w:pPr>
        <w:pStyle w:val="FSBodyText"/>
      </w:pPr>
      <w:r>
        <w:t>The Commission’s intangibles comprise internally developed software for internal use. These assets are carried at cost less accumulated amortisation and accumulated impairment losses.</w:t>
      </w:r>
    </w:p>
    <w:p w14:paraId="6467042B" w14:textId="77777777" w:rsidR="00F47023" w:rsidRDefault="00F47023" w:rsidP="00F47023">
      <w:pPr>
        <w:pStyle w:val="FSBodyText"/>
      </w:pPr>
      <w:r>
        <w:t>Software is amortised on a straight-line basis over its anticipated useful life. The useful lives of the Commission’s software are 2 to 5 years (2022: 2 to 5 years).</w:t>
      </w:r>
    </w:p>
    <w:p w14:paraId="5F17DBA2" w14:textId="77777777" w:rsidR="00F47023" w:rsidRDefault="00F47023" w:rsidP="00F47023">
      <w:pPr>
        <w:pStyle w:val="FSBodyText"/>
      </w:pPr>
      <w:r>
        <w:t>All software assets were assessed for indications of impairment as at 30 June 2023, and no indicators were noted.</w:t>
      </w:r>
    </w:p>
    <w:p w14:paraId="045FCC47" w14:textId="77777777" w:rsidR="000A4433" w:rsidRDefault="000A4433" w:rsidP="00F47023">
      <w:pPr>
        <w:pStyle w:val="FSBodyText"/>
      </w:pPr>
    </w:p>
    <w:p w14:paraId="45C21613" w14:textId="41D5BA68" w:rsidR="000A4433" w:rsidRDefault="000A4433">
      <w:pPr>
        <w:spacing w:before="0" w:after="0" w:line="240" w:lineRule="auto"/>
        <w:rPr>
          <w:rFonts w:cs="Open Sans"/>
          <w:color w:val="000000"/>
          <w:sz w:val="16"/>
          <w:szCs w:val="16"/>
          <w:lang w:val="en-US"/>
        </w:rPr>
      </w:pPr>
      <w:r>
        <w:br w:type="page"/>
      </w:r>
    </w:p>
    <w:p w14:paraId="3151B2EA" w14:textId="77777777" w:rsidR="00F47023" w:rsidRDefault="00F47023" w:rsidP="00F47023">
      <w:pPr>
        <w:pStyle w:val="FSBodyText"/>
        <w:spacing w:before="57"/>
        <w:rPr>
          <w:rStyle w:val="Bold"/>
          <w:rFonts w:eastAsia="MS Mincho"/>
        </w:rPr>
      </w:pPr>
      <w:r>
        <w:rPr>
          <w:rStyle w:val="Bold"/>
          <w:rFonts w:eastAsia="MS Mincho"/>
        </w:rPr>
        <w:t>Accounting Judgements and Estimates</w:t>
      </w:r>
    </w:p>
    <w:p w14:paraId="2649856A" w14:textId="77777777" w:rsidR="00F47023" w:rsidRDefault="00F47023" w:rsidP="00F47023">
      <w:pPr>
        <w:pStyle w:val="FSBodyText"/>
        <w:spacing w:after="283"/>
      </w:pPr>
      <w:r>
        <w:t>The fair value of infrastructure, plant and equipment has been taken to be the market value of similar assets as determined by an independent valuer.</w:t>
      </w:r>
    </w:p>
    <w:tbl>
      <w:tblPr>
        <w:tblW w:w="0" w:type="auto"/>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5783"/>
        <w:gridCol w:w="1480"/>
        <w:gridCol w:w="1417"/>
        <w:gridCol w:w="1417"/>
      </w:tblGrid>
      <w:tr w:rsidR="000A4433" w:rsidRPr="000A4433" w14:paraId="006C0B6C" w14:textId="77777777" w:rsidTr="000A4433">
        <w:trPr>
          <w:trHeight w:val="240"/>
          <w:tblHeader/>
        </w:trPr>
        <w:tc>
          <w:tcPr>
            <w:tcW w:w="5783" w:type="dxa"/>
            <w:shd w:val="clear" w:color="auto" w:fill="1CBDC9"/>
            <w:tcMar>
              <w:top w:w="85" w:type="dxa"/>
              <w:left w:w="113" w:type="dxa"/>
              <w:bottom w:w="113" w:type="dxa"/>
              <w:right w:w="113" w:type="dxa"/>
            </w:tcMar>
            <w:vAlign w:val="bottom"/>
          </w:tcPr>
          <w:p w14:paraId="6D8FF524" w14:textId="77777777" w:rsidR="00F47023" w:rsidRPr="000A4433" w:rsidRDefault="00F47023">
            <w:pPr>
              <w:pStyle w:val="Nessunostileparagrafo"/>
              <w:spacing w:line="240" w:lineRule="auto"/>
              <w:textAlignment w:val="auto"/>
              <w:rPr>
                <w:rFonts w:ascii="Open Sans Semibold" w:hAnsi="Open Sans Semibold" w:cs="Times New Roman"/>
                <w:color w:val="FFFFFF" w:themeColor="background1"/>
                <w:sz w:val="20"/>
                <w:szCs w:val="20"/>
              </w:rPr>
            </w:pPr>
          </w:p>
        </w:tc>
        <w:tc>
          <w:tcPr>
            <w:tcW w:w="1480" w:type="dxa"/>
            <w:shd w:val="clear" w:color="auto" w:fill="1CBDC9"/>
            <w:tcMar>
              <w:top w:w="85" w:type="dxa"/>
              <w:left w:w="113" w:type="dxa"/>
              <w:bottom w:w="113" w:type="dxa"/>
              <w:right w:w="113" w:type="dxa"/>
            </w:tcMar>
            <w:vAlign w:val="bottom"/>
          </w:tcPr>
          <w:p w14:paraId="46BC6AC7" w14:textId="77777777" w:rsidR="00F47023" w:rsidRPr="000A4433" w:rsidRDefault="00F47023">
            <w:pPr>
              <w:pStyle w:val="Nessunostileparagrafo"/>
              <w:spacing w:line="240" w:lineRule="auto"/>
              <w:textAlignment w:val="auto"/>
              <w:rPr>
                <w:rFonts w:ascii="Open Sans Semibold" w:hAnsi="Open Sans Semibold" w:cs="Times New Roman"/>
                <w:color w:val="FFFFFF" w:themeColor="background1"/>
                <w:sz w:val="20"/>
                <w:szCs w:val="20"/>
              </w:rPr>
            </w:pPr>
          </w:p>
        </w:tc>
        <w:tc>
          <w:tcPr>
            <w:tcW w:w="1417" w:type="dxa"/>
            <w:shd w:val="clear" w:color="auto" w:fill="1CBDC9"/>
            <w:tcMar>
              <w:top w:w="85" w:type="dxa"/>
              <w:left w:w="113" w:type="dxa"/>
              <w:bottom w:w="113" w:type="dxa"/>
              <w:right w:w="113" w:type="dxa"/>
            </w:tcMar>
            <w:vAlign w:val="bottom"/>
          </w:tcPr>
          <w:p w14:paraId="45592225" w14:textId="77777777" w:rsidR="00F47023" w:rsidRPr="000A4433" w:rsidRDefault="00F47023">
            <w:pPr>
              <w:pStyle w:val="FSHeaderRow"/>
              <w:rPr>
                <w:color w:val="FFFFFF" w:themeColor="background1"/>
                <w:sz w:val="20"/>
                <w:szCs w:val="20"/>
              </w:rPr>
            </w:pPr>
            <w:r w:rsidRPr="000A4433">
              <w:rPr>
                <w:color w:val="FFFFFF" w:themeColor="background1"/>
                <w:sz w:val="20"/>
                <w:szCs w:val="20"/>
              </w:rPr>
              <w:t>2023</w:t>
            </w:r>
          </w:p>
          <w:p w14:paraId="077FB4B8" w14:textId="77777777" w:rsidR="00F47023" w:rsidRPr="000A4433" w:rsidRDefault="00F47023">
            <w:pPr>
              <w:pStyle w:val="FSHeaderRow"/>
              <w:rPr>
                <w:color w:val="FFFFFF" w:themeColor="background1"/>
                <w:sz w:val="20"/>
                <w:szCs w:val="20"/>
              </w:rPr>
            </w:pPr>
            <w:r w:rsidRPr="000A4433">
              <w:rPr>
                <w:color w:val="FFFFFF" w:themeColor="background1"/>
                <w:sz w:val="20"/>
                <w:szCs w:val="20"/>
              </w:rPr>
              <w:t>$’000</w:t>
            </w:r>
          </w:p>
        </w:tc>
        <w:tc>
          <w:tcPr>
            <w:tcW w:w="1417" w:type="dxa"/>
            <w:shd w:val="clear" w:color="auto" w:fill="1CBDC9"/>
            <w:tcMar>
              <w:top w:w="85" w:type="dxa"/>
              <w:left w:w="113" w:type="dxa"/>
              <w:bottom w:w="113" w:type="dxa"/>
              <w:right w:w="113" w:type="dxa"/>
            </w:tcMar>
            <w:vAlign w:val="bottom"/>
          </w:tcPr>
          <w:p w14:paraId="4944B110" w14:textId="77777777" w:rsidR="00F47023" w:rsidRPr="000A4433" w:rsidRDefault="00F47023">
            <w:pPr>
              <w:pStyle w:val="FSHeaderRow"/>
              <w:rPr>
                <w:rStyle w:val="FSUnboldCond"/>
                <w:b w:val="0"/>
                <w:bCs w:val="0"/>
                <w:color w:val="FFFFFF" w:themeColor="background1"/>
                <w:sz w:val="20"/>
                <w:szCs w:val="20"/>
              </w:rPr>
            </w:pPr>
            <w:r w:rsidRPr="000A4433">
              <w:rPr>
                <w:rStyle w:val="FSUnboldCond"/>
                <w:b w:val="0"/>
                <w:bCs w:val="0"/>
                <w:color w:val="FFFFFF" w:themeColor="background1"/>
                <w:sz w:val="20"/>
                <w:szCs w:val="20"/>
              </w:rPr>
              <w:t>2022</w:t>
            </w:r>
          </w:p>
          <w:p w14:paraId="6B4991D2" w14:textId="77777777" w:rsidR="00F47023" w:rsidRPr="000A4433" w:rsidRDefault="00F47023">
            <w:pPr>
              <w:pStyle w:val="FSHeaderRow"/>
              <w:rPr>
                <w:color w:val="FFFFFF" w:themeColor="background1"/>
                <w:sz w:val="20"/>
                <w:szCs w:val="20"/>
              </w:rPr>
            </w:pPr>
            <w:r w:rsidRPr="000A4433">
              <w:rPr>
                <w:rStyle w:val="FSUnboldCond"/>
                <w:b w:val="0"/>
                <w:bCs w:val="0"/>
                <w:color w:val="FFFFFF" w:themeColor="background1"/>
                <w:sz w:val="20"/>
                <w:szCs w:val="20"/>
              </w:rPr>
              <w:t>$’000</w:t>
            </w:r>
          </w:p>
        </w:tc>
      </w:tr>
      <w:tr w:rsidR="00F47023" w:rsidRPr="000A4433" w14:paraId="2A5A5FDB" w14:textId="77777777" w:rsidTr="000A4433">
        <w:trPr>
          <w:trHeight w:val="240"/>
        </w:trPr>
        <w:tc>
          <w:tcPr>
            <w:tcW w:w="5783" w:type="dxa"/>
            <w:tcMar>
              <w:top w:w="227" w:type="dxa"/>
              <w:left w:w="0" w:type="dxa"/>
              <w:bottom w:w="57" w:type="dxa"/>
              <w:right w:w="113" w:type="dxa"/>
            </w:tcMar>
            <w:vAlign w:val="bottom"/>
          </w:tcPr>
          <w:p w14:paraId="4BFED186" w14:textId="77777777" w:rsidR="00F47023" w:rsidRPr="000A4433" w:rsidRDefault="00F47023" w:rsidP="000A4433">
            <w:pPr>
              <w:pStyle w:val="FSBlueHeadingBold"/>
            </w:pPr>
            <w:r w:rsidRPr="000A4433">
              <w:rPr>
                <w:rStyle w:val="Bold"/>
                <w:rFonts w:eastAsia="MS Mincho"/>
                <w:b/>
                <w:bCs/>
                <w:lang w:val="it-IT"/>
              </w:rPr>
              <w:t>2.2B: Other Non-Financial Asset</w:t>
            </w:r>
            <w:r w:rsidRPr="000A4433">
              <w:t>s</w:t>
            </w:r>
          </w:p>
        </w:tc>
        <w:tc>
          <w:tcPr>
            <w:tcW w:w="1480" w:type="dxa"/>
            <w:tcMar>
              <w:top w:w="227" w:type="dxa"/>
              <w:left w:w="0" w:type="dxa"/>
              <w:bottom w:w="57" w:type="dxa"/>
              <w:right w:w="113" w:type="dxa"/>
            </w:tcMar>
            <w:vAlign w:val="bottom"/>
          </w:tcPr>
          <w:p w14:paraId="09B8F0BA"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227" w:type="dxa"/>
              <w:left w:w="0" w:type="dxa"/>
              <w:bottom w:w="57" w:type="dxa"/>
              <w:right w:w="113" w:type="dxa"/>
            </w:tcMar>
            <w:vAlign w:val="bottom"/>
          </w:tcPr>
          <w:p w14:paraId="16F7D5DB"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227" w:type="dxa"/>
              <w:left w:w="0" w:type="dxa"/>
              <w:bottom w:w="57" w:type="dxa"/>
              <w:right w:w="113" w:type="dxa"/>
            </w:tcMar>
            <w:vAlign w:val="bottom"/>
          </w:tcPr>
          <w:p w14:paraId="3CD3F492"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0A4433" w14:paraId="3BD26D17" w14:textId="77777777" w:rsidTr="000A4433">
        <w:trPr>
          <w:trHeight w:val="240"/>
        </w:trPr>
        <w:tc>
          <w:tcPr>
            <w:tcW w:w="5783" w:type="dxa"/>
            <w:tcMar>
              <w:top w:w="113" w:type="dxa"/>
              <w:left w:w="0" w:type="dxa"/>
              <w:bottom w:w="113" w:type="dxa"/>
              <w:right w:w="113" w:type="dxa"/>
            </w:tcMar>
            <w:vAlign w:val="bottom"/>
          </w:tcPr>
          <w:p w14:paraId="681C0DBA" w14:textId="77777777" w:rsidR="00F47023" w:rsidRPr="000A4433" w:rsidRDefault="00F47023" w:rsidP="000A4433">
            <w:pPr>
              <w:pStyle w:val="FSBodyText"/>
              <w:spacing w:after="0" w:line="240" w:lineRule="auto"/>
              <w:ind w:firstLine="360"/>
            </w:pPr>
            <w:r w:rsidRPr="000A4433">
              <w:rPr>
                <w:lang w:val="it-IT"/>
              </w:rPr>
              <w:t>Prepayments</w:t>
            </w:r>
          </w:p>
        </w:tc>
        <w:tc>
          <w:tcPr>
            <w:tcW w:w="1480" w:type="dxa"/>
            <w:tcMar>
              <w:top w:w="113" w:type="dxa"/>
              <w:left w:w="0" w:type="dxa"/>
              <w:bottom w:w="113" w:type="dxa"/>
              <w:right w:w="113" w:type="dxa"/>
            </w:tcMar>
            <w:vAlign w:val="bottom"/>
          </w:tcPr>
          <w:p w14:paraId="1747891E"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113" w:type="dxa"/>
              <w:left w:w="0" w:type="dxa"/>
              <w:bottom w:w="113" w:type="dxa"/>
              <w:right w:w="113" w:type="dxa"/>
            </w:tcMar>
            <w:vAlign w:val="bottom"/>
          </w:tcPr>
          <w:p w14:paraId="2E63F0A2"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377 </w:t>
            </w:r>
          </w:p>
        </w:tc>
        <w:tc>
          <w:tcPr>
            <w:tcW w:w="1417" w:type="dxa"/>
            <w:tcMar>
              <w:top w:w="113" w:type="dxa"/>
              <w:left w:w="0" w:type="dxa"/>
              <w:bottom w:w="113" w:type="dxa"/>
              <w:right w:w="113" w:type="dxa"/>
            </w:tcMar>
            <w:vAlign w:val="bottom"/>
          </w:tcPr>
          <w:p w14:paraId="4B133B30" w14:textId="77777777" w:rsidR="00F47023" w:rsidRPr="000A4433" w:rsidRDefault="00F47023" w:rsidP="000A4433">
            <w:pPr>
              <w:pStyle w:val="FSBodyText"/>
              <w:spacing w:after="0" w:line="240" w:lineRule="auto"/>
              <w:jc w:val="right"/>
            </w:pPr>
            <w:r w:rsidRPr="000A4433">
              <w:rPr>
                <w:lang w:val="it-IT"/>
              </w:rPr>
              <w:t xml:space="preserve">613 </w:t>
            </w:r>
          </w:p>
        </w:tc>
      </w:tr>
      <w:tr w:rsidR="00F47023" w:rsidRPr="000A4433" w14:paraId="2DF74D34" w14:textId="77777777" w:rsidTr="000A4433">
        <w:trPr>
          <w:trHeight w:val="240"/>
        </w:trPr>
        <w:tc>
          <w:tcPr>
            <w:tcW w:w="5783" w:type="dxa"/>
            <w:shd w:val="clear" w:color="auto" w:fill="F2F2F2" w:themeFill="background1" w:themeFillShade="F2"/>
            <w:tcMar>
              <w:top w:w="113" w:type="dxa"/>
              <w:left w:w="0" w:type="dxa"/>
              <w:bottom w:w="113" w:type="dxa"/>
              <w:right w:w="113" w:type="dxa"/>
            </w:tcMar>
            <w:vAlign w:val="bottom"/>
          </w:tcPr>
          <w:p w14:paraId="12AFDE3B" w14:textId="77777777" w:rsidR="00F47023" w:rsidRPr="000A4433" w:rsidRDefault="00F47023" w:rsidP="000A4433">
            <w:pPr>
              <w:pStyle w:val="FSBodyText"/>
              <w:spacing w:after="0" w:line="240" w:lineRule="auto"/>
            </w:pPr>
            <w:r w:rsidRPr="000A4433">
              <w:rPr>
                <w:rStyle w:val="Bold"/>
                <w:rFonts w:eastAsia="MS Mincho"/>
              </w:rPr>
              <w:t>Total other non-financial assets</w:t>
            </w:r>
          </w:p>
        </w:tc>
        <w:tc>
          <w:tcPr>
            <w:tcW w:w="1480" w:type="dxa"/>
            <w:shd w:val="clear" w:color="auto" w:fill="F2F2F2" w:themeFill="background1" w:themeFillShade="F2"/>
            <w:tcMar>
              <w:top w:w="113" w:type="dxa"/>
              <w:left w:w="0" w:type="dxa"/>
              <w:bottom w:w="113" w:type="dxa"/>
              <w:right w:w="113" w:type="dxa"/>
            </w:tcMar>
            <w:vAlign w:val="bottom"/>
          </w:tcPr>
          <w:p w14:paraId="7FED2CDC"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c>
          <w:tcPr>
            <w:tcW w:w="1417" w:type="dxa"/>
            <w:shd w:val="clear" w:color="auto" w:fill="F2F2F2" w:themeFill="background1" w:themeFillShade="F2"/>
            <w:tcMar>
              <w:top w:w="113" w:type="dxa"/>
              <w:left w:w="0" w:type="dxa"/>
              <w:bottom w:w="113" w:type="dxa"/>
              <w:right w:w="113" w:type="dxa"/>
            </w:tcMar>
            <w:vAlign w:val="bottom"/>
          </w:tcPr>
          <w:p w14:paraId="48DEF34D"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377 </w:t>
            </w:r>
          </w:p>
        </w:tc>
        <w:tc>
          <w:tcPr>
            <w:tcW w:w="1417" w:type="dxa"/>
            <w:shd w:val="clear" w:color="auto" w:fill="F2F2F2" w:themeFill="background1" w:themeFillShade="F2"/>
            <w:tcMar>
              <w:top w:w="113" w:type="dxa"/>
              <w:left w:w="0" w:type="dxa"/>
              <w:bottom w:w="113" w:type="dxa"/>
              <w:right w:w="113" w:type="dxa"/>
            </w:tcMar>
            <w:vAlign w:val="bottom"/>
          </w:tcPr>
          <w:p w14:paraId="2C28A2B9" w14:textId="77777777" w:rsidR="00F47023" w:rsidRPr="000A4433" w:rsidRDefault="00F47023" w:rsidP="000A4433">
            <w:pPr>
              <w:pStyle w:val="FSBodyText"/>
              <w:spacing w:after="0" w:line="240" w:lineRule="auto"/>
              <w:jc w:val="right"/>
            </w:pPr>
            <w:r w:rsidRPr="000A4433">
              <w:rPr>
                <w:lang w:val="it-IT"/>
              </w:rPr>
              <w:t xml:space="preserve">613 </w:t>
            </w:r>
          </w:p>
        </w:tc>
      </w:tr>
      <w:tr w:rsidR="00F47023" w:rsidRPr="000A4433" w14:paraId="17E3A5E2" w14:textId="77777777" w:rsidTr="000A4433">
        <w:trPr>
          <w:trHeight w:val="240"/>
        </w:trPr>
        <w:tc>
          <w:tcPr>
            <w:tcW w:w="5783" w:type="dxa"/>
            <w:tcMar>
              <w:top w:w="227" w:type="dxa"/>
              <w:left w:w="0" w:type="dxa"/>
              <w:bottom w:w="57" w:type="dxa"/>
              <w:right w:w="113" w:type="dxa"/>
            </w:tcMar>
            <w:vAlign w:val="bottom"/>
          </w:tcPr>
          <w:p w14:paraId="03598E00" w14:textId="77777777" w:rsidR="00F47023" w:rsidRPr="000A4433" w:rsidRDefault="00F47023" w:rsidP="000A4433">
            <w:pPr>
              <w:pStyle w:val="FSBodyText"/>
              <w:spacing w:after="0" w:line="240" w:lineRule="auto"/>
            </w:pPr>
            <w:r w:rsidRPr="000A4433">
              <w:rPr>
                <w:rStyle w:val="Bold"/>
                <w:rFonts w:eastAsia="MS Mincho"/>
              </w:rPr>
              <w:t>Other non-financial assets expected to be recovered</w:t>
            </w:r>
          </w:p>
        </w:tc>
        <w:tc>
          <w:tcPr>
            <w:tcW w:w="1480" w:type="dxa"/>
            <w:tcMar>
              <w:top w:w="227" w:type="dxa"/>
              <w:left w:w="0" w:type="dxa"/>
              <w:bottom w:w="57" w:type="dxa"/>
              <w:right w:w="113" w:type="dxa"/>
            </w:tcMar>
            <w:vAlign w:val="bottom"/>
          </w:tcPr>
          <w:p w14:paraId="1DA93BC4"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c>
          <w:tcPr>
            <w:tcW w:w="1417" w:type="dxa"/>
            <w:tcMar>
              <w:top w:w="227" w:type="dxa"/>
              <w:left w:w="0" w:type="dxa"/>
              <w:bottom w:w="57" w:type="dxa"/>
              <w:right w:w="113" w:type="dxa"/>
            </w:tcMar>
            <w:vAlign w:val="bottom"/>
          </w:tcPr>
          <w:p w14:paraId="006696AA"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c>
          <w:tcPr>
            <w:tcW w:w="1417" w:type="dxa"/>
            <w:tcMar>
              <w:top w:w="227" w:type="dxa"/>
              <w:left w:w="0" w:type="dxa"/>
              <w:bottom w:w="57" w:type="dxa"/>
              <w:right w:w="113" w:type="dxa"/>
            </w:tcMar>
            <w:vAlign w:val="bottom"/>
          </w:tcPr>
          <w:p w14:paraId="7AAE9DAB"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r>
      <w:tr w:rsidR="00F47023" w:rsidRPr="000A4433" w14:paraId="448354A0" w14:textId="77777777" w:rsidTr="000A4433">
        <w:trPr>
          <w:trHeight w:val="240"/>
        </w:trPr>
        <w:tc>
          <w:tcPr>
            <w:tcW w:w="5783" w:type="dxa"/>
            <w:tcMar>
              <w:top w:w="28" w:type="dxa"/>
              <w:left w:w="0" w:type="dxa"/>
              <w:bottom w:w="57" w:type="dxa"/>
              <w:right w:w="113" w:type="dxa"/>
            </w:tcMar>
            <w:vAlign w:val="bottom"/>
          </w:tcPr>
          <w:p w14:paraId="135F7B16" w14:textId="77777777" w:rsidR="00F47023" w:rsidRPr="000A4433" w:rsidRDefault="00F47023" w:rsidP="000A4433">
            <w:pPr>
              <w:pStyle w:val="FSBodyText"/>
              <w:spacing w:after="0" w:line="240" w:lineRule="auto"/>
              <w:ind w:firstLine="180"/>
            </w:pPr>
            <w:r w:rsidRPr="000A4433">
              <w:rPr>
                <w:lang w:val="it-IT"/>
              </w:rPr>
              <w:t>No more than 12 months</w:t>
            </w:r>
          </w:p>
        </w:tc>
        <w:tc>
          <w:tcPr>
            <w:tcW w:w="1480" w:type="dxa"/>
            <w:tcMar>
              <w:top w:w="28" w:type="dxa"/>
              <w:left w:w="0" w:type="dxa"/>
              <w:bottom w:w="57" w:type="dxa"/>
              <w:right w:w="113" w:type="dxa"/>
            </w:tcMar>
            <w:vAlign w:val="bottom"/>
          </w:tcPr>
          <w:p w14:paraId="5101C65F"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28" w:type="dxa"/>
              <w:left w:w="0" w:type="dxa"/>
              <w:bottom w:w="57" w:type="dxa"/>
              <w:right w:w="113" w:type="dxa"/>
            </w:tcMar>
            <w:vAlign w:val="bottom"/>
          </w:tcPr>
          <w:p w14:paraId="4C23FA03"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359 </w:t>
            </w:r>
          </w:p>
        </w:tc>
        <w:tc>
          <w:tcPr>
            <w:tcW w:w="1417" w:type="dxa"/>
            <w:tcMar>
              <w:top w:w="28" w:type="dxa"/>
              <w:left w:w="0" w:type="dxa"/>
              <w:bottom w:w="57" w:type="dxa"/>
              <w:right w:w="113" w:type="dxa"/>
            </w:tcMar>
            <w:vAlign w:val="bottom"/>
          </w:tcPr>
          <w:p w14:paraId="1B3B1437" w14:textId="77777777" w:rsidR="00F47023" w:rsidRPr="000A4433" w:rsidRDefault="00F47023" w:rsidP="000A4433">
            <w:pPr>
              <w:pStyle w:val="FSBodyText"/>
              <w:spacing w:after="0" w:line="240" w:lineRule="auto"/>
              <w:jc w:val="right"/>
            </w:pPr>
            <w:r w:rsidRPr="000A4433">
              <w:rPr>
                <w:lang w:val="it-IT"/>
              </w:rPr>
              <w:t xml:space="preserve">573 </w:t>
            </w:r>
          </w:p>
        </w:tc>
      </w:tr>
      <w:tr w:rsidR="00F47023" w:rsidRPr="000A4433" w14:paraId="450F814B" w14:textId="77777777" w:rsidTr="000A4433">
        <w:trPr>
          <w:trHeight w:val="240"/>
        </w:trPr>
        <w:tc>
          <w:tcPr>
            <w:tcW w:w="5783" w:type="dxa"/>
            <w:tcMar>
              <w:top w:w="28" w:type="dxa"/>
              <w:left w:w="0" w:type="dxa"/>
              <w:bottom w:w="113" w:type="dxa"/>
              <w:right w:w="113" w:type="dxa"/>
            </w:tcMar>
            <w:vAlign w:val="bottom"/>
          </w:tcPr>
          <w:p w14:paraId="7D52655F" w14:textId="77777777" w:rsidR="00F47023" w:rsidRPr="000A4433" w:rsidRDefault="00F47023" w:rsidP="000A4433">
            <w:pPr>
              <w:pStyle w:val="FSBodyText"/>
              <w:spacing w:after="0" w:line="240" w:lineRule="auto"/>
              <w:ind w:firstLine="180"/>
            </w:pPr>
            <w:r w:rsidRPr="000A4433">
              <w:rPr>
                <w:lang w:val="it-IT"/>
              </w:rPr>
              <w:t>More than 12 months</w:t>
            </w:r>
          </w:p>
        </w:tc>
        <w:tc>
          <w:tcPr>
            <w:tcW w:w="1480" w:type="dxa"/>
            <w:tcMar>
              <w:top w:w="28" w:type="dxa"/>
              <w:left w:w="0" w:type="dxa"/>
              <w:bottom w:w="113" w:type="dxa"/>
              <w:right w:w="113" w:type="dxa"/>
            </w:tcMar>
            <w:vAlign w:val="bottom"/>
          </w:tcPr>
          <w:p w14:paraId="5D07F940"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28" w:type="dxa"/>
              <w:left w:w="0" w:type="dxa"/>
              <w:bottom w:w="113" w:type="dxa"/>
              <w:right w:w="113" w:type="dxa"/>
            </w:tcMar>
            <w:vAlign w:val="bottom"/>
          </w:tcPr>
          <w:p w14:paraId="15F20350"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18 </w:t>
            </w:r>
          </w:p>
        </w:tc>
        <w:tc>
          <w:tcPr>
            <w:tcW w:w="1417" w:type="dxa"/>
            <w:tcMar>
              <w:top w:w="28" w:type="dxa"/>
              <w:left w:w="0" w:type="dxa"/>
              <w:bottom w:w="113" w:type="dxa"/>
              <w:right w:w="113" w:type="dxa"/>
            </w:tcMar>
            <w:vAlign w:val="bottom"/>
          </w:tcPr>
          <w:p w14:paraId="0075DF98" w14:textId="77777777" w:rsidR="00F47023" w:rsidRPr="000A4433" w:rsidRDefault="00F47023" w:rsidP="000A4433">
            <w:pPr>
              <w:pStyle w:val="FSBodyText"/>
              <w:spacing w:after="0" w:line="240" w:lineRule="auto"/>
              <w:jc w:val="right"/>
            </w:pPr>
            <w:r w:rsidRPr="000A4433">
              <w:rPr>
                <w:lang w:val="it-IT"/>
              </w:rPr>
              <w:t xml:space="preserve">40 </w:t>
            </w:r>
          </w:p>
        </w:tc>
      </w:tr>
      <w:tr w:rsidR="00F47023" w:rsidRPr="000A4433" w14:paraId="59C96532" w14:textId="77777777" w:rsidTr="000A4433">
        <w:trPr>
          <w:trHeight w:val="240"/>
        </w:trPr>
        <w:tc>
          <w:tcPr>
            <w:tcW w:w="5783"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7EDFE120" w14:textId="77777777" w:rsidR="00F47023" w:rsidRPr="000A4433" w:rsidRDefault="00F47023" w:rsidP="000A4433">
            <w:pPr>
              <w:pStyle w:val="FSBodyText"/>
              <w:spacing w:after="0" w:line="240" w:lineRule="auto"/>
            </w:pPr>
            <w:r w:rsidRPr="000A4433">
              <w:rPr>
                <w:rStyle w:val="Bold"/>
                <w:rFonts w:eastAsia="MS Mincho"/>
              </w:rPr>
              <w:t>Total other non-financial assets</w:t>
            </w:r>
          </w:p>
        </w:tc>
        <w:tc>
          <w:tcPr>
            <w:tcW w:w="1480"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6DCC8DD8"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B6A9605"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377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230A3614" w14:textId="77777777" w:rsidR="00F47023" w:rsidRPr="000A4433" w:rsidRDefault="00F47023" w:rsidP="000A4433">
            <w:pPr>
              <w:pStyle w:val="FSBodyText"/>
              <w:spacing w:after="0" w:line="240" w:lineRule="auto"/>
              <w:jc w:val="right"/>
            </w:pPr>
            <w:r w:rsidRPr="000A4433">
              <w:rPr>
                <w:lang w:val="it-IT"/>
              </w:rPr>
              <w:t xml:space="preserve">613 </w:t>
            </w:r>
          </w:p>
        </w:tc>
      </w:tr>
      <w:tr w:rsidR="00F47023" w:rsidRPr="000A4433" w14:paraId="025A2435" w14:textId="77777777" w:rsidTr="000A4433">
        <w:trPr>
          <w:trHeight w:val="240"/>
        </w:trPr>
        <w:tc>
          <w:tcPr>
            <w:tcW w:w="10097" w:type="dxa"/>
            <w:gridSpan w:val="4"/>
            <w:tcBorders>
              <w:bottom w:val="nil"/>
            </w:tcBorders>
            <w:tcMar>
              <w:top w:w="227" w:type="dxa"/>
              <w:left w:w="0" w:type="dxa"/>
              <w:bottom w:w="57" w:type="dxa"/>
              <w:right w:w="113" w:type="dxa"/>
            </w:tcMar>
            <w:vAlign w:val="bottom"/>
          </w:tcPr>
          <w:p w14:paraId="1E3C1764" w14:textId="77777777" w:rsidR="00F47023" w:rsidRPr="000A4433" w:rsidRDefault="00F47023" w:rsidP="000A4433">
            <w:pPr>
              <w:pStyle w:val="FSBodyText"/>
              <w:spacing w:after="0" w:line="240" w:lineRule="auto"/>
            </w:pPr>
            <w:r w:rsidRPr="000A4433">
              <w:t>No indicators of impairment were found for other non-financial assets.</w:t>
            </w:r>
          </w:p>
        </w:tc>
      </w:tr>
    </w:tbl>
    <w:p w14:paraId="4571578E" w14:textId="77777777" w:rsidR="00F47023" w:rsidRDefault="00F47023" w:rsidP="00F47023">
      <w:pPr>
        <w:pStyle w:val="FSBodyText"/>
      </w:pPr>
    </w:p>
    <w:p w14:paraId="2838AD5E" w14:textId="77777777" w:rsidR="00F47023" w:rsidRDefault="00F47023" w:rsidP="00F47023">
      <w:pPr>
        <w:pStyle w:val="FSHeading2-Tutti"/>
        <w:rPr>
          <w:color w:val="000000"/>
          <w:sz w:val="16"/>
          <w:szCs w:val="16"/>
          <w:lang w:val="en-US"/>
        </w:rPr>
      </w:pPr>
      <w:r>
        <w:rPr>
          <w:color w:val="2BB8C9"/>
        </w:rPr>
        <w:t>2.3 Payables</w:t>
      </w:r>
    </w:p>
    <w:tbl>
      <w:tblPr>
        <w:tblW w:w="0" w:type="auto"/>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7257"/>
        <w:gridCol w:w="1417"/>
        <w:gridCol w:w="1417"/>
      </w:tblGrid>
      <w:tr w:rsidR="000A4433" w:rsidRPr="000A4433" w14:paraId="3E1289BC" w14:textId="77777777" w:rsidTr="000A4433">
        <w:trPr>
          <w:trHeight w:val="255"/>
          <w:tblHeader/>
        </w:trPr>
        <w:tc>
          <w:tcPr>
            <w:tcW w:w="7257" w:type="dxa"/>
            <w:shd w:val="clear" w:color="auto" w:fill="1CBDC9"/>
            <w:tcMar>
              <w:top w:w="85" w:type="dxa"/>
              <w:left w:w="113" w:type="dxa"/>
              <w:bottom w:w="113" w:type="dxa"/>
              <w:right w:w="113" w:type="dxa"/>
            </w:tcMar>
            <w:vAlign w:val="bottom"/>
          </w:tcPr>
          <w:p w14:paraId="215FAD44" w14:textId="77777777" w:rsidR="00F47023" w:rsidRPr="000A4433" w:rsidRDefault="00F47023">
            <w:pPr>
              <w:pStyle w:val="Nessunostileparagrafo"/>
              <w:spacing w:line="240" w:lineRule="auto"/>
              <w:textAlignment w:val="auto"/>
              <w:rPr>
                <w:rFonts w:ascii="Open Sans Semibold" w:hAnsi="Open Sans Semibold" w:cs="Times New Roman"/>
                <w:color w:val="FFFFFF" w:themeColor="background1"/>
                <w:sz w:val="20"/>
                <w:szCs w:val="20"/>
                <w:lang w:val="it-IT"/>
              </w:rPr>
            </w:pPr>
          </w:p>
        </w:tc>
        <w:tc>
          <w:tcPr>
            <w:tcW w:w="1417" w:type="dxa"/>
            <w:shd w:val="clear" w:color="auto" w:fill="1CBDC9"/>
            <w:tcMar>
              <w:top w:w="85" w:type="dxa"/>
              <w:left w:w="113" w:type="dxa"/>
              <w:bottom w:w="113" w:type="dxa"/>
              <w:right w:w="113" w:type="dxa"/>
            </w:tcMar>
            <w:vAlign w:val="bottom"/>
          </w:tcPr>
          <w:p w14:paraId="6E86D36E" w14:textId="77777777" w:rsidR="00F47023" w:rsidRPr="000A4433" w:rsidRDefault="00F47023">
            <w:pPr>
              <w:pStyle w:val="FSHeaderRow"/>
              <w:rPr>
                <w:color w:val="FFFFFF" w:themeColor="background1"/>
                <w:sz w:val="20"/>
                <w:szCs w:val="20"/>
              </w:rPr>
            </w:pPr>
            <w:r w:rsidRPr="000A4433">
              <w:rPr>
                <w:color w:val="FFFFFF" w:themeColor="background1"/>
                <w:sz w:val="20"/>
                <w:szCs w:val="20"/>
              </w:rPr>
              <w:t>2023</w:t>
            </w:r>
          </w:p>
          <w:p w14:paraId="456A18F9" w14:textId="77777777" w:rsidR="00F47023" w:rsidRPr="000A4433" w:rsidRDefault="00F47023">
            <w:pPr>
              <w:pStyle w:val="FSHeaderRow"/>
              <w:rPr>
                <w:color w:val="FFFFFF" w:themeColor="background1"/>
                <w:sz w:val="20"/>
                <w:szCs w:val="20"/>
              </w:rPr>
            </w:pPr>
            <w:r w:rsidRPr="000A4433">
              <w:rPr>
                <w:color w:val="FFFFFF" w:themeColor="background1"/>
                <w:sz w:val="20"/>
                <w:szCs w:val="20"/>
              </w:rPr>
              <w:t>$’000</w:t>
            </w:r>
          </w:p>
        </w:tc>
        <w:tc>
          <w:tcPr>
            <w:tcW w:w="1417" w:type="dxa"/>
            <w:shd w:val="clear" w:color="auto" w:fill="1CBDC9"/>
            <w:tcMar>
              <w:top w:w="85" w:type="dxa"/>
              <w:left w:w="113" w:type="dxa"/>
              <w:bottom w:w="113" w:type="dxa"/>
              <w:right w:w="113" w:type="dxa"/>
            </w:tcMar>
            <w:vAlign w:val="bottom"/>
          </w:tcPr>
          <w:p w14:paraId="124CE599" w14:textId="77777777" w:rsidR="00F47023" w:rsidRPr="000A4433" w:rsidRDefault="00F47023">
            <w:pPr>
              <w:pStyle w:val="FSHeaderRow"/>
              <w:rPr>
                <w:rStyle w:val="FSUnboldCond"/>
                <w:b w:val="0"/>
                <w:bCs w:val="0"/>
                <w:color w:val="FFFFFF" w:themeColor="background1"/>
                <w:sz w:val="20"/>
                <w:szCs w:val="20"/>
              </w:rPr>
            </w:pPr>
            <w:r w:rsidRPr="000A4433">
              <w:rPr>
                <w:rStyle w:val="FSUnboldCond"/>
                <w:b w:val="0"/>
                <w:bCs w:val="0"/>
                <w:color w:val="FFFFFF" w:themeColor="background1"/>
                <w:sz w:val="20"/>
                <w:szCs w:val="20"/>
              </w:rPr>
              <w:t>2022</w:t>
            </w:r>
          </w:p>
          <w:p w14:paraId="2B10C998" w14:textId="77777777" w:rsidR="00F47023" w:rsidRPr="000A4433" w:rsidRDefault="00F47023">
            <w:pPr>
              <w:pStyle w:val="FSHeaderRow"/>
              <w:rPr>
                <w:color w:val="FFFFFF" w:themeColor="background1"/>
                <w:sz w:val="20"/>
                <w:szCs w:val="20"/>
              </w:rPr>
            </w:pPr>
            <w:r w:rsidRPr="000A4433">
              <w:rPr>
                <w:rStyle w:val="FSUnboldCond"/>
                <w:b w:val="0"/>
                <w:bCs w:val="0"/>
                <w:color w:val="FFFFFF" w:themeColor="background1"/>
                <w:sz w:val="20"/>
                <w:szCs w:val="20"/>
              </w:rPr>
              <w:t>$’000</w:t>
            </w:r>
          </w:p>
        </w:tc>
      </w:tr>
      <w:tr w:rsidR="00F47023" w:rsidRPr="000A4433" w14:paraId="363FE877" w14:textId="77777777" w:rsidTr="000A4433">
        <w:trPr>
          <w:trHeight w:val="240"/>
        </w:trPr>
        <w:tc>
          <w:tcPr>
            <w:tcW w:w="7257" w:type="dxa"/>
            <w:tcMar>
              <w:top w:w="227" w:type="dxa"/>
              <w:left w:w="0" w:type="dxa"/>
              <w:bottom w:w="57" w:type="dxa"/>
              <w:right w:w="113" w:type="dxa"/>
            </w:tcMar>
            <w:vAlign w:val="bottom"/>
          </w:tcPr>
          <w:p w14:paraId="683AD001" w14:textId="77777777" w:rsidR="00F47023" w:rsidRPr="00E8256E" w:rsidRDefault="00F47023" w:rsidP="00E8256E">
            <w:pPr>
              <w:pStyle w:val="FSBlueHeadingBold"/>
            </w:pPr>
            <w:r w:rsidRPr="00E8256E">
              <w:rPr>
                <w:rFonts w:eastAsia="MS Mincho"/>
              </w:rPr>
              <w:t>2.3A: Suppliers</w:t>
            </w:r>
          </w:p>
        </w:tc>
        <w:tc>
          <w:tcPr>
            <w:tcW w:w="1417" w:type="dxa"/>
            <w:tcMar>
              <w:top w:w="227" w:type="dxa"/>
              <w:left w:w="0" w:type="dxa"/>
              <w:bottom w:w="57" w:type="dxa"/>
              <w:right w:w="113" w:type="dxa"/>
            </w:tcMar>
            <w:vAlign w:val="bottom"/>
          </w:tcPr>
          <w:p w14:paraId="334AA6FB"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227" w:type="dxa"/>
              <w:left w:w="0" w:type="dxa"/>
              <w:bottom w:w="57" w:type="dxa"/>
              <w:right w:w="113" w:type="dxa"/>
            </w:tcMar>
            <w:vAlign w:val="bottom"/>
          </w:tcPr>
          <w:p w14:paraId="51F4C53F"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0A4433" w14:paraId="46ED8C47" w14:textId="77777777" w:rsidTr="000A4433">
        <w:trPr>
          <w:trHeight w:val="240"/>
        </w:trPr>
        <w:tc>
          <w:tcPr>
            <w:tcW w:w="7257" w:type="dxa"/>
            <w:tcMar>
              <w:top w:w="113" w:type="dxa"/>
              <w:left w:w="0" w:type="dxa"/>
              <w:bottom w:w="113" w:type="dxa"/>
              <w:right w:w="113" w:type="dxa"/>
            </w:tcMar>
            <w:vAlign w:val="bottom"/>
          </w:tcPr>
          <w:p w14:paraId="4CC5EA42" w14:textId="77777777" w:rsidR="00F47023" w:rsidRPr="000A4433" w:rsidRDefault="00F47023" w:rsidP="000A4433">
            <w:pPr>
              <w:pStyle w:val="FSBodyText"/>
              <w:spacing w:after="0" w:line="240" w:lineRule="auto"/>
            </w:pPr>
            <w:r w:rsidRPr="000A4433">
              <w:rPr>
                <w:lang w:val="it-IT"/>
              </w:rPr>
              <w:t>Trade creditors and accruals</w:t>
            </w:r>
          </w:p>
        </w:tc>
        <w:tc>
          <w:tcPr>
            <w:tcW w:w="1417" w:type="dxa"/>
            <w:tcMar>
              <w:top w:w="113" w:type="dxa"/>
              <w:left w:w="0" w:type="dxa"/>
              <w:bottom w:w="113" w:type="dxa"/>
              <w:right w:w="113" w:type="dxa"/>
            </w:tcMar>
            <w:vAlign w:val="bottom"/>
          </w:tcPr>
          <w:p w14:paraId="5FB8B553"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1,555 </w:t>
            </w:r>
          </w:p>
        </w:tc>
        <w:tc>
          <w:tcPr>
            <w:tcW w:w="1417" w:type="dxa"/>
            <w:tcMar>
              <w:top w:w="113" w:type="dxa"/>
              <w:left w:w="0" w:type="dxa"/>
              <w:bottom w:w="113" w:type="dxa"/>
              <w:right w:w="113" w:type="dxa"/>
            </w:tcMar>
            <w:vAlign w:val="bottom"/>
          </w:tcPr>
          <w:p w14:paraId="4C1118B4" w14:textId="77777777" w:rsidR="00F47023" w:rsidRPr="000A4433" w:rsidRDefault="00F47023" w:rsidP="000A4433">
            <w:pPr>
              <w:pStyle w:val="FSBodyText"/>
              <w:spacing w:after="0" w:line="240" w:lineRule="auto"/>
              <w:jc w:val="right"/>
            </w:pPr>
            <w:r w:rsidRPr="000A4433">
              <w:rPr>
                <w:lang w:val="it-IT"/>
              </w:rPr>
              <w:t xml:space="preserve">865 </w:t>
            </w:r>
          </w:p>
        </w:tc>
      </w:tr>
      <w:tr w:rsidR="00F47023" w:rsidRPr="000A4433" w14:paraId="04F37E09" w14:textId="77777777" w:rsidTr="000A4433">
        <w:trPr>
          <w:trHeight w:val="240"/>
        </w:trPr>
        <w:tc>
          <w:tcPr>
            <w:tcW w:w="7257" w:type="dxa"/>
            <w:shd w:val="clear" w:color="auto" w:fill="F2F2F2" w:themeFill="background1" w:themeFillShade="F2"/>
            <w:tcMar>
              <w:top w:w="113" w:type="dxa"/>
              <w:left w:w="0" w:type="dxa"/>
              <w:bottom w:w="113" w:type="dxa"/>
              <w:right w:w="113" w:type="dxa"/>
            </w:tcMar>
            <w:vAlign w:val="bottom"/>
          </w:tcPr>
          <w:p w14:paraId="222B664C" w14:textId="77777777" w:rsidR="00F47023" w:rsidRPr="000A4433" w:rsidRDefault="00F47023" w:rsidP="000A4433">
            <w:pPr>
              <w:pStyle w:val="FSBodyText"/>
              <w:spacing w:after="0" w:line="240" w:lineRule="auto"/>
            </w:pPr>
            <w:r w:rsidRPr="000A4433">
              <w:rPr>
                <w:rStyle w:val="Bold"/>
                <w:rFonts w:eastAsia="MS Mincho"/>
                <w:lang w:val="it-IT"/>
              </w:rPr>
              <w:t>Total suppliers</w:t>
            </w:r>
          </w:p>
        </w:tc>
        <w:tc>
          <w:tcPr>
            <w:tcW w:w="1417" w:type="dxa"/>
            <w:shd w:val="clear" w:color="auto" w:fill="F2F2F2" w:themeFill="background1" w:themeFillShade="F2"/>
            <w:tcMar>
              <w:top w:w="113" w:type="dxa"/>
              <w:left w:w="0" w:type="dxa"/>
              <w:bottom w:w="113" w:type="dxa"/>
              <w:right w:w="113" w:type="dxa"/>
            </w:tcMar>
            <w:vAlign w:val="bottom"/>
          </w:tcPr>
          <w:p w14:paraId="760037AA"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1,555 </w:t>
            </w:r>
          </w:p>
        </w:tc>
        <w:tc>
          <w:tcPr>
            <w:tcW w:w="1417" w:type="dxa"/>
            <w:shd w:val="clear" w:color="auto" w:fill="F2F2F2" w:themeFill="background1" w:themeFillShade="F2"/>
            <w:tcMar>
              <w:top w:w="113" w:type="dxa"/>
              <w:left w:w="0" w:type="dxa"/>
              <w:bottom w:w="113" w:type="dxa"/>
              <w:right w:w="113" w:type="dxa"/>
            </w:tcMar>
            <w:vAlign w:val="bottom"/>
          </w:tcPr>
          <w:p w14:paraId="01646E98" w14:textId="77777777" w:rsidR="00F47023" w:rsidRPr="000A4433" w:rsidRDefault="00F47023" w:rsidP="000A4433">
            <w:pPr>
              <w:pStyle w:val="FSBodyText"/>
              <w:spacing w:after="0" w:line="240" w:lineRule="auto"/>
              <w:jc w:val="right"/>
            </w:pPr>
            <w:r w:rsidRPr="000A4433">
              <w:rPr>
                <w:lang w:val="it-IT"/>
              </w:rPr>
              <w:t xml:space="preserve">865 </w:t>
            </w:r>
          </w:p>
        </w:tc>
      </w:tr>
      <w:tr w:rsidR="00F47023" w:rsidRPr="000A4433" w14:paraId="77B92BEA" w14:textId="77777777" w:rsidTr="000A4433">
        <w:trPr>
          <w:trHeight w:val="240"/>
        </w:trPr>
        <w:tc>
          <w:tcPr>
            <w:tcW w:w="7257" w:type="dxa"/>
            <w:tcMar>
              <w:top w:w="227" w:type="dxa"/>
              <w:left w:w="0" w:type="dxa"/>
              <w:bottom w:w="57" w:type="dxa"/>
              <w:right w:w="113" w:type="dxa"/>
            </w:tcMar>
            <w:vAlign w:val="bottom"/>
          </w:tcPr>
          <w:p w14:paraId="0C36D752" w14:textId="77777777" w:rsidR="00F47023" w:rsidRPr="000A4433" w:rsidRDefault="00F47023" w:rsidP="000A4433">
            <w:pPr>
              <w:pStyle w:val="FSBodyText"/>
              <w:spacing w:after="0" w:line="240" w:lineRule="auto"/>
            </w:pPr>
            <w:r w:rsidRPr="000A4433">
              <w:rPr>
                <w:rStyle w:val="Bold"/>
                <w:rFonts w:eastAsia="MS Mincho"/>
              </w:rPr>
              <w:t>Suppliers expected to be settled</w:t>
            </w:r>
          </w:p>
        </w:tc>
        <w:tc>
          <w:tcPr>
            <w:tcW w:w="1417" w:type="dxa"/>
            <w:tcMar>
              <w:top w:w="227" w:type="dxa"/>
              <w:left w:w="0" w:type="dxa"/>
              <w:bottom w:w="57" w:type="dxa"/>
              <w:right w:w="113" w:type="dxa"/>
            </w:tcMar>
            <w:vAlign w:val="bottom"/>
          </w:tcPr>
          <w:p w14:paraId="2EEF1EAC"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c>
          <w:tcPr>
            <w:tcW w:w="1417" w:type="dxa"/>
            <w:tcMar>
              <w:top w:w="227" w:type="dxa"/>
              <w:left w:w="0" w:type="dxa"/>
              <w:bottom w:w="57" w:type="dxa"/>
              <w:right w:w="113" w:type="dxa"/>
            </w:tcMar>
            <w:vAlign w:val="bottom"/>
          </w:tcPr>
          <w:p w14:paraId="26787F52"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r>
      <w:tr w:rsidR="00F47023" w:rsidRPr="000A4433" w14:paraId="22C9090A" w14:textId="77777777" w:rsidTr="000A4433">
        <w:trPr>
          <w:trHeight w:val="240"/>
        </w:trPr>
        <w:tc>
          <w:tcPr>
            <w:tcW w:w="7257" w:type="dxa"/>
            <w:tcMar>
              <w:top w:w="113" w:type="dxa"/>
              <w:left w:w="0" w:type="dxa"/>
              <w:bottom w:w="113" w:type="dxa"/>
              <w:right w:w="113" w:type="dxa"/>
            </w:tcMar>
            <w:vAlign w:val="center"/>
          </w:tcPr>
          <w:p w14:paraId="15D69E45" w14:textId="77777777" w:rsidR="00F47023" w:rsidRPr="000A4433" w:rsidRDefault="00F47023" w:rsidP="000A4433">
            <w:pPr>
              <w:pStyle w:val="FSBodyText"/>
              <w:spacing w:after="0" w:line="240" w:lineRule="auto"/>
              <w:ind w:firstLine="180"/>
            </w:pPr>
            <w:r w:rsidRPr="000A4433">
              <w:rPr>
                <w:lang w:val="it-IT"/>
              </w:rPr>
              <w:t>No more than 12 months</w:t>
            </w:r>
          </w:p>
        </w:tc>
        <w:tc>
          <w:tcPr>
            <w:tcW w:w="1417" w:type="dxa"/>
            <w:tcMar>
              <w:top w:w="113" w:type="dxa"/>
              <w:left w:w="0" w:type="dxa"/>
              <w:bottom w:w="113" w:type="dxa"/>
              <w:right w:w="113" w:type="dxa"/>
            </w:tcMar>
            <w:vAlign w:val="bottom"/>
          </w:tcPr>
          <w:p w14:paraId="6582684C"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1,555 </w:t>
            </w:r>
          </w:p>
        </w:tc>
        <w:tc>
          <w:tcPr>
            <w:tcW w:w="1417" w:type="dxa"/>
            <w:tcMar>
              <w:top w:w="113" w:type="dxa"/>
              <w:left w:w="0" w:type="dxa"/>
              <w:bottom w:w="113" w:type="dxa"/>
              <w:right w:w="113" w:type="dxa"/>
            </w:tcMar>
            <w:vAlign w:val="bottom"/>
          </w:tcPr>
          <w:p w14:paraId="56E82465" w14:textId="77777777" w:rsidR="00F47023" w:rsidRPr="000A4433" w:rsidRDefault="00F47023" w:rsidP="000A4433">
            <w:pPr>
              <w:pStyle w:val="FSBodyText"/>
              <w:spacing w:after="0" w:line="240" w:lineRule="auto"/>
              <w:jc w:val="right"/>
            </w:pPr>
            <w:r w:rsidRPr="000A4433">
              <w:rPr>
                <w:lang w:val="it-IT"/>
              </w:rPr>
              <w:t xml:space="preserve">865 </w:t>
            </w:r>
          </w:p>
        </w:tc>
      </w:tr>
      <w:tr w:rsidR="00F47023" w:rsidRPr="000A4433" w14:paraId="6A4D64D4" w14:textId="77777777" w:rsidTr="000A4433">
        <w:trPr>
          <w:trHeight w:val="240"/>
        </w:trPr>
        <w:tc>
          <w:tcPr>
            <w:tcW w:w="7257" w:type="dxa"/>
            <w:shd w:val="clear" w:color="auto" w:fill="F2F2F2" w:themeFill="background1" w:themeFillShade="F2"/>
            <w:tcMar>
              <w:top w:w="113" w:type="dxa"/>
              <w:left w:w="0" w:type="dxa"/>
              <w:bottom w:w="113" w:type="dxa"/>
              <w:right w:w="113" w:type="dxa"/>
            </w:tcMar>
            <w:vAlign w:val="bottom"/>
          </w:tcPr>
          <w:p w14:paraId="156C9003" w14:textId="77777777" w:rsidR="00F47023" w:rsidRPr="000A4433" w:rsidRDefault="00F47023" w:rsidP="000A4433">
            <w:pPr>
              <w:pStyle w:val="FSBodyText"/>
              <w:spacing w:after="0" w:line="240" w:lineRule="auto"/>
            </w:pPr>
            <w:r w:rsidRPr="000A4433">
              <w:rPr>
                <w:rStyle w:val="Bold"/>
                <w:rFonts w:eastAsia="MS Mincho"/>
                <w:lang w:val="it-IT"/>
              </w:rPr>
              <w:t>Total suppliers</w:t>
            </w:r>
          </w:p>
        </w:tc>
        <w:tc>
          <w:tcPr>
            <w:tcW w:w="1417" w:type="dxa"/>
            <w:shd w:val="clear" w:color="auto" w:fill="F2F2F2" w:themeFill="background1" w:themeFillShade="F2"/>
            <w:tcMar>
              <w:top w:w="113" w:type="dxa"/>
              <w:left w:w="0" w:type="dxa"/>
              <w:bottom w:w="113" w:type="dxa"/>
              <w:right w:w="113" w:type="dxa"/>
            </w:tcMar>
            <w:vAlign w:val="bottom"/>
          </w:tcPr>
          <w:p w14:paraId="00DD9298"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1,555 </w:t>
            </w:r>
          </w:p>
        </w:tc>
        <w:tc>
          <w:tcPr>
            <w:tcW w:w="1417" w:type="dxa"/>
            <w:shd w:val="clear" w:color="auto" w:fill="F2F2F2" w:themeFill="background1" w:themeFillShade="F2"/>
            <w:tcMar>
              <w:top w:w="113" w:type="dxa"/>
              <w:left w:w="0" w:type="dxa"/>
              <w:bottom w:w="113" w:type="dxa"/>
              <w:right w:w="113" w:type="dxa"/>
            </w:tcMar>
            <w:vAlign w:val="bottom"/>
          </w:tcPr>
          <w:p w14:paraId="4F4D79FB" w14:textId="77777777" w:rsidR="00F47023" w:rsidRPr="000A4433" w:rsidRDefault="00F47023" w:rsidP="000A4433">
            <w:pPr>
              <w:pStyle w:val="FSBodyText"/>
              <w:spacing w:after="0" w:line="240" w:lineRule="auto"/>
              <w:jc w:val="right"/>
            </w:pPr>
            <w:r w:rsidRPr="000A4433">
              <w:rPr>
                <w:lang w:val="it-IT"/>
              </w:rPr>
              <w:t xml:space="preserve">865 </w:t>
            </w:r>
          </w:p>
        </w:tc>
      </w:tr>
      <w:tr w:rsidR="00F47023" w:rsidRPr="000A4433" w14:paraId="200B1533" w14:textId="77777777" w:rsidTr="000A4433">
        <w:trPr>
          <w:trHeight w:val="240"/>
        </w:trPr>
        <w:tc>
          <w:tcPr>
            <w:tcW w:w="7257" w:type="dxa"/>
            <w:tcMar>
              <w:top w:w="227" w:type="dxa"/>
              <w:left w:w="0" w:type="dxa"/>
              <w:bottom w:w="57" w:type="dxa"/>
              <w:right w:w="113" w:type="dxa"/>
            </w:tcMar>
            <w:vAlign w:val="bottom"/>
          </w:tcPr>
          <w:p w14:paraId="36220BBB" w14:textId="77777777" w:rsidR="00F47023" w:rsidRPr="00E8256E" w:rsidRDefault="00F47023" w:rsidP="00E8256E">
            <w:pPr>
              <w:pStyle w:val="FSBlueHeadingBold"/>
            </w:pPr>
            <w:r w:rsidRPr="00E8256E">
              <w:rPr>
                <w:rFonts w:eastAsia="MS Mincho"/>
              </w:rPr>
              <w:t>2.3B: Other Payables</w:t>
            </w:r>
          </w:p>
        </w:tc>
        <w:tc>
          <w:tcPr>
            <w:tcW w:w="1417" w:type="dxa"/>
            <w:tcMar>
              <w:top w:w="227" w:type="dxa"/>
              <w:left w:w="0" w:type="dxa"/>
              <w:bottom w:w="57" w:type="dxa"/>
              <w:right w:w="113" w:type="dxa"/>
            </w:tcMar>
            <w:vAlign w:val="bottom"/>
          </w:tcPr>
          <w:p w14:paraId="5328E24B"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227" w:type="dxa"/>
              <w:left w:w="0" w:type="dxa"/>
              <w:bottom w:w="57" w:type="dxa"/>
              <w:right w:w="113" w:type="dxa"/>
            </w:tcMar>
            <w:vAlign w:val="bottom"/>
          </w:tcPr>
          <w:p w14:paraId="627E3D85"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0A4433" w14:paraId="1D7EF0EB" w14:textId="77777777" w:rsidTr="000A4433">
        <w:trPr>
          <w:trHeight w:val="240"/>
        </w:trPr>
        <w:tc>
          <w:tcPr>
            <w:tcW w:w="7257" w:type="dxa"/>
            <w:tcMar>
              <w:top w:w="28" w:type="dxa"/>
              <w:left w:w="0" w:type="dxa"/>
              <w:bottom w:w="57" w:type="dxa"/>
              <w:right w:w="113" w:type="dxa"/>
            </w:tcMar>
            <w:vAlign w:val="bottom"/>
          </w:tcPr>
          <w:p w14:paraId="6438FEFF" w14:textId="77777777" w:rsidR="00F47023" w:rsidRPr="000A4433" w:rsidRDefault="00F47023" w:rsidP="000A4433">
            <w:pPr>
              <w:pStyle w:val="FSBodyText"/>
              <w:spacing w:after="0" w:line="240" w:lineRule="auto"/>
            </w:pPr>
            <w:r w:rsidRPr="000A4433">
              <w:rPr>
                <w:lang w:val="it-IT"/>
              </w:rPr>
              <w:t>Salaries and wages</w:t>
            </w:r>
          </w:p>
        </w:tc>
        <w:tc>
          <w:tcPr>
            <w:tcW w:w="1417" w:type="dxa"/>
            <w:tcMar>
              <w:top w:w="28" w:type="dxa"/>
              <w:left w:w="0" w:type="dxa"/>
              <w:bottom w:w="57" w:type="dxa"/>
              <w:right w:w="113" w:type="dxa"/>
            </w:tcMar>
            <w:vAlign w:val="bottom"/>
          </w:tcPr>
          <w:p w14:paraId="799B62B0"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582 </w:t>
            </w:r>
          </w:p>
        </w:tc>
        <w:tc>
          <w:tcPr>
            <w:tcW w:w="1417" w:type="dxa"/>
            <w:tcMar>
              <w:top w:w="28" w:type="dxa"/>
              <w:left w:w="0" w:type="dxa"/>
              <w:bottom w:w="57" w:type="dxa"/>
              <w:right w:w="113" w:type="dxa"/>
            </w:tcMar>
            <w:vAlign w:val="bottom"/>
          </w:tcPr>
          <w:p w14:paraId="5925E2E9" w14:textId="77777777" w:rsidR="00F47023" w:rsidRPr="000A4433" w:rsidRDefault="00F47023" w:rsidP="000A4433">
            <w:pPr>
              <w:pStyle w:val="FSBodyText"/>
              <w:spacing w:after="0" w:line="240" w:lineRule="auto"/>
              <w:jc w:val="right"/>
            </w:pPr>
            <w:r w:rsidRPr="000A4433">
              <w:rPr>
                <w:lang w:val="it-IT"/>
              </w:rPr>
              <w:t xml:space="preserve">313 </w:t>
            </w:r>
          </w:p>
        </w:tc>
      </w:tr>
      <w:tr w:rsidR="00F47023" w:rsidRPr="000A4433" w14:paraId="4C7ACAB4" w14:textId="77777777" w:rsidTr="000A4433">
        <w:trPr>
          <w:trHeight w:val="240"/>
        </w:trPr>
        <w:tc>
          <w:tcPr>
            <w:tcW w:w="7257" w:type="dxa"/>
            <w:tcMar>
              <w:top w:w="28" w:type="dxa"/>
              <w:left w:w="0" w:type="dxa"/>
              <w:bottom w:w="57" w:type="dxa"/>
              <w:right w:w="113" w:type="dxa"/>
            </w:tcMar>
            <w:vAlign w:val="bottom"/>
          </w:tcPr>
          <w:p w14:paraId="29ED2CE8" w14:textId="77777777" w:rsidR="00F47023" w:rsidRPr="000A4433" w:rsidRDefault="00F47023" w:rsidP="000A4433">
            <w:pPr>
              <w:pStyle w:val="FSBodyText"/>
              <w:spacing w:after="0" w:line="240" w:lineRule="auto"/>
            </w:pPr>
            <w:r w:rsidRPr="000A4433">
              <w:rPr>
                <w:lang w:val="it-IT"/>
              </w:rPr>
              <w:t>Superannuation</w:t>
            </w:r>
          </w:p>
        </w:tc>
        <w:tc>
          <w:tcPr>
            <w:tcW w:w="1417" w:type="dxa"/>
            <w:tcMar>
              <w:top w:w="28" w:type="dxa"/>
              <w:left w:w="0" w:type="dxa"/>
              <w:bottom w:w="57" w:type="dxa"/>
              <w:right w:w="113" w:type="dxa"/>
            </w:tcMar>
            <w:vAlign w:val="bottom"/>
          </w:tcPr>
          <w:p w14:paraId="0AE08957"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94 </w:t>
            </w:r>
          </w:p>
        </w:tc>
        <w:tc>
          <w:tcPr>
            <w:tcW w:w="1417" w:type="dxa"/>
            <w:tcMar>
              <w:top w:w="28" w:type="dxa"/>
              <w:left w:w="0" w:type="dxa"/>
              <w:bottom w:w="57" w:type="dxa"/>
              <w:right w:w="113" w:type="dxa"/>
            </w:tcMar>
            <w:vAlign w:val="bottom"/>
          </w:tcPr>
          <w:p w14:paraId="630185E7" w14:textId="77777777" w:rsidR="00F47023" w:rsidRPr="000A4433" w:rsidRDefault="00F47023" w:rsidP="000A4433">
            <w:pPr>
              <w:pStyle w:val="FSBodyText"/>
              <w:spacing w:after="0" w:line="240" w:lineRule="auto"/>
              <w:jc w:val="right"/>
            </w:pPr>
            <w:r w:rsidRPr="000A4433">
              <w:rPr>
                <w:lang w:val="it-IT"/>
              </w:rPr>
              <w:t xml:space="preserve">78 </w:t>
            </w:r>
          </w:p>
        </w:tc>
      </w:tr>
      <w:tr w:rsidR="00F47023" w:rsidRPr="000A4433" w14:paraId="4CEE22AD" w14:textId="77777777" w:rsidTr="000A4433">
        <w:trPr>
          <w:trHeight w:val="240"/>
        </w:trPr>
        <w:tc>
          <w:tcPr>
            <w:tcW w:w="7257" w:type="dxa"/>
            <w:tcMar>
              <w:top w:w="28" w:type="dxa"/>
              <w:left w:w="0" w:type="dxa"/>
              <w:bottom w:w="57" w:type="dxa"/>
              <w:right w:w="113" w:type="dxa"/>
            </w:tcMar>
            <w:vAlign w:val="bottom"/>
          </w:tcPr>
          <w:p w14:paraId="1DBF48CA" w14:textId="77777777" w:rsidR="00F47023" w:rsidRPr="000A4433" w:rsidRDefault="00F47023" w:rsidP="000A4433">
            <w:pPr>
              <w:pStyle w:val="FSBodyText"/>
              <w:spacing w:after="0" w:line="240" w:lineRule="auto"/>
            </w:pPr>
            <w:r w:rsidRPr="000A4433">
              <w:rPr>
                <w:lang w:val="it-IT"/>
              </w:rPr>
              <w:t>Other employee expenses</w:t>
            </w:r>
          </w:p>
        </w:tc>
        <w:tc>
          <w:tcPr>
            <w:tcW w:w="1417" w:type="dxa"/>
            <w:tcMar>
              <w:top w:w="28" w:type="dxa"/>
              <w:left w:w="0" w:type="dxa"/>
              <w:bottom w:w="57" w:type="dxa"/>
              <w:right w:w="113" w:type="dxa"/>
            </w:tcMar>
            <w:vAlign w:val="bottom"/>
          </w:tcPr>
          <w:p w14:paraId="4E58285A"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79 </w:t>
            </w:r>
          </w:p>
        </w:tc>
        <w:tc>
          <w:tcPr>
            <w:tcW w:w="1417" w:type="dxa"/>
            <w:tcMar>
              <w:top w:w="28" w:type="dxa"/>
              <w:left w:w="0" w:type="dxa"/>
              <w:bottom w:w="57" w:type="dxa"/>
              <w:right w:w="113" w:type="dxa"/>
            </w:tcMar>
            <w:vAlign w:val="bottom"/>
          </w:tcPr>
          <w:p w14:paraId="2710DCAA" w14:textId="77777777" w:rsidR="00F47023" w:rsidRPr="000A4433" w:rsidRDefault="00F47023" w:rsidP="000A4433">
            <w:pPr>
              <w:pStyle w:val="FSBodyText"/>
              <w:spacing w:after="0" w:line="240" w:lineRule="auto"/>
              <w:jc w:val="right"/>
            </w:pPr>
            <w:r w:rsidRPr="000A4433">
              <w:rPr>
                <w:lang w:val="it-IT"/>
              </w:rPr>
              <w:t xml:space="preserve">133 </w:t>
            </w:r>
          </w:p>
        </w:tc>
      </w:tr>
      <w:tr w:rsidR="00F47023" w:rsidRPr="000A4433" w14:paraId="63880D2C" w14:textId="77777777" w:rsidTr="000A4433">
        <w:trPr>
          <w:trHeight w:val="240"/>
        </w:trPr>
        <w:tc>
          <w:tcPr>
            <w:tcW w:w="7257" w:type="dxa"/>
            <w:tcMar>
              <w:top w:w="28" w:type="dxa"/>
              <w:left w:w="0" w:type="dxa"/>
              <w:bottom w:w="57" w:type="dxa"/>
              <w:right w:w="113" w:type="dxa"/>
            </w:tcMar>
            <w:vAlign w:val="bottom"/>
          </w:tcPr>
          <w:p w14:paraId="66B5142C" w14:textId="77777777" w:rsidR="00F47023" w:rsidRPr="000A4433" w:rsidRDefault="00F47023" w:rsidP="000A4433">
            <w:pPr>
              <w:pStyle w:val="FSBodyText"/>
              <w:spacing w:after="0" w:line="240" w:lineRule="auto"/>
            </w:pPr>
            <w:r w:rsidRPr="000A4433">
              <w:rPr>
                <w:lang w:val="it-IT"/>
              </w:rPr>
              <w:t>Revenue received in advance</w:t>
            </w:r>
          </w:p>
        </w:tc>
        <w:tc>
          <w:tcPr>
            <w:tcW w:w="1417" w:type="dxa"/>
            <w:tcMar>
              <w:top w:w="28" w:type="dxa"/>
              <w:left w:w="0" w:type="dxa"/>
              <w:bottom w:w="57" w:type="dxa"/>
              <w:right w:w="113" w:type="dxa"/>
            </w:tcMar>
            <w:vAlign w:val="bottom"/>
          </w:tcPr>
          <w:p w14:paraId="4BD3C735"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8,843 </w:t>
            </w:r>
          </w:p>
        </w:tc>
        <w:tc>
          <w:tcPr>
            <w:tcW w:w="1417" w:type="dxa"/>
            <w:tcMar>
              <w:top w:w="28" w:type="dxa"/>
              <w:left w:w="0" w:type="dxa"/>
              <w:bottom w:w="57" w:type="dxa"/>
              <w:right w:w="113" w:type="dxa"/>
            </w:tcMar>
            <w:vAlign w:val="bottom"/>
          </w:tcPr>
          <w:p w14:paraId="168E1353" w14:textId="77777777" w:rsidR="00F47023" w:rsidRPr="000A4433" w:rsidRDefault="00F47023" w:rsidP="000A4433">
            <w:pPr>
              <w:pStyle w:val="FSBodyText"/>
              <w:spacing w:after="0" w:line="240" w:lineRule="auto"/>
              <w:jc w:val="right"/>
            </w:pPr>
            <w:r w:rsidRPr="000A4433">
              <w:rPr>
                <w:lang w:val="it-IT"/>
              </w:rPr>
              <w:t xml:space="preserve">4,893 </w:t>
            </w:r>
          </w:p>
        </w:tc>
      </w:tr>
      <w:tr w:rsidR="00F47023" w:rsidRPr="000A4433" w14:paraId="3CAB3D8E" w14:textId="77777777" w:rsidTr="000A4433">
        <w:trPr>
          <w:trHeight w:val="240"/>
        </w:trPr>
        <w:tc>
          <w:tcPr>
            <w:tcW w:w="7257" w:type="dxa"/>
            <w:tcMar>
              <w:top w:w="28" w:type="dxa"/>
              <w:left w:w="0" w:type="dxa"/>
              <w:bottom w:w="57" w:type="dxa"/>
              <w:right w:w="113" w:type="dxa"/>
            </w:tcMar>
            <w:vAlign w:val="bottom"/>
          </w:tcPr>
          <w:p w14:paraId="756E4FC3" w14:textId="77777777" w:rsidR="00F47023" w:rsidRPr="000A4433" w:rsidRDefault="00F47023" w:rsidP="000A4433">
            <w:pPr>
              <w:pStyle w:val="FSBodyText"/>
              <w:spacing w:after="0" w:line="240" w:lineRule="auto"/>
            </w:pPr>
            <w:r w:rsidRPr="000A4433">
              <w:t>Refund liability</w:t>
            </w:r>
          </w:p>
        </w:tc>
        <w:tc>
          <w:tcPr>
            <w:tcW w:w="1417" w:type="dxa"/>
            <w:tcMar>
              <w:top w:w="28" w:type="dxa"/>
              <w:left w:w="0" w:type="dxa"/>
              <w:bottom w:w="57" w:type="dxa"/>
              <w:right w:w="113" w:type="dxa"/>
            </w:tcMar>
            <w:vAlign w:val="bottom"/>
          </w:tcPr>
          <w:p w14:paraId="23F6D292"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1417" w:type="dxa"/>
            <w:tcMar>
              <w:top w:w="28" w:type="dxa"/>
              <w:left w:w="0" w:type="dxa"/>
              <w:bottom w:w="57" w:type="dxa"/>
              <w:right w:w="113" w:type="dxa"/>
            </w:tcMar>
            <w:vAlign w:val="bottom"/>
          </w:tcPr>
          <w:p w14:paraId="4EF8DFB7" w14:textId="77777777" w:rsidR="00F47023" w:rsidRPr="000A4433" w:rsidRDefault="00F47023" w:rsidP="000A4433">
            <w:pPr>
              <w:pStyle w:val="FSBodyText"/>
              <w:spacing w:after="0" w:line="240" w:lineRule="auto"/>
              <w:jc w:val="right"/>
            </w:pPr>
            <w:r w:rsidRPr="000A4433">
              <w:rPr>
                <w:lang w:val="it-IT"/>
              </w:rPr>
              <w:t xml:space="preserve">971 </w:t>
            </w:r>
          </w:p>
        </w:tc>
      </w:tr>
      <w:tr w:rsidR="00F47023" w:rsidRPr="000A4433" w14:paraId="054713B7" w14:textId="77777777" w:rsidTr="000A4433">
        <w:trPr>
          <w:trHeight w:val="240"/>
        </w:trPr>
        <w:tc>
          <w:tcPr>
            <w:tcW w:w="7257" w:type="dxa"/>
            <w:tcMar>
              <w:top w:w="57" w:type="dxa"/>
              <w:left w:w="0" w:type="dxa"/>
              <w:bottom w:w="113" w:type="dxa"/>
              <w:right w:w="113" w:type="dxa"/>
            </w:tcMar>
            <w:vAlign w:val="bottom"/>
          </w:tcPr>
          <w:p w14:paraId="106554C5" w14:textId="77777777" w:rsidR="00F47023" w:rsidRPr="000A4433" w:rsidRDefault="00F47023" w:rsidP="000A4433">
            <w:pPr>
              <w:pStyle w:val="FSBodyText"/>
              <w:spacing w:after="0" w:line="240" w:lineRule="auto"/>
            </w:pPr>
            <w:r w:rsidRPr="000A4433">
              <w:t>GST payable to the Australian Taxation Office</w:t>
            </w:r>
          </w:p>
        </w:tc>
        <w:tc>
          <w:tcPr>
            <w:tcW w:w="1417" w:type="dxa"/>
            <w:tcMar>
              <w:top w:w="57" w:type="dxa"/>
              <w:left w:w="0" w:type="dxa"/>
              <w:bottom w:w="113" w:type="dxa"/>
              <w:right w:w="113" w:type="dxa"/>
            </w:tcMar>
            <w:vAlign w:val="bottom"/>
          </w:tcPr>
          <w:p w14:paraId="1A71B76D"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2 </w:t>
            </w:r>
          </w:p>
        </w:tc>
        <w:tc>
          <w:tcPr>
            <w:tcW w:w="1417" w:type="dxa"/>
            <w:tcMar>
              <w:top w:w="57" w:type="dxa"/>
              <w:left w:w="0" w:type="dxa"/>
              <w:bottom w:w="113" w:type="dxa"/>
              <w:right w:w="113" w:type="dxa"/>
            </w:tcMar>
            <w:vAlign w:val="bottom"/>
          </w:tcPr>
          <w:p w14:paraId="17968A5F" w14:textId="77777777" w:rsidR="00F47023" w:rsidRPr="000A4433" w:rsidRDefault="00F47023" w:rsidP="000A4433">
            <w:pPr>
              <w:pStyle w:val="FSBodyText"/>
              <w:spacing w:after="0" w:line="240" w:lineRule="auto"/>
              <w:jc w:val="right"/>
            </w:pPr>
            <w:r w:rsidRPr="000A4433">
              <w:rPr>
                <w:lang w:val="it-IT"/>
              </w:rPr>
              <w:t xml:space="preserve"> -</w:t>
            </w:r>
          </w:p>
        </w:tc>
      </w:tr>
      <w:tr w:rsidR="00F47023" w:rsidRPr="000A4433" w14:paraId="162A22BD" w14:textId="77777777" w:rsidTr="000A4433">
        <w:trPr>
          <w:trHeight w:val="240"/>
        </w:trPr>
        <w:tc>
          <w:tcPr>
            <w:tcW w:w="7257" w:type="dxa"/>
            <w:shd w:val="clear" w:color="auto" w:fill="F2F2F2" w:themeFill="background1" w:themeFillShade="F2"/>
            <w:tcMar>
              <w:top w:w="113" w:type="dxa"/>
              <w:left w:w="0" w:type="dxa"/>
              <w:bottom w:w="113" w:type="dxa"/>
              <w:right w:w="113" w:type="dxa"/>
            </w:tcMar>
            <w:vAlign w:val="bottom"/>
          </w:tcPr>
          <w:p w14:paraId="12CC059C" w14:textId="77777777" w:rsidR="00F47023" w:rsidRPr="000A4433" w:rsidRDefault="00F47023" w:rsidP="000A4433">
            <w:pPr>
              <w:pStyle w:val="FSBodyText"/>
              <w:spacing w:after="0" w:line="240" w:lineRule="auto"/>
            </w:pPr>
            <w:r w:rsidRPr="000A4433">
              <w:rPr>
                <w:rStyle w:val="Bold"/>
                <w:rFonts w:eastAsia="MS Mincho"/>
                <w:lang w:val="it-IT"/>
              </w:rPr>
              <w:t>Total other payables</w:t>
            </w:r>
          </w:p>
        </w:tc>
        <w:tc>
          <w:tcPr>
            <w:tcW w:w="1417" w:type="dxa"/>
            <w:shd w:val="clear" w:color="auto" w:fill="F2F2F2" w:themeFill="background1" w:themeFillShade="F2"/>
            <w:tcMar>
              <w:top w:w="113" w:type="dxa"/>
              <w:left w:w="0" w:type="dxa"/>
              <w:bottom w:w="113" w:type="dxa"/>
              <w:right w:w="113" w:type="dxa"/>
            </w:tcMar>
            <w:vAlign w:val="bottom"/>
          </w:tcPr>
          <w:p w14:paraId="37FFF901"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9,600 </w:t>
            </w:r>
          </w:p>
        </w:tc>
        <w:tc>
          <w:tcPr>
            <w:tcW w:w="1417" w:type="dxa"/>
            <w:shd w:val="clear" w:color="auto" w:fill="F2F2F2" w:themeFill="background1" w:themeFillShade="F2"/>
            <w:tcMar>
              <w:top w:w="113" w:type="dxa"/>
              <w:left w:w="0" w:type="dxa"/>
              <w:bottom w:w="113" w:type="dxa"/>
              <w:right w:w="113" w:type="dxa"/>
            </w:tcMar>
            <w:vAlign w:val="bottom"/>
          </w:tcPr>
          <w:p w14:paraId="72007234" w14:textId="77777777" w:rsidR="00F47023" w:rsidRPr="000A4433" w:rsidRDefault="00F47023" w:rsidP="000A4433">
            <w:pPr>
              <w:pStyle w:val="FSBodyText"/>
              <w:spacing w:after="0" w:line="240" w:lineRule="auto"/>
              <w:jc w:val="right"/>
            </w:pPr>
            <w:r w:rsidRPr="000A4433">
              <w:rPr>
                <w:lang w:val="it-IT"/>
              </w:rPr>
              <w:t xml:space="preserve">6,388 </w:t>
            </w:r>
          </w:p>
        </w:tc>
      </w:tr>
      <w:tr w:rsidR="00F47023" w:rsidRPr="000A4433" w14:paraId="4B3831F6" w14:textId="77777777" w:rsidTr="000A4433">
        <w:trPr>
          <w:trHeight w:val="240"/>
        </w:trPr>
        <w:tc>
          <w:tcPr>
            <w:tcW w:w="7257" w:type="dxa"/>
            <w:tcMar>
              <w:top w:w="227" w:type="dxa"/>
              <w:left w:w="0" w:type="dxa"/>
              <w:bottom w:w="57" w:type="dxa"/>
              <w:right w:w="113" w:type="dxa"/>
            </w:tcMar>
            <w:vAlign w:val="bottom"/>
          </w:tcPr>
          <w:p w14:paraId="69836B13" w14:textId="77777777" w:rsidR="00F47023" w:rsidRPr="000A4433" w:rsidRDefault="00F47023" w:rsidP="000A4433">
            <w:pPr>
              <w:pStyle w:val="FSBodyText"/>
              <w:spacing w:after="0" w:line="240" w:lineRule="auto"/>
            </w:pPr>
            <w:r w:rsidRPr="000A4433">
              <w:rPr>
                <w:rStyle w:val="Bold"/>
                <w:rFonts w:eastAsia="MS Mincho"/>
              </w:rPr>
              <w:t>Other payables to be settled</w:t>
            </w:r>
          </w:p>
        </w:tc>
        <w:tc>
          <w:tcPr>
            <w:tcW w:w="1417" w:type="dxa"/>
            <w:tcMar>
              <w:top w:w="227" w:type="dxa"/>
              <w:left w:w="0" w:type="dxa"/>
              <w:bottom w:w="57" w:type="dxa"/>
              <w:right w:w="113" w:type="dxa"/>
            </w:tcMar>
            <w:vAlign w:val="bottom"/>
          </w:tcPr>
          <w:p w14:paraId="71AF9D81"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c>
          <w:tcPr>
            <w:tcW w:w="1417" w:type="dxa"/>
            <w:tcMar>
              <w:top w:w="227" w:type="dxa"/>
              <w:left w:w="0" w:type="dxa"/>
              <w:bottom w:w="57" w:type="dxa"/>
              <w:right w:w="113" w:type="dxa"/>
            </w:tcMar>
            <w:vAlign w:val="bottom"/>
          </w:tcPr>
          <w:p w14:paraId="793A4363"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r>
      <w:tr w:rsidR="00F47023" w:rsidRPr="000A4433" w14:paraId="11BFA3B3" w14:textId="77777777" w:rsidTr="000A4433">
        <w:trPr>
          <w:trHeight w:val="240"/>
        </w:trPr>
        <w:tc>
          <w:tcPr>
            <w:tcW w:w="7257" w:type="dxa"/>
            <w:tcMar>
              <w:top w:w="28" w:type="dxa"/>
              <w:left w:w="0" w:type="dxa"/>
              <w:bottom w:w="57" w:type="dxa"/>
              <w:right w:w="113" w:type="dxa"/>
            </w:tcMar>
            <w:vAlign w:val="center"/>
          </w:tcPr>
          <w:p w14:paraId="45E19417" w14:textId="77777777" w:rsidR="00F47023" w:rsidRPr="000A4433" w:rsidRDefault="00F47023" w:rsidP="000A4433">
            <w:pPr>
              <w:pStyle w:val="FSBodyText"/>
              <w:spacing w:after="0" w:line="240" w:lineRule="auto"/>
              <w:ind w:firstLine="180"/>
            </w:pPr>
            <w:r w:rsidRPr="000A4433">
              <w:rPr>
                <w:lang w:val="it-IT"/>
              </w:rPr>
              <w:t>No more than 12 months</w:t>
            </w:r>
          </w:p>
        </w:tc>
        <w:tc>
          <w:tcPr>
            <w:tcW w:w="1417" w:type="dxa"/>
            <w:tcMar>
              <w:top w:w="28" w:type="dxa"/>
              <w:left w:w="0" w:type="dxa"/>
              <w:bottom w:w="57" w:type="dxa"/>
              <w:right w:w="113" w:type="dxa"/>
            </w:tcMar>
            <w:vAlign w:val="bottom"/>
          </w:tcPr>
          <w:p w14:paraId="79FB1B81"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8,993 </w:t>
            </w:r>
          </w:p>
        </w:tc>
        <w:tc>
          <w:tcPr>
            <w:tcW w:w="1417" w:type="dxa"/>
            <w:tcMar>
              <w:top w:w="28" w:type="dxa"/>
              <w:left w:w="0" w:type="dxa"/>
              <w:bottom w:w="57" w:type="dxa"/>
              <w:right w:w="113" w:type="dxa"/>
            </w:tcMar>
            <w:vAlign w:val="bottom"/>
          </w:tcPr>
          <w:p w14:paraId="315B2C4F" w14:textId="77777777" w:rsidR="00F47023" w:rsidRPr="000A4433" w:rsidRDefault="00F47023" w:rsidP="000A4433">
            <w:pPr>
              <w:pStyle w:val="FSBodyText"/>
              <w:spacing w:after="0" w:line="240" w:lineRule="auto"/>
              <w:jc w:val="right"/>
            </w:pPr>
            <w:r w:rsidRPr="000A4433">
              <w:rPr>
                <w:lang w:val="it-IT"/>
              </w:rPr>
              <w:t xml:space="preserve">6,388 </w:t>
            </w:r>
          </w:p>
        </w:tc>
      </w:tr>
      <w:tr w:rsidR="00F47023" w:rsidRPr="000A4433" w14:paraId="745B4BB0" w14:textId="77777777" w:rsidTr="000A4433">
        <w:trPr>
          <w:trHeight w:val="240"/>
        </w:trPr>
        <w:tc>
          <w:tcPr>
            <w:tcW w:w="7257" w:type="dxa"/>
            <w:tcMar>
              <w:top w:w="28" w:type="dxa"/>
              <w:left w:w="0" w:type="dxa"/>
              <w:bottom w:w="113" w:type="dxa"/>
              <w:right w:w="113" w:type="dxa"/>
            </w:tcMar>
            <w:vAlign w:val="bottom"/>
          </w:tcPr>
          <w:p w14:paraId="7FF7CB10" w14:textId="77777777" w:rsidR="00F47023" w:rsidRPr="000A4433" w:rsidRDefault="00F47023" w:rsidP="000A4433">
            <w:pPr>
              <w:pStyle w:val="FSBodyText"/>
              <w:spacing w:after="0" w:line="240" w:lineRule="auto"/>
              <w:ind w:firstLine="180"/>
            </w:pPr>
            <w:r w:rsidRPr="000A4433">
              <w:rPr>
                <w:lang w:val="it-IT"/>
              </w:rPr>
              <w:t>More than 12 months</w:t>
            </w:r>
          </w:p>
        </w:tc>
        <w:tc>
          <w:tcPr>
            <w:tcW w:w="1417" w:type="dxa"/>
            <w:tcMar>
              <w:top w:w="28" w:type="dxa"/>
              <w:left w:w="0" w:type="dxa"/>
              <w:bottom w:w="113" w:type="dxa"/>
              <w:right w:w="113" w:type="dxa"/>
            </w:tcMar>
            <w:vAlign w:val="bottom"/>
          </w:tcPr>
          <w:p w14:paraId="60361820"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607 </w:t>
            </w:r>
          </w:p>
        </w:tc>
        <w:tc>
          <w:tcPr>
            <w:tcW w:w="1417" w:type="dxa"/>
            <w:tcMar>
              <w:top w:w="28" w:type="dxa"/>
              <w:left w:w="0" w:type="dxa"/>
              <w:bottom w:w="113" w:type="dxa"/>
              <w:right w:w="113" w:type="dxa"/>
            </w:tcMar>
            <w:vAlign w:val="bottom"/>
          </w:tcPr>
          <w:p w14:paraId="16487272" w14:textId="77777777" w:rsidR="00F47023" w:rsidRPr="000A4433" w:rsidRDefault="00F47023" w:rsidP="000A4433">
            <w:pPr>
              <w:pStyle w:val="FSBodyText"/>
              <w:spacing w:after="0" w:line="240" w:lineRule="auto"/>
              <w:jc w:val="right"/>
            </w:pPr>
            <w:r w:rsidRPr="000A4433">
              <w:rPr>
                <w:lang w:val="it-IT"/>
              </w:rPr>
              <w:t xml:space="preserve"> -</w:t>
            </w:r>
          </w:p>
        </w:tc>
      </w:tr>
      <w:tr w:rsidR="00F47023" w:rsidRPr="000A4433" w14:paraId="7F0257BC" w14:textId="77777777" w:rsidTr="000A4433">
        <w:trPr>
          <w:trHeight w:val="240"/>
        </w:trPr>
        <w:tc>
          <w:tcPr>
            <w:tcW w:w="7257" w:type="dxa"/>
            <w:shd w:val="clear" w:color="auto" w:fill="F2F2F2" w:themeFill="background1" w:themeFillShade="F2"/>
            <w:tcMar>
              <w:top w:w="113" w:type="dxa"/>
              <w:left w:w="0" w:type="dxa"/>
              <w:bottom w:w="113" w:type="dxa"/>
              <w:right w:w="113" w:type="dxa"/>
            </w:tcMar>
            <w:vAlign w:val="bottom"/>
          </w:tcPr>
          <w:p w14:paraId="6D739BB1" w14:textId="77777777" w:rsidR="00F47023" w:rsidRPr="000A4433" w:rsidRDefault="00F47023" w:rsidP="000A4433">
            <w:pPr>
              <w:pStyle w:val="FSBodyText"/>
              <w:spacing w:after="0" w:line="240" w:lineRule="auto"/>
            </w:pPr>
            <w:r w:rsidRPr="000A4433">
              <w:rPr>
                <w:rStyle w:val="Bold"/>
                <w:rFonts w:eastAsia="MS Mincho"/>
                <w:lang w:val="it-IT"/>
              </w:rPr>
              <w:t>Total other payables</w:t>
            </w:r>
          </w:p>
        </w:tc>
        <w:tc>
          <w:tcPr>
            <w:tcW w:w="1417" w:type="dxa"/>
            <w:shd w:val="clear" w:color="auto" w:fill="F2F2F2" w:themeFill="background1" w:themeFillShade="F2"/>
            <w:tcMar>
              <w:top w:w="113" w:type="dxa"/>
              <w:left w:w="0" w:type="dxa"/>
              <w:bottom w:w="113" w:type="dxa"/>
              <w:right w:w="113" w:type="dxa"/>
            </w:tcMar>
            <w:vAlign w:val="bottom"/>
          </w:tcPr>
          <w:p w14:paraId="0728BFC7"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9,600 </w:t>
            </w:r>
          </w:p>
        </w:tc>
        <w:tc>
          <w:tcPr>
            <w:tcW w:w="1417" w:type="dxa"/>
            <w:shd w:val="clear" w:color="auto" w:fill="F2F2F2" w:themeFill="background1" w:themeFillShade="F2"/>
            <w:tcMar>
              <w:top w:w="113" w:type="dxa"/>
              <w:left w:w="0" w:type="dxa"/>
              <w:bottom w:w="113" w:type="dxa"/>
              <w:right w:w="113" w:type="dxa"/>
            </w:tcMar>
            <w:vAlign w:val="bottom"/>
          </w:tcPr>
          <w:p w14:paraId="4151ED1D" w14:textId="77777777" w:rsidR="00F47023" w:rsidRPr="000A4433" w:rsidRDefault="00F47023" w:rsidP="000A4433">
            <w:pPr>
              <w:pStyle w:val="FSBodyText"/>
              <w:spacing w:after="0" w:line="240" w:lineRule="auto"/>
              <w:jc w:val="right"/>
            </w:pPr>
            <w:r w:rsidRPr="000A4433">
              <w:rPr>
                <w:lang w:val="it-IT"/>
              </w:rPr>
              <w:t xml:space="preserve">6,388 </w:t>
            </w:r>
          </w:p>
        </w:tc>
      </w:tr>
    </w:tbl>
    <w:p w14:paraId="17ECBE36" w14:textId="77777777" w:rsidR="00F47023" w:rsidRDefault="00F47023" w:rsidP="00F47023">
      <w:pPr>
        <w:pStyle w:val="FSBodyText"/>
        <w:spacing w:after="227"/>
      </w:pPr>
    </w:p>
    <w:p w14:paraId="7049DB48" w14:textId="77777777" w:rsidR="00F47023" w:rsidRDefault="00F47023" w:rsidP="00F47023">
      <w:pPr>
        <w:pStyle w:val="Heading2-Tutti"/>
        <w:rPr>
          <w:color w:val="000000"/>
          <w:sz w:val="18"/>
          <w:szCs w:val="18"/>
          <w:lang w:val="en-US"/>
        </w:rPr>
      </w:pPr>
      <w:r>
        <w:rPr>
          <w:color w:val="2BB8C9"/>
        </w:rPr>
        <w:t>2.4 Interest Bearing Liabilities</w:t>
      </w:r>
    </w:p>
    <w:tbl>
      <w:tblPr>
        <w:tblW w:w="0" w:type="auto"/>
        <w:tblLayout w:type="fixed"/>
        <w:tblCellMar>
          <w:left w:w="0" w:type="dxa"/>
          <w:right w:w="0" w:type="dxa"/>
        </w:tblCellMar>
        <w:tblLook w:val="0000" w:firstRow="0" w:lastRow="0" w:firstColumn="0" w:lastColumn="0" w:noHBand="0" w:noVBand="0"/>
      </w:tblPr>
      <w:tblGrid>
        <w:gridCol w:w="7257"/>
        <w:gridCol w:w="1417"/>
        <w:gridCol w:w="1417"/>
      </w:tblGrid>
      <w:tr w:rsidR="000A4433" w:rsidRPr="000A4433" w14:paraId="416A0899" w14:textId="77777777" w:rsidTr="000A4433">
        <w:trPr>
          <w:trHeight w:val="255"/>
        </w:trPr>
        <w:tc>
          <w:tcPr>
            <w:tcW w:w="7257" w:type="dxa"/>
            <w:tcBorders>
              <w:top w:val="single" w:sz="8" w:space="0" w:color="6D6E70"/>
              <w:left w:val="nil"/>
              <w:bottom w:val="single" w:sz="4" w:space="0" w:color="auto"/>
              <w:right w:val="nil"/>
            </w:tcBorders>
            <w:shd w:val="clear" w:color="auto" w:fill="1CBDC9"/>
            <w:tcMar>
              <w:top w:w="85" w:type="dxa"/>
              <w:left w:w="113" w:type="dxa"/>
              <w:bottom w:w="113" w:type="dxa"/>
              <w:right w:w="113" w:type="dxa"/>
            </w:tcMar>
            <w:vAlign w:val="bottom"/>
          </w:tcPr>
          <w:p w14:paraId="5C6E45CD" w14:textId="77777777" w:rsidR="00F47023" w:rsidRPr="000A4433" w:rsidRDefault="00F47023">
            <w:pPr>
              <w:pStyle w:val="Nessunostileparagrafo"/>
              <w:spacing w:line="240" w:lineRule="auto"/>
              <w:textAlignment w:val="auto"/>
              <w:rPr>
                <w:rFonts w:ascii="Open Sans Semibold" w:hAnsi="Open Sans Semibold" w:cs="Times New Roman"/>
                <w:color w:val="FFFFFF" w:themeColor="background1"/>
                <w:sz w:val="20"/>
                <w:szCs w:val="20"/>
                <w:lang w:val="it-IT"/>
              </w:rPr>
            </w:pPr>
          </w:p>
        </w:tc>
        <w:tc>
          <w:tcPr>
            <w:tcW w:w="1417" w:type="dxa"/>
            <w:tcBorders>
              <w:top w:val="single" w:sz="8" w:space="0" w:color="6D6E70"/>
              <w:left w:val="nil"/>
              <w:bottom w:val="single" w:sz="4" w:space="0" w:color="auto"/>
              <w:right w:val="nil"/>
            </w:tcBorders>
            <w:shd w:val="clear" w:color="auto" w:fill="1CBDC9"/>
            <w:tcMar>
              <w:top w:w="85" w:type="dxa"/>
              <w:left w:w="113" w:type="dxa"/>
              <w:bottom w:w="113" w:type="dxa"/>
              <w:right w:w="113" w:type="dxa"/>
            </w:tcMar>
            <w:vAlign w:val="bottom"/>
          </w:tcPr>
          <w:p w14:paraId="0D78B1DA" w14:textId="77777777" w:rsidR="00F47023" w:rsidRPr="000A4433" w:rsidRDefault="00F47023">
            <w:pPr>
              <w:pStyle w:val="FSHeaderRow"/>
              <w:rPr>
                <w:color w:val="FFFFFF" w:themeColor="background1"/>
                <w:sz w:val="20"/>
                <w:szCs w:val="20"/>
              </w:rPr>
            </w:pPr>
            <w:r w:rsidRPr="000A4433">
              <w:rPr>
                <w:color w:val="FFFFFF" w:themeColor="background1"/>
                <w:sz w:val="20"/>
                <w:szCs w:val="20"/>
              </w:rPr>
              <w:t>2023</w:t>
            </w:r>
          </w:p>
          <w:p w14:paraId="6A4BACA5" w14:textId="77777777" w:rsidR="00F47023" w:rsidRPr="000A4433" w:rsidRDefault="00F47023">
            <w:pPr>
              <w:pStyle w:val="FSHeaderRow"/>
              <w:rPr>
                <w:color w:val="FFFFFF" w:themeColor="background1"/>
                <w:sz w:val="20"/>
                <w:szCs w:val="20"/>
              </w:rPr>
            </w:pPr>
            <w:r w:rsidRPr="000A4433">
              <w:rPr>
                <w:color w:val="FFFFFF" w:themeColor="background1"/>
                <w:sz w:val="20"/>
                <w:szCs w:val="20"/>
              </w:rPr>
              <w:t>$’000</w:t>
            </w:r>
          </w:p>
        </w:tc>
        <w:tc>
          <w:tcPr>
            <w:tcW w:w="1417" w:type="dxa"/>
            <w:tcBorders>
              <w:top w:val="single" w:sz="8" w:space="0" w:color="6D6E70"/>
              <w:left w:val="nil"/>
              <w:bottom w:val="single" w:sz="4" w:space="0" w:color="auto"/>
              <w:right w:val="nil"/>
            </w:tcBorders>
            <w:shd w:val="clear" w:color="auto" w:fill="1CBDC9"/>
            <w:tcMar>
              <w:top w:w="85" w:type="dxa"/>
              <w:left w:w="113" w:type="dxa"/>
              <w:bottom w:w="113" w:type="dxa"/>
              <w:right w:w="113" w:type="dxa"/>
            </w:tcMar>
            <w:vAlign w:val="bottom"/>
          </w:tcPr>
          <w:p w14:paraId="742B1579" w14:textId="77777777" w:rsidR="00F47023" w:rsidRPr="000A4433" w:rsidRDefault="00F47023">
            <w:pPr>
              <w:pStyle w:val="FSHeaderRow"/>
              <w:rPr>
                <w:rStyle w:val="FSUnboldCond"/>
                <w:b w:val="0"/>
                <w:bCs w:val="0"/>
                <w:color w:val="FFFFFF" w:themeColor="background1"/>
                <w:sz w:val="20"/>
                <w:szCs w:val="20"/>
              </w:rPr>
            </w:pPr>
            <w:r w:rsidRPr="000A4433">
              <w:rPr>
                <w:rStyle w:val="FSUnboldCond"/>
                <w:b w:val="0"/>
                <w:bCs w:val="0"/>
                <w:color w:val="FFFFFF" w:themeColor="background1"/>
                <w:sz w:val="20"/>
                <w:szCs w:val="20"/>
              </w:rPr>
              <w:t>2022</w:t>
            </w:r>
          </w:p>
          <w:p w14:paraId="33E3B380" w14:textId="77777777" w:rsidR="00F47023" w:rsidRPr="000A4433" w:rsidRDefault="00F47023">
            <w:pPr>
              <w:pStyle w:val="FSHeaderRow"/>
              <w:rPr>
                <w:color w:val="FFFFFF" w:themeColor="background1"/>
                <w:sz w:val="20"/>
                <w:szCs w:val="20"/>
              </w:rPr>
            </w:pPr>
            <w:r w:rsidRPr="000A4433">
              <w:rPr>
                <w:rStyle w:val="FSUnboldCond"/>
                <w:b w:val="0"/>
                <w:bCs w:val="0"/>
                <w:color w:val="FFFFFF" w:themeColor="background1"/>
                <w:sz w:val="20"/>
                <w:szCs w:val="20"/>
              </w:rPr>
              <w:t>$’000</w:t>
            </w:r>
          </w:p>
        </w:tc>
      </w:tr>
      <w:tr w:rsidR="00F47023" w:rsidRPr="000A4433" w14:paraId="1DEB1E85" w14:textId="77777777" w:rsidTr="000A4433">
        <w:trPr>
          <w:trHeight w:val="240"/>
        </w:trPr>
        <w:tc>
          <w:tcPr>
            <w:tcW w:w="7257" w:type="dxa"/>
            <w:tcBorders>
              <w:top w:val="single" w:sz="4" w:space="0" w:color="auto"/>
              <w:left w:val="nil"/>
              <w:bottom w:val="single" w:sz="4" w:space="0" w:color="auto"/>
              <w:right w:val="nil"/>
            </w:tcBorders>
            <w:tcMar>
              <w:top w:w="227" w:type="dxa"/>
              <w:left w:w="0" w:type="dxa"/>
              <w:bottom w:w="57" w:type="dxa"/>
              <w:right w:w="113" w:type="dxa"/>
            </w:tcMar>
            <w:vAlign w:val="bottom"/>
          </w:tcPr>
          <w:p w14:paraId="1BD899EB" w14:textId="77777777" w:rsidR="00F47023" w:rsidRPr="000A4433" w:rsidRDefault="00F47023" w:rsidP="000A4433">
            <w:pPr>
              <w:pStyle w:val="FSBlueHeadingBold"/>
            </w:pPr>
            <w:r w:rsidRPr="000A4433">
              <w:rPr>
                <w:rStyle w:val="Bold"/>
                <w:rFonts w:eastAsia="MS Mincho"/>
                <w:b/>
                <w:bCs/>
              </w:rPr>
              <w:t>2.4A: Leases</w:t>
            </w:r>
          </w:p>
        </w:tc>
        <w:tc>
          <w:tcPr>
            <w:tcW w:w="1417" w:type="dxa"/>
            <w:tcBorders>
              <w:top w:val="single" w:sz="4" w:space="0" w:color="auto"/>
              <w:left w:val="nil"/>
              <w:bottom w:val="single" w:sz="4" w:space="0" w:color="auto"/>
              <w:right w:val="nil"/>
            </w:tcBorders>
            <w:tcMar>
              <w:top w:w="227" w:type="dxa"/>
              <w:left w:w="0" w:type="dxa"/>
              <w:bottom w:w="57" w:type="dxa"/>
              <w:right w:w="113" w:type="dxa"/>
            </w:tcMar>
            <w:vAlign w:val="bottom"/>
          </w:tcPr>
          <w:p w14:paraId="5F959905"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Borders>
              <w:top w:val="single" w:sz="4" w:space="0" w:color="auto"/>
              <w:left w:val="nil"/>
              <w:bottom w:val="single" w:sz="4" w:space="0" w:color="auto"/>
              <w:right w:val="nil"/>
            </w:tcBorders>
            <w:tcMar>
              <w:top w:w="227" w:type="dxa"/>
              <w:left w:w="0" w:type="dxa"/>
              <w:bottom w:w="57" w:type="dxa"/>
              <w:right w:w="113" w:type="dxa"/>
            </w:tcMar>
            <w:vAlign w:val="bottom"/>
          </w:tcPr>
          <w:p w14:paraId="091C4E0E"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0A4433" w14:paraId="5C460855" w14:textId="77777777" w:rsidTr="000A4433">
        <w:trPr>
          <w:trHeight w:val="240"/>
        </w:trPr>
        <w:tc>
          <w:tcPr>
            <w:tcW w:w="7257" w:type="dxa"/>
            <w:tcBorders>
              <w:top w:val="single" w:sz="4" w:space="0" w:color="auto"/>
              <w:left w:val="nil"/>
              <w:bottom w:val="single" w:sz="4" w:space="0" w:color="auto"/>
              <w:right w:val="nil"/>
            </w:tcBorders>
            <w:tcMar>
              <w:top w:w="113" w:type="dxa"/>
              <w:left w:w="0" w:type="dxa"/>
              <w:bottom w:w="113" w:type="dxa"/>
              <w:right w:w="113" w:type="dxa"/>
            </w:tcMar>
            <w:vAlign w:val="bottom"/>
          </w:tcPr>
          <w:p w14:paraId="5FFE86F7" w14:textId="77777777" w:rsidR="00F47023" w:rsidRPr="000A4433" w:rsidRDefault="00F47023" w:rsidP="000A4433">
            <w:pPr>
              <w:pStyle w:val="FSBodyText"/>
              <w:spacing w:after="0" w:line="240" w:lineRule="auto"/>
            </w:pPr>
            <w:r w:rsidRPr="000A4433">
              <w:rPr>
                <w:lang w:val="it-IT"/>
              </w:rPr>
              <w:t>Lease Liabilities</w:t>
            </w:r>
          </w:p>
        </w:tc>
        <w:tc>
          <w:tcPr>
            <w:tcW w:w="1417" w:type="dxa"/>
            <w:tcBorders>
              <w:top w:val="single" w:sz="4" w:space="0" w:color="auto"/>
              <w:left w:val="nil"/>
              <w:bottom w:val="single" w:sz="4" w:space="0" w:color="auto"/>
              <w:right w:val="nil"/>
            </w:tcBorders>
            <w:tcMar>
              <w:top w:w="113" w:type="dxa"/>
              <w:left w:w="0" w:type="dxa"/>
              <w:bottom w:w="113" w:type="dxa"/>
              <w:right w:w="113" w:type="dxa"/>
            </w:tcMar>
            <w:vAlign w:val="bottom"/>
          </w:tcPr>
          <w:p w14:paraId="428CA9D7"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2,605 </w:t>
            </w:r>
          </w:p>
        </w:tc>
        <w:tc>
          <w:tcPr>
            <w:tcW w:w="1417" w:type="dxa"/>
            <w:tcBorders>
              <w:top w:val="single" w:sz="4" w:space="0" w:color="auto"/>
              <w:left w:val="nil"/>
              <w:bottom w:val="single" w:sz="4" w:space="0" w:color="auto"/>
              <w:right w:val="nil"/>
            </w:tcBorders>
            <w:tcMar>
              <w:top w:w="113" w:type="dxa"/>
              <w:left w:w="0" w:type="dxa"/>
              <w:bottom w:w="113" w:type="dxa"/>
              <w:right w:w="113" w:type="dxa"/>
            </w:tcMar>
            <w:vAlign w:val="bottom"/>
          </w:tcPr>
          <w:p w14:paraId="295C7D77" w14:textId="77777777" w:rsidR="00F47023" w:rsidRPr="000A4433" w:rsidRDefault="00F47023" w:rsidP="000A4433">
            <w:pPr>
              <w:pStyle w:val="FSBodyText"/>
              <w:spacing w:after="0" w:line="240" w:lineRule="auto"/>
              <w:jc w:val="right"/>
            </w:pPr>
            <w:r w:rsidRPr="000A4433">
              <w:rPr>
                <w:lang w:val="it-IT"/>
              </w:rPr>
              <w:t xml:space="preserve">5,104 </w:t>
            </w:r>
          </w:p>
        </w:tc>
      </w:tr>
      <w:tr w:rsidR="00F47023" w:rsidRPr="000A4433" w14:paraId="748C87E7" w14:textId="77777777" w:rsidTr="000A4433">
        <w:trPr>
          <w:trHeight w:val="240"/>
        </w:trPr>
        <w:tc>
          <w:tcPr>
            <w:tcW w:w="7257" w:type="dxa"/>
            <w:tcBorders>
              <w:top w:val="single" w:sz="4" w:space="0" w:color="auto"/>
              <w:left w:val="nil"/>
              <w:bottom w:val="single" w:sz="4" w:space="0" w:color="auto"/>
              <w:right w:val="nil"/>
            </w:tcBorders>
            <w:shd w:val="clear" w:color="auto" w:fill="F2F2F2" w:themeFill="background1" w:themeFillShade="F2"/>
            <w:tcMar>
              <w:top w:w="113" w:type="dxa"/>
              <w:left w:w="0" w:type="dxa"/>
              <w:bottom w:w="113" w:type="dxa"/>
              <w:right w:w="113" w:type="dxa"/>
            </w:tcMar>
            <w:vAlign w:val="bottom"/>
          </w:tcPr>
          <w:p w14:paraId="05BA9760" w14:textId="77777777" w:rsidR="00F47023" w:rsidRPr="000A4433" w:rsidRDefault="00F47023" w:rsidP="000A4433">
            <w:pPr>
              <w:pStyle w:val="FSBodyText"/>
              <w:spacing w:after="0" w:line="240" w:lineRule="auto"/>
            </w:pPr>
            <w:r w:rsidRPr="000A4433">
              <w:rPr>
                <w:rStyle w:val="Bold"/>
                <w:rFonts w:eastAsia="MS Mincho"/>
                <w:lang w:val="it-IT"/>
              </w:rPr>
              <w:t>Total leases</w:t>
            </w:r>
          </w:p>
        </w:tc>
        <w:tc>
          <w:tcPr>
            <w:tcW w:w="1417" w:type="dxa"/>
            <w:tcBorders>
              <w:top w:val="single" w:sz="4" w:space="0" w:color="auto"/>
              <w:left w:val="nil"/>
              <w:bottom w:val="single" w:sz="4" w:space="0" w:color="auto"/>
              <w:right w:val="nil"/>
            </w:tcBorders>
            <w:shd w:val="clear" w:color="auto" w:fill="F2F2F2" w:themeFill="background1" w:themeFillShade="F2"/>
            <w:tcMar>
              <w:top w:w="113" w:type="dxa"/>
              <w:left w:w="0" w:type="dxa"/>
              <w:bottom w:w="113" w:type="dxa"/>
              <w:right w:w="113" w:type="dxa"/>
            </w:tcMar>
            <w:vAlign w:val="bottom"/>
          </w:tcPr>
          <w:p w14:paraId="624DDFF7"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2,605 </w:t>
            </w:r>
          </w:p>
        </w:tc>
        <w:tc>
          <w:tcPr>
            <w:tcW w:w="1417" w:type="dxa"/>
            <w:tcBorders>
              <w:top w:val="single" w:sz="4" w:space="0" w:color="auto"/>
              <w:left w:val="nil"/>
              <w:bottom w:val="single" w:sz="4" w:space="0" w:color="auto"/>
              <w:right w:val="nil"/>
            </w:tcBorders>
            <w:shd w:val="clear" w:color="auto" w:fill="F2F2F2" w:themeFill="background1" w:themeFillShade="F2"/>
            <w:tcMar>
              <w:top w:w="113" w:type="dxa"/>
              <w:left w:w="0" w:type="dxa"/>
              <w:bottom w:w="113" w:type="dxa"/>
              <w:right w:w="113" w:type="dxa"/>
            </w:tcMar>
            <w:vAlign w:val="bottom"/>
          </w:tcPr>
          <w:p w14:paraId="6095F95E" w14:textId="77777777" w:rsidR="00F47023" w:rsidRPr="000A4433" w:rsidRDefault="00F47023" w:rsidP="000A4433">
            <w:pPr>
              <w:pStyle w:val="FSBodyText"/>
              <w:spacing w:after="0" w:line="240" w:lineRule="auto"/>
              <w:jc w:val="right"/>
            </w:pPr>
            <w:r w:rsidRPr="000A4433">
              <w:rPr>
                <w:lang w:val="it-IT"/>
              </w:rPr>
              <w:t xml:space="preserve">5,104 </w:t>
            </w:r>
          </w:p>
        </w:tc>
      </w:tr>
      <w:tr w:rsidR="00F47023" w:rsidRPr="000A4433" w14:paraId="2A7C9634" w14:textId="77777777" w:rsidTr="000A4433">
        <w:trPr>
          <w:trHeight w:val="255"/>
        </w:trPr>
        <w:tc>
          <w:tcPr>
            <w:tcW w:w="7257" w:type="dxa"/>
            <w:tcBorders>
              <w:top w:val="single" w:sz="4" w:space="0" w:color="auto"/>
              <w:left w:val="nil"/>
              <w:bottom w:val="single" w:sz="4" w:space="0" w:color="auto"/>
              <w:right w:val="nil"/>
            </w:tcBorders>
            <w:tcMar>
              <w:top w:w="227" w:type="dxa"/>
              <w:left w:w="0" w:type="dxa"/>
              <w:bottom w:w="57" w:type="dxa"/>
              <w:right w:w="113" w:type="dxa"/>
            </w:tcMar>
            <w:vAlign w:val="bottom"/>
          </w:tcPr>
          <w:p w14:paraId="4E469351" w14:textId="77777777" w:rsidR="00F47023" w:rsidRPr="000A4433" w:rsidRDefault="00F47023" w:rsidP="000A4433">
            <w:pPr>
              <w:pStyle w:val="FSBodyText"/>
              <w:spacing w:after="0" w:line="240" w:lineRule="auto"/>
            </w:pPr>
            <w:r w:rsidRPr="000A4433">
              <w:rPr>
                <w:rStyle w:val="Bold"/>
                <w:rFonts w:eastAsia="MS Mincho"/>
              </w:rPr>
              <w:t>Maturity analysis - contractual undiscounted cash flows</w:t>
            </w:r>
          </w:p>
        </w:tc>
        <w:tc>
          <w:tcPr>
            <w:tcW w:w="1417" w:type="dxa"/>
            <w:tcBorders>
              <w:top w:val="single" w:sz="4" w:space="0" w:color="auto"/>
              <w:left w:val="nil"/>
              <w:bottom w:val="single" w:sz="4" w:space="0" w:color="auto"/>
              <w:right w:val="nil"/>
            </w:tcBorders>
            <w:tcMar>
              <w:top w:w="227" w:type="dxa"/>
              <w:left w:w="0" w:type="dxa"/>
              <w:bottom w:w="57" w:type="dxa"/>
              <w:right w:w="113" w:type="dxa"/>
            </w:tcMar>
            <w:vAlign w:val="bottom"/>
          </w:tcPr>
          <w:p w14:paraId="048E6192"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c>
          <w:tcPr>
            <w:tcW w:w="1417" w:type="dxa"/>
            <w:tcBorders>
              <w:top w:val="single" w:sz="4" w:space="0" w:color="auto"/>
              <w:left w:val="nil"/>
              <w:bottom w:val="single" w:sz="4" w:space="0" w:color="auto"/>
              <w:right w:val="nil"/>
            </w:tcBorders>
            <w:tcMar>
              <w:top w:w="227" w:type="dxa"/>
              <w:left w:w="0" w:type="dxa"/>
              <w:bottom w:w="57" w:type="dxa"/>
              <w:right w:w="113" w:type="dxa"/>
            </w:tcMar>
            <w:vAlign w:val="bottom"/>
          </w:tcPr>
          <w:p w14:paraId="6541DB07"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r>
      <w:tr w:rsidR="00F47023" w:rsidRPr="000A4433" w14:paraId="479B0D53" w14:textId="77777777" w:rsidTr="000A4433">
        <w:trPr>
          <w:trHeight w:val="260"/>
        </w:trPr>
        <w:tc>
          <w:tcPr>
            <w:tcW w:w="7257" w:type="dxa"/>
            <w:tcBorders>
              <w:top w:val="single" w:sz="4" w:space="0" w:color="auto"/>
              <w:left w:val="nil"/>
              <w:bottom w:val="single" w:sz="4" w:space="0" w:color="auto"/>
              <w:right w:val="nil"/>
            </w:tcBorders>
            <w:tcMar>
              <w:top w:w="28" w:type="dxa"/>
              <w:left w:w="0" w:type="dxa"/>
              <w:bottom w:w="57" w:type="dxa"/>
              <w:right w:w="113" w:type="dxa"/>
            </w:tcMar>
            <w:vAlign w:val="bottom"/>
          </w:tcPr>
          <w:p w14:paraId="089B09A2" w14:textId="77777777" w:rsidR="00F47023" w:rsidRPr="000A4433" w:rsidRDefault="00F47023" w:rsidP="000A4433">
            <w:pPr>
              <w:pStyle w:val="FSBodyText"/>
              <w:spacing w:after="0" w:line="240" w:lineRule="auto"/>
              <w:ind w:firstLine="180"/>
            </w:pPr>
            <w:r w:rsidRPr="000A4433">
              <w:t>Within 1 year</w:t>
            </w:r>
          </w:p>
        </w:tc>
        <w:tc>
          <w:tcPr>
            <w:tcW w:w="1417" w:type="dxa"/>
            <w:tcBorders>
              <w:top w:val="single" w:sz="4" w:space="0" w:color="auto"/>
              <w:left w:val="nil"/>
              <w:bottom w:val="single" w:sz="4" w:space="0" w:color="auto"/>
              <w:right w:val="nil"/>
            </w:tcBorders>
            <w:tcMar>
              <w:top w:w="28" w:type="dxa"/>
              <w:left w:w="0" w:type="dxa"/>
              <w:bottom w:w="57" w:type="dxa"/>
              <w:right w:w="113" w:type="dxa"/>
            </w:tcMar>
            <w:vAlign w:val="bottom"/>
          </w:tcPr>
          <w:p w14:paraId="3ECD3CEE"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2,607 </w:t>
            </w:r>
          </w:p>
        </w:tc>
        <w:tc>
          <w:tcPr>
            <w:tcW w:w="1417" w:type="dxa"/>
            <w:tcBorders>
              <w:top w:val="single" w:sz="4" w:space="0" w:color="auto"/>
              <w:left w:val="nil"/>
              <w:bottom w:val="single" w:sz="4" w:space="0" w:color="auto"/>
              <w:right w:val="nil"/>
            </w:tcBorders>
            <w:tcMar>
              <w:top w:w="28" w:type="dxa"/>
              <w:left w:w="0" w:type="dxa"/>
              <w:bottom w:w="57" w:type="dxa"/>
              <w:right w:w="113" w:type="dxa"/>
            </w:tcMar>
            <w:vAlign w:val="bottom"/>
          </w:tcPr>
          <w:p w14:paraId="62A74F53" w14:textId="77777777" w:rsidR="00F47023" w:rsidRPr="000A4433" w:rsidRDefault="00F47023" w:rsidP="000A4433">
            <w:pPr>
              <w:pStyle w:val="FSBodyText"/>
              <w:spacing w:after="0" w:line="240" w:lineRule="auto"/>
              <w:jc w:val="right"/>
            </w:pPr>
            <w:r w:rsidRPr="000A4433">
              <w:rPr>
                <w:lang w:val="it-IT"/>
              </w:rPr>
              <w:t xml:space="preserve">2,507 </w:t>
            </w:r>
          </w:p>
        </w:tc>
      </w:tr>
      <w:tr w:rsidR="00F47023" w:rsidRPr="000A4433" w14:paraId="055E7283" w14:textId="77777777" w:rsidTr="000A4433">
        <w:trPr>
          <w:trHeight w:val="255"/>
        </w:trPr>
        <w:tc>
          <w:tcPr>
            <w:tcW w:w="7257" w:type="dxa"/>
            <w:tcBorders>
              <w:top w:val="single" w:sz="4" w:space="0" w:color="auto"/>
              <w:left w:val="nil"/>
              <w:bottom w:val="single" w:sz="4" w:space="0" w:color="auto"/>
              <w:right w:val="nil"/>
            </w:tcBorders>
            <w:tcMar>
              <w:top w:w="113" w:type="dxa"/>
              <w:left w:w="0" w:type="dxa"/>
              <w:bottom w:w="113" w:type="dxa"/>
              <w:right w:w="113" w:type="dxa"/>
            </w:tcMar>
            <w:vAlign w:val="bottom"/>
          </w:tcPr>
          <w:p w14:paraId="225B11C1" w14:textId="77777777" w:rsidR="00F47023" w:rsidRPr="000A4433" w:rsidRDefault="00F47023" w:rsidP="000A4433">
            <w:pPr>
              <w:pStyle w:val="FSBodyText"/>
              <w:spacing w:after="0" w:line="240" w:lineRule="auto"/>
              <w:ind w:firstLine="180"/>
            </w:pPr>
            <w:r w:rsidRPr="000A4433">
              <w:t>Between 1 to 5 years</w:t>
            </w:r>
          </w:p>
        </w:tc>
        <w:tc>
          <w:tcPr>
            <w:tcW w:w="1417" w:type="dxa"/>
            <w:tcBorders>
              <w:top w:val="single" w:sz="4" w:space="0" w:color="auto"/>
              <w:left w:val="nil"/>
              <w:bottom w:val="single" w:sz="4" w:space="0" w:color="auto"/>
              <w:right w:val="nil"/>
            </w:tcBorders>
            <w:tcMar>
              <w:top w:w="113" w:type="dxa"/>
              <w:left w:w="0" w:type="dxa"/>
              <w:bottom w:w="113" w:type="dxa"/>
              <w:right w:w="113" w:type="dxa"/>
            </w:tcMar>
            <w:vAlign w:val="bottom"/>
          </w:tcPr>
          <w:p w14:paraId="1AC4E278"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1417" w:type="dxa"/>
            <w:tcBorders>
              <w:top w:val="single" w:sz="4" w:space="0" w:color="auto"/>
              <w:left w:val="nil"/>
              <w:bottom w:val="single" w:sz="4" w:space="0" w:color="auto"/>
              <w:right w:val="nil"/>
            </w:tcBorders>
            <w:tcMar>
              <w:top w:w="113" w:type="dxa"/>
              <w:left w:w="0" w:type="dxa"/>
              <w:bottom w:w="113" w:type="dxa"/>
              <w:right w:w="113" w:type="dxa"/>
            </w:tcMar>
            <w:vAlign w:val="bottom"/>
          </w:tcPr>
          <w:p w14:paraId="0E30E8C4" w14:textId="77777777" w:rsidR="00F47023" w:rsidRPr="000A4433" w:rsidRDefault="00F47023" w:rsidP="000A4433">
            <w:pPr>
              <w:pStyle w:val="FSBodyText"/>
              <w:spacing w:after="0" w:line="240" w:lineRule="auto"/>
              <w:jc w:val="right"/>
            </w:pPr>
            <w:r w:rsidRPr="000A4433">
              <w:rPr>
                <w:lang w:val="it-IT"/>
              </w:rPr>
              <w:t xml:space="preserve">2,607 </w:t>
            </w:r>
          </w:p>
        </w:tc>
      </w:tr>
      <w:tr w:rsidR="00F47023" w:rsidRPr="000A4433" w14:paraId="3163E018" w14:textId="77777777" w:rsidTr="000A4433">
        <w:trPr>
          <w:trHeight w:val="255"/>
        </w:trPr>
        <w:tc>
          <w:tcPr>
            <w:tcW w:w="7257" w:type="dxa"/>
            <w:tcBorders>
              <w:top w:val="single" w:sz="4" w:space="0" w:color="auto"/>
              <w:left w:val="nil"/>
              <w:bottom w:val="single" w:sz="4" w:space="0" w:color="auto"/>
              <w:right w:val="nil"/>
            </w:tcBorders>
            <w:shd w:val="clear" w:color="auto" w:fill="F2F2F2" w:themeFill="background1" w:themeFillShade="F2"/>
            <w:tcMar>
              <w:top w:w="113" w:type="dxa"/>
              <w:left w:w="0" w:type="dxa"/>
              <w:bottom w:w="113" w:type="dxa"/>
              <w:right w:w="113" w:type="dxa"/>
            </w:tcMar>
            <w:vAlign w:val="bottom"/>
          </w:tcPr>
          <w:p w14:paraId="135BADC3" w14:textId="77777777" w:rsidR="00F47023" w:rsidRPr="000A4433" w:rsidRDefault="00F47023" w:rsidP="000A4433">
            <w:pPr>
              <w:pStyle w:val="FSBodyText"/>
              <w:spacing w:after="0" w:line="240" w:lineRule="auto"/>
            </w:pPr>
            <w:r w:rsidRPr="000A4433">
              <w:rPr>
                <w:rStyle w:val="Bold"/>
                <w:rFonts w:eastAsia="MS Mincho"/>
                <w:lang w:val="it-IT"/>
              </w:rPr>
              <w:t>Total leases</w:t>
            </w:r>
          </w:p>
        </w:tc>
        <w:tc>
          <w:tcPr>
            <w:tcW w:w="1417" w:type="dxa"/>
            <w:tcBorders>
              <w:top w:val="single" w:sz="4" w:space="0" w:color="auto"/>
              <w:left w:val="nil"/>
              <w:bottom w:val="single" w:sz="4" w:space="0" w:color="auto"/>
              <w:right w:val="nil"/>
            </w:tcBorders>
            <w:shd w:val="clear" w:color="auto" w:fill="F2F2F2" w:themeFill="background1" w:themeFillShade="F2"/>
            <w:tcMar>
              <w:top w:w="113" w:type="dxa"/>
              <w:left w:w="0" w:type="dxa"/>
              <w:bottom w:w="113" w:type="dxa"/>
              <w:right w:w="113" w:type="dxa"/>
            </w:tcMar>
            <w:vAlign w:val="bottom"/>
          </w:tcPr>
          <w:p w14:paraId="3F25BEB9"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2,607 </w:t>
            </w:r>
          </w:p>
        </w:tc>
        <w:tc>
          <w:tcPr>
            <w:tcW w:w="1417" w:type="dxa"/>
            <w:tcBorders>
              <w:top w:val="single" w:sz="4" w:space="0" w:color="auto"/>
              <w:left w:val="nil"/>
              <w:bottom w:val="single" w:sz="4" w:space="0" w:color="auto"/>
              <w:right w:val="nil"/>
            </w:tcBorders>
            <w:shd w:val="clear" w:color="auto" w:fill="F2F2F2" w:themeFill="background1" w:themeFillShade="F2"/>
            <w:tcMar>
              <w:top w:w="113" w:type="dxa"/>
              <w:left w:w="0" w:type="dxa"/>
              <w:bottom w:w="113" w:type="dxa"/>
              <w:right w:w="113" w:type="dxa"/>
            </w:tcMar>
            <w:vAlign w:val="bottom"/>
          </w:tcPr>
          <w:p w14:paraId="2612917B" w14:textId="77777777" w:rsidR="00F47023" w:rsidRPr="000A4433" w:rsidRDefault="00F47023" w:rsidP="000A4433">
            <w:pPr>
              <w:pStyle w:val="FSBodyText"/>
              <w:spacing w:after="0" w:line="240" w:lineRule="auto"/>
              <w:jc w:val="right"/>
            </w:pPr>
            <w:r w:rsidRPr="000A4433">
              <w:rPr>
                <w:lang w:val="it-IT"/>
              </w:rPr>
              <w:t xml:space="preserve">5,114 </w:t>
            </w:r>
          </w:p>
        </w:tc>
      </w:tr>
      <w:tr w:rsidR="00F47023" w:rsidRPr="000A4433" w14:paraId="46C80F90" w14:textId="77777777" w:rsidTr="000A4433">
        <w:trPr>
          <w:trHeight w:val="255"/>
        </w:trPr>
        <w:tc>
          <w:tcPr>
            <w:tcW w:w="7257" w:type="dxa"/>
            <w:tcBorders>
              <w:top w:val="single" w:sz="4" w:space="0" w:color="auto"/>
              <w:left w:val="nil"/>
              <w:bottom w:val="single" w:sz="4" w:space="0" w:color="auto"/>
              <w:right w:val="nil"/>
            </w:tcBorders>
            <w:tcMar>
              <w:top w:w="28" w:type="dxa"/>
              <w:left w:w="0" w:type="dxa"/>
              <w:bottom w:w="57" w:type="dxa"/>
              <w:right w:w="113" w:type="dxa"/>
            </w:tcMar>
            <w:vAlign w:val="bottom"/>
          </w:tcPr>
          <w:p w14:paraId="5F98CC56"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Borders>
              <w:top w:val="single" w:sz="4" w:space="0" w:color="auto"/>
              <w:left w:val="nil"/>
              <w:bottom w:val="single" w:sz="4" w:space="0" w:color="auto"/>
              <w:right w:val="nil"/>
            </w:tcBorders>
            <w:tcMar>
              <w:top w:w="28" w:type="dxa"/>
              <w:left w:w="0" w:type="dxa"/>
              <w:bottom w:w="57" w:type="dxa"/>
              <w:right w:w="113" w:type="dxa"/>
            </w:tcMar>
            <w:vAlign w:val="bottom"/>
          </w:tcPr>
          <w:p w14:paraId="03E3F45C"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Borders>
              <w:top w:val="single" w:sz="4" w:space="0" w:color="auto"/>
              <w:left w:val="nil"/>
              <w:bottom w:val="single" w:sz="4" w:space="0" w:color="auto"/>
              <w:right w:val="nil"/>
            </w:tcBorders>
            <w:tcMar>
              <w:top w:w="28" w:type="dxa"/>
              <w:left w:w="0" w:type="dxa"/>
              <w:bottom w:w="57" w:type="dxa"/>
              <w:right w:w="113" w:type="dxa"/>
            </w:tcMar>
            <w:vAlign w:val="bottom"/>
          </w:tcPr>
          <w:p w14:paraId="5B221D3A"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0A4433" w14:paraId="32DE8385" w14:textId="77777777" w:rsidTr="000A4433">
        <w:trPr>
          <w:trHeight w:val="255"/>
        </w:trPr>
        <w:tc>
          <w:tcPr>
            <w:tcW w:w="7257" w:type="dxa"/>
            <w:tcBorders>
              <w:top w:val="single" w:sz="4" w:space="0" w:color="auto"/>
              <w:left w:val="nil"/>
              <w:bottom w:val="single" w:sz="4" w:space="0" w:color="auto"/>
              <w:right w:val="nil"/>
            </w:tcBorders>
            <w:tcMar>
              <w:top w:w="28" w:type="dxa"/>
              <w:left w:w="0" w:type="dxa"/>
              <w:bottom w:w="57" w:type="dxa"/>
              <w:right w:w="113" w:type="dxa"/>
            </w:tcMar>
            <w:vAlign w:val="bottom"/>
          </w:tcPr>
          <w:p w14:paraId="0409EAD2" w14:textId="77777777" w:rsidR="00F47023" w:rsidRPr="000A4433" w:rsidRDefault="00F47023" w:rsidP="000A4433">
            <w:pPr>
              <w:pStyle w:val="FSBodyText"/>
              <w:spacing w:after="0" w:line="240" w:lineRule="auto"/>
            </w:pPr>
            <w:r w:rsidRPr="000A4433">
              <w:t>Total cash outflow for leases for the year ended 30 June 2023 was $2.499m (2022: $2.398m)</w:t>
            </w:r>
          </w:p>
        </w:tc>
        <w:tc>
          <w:tcPr>
            <w:tcW w:w="1417" w:type="dxa"/>
            <w:tcBorders>
              <w:top w:val="single" w:sz="4" w:space="0" w:color="auto"/>
              <w:left w:val="nil"/>
              <w:bottom w:val="single" w:sz="4" w:space="0" w:color="auto"/>
              <w:right w:val="nil"/>
            </w:tcBorders>
            <w:tcMar>
              <w:top w:w="28" w:type="dxa"/>
              <w:left w:w="0" w:type="dxa"/>
              <w:bottom w:w="57" w:type="dxa"/>
              <w:right w:w="113" w:type="dxa"/>
            </w:tcMar>
            <w:vAlign w:val="bottom"/>
          </w:tcPr>
          <w:p w14:paraId="0B823629"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c>
          <w:tcPr>
            <w:tcW w:w="1417" w:type="dxa"/>
            <w:tcBorders>
              <w:top w:val="single" w:sz="4" w:space="0" w:color="auto"/>
              <w:left w:val="nil"/>
              <w:bottom w:val="single" w:sz="4" w:space="0" w:color="auto"/>
              <w:right w:val="nil"/>
            </w:tcBorders>
            <w:tcMar>
              <w:top w:w="28" w:type="dxa"/>
              <w:left w:w="0" w:type="dxa"/>
              <w:bottom w:w="57" w:type="dxa"/>
              <w:right w:w="113" w:type="dxa"/>
            </w:tcMar>
            <w:vAlign w:val="bottom"/>
          </w:tcPr>
          <w:p w14:paraId="1D647B65" w14:textId="77777777" w:rsidR="00F47023" w:rsidRPr="000A4433" w:rsidRDefault="00F47023" w:rsidP="000A4433">
            <w:pPr>
              <w:pStyle w:val="Nessunostileparagrafo"/>
              <w:spacing w:line="240" w:lineRule="auto"/>
              <w:textAlignment w:val="auto"/>
              <w:rPr>
                <w:rFonts w:ascii="Open Sans Semibold" w:hAnsi="Open Sans Semibold" w:cs="Times New Roman"/>
                <w:color w:val="auto"/>
                <w:sz w:val="16"/>
                <w:szCs w:val="16"/>
              </w:rPr>
            </w:pPr>
          </w:p>
        </w:tc>
      </w:tr>
      <w:tr w:rsidR="00F47023" w:rsidRPr="000A4433" w14:paraId="60A0D1AF" w14:textId="77777777" w:rsidTr="000A4433">
        <w:trPr>
          <w:trHeight w:val="545"/>
        </w:trPr>
        <w:tc>
          <w:tcPr>
            <w:tcW w:w="10091" w:type="dxa"/>
            <w:gridSpan w:val="3"/>
            <w:tcBorders>
              <w:top w:val="single" w:sz="4" w:space="0" w:color="auto"/>
            </w:tcBorders>
            <w:tcMar>
              <w:top w:w="227" w:type="dxa"/>
              <w:left w:w="0" w:type="dxa"/>
              <w:bottom w:w="57" w:type="dxa"/>
              <w:right w:w="113" w:type="dxa"/>
            </w:tcMar>
            <w:vAlign w:val="bottom"/>
          </w:tcPr>
          <w:p w14:paraId="1D685724" w14:textId="77777777" w:rsidR="00F47023" w:rsidRPr="000A4433" w:rsidRDefault="00F47023" w:rsidP="000A4433">
            <w:pPr>
              <w:pStyle w:val="FSBodyText"/>
              <w:spacing w:after="120" w:line="240" w:lineRule="auto"/>
              <w:rPr>
                <w:rStyle w:val="Bold"/>
                <w:rFonts w:eastAsia="MS Mincho"/>
              </w:rPr>
            </w:pPr>
            <w:r w:rsidRPr="000A4433">
              <w:rPr>
                <w:rStyle w:val="Bold"/>
                <w:rFonts w:eastAsia="MS Mincho"/>
              </w:rPr>
              <w:t>Accounting Policy</w:t>
            </w:r>
          </w:p>
          <w:p w14:paraId="46E3C10A" w14:textId="77777777" w:rsidR="00F47023" w:rsidRPr="000A4433" w:rsidRDefault="00F47023" w:rsidP="000A4433">
            <w:pPr>
              <w:pStyle w:val="FSBodyText"/>
              <w:spacing w:after="120" w:line="240" w:lineRule="auto"/>
              <w:rPr>
                <w:rStyle w:val="Bold"/>
                <w:rFonts w:eastAsia="MS Mincho"/>
              </w:rPr>
            </w:pPr>
            <w:r w:rsidRPr="000A4433">
              <w:rPr>
                <w:rStyle w:val="Bold"/>
                <w:rFonts w:eastAsia="MS Mincho"/>
              </w:rPr>
              <w:t>Lease Right of Use (ROU) Assets</w:t>
            </w:r>
          </w:p>
          <w:p w14:paraId="2A7188FB" w14:textId="77777777" w:rsidR="00F47023" w:rsidRPr="000A4433" w:rsidRDefault="00F47023" w:rsidP="000A4433">
            <w:pPr>
              <w:pStyle w:val="FSBodyText"/>
              <w:spacing w:after="120" w:line="240" w:lineRule="auto"/>
            </w:pPr>
            <w:r w:rsidRPr="000A4433">
              <w:t>Leased ROU assets are capitalised at the commencement date of the lease and comprise the initial lease liability amount, initial direct costs incurred when entering into the lease less any lease incentives received. These assets are accounted for by Commonwealth lessees as separate asset classes to corresponding assets owned outright, but included in the same column as where the corresponding underlying assets would be presented if they were owned.</w:t>
            </w:r>
          </w:p>
        </w:tc>
      </w:tr>
    </w:tbl>
    <w:p w14:paraId="149911E0" w14:textId="77777777" w:rsidR="00F47023" w:rsidRDefault="00F47023" w:rsidP="00F47023">
      <w:pPr>
        <w:pStyle w:val="Paragrafobase"/>
        <w:spacing w:after="227"/>
      </w:pPr>
    </w:p>
    <w:p w14:paraId="71274E0A" w14:textId="0BE9B8EB" w:rsidR="000A4433" w:rsidRDefault="000A4433">
      <w:pPr>
        <w:spacing w:before="0" w:after="0" w:line="240" w:lineRule="auto"/>
        <w:rPr>
          <w:rFonts w:cs="Open Sans"/>
          <w:color w:val="000000"/>
          <w:sz w:val="20"/>
          <w:szCs w:val="20"/>
          <w:lang w:val="en-US"/>
        </w:rPr>
      </w:pPr>
      <w:r>
        <w:br w:type="page"/>
      </w:r>
    </w:p>
    <w:p w14:paraId="4F4F760C" w14:textId="77777777" w:rsidR="00F47023" w:rsidRDefault="00F47023" w:rsidP="00F47023">
      <w:pPr>
        <w:pStyle w:val="FSHeading2-Tutti"/>
        <w:rPr>
          <w:color w:val="000000"/>
          <w:sz w:val="16"/>
          <w:szCs w:val="16"/>
          <w:lang w:val="en-US"/>
        </w:rPr>
      </w:pPr>
      <w:r>
        <w:rPr>
          <w:color w:val="2BB8C9"/>
        </w:rPr>
        <w:t>2.5 Other Provisions</w:t>
      </w:r>
    </w:p>
    <w:p w14:paraId="367082A0" w14:textId="77777777" w:rsidR="00F47023" w:rsidRDefault="00F47023" w:rsidP="00F47023">
      <w:pPr>
        <w:pStyle w:val="FSBlueHeadingBold"/>
      </w:pPr>
      <w:r>
        <w:t>2.5A: Other provisions</w:t>
      </w:r>
    </w:p>
    <w:p w14:paraId="5196CC6A" w14:textId="77777777" w:rsidR="00497DB5" w:rsidRDefault="00497DB5" w:rsidP="00F47023">
      <w:pPr>
        <w:pStyle w:val="FSBlueHeadingBold"/>
      </w:pPr>
    </w:p>
    <w:tbl>
      <w:tblPr>
        <w:tblW w:w="0" w:type="auto"/>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5783"/>
        <w:gridCol w:w="1480"/>
        <w:gridCol w:w="1417"/>
        <w:gridCol w:w="1417"/>
      </w:tblGrid>
      <w:tr w:rsidR="000A4433" w:rsidRPr="000A4433" w14:paraId="3D7516BF" w14:textId="77777777" w:rsidTr="000A4433">
        <w:trPr>
          <w:trHeight w:val="240"/>
        </w:trPr>
        <w:tc>
          <w:tcPr>
            <w:tcW w:w="5783" w:type="dxa"/>
            <w:shd w:val="clear" w:color="auto" w:fill="1CBDC9"/>
            <w:tcMar>
              <w:top w:w="85" w:type="dxa"/>
              <w:left w:w="113" w:type="dxa"/>
              <w:bottom w:w="113" w:type="dxa"/>
              <w:right w:w="113" w:type="dxa"/>
            </w:tcMar>
            <w:vAlign w:val="bottom"/>
          </w:tcPr>
          <w:p w14:paraId="15500CEB" w14:textId="77777777" w:rsidR="00F47023" w:rsidRPr="000A4433" w:rsidRDefault="00F47023">
            <w:pPr>
              <w:pStyle w:val="Nessunostileparagrafo"/>
              <w:spacing w:line="240" w:lineRule="auto"/>
              <w:textAlignment w:val="auto"/>
              <w:rPr>
                <w:rFonts w:ascii="Open Sans Semibold" w:hAnsi="Open Sans Semibold" w:cs="Times New Roman"/>
                <w:color w:val="FFFFFF" w:themeColor="background1"/>
                <w:sz w:val="20"/>
                <w:szCs w:val="20"/>
                <w:lang w:val="it-IT"/>
              </w:rPr>
            </w:pPr>
          </w:p>
        </w:tc>
        <w:tc>
          <w:tcPr>
            <w:tcW w:w="1480" w:type="dxa"/>
            <w:shd w:val="clear" w:color="auto" w:fill="1CBDC9"/>
            <w:tcMar>
              <w:top w:w="85" w:type="dxa"/>
              <w:left w:w="113" w:type="dxa"/>
              <w:bottom w:w="113" w:type="dxa"/>
              <w:right w:w="113" w:type="dxa"/>
            </w:tcMar>
            <w:vAlign w:val="bottom"/>
          </w:tcPr>
          <w:p w14:paraId="3B0C5037" w14:textId="77777777" w:rsidR="00F47023" w:rsidRPr="000A4433" w:rsidRDefault="00F47023">
            <w:pPr>
              <w:pStyle w:val="FSHeaderRow"/>
              <w:rPr>
                <w:color w:val="FFFFFF" w:themeColor="background1"/>
                <w:sz w:val="20"/>
                <w:szCs w:val="20"/>
              </w:rPr>
            </w:pPr>
            <w:r w:rsidRPr="000A4433">
              <w:rPr>
                <w:color w:val="FFFFFF" w:themeColor="background1"/>
                <w:sz w:val="20"/>
                <w:szCs w:val="20"/>
              </w:rPr>
              <w:t>Provision for</w:t>
            </w:r>
            <w:r w:rsidRPr="000A4433">
              <w:rPr>
                <w:color w:val="FFFFFF" w:themeColor="background1"/>
                <w:sz w:val="20"/>
                <w:szCs w:val="20"/>
              </w:rPr>
              <w:br/>
              <w:t xml:space="preserve"> legal costs</w:t>
            </w:r>
          </w:p>
          <w:p w14:paraId="626E1456" w14:textId="77777777" w:rsidR="00F47023" w:rsidRPr="000A4433" w:rsidRDefault="00F47023">
            <w:pPr>
              <w:pStyle w:val="FSHeaderRow"/>
              <w:rPr>
                <w:color w:val="FFFFFF" w:themeColor="background1"/>
                <w:sz w:val="20"/>
                <w:szCs w:val="20"/>
              </w:rPr>
            </w:pPr>
            <w:r w:rsidRPr="000A4433">
              <w:rPr>
                <w:color w:val="FFFFFF" w:themeColor="background1"/>
                <w:sz w:val="20"/>
                <w:szCs w:val="20"/>
              </w:rPr>
              <w:t>$’000</w:t>
            </w:r>
          </w:p>
        </w:tc>
        <w:tc>
          <w:tcPr>
            <w:tcW w:w="1417" w:type="dxa"/>
            <w:shd w:val="clear" w:color="auto" w:fill="1CBDC9"/>
            <w:tcMar>
              <w:top w:w="85" w:type="dxa"/>
              <w:left w:w="113" w:type="dxa"/>
              <w:bottom w:w="113" w:type="dxa"/>
              <w:right w:w="113" w:type="dxa"/>
            </w:tcMar>
            <w:vAlign w:val="bottom"/>
          </w:tcPr>
          <w:p w14:paraId="340F1696" w14:textId="77777777" w:rsidR="00F47023" w:rsidRPr="000A4433" w:rsidRDefault="00F47023">
            <w:pPr>
              <w:pStyle w:val="FSHeaderRow"/>
              <w:rPr>
                <w:color w:val="FFFFFF" w:themeColor="background1"/>
                <w:sz w:val="20"/>
                <w:szCs w:val="20"/>
              </w:rPr>
            </w:pPr>
            <w:r w:rsidRPr="000A4433">
              <w:rPr>
                <w:color w:val="FFFFFF" w:themeColor="background1"/>
                <w:sz w:val="20"/>
                <w:szCs w:val="20"/>
              </w:rPr>
              <w:t>Provision for restoration</w:t>
            </w:r>
            <w:r w:rsidRPr="000A4433">
              <w:rPr>
                <w:rStyle w:val="Apice"/>
                <w:b w:val="0"/>
                <w:bCs w:val="0"/>
                <w:color w:val="FFFFFF" w:themeColor="background1"/>
                <w:sz w:val="20"/>
                <w:szCs w:val="20"/>
              </w:rPr>
              <w:t>1</w:t>
            </w:r>
          </w:p>
          <w:p w14:paraId="41E24F2F" w14:textId="77777777" w:rsidR="00F47023" w:rsidRPr="000A4433" w:rsidRDefault="00F47023">
            <w:pPr>
              <w:pStyle w:val="FSHeaderRow"/>
              <w:rPr>
                <w:color w:val="FFFFFF" w:themeColor="background1"/>
                <w:sz w:val="20"/>
                <w:szCs w:val="20"/>
              </w:rPr>
            </w:pPr>
            <w:r w:rsidRPr="000A4433">
              <w:rPr>
                <w:color w:val="FFFFFF" w:themeColor="background1"/>
                <w:sz w:val="20"/>
                <w:szCs w:val="20"/>
              </w:rPr>
              <w:t>$’000</w:t>
            </w:r>
          </w:p>
        </w:tc>
        <w:tc>
          <w:tcPr>
            <w:tcW w:w="1417" w:type="dxa"/>
            <w:shd w:val="clear" w:color="auto" w:fill="1CBDC9"/>
            <w:tcMar>
              <w:top w:w="85" w:type="dxa"/>
              <w:left w:w="113" w:type="dxa"/>
              <w:bottom w:w="113" w:type="dxa"/>
              <w:right w:w="113" w:type="dxa"/>
            </w:tcMar>
            <w:vAlign w:val="bottom"/>
          </w:tcPr>
          <w:p w14:paraId="22049DFC" w14:textId="77777777" w:rsidR="00F47023" w:rsidRPr="000A4433" w:rsidRDefault="00F47023">
            <w:pPr>
              <w:pStyle w:val="FSHeaderRow"/>
              <w:rPr>
                <w:color w:val="FFFFFF" w:themeColor="background1"/>
                <w:sz w:val="20"/>
                <w:szCs w:val="20"/>
              </w:rPr>
            </w:pPr>
            <w:r w:rsidRPr="000A4433">
              <w:rPr>
                <w:color w:val="FFFFFF" w:themeColor="background1"/>
                <w:sz w:val="20"/>
                <w:szCs w:val="20"/>
              </w:rPr>
              <w:t>Total</w:t>
            </w:r>
          </w:p>
          <w:p w14:paraId="262D9335" w14:textId="77777777" w:rsidR="00F47023" w:rsidRPr="000A4433" w:rsidRDefault="00F47023">
            <w:pPr>
              <w:pStyle w:val="FSHeaderRow"/>
              <w:rPr>
                <w:color w:val="FFFFFF" w:themeColor="background1"/>
                <w:sz w:val="20"/>
                <w:szCs w:val="20"/>
              </w:rPr>
            </w:pPr>
            <w:r w:rsidRPr="000A4433">
              <w:rPr>
                <w:color w:val="FFFFFF" w:themeColor="background1"/>
                <w:sz w:val="20"/>
                <w:szCs w:val="20"/>
              </w:rPr>
              <w:t>$’000</w:t>
            </w:r>
          </w:p>
        </w:tc>
      </w:tr>
      <w:tr w:rsidR="00F47023" w:rsidRPr="000A4433" w14:paraId="3E27905F" w14:textId="77777777" w:rsidTr="000A4433">
        <w:trPr>
          <w:trHeight w:val="240"/>
        </w:trPr>
        <w:tc>
          <w:tcPr>
            <w:tcW w:w="5783" w:type="dxa"/>
            <w:tcMar>
              <w:top w:w="227" w:type="dxa"/>
              <w:left w:w="0" w:type="dxa"/>
              <w:bottom w:w="57" w:type="dxa"/>
              <w:right w:w="113" w:type="dxa"/>
            </w:tcMar>
            <w:vAlign w:val="bottom"/>
          </w:tcPr>
          <w:p w14:paraId="4FF66398" w14:textId="77777777" w:rsidR="00F47023" w:rsidRPr="000A4433" w:rsidRDefault="00F47023" w:rsidP="000A4433">
            <w:pPr>
              <w:pStyle w:val="FSBodyText"/>
              <w:spacing w:after="0" w:line="240" w:lineRule="auto"/>
            </w:pPr>
            <w:r w:rsidRPr="000A4433">
              <w:rPr>
                <w:rStyle w:val="Bold"/>
                <w:rFonts w:eastAsia="MS Mincho"/>
              </w:rPr>
              <w:t>As at 1 July 2022</w:t>
            </w:r>
          </w:p>
        </w:tc>
        <w:tc>
          <w:tcPr>
            <w:tcW w:w="1480" w:type="dxa"/>
            <w:tcMar>
              <w:top w:w="227" w:type="dxa"/>
              <w:left w:w="0" w:type="dxa"/>
              <w:bottom w:w="57" w:type="dxa"/>
              <w:right w:w="113" w:type="dxa"/>
            </w:tcMar>
            <w:vAlign w:val="bottom"/>
          </w:tcPr>
          <w:p w14:paraId="3A579FA0" w14:textId="77777777" w:rsidR="00F47023" w:rsidRPr="000A4433" w:rsidRDefault="00F47023" w:rsidP="000A4433">
            <w:pPr>
              <w:pStyle w:val="FSBodyText"/>
              <w:spacing w:after="0" w:line="240" w:lineRule="auto"/>
              <w:jc w:val="right"/>
            </w:pPr>
            <w:r w:rsidRPr="000A4433">
              <w:rPr>
                <w:rStyle w:val="Bold"/>
                <w:rFonts w:eastAsia="MS Mincho"/>
              </w:rPr>
              <w:t>50</w:t>
            </w:r>
          </w:p>
        </w:tc>
        <w:tc>
          <w:tcPr>
            <w:tcW w:w="1417" w:type="dxa"/>
            <w:tcMar>
              <w:top w:w="227" w:type="dxa"/>
              <w:left w:w="0" w:type="dxa"/>
              <w:bottom w:w="57" w:type="dxa"/>
              <w:right w:w="113" w:type="dxa"/>
            </w:tcMar>
            <w:vAlign w:val="bottom"/>
          </w:tcPr>
          <w:p w14:paraId="4E939C0F" w14:textId="77777777" w:rsidR="00F47023" w:rsidRPr="000A4433" w:rsidRDefault="00F47023" w:rsidP="000A4433">
            <w:pPr>
              <w:pStyle w:val="FSBodyText"/>
              <w:spacing w:after="0" w:line="240" w:lineRule="auto"/>
              <w:jc w:val="right"/>
            </w:pPr>
            <w:r w:rsidRPr="000A4433">
              <w:rPr>
                <w:rStyle w:val="Bold"/>
                <w:rFonts w:eastAsia="MS Mincho"/>
              </w:rPr>
              <w:t>511</w:t>
            </w:r>
          </w:p>
        </w:tc>
        <w:tc>
          <w:tcPr>
            <w:tcW w:w="1417" w:type="dxa"/>
            <w:tcMar>
              <w:top w:w="227" w:type="dxa"/>
              <w:left w:w="0" w:type="dxa"/>
              <w:bottom w:w="57" w:type="dxa"/>
              <w:right w:w="113" w:type="dxa"/>
            </w:tcMar>
            <w:vAlign w:val="bottom"/>
          </w:tcPr>
          <w:p w14:paraId="0FD6CA9D" w14:textId="77777777" w:rsidR="00F47023" w:rsidRPr="000A4433" w:rsidRDefault="00F47023" w:rsidP="000A4433">
            <w:pPr>
              <w:pStyle w:val="FSBodyText"/>
              <w:spacing w:after="0" w:line="240" w:lineRule="auto"/>
              <w:jc w:val="right"/>
            </w:pPr>
            <w:r w:rsidRPr="000A4433">
              <w:rPr>
                <w:rStyle w:val="Bold"/>
                <w:rFonts w:eastAsia="MS Mincho"/>
              </w:rPr>
              <w:t>561</w:t>
            </w:r>
          </w:p>
        </w:tc>
      </w:tr>
      <w:tr w:rsidR="00F47023" w:rsidRPr="000A4433" w14:paraId="524BB770" w14:textId="77777777" w:rsidTr="000A4433">
        <w:trPr>
          <w:trHeight w:val="240"/>
        </w:trPr>
        <w:tc>
          <w:tcPr>
            <w:tcW w:w="5783" w:type="dxa"/>
            <w:tcMar>
              <w:top w:w="28" w:type="dxa"/>
              <w:left w:w="0" w:type="dxa"/>
              <w:bottom w:w="57" w:type="dxa"/>
              <w:right w:w="113" w:type="dxa"/>
            </w:tcMar>
            <w:vAlign w:val="bottom"/>
          </w:tcPr>
          <w:p w14:paraId="0EDA7437" w14:textId="77777777" w:rsidR="00F47023" w:rsidRPr="000A4433" w:rsidRDefault="00F47023" w:rsidP="000A4433">
            <w:pPr>
              <w:pStyle w:val="FSBodyText"/>
              <w:spacing w:after="0" w:line="240" w:lineRule="auto"/>
              <w:ind w:firstLine="180"/>
            </w:pPr>
            <w:r w:rsidRPr="000A4433">
              <w:rPr>
                <w:lang w:val="it-IT"/>
              </w:rPr>
              <w:t>Amounts used</w:t>
            </w:r>
          </w:p>
        </w:tc>
        <w:tc>
          <w:tcPr>
            <w:tcW w:w="1480" w:type="dxa"/>
            <w:tcMar>
              <w:top w:w="28" w:type="dxa"/>
              <w:left w:w="0" w:type="dxa"/>
              <w:bottom w:w="57" w:type="dxa"/>
              <w:right w:w="113" w:type="dxa"/>
            </w:tcMar>
            <w:vAlign w:val="bottom"/>
          </w:tcPr>
          <w:p w14:paraId="6DA92470" w14:textId="77777777" w:rsidR="00F47023" w:rsidRPr="000A4433" w:rsidRDefault="00F47023" w:rsidP="000A4433">
            <w:pPr>
              <w:pStyle w:val="FSBodyText"/>
              <w:spacing w:after="0" w:line="240" w:lineRule="auto"/>
              <w:jc w:val="right"/>
            </w:pPr>
            <w:r w:rsidRPr="000A4433">
              <w:rPr>
                <w:rStyle w:val="Bold"/>
                <w:rFonts w:eastAsia="MS Mincho"/>
              </w:rPr>
              <w:t>(40)</w:t>
            </w:r>
          </w:p>
        </w:tc>
        <w:tc>
          <w:tcPr>
            <w:tcW w:w="1417" w:type="dxa"/>
            <w:tcMar>
              <w:top w:w="28" w:type="dxa"/>
              <w:left w:w="0" w:type="dxa"/>
              <w:bottom w:w="57" w:type="dxa"/>
              <w:right w:w="113" w:type="dxa"/>
            </w:tcMar>
            <w:vAlign w:val="bottom"/>
          </w:tcPr>
          <w:p w14:paraId="0CE7E150"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1417" w:type="dxa"/>
            <w:tcMar>
              <w:top w:w="28" w:type="dxa"/>
              <w:left w:w="0" w:type="dxa"/>
              <w:bottom w:w="57" w:type="dxa"/>
              <w:right w:w="113" w:type="dxa"/>
            </w:tcMar>
            <w:vAlign w:val="bottom"/>
          </w:tcPr>
          <w:p w14:paraId="36BB80DF" w14:textId="77777777" w:rsidR="00F47023" w:rsidRPr="000A4433" w:rsidRDefault="00F47023" w:rsidP="000A4433">
            <w:pPr>
              <w:pStyle w:val="FSBodyText"/>
              <w:spacing w:after="0" w:line="240" w:lineRule="auto"/>
              <w:jc w:val="right"/>
            </w:pPr>
            <w:r w:rsidRPr="000A4433">
              <w:rPr>
                <w:rStyle w:val="Bold"/>
                <w:rFonts w:eastAsia="MS Mincho"/>
                <w:lang w:val="it-IT"/>
              </w:rPr>
              <w:t>(40)</w:t>
            </w:r>
          </w:p>
        </w:tc>
      </w:tr>
      <w:tr w:rsidR="00F47023" w:rsidRPr="000A4433" w14:paraId="38BC8293" w14:textId="77777777" w:rsidTr="000A4433">
        <w:trPr>
          <w:trHeight w:val="240"/>
        </w:trPr>
        <w:tc>
          <w:tcPr>
            <w:tcW w:w="5783" w:type="dxa"/>
            <w:tcMar>
              <w:top w:w="28" w:type="dxa"/>
              <w:left w:w="0" w:type="dxa"/>
              <w:bottom w:w="113" w:type="dxa"/>
              <w:right w:w="113" w:type="dxa"/>
            </w:tcMar>
            <w:vAlign w:val="bottom"/>
          </w:tcPr>
          <w:p w14:paraId="3DC92804" w14:textId="77777777" w:rsidR="00F47023" w:rsidRPr="000A4433" w:rsidRDefault="00F47023" w:rsidP="000A4433">
            <w:pPr>
              <w:pStyle w:val="FSBodyText"/>
              <w:spacing w:after="0" w:line="240" w:lineRule="auto"/>
              <w:ind w:firstLine="180"/>
            </w:pPr>
            <w:r w:rsidRPr="000A4433">
              <w:rPr>
                <w:lang w:val="it-IT"/>
              </w:rPr>
              <w:t>Amounts reversed</w:t>
            </w:r>
          </w:p>
        </w:tc>
        <w:tc>
          <w:tcPr>
            <w:tcW w:w="1480" w:type="dxa"/>
            <w:tcMar>
              <w:top w:w="28" w:type="dxa"/>
              <w:left w:w="0" w:type="dxa"/>
              <w:bottom w:w="113" w:type="dxa"/>
              <w:right w:w="113" w:type="dxa"/>
            </w:tcMar>
            <w:vAlign w:val="bottom"/>
          </w:tcPr>
          <w:p w14:paraId="6911039B" w14:textId="77777777" w:rsidR="00F47023" w:rsidRPr="000A4433" w:rsidRDefault="00F47023" w:rsidP="000A4433">
            <w:pPr>
              <w:pStyle w:val="FSBodyText"/>
              <w:spacing w:after="0" w:line="240" w:lineRule="auto"/>
              <w:jc w:val="right"/>
            </w:pPr>
            <w:r w:rsidRPr="000A4433">
              <w:rPr>
                <w:rStyle w:val="Bold"/>
                <w:rFonts w:eastAsia="MS Mincho"/>
              </w:rPr>
              <w:t>(10)</w:t>
            </w:r>
          </w:p>
        </w:tc>
        <w:tc>
          <w:tcPr>
            <w:tcW w:w="1417" w:type="dxa"/>
            <w:tcMar>
              <w:top w:w="28" w:type="dxa"/>
              <w:left w:w="0" w:type="dxa"/>
              <w:bottom w:w="113" w:type="dxa"/>
              <w:right w:w="113" w:type="dxa"/>
            </w:tcMar>
            <w:vAlign w:val="bottom"/>
          </w:tcPr>
          <w:p w14:paraId="4CC44F90"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 -</w:t>
            </w:r>
          </w:p>
        </w:tc>
        <w:tc>
          <w:tcPr>
            <w:tcW w:w="1417" w:type="dxa"/>
            <w:tcMar>
              <w:top w:w="28" w:type="dxa"/>
              <w:left w:w="0" w:type="dxa"/>
              <w:bottom w:w="113" w:type="dxa"/>
              <w:right w:w="113" w:type="dxa"/>
            </w:tcMar>
            <w:vAlign w:val="bottom"/>
          </w:tcPr>
          <w:p w14:paraId="222D23A0" w14:textId="77777777" w:rsidR="00F47023" w:rsidRPr="000A4433" w:rsidRDefault="00F47023" w:rsidP="000A4433">
            <w:pPr>
              <w:pStyle w:val="FSBodyText"/>
              <w:spacing w:after="0" w:line="240" w:lineRule="auto"/>
              <w:jc w:val="right"/>
            </w:pPr>
            <w:r w:rsidRPr="000A4433">
              <w:rPr>
                <w:rStyle w:val="Bold"/>
                <w:rFonts w:eastAsia="MS Mincho"/>
                <w:lang w:val="it-IT"/>
              </w:rPr>
              <w:t>(10)</w:t>
            </w:r>
          </w:p>
        </w:tc>
      </w:tr>
      <w:tr w:rsidR="00F47023" w:rsidRPr="000A4433" w14:paraId="581ABA26" w14:textId="77777777" w:rsidTr="00A57D8D">
        <w:trPr>
          <w:trHeight w:val="240"/>
        </w:trPr>
        <w:tc>
          <w:tcPr>
            <w:tcW w:w="5783"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32EA05E3" w14:textId="77777777" w:rsidR="00F47023" w:rsidRPr="000A4433" w:rsidRDefault="00F47023" w:rsidP="000A4433">
            <w:pPr>
              <w:pStyle w:val="FSBodyText"/>
              <w:spacing w:after="0" w:line="240" w:lineRule="auto"/>
            </w:pPr>
            <w:r w:rsidRPr="000A4433">
              <w:rPr>
                <w:rStyle w:val="Bold"/>
                <w:rFonts w:eastAsia="MS Mincho"/>
              </w:rPr>
              <w:t>Total other non-financial assets</w:t>
            </w:r>
          </w:p>
        </w:tc>
        <w:tc>
          <w:tcPr>
            <w:tcW w:w="1480"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56F0B00D" w14:textId="77777777" w:rsidR="00F47023" w:rsidRPr="000A4433" w:rsidRDefault="00F47023" w:rsidP="000A4433">
            <w:pPr>
              <w:pStyle w:val="FSBodyText"/>
              <w:spacing w:after="0" w:line="240" w:lineRule="auto"/>
              <w:jc w:val="right"/>
            </w:pPr>
            <w:r w:rsidRPr="000A4433">
              <w:rPr>
                <w:rStyle w:val="Bold"/>
                <w:rFonts w:eastAsia="MS Mincho"/>
              </w:rPr>
              <w:t xml:space="preserve">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6A9ED3B6"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511 </w:t>
            </w:r>
          </w:p>
        </w:tc>
        <w:tc>
          <w:tcPr>
            <w:tcW w:w="1417" w:type="dxa"/>
            <w:tcBorders>
              <w:bottom w:val="single" w:sz="4" w:space="0" w:color="auto"/>
            </w:tcBorders>
            <w:shd w:val="clear" w:color="auto" w:fill="F2F2F2" w:themeFill="background1" w:themeFillShade="F2"/>
            <w:tcMar>
              <w:top w:w="113" w:type="dxa"/>
              <w:left w:w="0" w:type="dxa"/>
              <w:bottom w:w="113" w:type="dxa"/>
              <w:right w:w="113" w:type="dxa"/>
            </w:tcMar>
            <w:vAlign w:val="bottom"/>
          </w:tcPr>
          <w:p w14:paraId="6A2CEA05" w14:textId="77777777" w:rsidR="00F47023" w:rsidRPr="000A4433" w:rsidRDefault="00F47023" w:rsidP="000A4433">
            <w:pPr>
              <w:pStyle w:val="FSBodyText"/>
              <w:spacing w:after="0" w:line="240" w:lineRule="auto"/>
              <w:jc w:val="right"/>
            </w:pPr>
            <w:r w:rsidRPr="000A4433">
              <w:rPr>
                <w:rStyle w:val="Bold"/>
                <w:rFonts w:eastAsia="MS Mincho"/>
                <w:lang w:val="it-IT"/>
              </w:rPr>
              <w:t xml:space="preserve">511 </w:t>
            </w:r>
          </w:p>
        </w:tc>
      </w:tr>
      <w:tr w:rsidR="00F47023" w:rsidRPr="000A4433" w14:paraId="63EE2547" w14:textId="77777777" w:rsidTr="00A57D8D">
        <w:trPr>
          <w:trHeight w:val="240"/>
        </w:trPr>
        <w:tc>
          <w:tcPr>
            <w:tcW w:w="10097" w:type="dxa"/>
            <w:gridSpan w:val="4"/>
            <w:tcBorders>
              <w:bottom w:val="nil"/>
            </w:tcBorders>
            <w:tcMar>
              <w:top w:w="227" w:type="dxa"/>
              <w:left w:w="0" w:type="dxa"/>
              <w:bottom w:w="57" w:type="dxa"/>
              <w:right w:w="113" w:type="dxa"/>
            </w:tcMar>
            <w:vAlign w:val="bottom"/>
          </w:tcPr>
          <w:p w14:paraId="14643912" w14:textId="77777777" w:rsidR="00F47023" w:rsidRPr="000A4433" w:rsidRDefault="00F47023" w:rsidP="000A4433">
            <w:pPr>
              <w:pStyle w:val="FSNote"/>
              <w:spacing w:after="0" w:line="240" w:lineRule="auto"/>
              <w:rPr>
                <w:sz w:val="16"/>
                <w:szCs w:val="16"/>
              </w:rPr>
            </w:pPr>
            <w:r w:rsidRPr="000A4433">
              <w:rPr>
                <w:sz w:val="16"/>
                <w:szCs w:val="16"/>
              </w:rPr>
              <w:t xml:space="preserve">1. Make good provision for leasehold improvements for property lease which expires 30 June 2024. </w:t>
            </w:r>
          </w:p>
        </w:tc>
      </w:tr>
    </w:tbl>
    <w:p w14:paraId="42190868" w14:textId="77777777" w:rsidR="00F47023" w:rsidRDefault="00F47023" w:rsidP="00F47023">
      <w:pPr>
        <w:pStyle w:val="FSBodyText"/>
      </w:pPr>
    </w:p>
    <w:p w14:paraId="55646209" w14:textId="77777777" w:rsidR="00F47023" w:rsidRDefault="00F47023" w:rsidP="00F47023">
      <w:pPr>
        <w:pStyle w:val="FSBodyText"/>
      </w:pPr>
    </w:p>
    <w:p w14:paraId="21B2A3A0" w14:textId="5D3BFD40" w:rsidR="00A57D8D" w:rsidRDefault="00A57D8D">
      <w:pPr>
        <w:spacing w:before="0" w:after="0" w:line="240" w:lineRule="auto"/>
        <w:rPr>
          <w:rFonts w:cs="Open Sans"/>
          <w:color w:val="000000"/>
          <w:sz w:val="16"/>
          <w:szCs w:val="16"/>
          <w:lang w:val="en-US"/>
        </w:rPr>
      </w:pPr>
      <w:r>
        <w:br w:type="page"/>
      </w:r>
    </w:p>
    <w:p w14:paraId="616F6F11" w14:textId="39C5B701" w:rsidR="00A57D8D" w:rsidRDefault="00A57D8D" w:rsidP="00A57D8D">
      <w:pPr>
        <w:pStyle w:val="Heading7"/>
      </w:pPr>
      <w:bookmarkStart w:id="48" w:name="_Toc146437054"/>
      <w:r>
        <w:t>People and Relationships</w:t>
      </w:r>
      <w:bookmarkEnd w:id="48"/>
    </w:p>
    <w:p w14:paraId="0711CE76" w14:textId="77777777" w:rsidR="00F47023" w:rsidRDefault="00F47023" w:rsidP="00F47023">
      <w:pPr>
        <w:pStyle w:val="FSBodyText"/>
      </w:pPr>
      <w:r>
        <w:t>This section describes a range of employment and post employment benefits provided to our people and our relationships with other key people.</w:t>
      </w:r>
    </w:p>
    <w:p w14:paraId="512A3A84" w14:textId="77777777" w:rsidR="00F47023" w:rsidRDefault="00F47023" w:rsidP="00F47023">
      <w:pPr>
        <w:pStyle w:val="FSHeading2-Tutti"/>
        <w:rPr>
          <w:color w:val="000000"/>
          <w:sz w:val="16"/>
          <w:szCs w:val="16"/>
          <w:lang w:val="en-US"/>
        </w:rPr>
      </w:pPr>
      <w:r>
        <w:rPr>
          <w:color w:val="2BB8C9"/>
        </w:rPr>
        <w:t>3.1 Employee Provisions</w:t>
      </w:r>
    </w:p>
    <w:tbl>
      <w:tblPr>
        <w:tblW w:w="0" w:type="auto"/>
        <w:tblLayout w:type="fixed"/>
        <w:tblCellMar>
          <w:left w:w="0" w:type="dxa"/>
          <w:right w:w="0" w:type="dxa"/>
        </w:tblCellMar>
        <w:tblLook w:val="0000" w:firstRow="0" w:lastRow="0" w:firstColumn="0" w:lastColumn="0" w:noHBand="0" w:noVBand="0"/>
      </w:tblPr>
      <w:tblGrid>
        <w:gridCol w:w="7257"/>
        <w:gridCol w:w="1417"/>
        <w:gridCol w:w="1417"/>
      </w:tblGrid>
      <w:tr w:rsidR="00A57D8D" w:rsidRPr="00A57D8D" w14:paraId="2C123736" w14:textId="77777777" w:rsidTr="00A57D8D">
        <w:trPr>
          <w:trHeight w:val="255"/>
        </w:trPr>
        <w:tc>
          <w:tcPr>
            <w:tcW w:w="7257" w:type="dxa"/>
            <w:tcBorders>
              <w:top w:val="single" w:sz="8" w:space="0" w:color="6D6E70"/>
              <w:left w:val="nil"/>
              <w:bottom w:val="single" w:sz="4" w:space="0" w:color="6D6E70"/>
              <w:right w:val="nil"/>
            </w:tcBorders>
            <w:shd w:val="clear" w:color="auto" w:fill="1CBDC9"/>
            <w:tcMar>
              <w:top w:w="85" w:type="dxa"/>
              <w:left w:w="113" w:type="dxa"/>
              <w:bottom w:w="113" w:type="dxa"/>
              <w:right w:w="113" w:type="dxa"/>
            </w:tcMar>
            <w:vAlign w:val="bottom"/>
          </w:tcPr>
          <w:p w14:paraId="5C13B5E4" w14:textId="77777777" w:rsidR="00F47023" w:rsidRPr="00A57D8D" w:rsidRDefault="00F47023" w:rsidP="00A57D8D">
            <w:pPr>
              <w:pStyle w:val="Nessunostileparagrafo"/>
              <w:spacing w:line="240" w:lineRule="auto"/>
              <w:textAlignment w:val="auto"/>
              <w:rPr>
                <w:rFonts w:ascii="Open Sans Semibold" w:hAnsi="Open Sans Semibold" w:cs="Times New Roman"/>
                <w:color w:val="FFFFFF" w:themeColor="background1"/>
                <w:sz w:val="20"/>
                <w:szCs w:val="20"/>
                <w:lang w:val="it-IT"/>
              </w:rPr>
            </w:pPr>
          </w:p>
        </w:tc>
        <w:tc>
          <w:tcPr>
            <w:tcW w:w="1417" w:type="dxa"/>
            <w:tcBorders>
              <w:top w:val="single" w:sz="8" w:space="0" w:color="6D6E70"/>
              <w:left w:val="nil"/>
              <w:bottom w:val="single" w:sz="4" w:space="0" w:color="6D6E70"/>
              <w:right w:val="nil"/>
            </w:tcBorders>
            <w:shd w:val="clear" w:color="auto" w:fill="1CBDC9"/>
            <w:tcMar>
              <w:top w:w="85" w:type="dxa"/>
              <w:left w:w="113" w:type="dxa"/>
              <w:bottom w:w="113" w:type="dxa"/>
              <w:right w:w="113" w:type="dxa"/>
            </w:tcMar>
            <w:vAlign w:val="bottom"/>
          </w:tcPr>
          <w:p w14:paraId="7B35C0CB" w14:textId="77777777" w:rsidR="00F47023" w:rsidRPr="00A57D8D" w:rsidRDefault="00F47023" w:rsidP="00A57D8D">
            <w:pPr>
              <w:pStyle w:val="FSHeaderRow"/>
              <w:spacing w:line="240" w:lineRule="auto"/>
              <w:rPr>
                <w:color w:val="FFFFFF" w:themeColor="background1"/>
                <w:sz w:val="20"/>
                <w:szCs w:val="20"/>
              </w:rPr>
            </w:pPr>
            <w:r w:rsidRPr="00A57D8D">
              <w:rPr>
                <w:color w:val="FFFFFF" w:themeColor="background1"/>
                <w:sz w:val="20"/>
                <w:szCs w:val="20"/>
              </w:rPr>
              <w:t>2023</w:t>
            </w:r>
          </w:p>
          <w:p w14:paraId="58322B33" w14:textId="77777777" w:rsidR="00F47023" w:rsidRPr="00A57D8D" w:rsidRDefault="00F47023" w:rsidP="00A57D8D">
            <w:pPr>
              <w:pStyle w:val="FSHeaderRow"/>
              <w:spacing w:line="240" w:lineRule="auto"/>
              <w:rPr>
                <w:color w:val="FFFFFF" w:themeColor="background1"/>
                <w:sz w:val="20"/>
                <w:szCs w:val="20"/>
              </w:rPr>
            </w:pPr>
            <w:r w:rsidRPr="00A57D8D">
              <w:rPr>
                <w:color w:val="FFFFFF" w:themeColor="background1"/>
                <w:sz w:val="20"/>
                <w:szCs w:val="20"/>
              </w:rPr>
              <w:t>$’000</w:t>
            </w:r>
          </w:p>
        </w:tc>
        <w:tc>
          <w:tcPr>
            <w:tcW w:w="1417" w:type="dxa"/>
            <w:tcBorders>
              <w:top w:val="single" w:sz="8" w:space="0" w:color="6D6E70"/>
              <w:left w:val="nil"/>
              <w:bottom w:val="single" w:sz="4" w:space="0" w:color="6D6E70"/>
              <w:right w:val="nil"/>
            </w:tcBorders>
            <w:shd w:val="clear" w:color="auto" w:fill="1CBDC9"/>
            <w:tcMar>
              <w:top w:w="85" w:type="dxa"/>
              <w:left w:w="113" w:type="dxa"/>
              <w:bottom w:w="113" w:type="dxa"/>
              <w:right w:w="113" w:type="dxa"/>
            </w:tcMar>
            <w:vAlign w:val="bottom"/>
          </w:tcPr>
          <w:p w14:paraId="17B01C52" w14:textId="77777777" w:rsidR="00F47023" w:rsidRPr="00A57D8D" w:rsidRDefault="00F47023" w:rsidP="00A57D8D">
            <w:pPr>
              <w:pStyle w:val="FSHeaderRow"/>
              <w:spacing w:line="240" w:lineRule="auto"/>
              <w:rPr>
                <w:rStyle w:val="FSUnboldCond"/>
                <w:b w:val="0"/>
                <w:bCs w:val="0"/>
                <w:color w:val="FFFFFF" w:themeColor="background1"/>
                <w:sz w:val="20"/>
                <w:szCs w:val="20"/>
              </w:rPr>
            </w:pPr>
            <w:r w:rsidRPr="00A57D8D">
              <w:rPr>
                <w:rStyle w:val="FSUnboldCond"/>
                <w:b w:val="0"/>
                <w:bCs w:val="0"/>
                <w:color w:val="FFFFFF" w:themeColor="background1"/>
                <w:sz w:val="20"/>
                <w:szCs w:val="20"/>
              </w:rPr>
              <w:t>2022</w:t>
            </w:r>
          </w:p>
          <w:p w14:paraId="5A3B32A1" w14:textId="77777777" w:rsidR="00F47023" w:rsidRPr="00A57D8D" w:rsidRDefault="00F47023" w:rsidP="00A57D8D">
            <w:pPr>
              <w:pStyle w:val="FSHeaderRow"/>
              <w:spacing w:line="240" w:lineRule="auto"/>
              <w:rPr>
                <w:color w:val="FFFFFF" w:themeColor="background1"/>
                <w:sz w:val="20"/>
                <w:szCs w:val="20"/>
              </w:rPr>
            </w:pPr>
            <w:r w:rsidRPr="00A57D8D">
              <w:rPr>
                <w:rStyle w:val="FSUnboldCond"/>
                <w:b w:val="0"/>
                <w:bCs w:val="0"/>
                <w:color w:val="FFFFFF" w:themeColor="background1"/>
                <w:sz w:val="20"/>
                <w:szCs w:val="20"/>
              </w:rPr>
              <w:t>$’000</w:t>
            </w:r>
          </w:p>
        </w:tc>
      </w:tr>
      <w:tr w:rsidR="00F47023" w:rsidRPr="00A57D8D" w14:paraId="0295C444" w14:textId="77777777">
        <w:trPr>
          <w:trHeight w:val="255"/>
        </w:trPr>
        <w:tc>
          <w:tcPr>
            <w:tcW w:w="7257" w:type="dxa"/>
            <w:tcBorders>
              <w:top w:val="single" w:sz="4" w:space="0" w:color="6D6E70"/>
              <w:left w:val="nil"/>
              <w:bottom w:val="single" w:sz="6" w:space="0" w:color="000000"/>
              <w:right w:val="nil"/>
            </w:tcBorders>
            <w:tcMar>
              <w:top w:w="170" w:type="dxa"/>
              <w:left w:w="0" w:type="dxa"/>
              <w:bottom w:w="57" w:type="dxa"/>
              <w:right w:w="113" w:type="dxa"/>
            </w:tcMar>
            <w:vAlign w:val="bottom"/>
          </w:tcPr>
          <w:p w14:paraId="51DCDB99" w14:textId="77777777" w:rsidR="00F47023" w:rsidRPr="00A57D8D" w:rsidRDefault="00F47023" w:rsidP="00A57D8D">
            <w:pPr>
              <w:pStyle w:val="FSBlueHeadingBold"/>
            </w:pPr>
            <w:r w:rsidRPr="00A57D8D">
              <w:rPr>
                <w:rStyle w:val="Bold"/>
                <w:rFonts w:eastAsia="MS Mincho"/>
                <w:b/>
                <w:bCs/>
              </w:rPr>
              <w:t>3.1A: Employee provisions</w:t>
            </w:r>
          </w:p>
        </w:tc>
        <w:tc>
          <w:tcPr>
            <w:tcW w:w="1417" w:type="dxa"/>
            <w:tcBorders>
              <w:top w:val="single" w:sz="4" w:space="0" w:color="6D6E70"/>
              <w:left w:val="nil"/>
              <w:bottom w:val="single" w:sz="6" w:space="0" w:color="000000"/>
              <w:right w:val="nil"/>
            </w:tcBorders>
            <w:tcMar>
              <w:top w:w="170" w:type="dxa"/>
              <w:left w:w="0" w:type="dxa"/>
              <w:bottom w:w="57" w:type="dxa"/>
              <w:right w:w="113" w:type="dxa"/>
            </w:tcMar>
            <w:vAlign w:val="bottom"/>
          </w:tcPr>
          <w:p w14:paraId="20E15347" w14:textId="77777777" w:rsidR="00F47023" w:rsidRPr="00A57D8D" w:rsidRDefault="00F47023" w:rsidP="00A57D8D">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Borders>
              <w:top w:val="single" w:sz="4" w:space="0" w:color="6D6E70"/>
              <w:left w:val="nil"/>
              <w:bottom w:val="single" w:sz="6" w:space="0" w:color="000000"/>
              <w:right w:val="nil"/>
            </w:tcBorders>
            <w:tcMar>
              <w:top w:w="170" w:type="dxa"/>
              <w:left w:w="0" w:type="dxa"/>
              <w:bottom w:w="57" w:type="dxa"/>
              <w:right w:w="113" w:type="dxa"/>
            </w:tcMar>
            <w:vAlign w:val="bottom"/>
          </w:tcPr>
          <w:p w14:paraId="7F448456" w14:textId="77777777" w:rsidR="00F47023" w:rsidRPr="00A57D8D" w:rsidRDefault="00F47023" w:rsidP="00A57D8D">
            <w:pPr>
              <w:pStyle w:val="Nessunostileparagrafo"/>
              <w:spacing w:line="240" w:lineRule="auto"/>
              <w:textAlignment w:val="auto"/>
              <w:rPr>
                <w:rFonts w:ascii="Open Sans Semibold" w:hAnsi="Open Sans Semibold" w:cs="Times New Roman"/>
                <w:color w:val="auto"/>
                <w:sz w:val="16"/>
                <w:szCs w:val="16"/>
                <w:lang w:val="it-IT"/>
              </w:rPr>
            </w:pPr>
          </w:p>
        </w:tc>
      </w:tr>
      <w:tr w:rsidR="00F47023" w:rsidRPr="00A57D8D" w14:paraId="437F7ACE" w14:textId="77777777">
        <w:trPr>
          <w:trHeight w:val="255"/>
        </w:trPr>
        <w:tc>
          <w:tcPr>
            <w:tcW w:w="7257" w:type="dxa"/>
            <w:tcBorders>
              <w:top w:val="single" w:sz="6" w:space="0" w:color="000000"/>
              <w:left w:val="nil"/>
              <w:bottom w:val="single" w:sz="6" w:space="0" w:color="6D6E70"/>
              <w:right w:val="nil"/>
            </w:tcBorders>
            <w:tcMar>
              <w:top w:w="28" w:type="dxa"/>
              <w:left w:w="0" w:type="dxa"/>
              <w:bottom w:w="57" w:type="dxa"/>
              <w:right w:w="113" w:type="dxa"/>
            </w:tcMar>
            <w:vAlign w:val="bottom"/>
          </w:tcPr>
          <w:p w14:paraId="46972345" w14:textId="77777777" w:rsidR="00F47023" w:rsidRPr="00A57D8D" w:rsidRDefault="00F47023" w:rsidP="00A57D8D">
            <w:pPr>
              <w:pStyle w:val="FSBodyText"/>
              <w:spacing w:after="0" w:line="240" w:lineRule="auto"/>
            </w:pPr>
            <w:r w:rsidRPr="00A57D8D">
              <w:rPr>
                <w:lang w:val="it-IT"/>
              </w:rPr>
              <w:t>Leave</w:t>
            </w:r>
          </w:p>
        </w:tc>
        <w:tc>
          <w:tcPr>
            <w:tcW w:w="1417" w:type="dxa"/>
            <w:tcBorders>
              <w:top w:val="single" w:sz="6" w:space="0" w:color="000000"/>
              <w:left w:val="nil"/>
              <w:bottom w:val="single" w:sz="6" w:space="0" w:color="6D6E70"/>
              <w:right w:val="nil"/>
            </w:tcBorders>
            <w:tcMar>
              <w:top w:w="28" w:type="dxa"/>
              <w:left w:w="0" w:type="dxa"/>
              <w:bottom w:w="57" w:type="dxa"/>
              <w:right w:w="113" w:type="dxa"/>
            </w:tcMar>
            <w:vAlign w:val="bottom"/>
          </w:tcPr>
          <w:p w14:paraId="2F30DB3F" w14:textId="77777777" w:rsidR="00F47023" w:rsidRPr="00A57D8D" w:rsidRDefault="00F47023" w:rsidP="00A57D8D">
            <w:pPr>
              <w:pStyle w:val="FSBodyText"/>
              <w:spacing w:after="0" w:line="240" w:lineRule="auto"/>
              <w:jc w:val="right"/>
            </w:pPr>
            <w:r w:rsidRPr="00A57D8D">
              <w:rPr>
                <w:rStyle w:val="Bold"/>
                <w:rFonts w:eastAsia="MS Mincho"/>
                <w:lang w:val="it-IT"/>
              </w:rPr>
              <w:t xml:space="preserve">4,118 </w:t>
            </w:r>
          </w:p>
        </w:tc>
        <w:tc>
          <w:tcPr>
            <w:tcW w:w="1417" w:type="dxa"/>
            <w:tcBorders>
              <w:top w:val="single" w:sz="6" w:space="0" w:color="000000"/>
              <w:left w:val="nil"/>
              <w:bottom w:val="single" w:sz="6" w:space="0" w:color="6D6E70"/>
              <w:right w:val="nil"/>
            </w:tcBorders>
            <w:tcMar>
              <w:top w:w="28" w:type="dxa"/>
              <w:left w:w="0" w:type="dxa"/>
              <w:bottom w:w="57" w:type="dxa"/>
              <w:right w:w="113" w:type="dxa"/>
            </w:tcMar>
            <w:vAlign w:val="bottom"/>
          </w:tcPr>
          <w:p w14:paraId="0057CDD1" w14:textId="77777777" w:rsidR="00F47023" w:rsidRPr="00A57D8D" w:rsidRDefault="00F47023" w:rsidP="00A57D8D">
            <w:pPr>
              <w:pStyle w:val="FSBodyText"/>
              <w:spacing w:after="0" w:line="240" w:lineRule="auto"/>
              <w:jc w:val="right"/>
            </w:pPr>
            <w:r w:rsidRPr="00A57D8D">
              <w:rPr>
                <w:lang w:val="it-IT"/>
              </w:rPr>
              <w:t xml:space="preserve">3,892 </w:t>
            </w:r>
          </w:p>
        </w:tc>
      </w:tr>
      <w:tr w:rsidR="00F47023" w:rsidRPr="00A57D8D" w14:paraId="264CFB16" w14:textId="77777777">
        <w:trPr>
          <w:trHeight w:val="255"/>
        </w:trPr>
        <w:tc>
          <w:tcPr>
            <w:tcW w:w="7257" w:type="dxa"/>
            <w:tcBorders>
              <w:top w:val="single" w:sz="6" w:space="0" w:color="6D6E70"/>
              <w:left w:val="nil"/>
              <w:bottom w:val="single" w:sz="8" w:space="0" w:color="6D6E70"/>
              <w:right w:val="nil"/>
            </w:tcBorders>
            <w:tcMar>
              <w:top w:w="57" w:type="dxa"/>
              <w:left w:w="0" w:type="dxa"/>
              <w:bottom w:w="113" w:type="dxa"/>
              <w:right w:w="113" w:type="dxa"/>
            </w:tcMar>
            <w:vAlign w:val="bottom"/>
          </w:tcPr>
          <w:p w14:paraId="0C970D4D" w14:textId="77777777" w:rsidR="00F47023" w:rsidRPr="00A57D8D" w:rsidRDefault="00F47023" w:rsidP="00A57D8D">
            <w:pPr>
              <w:pStyle w:val="FSBodyText"/>
              <w:spacing w:after="0" w:line="240" w:lineRule="auto"/>
            </w:pPr>
            <w:r w:rsidRPr="00A57D8D">
              <w:rPr>
                <w:lang w:val="it-IT"/>
              </w:rPr>
              <w:t>Separations and redundancies</w:t>
            </w:r>
          </w:p>
        </w:tc>
        <w:tc>
          <w:tcPr>
            <w:tcW w:w="1417" w:type="dxa"/>
            <w:tcBorders>
              <w:top w:val="single" w:sz="6" w:space="0" w:color="6D6E70"/>
              <w:left w:val="nil"/>
              <w:bottom w:val="single" w:sz="8" w:space="0" w:color="6D6E70"/>
              <w:right w:val="nil"/>
            </w:tcBorders>
            <w:tcMar>
              <w:top w:w="57" w:type="dxa"/>
              <w:left w:w="0" w:type="dxa"/>
              <w:bottom w:w="113" w:type="dxa"/>
              <w:right w:w="113" w:type="dxa"/>
            </w:tcMar>
            <w:vAlign w:val="bottom"/>
          </w:tcPr>
          <w:p w14:paraId="19E60A62" w14:textId="77777777" w:rsidR="00F47023" w:rsidRPr="00A57D8D" w:rsidRDefault="00F47023" w:rsidP="00A57D8D">
            <w:pPr>
              <w:pStyle w:val="FSBodyText"/>
              <w:spacing w:after="0" w:line="240" w:lineRule="auto"/>
              <w:jc w:val="right"/>
            </w:pPr>
            <w:r w:rsidRPr="00A57D8D">
              <w:rPr>
                <w:rStyle w:val="Bold"/>
                <w:rFonts w:eastAsia="MS Mincho"/>
                <w:lang w:val="it-IT"/>
              </w:rPr>
              <w:t xml:space="preserve"> -</w:t>
            </w:r>
          </w:p>
        </w:tc>
        <w:tc>
          <w:tcPr>
            <w:tcW w:w="1417" w:type="dxa"/>
            <w:tcBorders>
              <w:top w:val="single" w:sz="6" w:space="0" w:color="6D6E70"/>
              <w:left w:val="nil"/>
              <w:bottom w:val="single" w:sz="8" w:space="0" w:color="6D6E70"/>
              <w:right w:val="nil"/>
            </w:tcBorders>
            <w:tcMar>
              <w:top w:w="57" w:type="dxa"/>
              <w:left w:w="0" w:type="dxa"/>
              <w:bottom w:w="113" w:type="dxa"/>
              <w:right w:w="113" w:type="dxa"/>
            </w:tcMar>
            <w:vAlign w:val="bottom"/>
          </w:tcPr>
          <w:p w14:paraId="2929090D" w14:textId="77777777" w:rsidR="00F47023" w:rsidRPr="00A57D8D" w:rsidRDefault="00F47023" w:rsidP="00A57D8D">
            <w:pPr>
              <w:pStyle w:val="FSBodyText"/>
              <w:spacing w:after="0" w:line="240" w:lineRule="auto"/>
              <w:jc w:val="right"/>
            </w:pPr>
            <w:r w:rsidRPr="00A57D8D">
              <w:rPr>
                <w:lang w:val="it-IT"/>
              </w:rPr>
              <w:t xml:space="preserve">336 </w:t>
            </w:r>
          </w:p>
        </w:tc>
      </w:tr>
      <w:tr w:rsidR="00F47023" w:rsidRPr="00A57D8D" w14:paraId="1CD71282" w14:textId="77777777" w:rsidTr="00A57D8D">
        <w:trPr>
          <w:trHeight w:val="260"/>
        </w:trPr>
        <w:tc>
          <w:tcPr>
            <w:tcW w:w="7257"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724939C8" w14:textId="77777777" w:rsidR="00F47023" w:rsidRPr="00A57D8D" w:rsidRDefault="00F47023" w:rsidP="00A57D8D">
            <w:pPr>
              <w:pStyle w:val="FSBodyText"/>
              <w:spacing w:after="0" w:line="240" w:lineRule="auto"/>
            </w:pPr>
            <w:r w:rsidRPr="00A57D8D">
              <w:rPr>
                <w:rStyle w:val="Bold"/>
                <w:rFonts w:eastAsia="MS Mincho"/>
                <w:lang w:val="it-IT"/>
              </w:rPr>
              <w:t>Total employee provisions</w:t>
            </w:r>
          </w:p>
        </w:tc>
        <w:tc>
          <w:tcPr>
            <w:tcW w:w="1417"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7E3A8FBC" w14:textId="77777777" w:rsidR="00F47023" w:rsidRPr="00A57D8D" w:rsidRDefault="00F47023" w:rsidP="00A57D8D">
            <w:pPr>
              <w:pStyle w:val="FSBodyText"/>
              <w:spacing w:after="0" w:line="240" w:lineRule="auto"/>
              <w:jc w:val="right"/>
            </w:pPr>
            <w:r w:rsidRPr="00A57D8D">
              <w:rPr>
                <w:rStyle w:val="Bold"/>
                <w:rFonts w:eastAsia="MS Mincho"/>
                <w:lang w:val="it-IT"/>
              </w:rPr>
              <w:t xml:space="preserve">4,118 </w:t>
            </w:r>
          </w:p>
        </w:tc>
        <w:tc>
          <w:tcPr>
            <w:tcW w:w="1417"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27A916A9" w14:textId="77777777" w:rsidR="00F47023" w:rsidRPr="00A57D8D" w:rsidRDefault="00F47023" w:rsidP="00A57D8D">
            <w:pPr>
              <w:pStyle w:val="FSBodyText"/>
              <w:spacing w:after="0" w:line="240" w:lineRule="auto"/>
              <w:jc w:val="right"/>
            </w:pPr>
            <w:r w:rsidRPr="00A57D8D">
              <w:rPr>
                <w:lang w:val="it-IT"/>
              </w:rPr>
              <w:t xml:space="preserve">4,228 </w:t>
            </w:r>
          </w:p>
        </w:tc>
      </w:tr>
      <w:tr w:rsidR="00F47023" w:rsidRPr="00A57D8D" w14:paraId="588E35EA" w14:textId="77777777">
        <w:trPr>
          <w:trHeight w:val="240"/>
        </w:trPr>
        <w:tc>
          <w:tcPr>
            <w:tcW w:w="7257" w:type="dxa"/>
            <w:tcBorders>
              <w:top w:val="single" w:sz="8" w:space="0" w:color="6D6E70"/>
              <w:left w:val="nil"/>
              <w:bottom w:val="single" w:sz="6" w:space="0" w:color="000000"/>
              <w:right w:val="nil"/>
            </w:tcBorders>
            <w:tcMar>
              <w:top w:w="170" w:type="dxa"/>
              <w:left w:w="0" w:type="dxa"/>
              <w:bottom w:w="57" w:type="dxa"/>
              <w:right w:w="113" w:type="dxa"/>
            </w:tcMar>
            <w:vAlign w:val="bottom"/>
          </w:tcPr>
          <w:p w14:paraId="01EDD926" w14:textId="77777777" w:rsidR="00F47023" w:rsidRPr="00A57D8D" w:rsidRDefault="00F47023" w:rsidP="00A57D8D">
            <w:pPr>
              <w:pStyle w:val="FSBodyText"/>
              <w:spacing w:after="0" w:line="240" w:lineRule="auto"/>
            </w:pPr>
            <w:r w:rsidRPr="00A57D8D">
              <w:rPr>
                <w:rStyle w:val="Bold"/>
                <w:rFonts w:eastAsia="MS Mincho"/>
              </w:rPr>
              <w:t>Employee provisions expected to be settled</w:t>
            </w:r>
          </w:p>
        </w:tc>
        <w:tc>
          <w:tcPr>
            <w:tcW w:w="1417" w:type="dxa"/>
            <w:tcBorders>
              <w:top w:val="single" w:sz="8" w:space="0" w:color="6D6E70"/>
              <w:left w:val="nil"/>
              <w:bottom w:val="single" w:sz="6" w:space="0" w:color="000000"/>
              <w:right w:val="nil"/>
            </w:tcBorders>
            <w:tcMar>
              <w:top w:w="170" w:type="dxa"/>
              <w:left w:w="0" w:type="dxa"/>
              <w:bottom w:w="57" w:type="dxa"/>
              <w:right w:w="113" w:type="dxa"/>
            </w:tcMar>
            <w:vAlign w:val="bottom"/>
          </w:tcPr>
          <w:p w14:paraId="1CB04B11" w14:textId="77777777" w:rsidR="00F47023" w:rsidRPr="00A57D8D" w:rsidRDefault="00F47023" w:rsidP="00A57D8D">
            <w:pPr>
              <w:pStyle w:val="Nessunostileparagrafo"/>
              <w:spacing w:line="240" w:lineRule="auto"/>
              <w:textAlignment w:val="auto"/>
              <w:rPr>
                <w:rFonts w:ascii="Open Sans Semibold" w:hAnsi="Open Sans Semibold" w:cs="Times New Roman"/>
                <w:color w:val="auto"/>
                <w:sz w:val="16"/>
                <w:szCs w:val="16"/>
              </w:rPr>
            </w:pPr>
          </w:p>
        </w:tc>
        <w:tc>
          <w:tcPr>
            <w:tcW w:w="1417" w:type="dxa"/>
            <w:tcBorders>
              <w:top w:val="single" w:sz="8" w:space="0" w:color="6D6E70"/>
              <w:left w:val="nil"/>
              <w:bottom w:val="single" w:sz="6" w:space="0" w:color="000000"/>
              <w:right w:val="nil"/>
            </w:tcBorders>
            <w:tcMar>
              <w:top w:w="170" w:type="dxa"/>
              <w:left w:w="0" w:type="dxa"/>
              <w:bottom w:w="57" w:type="dxa"/>
              <w:right w:w="113" w:type="dxa"/>
            </w:tcMar>
            <w:vAlign w:val="bottom"/>
          </w:tcPr>
          <w:p w14:paraId="323C90DD" w14:textId="77777777" w:rsidR="00F47023" w:rsidRPr="00A57D8D" w:rsidRDefault="00F47023" w:rsidP="00A57D8D">
            <w:pPr>
              <w:pStyle w:val="Nessunostileparagrafo"/>
              <w:spacing w:line="240" w:lineRule="auto"/>
              <w:textAlignment w:val="auto"/>
              <w:rPr>
                <w:rFonts w:ascii="Open Sans Semibold" w:hAnsi="Open Sans Semibold" w:cs="Times New Roman"/>
                <w:color w:val="auto"/>
                <w:sz w:val="16"/>
                <w:szCs w:val="16"/>
              </w:rPr>
            </w:pPr>
          </w:p>
        </w:tc>
      </w:tr>
      <w:tr w:rsidR="00F47023" w:rsidRPr="00A57D8D" w14:paraId="74D5A227" w14:textId="77777777">
        <w:trPr>
          <w:trHeight w:val="240"/>
        </w:trPr>
        <w:tc>
          <w:tcPr>
            <w:tcW w:w="7257" w:type="dxa"/>
            <w:tcBorders>
              <w:top w:val="single" w:sz="6" w:space="0" w:color="000000"/>
              <w:left w:val="nil"/>
              <w:bottom w:val="single" w:sz="6" w:space="0" w:color="6D6E70"/>
              <w:right w:val="nil"/>
            </w:tcBorders>
            <w:tcMar>
              <w:top w:w="28" w:type="dxa"/>
              <w:left w:w="0" w:type="dxa"/>
              <w:bottom w:w="57" w:type="dxa"/>
              <w:right w:w="113" w:type="dxa"/>
            </w:tcMar>
            <w:vAlign w:val="bottom"/>
          </w:tcPr>
          <w:p w14:paraId="62B744B9" w14:textId="77777777" w:rsidR="00F47023" w:rsidRPr="00A57D8D" w:rsidRDefault="00F47023" w:rsidP="00A57D8D">
            <w:pPr>
              <w:pStyle w:val="FSBodyText"/>
              <w:spacing w:after="0" w:line="240" w:lineRule="auto"/>
              <w:ind w:firstLine="180"/>
            </w:pPr>
            <w:r w:rsidRPr="00A57D8D">
              <w:rPr>
                <w:lang w:val="it-IT"/>
              </w:rPr>
              <w:t>No more than 12 months</w:t>
            </w:r>
          </w:p>
        </w:tc>
        <w:tc>
          <w:tcPr>
            <w:tcW w:w="1417" w:type="dxa"/>
            <w:tcBorders>
              <w:top w:val="single" w:sz="6" w:space="0" w:color="000000"/>
              <w:left w:val="nil"/>
              <w:bottom w:val="single" w:sz="6" w:space="0" w:color="6D6E70"/>
              <w:right w:val="nil"/>
            </w:tcBorders>
            <w:tcMar>
              <w:top w:w="28" w:type="dxa"/>
              <w:left w:w="0" w:type="dxa"/>
              <w:bottom w:w="57" w:type="dxa"/>
              <w:right w:w="113" w:type="dxa"/>
            </w:tcMar>
            <w:vAlign w:val="bottom"/>
          </w:tcPr>
          <w:p w14:paraId="2BD44A92" w14:textId="77777777" w:rsidR="00F47023" w:rsidRPr="00A57D8D" w:rsidRDefault="00F47023" w:rsidP="00A57D8D">
            <w:pPr>
              <w:pStyle w:val="FSBodyText"/>
              <w:spacing w:after="0" w:line="240" w:lineRule="auto"/>
              <w:jc w:val="right"/>
            </w:pPr>
            <w:r w:rsidRPr="00A57D8D">
              <w:rPr>
                <w:rStyle w:val="Bold"/>
                <w:rFonts w:eastAsia="MS Mincho"/>
                <w:lang w:val="it-IT"/>
              </w:rPr>
              <w:t xml:space="preserve">1,685 </w:t>
            </w:r>
          </w:p>
        </w:tc>
        <w:tc>
          <w:tcPr>
            <w:tcW w:w="1417" w:type="dxa"/>
            <w:tcBorders>
              <w:top w:val="single" w:sz="6" w:space="0" w:color="000000"/>
              <w:left w:val="nil"/>
              <w:bottom w:val="single" w:sz="6" w:space="0" w:color="6D6E70"/>
              <w:right w:val="nil"/>
            </w:tcBorders>
            <w:tcMar>
              <w:top w:w="28" w:type="dxa"/>
              <w:left w:w="0" w:type="dxa"/>
              <w:bottom w:w="57" w:type="dxa"/>
              <w:right w:w="113" w:type="dxa"/>
            </w:tcMar>
            <w:vAlign w:val="bottom"/>
          </w:tcPr>
          <w:p w14:paraId="0A3D82F5" w14:textId="77777777" w:rsidR="00F47023" w:rsidRPr="00A57D8D" w:rsidRDefault="00F47023" w:rsidP="00A57D8D">
            <w:pPr>
              <w:pStyle w:val="FSBodyText"/>
              <w:spacing w:after="0" w:line="240" w:lineRule="auto"/>
              <w:jc w:val="right"/>
            </w:pPr>
            <w:r w:rsidRPr="00A57D8D">
              <w:rPr>
                <w:lang w:val="it-IT"/>
              </w:rPr>
              <w:t xml:space="preserve">2,414 </w:t>
            </w:r>
          </w:p>
        </w:tc>
      </w:tr>
      <w:tr w:rsidR="00F47023" w:rsidRPr="00A57D8D" w14:paraId="6D996991" w14:textId="77777777">
        <w:trPr>
          <w:trHeight w:val="240"/>
        </w:trPr>
        <w:tc>
          <w:tcPr>
            <w:tcW w:w="7257" w:type="dxa"/>
            <w:tcBorders>
              <w:top w:val="single" w:sz="6" w:space="0" w:color="6D6E70"/>
              <w:left w:val="nil"/>
              <w:bottom w:val="single" w:sz="8" w:space="0" w:color="6D6E70"/>
              <w:right w:val="nil"/>
            </w:tcBorders>
            <w:tcMar>
              <w:top w:w="28" w:type="dxa"/>
              <w:left w:w="0" w:type="dxa"/>
              <w:bottom w:w="113" w:type="dxa"/>
              <w:right w:w="113" w:type="dxa"/>
            </w:tcMar>
            <w:vAlign w:val="bottom"/>
          </w:tcPr>
          <w:p w14:paraId="42BAB85D" w14:textId="77777777" w:rsidR="00F47023" w:rsidRPr="00A57D8D" w:rsidRDefault="00F47023" w:rsidP="00A57D8D">
            <w:pPr>
              <w:pStyle w:val="FSBodyText"/>
              <w:spacing w:after="0" w:line="240" w:lineRule="auto"/>
              <w:ind w:firstLine="180"/>
            </w:pPr>
            <w:r w:rsidRPr="00A57D8D">
              <w:rPr>
                <w:lang w:val="it-IT"/>
              </w:rPr>
              <w:t>More than 12 months</w:t>
            </w:r>
          </w:p>
        </w:tc>
        <w:tc>
          <w:tcPr>
            <w:tcW w:w="1417" w:type="dxa"/>
            <w:tcBorders>
              <w:top w:val="single" w:sz="6" w:space="0" w:color="6D6E70"/>
              <w:left w:val="nil"/>
              <w:bottom w:val="single" w:sz="8" w:space="0" w:color="6D6E70"/>
              <w:right w:val="nil"/>
            </w:tcBorders>
            <w:tcMar>
              <w:top w:w="28" w:type="dxa"/>
              <w:left w:w="0" w:type="dxa"/>
              <w:bottom w:w="113" w:type="dxa"/>
              <w:right w:w="113" w:type="dxa"/>
            </w:tcMar>
            <w:vAlign w:val="bottom"/>
          </w:tcPr>
          <w:p w14:paraId="103FADEA" w14:textId="77777777" w:rsidR="00F47023" w:rsidRPr="00A57D8D" w:rsidRDefault="00F47023" w:rsidP="00A57D8D">
            <w:pPr>
              <w:pStyle w:val="FSBodyText"/>
              <w:spacing w:after="0" w:line="240" w:lineRule="auto"/>
              <w:jc w:val="right"/>
            </w:pPr>
            <w:r w:rsidRPr="00A57D8D">
              <w:rPr>
                <w:rStyle w:val="Bold"/>
                <w:rFonts w:eastAsia="MS Mincho"/>
                <w:lang w:val="it-IT"/>
              </w:rPr>
              <w:t xml:space="preserve">2,433 </w:t>
            </w:r>
          </w:p>
        </w:tc>
        <w:tc>
          <w:tcPr>
            <w:tcW w:w="1417" w:type="dxa"/>
            <w:tcBorders>
              <w:top w:val="single" w:sz="6" w:space="0" w:color="6D6E70"/>
              <w:left w:val="nil"/>
              <w:bottom w:val="single" w:sz="8" w:space="0" w:color="6D6E70"/>
              <w:right w:val="nil"/>
            </w:tcBorders>
            <w:tcMar>
              <w:top w:w="28" w:type="dxa"/>
              <w:left w:w="0" w:type="dxa"/>
              <w:bottom w:w="113" w:type="dxa"/>
              <w:right w:w="113" w:type="dxa"/>
            </w:tcMar>
            <w:vAlign w:val="bottom"/>
          </w:tcPr>
          <w:p w14:paraId="75FFB396" w14:textId="77777777" w:rsidR="00F47023" w:rsidRPr="00A57D8D" w:rsidRDefault="00F47023" w:rsidP="00A57D8D">
            <w:pPr>
              <w:pStyle w:val="FSBodyText"/>
              <w:spacing w:after="0" w:line="240" w:lineRule="auto"/>
              <w:jc w:val="right"/>
            </w:pPr>
            <w:r w:rsidRPr="00A57D8D">
              <w:rPr>
                <w:lang w:val="it-IT"/>
              </w:rPr>
              <w:t xml:space="preserve">1,814 </w:t>
            </w:r>
          </w:p>
        </w:tc>
      </w:tr>
      <w:tr w:rsidR="00F47023" w:rsidRPr="00A57D8D" w14:paraId="3859A44C" w14:textId="77777777" w:rsidTr="00A57D8D">
        <w:trPr>
          <w:trHeight w:val="240"/>
        </w:trPr>
        <w:tc>
          <w:tcPr>
            <w:tcW w:w="7257"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3173C50E" w14:textId="77777777" w:rsidR="00F47023" w:rsidRPr="00A57D8D" w:rsidRDefault="00F47023" w:rsidP="00A57D8D">
            <w:pPr>
              <w:pStyle w:val="FSBodyText"/>
              <w:spacing w:after="0" w:line="240" w:lineRule="auto"/>
            </w:pPr>
            <w:r w:rsidRPr="00A57D8D">
              <w:rPr>
                <w:rStyle w:val="Bold"/>
                <w:rFonts w:eastAsia="MS Mincho"/>
                <w:lang w:val="it-IT"/>
              </w:rPr>
              <w:t>Total employee provisions</w:t>
            </w:r>
          </w:p>
        </w:tc>
        <w:tc>
          <w:tcPr>
            <w:tcW w:w="1417"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415B7AC9" w14:textId="77777777" w:rsidR="00F47023" w:rsidRPr="00A57D8D" w:rsidRDefault="00F47023" w:rsidP="00A57D8D">
            <w:pPr>
              <w:pStyle w:val="FSBodyText"/>
              <w:spacing w:after="0" w:line="240" w:lineRule="auto"/>
              <w:jc w:val="right"/>
            </w:pPr>
            <w:r w:rsidRPr="00A57D8D">
              <w:rPr>
                <w:rStyle w:val="Bold"/>
                <w:rFonts w:eastAsia="MS Mincho"/>
                <w:lang w:val="it-IT"/>
              </w:rPr>
              <w:t xml:space="preserve">4,118 </w:t>
            </w:r>
          </w:p>
        </w:tc>
        <w:tc>
          <w:tcPr>
            <w:tcW w:w="1417" w:type="dxa"/>
            <w:tcBorders>
              <w:top w:val="single" w:sz="8" w:space="0" w:color="6D6E70"/>
              <w:left w:val="nil"/>
              <w:bottom w:val="single" w:sz="8" w:space="0" w:color="6D6E70"/>
              <w:right w:val="nil"/>
            </w:tcBorders>
            <w:shd w:val="clear" w:color="auto" w:fill="F2F2F2" w:themeFill="background1" w:themeFillShade="F2"/>
            <w:tcMar>
              <w:top w:w="113" w:type="dxa"/>
              <w:left w:w="0" w:type="dxa"/>
              <w:bottom w:w="113" w:type="dxa"/>
              <w:right w:w="113" w:type="dxa"/>
            </w:tcMar>
            <w:vAlign w:val="bottom"/>
          </w:tcPr>
          <w:p w14:paraId="6D823C8B" w14:textId="77777777" w:rsidR="00F47023" w:rsidRPr="00A57D8D" w:rsidRDefault="00F47023" w:rsidP="00A57D8D">
            <w:pPr>
              <w:pStyle w:val="FSBodyText"/>
              <w:spacing w:after="0" w:line="240" w:lineRule="auto"/>
              <w:jc w:val="right"/>
            </w:pPr>
            <w:r w:rsidRPr="00A57D8D">
              <w:rPr>
                <w:lang w:val="it-IT"/>
              </w:rPr>
              <w:t xml:space="preserve">4,228 </w:t>
            </w:r>
          </w:p>
        </w:tc>
      </w:tr>
    </w:tbl>
    <w:p w14:paraId="6200BE91" w14:textId="77777777" w:rsidR="00F47023" w:rsidRDefault="00F47023" w:rsidP="00F47023">
      <w:pPr>
        <w:pStyle w:val="FSBodyText"/>
        <w:spacing w:after="340"/>
      </w:pPr>
    </w:p>
    <w:p w14:paraId="519B9B0A" w14:textId="77777777" w:rsidR="00F47023" w:rsidRDefault="00F47023" w:rsidP="00F47023">
      <w:pPr>
        <w:pStyle w:val="FSBodyTextBold"/>
        <w:rPr>
          <w:rStyle w:val="Bold"/>
          <w:rFonts w:eastAsia="MS Mincho"/>
          <w:b/>
          <w:bCs/>
        </w:rPr>
      </w:pPr>
      <w:r>
        <w:rPr>
          <w:rStyle w:val="Bold"/>
          <w:rFonts w:eastAsia="MS Mincho"/>
          <w:b/>
          <w:bCs/>
        </w:rPr>
        <w:t>Accounting policy</w:t>
      </w:r>
    </w:p>
    <w:p w14:paraId="5997AAB8" w14:textId="77777777" w:rsidR="00F47023" w:rsidRDefault="00F47023" w:rsidP="00F47023">
      <w:pPr>
        <w:pStyle w:val="FSBodyText"/>
      </w:pPr>
      <w:r>
        <w:t>Liabilities for short-term employee benefits and termination benefits expected within twelve months of the end of reporting period are measured at their nominal amounts.</w:t>
      </w:r>
    </w:p>
    <w:p w14:paraId="2A7D37C0" w14:textId="77777777" w:rsidR="00F47023" w:rsidRDefault="00F47023" w:rsidP="00F47023">
      <w:pPr>
        <w:pStyle w:val="FSBodyText"/>
        <w:spacing w:before="57"/>
        <w:rPr>
          <w:rStyle w:val="Italic"/>
          <w:u w:val="thick"/>
        </w:rPr>
      </w:pPr>
      <w:r>
        <w:rPr>
          <w:rStyle w:val="Italic"/>
        </w:rPr>
        <w:t>Leave</w:t>
      </w:r>
    </w:p>
    <w:p w14:paraId="20D0919A" w14:textId="77777777" w:rsidR="00F47023" w:rsidRDefault="00F47023" w:rsidP="00F47023">
      <w:pPr>
        <w:pStyle w:val="FSBodyText"/>
      </w:pPr>
      <w:r>
        <w:t>The liability for employee benefits includes provision for annual leave and long service leave.</w:t>
      </w:r>
    </w:p>
    <w:p w14:paraId="7C6E740B" w14:textId="77777777" w:rsidR="00F47023" w:rsidRDefault="00F47023" w:rsidP="00F47023">
      <w:pPr>
        <w:pStyle w:val="FSBodyText"/>
      </w:pPr>
      <w:r>
        <w:t>The leave liabilities are calculated on the basis of employees’ remuneration at the estimated salary rates that will be applied at the time the leave is taken, including the entity’s employer superannuation contribution rates to the extent that the leave is likely to be taken during service rather than paid out on termination.</w:t>
      </w:r>
    </w:p>
    <w:p w14:paraId="3466C58E" w14:textId="77777777" w:rsidR="00F47023" w:rsidRDefault="00F47023" w:rsidP="00F47023">
      <w:pPr>
        <w:pStyle w:val="FSBodyText"/>
      </w:pPr>
      <w:r>
        <w:t>The liability for long service leave has been determined by reference to the work of an actuary as at 30 June 2023. The estimate of the present value of the liability takes into account attrition rates and pay increases through promotion and inflation.</w:t>
      </w:r>
    </w:p>
    <w:p w14:paraId="65B5A04A" w14:textId="77777777" w:rsidR="00F47023" w:rsidRDefault="00F47023" w:rsidP="00F47023">
      <w:pPr>
        <w:pStyle w:val="FSBodyText"/>
        <w:spacing w:before="57"/>
        <w:rPr>
          <w:rStyle w:val="Italic"/>
        </w:rPr>
      </w:pPr>
      <w:r>
        <w:rPr>
          <w:rStyle w:val="Italic"/>
        </w:rPr>
        <w:t>Separation and Redundancy</w:t>
      </w:r>
    </w:p>
    <w:p w14:paraId="03D33092" w14:textId="77777777" w:rsidR="00F47023" w:rsidRDefault="00F47023" w:rsidP="00F47023">
      <w:pPr>
        <w:pStyle w:val="FSBodyText"/>
      </w:pPr>
      <w:r>
        <w:t>Provision is made for separation and redundancy benefit payments. The entity recognises a provision for termination when it has developed a detailed formal plan for the terminations and has informed those employees affected that it will carry out the terminations.</w:t>
      </w:r>
    </w:p>
    <w:p w14:paraId="57FB03EA" w14:textId="77777777" w:rsidR="00F47023" w:rsidRDefault="00F47023" w:rsidP="00F47023">
      <w:pPr>
        <w:pStyle w:val="FSBodyText"/>
        <w:spacing w:before="57"/>
        <w:rPr>
          <w:rStyle w:val="Italic"/>
        </w:rPr>
      </w:pPr>
      <w:r>
        <w:rPr>
          <w:rStyle w:val="Italic"/>
        </w:rPr>
        <w:t>Superannuation</w:t>
      </w:r>
    </w:p>
    <w:p w14:paraId="53D20EA9" w14:textId="77777777" w:rsidR="00F47023" w:rsidRDefault="00F47023" w:rsidP="00F47023">
      <w:pPr>
        <w:pStyle w:val="FSBodyText"/>
      </w:pPr>
      <w:r>
        <w:t>The Commission’s staff are members of the Commonwealth Superannuation Scheme (CSS), the Public Sector Superannuation Scheme (PSS), or the PSS accumulation plan (PSSap), or other superannuation funds held outside the Australian Government.</w:t>
      </w:r>
    </w:p>
    <w:p w14:paraId="3C893D64" w14:textId="77777777" w:rsidR="00F47023" w:rsidRDefault="00F47023" w:rsidP="00F47023">
      <w:pPr>
        <w:pStyle w:val="FSBodyText"/>
      </w:pPr>
      <w:r>
        <w:t>The CSS and PSS are defined benefit schemes for the Australian Government. The PSSap is a defined contribution scheme.</w:t>
      </w:r>
    </w:p>
    <w:p w14:paraId="7804F08E" w14:textId="77777777" w:rsidR="00F47023" w:rsidRDefault="00F47023" w:rsidP="00F47023">
      <w:pPr>
        <w:pStyle w:val="FSBodyText"/>
      </w:pPr>
      <w:r>
        <w:t>The liability for defined benefits is recognised in the financial statements of the Australian Government and is settled by the Australian Government in due course. This liability is reported in the Department of Finance’s administered schedules and notes.</w:t>
      </w:r>
    </w:p>
    <w:p w14:paraId="708D5F82" w14:textId="77777777" w:rsidR="00F47023" w:rsidRDefault="00F47023" w:rsidP="00F47023">
      <w:pPr>
        <w:pStyle w:val="FSBodyText"/>
      </w:pPr>
      <w:r>
        <w:t>The Commission makes employer contributions to the employees’ defined benefit superannuation scheme at rates determined by an actuary to be sufficient to meet the current cost to the Government. The Commission accounts for the contributions as if they were contributions to defined contribution plans.</w:t>
      </w:r>
    </w:p>
    <w:p w14:paraId="7A95FC07" w14:textId="77777777" w:rsidR="00F47023" w:rsidRDefault="00F47023" w:rsidP="00F47023">
      <w:pPr>
        <w:pStyle w:val="FSBodyText"/>
      </w:pPr>
      <w:r>
        <w:t>The liability for superannuation recognised as at 30 June represents outstanding contributions.</w:t>
      </w:r>
    </w:p>
    <w:p w14:paraId="66F297D8" w14:textId="77777777" w:rsidR="00F47023" w:rsidRDefault="00F47023" w:rsidP="00F47023">
      <w:pPr>
        <w:pStyle w:val="FSBodyTextBold"/>
        <w:rPr>
          <w:rStyle w:val="Bold"/>
          <w:rFonts w:eastAsia="MS Mincho"/>
          <w:b/>
          <w:bCs/>
        </w:rPr>
      </w:pPr>
      <w:r>
        <w:rPr>
          <w:rStyle w:val="Bold"/>
          <w:rFonts w:eastAsia="MS Mincho"/>
          <w:b/>
          <w:bCs/>
        </w:rPr>
        <w:t>Accounting Judgements and Estimates</w:t>
      </w:r>
    </w:p>
    <w:p w14:paraId="03B82AB0" w14:textId="77777777" w:rsidR="00F47023" w:rsidRDefault="00F47023" w:rsidP="00F47023">
      <w:pPr>
        <w:pStyle w:val="FSBodyText"/>
      </w:pPr>
      <w:r>
        <w:t>The long service leave has been estimated in accordance with the FRR taking into account expected salary growth, attrition and future discounting using the government bond rate.</w:t>
      </w:r>
    </w:p>
    <w:p w14:paraId="4B4A6705" w14:textId="77777777" w:rsidR="00F47023" w:rsidRDefault="00F47023" w:rsidP="00F47023">
      <w:pPr>
        <w:pStyle w:val="FSHeading2-Tutti"/>
        <w:rPr>
          <w:color w:val="2BB8C9"/>
        </w:rPr>
      </w:pPr>
      <w:r>
        <w:rPr>
          <w:color w:val="2BB8C9"/>
        </w:rPr>
        <w:t>3.2 Key Management Personnel Remuneration</w:t>
      </w:r>
    </w:p>
    <w:p w14:paraId="005F16CB" w14:textId="77777777" w:rsidR="00F47023" w:rsidRDefault="00F47023" w:rsidP="00A57D8D">
      <w:pPr>
        <w:pStyle w:val="FSBodyText"/>
      </w:pPr>
      <w:r>
        <w:t>Key management personnel are those persons having authority and responsibility for planning, directing and controlling the activities of the Commission. The Commission has determined the key management personnel to be the President, Commissioners and Chief Executive.</w:t>
      </w:r>
    </w:p>
    <w:tbl>
      <w:tblPr>
        <w:tblW w:w="0" w:type="auto"/>
        <w:tblLayout w:type="fixed"/>
        <w:tblCellMar>
          <w:left w:w="0" w:type="dxa"/>
          <w:right w:w="0" w:type="dxa"/>
        </w:tblCellMar>
        <w:tblLook w:val="0000" w:firstRow="0" w:lastRow="0" w:firstColumn="0" w:lastColumn="0" w:noHBand="0" w:noVBand="0"/>
      </w:tblPr>
      <w:tblGrid>
        <w:gridCol w:w="7257"/>
        <w:gridCol w:w="1417"/>
        <w:gridCol w:w="1417"/>
      </w:tblGrid>
      <w:tr w:rsidR="00A57D8D" w:rsidRPr="00A57D8D" w14:paraId="0704C8F7" w14:textId="77777777" w:rsidTr="00A57D8D">
        <w:trPr>
          <w:trHeight w:val="255"/>
        </w:trPr>
        <w:tc>
          <w:tcPr>
            <w:tcW w:w="7257" w:type="dxa"/>
            <w:tcBorders>
              <w:top w:val="single" w:sz="4" w:space="0" w:color="auto"/>
              <w:left w:val="nil"/>
              <w:bottom w:val="single" w:sz="4" w:space="0" w:color="auto"/>
            </w:tcBorders>
            <w:shd w:val="clear" w:color="auto" w:fill="1CBDC9"/>
            <w:tcMar>
              <w:top w:w="85" w:type="dxa"/>
              <w:left w:w="113" w:type="dxa"/>
              <w:bottom w:w="113" w:type="dxa"/>
              <w:right w:w="113" w:type="dxa"/>
            </w:tcMar>
            <w:vAlign w:val="bottom"/>
          </w:tcPr>
          <w:p w14:paraId="5AFA1368" w14:textId="77777777" w:rsidR="00F47023" w:rsidRPr="00A57D8D" w:rsidRDefault="00F47023">
            <w:pPr>
              <w:pStyle w:val="Nessunostileparagrafo"/>
              <w:spacing w:line="240" w:lineRule="auto"/>
              <w:textAlignment w:val="auto"/>
              <w:rPr>
                <w:rFonts w:ascii="Open Sans Semibold" w:hAnsi="Open Sans Semibold" w:cs="Times New Roman"/>
                <w:color w:val="FFFFFF" w:themeColor="background1"/>
                <w:sz w:val="20"/>
                <w:szCs w:val="20"/>
              </w:rPr>
            </w:pPr>
          </w:p>
        </w:tc>
        <w:tc>
          <w:tcPr>
            <w:tcW w:w="1417" w:type="dxa"/>
            <w:tcBorders>
              <w:top w:val="single" w:sz="4" w:space="0" w:color="auto"/>
              <w:bottom w:val="single" w:sz="4" w:space="0" w:color="auto"/>
            </w:tcBorders>
            <w:shd w:val="clear" w:color="auto" w:fill="1CBDC9"/>
            <w:tcMar>
              <w:top w:w="85" w:type="dxa"/>
              <w:left w:w="113" w:type="dxa"/>
              <w:bottom w:w="113" w:type="dxa"/>
              <w:right w:w="113" w:type="dxa"/>
            </w:tcMar>
            <w:vAlign w:val="bottom"/>
          </w:tcPr>
          <w:p w14:paraId="46C75652" w14:textId="77777777" w:rsidR="00F47023" w:rsidRPr="00A57D8D" w:rsidRDefault="00F47023">
            <w:pPr>
              <w:pStyle w:val="FSHeaderRow"/>
              <w:rPr>
                <w:color w:val="FFFFFF" w:themeColor="background1"/>
                <w:sz w:val="20"/>
                <w:szCs w:val="20"/>
              </w:rPr>
            </w:pPr>
            <w:r w:rsidRPr="00A57D8D">
              <w:rPr>
                <w:color w:val="FFFFFF" w:themeColor="background1"/>
                <w:sz w:val="20"/>
                <w:szCs w:val="20"/>
              </w:rPr>
              <w:t>2023</w:t>
            </w:r>
          </w:p>
          <w:p w14:paraId="68477256" w14:textId="77777777" w:rsidR="00F47023" w:rsidRPr="00A57D8D" w:rsidRDefault="00F47023">
            <w:pPr>
              <w:pStyle w:val="FSHeaderRow"/>
              <w:rPr>
                <w:color w:val="FFFFFF" w:themeColor="background1"/>
                <w:sz w:val="20"/>
                <w:szCs w:val="20"/>
              </w:rPr>
            </w:pPr>
            <w:r w:rsidRPr="00A57D8D">
              <w:rPr>
                <w:color w:val="FFFFFF" w:themeColor="background1"/>
                <w:sz w:val="20"/>
                <w:szCs w:val="20"/>
              </w:rPr>
              <w:t>$’000</w:t>
            </w:r>
          </w:p>
        </w:tc>
        <w:tc>
          <w:tcPr>
            <w:tcW w:w="1417" w:type="dxa"/>
            <w:tcBorders>
              <w:top w:val="single" w:sz="4" w:space="0" w:color="auto"/>
              <w:bottom w:val="single" w:sz="4" w:space="0" w:color="auto"/>
            </w:tcBorders>
            <w:shd w:val="clear" w:color="auto" w:fill="1CBDC9"/>
            <w:tcMar>
              <w:top w:w="85" w:type="dxa"/>
              <w:left w:w="113" w:type="dxa"/>
              <w:bottom w:w="113" w:type="dxa"/>
              <w:right w:w="113" w:type="dxa"/>
            </w:tcMar>
            <w:vAlign w:val="bottom"/>
          </w:tcPr>
          <w:p w14:paraId="17FA3253" w14:textId="77777777" w:rsidR="00F47023" w:rsidRPr="00A57D8D" w:rsidRDefault="00F47023">
            <w:pPr>
              <w:pStyle w:val="FSHeaderRow"/>
              <w:rPr>
                <w:rStyle w:val="FSUnboldCond"/>
                <w:b w:val="0"/>
                <w:bCs w:val="0"/>
                <w:color w:val="FFFFFF" w:themeColor="background1"/>
                <w:sz w:val="20"/>
                <w:szCs w:val="20"/>
              </w:rPr>
            </w:pPr>
            <w:r w:rsidRPr="00A57D8D">
              <w:rPr>
                <w:rStyle w:val="FSUnboldCond"/>
                <w:b w:val="0"/>
                <w:bCs w:val="0"/>
                <w:color w:val="FFFFFF" w:themeColor="background1"/>
                <w:sz w:val="20"/>
                <w:szCs w:val="20"/>
              </w:rPr>
              <w:t>2022</w:t>
            </w:r>
          </w:p>
          <w:p w14:paraId="74694EE6" w14:textId="77777777" w:rsidR="00F47023" w:rsidRPr="00A57D8D" w:rsidRDefault="00F47023">
            <w:pPr>
              <w:pStyle w:val="FSHeaderRow"/>
              <w:rPr>
                <w:color w:val="FFFFFF" w:themeColor="background1"/>
                <w:sz w:val="20"/>
                <w:szCs w:val="20"/>
              </w:rPr>
            </w:pPr>
            <w:r w:rsidRPr="00A57D8D">
              <w:rPr>
                <w:rStyle w:val="FSUnboldCond"/>
                <w:b w:val="0"/>
                <w:bCs w:val="0"/>
                <w:color w:val="FFFFFF" w:themeColor="background1"/>
                <w:sz w:val="20"/>
                <w:szCs w:val="20"/>
              </w:rPr>
              <w:t>$’000</w:t>
            </w:r>
          </w:p>
        </w:tc>
      </w:tr>
      <w:tr w:rsidR="00F47023" w14:paraId="6E5FD0AA" w14:textId="77777777" w:rsidTr="00A57D8D">
        <w:trPr>
          <w:trHeight w:val="255"/>
        </w:trPr>
        <w:tc>
          <w:tcPr>
            <w:tcW w:w="7257" w:type="dxa"/>
            <w:tcBorders>
              <w:top w:val="single" w:sz="4" w:space="0" w:color="auto"/>
              <w:left w:val="nil"/>
              <w:bottom w:val="single" w:sz="4" w:space="0" w:color="auto"/>
            </w:tcBorders>
            <w:tcMar>
              <w:top w:w="227" w:type="dxa"/>
              <w:left w:w="0" w:type="dxa"/>
              <w:bottom w:w="57" w:type="dxa"/>
              <w:right w:w="113" w:type="dxa"/>
            </w:tcMar>
            <w:vAlign w:val="bottom"/>
          </w:tcPr>
          <w:p w14:paraId="5D9E6580" w14:textId="77777777" w:rsidR="00F47023" w:rsidRDefault="00F47023" w:rsidP="00A57D8D">
            <w:pPr>
              <w:pStyle w:val="FSBodyText"/>
              <w:spacing w:after="0" w:line="240" w:lineRule="auto"/>
            </w:pPr>
            <w:r>
              <w:rPr>
                <w:lang w:val="it-IT"/>
              </w:rPr>
              <w:t>Short-term employee benefits</w:t>
            </w:r>
          </w:p>
        </w:tc>
        <w:tc>
          <w:tcPr>
            <w:tcW w:w="1417" w:type="dxa"/>
            <w:tcBorders>
              <w:top w:val="single" w:sz="4" w:space="0" w:color="auto"/>
              <w:bottom w:val="single" w:sz="4" w:space="0" w:color="auto"/>
            </w:tcBorders>
            <w:tcMar>
              <w:top w:w="227" w:type="dxa"/>
              <w:left w:w="0" w:type="dxa"/>
              <w:bottom w:w="57" w:type="dxa"/>
              <w:right w:w="113" w:type="dxa"/>
            </w:tcMar>
            <w:vAlign w:val="bottom"/>
          </w:tcPr>
          <w:p w14:paraId="20A8BB11" w14:textId="77777777" w:rsidR="00F47023" w:rsidRDefault="00F47023" w:rsidP="00A57D8D">
            <w:pPr>
              <w:pStyle w:val="FSBodyText"/>
              <w:spacing w:after="0" w:line="240" w:lineRule="auto"/>
              <w:jc w:val="right"/>
            </w:pPr>
            <w:r>
              <w:rPr>
                <w:rStyle w:val="Bold"/>
                <w:rFonts w:eastAsia="MS Mincho"/>
                <w:lang w:val="it-IT"/>
              </w:rPr>
              <w:t xml:space="preserve">3,228 </w:t>
            </w:r>
          </w:p>
        </w:tc>
        <w:tc>
          <w:tcPr>
            <w:tcW w:w="1417" w:type="dxa"/>
            <w:tcBorders>
              <w:top w:val="single" w:sz="4" w:space="0" w:color="auto"/>
              <w:bottom w:val="single" w:sz="4" w:space="0" w:color="auto"/>
            </w:tcBorders>
            <w:tcMar>
              <w:top w:w="227" w:type="dxa"/>
              <w:left w:w="0" w:type="dxa"/>
              <w:bottom w:w="57" w:type="dxa"/>
              <w:right w:w="113" w:type="dxa"/>
            </w:tcMar>
            <w:vAlign w:val="bottom"/>
          </w:tcPr>
          <w:p w14:paraId="041D2D4F" w14:textId="77777777" w:rsidR="00F47023" w:rsidRDefault="00F47023" w:rsidP="00A57D8D">
            <w:pPr>
              <w:pStyle w:val="FSBodyText"/>
              <w:spacing w:after="0" w:line="240" w:lineRule="auto"/>
              <w:jc w:val="right"/>
            </w:pPr>
            <w:r>
              <w:rPr>
                <w:lang w:val="it-IT"/>
              </w:rPr>
              <w:t xml:space="preserve">3,083 </w:t>
            </w:r>
          </w:p>
        </w:tc>
      </w:tr>
      <w:tr w:rsidR="00F47023" w14:paraId="0E3D5F0F" w14:textId="77777777" w:rsidTr="00A57D8D">
        <w:trPr>
          <w:trHeight w:val="255"/>
        </w:trPr>
        <w:tc>
          <w:tcPr>
            <w:tcW w:w="7257" w:type="dxa"/>
            <w:tcBorders>
              <w:top w:val="single" w:sz="4" w:space="0" w:color="auto"/>
              <w:left w:val="nil"/>
              <w:bottom w:val="single" w:sz="4" w:space="0" w:color="auto"/>
            </w:tcBorders>
            <w:tcMar>
              <w:top w:w="28" w:type="dxa"/>
              <w:left w:w="0" w:type="dxa"/>
              <w:bottom w:w="57" w:type="dxa"/>
              <w:right w:w="113" w:type="dxa"/>
            </w:tcMar>
            <w:vAlign w:val="bottom"/>
          </w:tcPr>
          <w:p w14:paraId="6CD506F6" w14:textId="77777777" w:rsidR="00F47023" w:rsidRDefault="00F47023" w:rsidP="00A57D8D">
            <w:pPr>
              <w:pStyle w:val="FSBodyText"/>
              <w:spacing w:after="0" w:line="240" w:lineRule="auto"/>
            </w:pPr>
            <w:r>
              <w:rPr>
                <w:lang w:val="it-IT"/>
              </w:rPr>
              <w:t>Post-employment benefits</w:t>
            </w:r>
          </w:p>
        </w:tc>
        <w:tc>
          <w:tcPr>
            <w:tcW w:w="1417" w:type="dxa"/>
            <w:tcBorders>
              <w:top w:val="single" w:sz="4" w:space="0" w:color="auto"/>
              <w:bottom w:val="single" w:sz="4" w:space="0" w:color="auto"/>
            </w:tcBorders>
            <w:tcMar>
              <w:top w:w="28" w:type="dxa"/>
              <w:left w:w="0" w:type="dxa"/>
              <w:bottom w:w="57" w:type="dxa"/>
              <w:right w:w="113" w:type="dxa"/>
            </w:tcMar>
            <w:vAlign w:val="bottom"/>
          </w:tcPr>
          <w:p w14:paraId="4378F94A" w14:textId="77777777" w:rsidR="00F47023" w:rsidRDefault="00F47023" w:rsidP="00A57D8D">
            <w:pPr>
              <w:pStyle w:val="FSBodyText"/>
              <w:spacing w:after="0" w:line="240" w:lineRule="auto"/>
              <w:jc w:val="right"/>
            </w:pPr>
            <w:r>
              <w:rPr>
                <w:rStyle w:val="Bold"/>
                <w:rFonts w:eastAsia="MS Mincho"/>
                <w:lang w:val="it-IT"/>
              </w:rPr>
              <w:t xml:space="preserve">252 </w:t>
            </w:r>
          </w:p>
        </w:tc>
        <w:tc>
          <w:tcPr>
            <w:tcW w:w="1417" w:type="dxa"/>
            <w:tcBorders>
              <w:top w:val="single" w:sz="4" w:space="0" w:color="auto"/>
              <w:bottom w:val="single" w:sz="4" w:space="0" w:color="auto"/>
            </w:tcBorders>
            <w:tcMar>
              <w:top w:w="28" w:type="dxa"/>
              <w:left w:w="0" w:type="dxa"/>
              <w:bottom w:w="57" w:type="dxa"/>
              <w:right w:w="113" w:type="dxa"/>
            </w:tcMar>
            <w:vAlign w:val="bottom"/>
          </w:tcPr>
          <w:p w14:paraId="13005158" w14:textId="77777777" w:rsidR="00F47023" w:rsidRDefault="00F47023" w:rsidP="00A57D8D">
            <w:pPr>
              <w:pStyle w:val="FSBodyText"/>
              <w:spacing w:after="0" w:line="240" w:lineRule="auto"/>
              <w:jc w:val="right"/>
            </w:pPr>
            <w:r>
              <w:rPr>
                <w:lang w:val="it-IT"/>
              </w:rPr>
              <w:t xml:space="preserve">250 </w:t>
            </w:r>
          </w:p>
        </w:tc>
      </w:tr>
      <w:tr w:rsidR="00F47023" w14:paraId="6F84E6B8" w14:textId="77777777" w:rsidTr="00A57D8D">
        <w:trPr>
          <w:trHeight w:val="255"/>
        </w:trPr>
        <w:tc>
          <w:tcPr>
            <w:tcW w:w="7257" w:type="dxa"/>
            <w:tcBorders>
              <w:top w:val="single" w:sz="4" w:space="0" w:color="auto"/>
              <w:left w:val="nil"/>
              <w:bottom w:val="single" w:sz="4" w:space="0" w:color="auto"/>
            </w:tcBorders>
            <w:tcMar>
              <w:top w:w="113" w:type="dxa"/>
              <w:left w:w="0" w:type="dxa"/>
              <w:bottom w:w="113" w:type="dxa"/>
              <w:right w:w="113" w:type="dxa"/>
            </w:tcMar>
            <w:vAlign w:val="bottom"/>
          </w:tcPr>
          <w:p w14:paraId="63747DDE" w14:textId="77777777" w:rsidR="00F47023" w:rsidRDefault="00F47023" w:rsidP="00A57D8D">
            <w:pPr>
              <w:pStyle w:val="FSBodyText"/>
              <w:spacing w:after="0" w:line="240" w:lineRule="auto"/>
            </w:pPr>
            <w:r>
              <w:t>Other long-term employee benefits</w:t>
            </w:r>
          </w:p>
        </w:tc>
        <w:tc>
          <w:tcPr>
            <w:tcW w:w="1417" w:type="dxa"/>
            <w:tcBorders>
              <w:top w:val="single" w:sz="4" w:space="0" w:color="auto"/>
              <w:bottom w:val="single" w:sz="4" w:space="0" w:color="auto"/>
            </w:tcBorders>
            <w:tcMar>
              <w:top w:w="113" w:type="dxa"/>
              <w:left w:w="0" w:type="dxa"/>
              <w:bottom w:w="113" w:type="dxa"/>
              <w:right w:w="113" w:type="dxa"/>
            </w:tcMar>
            <w:vAlign w:val="bottom"/>
          </w:tcPr>
          <w:p w14:paraId="070D8911" w14:textId="77777777" w:rsidR="00F47023" w:rsidRDefault="00F47023" w:rsidP="00A57D8D">
            <w:pPr>
              <w:pStyle w:val="FSBodyText"/>
              <w:spacing w:after="0" w:line="240" w:lineRule="auto"/>
              <w:jc w:val="right"/>
            </w:pPr>
            <w:r>
              <w:rPr>
                <w:rStyle w:val="Bold"/>
                <w:rFonts w:eastAsia="MS Mincho"/>
                <w:lang w:val="it-IT"/>
              </w:rPr>
              <w:t xml:space="preserve">91 </w:t>
            </w:r>
          </w:p>
        </w:tc>
        <w:tc>
          <w:tcPr>
            <w:tcW w:w="1417" w:type="dxa"/>
            <w:tcBorders>
              <w:top w:val="single" w:sz="4" w:space="0" w:color="auto"/>
              <w:bottom w:val="single" w:sz="4" w:space="0" w:color="auto"/>
            </w:tcBorders>
            <w:tcMar>
              <w:top w:w="113" w:type="dxa"/>
              <w:left w:w="0" w:type="dxa"/>
              <w:bottom w:w="113" w:type="dxa"/>
              <w:right w:w="113" w:type="dxa"/>
            </w:tcMar>
            <w:vAlign w:val="bottom"/>
          </w:tcPr>
          <w:p w14:paraId="2D4FF55E" w14:textId="77777777" w:rsidR="00F47023" w:rsidRDefault="00F47023" w:rsidP="00A57D8D">
            <w:pPr>
              <w:pStyle w:val="FSBodyText"/>
              <w:spacing w:after="0" w:line="240" w:lineRule="auto"/>
              <w:jc w:val="right"/>
            </w:pPr>
            <w:r>
              <w:rPr>
                <w:lang w:val="it-IT"/>
              </w:rPr>
              <w:t xml:space="preserve">14 </w:t>
            </w:r>
          </w:p>
        </w:tc>
      </w:tr>
      <w:tr w:rsidR="00F47023" w14:paraId="61260096" w14:textId="77777777" w:rsidTr="00A57D8D">
        <w:trPr>
          <w:trHeight w:val="280"/>
        </w:trPr>
        <w:tc>
          <w:tcPr>
            <w:tcW w:w="7257" w:type="dxa"/>
            <w:tcBorders>
              <w:top w:val="single" w:sz="4" w:space="0" w:color="auto"/>
              <w:left w:val="nil"/>
              <w:bottom w:val="single" w:sz="4" w:space="0" w:color="auto"/>
            </w:tcBorders>
            <w:shd w:val="clear" w:color="auto" w:fill="F2F2F2" w:themeFill="background1" w:themeFillShade="F2"/>
            <w:tcMar>
              <w:top w:w="113" w:type="dxa"/>
              <w:left w:w="0" w:type="dxa"/>
              <w:bottom w:w="113" w:type="dxa"/>
              <w:right w:w="113" w:type="dxa"/>
            </w:tcMar>
            <w:vAlign w:val="bottom"/>
          </w:tcPr>
          <w:p w14:paraId="58941D4C" w14:textId="77777777" w:rsidR="00F47023" w:rsidRDefault="00F47023" w:rsidP="00A57D8D">
            <w:pPr>
              <w:pStyle w:val="FSBodyText"/>
              <w:spacing w:after="0" w:line="240" w:lineRule="auto"/>
            </w:pPr>
            <w:r>
              <w:rPr>
                <w:rStyle w:val="Bold"/>
                <w:rFonts w:eastAsia="MS Mincho"/>
              </w:rPr>
              <w:t>Total key management personnel remuneration expenses</w:t>
            </w:r>
            <w:r>
              <w:rPr>
                <w:rStyle w:val="Apice"/>
              </w:rPr>
              <w:t>1</w:t>
            </w:r>
          </w:p>
        </w:tc>
        <w:tc>
          <w:tcPr>
            <w:tcW w:w="1417" w:type="dxa"/>
            <w:tcBorders>
              <w:top w:val="single" w:sz="4" w:space="0" w:color="auto"/>
              <w:bottom w:val="single" w:sz="4" w:space="0" w:color="auto"/>
            </w:tcBorders>
            <w:shd w:val="clear" w:color="auto" w:fill="F2F2F2" w:themeFill="background1" w:themeFillShade="F2"/>
            <w:tcMar>
              <w:top w:w="113" w:type="dxa"/>
              <w:left w:w="0" w:type="dxa"/>
              <w:bottom w:w="113" w:type="dxa"/>
              <w:right w:w="113" w:type="dxa"/>
            </w:tcMar>
            <w:vAlign w:val="bottom"/>
          </w:tcPr>
          <w:p w14:paraId="4534E193" w14:textId="77777777" w:rsidR="00F47023" w:rsidRDefault="00F47023" w:rsidP="00A57D8D">
            <w:pPr>
              <w:pStyle w:val="FSBodyText"/>
              <w:spacing w:after="0" w:line="240" w:lineRule="auto"/>
              <w:jc w:val="right"/>
            </w:pPr>
            <w:r>
              <w:rPr>
                <w:rStyle w:val="Bold"/>
                <w:rFonts w:eastAsia="MS Mincho"/>
                <w:lang w:val="it-IT"/>
              </w:rPr>
              <w:t xml:space="preserve">3,571 </w:t>
            </w:r>
          </w:p>
        </w:tc>
        <w:tc>
          <w:tcPr>
            <w:tcW w:w="1417" w:type="dxa"/>
            <w:tcBorders>
              <w:top w:val="single" w:sz="4" w:space="0" w:color="auto"/>
              <w:bottom w:val="single" w:sz="4" w:space="0" w:color="auto"/>
            </w:tcBorders>
            <w:shd w:val="clear" w:color="auto" w:fill="F2F2F2" w:themeFill="background1" w:themeFillShade="F2"/>
            <w:tcMar>
              <w:top w:w="113" w:type="dxa"/>
              <w:left w:w="0" w:type="dxa"/>
              <w:bottom w:w="113" w:type="dxa"/>
              <w:right w:w="113" w:type="dxa"/>
            </w:tcMar>
            <w:vAlign w:val="bottom"/>
          </w:tcPr>
          <w:p w14:paraId="18BE8CA3" w14:textId="77777777" w:rsidR="00F47023" w:rsidRDefault="00F47023" w:rsidP="00A57D8D">
            <w:pPr>
              <w:pStyle w:val="FSBodyText"/>
              <w:spacing w:after="0" w:line="240" w:lineRule="auto"/>
              <w:jc w:val="right"/>
            </w:pPr>
            <w:r>
              <w:rPr>
                <w:lang w:val="it-IT"/>
              </w:rPr>
              <w:t xml:space="preserve">3,347 </w:t>
            </w:r>
          </w:p>
        </w:tc>
      </w:tr>
      <w:tr w:rsidR="00F47023" w14:paraId="0B93232A" w14:textId="77777777" w:rsidTr="00A57D8D">
        <w:trPr>
          <w:trHeight w:val="786"/>
        </w:trPr>
        <w:tc>
          <w:tcPr>
            <w:tcW w:w="10091" w:type="dxa"/>
            <w:gridSpan w:val="3"/>
            <w:tcBorders>
              <w:top w:val="single" w:sz="4" w:space="0" w:color="auto"/>
              <w:left w:val="nil"/>
              <w:right w:val="nil"/>
            </w:tcBorders>
            <w:tcMar>
              <w:top w:w="28" w:type="dxa"/>
              <w:left w:w="0" w:type="dxa"/>
              <w:bottom w:w="57" w:type="dxa"/>
              <w:right w:w="113" w:type="dxa"/>
            </w:tcMar>
            <w:vAlign w:val="bottom"/>
          </w:tcPr>
          <w:p w14:paraId="09F15D40" w14:textId="5686212F" w:rsidR="00F47023" w:rsidRDefault="00F47023" w:rsidP="00A57D8D">
            <w:pPr>
              <w:pStyle w:val="FSBodyText"/>
              <w:spacing w:after="0" w:line="240" w:lineRule="auto"/>
            </w:pPr>
            <w:r>
              <w:t>The total number of key management personnel that are included in the above table are 9 (2022: 12).</w:t>
            </w:r>
            <w:r>
              <w:br/>
              <w:t>One KMP was for part of the year only.</w:t>
            </w:r>
          </w:p>
        </w:tc>
      </w:tr>
      <w:tr w:rsidR="00F47023" w:rsidRPr="00F47023" w14:paraId="184E9164" w14:textId="77777777" w:rsidTr="00A57D8D">
        <w:trPr>
          <w:trHeight w:val="597"/>
        </w:trPr>
        <w:tc>
          <w:tcPr>
            <w:tcW w:w="10091" w:type="dxa"/>
            <w:gridSpan w:val="3"/>
            <w:tcBorders>
              <w:left w:val="nil"/>
              <w:right w:val="nil"/>
            </w:tcBorders>
            <w:tcMar>
              <w:top w:w="227" w:type="dxa"/>
              <w:left w:w="0" w:type="dxa"/>
              <w:bottom w:w="57" w:type="dxa"/>
              <w:right w:w="113" w:type="dxa"/>
            </w:tcMar>
            <w:vAlign w:val="bottom"/>
          </w:tcPr>
          <w:p w14:paraId="26B8BD9A" w14:textId="77777777" w:rsidR="00F47023" w:rsidRDefault="00F47023">
            <w:pPr>
              <w:pStyle w:val="FSNote"/>
            </w:pPr>
            <w:r>
              <w:t>1. The above key management personnel remuneration excludes the remuneration and other benefits of the Portfolio Minister. The Portfolio Minister’s remuneration and other benefits are set by the Remuneration Tribunal and are not paid by the Commission. Other long-term employee benefits results from the movement in accrued leave balances for the period.</w:t>
            </w:r>
          </w:p>
        </w:tc>
      </w:tr>
    </w:tbl>
    <w:p w14:paraId="192C7801" w14:textId="20316CA6" w:rsidR="00A57D8D" w:rsidRDefault="00A57D8D" w:rsidP="00F47023">
      <w:pPr>
        <w:pStyle w:val="FSBodyText"/>
        <w:spacing w:after="283"/>
      </w:pPr>
    </w:p>
    <w:p w14:paraId="4704DA24" w14:textId="65AB209E" w:rsidR="00F47023" w:rsidRPr="00A57D8D" w:rsidRDefault="00A57D8D" w:rsidP="00A57D8D">
      <w:pPr>
        <w:spacing w:before="0" w:after="0" w:line="240" w:lineRule="auto"/>
        <w:rPr>
          <w:rFonts w:cs="Open Sans"/>
          <w:color w:val="000000"/>
          <w:sz w:val="16"/>
          <w:szCs w:val="16"/>
          <w:lang w:val="en-US"/>
        </w:rPr>
      </w:pPr>
      <w:r>
        <w:br w:type="page"/>
      </w:r>
    </w:p>
    <w:p w14:paraId="5A048D90" w14:textId="77777777" w:rsidR="00F47023" w:rsidRDefault="00F47023" w:rsidP="00F47023">
      <w:pPr>
        <w:pStyle w:val="FSHeading2-Tutti"/>
        <w:rPr>
          <w:color w:val="2BB8C9"/>
        </w:rPr>
      </w:pPr>
      <w:r>
        <w:rPr>
          <w:color w:val="2BB8C9"/>
        </w:rPr>
        <w:t>3.3 Related Party Disclosures</w:t>
      </w:r>
    </w:p>
    <w:p w14:paraId="7BB7A6EC" w14:textId="77777777" w:rsidR="00F47023" w:rsidRDefault="00F47023" w:rsidP="00F47023">
      <w:pPr>
        <w:pStyle w:val="FSBodyTextBold"/>
        <w:rPr>
          <w:rStyle w:val="Bold"/>
          <w:rFonts w:eastAsia="MS Mincho"/>
          <w:b/>
          <w:bCs/>
        </w:rPr>
      </w:pPr>
      <w:r>
        <w:rPr>
          <w:rStyle w:val="Bold"/>
          <w:rFonts w:eastAsia="MS Mincho"/>
          <w:b/>
          <w:bCs/>
        </w:rPr>
        <w:t>Related party relationships:</w:t>
      </w:r>
    </w:p>
    <w:p w14:paraId="4F8BB53A" w14:textId="77777777" w:rsidR="00F47023" w:rsidRDefault="00F47023" w:rsidP="00F47023">
      <w:pPr>
        <w:pStyle w:val="FSBodyText"/>
      </w:pPr>
      <w:r>
        <w:t>The Commission is an Australian Government controlled entity. Related parties to this entity are Key Management Personnel including the Portfolio Minister and Executive, and other Australian Government entities.</w:t>
      </w:r>
    </w:p>
    <w:p w14:paraId="3DB457E6" w14:textId="77777777" w:rsidR="00F47023" w:rsidRDefault="00F47023" w:rsidP="00F47023">
      <w:pPr>
        <w:pStyle w:val="FSBodyTextBold"/>
        <w:rPr>
          <w:rStyle w:val="Bold"/>
          <w:rFonts w:eastAsia="MS Mincho"/>
          <w:b/>
          <w:bCs/>
        </w:rPr>
      </w:pPr>
      <w:r>
        <w:rPr>
          <w:rStyle w:val="Bold"/>
          <w:rFonts w:eastAsia="MS Mincho"/>
          <w:b/>
          <w:bCs/>
        </w:rPr>
        <w:t>Transactions with related parties:</w:t>
      </w:r>
    </w:p>
    <w:p w14:paraId="4A9CE6A0" w14:textId="77777777" w:rsidR="00F47023" w:rsidRDefault="00F47023" w:rsidP="00F47023">
      <w:pPr>
        <w:pStyle w:val="FSBodyText"/>
      </w:pPr>
      <w:r>
        <w:t>Given the breadth of Government activities, related parties may transact with the government sector in the same capacity as ordinary citizens. Such transactions include the payment or refund of taxes, receipt of a Medicare rebate or higher education loans. These transactions have not been separately disclosed in this note.</w:t>
      </w:r>
    </w:p>
    <w:p w14:paraId="00485A53" w14:textId="77777777" w:rsidR="00F47023" w:rsidRDefault="00F47023" w:rsidP="00F47023">
      <w:pPr>
        <w:pStyle w:val="FSBodyText"/>
      </w:pPr>
      <w:r>
        <w:t>Significant transactions with related parties can include:</w:t>
      </w:r>
    </w:p>
    <w:p w14:paraId="72BDDF97" w14:textId="77777777" w:rsidR="00F47023" w:rsidRDefault="00F47023" w:rsidP="00F47023">
      <w:pPr>
        <w:pStyle w:val="FSBulletsList1"/>
        <w:spacing w:after="0"/>
      </w:pPr>
      <w:r>
        <w:t>the payments of grants or loans;</w:t>
      </w:r>
    </w:p>
    <w:p w14:paraId="7937A1F5" w14:textId="77777777" w:rsidR="00F47023" w:rsidRDefault="00F47023" w:rsidP="00F47023">
      <w:pPr>
        <w:pStyle w:val="FSBulletsList1"/>
        <w:spacing w:after="0"/>
      </w:pPr>
      <w:r>
        <w:t>purchases of goods and services;</w:t>
      </w:r>
    </w:p>
    <w:p w14:paraId="664D370D" w14:textId="77777777" w:rsidR="00F47023" w:rsidRDefault="00F47023" w:rsidP="00F47023">
      <w:pPr>
        <w:pStyle w:val="FSBulletsList1"/>
        <w:spacing w:after="0"/>
      </w:pPr>
      <w:r>
        <w:t>asset purchases, sales transfers or leases;</w:t>
      </w:r>
    </w:p>
    <w:p w14:paraId="3B45E216" w14:textId="77777777" w:rsidR="00F47023" w:rsidRDefault="00F47023" w:rsidP="00F47023">
      <w:pPr>
        <w:pStyle w:val="FSBulletsList1"/>
        <w:spacing w:after="0"/>
      </w:pPr>
      <w:r>
        <w:t>debts forgiven; and</w:t>
      </w:r>
    </w:p>
    <w:p w14:paraId="02FF4335" w14:textId="77777777" w:rsidR="00F47023" w:rsidRDefault="00F47023" w:rsidP="00F47023">
      <w:pPr>
        <w:pStyle w:val="FSBulletsList1"/>
        <w:spacing w:after="113"/>
      </w:pPr>
      <w:r>
        <w:t>guarantees.</w:t>
      </w:r>
    </w:p>
    <w:p w14:paraId="15C1FA3C" w14:textId="0F7C565F" w:rsidR="00F47023" w:rsidRDefault="00F47023" w:rsidP="00F47023">
      <w:pPr>
        <w:pStyle w:val="FSBodyText"/>
      </w:pPr>
      <w:r w:rsidRPr="008C514B">
        <w:t xml:space="preserve">Giving consideration to relationships with related entities, and transactions entered into during the reporting period by the </w:t>
      </w:r>
      <w:r w:rsidR="008C514B" w:rsidRPr="008C514B">
        <w:t>Commission</w:t>
      </w:r>
      <w:r w:rsidRPr="008C514B">
        <w:t>, it has been determined that there are no related</w:t>
      </w:r>
      <w:r>
        <w:t xml:space="preserve"> party transactions to be separately disclosed.</w:t>
      </w:r>
    </w:p>
    <w:p w14:paraId="4DA98932" w14:textId="77777777" w:rsidR="00F47023" w:rsidRDefault="00F47023" w:rsidP="00F47023">
      <w:pPr>
        <w:pStyle w:val="FSBodyText"/>
      </w:pPr>
    </w:p>
    <w:p w14:paraId="7C0112E2" w14:textId="77777777" w:rsidR="00F47023" w:rsidRDefault="00F47023" w:rsidP="00F47023">
      <w:pPr>
        <w:pStyle w:val="FSBodyText"/>
      </w:pPr>
    </w:p>
    <w:p w14:paraId="6E301785" w14:textId="46032CE5" w:rsidR="00A57D8D" w:rsidRDefault="00A57D8D">
      <w:pPr>
        <w:spacing w:before="0" w:after="0" w:line="240" w:lineRule="auto"/>
        <w:rPr>
          <w:rFonts w:cs="Open Sans"/>
          <w:color w:val="000000"/>
          <w:sz w:val="16"/>
          <w:szCs w:val="16"/>
          <w:lang w:val="en-US"/>
        </w:rPr>
      </w:pPr>
      <w:r>
        <w:br w:type="page"/>
      </w:r>
    </w:p>
    <w:p w14:paraId="1CB34FA3" w14:textId="362A19D2" w:rsidR="00A57D8D" w:rsidRPr="00A57D8D" w:rsidRDefault="00A57D8D" w:rsidP="00A57D8D">
      <w:pPr>
        <w:pStyle w:val="Heading7"/>
        <w:rPr>
          <w:rFonts w:eastAsia="MS Mincho"/>
        </w:rPr>
      </w:pPr>
      <w:bookmarkStart w:id="49" w:name="_Toc146437055"/>
      <w:r>
        <w:rPr>
          <w:rStyle w:val="OpenSansCond12ptGrigio"/>
          <w:rFonts w:eastAsia="MS Mincho"/>
        </w:rPr>
        <w:t>Managing Uncertainties</w:t>
      </w:r>
      <w:bookmarkEnd w:id="49"/>
    </w:p>
    <w:p w14:paraId="503E727E" w14:textId="77777777" w:rsidR="00F47023" w:rsidRDefault="00F47023" w:rsidP="00F47023">
      <w:pPr>
        <w:pStyle w:val="FSBodyText"/>
      </w:pPr>
      <w:r>
        <w:t>This section analyses how the Australian Human Rights Commission manages financial risks within its operating environment.</w:t>
      </w:r>
    </w:p>
    <w:p w14:paraId="06BB3880" w14:textId="77777777" w:rsidR="00F47023" w:rsidRDefault="00F47023" w:rsidP="00F47023">
      <w:pPr>
        <w:pStyle w:val="FSHeading2-Tutti"/>
        <w:rPr>
          <w:color w:val="2BB8C9"/>
        </w:rPr>
      </w:pPr>
      <w:r>
        <w:rPr>
          <w:color w:val="2BB8C9"/>
        </w:rPr>
        <w:t>4.1A Contingent Assets and Liabilities</w:t>
      </w:r>
    </w:p>
    <w:p w14:paraId="5773291E" w14:textId="77777777" w:rsidR="00F47023" w:rsidRDefault="00F47023" w:rsidP="00F47023">
      <w:pPr>
        <w:pStyle w:val="FSBodyTextBold"/>
        <w:rPr>
          <w:rStyle w:val="Bold"/>
          <w:rFonts w:eastAsia="MS Mincho"/>
          <w:b/>
          <w:bCs/>
        </w:rPr>
      </w:pPr>
      <w:r>
        <w:rPr>
          <w:rStyle w:val="Bold"/>
          <w:rFonts w:eastAsia="MS Mincho"/>
          <w:b/>
          <w:bCs/>
        </w:rPr>
        <w:t>Quantifiable Contingencies</w:t>
      </w:r>
    </w:p>
    <w:p w14:paraId="77FD3A96" w14:textId="77777777" w:rsidR="00F47023" w:rsidRDefault="00F47023" w:rsidP="00F47023">
      <w:pPr>
        <w:pStyle w:val="FSBodyText"/>
      </w:pPr>
      <w:r>
        <w:t>At the time signing these financial statements, the Commission had no quantifiable contingent liabilities.</w:t>
      </w:r>
    </w:p>
    <w:p w14:paraId="48BD92C3" w14:textId="77777777" w:rsidR="00F47023" w:rsidRDefault="00F47023" w:rsidP="00F47023">
      <w:pPr>
        <w:pStyle w:val="FSBodyTextBold"/>
        <w:rPr>
          <w:rStyle w:val="Bold"/>
          <w:rFonts w:eastAsia="MS Mincho"/>
          <w:b/>
          <w:bCs/>
        </w:rPr>
      </w:pPr>
      <w:r>
        <w:rPr>
          <w:rStyle w:val="Bold"/>
          <w:rFonts w:eastAsia="MS Mincho"/>
          <w:b/>
          <w:bCs/>
        </w:rPr>
        <w:t>Unquantifiable Contingencies</w:t>
      </w:r>
    </w:p>
    <w:p w14:paraId="2BB42FDD" w14:textId="77777777" w:rsidR="00F47023" w:rsidRDefault="00F47023" w:rsidP="00F47023">
      <w:pPr>
        <w:pStyle w:val="FSBodyText"/>
      </w:pPr>
      <w:r>
        <w:t>At 30 June 2023 the Commission was a respondent to three judicial review applications. In each of these proceedings, the Commission has or intends to file a submitting notice and there are other parties on the record acting as a contradictor. It is not usual for any costs order to be made against the Commission in these kinds of proceedings and we do not expect there to be any financial impact on the Commission (2022: nil).</w:t>
      </w:r>
    </w:p>
    <w:p w14:paraId="3A9CEFC7" w14:textId="77777777" w:rsidR="00F47023" w:rsidRDefault="00F47023" w:rsidP="00F47023">
      <w:pPr>
        <w:pStyle w:val="FSBodyText"/>
        <w:rPr>
          <w:rStyle w:val="Bold"/>
          <w:rFonts w:eastAsia="MS Mincho"/>
        </w:rPr>
      </w:pPr>
      <w:r>
        <w:rPr>
          <w:rStyle w:val="Bold"/>
          <w:rFonts w:eastAsia="MS Mincho"/>
        </w:rPr>
        <w:t>Accounting Policy</w:t>
      </w:r>
    </w:p>
    <w:p w14:paraId="31A76B81" w14:textId="77777777" w:rsidR="00F47023" w:rsidRDefault="00F47023" w:rsidP="00F47023">
      <w:pPr>
        <w:pStyle w:val="FSBodyText"/>
      </w:pPr>
      <w:r>
        <w:t>Contingent liabilities and contingent assets are not recognised in the statement of financial position but are reported in the notes. They may arise from uncertainty as to the existence of a liability or asset or represent an asset or liability in respect of which the amount cannot be reliably measured. Contingent assets are disclosed when settlement is probable but not virtually certain and contingent liabilities are disclosed when settlement is greater than remote.</w:t>
      </w:r>
    </w:p>
    <w:p w14:paraId="7ED3EEE7" w14:textId="77777777" w:rsidR="00F47023" w:rsidRDefault="00F47023" w:rsidP="00F47023">
      <w:pPr>
        <w:pStyle w:val="FSBodyText"/>
      </w:pPr>
    </w:p>
    <w:p w14:paraId="23811938" w14:textId="77777777" w:rsidR="00F47023" w:rsidRDefault="00F47023" w:rsidP="00F47023">
      <w:pPr>
        <w:pStyle w:val="FSHeading2-Tutti"/>
        <w:rPr>
          <w:color w:val="2BB8C9"/>
        </w:rPr>
      </w:pPr>
      <w:r>
        <w:rPr>
          <w:color w:val="2BB8C9"/>
        </w:rPr>
        <w:t>4.2 Financial Instruments</w:t>
      </w:r>
    </w:p>
    <w:tbl>
      <w:tblPr>
        <w:tblW w:w="0" w:type="auto"/>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7257"/>
        <w:gridCol w:w="1417"/>
        <w:gridCol w:w="1417"/>
      </w:tblGrid>
      <w:tr w:rsidR="00A57D8D" w:rsidRPr="00A57D8D" w14:paraId="1411E693" w14:textId="77777777" w:rsidTr="00A57D8D">
        <w:trPr>
          <w:trHeight w:val="260"/>
        </w:trPr>
        <w:tc>
          <w:tcPr>
            <w:tcW w:w="7257" w:type="dxa"/>
            <w:shd w:val="clear" w:color="auto" w:fill="1CBDC9"/>
            <w:tcMar>
              <w:top w:w="85" w:type="dxa"/>
              <w:left w:w="113" w:type="dxa"/>
              <w:bottom w:w="113" w:type="dxa"/>
              <w:right w:w="113" w:type="dxa"/>
            </w:tcMar>
            <w:vAlign w:val="bottom"/>
          </w:tcPr>
          <w:p w14:paraId="2AB13237" w14:textId="77777777" w:rsidR="00F47023" w:rsidRPr="00A57D8D" w:rsidRDefault="00F47023">
            <w:pPr>
              <w:pStyle w:val="FSHeaderRow"/>
              <w:rPr>
                <w:color w:val="FFFFFF" w:themeColor="background1"/>
                <w:sz w:val="20"/>
                <w:szCs w:val="20"/>
              </w:rPr>
            </w:pPr>
            <w:r w:rsidRPr="00A57D8D">
              <w:rPr>
                <w:rStyle w:val="Bold"/>
                <w:rFonts w:eastAsia="MS Mincho" w:cs="Times New Roman"/>
                <w:b/>
                <w:bCs/>
                <w:color w:val="FFFFFF" w:themeColor="background1"/>
                <w:sz w:val="20"/>
                <w:szCs w:val="20"/>
                <w:rtl/>
                <w:lang w:bidi="ar-YE"/>
                <w14:textOutline w14:w="9525" w14:cap="flat" w14:cmpd="sng" w14:algn="ctr">
                  <w14:solidFill>
                    <w14:srgbClr w14:val="000000"/>
                  </w14:solidFill>
                  <w14:prstDash w14:val="solid"/>
                  <w14:round/>
                </w14:textOutline>
              </w:rPr>
              <w:t> </w:t>
            </w:r>
          </w:p>
        </w:tc>
        <w:tc>
          <w:tcPr>
            <w:tcW w:w="1417" w:type="dxa"/>
            <w:shd w:val="clear" w:color="auto" w:fill="1CBDC9"/>
            <w:tcMar>
              <w:top w:w="85" w:type="dxa"/>
              <w:left w:w="113" w:type="dxa"/>
              <w:bottom w:w="113" w:type="dxa"/>
              <w:right w:w="113" w:type="dxa"/>
            </w:tcMar>
            <w:vAlign w:val="bottom"/>
          </w:tcPr>
          <w:p w14:paraId="6AE03CA6" w14:textId="77777777" w:rsidR="00F47023" w:rsidRPr="00A57D8D" w:rsidRDefault="00F47023">
            <w:pPr>
              <w:pStyle w:val="FSHeaderRow"/>
              <w:rPr>
                <w:color w:val="FFFFFF" w:themeColor="background1"/>
                <w:sz w:val="20"/>
                <w:szCs w:val="20"/>
              </w:rPr>
            </w:pPr>
            <w:r w:rsidRPr="00A57D8D">
              <w:rPr>
                <w:color w:val="FFFFFF" w:themeColor="background1"/>
                <w:sz w:val="20"/>
                <w:szCs w:val="20"/>
              </w:rPr>
              <w:t>2023</w:t>
            </w:r>
          </w:p>
          <w:p w14:paraId="37838FE3" w14:textId="77777777" w:rsidR="00F47023" w:rsidRPr="00A57D8D" w:rsidRDefault="00F47023">
            <w:pPr>
              <w:pStyle w:val="FSHeaderRow"/>
              <w:rPr>
                <w:color w:val="FFFFFF" w:themeColor="background1"/>
                <w:sz w:val="20"/>
                <w:szCs w:val="20"/>
              </w:rPr>
            </w:pPr>
            <w:r w:rsidRPr="00A57D8D">
              <w:rPr>
                <w:color w:val="FFFFFF" w:themeColor="background1"/>
                <w:sz w:val="20"/>
                <w:szCs w:val="20"/>
              </w:rPr>
              <w:t>$’000</w:t>
            </w:r>
          </w:p>
        </w:tc>
        <w:tc>
          <w:tcPr>
            <w:tcW w:w="1417" w:type="dxa"/>
            <w:shd w:val="clear" w:color="auto" w:fill="1CBDC9"/>
            <w:tcMar>
              <w:top w:w="85" w:type="dxa"/>
              <w:left w:w="113" w:type="dxa"/>
              <w:bottom w:w="113" w:type="dxa"/>
              <w:right w:w="113" w:type="dxa"/>
            </w:tcMar>
            <w:vAlign w:val="bottom"/>
          </w:tcPr>
          <w:p w14:paraId="4D33BA60" w14:textId="77777777" w:rsidR="00F47023" w:rsidRPr="00A57D8D" w:rsidRDefault="00F47023">
            <w:pPr>
              <w:pStyle w:val="FSHeaderRow"/>
              <w:rPr>
                <w:rStyle w:val="FSUnboldCond"/>
                <w:b w:val="0"/>
                <w:bCs w:val="0"/>
                <w:color w:val="FFFFFF" w:themeColor="background1"/>
                <w:sz w:val="20"/>
                <w:szCs w:val="20"/>
              </w:rPr>
            </w:pPr>
            <w:r w:rsidRPr="00A57D8D">
              <w:rPr>
                <w:rStyle w:val="FSUnboldCond"/>
                <w:b w:val="0"/>
                <w:bCs w:val="0"/>
                <w:color w:val="FFFFFF" w:themeColor="background1"/>
                <w:sz w:val="20"/>
                <w:szCs w:val="20"/>
              </w:rPr>
              <w:t>2022</w:t>
            </w:r>
          </w:p>
          <w:p w14:paraId="5481D695" w14:textId="77777777" w:rsidR="00F47023" w:rsidRPr="00A57D8D" w:rsidRDefault="00F47023">
            <w:pPr>
              <w:pStyle w:val="FSHeaderRow"/>
              <w:rPr>
                <w:color w:val="FFFFFF" w:themeColor="background1"/>
                <w:sz w:val="20"/>
                <w:szCs w:val="20"/>
              </w:rPr>
            </w:pPr>
            <w:r w:rsidRPr="00A57D8D">
              <w:rPr>
                <w:rStyle w:val="FSUnboldCond"/>
                <w:b w:val="0"/>
                <w:bCs w:val="0"/>
                <w:color w:val="FFFFFF" w:themeColor="background1"/>
                <w:sz w:val="20"/>
                <w:szCs w:val="20"/>
              </w:rPr>
              <w:t>$’000</w:t>
            </w:r>
          </w:p>
        </w:tc>
      </w:tr>
      <w:tr w:rsidR="00F47023" w:rsidRPr="00F47023" w14:paraId="35572277" w14:textId="77777777" w:rsidTr="00A57D8D">
        <w:trPr>
          <w:trHeight w:val="240"/>
        </w:trPr>
        <w:tc>
          <w:tcPr>
            <w:tcW w:w="10091" w:type="dxa"/>
            <w:gridSpan w:val="3"/>
            <w:tcMar>
              <w:top w:w="227" w:type="dxa"/>
              <w:left w:w="0" w:type="dxa"/>
              <w:bottom w:w="57" w:type="dxa"/>
              <w:right w:w="113" w:type="dxa"/>
            </w:tcMar>
            <w:vAlign w:val="bottom"/>
          </w:tcPr>
          <w:p w14:paraId="0DC76415" w14:textId="77777777" w:rsidR="00F47023" w:rsidRDefault="00F47023" w:rsidP="00A57D8D">
            <w:pPr>
              <w:pStyle w:val="FSBlueHeadingBold"/>
            </w:pPr>
            <w:r>
              <w:t>4.2A: Categories of financial instruments</w:t>
            </w:r>
          </w:p>
        </w:tc>
      </w:tr>
      <w:tr w:rsidR="00F47023" w:rsidRPr="00F47023" w14:paraId="4B516837" w14:textId="77777777" w:rsidTr="00A57D8D">
        <w:trPr>
          <w:trHeight w:val="240"/>
        </w:trPr>
        <w:tc>
          <w:tcPr>
            <w:tcW w:w="7257" w:type="dxa"/>
            <w:tcMar>
              <w:top w:w="28" w:type="dxa"/>
              <w:left w:w="0" w:type="dxa"/>
              <w:bottom w:w="57" w:type="dxa"/>
              <w:right w:w="113" w:type="dxa"/>
            </w:tcMar>
            <w:vAlign w:val="bottom"/>
          </w:tcPr>
          <w:p w14:paraId="6AD208D8" w14:textId="77777777" w:rsidR="00F47023" w:rsidRDefault="00F47023" w:rsidP="00A57D8D">
            <w:pPr>
              <w:pStyle w:val="FSBodyText"/>
              <w:spacing w:after="0" w:line="240" w:lineRule="auto"/>
            </w:pPr>
            <w:r>
              <w:rPr>
                <w:rStyle w:val="Bold"/>
                <w:rFonts w:eastAsia="MS Mincho"/>
              </w:rPr>
              <w:t>Financial assets at amortised cost</w:t>
            </w:r>
          </w:p>
        </w:tc>
        <w:tc>
          <w:tcPr>
            <w:tcW w:w="1417" w:type="dxa"/>
            <w:tcMar>
              <w:top w:w="28" w:type="dxa"/>
              <w:left w:w="0" w:type="dxa"/>
              <w:bottom w:w="57" w:type="dxa"/>
              <w:right w:w="113" w:type="dxa"/>
            </w:tcMar>
            <w:vAlign w:val="bottom"/>
          </w:tcPr>
          <w:p w14:paraId="16AA299A" w14:textId="77777777" w:rsidR="00F47023" w:rsidRPr="00F47023" w:rsidRDefault="00F47023" w:rsidP="00A57D8D">
            <w:pPr>
              <w:pStyle w:val="Nessunostileparagrafo"/>
              <w:spacing w:line="240" w:lineRule="auto"/>
              <w:textAlignment w:val="auto"/>
              <w:rPr>
                <w:rFonts w:ascii="Open Sans Semibold" w:hAnsi="Open Sans Semibold" w:cs="Times New Roman"/>
                <w:color w:val="auto"/>
              </w:rPr>
            </w:pPr>
          </w:p>
        </w:tc>
        <w:tc>
          <w:tcPr>
            <w:tcW w:w="1417" w:type="dxa"/>
            <w:tcMar>
              <w:top w:w="28" w:type="dxa"/>
              <w:left w:w="0" w:type="dxa"/>
              <w:bottom w:w="57" w:type="dxa"/>
              <w:right w:w="113" w:type="dxa"/>
            </w:tcMar>
            <w:vAlign w:val="bottom"/>
          </w:tcPr>
          <w:p w14:paraId="190AB86A" w14:textId="77777777" w:rsidR="00F47023" w:rsidRPr="00F47023" w:rsidRDefault="00F47023" w:rsidP="00A57D8D">
            <w:pPr>
              <w:pStyle w:val="Nessunostileparagrafo"/>
              <w:spacing w:line="240" w:lineRule="auto"/>
              <w:textAlignment w:val="auto"/>
              <w:rPr>
                <w:rFonts w:ascii="Open Sans Semibold" w:hAnsi="Open Sans Semibold" w:cs="Times New Roman"/>
                <w:color w:val="auto"/>
              </w:rPr>
            </w:pPr>
          </w:p>
        </w:tc>
      </w:tr>
      <w:tr w:rsidR="00F47023" w14:paraId="402EB605" w14:textId="77777777" w:rsidTr="00A57D8D">
        <w:trPr>
          <w:trHeight w:val="240"/>
        </w:trPr>
        <w:tc>
          <w:tcPr>
            <w:tcW w:w="7257" w:type="dxa"/>
            <w:tcMar>
              <w:top w:w="28" w:type="dxa"/>
              <w:left w:w="0" w:type="dxa"/>
              <w:bottom w:w="57" w:type="dxa"/>
              <w:right w:w="113" w:type="dxa"/>
            </w:tcMar>
            <w:vAlign w:val="center"/>
          </w:tcPr>
          <w:p w14:paraId="0D17D82E" w14:textId="77777777" w:rsidR="00F47023" w:rsidRDefault="00F47023" w:rsidP="00A57D8D">
            <w:pPr>
              <w:pStyle w:val="FSBodyText"/>
              <w:spacing w:after="0" w:line="240" w:lineRule="auto"/>
              <w:ind w:firstLine="360"/>
            </w:pPr>
            <w:r>
              <w:t>Cash on hand and at bank</w:t>
            </w:r>
          </w:p>
        </w:tc>
        <w:tc>
          <w:tcPr>
            <w:tcW w:w="1417" w:type="dxa"/>
            <w:tcMar>
              <w:top w:w="28" w:type="dxa"/>
              <w:left w:w="0" w:type="dxa"/>
              <w:bottom w:w="57" w:type="dxa"/>
              <w:right w:w="113" w:type="dxa"/>
            </w:tcMar>
            <w:vAlign w:val="bottom"/>
          </w:tcPr>
          <w:p w14:paraId="66CD1A26" w14:textId="77777777" w:rsidR="00F47023" w:rsidRDefault="00F47023" w:rsidP="00A57D8D">
            <w:pPr>
              <w:pStyle w:val="FSBodyText"/>
              <w:spacing w:after="0" w:line="240" w:lineRule="auto"/>
              <w:jc w:val="right"/>
            </w:pPr>
            <w:r>
              <w:rPr>
                <w:rStyle w:val="Bold"/>
                <w:rFonts w:eastAsia="MS Mincho"/>
                <w:lang w:val="it-IT"/>
              </w:rPr>
              <w:t xml:space="preserve">26,407 </w:t>
            </w:r>
          </w:p>
        </w:tc>
        <w:tc>
          <w:tcPr>
            <w:tcW w:w="1417" w:type="dxa"/>
            <w:tcMar>
              <w:top w:w="28" w:type="dxa"/>
              <w:left w:w="0" w:type="dxa"/>
              <w:bottom w:w="57" w:type="dxa"/>
              <w:right w:w="113" w:type="dxa"/>
            </w:tcMar>
            <w:vAlign w:val="bottom"/>
          </w:tcPr>
          <w:p w14:paraId="657121E8" w14:textId="77777777" w:rsidR="00F47023" w:rsidRDefault="00F47023" w:rsidP="00A57D8D">
            <w:pPr>
              <w:pStyle w:val="FSBodyText"/>
              <w:spacing w:after="0" w:line="240" w:lineRule="auto"/>
              <w:jc w:val="right"/>
            </w:pPr>
            <w:r>
              <w:rPr>
                <w:lang w:val="it-IT"/>
              </w:rPr>
              <w:t xml:space="preserve">15,958 </w:t>
            </w:r>
          </w:p>
        </w:tc>
      </w:tr>
      <w:tr w:rsidR="00F47023" w14:paraId="6DB87179" w14:textId="77777777" w:rsidTr="00A57D8D">
        <w:trPr>
          <w:trHeight w:val="240"/>
        </w:trPr>
        <w:tc>
          <w:tcPr>
            <w:tcW w:w="7257" w:type="dxa"/>
            <w:tcMar>
              <w:top w:w="113" w:type="dxa"/>
              <w:left w:w="0" w:type="dxa"/>
              <w:bottom w:w="113" w:type="dxa"/>
              <w:right w:w="113" w:type="dxa"/>
            </w:tcMar>
            <w:vAlign w:val="bottom"/>
          </w:tcPr>
          <w:p w14:paraId="5B09B781" w14:textId="77777777" w:rsidR="00F47023" w:rsidRDefault="00F47023" w:rsidP="00A57D8D">
            <w:pPr>
              <w:pStyle w:val="FSBodyText"/>
              <w:spacing w:after="0" w:line="240" w:lineRule="auto"/>
              <w:ind w:firstLine="360"/>
            </w:pPr>
            <w:r>
              <w:t>Trade and other receivables</w:t>
            </w:r>
          </w:p>
        </w:tc>
        <w:tc>
          <w:tcPr>
            <w:tcW w:w="1417" w:type="dxa"/>
            <w:tcMar>
              <w:top w:w="113" w:type="dxa"/>
              <w:left w:w="0" w:type="dxa"/>
              <w:bottom w:w="113" w:type="dxa"/>
              <w:right w:w="113" w:type="dxa"/>
            </w:tcMar>
            <w:vAlign w:val="bottom"/>
          </w:tcPr>
          <w:p w14:paraId="1ED1B9F7" w14:textId="77777777" w:rsidR="00F47023" w:rsidRDefault="00F47023" w:rsidP="00A57D8D">
            <w:pPr>
              <w:pStyle w:val="FSBodyText"/>
              <w:spacing w:after="0" w:line="240" w:lineRule="auto"/>
              <w:jc w:val="right"/>
            </w:pPr>
            <w:r>
              <w:rPr>
                <w:rStyle w:val="Bold"/>
                <w:rFonts w:eastAsia="MS Mincho"/>
              </w:rPr>
              <w:t xml:space="preserve">878 </w:t>
            </w:r>
          </w:p>
        </w:tc>
        <w:tc>
          <w:tcPr>
            <w:tcW w:w="1417" w:type="dxa"/>
            <w:tcMar>
              <w:top w:w="113" w:type="dxa"/>
              <w:left w:w="0" w:type="dxa"/>
              <w:bottom w:w="113" w:type="dxa"/>
              <w:right w:w="113" w:type="dxa"/>
            </w:tcMar>
            <w:vAlign w:val="bottom"/>
          </w:tcPr>
          <w:p w14:paraId="6ED7F3FF" w14:textId="77777777" w:rsidR="00F47023" w:rsidRDefault="00F47023" w:rsidP="00A57D8D">
            <w:pPr>
              <w:pStyle w:val="FSBodyText"/>
              <w:spacing w:after="0" w:line="240" w:lineRule="auto"/>
              <w:jc w:val="right"/>
            </w:pPr>
            <w:r>
              <w:t xml:space="preserve">698 </w:t>
            </w:r>
          </w:p>
        </w:tc>
      </w:tr>
      <w:tr w:rsidR="00F47023" w14:paraId="6590263B" w14:textId="77777777" w:rsidTr="00A57D8D">
        <w:trPr>
          <w:trHeight w:val="240"/>
        </w:trPr>
        <w:tc>
          <w:tcPr>
            <w:tcW w:w="7257" w:type="dxa"/>
            <w:shd w:val="clear" w:color="auto" w:fill="F2F2F2" w:themeFill="background1" w:themeFillShade="F2"/>
            <w:tcMar>
              <w:top w:w="113" w:type="dxa"/>
              <w:left w:w="0" w:type="dxa"/>
              <w:bottom w:w="113" w:type="dxa"/>
              <w:right w:w="113" w:type="dxa"/>
            </w:tcMar>
            <w:vAlign w:val="bottom"/>
          </w:tcPr>
          <w:p w14:paraId="57E6281D" w14:textId="77777777" w:rsidR="00F47023" w:rsidRDefault="00F47023" w:rsidP="00A57D8D">
            <w:pPr>
              <w:pStyle w:val="FSBodyText"/>
              <w:spacing w:after="0" w:line="240" w:lineRule="auto"/>
            </w:pPr>
            <w:r>
              <w:rPr>
                <w:rStyle w:val="Bold"/>
                <w:rFonts w:eastAsia="MS Mincho"/>
              </w:rPr>
              <w:t>Total financial assets at amortised cost</w:t>
            </w:r>
          </w:p>
        </w:tc>
        <w:tc>
          <w:tcPr>
            <w:tcW w:w="1417" w:type="dxa"/>
            <w:shd w:val="clear" w:color="auto" w:fill="F2F2F2" w:themeFill="background1" w:themeFillShade="F2"/>
            <w:tcMar>
              <w:top w:w="113" w:type="dxa"/>
              <w:left w:w="0" w:type="dxa"/>
              <w:bottom w:w="113" w:type="dxa"/>
              <w:right w:w="113" w:type="dxa"/>
            </w:tcMar>
            <w:vAlign w:val="bottom"/>
          </w:tcPr>
          <w:p w14:paraId="339DD5CD" w14:textId="77777777" w:rsidR="00F47023" w:rsidRDefault="00F47023" w:rsidP="00A57D8D">
            <w:pPr>
              <w:pStyle w:val="FSBodyText"/>
              <w:spacing w:after="0" w:line="240" w:lineRule="auto"/>
              <w:jc w:val="right"/>
            </w:pPr>
            <w:r>
              <w:rPr>
                <w:rStyle w:val="Bold"/>
                <w:rFonts w:eastAsia="MS Mincho"/>
              </w:rPr>
              <w:t xml:space="preserve">27,285 </w:t>
            </w:r>
          </w:p>
        </w:tc>
        <w:tc>
          <w:tcPr>
            <w:tcW w:w="1417" w:type="dxa"/>
            <w:shd w:val="clear" w:color="auto" w:fill="F2F2F2" w:themeFill="background1" w:themeFillShade="F2"/>
            <w:tcMar>
              <w:top w:w="113" w:type="dxa"/>
              <w:left w:w="0" w:type="dxa"/>
              <w:bottom w:w="113" w:type="dxa"/>
              <w:right w:w="113" w:type="dxa"/>
            </w:tcMar>
            <w:vAlign w:val="bottom"/>
          </w:tcPr>
          <w:p w14:paraId="491FD737" w14:textId="77777777" w:rsidR="00F47023" w:rsidRDefault="00F47023" w:rsidP="00A57D8D">
            <w:pPr>
              <w:pStyle w:val="FSBodyText"/>
              <w:spacing w:after="0" w:line="240" w:lineRule="auto"/>
              <w:jc w:val="right"/>
            </w:pPr>
            <w:r>
              <w:t xml:space="preserve">16,656 </w:t>
            </w:r>
          </w:p>
        </w:tc>
      </w:tr>
      <w:tr w:rsidR="00F47023" w14:paraId="300A0020" w14:textId="77777777" w:rsidTr="00A57D8D">
        <w:trPr>
          <w:trHeight w:val="240"/>
        </w:trPr>
        <w:tc>
          <w:tcPr>
            <w:tcW w:w="10091" w:type="dxa"/>
            <w:gridSpan w:val="3"/>
            <w:tcMar>
              <w:top w:w="227" w:type="dxa"/>
              <w:left w:w="0" w:type="dxa"/>
              <w:bottom w:w="57" w:type="dxa"/>
              <w:right w:w="113" w:type="dxa"/>
            </w:tcMar>
            <w:vAlign w:val="bottom"/>
          </w:tcPr>
          <w:p w14:paraId="661789B0" w14:textId="77777777" w:rsidR="00F47023" w:rsidRDefault="00F47023" w:rsidP="00A57D8D">
            <w:pPr>
              <w:pStyle w:val="FSBodyText"/>
              <w:spacing w:after="0" w:line="240" w:lineRule="auto"/>
            </w:pPr>
            <w:r>
              <w:rPr>
                <w:rStyle w:val="Bold"/>
                <w:rFonts w:eastAsia="MS Mincho"/>
                <w:lang w:val="it-IT"/>
              </w:rPr>
              <w:t>Financial Liabilities</w:t>
            </w:r>
          </w:p>
        </w:tc>
      </w:tr>
      <w:tr w:rsidR="00F47023" w:rsidRPr="00F47023" w14:paraId="39AE84CE" w14:textId="77777777" w:rsidTr="00A57D8D">
        <w:trPr>
          <w:trHeight w:val="240"/>
        </w:trPr>
        <w:tc>
          <w:tcPr>
            <w:tcW w:w="7257" w:type="dxa"/>
            <w:tcMar>
              <w:top w:w="28" w:type="dxa"/>
              <w:left w:w="0" w:type="dxa"/>
              <w:bottom w:w="57" w:type="dxa"/>
              <w:right w:w="113" w:type="dxa"/>
            </w:tcMar>
            <w:vAlign w:val="center"/>
          </w:tcPr>
          <w:p w14:paraId="0AB3A7A4" w14:textId="77777777" w:rsidR="00F47023" w:rsidRDefault="00F47023" w:rsidP="00A57D8D">
            <w:pPr>
              <w:pStyle w:val="FSBodyText"/>
              <w:spacing w:after="0" w:line="240" w:lineRule="auto"/>
            </w:pPr>
            <w:r>
              <w:rPr>
                <w:rStyle w:val="Bold"/>
                <w:rFonts w:eastAsia="MS Mincho"/>
              </w:rPr>
              <w:t>Financial liabilities measured at amortised cost</w:t>
            </w:r>
          </w:p>
        </w:tc>
        <w:tc>
          <w:tcPr>
            <w:tcW w:w="1417" w:type="dxa"/>
            <w:tcMar>
              <w:top w:w="28" w:type="dxa"/>
              <w:left w:w="0" w:type="dxa"/>
              <w:bottom w:w="57" w:type="dxa"/>
              <w:right w:w="113" w:type="dxa"/>
            </w:tcMar>
            <w:vAlign w:val="bottom"/>
          </w:tcPr>
          <w:p w14:paraId="2932F427" w14:textId="77777777" w:rsidR="00F47023" w:rsidRPr="00F47023" w:rsidRDefault="00F47023" w:rsidP="00A57D8D">
            <w:pPr>
              <w:pStyle w:val="Nessunostileparagrafo"/>
              <w:spacing w:line="240" w:lineRule="auto"/>
              <w:textAlignment w:val="auto"/>
              <w:rPr>
                <w:rFonts w:ascii="Open Sans Semibold" w:hAnsi="Open Sans Semibold" w:cs="Times New Roman"/>
                <w:color w:val="auto"/>
              </w:rPr>
            </w:pPr>
          </w:p>
        </w:tc>
        <w:tc>
          <w:tcPr>
            <w:tcW w:w="1417" w:type="dxa"/>
            <w:tcMar>
              <w:top w:w="28" w:type="dxa"/>
              <w:left w:w="0" w:type="dxa"/>
              <w:bottom w:w="57" w:type="dxa"/>
              <w:right w:w="113" w:type="dxa"/>
            </w:tcMar>
            <w:vAlign w:val="bottom"/>
          </w:tcPr>
          <w:p w14:paraId="22CD5124" w14:textId="77777777" w:rsidR="00F47023" w:rsidRPr="00F47023" w:rsidRDefault="00F47023" w:rsidP="00A57D8D">
            <w:pPr>
              <w:pStyle w:val="Nessunostileparagrafo"/>
              <w:spacing w:line="240" w:lineRule="auto"/>
              <w:textAlignment w:val="auto"/>
              <w:rPr>
                <w:rFonts w:ascii="Open Sans Semibold" w:hAnsi="Open Sans Semibold" w:cs="Times New Roman"/>
                <w:color w:val="auto"/>
              </w:rPr>
            </w:pPr>
          </w:p>
        </w:tc>
      </w:tr>
      <w:tr w:rsidR="00F47023" w14:paraId="7605EFCE" w14:textId="77777777" w:rsidTr="00A57D8D">
        <w:trPr>
          <w:trHeight w:val="240"/>
        </w:trPr>
        <w:tc>
          <w:tcPr>
            <w:tcW w:w="7257" w:type="dxa"/>
            <w:tcMar>
              <w:top w:w="113" w:type="dxa"/>
              <w:left w:w="0" w:type="dxa"/>
              <w:bottom w:w="113" w:type="dxa"/>
              <w:right w:w="113" w:type="dxa"/>
            </w:tcMar>
            <w:vAlign w:val="bottom"/>
          </w:tcPr>
          <w:p w14:paraId="7729AB8C" w14:textId="77777777" w:rsidR="00F47023" w:rsidRDefault="00F47023" w:rsidP="00A57D8D">
            <w:pPr>
              <w:pStyle w:val="FSBodyText"/>
              <w:spacing w:after="0" w:line="240" w:lineRule="auto"/>
              <w:ind w:firstLine="360"/>
            </w:pPr>
            <w:r>
              <w:rPr>
                <w:lang w:val="it-IT"/>
              </w:rPr>
              <w:t>Trade creditors and accruals</w:t>
            </w:r>
          </w:p>
        </w:tc>
        <w:tc>
          <w:tcPr>
            <w:tcW w:w="1417" w:type="dxa"/>
            <w:tcMar>
              <w:top w:w="113" w:type="dxa"/>
              <w:left w:w="0" w:type="dxa"/>
              <w:bottom w:w="113" w:type="dxa"/>
              <w:right w:w="113" w:type="dxa"/>
            </w:tcMar>
            <w:vAlign w:val="bottom"/>
          </w:tcPr>
          <w:p w14:paraId="14A71C76" w14:textId="77777777" w:rsidR="00F47023" w:rsidRDefault="00F47023" w:rsidP="00A57D8D">
            <w:pPr>
              <w:pStyle w:val="FSBodyText"/>
              <w:spacing w:after="0" w:line="240" w:lineRule="auto"/>
              <w:jc w:val="right"/>
            </w:pPr>
            <w:r>
              <w:rPr>
                <w:rStyle w:val="Bold"/>
                <w:rFonts w:eastAsia="MS Mincho"/>
                <w:lang w:val="it-IT"/>
              </w:rPr>
              <w:t xml:space="preserve">1,555 </w:t>
            </w:r>
          </w:p>
        </w:tc>
        <w:tc>
          <w:tcPr>
            <w:tcW w:w="1417" w:type="dxa"/>
            <w:tcMar>
              <w:top w:w="113" w:type="dxa"/>
              <w:left w:w="0" w:type="dxa"/>
              <w:bottom w:w="113" w:type="dxa"/>
              <w:right w:w="113" w:type="dxa"/>
            </w:tcMar>
            <w:vAlign w:val="bottom"/>
          </w:tcPr>
          <w:p w14:paraId="69FBA56B" w14:textId="77777777" w:rsidR="00F47023" w:rsidRDefault="00F47023" w:rsidP="00A57D8D">
            <w:pPr>
              <w:pStyle w:val="FSBodyText"/>
              <w:spacing w:after="0" w:line="240" w:lineRule="auto"/>
              <w:jc w:val="right"/>
            </w:pPr>
            <w:r>
              <w:rPr>
                <w:lang w:val="it-IT"/>
              </w:rPr>
              <w:t xml:space="preserve">865 </w:t>
            </w:r>
          </w:p>
        </w:tc>
      </w:tr>
      <w:tr w:rsidR="00F47023" w14:paraId="58E6458C" w14:textId="77777777" w:rsidTr="00A57D8D">
        <w:trPr>
          <w:trHeight w:val="240"/>
        </w:trPr>
        <w:tc>
          <w:tcPr>
            <w:tcW w:w="7257" w:type="dxa"/>
            <w:shd w:val="clear" w:color="auto" w:fill="F2F2F2" w:themeFill="background1" w:themeFillShade="F2"/>
            <w:tcMar>
              <w:top w:w="113" w:type="dxa"/>
              <w:left w:w="0" w:type="dxa"/>
              <w:bottom w:w="113" w:type="dxa"/>
              <w:right w:w="113" w:type="dxa"/>
            </w:tcMar>
            <w:vAlign w:val="bottom"/>
          </w:tcPr>
          <w:p w14:paraId="5CCDAE4A" w14:textId="77777777" w:rsidR="00F47023" w:rsidRDefault="00F47023" w:rsidP="00A57D8D">
            <w:pPr>
              <w:pStyle w:val="FSBodyText"/>
              <w:spacing w:after="0" w:line="240" w:lineRule="auto"/>
            </w:pPr>
            <w:r>
              <w:rPr>
                <w:rStyle w:val="Bold"/>
                <w:rFonts w:eastAsia="MS Mincho"/>
              </w:rPr>
              <w:t>Total financial liabilities measured at amortised cost</w:t>
            </w:r>
          </w:p>
        </w:tc>
        <w:tc>
          <w:tcPr>
            <w:tcW w:w="1417" w:type="dxa"/>
            <w:shd w:val="clear" w:color="auto" w:fill="F2F2F2" w:themeFill="background1" w:themeFillShade="F2"/>
            <w:tcMar>
              <w:top w:w="113" w:type="dxa"/>
              <w:left w:w="0" w:type="dxa"/>
              <w:bottom w:w="113" w:type="dxa"/>
              <w:right w:w="113" w:type="dxa"/>
            </w:tcMar>
            <w:vAlign w:val="bottom"/>
          </w:tcPr>
          <w:p w14:paraId="59A441D8" w14:textId="77777777" w:rsidR="00F47023" w:rsidRDefault="00F47023" w:rsidP="00A57D8D">
            <w:pPr>
              <w:pStyle w:val="FSBodyText"/>
              <w:spacing w:after="0" w:line="240" w:lineRule="auto"/>
              <w:jc w:val="right"/>
            </w:pPr>
            <w:r>
              <w:rPr>
                <w:rStyle w:val="Bold"/>
                <w:rFonts w:eastAsia="MS Mincho"/>
                <w:lang w:val="it-IT"/>
              </w:rPr>
              <w:t xml:space="preserve">1,555 </w:t>
            </w:r>
          </w:p>
        </w:tc>
        <w:tc>
          <w:tcPr>
            <w:tcW w:w="1417" w:type="dxa"/>
            <w:shd w:val="clear" w:color="auto" w:fill="F2F2F2" w:themeFill="background1" w:themeFillShade="F2"/>
            <w:tcMar>
              <w:top w:w="113" w:type="dxa"/>
              <w:left w:w="0" w:type="dxa"/>
              <w:bottom w:w="113" w:type="dxa"/>
              <w:right w:w="113" w:type="dxa"/>
            </w:tcMar>
            <w:vAlign w:val="bottom"/>
          </w:tcPr>
          <w:p w14:paraId="0D7EEA11" w14:textId="77777777" w:rsidR="00F47023" w:rsidRDefault="00F47023" w:rsidP="00A57D8D">
            <w:pPr>
              <w:pStyle w:val="FSBodyText"/>
              <w:spacing w:after="0" w:line="240" w:lineRule="auto"/>
              <w:jc w:val="right"/>
            </w:pPr>
            <w:r>
              <w:rPr>
                <w:lang w:val="it-IT"/>
              </w:rPr>
              <w:t xml:space="preserve">865 </w:t>
            </w:r>
          </w:p>
        </w:tc>
      </w:tr>
    </w:tbl>
    <w:p w14:paraId="1506EE9E" w14:textId="77777777" w:rsidR="00F47023" w:rsidRDefault="00F47023" w:rsidP="00A57D8D">
      <w:pPr>
        <w:pStyle w:val="FSBodyText"/>
      </w:pPr>
    </w:p>
    <w:p w14:paraId="5F85B4B3" w14:textId="27721CA2" w:rsidR="00A57D8D" w:rsidRDefault="00A57D8D">
      <w:pPr>
        <w:spacing w:before="0" w:after="0" w:line="240" w:lineRule="auto"/>
        <w:rPr>
          <w:rFonts w:cs="Open Sans"/>
          <w:color w:val="000000"/>
          <w:sz w:val="16"/>
          <w:szCs w:val="16"/>
          <w:lang w:val="en-US"/>
        </w:rPr>
      </w:pPr>
      <w:r>
        <w:br w:type="page"/>
      </w:r>
    </w:p>
    <w:p w14:paraId="45FCE64F" w14:textId="77777777" w:rsidR="00F47023" w:rsidRDefault="00F47023" w:rsidP="00F47023">
      <w:pPr>
        <w:pStyle w:val="FSBodyText"/>
        <w:rPr>
          <w:rStyle w:val="Bold"/>
          <w:rFonts w:eastAsia="MS Mincho"/>
        </w:rPr>
      </w:pPr>
      <w:r>
        <w:rPr>
          <w:rStyle w:val="Bold"/>
          <w:rFonts w:eastAsia="MS Mincho"/>
        </w:rPr>
        <w:t>Accounting Policy</w:t>
      </w:r>
    </w:p>
    <w:p w14:paraId="121C4669" w14:textId="77777777" w:rsidR="00F47023" w:rsidRDefault="00F47023" w:rsidP="00F47023">
      <w:pPr>
        <w:pStyle w:val="FSBodyText"/>
        <w:rPr>
          <w:rStyle w:val="BoldItalic"/>
        </w:rPr>
      </w:pPr>
      <w:r>
        <w:rPr>
          <w:rStyle w:val="BoldItalic"/>
        </w:rPr>
        <w:t>Financial assets</w:t>
      </w:r>
    </w:p>
    <w:p w14:paraId="61C5D839" w14:textId="37888CEB" w:rsidR="00F47023" w:rsidRPr="00D51649" w:rsidRDefault="00D51649" w:rsidP="00D51649">
      <w:pPr>
        <w:pStyle w:val="FSBodyText"/>
      </w:pPr>
      <w:r w:rsidRPr="00D51649">
        <w:t xml:space="preserve">In accordance with AASB 9 </w:t>
      </w:r>
      <w:r w:rsidRPr="00D51649">
        <w:rPr>
          <w:i/>
          <w:iCs/>
        </w:rPr>
        <w:t xml:space="preserve">Financial Instruments, </w:t>
      </w:r>
      <w:r w:rsidRPr="00D51649">
        <w:t>the Commission classifies its financial assets in the following categories:</w:t>
      </w:r>
    </w:p>
    <w:p w14:paraId="7E04F7BE" w14:textId="473FA9BE" w:rsidR="00F47023" w:rsidRDefault="00F47023" w:rsidP="00A57D8D">
      <w:pPr>
        <w:pStyle w:val="FSBodyText"/>
        <w:numPr>
          <w:ilvl w:val="0"/>
          <w:numId w:val="42"/>
        </w:numPr>
        <w:spacing w:after="0"/>
      </w:pPr>
      <w:r>
        <w:t>financial assets at fair value through profit or loss;</w:t>
      </w:r>
    </w:p>
    <w:p w14:paraId="1FA12997" w14:textId="40A83331" w:rsidR="00F47023" w:rsidRDefault="00F47023" w:rsidP="00A57D8D">
      <w:pPr>
        <w:pStyle w:val="FSBodyText"/>
        <w:numPr>
          <w:ilvl w:val="0"/>
          <w:numId w:val="42"/>
        </w:numPr>
        <w:spacing w:after="0"/>
      </w:pPr>
      <w:r>
        <w:t>financial assets at fair value through other comprehensive income; and</w:t>
      </w:r>
    </w:p>
    <w:p w14:paraId="04C5392F" w14:textId="7311BB7A" w:rsidR="00F47023" w:rsidRDefault="00F47023" w:rsidP="00A57D8D">
      <w:pPr>
        <w:pStyle w:val="FSBodyText"/>
        <w:numPr>
          <w:ilvl w:val="0"/>
          <w:numId w:val="42"/>
        </w:numPr>
      </w:pPr>
      <w:r>
        <w:t>financial assets measured at amortised cost.</w:t>
      </w:r>
    </w:p>
    <w:p w14:paraId="1D2F83D0" w14:textId="42E80ABE" w:rsidR="00F47023" w:rsidRDefault="00F47023" w:rsidP="00D51649">
      <w:pPr>
        <w:pStyle w:val="FSBodyText"/>
      </w:pPr>
      <w:r>
        <w:t xml:space="preserve">The classification depends on both </w:t>
      </w:r>
      <w:r w:rsidRPr="00D51649">
        <w:t xml:space="preserve">the </w:t>
      </w:r>
      <w:r w:rsidR="00D51649" w:rsidRPr="00D51649">
        <w:t>Commission's</w:t>
      </w:r>
      <w:r>
        <w:t xml:space="preserve"> business model for managing the financial assets and contractual cash flow characteristics at the time of initial recognition. Financial assets are recognised when the entity becomes a party to the contract and, as a consequence, has a legal right to receive or a legal obligation to pay cash and derecognised when the contractual rights to the cash flows from the financial asset expire or are transferred upon trade date.</w:t>
      </w:r>
    </w:p>
    <w:p w14:paraId="42E07DD5" w14:textId="77777777" w:rsidR="00F47023" w:rsidRDefault="00F47023" w:rsidP="00F47023">
      <w:pPr>
        <w:pStyle w:val="FSBodyText"/>
        <w:spacing w:before="57"/>
        <w:rPr>
          <w:rStyle w:val="Italic"/>
        </w:rPr>
      </w:pPr>
      <w:r>
        <w:rPr>
          <w:rStyle w:val="Italic"/>
        </w:rPr>
        <w:t>Effective Interest Method</w:t>
      </w:r>
    </w:p>
    <w:p w14:paraId="394821DB" w14:textId="5ED94691" w:rsidR="00F47023" w:rsidRDefault="00F47023" w:rsidP="00F47023">
      <w:pPr>
        <w:pStyle w:val="FSBodyText"/>
      </w:pPr>
      <w:r>
        <w:t>Income is recognised on an effective interest rate basis</w:t>
      </w:r>
      <w:r w:rsidR="00D51649">
        <w:t xml:space="preserve"> </w:t>
      </w:r>
      <w:r>
        <w:t>for financial assets that are recognised at amortised cost.</w:t>
      </w:r>
    </w:p>
    <w:p w14:paraId="1F47A15B" w14:textId="77777777" w:rsidR="00F47023" w:rsidRDefault="00F47023" w:rsidP="00F47023">
      <w:pPr>
        <w:pStyle w:val="FSBodyText"/>
        <w:spacing w:before="57"/>
        <w:jc w:val="both"/>
        <w:rPr>
          <w:rStyle w:val="Italic"/>
        </w:rPr>
      </w:pPr>
      <w:r>
        <w:rPr>
          <w:rStyle w:val="Italic"/>
        </w:rPr>
        <w:t>Impairment of Financial Assets</w:t>
      </w:r>
    </w:p>
    <w:p w14:paraId="1A05EEE3" w14:textId="77777777" w:rsidR="00F47023" w:rsidRDefault="00F47023" w:rsidP="00F47023">
      <w:pPr>
        <w:pStyle w:val="FSBodyText"/>
        <w:jc w:val="both"/>
      </w:pPr>
      <w:r>
        <w:t xml:space="preserve">Financial assets are assessed for impairment at the end of each reporting period based on Expected Credit Losses, using the general approach which measures the loss allowance based on an amount equal to </w:t>
      </w:r>
      <w:r w:rsidRPr="007B43AF">
        <w:rPr>
          <w:i/>
          <w:iCs/>
        </w:rPr>
        <w:t>lifetime expected credit losses</w:t>
      </w:r>
      <w:r>
        <w:t xml:space="preserve"> where risk has significantly increased, or an amount equal to </w:t>
      </w:r>
      <w:r w:rsidRPr="007B43AF">
        <w:rPr>
          <w:i/>
          <w:iCs/>
        </w:rPr>
        <w:t>12-month expected credit losses</w:t>
      </w:r>
      <w:r>
        <w:t xml:space="preserve"> if risk has not increased. </w:t>
      </w:r>
    </w:p>
    <w:p w14:paraId="70AA313C" w14:textId="77777777" w:rsidR="00F47023" w:rsidRDefault="00F47023" w:rsidP="00F47023">
      <w:pPr>
        <w:pStyle w:val="FSBodyText"/>
        <w:jc w:val="both"/>
      </w:pPr>
      <w:r>
        <w:t>The simplified approach for trade, contract and lease receivables is used. This approach always measures the loss allowance as the amount equal to the lifetime expected credit losses.</w:t>
      </w:r>
    </w:p>
    <w:p w14:paraId="4C2FC288" w14:textId="77777777" w:rsidR="00F47023" w:rsidRDefault="00F47023" w:rsidP="00F47023">
      <w:pPr>
        <w:pStyle w:val="FSBodyText"/>
        <w:jc w:val="both"/>
      </w:pPr>
      <w:r>
        <w:t>A write-off constitutes a derecognition event where the write-off directly reduces the gross carrying amount of the financial asset.</w:t>
      </w:r>
    </w:p>
    <w:p w14:paraId="5F46BF49" w14:textId="77777777" w:rsidR="00F47023" w:rsidRDefault="00F47023" w:rsidP="00F47023">
      <w:pPr>
        <w:pStyle w:val="FSBodyText"/>
        <w:spacing w:before="57"/>
        <w:rPr>
          <w:rStyle w:val="Italic"/>
        </w:rPr>
      </w:pPr>
      <w:r>
        <w:rPr>
          <w:rStyle w:val="Italic"/>
        </w:rPr>
        <w:t>Financial Assets at Amortised Cost</w:t>
      </w:r>
    </w:p>
    <w:p w14:paraId="3825323B" w14:textId="77777777" w:rsidR="00F47023" w:rsidRDefault="00F47023" w:rsidP="00F47023">
      <w:pPr>
        <w:pStyle w:val="FSBodyText"/>
      </w:pPr>
      <w:r>
        <w:t>Financial assets included in this category need to meet two criteria:</w:t>
      </w:r>
    </w:p>
    <w:p w14:paraId="0604CBB1" w14:textId="77777777" w:rsidR="00F47023" w:rsidRDefault="00F47023" w:rsidP="00F47023">
      <w:pPr>
        <w:pStyle w:val="FSBodyText"/>
        <w:spacing w:after="0"/>
      </w:pPr>
      <w:r>
        <w:t>1. the financial asset is held in order to collect the contractual cash flows; and</w:t>
      </w:r>
    </w:p>
    <w:p w14:paraId="0106F901" w14:textId="77777777" w:rsidR="00F47023" w:rsidRDefault="00F47023" w:rsidP="00F47023">
      <w:pPr>
        <w:pStyle w:val="FSBodyText"/>
      </w:pPr>
      <w:r>
        <w:t>2. the cash flows are solely payments of principal and interest (SPPI) on the principal outstanding amount.</w:t>
      </w:r>
    </w:p>
    <w:p w14:paraId="038B5B95" w14:textId="77777777" w:rsidR="00F47023" w:rsidRDefault="00F47023" w:rsidP="00F47023">
      <w:pPr>
        <w:pStyle w:val="FSBodyText"/>
      </w:pPr>
      <w:r>
        <w:t>Amortised cost is determined using the effective interest method.</w:t>
      </w:r>
    </w:p>
    <w:p w14:paraId="144509CC" w14:textId="77777777" w:rsidR="00F47023" w:rsidRDefault="00F47023" w:rsidP="00F47023">
      <w:pPr>
        <w:pStyle w:val="FSBodyText"/>
        <w:spacing w:before="57"/>
        <w:jc w:val="both"/>
        <w:rPr>
          <w:rStyle w:val="BoldItalic"/>
        </w:rPr>
      </w:pPr>
      <w:r>
        <w:rPr>
          <w:rStyle w:val="BoldItalic"/>
        </w:rPr>
        <w:t>Financial liabilities</w:t>
      </w:r>
    </w:p>
    <w:p w14:paraId="37958B99" w14:textId="77777777" w:rsidR="00F47023" w:rsidRDefault="00F47023" w:rsidP="00F47023">
      <w:pPr>
        <w:pStyle w:val="FSBodyText"/>
        <w:jc w:val="both"/>
      </w:pPr>
      <w:r>
        <w:t>Financial liabilities are classified as either financial liabilities ‘at fair value through profit or loss’ or other financial liabilities. Financial liabilities are recognised and derecognised upon ‘trade date’.</w:t>
      </w:r>
    </w:p>
    <w:p w14:paraId="7F193C6A" w14:textId="77777777" w:rsidR="00F47023" w:rsidRDefault="00F47023" w:rsidP="00F47023">
      <w:pPr>
        <w:pStyle w:val="FSBodyText"/>
        <w:spacing w:before="57"/>
        <w:jc w:val="both"/>
        <w:rPr>
          <w:rStyle w:val="Italic"/>
        </w:rPr>
      </w:pPr>
      <w:r>
        <w:rPr>
          <w:rStyle w:val="Italic"/>
        </w:rPr>
        <w:t>Financial Liabilities at Amortised Cost</w:t>
      </w:r>
    </w:p>
    <w:p w14:paraId="062FB036" w14:textId="77777777" w:rsidR="00F47023" w:rsidRDefault="00F47023" w:rsidP="00F47023">
      <w:pPr>
        <w:pStyle w:val="FSBodyText"/>
        <w:spacing w:before="57"/>
        <w:jc w:val="both"/>
      </w:pPr>
      <w:r>
        <w:t xml:space="preserve">Financial liabilities, including borrowings, are initially measured at fair value, net of transaction costs. These liabilities are subsequently measured at amortised cost using the effective interest method, with interest expense recognised on an effective interest basis. </w:t>
      </w:r>
    </w:p>
    <w:p w14:paraId="6E87CB46" w14:textId="77777777" w:rsidR="00F47023" w:rsidRDefault="00F47023" w:rsidP="00F47023">
      <w:pPr>
        <w:pStyle w:val="FSBodyText"/>
        <w:spacing w:before="57"/>
        <w:jc w:val="both"/>
      </w:pPr>
      <w:r>
        <w:t>Supplier and other payables are recognised at amortised cost. Liabilities are recognised to the extent that the goods or services have been received (and irrespective of having been invoiced).</w:t>
      </w:r>
    </w:p>
    <w:p w14:paraId="4F1D1E8B" w14:textId="7D828158" w:rsidR="00A57D8D" w:rsidRPr="00A57D8D" w:rsidRDefault="00A57D8D" w:rsidP="00A57D8D">
      <w:pPr>
        <w:spacing w:before="0" w:after="0" w:line="240" w:lineRule="auto"/>
        <w:rPr>
          <w:rFonts w:cs="Open Sans"/>
          <w:color w:val="000000"/>
          <w:sz w:val="16"/>
          <w:szCs w:val="16"/>
          <w:lang w:val="en-US"/>
        </w:rPr>
      </w:pPr>
    </w:p>
    <w:tbl>
      <w:tblPr>
        <w:tblW w:w="0" w:type="auto"/>
        <w:tblLayout w:type="fixed"/>
        <w:tblCellMar>
          <w:left w:w="0" w:type="dxa"/>
          <w:right w:w="0" w:type="dxa"/>
        </w:tblCellMar>
        <w:tblLook w:val="0000" w:firstRow="0" w:lastRow="0" w:firstColumn="0" w:lastColumn="0" w:noHBand="0" w:noVBand="0"/>
      </w:tblPr>
      <w:tblGrid>
        <w:gridCol w:w="7257"/>
        <w:gridCol w:w="1417"/>
        <w:gridCol w:w="1417"/>
      </w:tblGrid>
      <w:tr w:rsidR="00A57D8D" w:rsidRPr="00A57D8D" w14:paraId="6C11EEF3" w14:textId="77777777" w:rsidTr="00A57D8D">
        <w:trPr>
          <w:trHeight w:val="325"/>
        </w:trPr>
        <w:tc>
          <w:tcPr>
            <w:tcW w:w="7257" w:type="dxa"/>
            <w:tcBorders>
              <w:top w:val="single" w:sz="4" w:space="0" w:color="auto"/>
              <w:bottom w:val="single" w:sz="4" w:space="0" w:color="auto"/>
            </w:tcBorders>
            <w:shd w:val="clear" w:color="auto" w:fill="1CBDC9"/>
            <w:tcMar>
              <w:top w:w="85" w:type="dxa"/>
              <w:left w:w="113" w:type="dxa"/>
              <w:bottom w:w="113" w:type="dxa"/>
              <w:right w:w="113" w:type="dxa"/>
            </w:tcMar>
            <w:vAlign w:val="bottom"/>
          </w:tcPr>
          <w:p w14:paraId="6A8E3D74" w14:textId="77777777" w:rsidR="00F47023" w:rsidRPr="00A57D8D" w:rsidRDefault="00F47023">
            <w:pPr>
              <w:pStyle w:val="Nessunostileparagrafo"/>
              <w:spacing w:line="240" w:lineRule="auto"/>
              <w:textAlignment w:val="auto"/>
              <w:rPr>
                <w:rFonts w:ascii="Open Sans Semibold" w:hAnsi="Open Sans Semibold" w:cs="Times New Roman"/>
                <w:color w:val="FFFFFF" w:themeColor="background1"/>
                <w:sz w:val="20"/>
                <w:szCs w:val="20"/>
              </w:rPr>
            </w:pPr>
          </w:p>
        </w:tc>
        <w:tc>
          <w:tcPr>
            <w:tcW w:w="1417" w:type="dxa"/>
            <w:tcBorders>
              <w:top w:val="single" w:sz="4" w:space="0" w:color="auto"/>
              <w:bottom w:val="single" w:sz="4" w:space="0" w:color="auto"/>
            </w:tcBorders>
            <w:shd w:val="clear" w:color="auto" w:fill="1CBDC9"/>
            <w:tcMar>
              <w:top w:w="85" w:type="dxa"/>
              <w:left w:w="113" w:type="dxa"/>
              <w:bottom w:w="113" w:type="dxa"/>
              <w:right w:w="113" w:type="dxa"/>
            </w:tcMar>
            <w:vAlign w:val="bottom"/>
          </w:tcPr>
          <w:p w14:paraId="6DD88319" w14:textId="77777777" w:rsidR="00F47023" w:rsidRPr="00A57D8D" w:rsidRDefault="00F47023">
            <w:pPr>
              <w:pStyle w:val="FSHeaderRow"/>
              <w:rPr>
                <w:color w:val="FFFFFF" w:themeColor="background1"/>
                <w:sz w:val="20"/>
                <w:szCs w:val="20"/>
              </w:rPr>
            </w:pPr>
            <w:r w:rsidRPr="00A57D8D">
              <w:rPr>
                <w:color w:val="FFFFFF" w:themeColor="background1"/>
                <w:sz w:val="20"/>
                <w:szCs w:val="20"/>
              </w:rPr>
              <w:t>2023</w:t>
            </w:r>
          </w:p>
          <w:p w14:paraId="262A4EDE" w14:textId="77777777" w:rsidR="00F47023" w:rsidRPr="00A57D8D" w:rsidRDefault="00F47023">
            <w:pPr>
              <w:pStyle w:val="FSHeaderRow"/>
              <w:rPr>
                <w:color w:val="FFFFFF" w:themeColor="background1"/>
                <w:sz w:val="20"/>
                <w:szCs w:val="20"/>
              </w:rPr>
            </w:pPr>
            <w:r w:rsidRPr="00A57D8D">
              <w:rPr>
                <w:color w:val="FFFFFF" w:themeColor="background1"/>
                <w:sz w:val="20"/>
                <w:szCs w:val="20"/>
              </w:rPr>
              <w:t>$’000</w:t>
            </w:r>
          </w:p>
        </w:tc>
        <w:tc>
          <w:tcPr>
            <w:tcW w:w="1417" w:type="dxa"/>
            <w:tcBorders>
              <w:top w:val="single" w:sz="4" w:space="0" w:color="auto"/>
              <w:bottom w:val="single" w:sz="4" w:space="0" w:color="auto"/>
            </w:tcBorders>
            <w:shd w:val="clear" w:color="auto" w:fill="1CBDC9"/>
            <w:tcMar>
              <w:top w:w="85" w:type="dxa"/>
              <w:left w:w="113" w:type="dxa"/>
              <w:bottom w:w="113" w:type="dxa"/>
              <w:right w:w="113" w:type="dxa"/>
            </w:tcMar>
            <w:vAlign w:val="bottom"/>
          </w:tcPr>
          <w:p w14:paraId="40206CFF" w14:textId="77777777" w:rsidR="00F47023" w:rsidRPr="00A57D8D" w:rsidRDefault="00F47023">
            <w:pPr>
              <w:pStyle w:val="FSHeaderRow"/>
              <w:rPr>
                <w:rStyle w:val="FSUnboldCond"/>
                <w:b w:val="0"/>
                <w:bCs w:val="0"/>
                <w:color w:val="FFFFFF" w:themeColor="background1"/>
                <w:sz w:val="20"/>
                <w:szCs w:val="20"/>
              </w:rPr>
            </w:pPr>
            <w:r w:rsidRPr="00A57D8D">
              <w:rPr>
                <w:rStyle w:val="FSUnboldCond"/>
                <w:b w:val="0"/>
                <w:bCs w:val="0"/>
                <w:color w:val="FFFFFF" w:themeColor="background1"/>
                <w:sz w:val="20"/>
                <w:szCs w:val="20"/>
              </w:rPr>
              <w:t>2022</w:t>
            </w:r>
          </w:p>
          <w:p w14:paraId="37023E04" w14:textId="77777777" w:rsidR="00F47023" w:rsidRPr="00A57D8D" w:rsidRDefault="00F47023">
            <w:pPr>
              <w:pStyle w:val="FSHeaderRow"/>
              <w:rPr>
                <w:color w:val="FFFFFF" w:themeColor="background1"/>
                <w:sz w:val="20"/>
                <w:szCs w:val="20"/>
              </w:rPr>
            </w:pPr>
            <w:r w:rsidRPr="00A57D8D">
              <w:rPr>
                <w:rStyle w:val="FSUnboldCond"/>
                <w:b w:val="0"/>
                <w:bCs w:val="0"/>
                <w:color w:val="FFFFFF" w:themeColor="background1"/>
                <w:sz w:val="20"/>
                <w:szCs w:val="20"/>
              </w:rPr>
              <w:t>$’000</w:t>
            </w:r>
          </w:p>
        </w:tc>
      </w:tr>
      <w:tr w:rsidR="00F47023" w:rsidRPr="00A57D8D" w14:paraId="78FD92D9" w14:textId="77777777" w:rsidTr="00A57D8D">
        <w:trPr>
          <w:trHeight w:val="240"/>
        </w:trPr>
        <w:tc>
          <w:tcPr>
            <w:tcW w:w="10091" w:type="dxa"/>
            <w:gridSpan w:val="3"/>
            <w:tcBorders>
              <w:top w:val="single" w:sz="4" w:space="0" w:color="auto"/>
              <w:bottom w:val="single" w:sz="4" w:space="0" w:color="auto"/>
            </w:tcBorders>
            <w:tcMar>
              <w:top w:w="227" w:type="dxa"/>
              <w:left w:w="0" w:type="dxa"/>
              <w:bottom w:w="57" w:type="dxa"/>
              <w:right w:w="113" w:type="dxa"/>
            </w:tcMar>
            <w:vAlign w:val="bottom"/>
          </w:tcPr>
          <w:p w14:paraId="0708D5C5" w14:textId="77777777" w:rsidR="00F47023" w:rsidRPr="00A57D8D" w:rsidRDefault="00F47023" w:rsidP="00A57D8D">
            <w:pPr>
              <w:pStyle w:val="FSBlueHeadingBold"/>
            </w:pPr>
            <w:r w:rsidRPr="00A57D8D">
              <w:rPr>
                <w:rStyle w:val="Bold"/>
                <w:rFonts w:eastAsia="MS Mincho"/>
                <w:b/>
                <w:bCs/>
              </w:rPr>
              <w:t>4.2B: Net gains or losses on financial assets</w:t>
            </w:r>
          </w:p>
        </w:tc>
      </w:tr>
      <w:tr w:rsidR="00F47023" w:rsidRPr="00A57D8D" w14:paraId="42E8BB41" w14:textId="77777777" w:rsidTr="00A57D8D">
        <w:trPr>
          <w:trHeight w:val="240"/>
        </w:trPr>
        <w:tc>
          <w:tcPr>
            <w:tcW w:w="7257" w:type="dxa"/>
            <w:tcBorders>
              <w:top w:val="single" w:sz="4" w:space="0" w:color="auto"/>
              <w:bottom w:val="single" w:sz="4" w:space="0" w:color="auto"/>
            </w:tcBorders>
            <w:tcMar>
              <w:top w:w="28" w:type="dxa"/>
              <w:left w:w="0" w:type="dxa"/>
              <w:bottom w:w="57" w:type="dxa"/>
              <w:right w:w="113" w:type="dxa"/>
            </w:tcMar>
            <w:vAlign w:val="bottom"/>
          </w:tcPr>
          <w:p w14:paraId="32F77616" w14:textId="77777777" w:rsidR="00F47023" w:rsidRPr="00A57D8D" w:rsidRDefault="00F47023" w:rsidP="00A57D8D">
            <w:pPr>
              <w:pStyle w:val="FSBodyText"/>
              <w:spacing w:after="0" w:line="240" w:lineRule="auto"/>
            </w:pPr>
            <w:r w:rsidRPr="00A57D8D">
              <w:rPr>
                <w:b/>
                <w:bCs/>
              </w:rPr>
              <w:t>Financial assets at amortised cost</w:t>
            </w:r>
          </w:p>
        </w:tc>
        <w:tc>
          <w:tcPr>
            <w:tcW w:w="1417" w:type="dxa"/>
            <w:tcBorders>
              <w:top w:val="single" w:sz="4" w:space="0" w:color="auto"/>
              <w:bottom w:val="single" w:sz="4" w:space="0" w:color="auto"/>
            </w:tcBorders>
            <w:tcMar>
              <w:top w:w="28" w:type="dxa"/>
              <w:left w:w="0" w:type="dxa"/>
              <w:bottom w:w="57" w:type="dxa"/>
              <w:right w:w="113" w:type="dxa"/>
            </w:tcMar>
            <w:vAlign w:val="bottom"/>
          </w:tcPr>
          <w:p w14:paraId="5A79E901" w14:textId="77777777" w:rsidR="00F47023" w:rsidRPr="00A57D8D" w:rsidRDefault="00F47023" w:rsidP="00A57D8D">
            <w:pPr>
              <w:pStyle w:val="Nessunostileparagrafo"/>
              <w:spacing w:line="240" w:lineRule="auto"/>
              <w:textAlignment w:val="auto"/>
              <w:rPr>
                <w:rFonts w:ascii="Open Sans Semibold" w:hAnsi="Open Sans Semibold" w:cs="Times New Roman"/>
                <w:color w:val="auto"/>
                <w:sz w:val="16"/>
                <w:szCs w:val="16"/>
              </w:rPr>
            </w:pPr>
          </w:p>
        </w:tc>
        <w:tc>
          <w:tcPr>
            <w:tcW w:w="1417" w:type="dxa"/>
            <w:tcBorders>
              <w:top w:val="single" w:sz="4" w:space="0" w:color="auto"/>
              <w:bottom w:val="single" w:sz="4" w:space="0" w:color="auto"/>
            </w:tcBorders>
            <w:tcMar>
              <w:top w:w="28" w:type="dxa"/>
              <w:left w:w="0" w:type="dxa"/>
              <w:bottom w:w="57" w:type="dxa"/>
              <w:right w:w="113" w:type="dxa"/>
            </w:tcMar>
            <w:vAlign w:val="bottom"/>
          </w:tcPr>
          <w:p w14:paraId="11ECC25A" w14:textId="77777777" w:rsidR="00F47023" w:rsidRPr="00A57D8D" w:rsidRDefault="00F47023" w:rsidP="00A57D8D">
            <w:pPr>
              <w:pStyle w:val="Nessunostileparagrafo"/>
              <w:spacing w:line="240" w:lineRule="auto"/>
              <w:textAlignment w:val="auto"/>
              <w:rPr>
                <w:rFonts w:ascii="Open Sans Semibold" w:hAnsi="Open Sans Semibold" w:cs="Times New Roman"/>
                <w:color w:val="auto"/>
                <w:sz w:val="16"/>
                <w:szCs w:val="16"/>
              </w:rPr>
            </w:pPr>
          </w:p>
        </w:tc>
      </w:tr>
      <w:tr w:rsidR="00F47023" w:rsidRPr="00A57D8D" w14:paraId="3F81A09F" w14:textId="77777777" w:rsidTr="00A57D8D">
        <w:trPr>
          <w:trHeight w:val="240"/>
        </w:trPr>
        <w:tc>
          <w:tcPr>
            <w:tcW w:w="7257" w:type="dxa"/>
            <w:tcBorders>
              <w:top w:val="single" w:sz="4" w:space="0" w:color="auto"/>
              <w:bottom w:val="single" w:sz="4" w:space="0" w:color="auto"/>
            </w:tcBorders>
            <w:tcMar>
              <w:top w:w="113" w:type="dxa"/>
              <w:left w:w="0" w:type="dxa"/>
              <w:bottom w:w="113" w:type="dxa"/>
              <w:right w:w="113" w:type="dxa"/>
            </w:tcMar>
            <w:vAlign w:val="bottom"/>
          </w:tcPr>
          <w:p w14:paraId="75648E2B" w14:textId="77777777" w:rsidR="00F47023" w:rsidRPr="00A57D8D" w:rsidRDefault="00F47023" w:rsidP="00A57D8D">
            <w:pPr>
              <w:pStyle w:val="FSBodyText"/>
              <w:spacing w:after="0" w:line="240" w:lineRule="auto"/>
              <w:ind w:firstLine="360"/>
            </w:pPr>
            <w:r w:rsidRPr="00A57D8D">
              <w:rPr>
                <w:lang w:val="it-IT"/>
              </w:rPr>
              <w:t>Interest revenue</w:t>
            </w:r>
          </w:p>
        </w:tc>
        <w:tc>
          <w:tcPr>
            <w:tcW w:w="1417" w:type="dxa"/>
            <w:tcBorders>
              <w:top w:val="single" w:sz="4" w:space="0" w:color="auto"/>
              <w:bottom w:val="single" w:sz="4" w:space="0" w:color="auto"/>
            </w:tcBorders>
            <w:tcMar>
              <w:top w:w="113" w:type="dxa"/>
              <w:left w:w="0" w:type="dxa"/>
              <w:bottom w:w="113" w:type="dxa"/>
              <w:right w:w="113" w:type="dxa"/>
            </w:tcMar>
            <w:vAlign w:val="bottom"/>
          </w:tcPr>
          <w:p w14:paraId="2DAEF47E" w14:textId="77777777" w:rsidR="00F47023" w:rsidRPr="00A57D8D" w:rsidRDefault="00F47023" w:rsidP="00A57D8D">
            <w:pPr>
              <w:pStyle w:val="FSBodyText"/>
              <w:spacing w:after="0" w:line="240" w:lineRule="auto"/>
              <w:jc w:val="right"/>
            </w:pPr>
            <w:r w:rsidRPr="00A57D8D">
              <w:rPr>
                <w:rStyle w:val="Bold"/>
                <w:rFonts w:eastAsia="MS Mincho"/>
                <w:lang w:val="it-IT"/>
              </w:rPr>
              <w:t xml:space="preserve">483 </w:t>
            </w:r>
          </w:p>
        </w:tc>
        <w:tc>
          <w:tcPr>
            <w:tcW w:w="1417" w:type="dxa"/>
            <w:tcBorders>
              <w:top w:val="single" w:sz="4" w:space="0" w:color="auto"/>
              <w:bottom w:val="single" w:sz="4" w:space="0" w:color="auto"/>
            </w:tcBorders>
            <w:tcMar>
              <w:top w:w="113" w:type="dxa"/>
              <w:left w:w="0" w:type="dxa"/>
              <w:bottom w:w="113" w:type="dxa"/>
              <w:right w:w="113" w:type="dxa"/>
            </w:tcMar>
            <w:vAlign w:val="bottom"/>
          </w:tcPr>
          <w:p w14:paraId="2BE65CC4" w14:textId="77777777" w:rsidR="00F47023" w:rsidRPr="00A57D8D" w:rsidRDefault="00F47023" w:rsidP="00A57D8D">
            <w:pPr>
              <w:pStyle w:val="FSBodyText"/>
              <w:spacing w:after="0" w:line="240" w:lineRule="auto"/>
              <w:jc w:val="right"/>
            </w:pPr>
            <w:r w:rsidRPr="00A57D8D">
              <w:rPr>
                <w:lang w:val="it-IT"/>
              </w:rPr>
              <w:t xml:space="preserve">5 </w:t>
            </w:r>
          </w:p>
        </w:tc>
      </w:tr>
      <w:tr w:rsidR="00F47023" w:rsidRPr="00A57D8D" w14:paraId="4A61D6E8" w14:textId="77777777" w:rsidTr="00A57D8D">
        <w:trPr>
          <w:trHeight w:val="240"/>
        </w:trPr>
        <w:tc>
          <w:tcPr>
            <w:tcW w:w="7257" w:type="dxa"/>
            <w:tcBorders>
              <w:top w:val="single" w:sz="4" w:space="0" w:color="auto"/>
              <w:bottom w:val="single" w:sz="4" w:space="0" w:color="auto"/>
            </w:tcBorders>
            <w:shd w:val="clear" w:color="auto" w:fill="F2F2F2" w:themeFill="background1" w:themeFillShade="F2"/>
            <w:tcMar>
              <w:top w:w="113" w:type="dxa"/>
              <w:left w:w="0" w:type="dxa"/>
              <w:bottom w:w="113" w:type="dxa"/>
              <w:right w:w="113" w:type="dxa"/>
            </w:tcMar>
            <w:vAlign w:val="bottom"/>
          </w:tcPr>
          <w:p w14:paraId="6AFBD04C" w14:textId="77777777" w:rsidR="00F47023" w:rsidRPr="00A57D8D" w:rsidRDefault="00F47023" w:rsidP="00A57D8D">
            <w:pPr>
              <w:pStyle w:val="FSBodyText"/>
              <w:spacing w:after="0" w:line="240" w:lineRule="auto"/>
            </w:pPr>
            <w:r w:rsidRPr="00A57D8D">
              <w:rPr>
                <w:rStyle w:val="Bold"/>
                <w:rFonts w:eastAsia="MS Mincho"/>
              </w:rPr>
              <w:t>Net gains on financial assets at amortised cost</w:t>
            </w:r>
          </w:p>
        </w:tc>
        <w:tc>
          <w:tcPr>
            <w:tcW w:w="1417" w:type="dxa"/>
            <w:tcBorders>
              <w:top w:val="single" w:sz="4" w:space="0" w:color="auto"/>
              <w:bottom w:val="single" w:sz="4" w:space="0" w:color="auto"/>
            </w:tcBorders>
            <w:shd w:val="clear" w:color="auto" w:fill="F2F2F2" w:themeFill="background1" w:themeFillShade="F2"/>
            <w:tcMar>
              <w:top w:w="113" w:type="dxa"/>
              <w:left w:w="0" w:type="dxa"/>
              <w:bottom w:w="113" w:type="dxa"/>
              <w:right w:w="113" w:type="dxa"/>
            </w:tcMar>
            <w:vAlign w:val="bottom"/>
          </w:tcPr>
          <w:p w14:paraId="5972D9F6" w14:textId="77777777" w:rsidR="00F47023" w:rsidRPr="00A57D8D" w:rsidRDefault="00F47023" w:rsidP="00A57D8D">
            <w:pPr>
              <w:pStyle w:val="FSBodyText"/>
              <w:spacing w:after="0" w:line="240" w:lineRule="auto"/>
              <w:jc w:val="right"/>
            </w:pPr>
            <w:r w:rsidRPr="00A57D8D">
              <w:rPr>
                <w:rStyle w:val="Bold"/>
                <w:rFonts w:eastAsia="MS Mincho"/>
                <w:lang w:val="it-IT"/>
              </w:rPr>
              <w:t xml:space="preserve">483 </w:t>
            </w:r>
          </w:p>
        </w:tc>
        <w:tc>
          <w:tcPr>
            <w:tcW w:w="1417" w:type="dxa"/>
            <w:tcBorders>
              <w:top w:val="single" w:sz="4" w:space="0" w:color="auto"/>
              <w:bottom w:val="single" w:sz="4" w:space="0" w:color="auto"/>
            </w:tcBorders>
            <w:shd w:val="clear" w:color="auto" w:fill="F2F2F2" w:themeFill="background1" w:themeFillShade="F2"/>
            <w:tcMar>
              <w:top w:w="113" w:type="dxa"/>
              <w:left w:w="0" w:type="dxa"/>
              <w:bottom w:w="113" w:type="dxa"/>
              <w:right w:w="113" w:type="dxa"/>
            </w:tcMar>
            <w:vAlign w:val="bottom"/>
          </w:tcPr>
          <w:p w14:paraId="262090DB" w14:textId="77777777" w:rsidR="00F47023" w:rsidRPr="00A57D8D" w:rsidRDefault="00F47023" w:rsidP="00A57D8D">
            <w:pPr>
              <w:pStyle w:val="FSBodyText"/>
              <w:spacing w:after="0" w:line="240" w:lineRule="auto"/>
              <w:jc w:val="right"/>
            </w:pPr>
            <w:r w:rsidRPr="00A57D8D">
              <w:rPr>
                <w:lang w:val="it-IT"/>
              </w:rPr>
              <w:t xml:space="preserve">5 </w:t>
            </w:r>
          </w:p>
        </w:tc>
      </w:tr>
    </w:tbl>
    <w:p w14:paraId="5A3EE245" w14:textId="77777777" w:rsidR="00F47023" w:rsidRDefault="00F47023" w:rsidP="00F47023">
      <w:pPr>
        <w:pStyle w:val="FSHeading2-Tutti"/>
        <w:rPr>
          <w:color w:val="2BB8C9"/>
        </w:rPr>
      </w:pPr>
      <w:r>
        <w:rPr>
          <w:color w:val="2BB8C9"/>
        </w:rPr>
        <w:t>5.1 Fair Value Measurement</w:t>
      </w:r>
    </w:p>
    <w:p w14:paraId="397B5300" w14:textId="77777777" w:rsidR="00F47023" w:rsidRDefault="00F47023" w:rsidP="00F47023">
      <w:pPr>
        <w:pStyle w:val="FSBodyText"/>
      </w:pPr>
      <w:r>
        <w:t>The following tables provide an analysis of assets and liabilities that are measured at fair value. The remaining assets and liabilities disclosed in the statement of financial position do not apply the fair value hierarchy.</w:t>
      </w:r>
    </w:p>
    <w:p w14:paraId="4B2BE9FC" w14:textId="77777777" w:rsidR="00F47023" w:rsidRDefault="00F47023" w:rsidP="00F47023">
      <w:pPr>
        <w:pStyle w:val="FSBodyText"/>
      </w:pPr>
      <w:r>
        <w:t>The different levels of the fair value hierarchy are defined below.</w:t>
      </w:r>
    </w:p>
    <w:p w14:paraId="6EBC5138" w14:textId="3AA48D6B" w:rsidR="00F47023" w:rsidRDefault="00F47023" w:rsidP="00F47023">
      <w:pPr>
        <w:pStyle w:val="FSBodyText"/>
      </w:pPr>
      <w:r>
        <w:t xml:space="preserve">Level 1: Quoted prices (unadjusted) in active markets for identical assets or liabilities that the </w:t>
      </w:r>
      <w:r w:rsidR="00EC1DAC">
        <w:t>Commission</w:t>
      </w:r>
      <w:r>
        <w:t xml:space="preserve"> can access at measurement date.</w:t>
      </w:r>
    </w:p>
    <w:p w14:paraId="4984C808" w14:textId="77777777" w:rsidR="00F47023" w:rsidRDefault="00F47023" w:rsidP="00F47023">
      <w:pPr>
        <w:pStyle w:val="FSBodyText"/>
      </w:pPr>
      <w:r>
        <w:t>Level 2: Inputs other than quoted prices included within Level 1 that are observable for the asset or liability, either directly or indirectly.</w:t>
      </w:r>
    </w:p>
    <w:p w14:paraId="05FAA9F6" w14:textId="77777777" w:rsidR="00F47023" w:rsidRDefault="00F47023" w:rsidP="00F47023">
      <w:pPr>
        <w:pStyle w:val="FSBodyText"/>
        <w:spacing w:after="227"/>
      </w:pPr>
      <w:r>
        <w:t>Level 3: Unobservable inputs for the asset or liability.</w:t>
      </w:r>
    </w:p>
    <w:p w14:paraId="7C56E7AE" w14:textId="77777777" w:rsidR="00F47023" w:rsidRDefault="00F47023" w:rsidP="00F47023">
      <w:pPr>
        <w:pStyle w:val="FSBodyText"/>
        <w:rPr>
          <w:rStyle w:val="Bold"/>
          <w:rFonts w:eastAsia="MS Mincho"/>
        </w:rPr>
      </w:pPr>
      <w:r>
        <w:rPr>
          <w:rStyle w:val="Bold"/>
          <w:rFonts w:eastAsia="MS Mincho"/>
        </w:rPr>
        <w:t>Accounting Policy</w:t>
      </w:r>
    </w:p>
    <w:p w14:paraId="2D02E996" w14:textId="77777777" w:rsidR="00F47023" w:rsidRDefault="00F47023" w:rsidP="00F47023">
      <w:pPr>
        <w:pStyle w:val="FSBodyText"/>
        <w:spacing w:after="283"/>
      </w:pPr>
      <w:r>
        <w:t>The Commission considers the fair value hierarchy levels at the end of the reporting period. There were no transfers in or out of any levels during the reporting period.</w:t>
      </w:r>
    </w:p>
    <w:tbl>
      <w:tblPr>
        <w:tblW w:w="10091" w:type="dxa"/>
        <w:tblInd w:w="-8" w:type="dxa"/>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4571"/>
        <w:gridCol w:w="953"/>
        <w:gridCol w:w="646"/>
        <w:gridCol w:w="926"/>
        <w:gridCol w:w="2995"/>
      </w:tblGrid>
      <w:tr w:rsidR="006140A4" w:rsidRPr="006140A4" w14:paraId="10C45532" w14:textId="77777777" w:rsidTr="006140A4">
        <w:trPr>
          <w:trHeight w:val="490"/>
        </w:trPr>
        <w:tc>
          <w:tcPr>
            <w:tcW w:w="4571" w:type="dxa"/>
            <w:shd w:val="clear" w:color="auto" w:fill="F2F2F2" w:themeFill="background1" w:themeFillShade="F2"/>
            <w:tcMar>
              <w:top w:w="85" w:type="dxa"/>
              <w:left w:w="113" w:type="dxa"/>
              <w:bottom w:w="113" w:type="dxa"/>
              <w:right w:w="113" w:type="dxa"/>
            </w:tcMar>
            <w:vAlign w:val="bottom"/>
          </w:tcPr>
          <w:p w14:paraId="63C7DE35" w14:textId="77777777" w:rsidR="00F47023" w:rsidRPr="006140A4" w:rsidRDefault="00F47023">
            <w:pPr>
              <w:pStyle w:val="Nessunostileparagrafo"/>
              <w:spacing w:line="240" w:lineRule="auto"/>
              <w:textAlignment w:val="auto"/>
              <w:rPr>
                <w:rFonts w:ascii="Open Sans Semibold" w:hAnsi="Open Sans Semibold" w:cs="Times New Roman"/>
                <w:color w:val="auto"/>
                <w:sz w:val="16"/>
                <w:szCs w:val="16"/>
              </w:rPr>
            </w:pPr>
          </w:p>
        </w:tc>
        <w:tc>
          <w:tcPr>
            <w:tcW w:w="5520" w:type="dxa"/>
            <w:gridSpan w:val="4"/>
            <w:shd w:val="clear" w:color="auto" w:fill="F2F2F2" w:themeFill="background1" w:themeFillShade="F2"/>
            <w:tcMar>
              <w:top w:w="85" w:type="dxa"/>
              <w:left w:w="113" w:type="dxa"/>
              <w:bottom w:w="113" w:type="dxa"/>
              <w:right w:w="113" w:type="dxa"/>
            </w:tcMar>
            <w:vAlign w:val="bottom"/>
          </w:tcPr>
          <w:p w14:paraId="05A4725F" w14:textId="77777777" w:rsidR="00F47023" w:rsidRPr="006140A4" w:rsidRDefault="00F47023">
            <w:pPr>
              <w:pStyle w:val="FSHeaderRow"/>
              <w:jc w:val="center"/>
              <w:rPr>
                <w:color w:val="auto"/>
              </w:rPr>
            </w:pPr>
            <w:r w:rsidRPr="006140A4">
              <w:rPr>
                <w:color w:val="auto"/>
              </w:rPr>
              <w:t>Fair value measurements at the end of the reporting period</w:t>
            </w:r>
          </w:p>
        </w:tc>
      </w:tr>
      <w:tr w:rsidR="006140A4" w:rsidRPr="006140A4" w14:paraId="7A306179" w14:textId="77777777" w:rsidTr="006140A4">
        <w:trPr>
          <w:trHeight w:val="145"/>
        </w:trPr>
        <w:tc>
          <w:tcPr>
            <w:tcW w:w="4571" w:type="dxa"/>
            <w:shd w:val="clear" w:color="auto" w:fill="F2F2F2" w:themeFill="background1" w:themeFillShade="F2"/>
            <w:tcMar>
              <w:top w:w="113" w:type="dxa"/>
              <w:left w:w="0" w:type="dxa"/>
              <w:bottom w:w="113" w:type="dxa"/>
              <w:right w:w="113" w:type="dxa"/>
            </w:tcMar>
            <w:vAlign w:val="bottom"/>
          </w:tcPr>
          <w:p w14:paraId="570518DC" w14:textId="77777777" w:rsidR="00F47023" w:rsidRPr="006140A4" w:rsidRDefault="00F47023">
            <w:pPr>
              <w:pStyle w:val="Nessunostileparagrafo"/>
              <w:spacing w:line="240" w:lineRule="auto"/>
              <w:textAlignment w:val="auto"/>
              <w:rPr>
                <w:rFonts w:ascii="Open Sans Semibold" w:hAnsi="Open Sans Semibold" w:cs="Times New Roman"/>
                <w:color w:val="auto"/>
                <w:sz w:val="16"/>
                <w:szCs w:val="16"/>
              </w:rPr>
            </w:pPr>
          </w:p>
        </w:tc>
        <w:tc>
          <w:tcPr>
            <w:tcW w:w="953" w:type="dxa"/>
            <w:shd w:val="clear" w:color="auto" w:fill="F2F2F2" w:themeFill="background1" w:themeFillShade="F2"/>
            <w:tcMar>
              <w:top w:w="113" w:type="dxa"/>
              <w:left w:w="0" w:type="dxa"/>
              <w:bottom w:w="113" w:type="dxa"/>
              <w:right w:w="113" w:type="dxa"/>
            </w:tcMar>
            <w:vAlign w:val="bottom"/>
          </w:tcPr>
          <w:p w14:paraId="79978483" w14:textId="77777777" w:rsidR="00F47023" w:rsidRPr="006140A4" w:rsidRDefault="00F47023">
            <w:pPr>
              <w:pStyle w:val="FSHeaderRow"/>
              <w:jc w:val="center"/>
              <w:rPr>
                <w:color w:val="auto"/>
              </w:rPr>
            </w:pPr>
            <w:r w:rsidRPr="006140A4">
              <w:rPr>
                <w:color w:val="auto"/>
              </w:rPr>
              <w:t>2023</w:t>
            </w:r>
          </w:p>
          <w:p w14:paraId="44C39891" w14:textId="77777777" w:rsidR="00F47023" w:rsidRPr="006140A4" w:rsidRDefault="00F47023">
            <w:pPr>
              <w:pStyle w:val="FSHeaderRow"/>
              <w:jc w:val="center"/>
              <w:rPr>
                <w:color w:val="auto"/>
              </w:rPr>
            </w:pPr>
            <w:r w:rsidRPr="006140A4">
              <w:rPr>
                <w:color w:val="auto"/>
              </w:rPr>
              <w:t>$’000</w:t>
            </w:r>
          </w:p>
        </w:tc>
        <w:tc>
          <w:tcPr>
            <w:tcW w:w="646" w:type="dxa"/>
            <w:shd w:val="clear" w:color="auto" w:fill="F2F2F2" w:themeFill="background1" w:themeFillShade="F2"/>
            <w:tcMar>
              <w:top w:w="113" w:type="dxa"/>
              <w:left w:w="0" w:type="dxa"/>
              <w:bottom w:w="113" w:type="dxa"/>
              <w:right w:w="113" w:type="dxa"/>
            </w:tcMar>
            <w:vAlign w:val="bottom"/>
          </w:tcPr>
          <w:p w14:paraId="1EC0B9A3" w14:textId="77777777" w:rsidR="00F47023" w:rsidRPr="006140A4" w:rsidRDefault="00F47023">
            <w:pPr>
              <w:pStyle w:val="FSHeaderRow"/>
              <w:jc w:val="center"/>
              <w:rPr>
                <w:rStyle w:val="FSUnboldCond"/>
                <w:b w:val="0"/>
                <w:bCs w:val="0"/>
                <w:color w:val="auto"/>
              </w:rPr>
            </w:pPr>
            <w:r w:rsidRPr="006140A4">
              <w:rPr>
                <w:rStyle w:val="FSUnboldCond"/>
                <w:b w:val="0"/>
                <w:bCs w:val="0"/>
                <w:color w:val="auto"/>
              </w:rPr>
              <w:t>2022</w:t>
            </w:r>
          </w:p>
          <w:p w14:paraId="629E5637" w14:textId="77777777" w:rsidR="00F47023" w:rsidRPr="006140A4" w:rsidRDefault="00F47023">
            <w:pPr>
              <w:pStyle w:val="FSHeaderRow"/>
              <w:jc w:val="center"/>
              <w:rPr>
                <w:color w:val="auto"/>
              </w:rPr>
            </w:pPr>
            <w:r w:rsidRPr="006140A4">
              <w:rPr>
                <w:rStyle w:val="FSUnboldCond"/>
                <w:b w:val="0"/>
                <w:bCs w:val="0"/>
                <w:color w:val="auto"/>
              </w:rPr>
              <w:t>$’000</w:t>
            </w:r>
          </w:p>
        </w:tc>
        <w:tc>
          <w:tcPr>
            <w:tcW w:w="926" w:type="dxa"/>
            <w:shd w:val="clear" w:color="auto" w:fill="F2F2F2" w:themeFill="background1" w:themeFillShade="F2"/>
            <w:tcMar>
              <w:top w:w="113" w:type="dxa"/>
              <w:left w:w="0" w:type="dxa"/>
              <w:bottom w:w="113" w:type="dxa"/>
              <w:right w:w="113" w:type="dxa"/>
            </w:tcMar>
            <w:vAlign w:val="bottom"/>
          </w:tcPr>
          <w:p w14:paraId="6F5E5811" w14:textId="77777777" w:rsidR="00F47023" w:rsidRPr="006140A4" w:rsidRDefault="00F47023">
            <w:pPr>
              <w:pStyle w:val="FSHeaderRow"/>
              <w:jc w:val="center"/>
              <w:rPr>
                <w:color w:val="auto"/>
              </w:rPr>
            </w:pPr>
            <w:r w:rsidRPr="006140A4">
              <w:rPr>
                <w:color w:val="auto"/>
              </w:rPr>
              <w:t>Category (Level 1, 2 or 3)</w:t>
            </w:r>
          </w:p>
        </w:tc>
        <w:tc>
          <w:tcPr>
            <w:tcW w:w="2995" w:type="dxa"/>
            <w:shd w:val="clear" w:color="auto" w:fill="F2F2F2" w:themeFill="background1" w:themeFillShade="F2"/>
            <w:tcMar>
              <w:top w:w="113" w:type="dxa"/>
              <w:left w:w="113" w:type="dxa"/>
              <w:bottom w:w="113" w:type="dxa"/>
              <w:right w:w="113" w:type="dxa"/>
            </w:tcMar>
            <w:vAlign w:val="bottom"/>
          </w:tcPr>
          <w:p w14:paraId="11656716" w14:textId="77777777" w:rsidR="00F47023" w:rsidRPr="006140A4" w:rsidRDefault="00F47023">
            <w:pPr>
              <w:pStyle w:val="FSHeaderRow"/>
              <w:jc w:val="left"/>
              <w:rPr>
                <w:color w:val="auto"/>
              </w:rPr>
            </w:pPr>
            <w:r w:rsidRPr="006140A4">
              <w:rPr>
                <w:color w:val="auto"/>
              </w:rPr>
              <w:t>Valuation Technique(s) and Inputs Used</w:t>
            </w:r>
          </w:p>
        </w:tc>
      </w:tr>
      <w:tr w:rsidR="00F47023" w:rsidRPr="00F47023" w14:paraId="156AE28E" w14:textId="77777777" w:rsidTr="0017569A">
        <w:trPr>
          <w:trHeight w:val="145"/>
        </w:trPr>
        <w:tc>
          <w:tcPr>
            <w:tcW w:w="4571" w:type="dxa"/>
            <w:tcBorders>
              <w:bottom w:val="single" w:sz="4" w:space="0" w:color="auto"/>
            </w:tcBorders>
            <w:tcMar>
              <w:top w:w="113" w:type="dxa"/>
              <w:left w:w="0" w:type="dxa"/>
              <w:bottom w:w="113" w:type="dxa"/>
              <w:right w:w="113" w:type="dxa"/>
            </w:tcMar>
            <w:vAlign w:val="center"/>
          </w:tcPr>
          <w:p w14:paraId="2D185EC9" w14:textId="77777777" w:rsidR="00F47023" w:rsidRPr="00F47023" w:rsidRDefault="00F47023" w:rsidP="0017569A">
            <w:pPr>
              <w:pStyle w:val="FSBodyText"/>
              <w:spacing w:after="0" w:line="240" w:lineRule="auto"/>
              <w:rPr>
                <w:rStyle w:val="Apice"/>
              </w:rPr>
            </w:pPr>
            <w:r w:rsidRPr="00F47023">
              <w:rPr>
                <w:rStyle w:val="Bold"/>
                <w:rFonts w:eastAsia="MS Mincho"/>
              </w:rPr>
              <w:t>Non-financial assets</w:t>
            </w:r>
          </w:p>
          <w:p w14:paraId="1AF91A37" w14:textId="77777777" w:rsidR="00F47023" w:rsidRDefault="00F47023" w:rsidP="0017569A">
            <w:pPr>
              <w:pStyle w:val="FSBodyText"/>
              <w:spacing w:after="0" w:line="240" w:lineRule="auto"/>
            </w:pPr>
            <w:r w:rsidRPr="00F47023">
              <w:t>Infrastructure, plant and equipment</w:t>
            </w:r>
          </w:p>
        </w:tc>
        <w:tc>
          <w:tcPr>
            <w:tcW w:w="953" w:type="dxa"/>
            <w:tcBorders>
              <w:bottom w:val="single" w:sz="4" w:space="0" w:color="auto"/>
            </w:tcBorders>
            <w:tcMar>
              <w:top w:w="113" w:type="dxa"/>
              <w:left w:w="0" w:type="dxa"/>
              <w:bottom w:w="113" w:type="dxa"/>
              <w:right w:w="113" w:type="dxa"/>
            </w:tcMar>
            <w:vAlign w:val="center"/>
          </w:tcPr>
          <w:p w14:paraId="616F779C" w14:textId="77777777" w:rsidR="00F47023" w:rsidRDefault="00F47023" w:rsidP="0017569A">
            <w:pPr>
              <w:pStyle w:val="FSBodyText"/>
              <w:spacing w:after="0" w:line="240" w:lineRule="auto"/>
              <w:jc w:val="center"/>
            </w:pPr>
            <w:r>
              <w:rPr>
                <w:rStyle w:val="Bold"/>
                <w:rFonts w:eastAsia="MS Mincho"/>
                <w:lang w:val="it-IT"/>
              </w:rPr>
              <w:t>982</w:t>
            </w:r>
          </w:p>
        </w:tc>
        <w:tc>
          <w:tcPr>
            <w:tcW w:w="646" w:type="dxa"/>
            <w:tcBorders>
              <w:bottom w:val="single" w:sz="4" w:space="0" w:color="auto"/>
            </w:tcBorders>
            <w:tcMar>
              <w:top w:w="113" w:type="dxa"/>
              <w:left w:w="0" w:type="dxa"/>
              <w:bottom w:w="113" w:type="dxa"/>
              <w:right w:w="113" w:type="dxa"/>
            </w:tcMar>
            <w:vAlign w:val="center"/>
          </w:tcPr>
          <w:p w14:paraId="0C4C8E64" w14:textId="77777777" w:rsidR="00F47023" w:rsidRDefault="00F47023" w:rsidP="0017569A">
            <w:pPr>
              <w:pStyle w:val="FSBodyText"/>
              <w:spacing w:after="0" w:line="240" w:lineRule="auto"/>
              <w:jc w:val="center"/>
            </w:pPr>
            <w:r>
              <w:rPr>
                <w:lang w:val="it-IT"/>
              </w:rPr>
              <w:t xml:space="preserve">1,766 </w:t>
            </w:r>
          </w:p>
        </w:tc>
        <w:tc>
          <w:tcPr>
            <w:tcW w:w="926" w:type="dxa"/>
            <w:tcBorders>
              <w:bottom w:val="single" w:sz="4" w:space="0" w:color="auto"/>
            </w:tcBorders>
            <w:tcMar>
              <w:top w:w="113" w:type="dxa"/>
              <w:left w:w="0" w:type="dxa"/>
              <w:bottom w:w="113" w:type="dxa"/>
              <w:right w:w="113" w:type="dxa"/>
            </w:tcMar>
            <w:vAlign w:val="center"/>
          </w:tcPr>
          <w:p w14:paraId="6FFF4953" w14:textId="77777777" w:rsidR="00F47023" w:rsidRDefault="00F47023" w:rsidP="0017569A">
            <w:pPr>
              <w:pStyle w:val="FSBodyText"/>
              <w:spacing w:after="0" w:line="240" w:lineRule="auto"/>
              <w:jc w:val="center"/>
            </w:pPr>
            <w:r>
              <w:rPr>
                <w:lang w:val="it-IT"/>
              </w:rPr>
              <w:t>2</w:t>
            </w:r>
          </w:p>
        </w:tc>
        <w:tc>
          <w:tcPr>
            <w:tcW w:w="2995" w:type="dxa"/>
            <w:tcBorders>
              <w:bottom w:val="single" w:sz="4" w:space="0" w:color="auto"/>
            </w:tcBorders>
            <w:tcMar>
              <w:top w:w="113" w:type="dxa"/>
              <w:left w:w="113" w:type="dxa"/>
              <w:bottom w:w="113" w:type="dxa"/>
              <w:right w:w="113" w:type="dxa"/>
            </w:tcMar>
            <w:vAlign w:val="center"/>
          </w:tcPr>
          <w:p w14:paraId="2FACDB6E" w14:textId="77777777" w:rsidR="00F47023" w:rsidRDefault="00F47023" w:rsidP="0017569A">
            <w:pPr>
              <w:pStyle w:val="FSBodyText"/>
              <w:spacing w:after="0" w:line="240" w:lineRule="auto"/>
            </w:pPr>
            <w:r>
              <w:t>Market approach. Market replacement cost less estimate of written down value of asset used. Valuation determined to not be materially different to carrying value, so no adjustment was made.</w:t>
            </w:r>
          </w:p>
        </w:tc>
      </w:tr>
      <w:tr w:rsidR="00F47023" w:rsidRPr="00F47023" w14:paraId="12097586" w14:textId="77777777" w:rsidTr="0017569A">
        <w:trPr>
          <w:trHeight w:val="255"/>
        </w:trPr>
        <w:tc>
          <w:tcPr>
            <w:tcW w:w="10091" w:type="dxa"/>
            <w:gridSpan w:val="5"/>
            <w:tcBorders>
              <w:bottom w:val="nil"/>
            </w:tcBorders>
            <w:tcMar>
              <w:top w:w="227" w:type="dxa"/>
              <w:left w:w="0" w:type="dxa"/>
              <w:bottom w:w="57" w:type="dxa"/>
              <w:right w:w="113" w:type="dxa"/>
            </w:tcMar>
            <w:vAlign w:val="bottom"/>
          </w:tcPr>
          <w:p w14:paraId="40822206" w14:textId="77777777" w:rsidR="00F47023" w:rsidRDefault="00F47023">
            <w:pPr>
              <w:pStyle w:val="FSNote"/>
              <w:spacing w:after="0"/>
            </w:pPr>
            <w:r>
              <w:t>1. There were no non-financial assets where the highest and best use differed from its current use during the reporting period.</w:t>
            </w:r>
          </w:p>
          <w:p w14:paraId="5B60221C" w14:textId="77777777" w:rsidR="00F47023" w:rsidRDefault="00F47023">
            <w:pPr>
              <w:pStyle w:val="FSNote"/>
            </w:pPr>
            <w:r>
              <w:t>2. The remaining assets and liabilities reported by the Commission are not measured at fair value in the Statement of Financial Position.</w:t>
            </w:r>
          </w:p>
        </w:tc>
      </w:tr>
    </w:tbl>
    <w:p w14:paraId="45B27B99" w14:textId="77777777" w:rsidR="00F47023" w:rsidRDefault="00F47023" w:rsidP="00F47023">
      <w:pPr>
        <w:pStyle w:val="FSBodyText"/>
      </w:pPr>
    </w:p>
    <w:p w14:paraId="6B3C6BA1" w14:textId="74728890" w:rsidR="006140A4" w:rsidRDefault="006140A4">
      <w:pPr>
        <w:spacing w:before="0" w:after="0" w:line="240" w:lineRule="auto"/>
        <w:rPr>
          <w:rFonts w:cs="Open Sans"/>
          <w:color w:val="000000"/>
          <w:sz w:val="16"/>
          <w:szCs w:val="16"/>
          <w:lang w:val="en-US"/>
        </w:rPr>
      </w:pPr>
      <w:r>
        <w:br w:type="page"/>
      </w:r>
    </w:p>
    <w:p w14:paraId="67C59BF1" w14:textId="027585CA" w:rsidR="0017569A" w:rsidRDefault="0017569A" w:rsidP="0017569A">
      <w:pPr>
        <w:pStyle w:val="Heading7"/>
      </w:pPr>
      <w:bookmarkStart w:id="50" w:name="_Toc146437056"/>
      <w:r>
        <w:t>Other Information</w:t>
      </w:r>
      <w:bookmarkEnd w:id="50"/>
    </w:p>
    <w:p w14:paraId="07F9F188" w14:textId="24518E1C" w:rsidR="00F47023" w:rsidRDefault="00F47023" w:rsidP="00F47023">
      <w:pPr>
        <w:pStyle w:val="FSHeading2-Tutti"/>
        <w:rPr>
          <w:color w:val="2BB8C9"/>
        </w:rPr>
      </w:pPr>
      <w:r>
        <w:rPr>
          <w:color w:val="2BB8C9"/>
        </w:rPr>
        <w:t>6.1 Current/non-current distinction for assets and liabilities</w:t>
      </w:r>
    </w:p>
    <w:tbl>
      <w:tblPr>
        <w:tblW w:w="10091" w:type="dxa"/>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7257"/>
        <w:gridCol w:w="1417"/>
        <w:gridCol w:w="1417"/>
      </w:tblGrid>
      <w:tr w:rsidR="0017569A" w:rsidRPr="0017569A" w14:paraId="05E65D3C" w14:textId="77777777" w:rsidTr="0017569A">
        <w:trPr>
          <w:trHeight w:val="240"/>
          <w:tblHeader/>
        </w:trPr>
        <w:tc>
          <w:tcPr>
            <w:tcW w:w="7257" w:type="dxa"/>
            <w:shd w:val="clear" w:color="auto" w:fill="1CBDC9"/>
            <w:tcMar>
              <w:top w:w="85" w:type="dxa"/>
              <w:left w:w="113" w:type="dxa"/>
              <w:bottom w:w="113" w:type="dxa"/>
              <w:right w:w="113" w:type="dxa"/>
            </w:tcMar>
            <w:vAlign w:val="bottom"/>
          </w:tcPr>
          <w:p w14:paraId="1AB3B36B" w14:textId="77777777" w:rsidR="00F47023" w:rsidRPr="0017569A" w:rsidRDefault="00F47023" w:rsidP="0017569A">
            <w:pPr>
              <w:pStyle w:val="Nessunostileparagrafo"/>
              <w:spacing w:line="240" w:lineRule="auto"/>
              <w:textAlignment w:val="auto"/>
              <w:rPr>
                <w:rFonts w:ascii="Open Sans Semibold" w:hAnsi="Open Sans Semibold" w:cs="Times New Roman"/>
                <w:color w:val="FFFFFF" w:themeColor="background1"/>
                <w:sz w:val="20"/>
                <w:szCs w:val="20"/>
              </w:rPr>
            </w:pPr>
          </w:p>
        </w:tc>
        <w:tc>
          <w:tcPr>
            <w:tcW w:w="1417" w:type="dxa"/>
            <w:shd w:val="clear" w:color="auto" w:fill="1CBDC9"/>
            <w:tcMar>
              <w:top w:w="85" w:type="dxa"/>
              <w:left w:w="113" w:type="dxa"/>
              <w:bottom w:w="113" w:type="dxa"/>
              <w:right w:w="113" w:type="dxa"/>
            </w:tcMar>
            <w:vAlign w:val="bottom"/>
          </w:tcPr>
          <w:p w14:paraId="7AF6CE82" w14:textId="77777777" w:rsidR="00F47023" w:rsidRPr="0017569A" w:rsidRDefault="00F47023" w:rsidP="0017569A">
            <w:pPr>
              <w:pStyle w:val="FSHeaderRow"/>
              <w:spacing w:line="240" w:lineRule="auto"/>
              <w:rPr>
                <w:color w:val="FFFFFF" w:themeColor="background1"/>
                <w:sz w:val="20"/>
                <w:szCs w:val="20"/>
              </w:rPr>
            </w:pPr>
            <w:r w:rsidRPr="0017569A">
              <w:rPr>
                <w:color w:val="FFFFFF" w:themeColor="background1"/>
                <w:sz w:val="20"/>
                <w:szCs w:val="20"/>
              </w:rPr>
              <w:t>2023</w:t>
            </w:r>
          </w:p>
          <w:p w14:paraId="695D4BBB" w14:textId="77777777" w:rsidR="00F47023" w:rsidRPr="0017569A" w:rsidRDefault="00F47023" w:rsidP="0017569A">
            <w:pPr>
              <w:pStyle w:val="FSHeaderRow"/>
              <w:spacing w:line="240" w:lineRule="auto"/>
              <w:rPr>
                <w:color w:val="FFFFFF" w:themeColor="background1"/>
                <w:sz w:val="20"/>
                <w:szCs w:val="20"/>
              </w:rPr>
            </w:pPr>
            <w:r w:rsidRPr="0017569A">
              <w:rPr>
                <w:color w:val="FFFFFF" w:themeColor="background1"/>
                <w:sz w:val="20"/>
                <w:szCs w:val="20"/>
              </w:rPr>
              <w:t>$’000</w:t>
            </w:r>
          </w:p>
        </w:tc>
        <w:tc>
          <w:tcPr>
            <w:tcW w:w="1417" w:type="dxa"/>
            <w:shd w:val="clear" w:color="auto" w:fill="1CBDC9"/>
            <w:tcMar>
              <w:top w:w="85" w:type="dxa"/>
              <w:left w:w="113" w:type="dxa"/>
              <w:bottom w:w="113" w:type="dxa"/>
              <w:right w:w="113" w:type="dxa"/>
            </w:tcMar>
            <w:vAlign w:val="bottom"/>
          </w:tcPr>
          <w:p w14:paraId="3B2F4489" w14:textId="77777777" w:rsidR="00F47023" w:rsidRPr="0017569A" w:rsidRDefault="00F47023" w:rsidP="0017569A">
            <w:pPr>
              <w:pStyle w:val="FSHeaderRow"/>
              <w:spacing w:line="240" w:lineRule="auto"/>
              <w:rPr>
                <w:rStyle w:val="FSUnboldCond"/>
                <w:b w:val="0"/>
                <w:bCs w:val="0"/>
                <w:color w:val="FFFFFF" w:themeColor="background1"/>
                <w:sz w:val="20"/>
                <w:szCs w:val="20"/>
              </w:rPr>
            </w:pPr>
            <w:r w:rsidRPr="0017569A">
              <w:rPr>
                <w:rStyle w:val="FSUnboldCond"/>
                <w:b w:val="0"/>
                <w:bCs w:val="0"/>
                <w:color w:val="FFFFFF" w:themeColor="background1"/>
                <w:sz w:val="20"/>
                <w:szCs w:val="20"/>
              </w:rPr>
              <w:t>2022</w:t>
            </w:r>
          </w:p>
          <w:p w14:paraId="1F65226C" w14:textId="77777777" w:rsidR="00F47023" w:rsidRPr="0017569A" w:rsidRDefault="00F47023" w:rsidP="0017569A">
            <w:pPr>
              <w:pStyle w:val="FSHeaderRow"/>
              <w:spacing w:line="240" w:lineRule="auto"/>
              <w:rPr>
                <w:color w:val="FFFFFF" w:themeColor="background1"/>
                <w:sz w:val="20"/>
                <w:szCs w:val="20"/>
              </w:rPr>
            </w:pPr>
            <w:r w:rsidRPr="0017569A">
              <w:rPr>
                <w:rStyle w:val="FSUnboldCond"/>
                <w:b w:val="0"/>
                <w:bCs w:val="0"/>
                <w:color w:val="FFFFFF" w:themeColor="background1"/>
                <w:sz w:val="20"/>
                <w:szCs w:val="20"/>
              </w:rPr>
              <w:t>$’000</w:t>
            </w:r>
          </w:p>
        </w:tc>
      </w:tr>
      <w:tr w:rsidR="00F47023" w:rsidRPr="00F47023" w14:paraId="3F961A52" w14:textId="77777777" w:rsidTr="006140A4">
        <w:trPr>
          <w:trHeight w:val="227"/>
        </w:trPr>
        <w:tc>
          <w:tcPr>
            <w:tcW w:w="10091" w:type="dxa"/>
            <w:gridSpan w:val="3"/>
            <w:tcMar>
              <w:top w:w="227" w:type="dxa"/>
              <w:left w:w="0" w:type="dxa"/>
              <w:bottom w:w="57" w:type="dxa"/>
              <w:right w:w="113" w:type="dxa"/>
            </w:tcMar>
            <w:vAlign w:val="bottom"/>
          </w:tcPr>
          <w:p w14:paraId="71936BA9" w14:textId="77777777" w:rsidR="00F47023" w:rsidRPr="0017569A" w:rsidRDefault="00F47023" w:rsidP="0017569A">
            <w:pPr>
              <w:pStyle w:val="FSBlueHeadingBold"/>
            </w:pPr>
            <w:r w:rsidRPr="0017569A">
              <w:t>6.1A: Current/non-current distinction for assets and liabilities</w:t>
            </w:r>
          </w:p>
        </w:tc>
      </w:tr>
      <w:tr w:rsidR="00F47023" w:rsidRPr="00F47023" w14:paraId="0FAAE942" w14:textId="77777777" w:rsidTr="006140A4">
        <w:trPr>
          <w:trHeight w:val="227"/>
        </w:trPr>
        <w:tc>
          <w:tcPr>
            <w:tcW w:w="7257" w:type="dxa"/>
            <w:tcMar>
              <w:top w:w="28" w:type="dxa"/>
              <w:left w:w="0" w:type="dxa"/>
              <w:bottom w:w="57" w:type="dxa"/>
              <w:right w:w="113" w:type="dxa"/>
            </w:tcMar>
            <w:vAlign w:val="bottom"/>
          </w:tcPr>
          <w:p w14:paraId="7C7C933A" w14:textId="77777777" w:rsidR="00F47023" w:rsidRPr="0017569A" w:rsidRDefault="00F47023" w:rsidP="0017569A">
            <w:pPr>
              <w:pStyle w:val="FSBodyText"/>
              <w:spacing w:after="0" w:line="240" w:lineRule="auto"/>
            </w:pPr>
            <w:r w:rsidRPr="0017569A">
              <w:rPr>
                <w:rStyle w:val="Bold"/>
                <w:rFonts w:eastAsia="MS Mincho"/>
              </w:rPr>
              <w:t>Assets expected to be recovered in:</w:t>
            </w:r>
          </w:p>
        </w:tc>
        <w:tc>
          <w:tcPr>
            <w:tcW w:w="1417" w:type="dxa"/>
            <w:tcMar>
              <w:top w:w="28" w:type="dxa"/>
              <w:left w:w="0" w:type="dxa"/>
              <w:bottom w:w="57" w:type="dxa"/>
              <w:right w:w="113" w:type="dxa"/>
            </w:tcMar>
            <w:vAlign w:val="bottom"/>
          </w:tcPr>
          <w:p w14:paraId="5229174C" w14:textId="77777777" w:rsidR="00F47023" w:rsidRPr="0017569A" w:rsidRDefault="00F47023" w:rsidP="0017569A">
            <w:pPr>
              <w:pStyle w:val="Nessunostileparagrafo"/>
              <w:spacing w:line="240" w:lineRule="auto"/>
              <w:textAlignment w:val="auto"/>
              <w:rPr>
                <w:rFonts w:ascii="Open Sans Semibold" w:hAnsi="Open Sans Semibold" w:cs="Times New Roman"/>
                <w:color w:val="auto"/>
                <w:sz w:val="16"/>
                <w:szCs w:val="16"/>
              </w:rPr>
            </w:pPr>
          </w:p>
        </w:tc>
        <w:tc>
          <w:tcPr>
            <w:tcW w:w="1417" w:type="dxa"/>
            <w:tcMar>
              <w:top w:w="28" w:type="dxa"/>
              <w:left w:w="0" w:type="dxa"/>
              <w:bottom w:w="57" w:type="dxa"/>
              <w:right w:w="113" w:type="dxa"/>
            </w:tcMar>
            <w:vAlign w:val="bottom"/>
          </w:tcPr>
          <w:p w14:paraId="0D6FA8C9" w14:textId="77777777" w:rsidR="00F47023" w:rsidRPr="0017569A" w:rsidRDefault="00F47023" w:rsidP="0017569A">
            <w:pPr>
              <w:pStyle w:val="Nessunostileparagrafo"/>
              <w:spacing w:line="240" w:lineRule="auto"/>
              <w:textAlignment w:val="auto"/>
              <w:rPr>
                <w:rFonts w:ascii="Open Sans Semibold" w:hAnsi="Open Sans Semibold" w:cs="Times New Roman"/>
                <w:color w:val="auto"/>
                <w:sz w:val="16"/>
                <w:szCs w:val="16"/>
              </w:rPr>
            </w:pPr>
          </w:p>
        </w:tc>
      </w:tr>
      <w:tr w:rsidR="00F47023" w14:paraId="39DF8513" w14:textId="77777777" w:rsidTr="006140A4">
        <w:trPr>
          <w:trHeight w:val="227"/>
        </w:trPr>
        <w:tc>
          <w:tcPr>
            <w:tcW w:w="7257" w:type="dxa"/>
            <w:tcMar>
              <w:top w:w="28" w:type="dxa"/>
              <w:left w:w="0" w:type="dxa"/>
              <w:bottom w:w="57" w:type="dxa"/>
              <w:right w:w="113" w:type="dxa"/>
            </w:tcMar>
            <w:vAlign w:val="bottom"/>
          </w:tcPr>
          <w:p w14:paraId="2AC35255" w14:textId="77777777" w:rsidR="00F47023" w:rsidRPr="0017569A" w:rsidRDefault="00F47023" w:rsidP="0017569A">
            <w:pPr>
              <w:pStyle w:val="FSBodyText"/>
              <w:spacing w:after="0" w:line="240" w:lineRule="auto"/>
            </w:pPr>
            <w:r w:rsidRPr="0017569A">
              <w:rPr>
                <w:rStyle w:val="Bold"/>
                <w:rFonts w:eastAsia="MS Mincho"/>
              </w:rPr>
              <w:t>No more than 12 months</w:t>
            </w:r>
          </w:p>
        </w:tc>
        <w:tc>
          <w:tcPr>
            <w:tcW w:w="1417" w:type="dxa"/>
            <w:tcMar>
              <w:top w:w="28" w:type="dxa"/>
              <w:left w:w="0" w:type="dxa"/>
              <w:bottom w:w="57" w:type="dxa"/>
              <w:right w:w="113" w:type="dxa"/>
            </w:tcMar>
            <w:vAlign w:val="bottom"/>
          </w:tcPr>
          <w:p w14:paraId="223A5A0D" w14:textId="77777777" w:rsidR="00F47023" w:rsidRPr="0017569A" w:rsidRDefault="00F47023" w:rsidP="0017569A">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28" w:type="dxa"/>
              <w:left w:w="0" w:type="dxa"/>
              <w:bottom w:w="57" w:type="dxa"/>
              <w:right w:w="113" w:type="dxa"/>
            </w:tcMar>
            <w:vAlign w:val="bottom"/>
          </w:tcPr>
          <w:p w14:paraId="339D7007" w14:textId="77777777" w:rsidR="00F47023" w:rsidRPr="0017569A" w:rsidRDefault="00F47023" w:rsidP="0017569A">
            <w:pPr>
              <w:pStyle w:val="Nessunostileparagrafo"/>
              <w:spacing w:line="240" w:lineRule="auto"/>
              <w:textAlignment w:val="auto"/>
              <w:rPr>
                <w:rFonts w:ascii="Open Sans Semibold" w:hAnsi="Open Sans Semibold" w:cs="Times New Roman"/>
                <w:color w:val="auto"/>
                <w:sz w:val="16"/>
                <w:szCs w:val="16"/>
                <w:lang w:val="it-IT"/>
              </w:rPr>
            </w:pPr>
          </w:p>
        </w:tc>
      </w:tr>
      <w:tr w:rsidR="00F47023" w14:paraId="077D2C8C" w14:textId="77777777" w:rsidTr="006140A4">
        <w:trPr>
          <w:trHeight w:val="227"/>
        </w:trPr>
        <w:tc>
          <w:tcPr>
            <w:tcW w:w="7257" w:type="dxa"/>
            <w:tcMar>
              <w:top w:w="28" w:type="dxa"/>
              <w:left w:w="0" w:type="dxa"/>
              <w:bottom w:w="57" w:type="dxa"/>
              <w:right w:w="113" w:type="dxa"/>
            </w:tcMar>
            <w:vAlign w:val="bottom"/>
          </w:tcPr>
          <w:p w14:paraId="4F00FD26" w14:textId="77777777" w:rsidR="00F47023" w:rsidRPr="0017569A" w:rsidRDefault="00F47023" w:rsidP="0017569A">
            <w:pPr>
              <w:pStyle w:val="FSBodyText"/>
              <w:spacing w:after="0" w:line="240" w:lineRule="auto"/>
              <w:ind w:firstLine="180"/>
            </w:pPr>
            <w:r w:rsidRPr="0017569A">
              <w:rPr>
                <w:lang w:val="it-IT"/>
              </w:rPr>
              <w:t>Cash and cash equivalents</w:t>
            </w:r>
          </w:p>
        </w:tc>
        <w:tc>
          <w:tcPr>
            <w:tcW w:w="1417" w:type="dxa"/>
            <w:tcMar>
              <w:top w:w="28" w:type="dxa"/>
              <w:left w:w="0" w:type="dxa"/>
              <w:bottom w:w="57" w:type="dxa"/>
              <w:right w:w="113" w:type="dxa"/>
            </w:tcMar>
            <w:vAlign w:val="bottom"/>
          </w:tcPr>
          <w:p w14:paraId="73FC6D13" w14:textId="77777777" w:rsidR="00F47023" w:rsidRPr="0017569A" w:rsidRDefault="00F47023" w:rsidP="0017569A">
            <w:pPr>
              <w:pStyle w:val="FSBodyText"/>
              <w:spacing w:after="0" w:line="240" w:lineRule="auto"/>
              <w:jc w:val="right"/>
            </w:pPr>
            <w:r w:rsidRPr="0017569A">
              <w:rPr>
                <w:rStyle w:val="Bold"/>
                <w:rFonts w:eastAsia="MS Mincho"/>
                <w:lang w:val="it-IT"/>
              </w:rPr>
              <w:t xml:space="preserve">26,407 </w:t>
            </w:r>
          </w:p>
        </w:tc>
        <w:tc>
          <w:tcPr>
            <w:tcW w:w="1417" w:type="dxa"/>
            <w:tcMar>
              <w:top w:w="28" w:type="dxa"/>
              <w:left w:w="0" w:type="dxa"/>
              <w:bottom w:w="57" w:type="dxa"/>
              <w:right w:w="113" w:type="dxa"/>
            </w:tcMar>
            <w:vAlign w:val="bottom"/>
          </w:tcPr>
          <w:p w14:paraId="35F15CAD" w14:textId="00E5EC5E" w:rsidR="00F47023" w:rsidRPr="0017569A" w:rsidRDefault="00F47023" w:rsidP="0017569A">
            <w:pPr>
              <w:pStyle w:val="FSBodyText"/>
              <w:spacing w:after="0" w:line="240" w:lineRule="auto"/>
              <w:jc w:val="right"/>
            </w:pPr>
            <w:r w:rsidRPr="0017569A">
              <w:rPr>
                <w:lang w:val="it-IT"/>
              </w:rPr>
              <w:t>15,958</w:t>
            </w:r>
          </w:p>
        </w:tc>
      </w:tr>
      <w:tr w:rsidR="00F47023" w14:paraId="2B6A8421" w14:textId="77777777" w:rsidTr="006140A4">
        <w:trPr>
          <w:trHeight w:val="227"/>
        </w:trPr>
        <w:tc>
          <w:tcPr>
            <w:tcW w:w="7257" w:type="dxa"/>
            <w:tcMar>
              <w:top w:w="28" w:type="dxa"/>
              <w:left w:w="0" w:type="dxa"/>
              <w:bottom w:w="57" w:type="dxa"/>
              <w:right w:w="113" w:type="dxa"/>
            </w:tcMar>
            <w:vAlign w:val="bottom"/>
          </w:tcPr>
          <w:p w14:paraId="6822A636" w14:textId="77777777" w:rsidR="00F47023" w:rsidRPr="0017569A" w:rsidRDefault="00F47023" w:rsidP="0017569A">
            <w:pPr>
              <w:pStyle w:val="FSBodyText"/>
              <w:spacing w:after="0" w:line="240" w:lineRule="auto"/>
              <w:ind w:firstLine="180"/>
            </w:pPr>
            <w:r w:rsidRPr="0017569A">
              <w:rPr>
                <w:lang w:val="it-IT"/>
              </w:rPr>
              <w:t>Trade and other receivables</w:t>
            </w:r>
          </w:p>
        </w:tc>
        <w:tc>
          <w:tcPr>
            <w:tcW w:w="1417" w:type="dxa"/>
            <w:tcMar>
              <w:top w:w="28" w:type="dxa"/>
              <w:left w:w="0" w:type="dxa"/>
              <w:bottom w:w="57" w:type="dxa"/>
              <w:right w:w="113" w:type="dxa"/>
            </w:tcMar>
            <w:vAlign w:val="bottom"/>
          </w:tcPr>
          <w:p w14:paraId="144F5E08" w14:textId="77777777" w:rsidR="00F47023" w:rsidRPr="0017569A" w:rsidRDefault="00F47023" w:rsidP="0017569A">
            <w:pPr>
              <w:pStyle w:val="FSBodyText"/>
              <w:spacing w:after="0" w:line="240" w:lineRule="auto"/>
              <w:jc w:val="right"/>
            </w:pPr>
            <w:r w:rsidRPr="0017569A">
              <w:rPr>
                <w:rStyle w:val="Bold"/>
                <w:rFonts w:eastAsia="MS Mincho"/>
                <w:lang w:val="it-IT"/>
              </w:rPr>
              <w:t xml:space="preserve">1,083 </w:t>
            </w:r>
          </w:p>
        </w:tc>
        <w:tc>
          <w:tcPr>
            <w:tcW w:w="1417" w:type="dxa"/>
            <w:tcMar>
              <w:top w:w="28" w:type="dxa"/>
              <w:left w:w="0" w:type="dxa"/>
              <w:bottom w:w="57" w:type="dxa"/>
              <w:right w:w="113" w:type="dxa"/>
            </w:tcMar>
            <w:vAlign w:val="bottom"/>
          </w:tcPr>
          <w:p w14:paraId="43D70869" w14:textId="0FA97ECF" w:rsidR="00F47023" w:rsidRPr="0017569A" w:rsidRDefault="00F47023" w:rsidP="0017569A">
            <w:pPr>
              <w:pStyle w:val="FSBodyText"/>
              <w:spacing w:after="0" w:line="240" w:lineRule="auto"/>
              <w:jc w:val="right"/>
            </w:pPr>
            <w:r w:rsidRPr="0017569A">
              <w:rPr>
                <w:lang w:val="it-IT"/>
              </w:rPr>
              <w:t>798</w:t>
            </w:r>
          </w:p>
        </w:tc>
      </w:tr>
      <w:tr w:rsidR="00F47023" w14:paraId="67FA89B0" w14:textId="77777777" w:rsidTr="006140A4">
        <w:trPr>
          <w:trHeight w:val="227"/>
        </w:trPr>
        <w:tc>
          <w:tcPr>
            <w:tcW w:w="7257" w:type="dxa"/>
            <w:tcMar>
              <w:top w:w="113" w:type="dxa"/>
              <w:left w:w="0" w:type="dxa"/>
              <w:bottom w:w="113" w:type="dxa"/>
              <w:right w:w="113" w:type="dxa"/>
            </w:tcMar>
            <w:vAlign w:val="bottom"/>
          </w:tcPr>
          <w:p w14:paraId="305BB39E" w14:textId="77777777" w:rsidR="00F47023" w:rsidRPr="0017569A" w:rsidRDefault="00F47023" w:rsidP="0017569A">
            <w:pPr>
              <w:pStyle w:val="FSBodyText"/>
              <w:spacing w:after="0" w:line="240" w:lineRule="auto"/>
              <w:ind w:firstLine="180"/>
            </w:pPr>
            <w:r w:rsidRPr="0017569A">
              <w:t>Prepayments</w:t>
            </w:r>
          </w:p>
        </w:tc>
        <w:tc>
          <w:tcPr>
            <w:tcW w:w="1417" w:type="dxa"/>
            <w:tcMar>
              <w:top w:w="113" w:type="dxa"/>
              <w:left w:w="0" w:type="dxa"/>
              <w:bottom w:w="113" w:type="dxa"/>
              <w:right w:w="113" w:type="dxa"/>
            </w:tcMar>
            <w:vAlign w:val="bottom"/>
          </w:tcPr>
          <w:p w14:paraId="49066EC4" w14:textId="77777777" w:rsidR="00F47023" w:rsidRPr="0017569A" w:rsidRDefault="00F47023" w:rsidP="0017569A">
            <w:pPr>
              <w:pStyle w:val="FSBodyText"/>
              <w:spacing w:after="0" w:line="240" w:lineRule="auto"/>
              <w:jc w:val="right"/>
            </w:pPr>
            <w:r w:rsidRPr="0017569A">
              <w:rPr>
                <w:rStyle w:val="Bold"/>
                <w:rFonts w:eastAsia="MS Mincho"/>
                <w:lang w:val="it-IT"/>
              </w:rPr>
              <w:t>359</w:t>
            </w:r>
          </w:p>
        </w:tc>
        <w:tc>
          <w:tcPr>
            <w:tcW w:w="1417" w:type="dxa"/>
            <w:tcMar>
              <w:top w:w="113" w:type="dxa"/>
              <w:left w:w="0" w:type="dxa"/>
              <w:bottom w:w="113" w:type="dxa"/>
              <w:right w:w="113" w:type="dxa"/>
            </w:tcMar>
            <w:vAlign w:val="bottom"/>
          </w:tcPr>
          <w:p w14:paraId="16D44227" w14:textId="77777777" w:rsidR="00F47023" w:rsidRPr="0017569A" w:rsidRDefault="00F47023" w:rsidP="0017569A">
            <w:pPr>
              <w:pStyle w:val="FSBodyText"/>
              <w:spacing w:after="0" w:line="240" w:lineRule="auto"/>
              <w:jc w:val="right"/>
            </w:pPr>
            <w:r w:rsidRPr="0017569A">
              <w:rPr>
                <w:lang w:val="it-IT"/>
              </w:rPr>
              <w:t>573</w:t>
            </w:r>
          </w:p>
        </w:tc>
      </w:tr>
      <w:tr w:rsidR="00F47023" w14:paraId="34AE3B55" w14:textId="77777777" w:rsidTr="006140A4">
        <w:trPr>
          <w:trHeight w:val="227"/>
        </w:trPr>
        <w:tc>
          <w:tcPr>
            <w:tcW w:w="7257" w:type="dxa"/>
            <w:shd w:val="clear" w:color="auto" w:fill="F2F2F2" w:themeFill="background1" w:themeFillShade="F2"/>
            <w:tcMar>
              <w:top w:w="113" w:type="dxa"/>
              <w:left w:w="0" w:type="dxa"/>
              <w:bottom w:w="113" w:type="dxa"/>
              <w:right w:w="113" w:type="dxa"/>
            </w:tcMar>
            <w:vAlign w:val="bottom"/>
          </w:tcPr>
          <w:p w14:paraId="118115A2" w14:textId="77777777" w:rsidR="00F47023" w:rsidRPr="0017569A" w:rsidRDefault="00F47023" w:rsidP="0017569A">
            <w:pPr>
              <w:pStyle w:val="FSBodyText"/>
              <w:spacing w:after="0" w:line="240" w:lineRule="auto"/>
            </w:pPr>
            <w:r w:rsidRPr="0017569A">
              <w:rPr>
                <w:rStyle w:val="Bold"/>
                <w:rFonts w:eastAsia="MS Mincho"/>
              </w:rPr>
              <w:t>Total no more than 12 months</w:t>
            </w:r>
          </w:p>
        </w:tc>
        <w:tc>
          <w:tcPr>
            <w:tcW w:w="1417" w:type="dxa"/>
            <w:shd w:val="clear" w:color="auto" w:fill="F2F2F2" w:themeFill="background1" w:themeFillShade="F2"/>
            <w:tcMar>
              <w:top w:w="113" w:type="dxa"/>
              <w:left w:w="0" w:type="dxa"/>
              <w:bottom w:w="113" w:type="dxa"/>
              <w:right w:w="113" w:type="dxa"/>
            </w:tcMar>
            <w:vAlign w:val="bottom"/>
          </w:tcPr>
          <w:p w14:paraId="2027A286" w14:textId="77777777" w:rsidR="00F47023" w:rsidRPr="0017569A" w:rsidRDefault="00F47023" w:rsidP="0017569A">
            <w:pPr>
              <w:pStyle w:val="FSBodyText"/>
              <w:spacing w:after="0" w:line="240" w:lineRule="auto"/>
              <w:jc w:val="right"/>
            </w:pPr>
            <w:r w:rsidRPr="0017569A">
              <w:rPr>
                <w:rStyle w:val="Bold"/>
                <w:rFonts w:eastAsia="MS Mincho"/>
                <w:lang w:val="it-IT"/>
              </w:rPr>
              <w:t xml:space="preserve">27,849 </w:t>
            </w:r>
          </w:p>
        </w:tc>
        <w:tc>
          <w:tcPr>
            <w:tcW w:w="1417" w:type="dxa"/>
            <w:shd w:val="clear" w:color="auto" w:fill="F2F2F2" w:themeFill="background1" w:themeFillShade="F2"/>
            <w:tcMar>
              <w:top w:w="113" w:type="dxa"/>
              <w:left w:w="0" w:type="dxa"/>
              <w:bottom w:w="113" w:type="dxa"/>
              <w:right w:w="113" w:type="dxa"/>
            </w:tcMar>
            <w:vAlign w:val="bottom"/>
          </w:tcPr>
          <w:p w14:paraId="2B92AAC6" w14:textId="1075590C" w:rsidR="00F47023" w:rsidRPr="0017569A" w:rsidRDefault="00F47023" w:rsidP="0017569A">
            <w:pPr>
              <w:pStyle w:val="FSBodyText"/>
              <w:spacing w:after="0" w:line="240" w:lineRule="auto"/>
              <w:jc w:val="right"/>
            </w:pPr>
            <w:r w:rsidRPr="0017569A">
              <w:rPr>
                <w:lang w:val="it-IT"/>
              </w:rPr>
              <w:t>17,329</w:t>
            </w:r>
          </w:p>
        </w:tc>
      </w:tr>
      <w:tr w:rsidR="00F47023" w:rsidRPr="006140A4" w14:paraId="48518247" w14:textId="77777777" w:rsidTr="006140A4">
        <w:trPr>
          <w:trHeight w:val="227"/>
        </w:trPr>
        <w:tc>
          <w:tcPr>
            <w:tcW w:w="7257" w:type="dxa"/>
            <w:tcMar>
              <w:top w:w="227" w:type="dxa"/>
              <w:left w:w="0" w:type="dxa"/>
              <w:bottom w:w="57" w:type="dxa"/>
              <w:right w:w="113" w:type="dxa"/>
            </w:tcMar>
            <w:vAlign w:val="bottom"/>
          </w:tcPr>
          <w:p w14:paraId="1B26F7B5" w14:textId="77777777" w:rsidR="00F47023" w:rsidRPr="006140A4" w:rsidRDefault="00F47023" w:rsidP="0017569A">
            <w:pPr>
              <w:pStyle w:val="FSBodyText"/>
              <w:spacing w:after="0" w:line="240" w:lineRule="auto"/>
            </w:pPr>
            <w:r w:rsidRPr="006140A4">
              <w:rPr>
                <w:rStyle w:val="Bold"/>
                <w:rFonts w:eastAsia="MS Mincho"/>
              </w:rPr>
              <w:t>More than 12 months</w:t>
            </w:r>
          </w:p>
        </w:tc>
        <w:tc>
          <w:tcPr>
            <w:tcW w:w="1417" w:type="dxa"/>
            <w:tcMar>
              <w:top w:w="227" w:type="dxa"/>
              <w:left w:w="0" w:type="dxa"/>
              <w:bottom w:w="57" w:type="dxa"/>
              <w:right w:w="113" w:type="dxa"/>
            </w:tcMar>
            <w:vAlign w:val="bottom"/>
          </w:tcPr>
          <w:p w14:paraId="40F9ADB3" w14:textId="77777777" w:rsidR="00F47023" w:rsidRPr="006140A4" w:rsidRDefault="00F47023" w:rsidP="0017569A">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227" w:type="dxa"/>
              <w:left w:w="0" w:type="dxa"/>
              <w:bottom w:w="57" w:type="dxa"/>
              <w:right w:w="113" w:type="dxa"/>
            </w:tcMar>
            <w:vAlign w:val="bottom"/>
          </w:tcPr>
          <w:p w14:paraId="458988CA" w14:textId="77777777" w:rsidR="00F47023" w:rsidRPr="006140A4" w:rsidRDefault="00F47023" w:rsidP="0017569A">
            <w:pPr>
              <w:pStyle w:val="Nessunostileparagrafo"/>
              <w:spacing w:line="240" w:lineRule="auto"/>
              <w:textAlignment w:val="auto"/>
              <w:rPr>
                <w:rFonts w:ascii="Open Sans Semibold" w:hAnsi="Open Sans Semibold" w:cs="Times New Roman"/>
                <w:color w:val="auto"/>
                <w:sz w:val="16"/>
                <w:szCs w:val="16"/>
                <w:lang w:val="it-IT"/>
              </w:rPr>
            </w:pPr>
          </w:p>
        </w:tc>
      </w:tr>
      <w:tr w:rsidR="00F47023" w14:paraId="1E76FCC1" w14:textId="77777777" w:rsidTr="006140A4">
        <w:trPr>
          <w:trHeight w:val="227"/>
        </w:trPr>
        <w:tc>
          <w:tcPr>
            <w:tcW w:w="7257" w:type="dxa"/>
            <w:tcMar>
              <w:top w:w="28" w:type="dxa"/>
              <w:left w:w="0" w:type="dxa"/>
              <w:bottom w:w="57" w:type="dxa"/>
              <w:right w:w="113" w:type="dxa"/>
            </w:tcMar>
            <w:vAlign w:val="bottom"/>
          </w:tcPr>
          <w:p w14:paraId="79FFAFE9" w14:textId="77777777" w:rsidR="00F47023" w:rsidRPr="0017569A" w:rsidRDefault="00F47023" w:rsidP="0017569A">
            <w:pPr>
              <w:pStyle w:val="FSBodyText"/>
              <w:spacing w:after="0" w:line="240" w:lineRule="auto"/>
              <w:ind w:firstLine="180"/>
            </w:pPr>
            <w:r w:rsidRPr="0017569A">
              <w:t>Property subject to operating leases</w:t>
            </w:r>
          </w:p>
        </w:tc>
        <w:tc>
          <w:tcPr>
            <w:tcW w:w="1417" w:type="dxa"/>
            <w:tcMar>
              <w:top w:w="28" w:type="dxa"/>
              <w:left w:w="0" w:type="dxa"/>
              <w:bottom w:w="57" w:type="dxa"/>
              <w:right w:w="113" w:type="dxa"/>
            </w:tcMar>
            <w:vAlign w:val="bottom"/>
          </w:tcPr>
          <w:p w14:paraId="610C80D8" w14:textId="77777777" w:rsidR="00F47023" w:rsidRPr="0017569A" w:rsidRDefault="00F47023" w:rsidP="0017569A">
            <w:pPr>
              <w:pStyle w:val="FSBodyText"/>
              <w:spacing w:after="0" w:line="240" w:lineRule="auto"/>
              <w:jc w:val="right"/>
            </w:pPr>
            <w:r w:rsidRPr="0017569A">
              <w:rPr>
                <w:rStyle w:val="Bold"/>
                <w:rFonts w:eastAsia="MS Mincho"/>
                <w:lang w:val="it-IT"/>
              </w:rPr>
              <w:t xml:space="preserve">2,500 </w:t>
            </w:r>
          </w:p>
        </w:tc>
        <w:tc>
          <w:tcPr>
            <w:tcW w:w="1417" w:type="dxa"/>
            <w:tcMar>
              <w:top w:w="28" w:type="dxa"/>
              <w:left w:w="0" w:type="dxa"/>
              <w:bottom w:w="57" w:type="dxa"/>
              <w:right w:w="113" w:type="dxa"/>
            </w:tcMar>
            <w:vAlign w:val="bottom"/>
          </w:tcPr>
          <w:p w14:paraId="37B7BA68" w14:textId="55D2BBA4" w:rsidR="00F47023" w:rsidRPr="0017569A" w:rsidRDefault="00F47023" w:rsidP="0017569A">
            <w:pPr>
              <w:pStyle w:val="FSBodyText"/>
              <w:spacing w:after="0" w:line="240" w:lineRule="auto"/>
              <w:jc w:val="right"/>
            </w:pPr>
            <w:r w:rsidRPr="0017569A">
              <w:rPr>
                <w:lang w:val="it-IT"/>
              </w:rPr>
              <w:t>5,001</w:t>
            </w:r>
          </w:p>
        </w:tc>
      </w:tr>
      <w:tr w:rsidR="00F47023" w14:paraId="1DACEB99" w14:textId="77777777" w:rsidTr="006140A4">
        <w:trPr>
          <w:trHeight w:val="227"/>
        </w:trPr>
        <w:tc>
          <w:tcPr>
            <w:tcW w:w="7257" w:type="dxa"/>
            <w:tcMar>
              <w:top w:w="28" w:type="dxa"/>
              <w:left w:w="0" w:type="dxa"/>
              <w:bottom w:w="57" w:type="dxa"/>
              <w:right w:w="113" w:type="dxa"/>
            </w:tcMar>
            <w:vAlign w:val="bottom"/>
          </w:tcPr>
          <w:p w14:paraId="55CB2AD7" w14:textId="77777777" w:rsidR="00F47023" w:rsidRPr="0017569A" w:rsidRDefault="00F47023" w:rsidP="0017569A">
            <w:pPr>
              <w:pStyle w:val="FSBodyText"/>
              <w:spacing w:after="0" w:line="240" w:lineRule="auto"/>
              <w:ind w:firstLine="180"/>
            </w:pPr>
            <w:r w:rsidRPr="0017569A">
              <w:rPr>
                <w:lang w:val="it-IT"/>
              </w:rPr>
              <w:t>Leasehold improvements</w:t>
            </w:r>
          </w:p>
        </w:tc>
        <w:tc>
          <w:tcPr>
            <w:tcW w:w="1417" w:type="dxa"/>
            <w:tcMar>
              <w:top w:w="28" w:type="dxa"/>
              <w:left w:w="0" w:type="dxa"/>
              <w:bottom w:w="57" w:type="dxa"/>
              <w:right w:w="113" w:type="dxa"/>
            </w:tcMar>
            <w:vAlign w:val="bottom"/>
          </w:tcPr>
          <w:p w14:paraId="6E3752D1" w14:textId="77777777" w:rsidR="00F47023" w:rsidRPr="0017569A" w:rsidRDefault="00F47023" w:rsidP="0017569A">
            <w:pPr>
              <w:pStyle w:val="FSBodyText"/>
              <w:spacing w:after="0" w:line="240" w:lineRule="auto"/>
              <w:jc w:val="right"/>
            </w:pPr>
            <w:r w:rsidRPr="0017569A">
              <w:rPr>
                <w:rStyle w:val="Bold"/>
                <w:rFonts w:eastAsia="MS Mincho"/>
                <w:lang w:val="it-IT"/>
              </w:rPr>
              <w:t xml:space="preserve">814 </w:t>
            </w:r>
          </w:p>
        </w:tc>
        <w:tc>
          <w:tcPr>
            <w:tcW w:w="1417" w:type="dxa"/>
            <w:tcMar>
              <w:top w:w="28" w:type="dxa"/>
              <w:left w:w="0" w:type="dxa"/>
              <w:bottom w:w="57" w:type="dxa"/>
              <w:right w:w="113" w:type="dxa"/>
            </w:tcMar>
            <w:vAlign w:val="bottom"/>
          </w:tcPr>
          <w:p w14:paraId="5B711E86" w14:textId="38635578" w:rsidR="00F47023" w:rsidRPr="0017569A" w:rsidRDefault="00F47023" w:rsidP="0017569A">
            <w:pPr>
              <w:pStyle w:val="FSBodyText"/>
              <w:spacing w:after="0" w:line="240" w:lineRule="auto"/>
              <w:jc w:val="right"/>
            </w:pPr>
            <w:r w:rsidRPr="0017569A">
              <w:rPr>
                <w:lang w:val="it-IT"/>
              </w:rPr>
              <w:t>1,627</w:t>
            </w:r>
          </w:p>
        </w:tc>
      </w:tr>
      <w:tr w:rsidR="00F47023" w14:paraId="28926FEF" w14:textId="77777777" w:rsidTr="006140A4">
        <w:trPr>
          <w:trHeight w:val="227"/>
        </w:trPr>
        <w:tc>
          <w:tcPr>
            <w:tcW w:w="7257" w:type="dxa"/>
            <w:tcMar>
              <w:top w:w="28" w:type="dxa"/>
              <w:left w:w="0" w:type="dxa"/>
              <w:bottom w:w="57" w:type="dxa"/>
              <w:right w:w="113" w:type="dxa"/>
            </w:tcMar>
            <w:vAlign w:val="bottom"/>
          </w:tcPr>
          <w:p w14:paraId="0DD71C29" w14:textId="77777777" w:rsidR="00F47023" w:rsidRPr="0017569A" w:rsidRDefault="00F47023" w:rsidP="0017569A">
            <w:pPr>
              <w:pStyle w:val="FSBodyText"/>
              <w:spacing w:after="0" w:line="240" w:lineRule="auto"/>
              <w:ind w:firstLine="180"/>
            </w:pPr>
            <w:r w:rsidRPr="0017569A">
              <w:t>Computer, plant and equipment</w:t>
            </w:r>
          </w:p>
        </w:tc>
        <w:tc>
          <w:tcPr>
            <w:tcW w:w="1417" w:type="dxa"/>
            <w:tcMar>
              <w:top w:w="28" w:type="dxa"/>
              <w:left w:w="0" w:type="dxa"/>
              <w:bottom w:w="57" w:type="dxa"/>
              <w:right w:w="113" w:type="dxa"/>
            </w:tcMar>
            <w:vAlign w:val="bottom"/>
          </w:tcPr>
          <w:p w14:paraId="106000A1" w14:textId="77777777" w:rsidR="00F47023" w:rsidRPr="0017569A" w:rsidRDefault="00F47023" w:rsidP="0017569A">
            <w:pPr>
              <w:pStyle w:val="FSBodyText"/>
              <w:spacing w:after="0" w:line="240" w:lineRule="auto"/>
              <w:jc w:val="right"/>
            </w:pPr>
            <w:r w:rsidRPr="0017569A">
              <w:rPr>
                <w:rStyle w:val="Bold"/>
                <w:rFonts w:eastAsia="MS Mincho"/>
                <w:lang w:val="it-IT"/>
              </w:rPr>
              <w:t>104</w:t>
            </w:r>
          </w:p>
        </w:tc>
        <w:tc>
          <w:tcPr>
            <w:tcW w:w="1417" w:type="dxa"/>
            <w:tcMar>
              <w:top w:w="28" w:type="dxa"/>
              <w:left w:w="0" w:type="dxa"/>
              <w:bottom w:w="57" w:type="dxa"/>
              <w:right w:w="113" w:type="dxa"/>
            </w:tcMar>
            <w:vAlign w:val="bottom"/>
          </w:tcPr>
          <w:p w14:paraId="4E04C8A6" w14:textId="77777777" w:rsidR="00F47023" w:rsidRPr="0017569A" w:rsidRDefault="00F47023" w:rsidP="0017569A">
            <w:pPr>
              <w:pStyle w:val="FSBodyText"/>
              <w:spacing w:after="0" w:line="240" w:lineRule="auto"/>
              <w:jc w:val="right"/>
            </w:pPr>
            <w:r w:rsidRPr="0017569A">
              <w:rPr>
                <w:lang w:val="it-IT"/>
              </w:rPr>
              <w:t>139</w:t>
            </w:r>
          </w:p>
        </w:tc>
      </w:tr>
      <w:tr w:rsidR="00F47023" w14:paraId="380E1DCD" w14:textId="77777777" w:rsidTr="006140A4">
        <w:trPr>
          <w:trHeight w:val="227"/>
        </w:trPr>
        <w:tc>
          <w:tcPr>
            <w:tcW w:w="7257" w:type="dxa"/>
            <w:tcMar>
              <w:top w:w="28" w:type="dxa"/>
              <w:left w:w="0" w:type="dxa"/>
              <w:bottom w:w="57" w:type="dxa"/>
              <w:right w:w="113" w:type="dxa"/>
            </w:tcMar>
            <w:vAlign w:val="bottom"/>
          </w:tcPr>
          <w:p w14:paraId="14DCDF52" w14:textId="77777777" w:rsidR="00F47023" w:rsidRPr="0017569A" w:rsidRDefault="00F47023" w:rsidP="0017569A">
            <w:pPr>
              <w:pStyle w:val="FSBodyText"/>
              <w:spacing w:after="0" w:line="240" w:lineRule="auto"/>
              <w:ind w:firstLine="180"/>
            </w:pPr>
            <w:r w:rsidRPr="0017569A">
              <w:t>Intangibles</w:t>
            </w:r>
          </w:p>
        </w:tc>
        <w:tc>
          <w:tcPr>
            <w:tcW w:w="1417" w:type="dxa"/>
            <w:tcMar>
              <w:top w:w="28" w:type="dxa"/>
              <w:left w:w="0" w:type="dxa"/>
              <w:bottom w:w="57" w:type="dxa"/>
              <w:right w:w="113" w:type="dxa"/>
            </w:tcMar>
            <w:vAlign w:val="bottom"/>
          </w:tcPr>
          <w:p w14:paraId="787008CE" w14:textId="77777777" w:rsidR="00F47023" w:rsidRPr="0017569A" w:rsidRDefault="00F47023" w:rsidP="0017569A">
            <w:pPr>
              <w:pStyle w:val="FSBodyText"/>
              <w:spacing w:after="0" w:line="240" w:lineRule="auto"/>
              <w:jc w:val="right"/>
            </w:pPr>
            <w:r w:rsidRPr="0017569A">
              <w:rPr>
                <w:rStyle w:val="Bold"/>
                <w:rFonts w:eastAsia="MS Mincho"/>
                <w:lang w:val="it-IT"/>
              </w:rPr>
              <w:t>187</w:t>
            </w:r>
          </w:p>
        </w:tc>
        <w:tc>
          <w:tcPr>
            <w:tcW w:w="1417" w:type="dxa"/>
            <w:tcMar>
              <w:top w:w="28" w:type="dxa"/>
              <w:left w:w="0" w:type="dxa"/>
              <w:bottom w:w="57" w:type="dxa"/>
              <w:right w:w="113" w:type="dxa"/>
            </w:tcMar>
            <w:vAlign w:val="bottom"/>
          </w:tcPr>
          <w:p w14:paraId="7D0EB3A1" w14:textId="77777777" w:rsidR="00F47023" w:rsidRPr="0017569A" w:rsidRDefault="00F47023" w:rsidP="0017569A">
            <w:pPr>
              <w:pStyle w:val="FSBodyText"/>
              <w:spacing w:after="0" w:line="240" w:lineRule="auto"/>
              <w:jc w:val="right"/>
            </w:pPr>
            <w:r w:rsidRPr="0017569A">
              <w:rPr>
                <w:lang w:val="it-IT"/>
              </w:rPr>
              <w:t>459</w:t>
            </w:r>
          </w:p>
        </w:tc>
      </w:tr>
      <w:tr w:rsidR="00F47023" w14:paraId="14D830B4" w14:textId="77777777" w:rsidTr="006140A4">
        <w:trPr>
          <w:trHeight w:val="227"/>
        </w:trPr>
        <w:tc>
          <w:tcPr>
            <w:tcW w:w="7257" w:type="dxa"/>
            <w:tcMar>
              <w:top w:w="113" w:type="dxa"/>
              <w:left w:w="0" w:type="dxa"/>
              <w:bottom w:w="113" w:type="dxa"/>
              <w:right w:w="113" w:type="dxa"/>
            </w:tcMar>
            <w:vAlign w:val="bottom"/>
          </w:tcPr>
          <w:p w14:paraId="109A141F" w14:textId="77777777" w:rsidR="00F47023" w:rsidRPr="0017569A" w:rsidRDefault="00F47023" w:rsidP="0017569A">
            <w:pPr>
              <w:pStyle w:val="FSBodyText"/>
              <w:spacing w:after="0" w:line="240" w:lineRule="auto"/>
              <w:ind w:firstLine="180"/>
            </w:pPr>
            <w:r w:rsidRPr="0017569A">
              <w:t>Prepayments</w:t>
            </w:r>
          </w:p>
        </w:tc>
        <w:tc>
          <w:tcPr>
            <w:tcW w:w="1417" w:type="dxa"/>
            <w:tcMar>
              <w:top w:w="113" w:type="dxa"/>
              <w:left w:w="0" w:type="dxa"/>
              <w:bottom w:w="113" w:type="dxa"/>
              <w:right w:w="113" w:type="dxa"/>
            </w:tcMar>
            <w:vAlign w:val="bottom"/>
          </w:tcPr>
          <w:p w14:paraId="0202AA27" w14:textId="77777777" w:rsidR="00F47023" w:rsidRPr="0017569A" w:rsidRDefault="00F47023" w:rsidP="0017569A">
            <w:pPr>
              <w:pStyle w:val="FSBodyText"/>
              <w:spacing w:after="0" w:line="240" w:lineRule="auto"/>
              <w:jc w:val="right"/>
            </w:pPr>
            <w:r w:rsidRPr="0017569A">
              <w:rPr>
                <w:rStyle w:val="Bold"/>
                <w:rFonts w:eastAsia="MS Mincho"/>
                <w:lang w:val="it-IT"/>
              </w:rPr>
              <w:t>18</w:t>
            </w:r>
          </w:p>
        </w:tc>
        <w:tc>
          <w:tcPr>
            <w:tcW w:w="1417" w:type="dxa"/>
            <w:tcMar>
              <w:top w:w="113" w:type="dxa"/>
              <w:left w:w="0" w:type="dxa"/>
              <w:bottom w:w="113" w:type="dxa"/>
              <w:right w:w="113" w:type="dxa"/>
            </w:tcMar>
            <w:vAlign w:val="bottom"/>
          </w:tcPr>
          <w:p w14:paraId="3B46592F" w14:textId="77777777" w:rsidR="00F47023" w:rsidRPr="0017569A" w:rsidRDefault="00F47023" w:rsidP="0017569A">
            <w:pPr>
              <w:pStyle w:val="FSBodyText"/>
              <w:spacing w:after="0" w:line="240" w:lineRule="auto"/>
              <w:jc w:val="right"/>
            </w:pPr>
            <w:r w:rsidRPr="0017569A">
              <w:rPr>
                <w:lang w:val="it-IT"/>
              </w:rPr>
              <w:t>40</w:t>
            </w:r>
          </w:p>
        </w:tc>
      </w:tr>
      <w:tr w:rsidR="00F47023" w14:paraId="0BA5709A" w14:textId="77777777" w:rsidTr="006140A4">
        <w:trPr>
          <w:trHeight w:val="227"/>
        </w:trPr>
        <w:tc>
          <w:tcPr>
            <w:tcW w:w="7257" w:type="dxa"/>
            <w:shd w:val="clear" w:color="auto" w:fill="F2F2F2" w:themeFill="background1" w:themeFillShade="F2"/>
            <w:tcMar>
              <w:top w:w="113" w:type="dxa"/>
              <w:left w:w="0" w:type="dxa"/>
              <w:bottom w:w="113" w:type="dxa"/>
              <w:right w:w="113" w:type="dxa"/>
            </w:tcMar>
            <w:vAlign w:val="bottom"/>
          </w:tcPr>
          <w:p w14:paraId="44D11E97" w14:textId="77777777" w:rsidR="00F47023" w:rsidRPr="0017569A" w:rsidRDefault="00F47023" w:rsidP="0017569A">
            <w:pPr>
              <w:pStyle w:val="FSBodyText"/>
              <w:spacing w:after="0" w:line="240" w:lineRule="auto"/>
            </w:pPr>
            <w:r w:rsidRPr="0017569A">
              <w:rPr>
                <w:rStyle w:val="Bold"/>
                <w:rFonts w:eastAsia="MS Mincho"/>
                <w:lang w:val="it-IT"/>
              </w:rPr>
              <w:t>Total more than 12 months</w:t>
            </w:r>
          </w:p>
        </w:tc>
        <w:tc>
          <w:tcPr>
            <w:tcW w:w="1417" w:type="dxa"/>
            <w:shd w:val="clear" w:color="auto" w:fill="F2F2F2" w:themeFill="background1" w:themeFillShade="F2"/>
            <w:tcMar>
              <w:top w:w="113" w:type="dxa"/>
              <w:left w:w="0" w:type="dxa"/>
              <w:bottom w:w="113" w:type="dxa"/>
              <w:right w:w="113" w:type="dxa"/>
            </w:tcMar>
            <w:vAlign w:val="bottom"/>
          </w:tcPr>
          <w:p w14:paraId="258F5F59" w14:textId="77777777" w:rsidR="00F47023" w:rsidRPr="0017569A" w:rsidRDefault="00F47023" w:rsidP="0017569A">
            <w:pPr>
              <w:pStyle w:val="FSBodyText"/>
              <w:spacing w:after="0" w:line="240" w:lineRule="auto"/>
              <w:jc w:val="right"/>
            </w:pPr>
            <w:r w:rsidRPr="0017569A">
              <w:rPr>
                <w:rStyle w:val="Bold"/>
                <w:rFonts w:eastAsia="MS Mincho"/>
                <w:lang w:val="it-IT"/>
              </w:rPr>
              <w:t xml:space="preserve">3,623 </w:t>
            </w:r>
          </w:p>
        </w:tc>
        <w:tc>
          <w:tcPr>
            <w:tcW w:w="1417" w:type="dxa"/>
            <w:shd w:val="clear" w:color="auto" w:fill="F2F2F2" w:themeFill="background1" w:themeFillShade="F2"/>
            <w:tcMar>
              <w:top w:w="113" w:type="dxa"/>
              <w:left w:w="0" w:type="dxa"/>
              <w:bottom w:w="113" w:type="dxa"/>
              <w:right w:w="113" w:type="dxa"/>
            </w:tcMar>
            <w:vAlign w:val="bottom"/>
          </w:tcPr>
          <w:p w14:paraId="0849A0AB" w14:textId="0717D56C" w:rsidR="00F47023" w:rsidRPr="0017569A" w:rsidRDefault="00F47023" w:rsidP="0017569A">
            <w:pPr>
              <w:pStyle w:val="FSBodyText"/>
              <w:spacing w:after="0" w:line="240" w:lineRule="auto"/>
              <w:jc w:val="right"/>
            </w:pPr>
            <w:r w:rsidRPr="0017569A">
              <w:rPr>
                <w:lang w:val="it-IT"/>
              </w:rPr>
              <w:t>7,266</w:t>
            </w:r>
          </w:p>
        </w:tc>
      </w:tr>
      <w:tr w:rsidR="00F47023" w14:paraId="426896D9" w14:textId="77777777" w:rsidTr="006140A4">
        <w:trPr>
          <w:trHeight w:val="227"/>
        </w:trPr>
        <w:tc>
          <w:tcPr>
            <w:tcW w:w="7257" w:type="dxa"/>
            <w:shd w:val="clear" w:color="auto" w:fill="F2F2F2" w:themeFill="background1" w:themeFillShade="F2"/>
            <w:tcMar>
              <w:top w:w="113" w:type="dxa"/>
              <w:left w:w="0" w:type="dxa"/>
              <w:bottom w:w="113" w:type="dxa"/>
              <w:right w:w="113" w:type="dxa"/>
            </w:tcMar>
            <w:vAlign w:val="bottom"/>
          </w:tcPr>
          <w:p w14:paraId="64DD8B6D" w14:textId="77777777" w:rsidR="00F47023" w:rsidRPr="0017569A" w:rsidRDefault="00F47023" w:rsidP="0017569A">
            <w:pPr>
              <w:pStyle w:val="FSBodyText"/>
              <w:spacing w:after="0" w:line="240" w:lineRule="auto"/>
            </w:pPr>
            <w:r w:rsidRPr="0017569A">
              <w:rPr>
                <w:rStyle w:val="Bold"/>
                <w:rFonts w:eastAsia="MS Mincho"/>
              </w:rPr>
              <w:t>Total assets</w:t>
            </w:r>
          </w:p>
        </w:tc>
        <w:tc>
          <w:tcPr>
            <w:tcW w:w="1417" w:type="dxa"/>
            <w:shd w:val="clear" w:color="auto" w:fill="F2F2F2" w:themeFill="background1" w:themeFillShade="F2"/>
            <w:tcMar>
              <w:top w:w="113" w:type="dxa"/>
              <w:left w:w="0" w:type="dxa"/>
              <w:bottom w:w="113" w:type="dxa"/>
              <w:right w:w="113" w:type="dxa"/>
            </w:tcMar>
            <w:vAlign w:val="bottom"/>
          </w:tcPr>
          <w:p w14:paraId="223AB961" w14:textId="77777777" w:rsidR="00F47023" w:rsidRPr="0017569A" w:rsidRDefault="00F47023" w:rsidP="0017569A">
            <w:pPr>
              <w:pStyle w:val="FSBodyText"/>
              <w:spacing w:after="0" w:line="240" w:lineRule="auto"/>
              <w:jc w:val="right"/>
            </w:pPr>
            <w:r w:rsidRPr="0017569A">
              <w:rPr>
                <w:rStyle w:val="Bold"/>
                <w:rFonts w:eastAsia="MS Mincho"/>
                <w:lang w:val="it-IT"/>
              </w:rPr>
              <w:t>31,472</w:t>
            </w:r>
          </w:p>
        </w:tc>
        <w:tc>
          <w:tcPr>
            <w:tcW w:w="1417" w:type="dxa"/>
            <w:shd w:val="clear" w:color="auto" w:fill="F2F2F2" w:themeFill="background1" w:themeFillShade="F2"/>
            <w:tcMar>
              <w:top w:w="113" w:type="dxa"/>
              <w:left w:w="0" w:type="dxa"/>
              <w:bottom w:w="113" w:type="dxa"/>
              <w:right w:w="113" w:type="dxa"/>
            </w:tcMar>
            <w:vAlign w:val="bottom"/>
          </w:tcPr>
          <w:p w14:paraId="41E67D7A" w14:textId="01752BA4" w:rsidR="00F47023" w:rsidRPr="0017569A" w:rsidRDefault="00F47023" w:rsidP="0017569A">
            <w:pPr>
              <w:pStyle w:val="FSBodyText"/>
              <w:spacing w:after="0" w:line="240" w:lineRule="auto"/>
              <w:jc w:val="right"/>
            </w:pPr>
            <w:r w:rsidRPr="0017569A">
              <w:rPr>
                <w:lang w:val="it-IT"/>
              </w:rPr>
              <w:t>24,595</w:t>
            </w:r>
          </w:p>
        </w:tc>
      </w:tr>
      <w:tr w:rsidR="00F47023" w:rsidRPr="00F47023" w14:paraId="1B5E39E0" w14:textId="77777777" w:rsidTr="006140A4">
        <w:trPr>
          <w:trHeight w:val="227"/>
        </w:trPr>
        <w:tc>
          <w:tcPr>
            <w:tcW w:w="7257" w:type="dxa"/>
            <w:tcMar>
              <w:top w:w="113" w:type="dxa"/>
              <w:left w:w="0" w:type="dxa"/>
              <w:bottom w:w="113" w:type="dxa"/>
              <w:right w:w="113" w:type="dxa"/>
            </w:tcMar>
            <w:vAlign w:val="bottom"/>
          </w:tcPr>
          <w:p w14:paraId="3B85AB71" w14:textId="77777777" w:rsidR="00F47023" w:rsidRPr="0017569A" w:rsidRDefault="00F47023" w:rsidP="0017569A">
            <w:pPr>
              <w:pStyle w:val="FSBodyText"/>
              <w:spacing w:after="0" w:line="240" w:lineRule="auto"/>
            </w:pPr>
            <w:r w:rsidRPr="0017569A">
              <w:rPr>
                <w:rStyle w:val="Bold"/>
                <w:rFonts w:eastAsia="MS Mincho"/>
              </w:rPr>
              <w:t>Liabilities expected to be settled in:</w:t>
            </w:r>
          </w:p>
        </w:tc>
        <w:tc>
          <w:tcPr>
            <w:tcW w:w="1417" w:type="dxa"/>
            <w:tcMar>
              <w:top w:w="113" w:type="dxa"/>
              <w:left w:w="0" w:type="dxa"/>
              <w:bottom w:w="113" w:type="dxa"/>
              <w:right w:w="113" w:type="dxa"/>
            </w:tcMar>
            <w:vAlign w:val="bottom"/>
          </w:tcPr>
          <w:p w14:paraId="120EE738" w14:textId="77777777" w:rsidR="00F47023" w:rsidRPr="0017569A" w:rsidRDefault="00F47023" w:rsidP="0017569A">
            <w:pPr>
              <w:pStyle w:val="Nessunostileparagrafo"/>
              <w:spacing w:line="240" w:lineRule="auto"/>
              <w:textAlignment w:val="auto"/>
              <w:rPr>
                <w:rFonts w:ascii="Open Sans Semibold" w:hAnsi="Open Sans Semibold" w:cs="Times New Roman"/>
                <w:color w:val="auto"/>
                <w:sz w:val="16"/>
                <w:szCs w:val="16"/>
              </w:rPr>
            </w:pPr>
          </w:p>
        </w:tc>
        <w:tc>
          <w:tcPr>
            <w:tcW w:w="1417" w:type="dxa"/>
            <w:tcMar>
              <w:top w:w="113" w:type="dxa"/>
              <w:left w:w="0" w:type="dxa"/>
              <w:bottom w:w="113" w:type="dxa"/>
              <w:right w:w="113" w:type="dxa"/>
            </w:tcMar>
            <w:vAlign w:val="bottom"/>
          </w:tcPr>
          <w:p w14:paraId="60C908AA" w14:textId="77777777" w:rsidR="00F47023" w:rsidRPr="0017569A" w:rsidRDefault="00F47023" w:rsidP="0017569A">
            <w:pPr>
              <w:pStyle w:val="Nessunostileparagrafo"/>
              <w:spacing w:line="240" w:lineRule="auto"/>
              <w:textAlignment w:val="auto"/>
              <w:rPr>
                <w:rFonts w:ascii="Open Sans Semibold" w:hAnsi="Open Sans Semibold" w:cs="Times New Roman"/>
                <w:color w:val="auto"/>
                <w:sz w:val="16"/>
                <w:szCs w:val="16"/>
              </w:rPr>
            </w:pPr>
          </w:p>
        </w:tc>
      </w:tr>
      <w:tr w:rsidR="00F47023" w14:paraId="616A2C32" w14:textId="77777777" w:rsidTr="006140A4">
        <w:trPr>
          <w:trHeight w:val="227"/>
        </w:trPr>
        <w:tc>
          <w:tcPr>
            <w:tcW w:w="7257" w:type="dxa"/>
            <w:tcMar>
              <w:top w:w="28" w:type="dxa"/>
              <w:left w:w="0" w:type="dxa"/>
              <w:bottom w:w="57" w:type="dxa"/>
              <w:right w:w="113" w:type="dxa"/>
            </w:tcMar>
            <w:vAlign w:val="bottom"/>
          </w:tcPr>
          <w:p w14:paraId="08DF113B" w14:textId="77777777" w:rsidR="00F47023" w:rsidRPr="0017569A" w:rsidRDefault="00F47023" w:rsidP="0017569A">
            <w:pPr>
              <w:pStyle w:val="FSBodyText"/>
              <w:spacing w:after="0" w:line="240" w:lineRule="auto"/>
            </w:pPr>
            <w:r w:rsidRPr="0017569A">
              <w:rPr>
                <w:rStyle w:val="Bold"/>
                <w:rFonts w:eastAsia="MS Mincho"/>
                <w:lang w:val="it-IT"/>
              </w:rPr>
              <w:t>No more than 12 months</w:t>
            </w:r>
          </w:p>
        </w:tc>
        <w:tc>
          <w:tcPr>
            <w:tcW w:w="1417" w:type="dxa"/>
            <w:tcMar>
              <w:top w:w="28" w:type="dxa"/>
              <w:left w:w="0" w:type="dxa"/>
              <w:bottom w:w="57" w:type="dxa"/>
              <w:right w:w="113" w:type="dxa"/>
            </w:tcMar>
            <w:vAlign w:val="bottom"/>
          </w:tcPr>
          <w:p w14:paraId="70A4C984" w14:textId="77777777" w:rsidR="00F47023" w:rsidRPr="0017569A" w:rsidRDefault="00F47023" w:rsidP="0017569A">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28" w:type="dxa"/>
              <w:left w:w="0" w:type="dxa"/>
              <w:bottom w:w="57" w:type="dxa"/>
              <w:right w:w="113" w:type="dxa"/>
            </w:tcMar>
            <w:vAlign w:val="bottom"/>
          </w:tcPr>
          <w:p w14:paraId="7CD3B8EC" w14:textId="77777777" w:rsidR="00F47023" w:rsidRPr="0017569A" w:rsidRDefault="00F47023" w:rsidP="0017569A">
            <w:pPr>
              <w:pStyle w:val="Nessunostileparagrafo"/>
              <w:spacing w:line="240" w:lineRule="auto"/>
              <w:textAlignment w:val="auto"/>
              <w:rPr>
                <w:rFonts w:ascii="Open Sans Semibold" w:hAnsi="Open Sans Semibold" w:cs="Times New Roman"/>
                <w:color w:val="auto"/>
                <w:sz w:val="16"/>
                <w:szCs w:val="16"/>
                <w:lang w:val="it-IT"/>
              </w:rPr>
            </w:pPr>
          </w:p>
        </w:tc>
      </w:tr>
      <w:tr w:rsidR="00F47023" w14:paraId="3F5CD9DE" w14:textId="77777777" w:rsidTr="006140A4">
        <w:trPr>
          <w:trHeight w:val="227"/>
        </w:trPr>
        <w:tc>
          <w:tcPr>
            <w:tcW w:w="7257" w:type="dxa"/>
            <w:tcMar>
              <w:top w:w="28" w:type="dxa"/>
              <w:left w:w="0" w:type="dxa"/>
              <w:bottom w:w="57" w:type="dxa"/>
              <w:right w:w="113" w:type="dxa"/>
            </w:tcMar>
            <w:vAlign w:val="bottom"/>
          </w:tcPr>
          <w:p w14:paraId="412E5ABF" w14:textId="77777777" w:rsidR="00F47023" w:rsidRPr="0017569A" w:rsidRDefault="00F47023" w:rsidP="0017569A">
            <w:pPr>
              <w:pStyle w:val="FSBodyText"/>
              <w:spacing w:after="0" w:line="240" w:lineRule="auto"/>
              <w:ind w:firstLine="180"/>
            </w:pPr>
            <w:r w:rsidRPr="0017569A">
              <w:rPr>
                <w:lang w:val="it-IT"/>
              </w:rPr>
              <w:t>Suppliers</w:t>
            </w:r>
          </w:p>
        </w:tc>
        <w:tc>
          <w:tcPr>
            <w:tcW w:w="1417" w:type="dxa"/>
            <w:tcMar>
              <w:top w:w="28" w:type="dxa"/>
              <w:left w:w="0" w:type="dxa"/>
              <w:bottom w:w="57" w:type="dxa"/>
              <w:right w:w="113" w:type="dxa"/>
            </w:tcMar>
            <w:vAlign w:val="bottom"/>
          </w:tcPr>
          <w:p w14:paraId="2A5C3066" w14:textId="77777777" w:rsidR="00F47023" w:rsidRPr="0017569A" w:rsidRDefault="00F47023" w:rsidP="0017569A">
            <w:pPr>
              <w:pStyle w:val="FSBodyText"/>
              <w:spacing w:after="0" w:line="240" w:lineRule="auto"/>
              <w:jc w:val="right"/>
            </w:pPr>
            <w:r w:rsidRPr="0017569A">
              <w:rPr>
                <w:rStyle w:val="Bold"/>
                <w:rFonts w:eastAsia="MS Mincho"/>
                <w:lang w:val="it-IT"/>
              </w:rPr>
              <w:t>1,555</w:t>
            </w:r>
          </w:p>
        </w:tc>
        <w:tc>
          <w:tcPr>
            <w:tcW w:w="1417" w:type="dxa"/>
            <w:tcMar>
              <w:top w:w="28" w:type="dxa"/>
              <w:left w:w="0" w:type="dxa"/>
              <w:bottom w:w="57" w:type="dxa"/>
              <w:right w:w="113" w:type="dxa"/>
            </w:tcMar>
            <w:vAlign w:val="bottom"/>
          </w:tcPr>
          <w:p w14:paraId="2DB978D2" w14:textId="701219D0" w:rsidR="00F47023" w:rsidRPr="0017569A" w:rsidRDefault="00F47023" w:rsidP="0017569A">
            <w:pPr>
              <w:pStyle w:val="FSBodyText"/>
              <w:spacing w:after="0" w:line="240" w:lineRule="auto"/>
              <w:jc w:val="right"/>
            </w:pPr>
            <w:r w:rsidRPr="0017569A">
              <w:rPr>
                <w:lang w:val="it-IT"/>
              </w:rPr>
              <w:t>865</w:t>
            </w:r>
          </w:p>
        </w:tc>
      </w:tr>
      <w:tr w:rsidR="00F47023" w14:paraId="0BAC2B92" w14:textId="77777777" w:rsidTr="006140A4">
        <w:trPr>
          <w:trHeight w:val="227"/>
        </w:trPr>
        <w:tc>
          <w:tcPr>
            <w:tcW w:w="7257" w:type="dxa"/>
            <w:tcMar>
              <w:top w:w="28" w:type="dxa"/>
              <w:left w:w="0" w:type="dxa"/>
              <w:bottom w:w="57" w:type="dxa"/>
              <w:right w:w="113" w:type="dxa"/>
            </w:tcMar>
            <w:vAlign w:val="bottom"/>
          </w:tcPr>
          <w:p w14:paraId="681F01B9" w14:textId="77777777" w:rsidR="00F47023" w:rsidRPr="0017569A" w:rsidRDefault="00F47023" w:rsidP="0017569A">
            <w:pPr>
              <w:pStyle w:val="FSBodyText"/>
              <w:spacing w:after="0" w:line="240" w:lineRule="auto"/>
              <w:ind w:firstLine="180"/>
            </w:pPr>
            <w:r w:rsidRPr="0017569A">
              <w:rPr>
                <w:lang w:val="it-IT"/>
              </w:rPr>
              <w:t>Other payables</w:t>
            </w:r>
          </w:p>
        </w:tc>
        <w:tc>
          <w:tcPr>
            <w:tcW w:w="1417" w:type="dxa"/>
            <w:tcMar>
              <w:top w:w="28" w:type="dxa"/>
              <w:left w:w="0" w:type="dxa"/>
              <w:bottom w:w="57" w:type="dxa"/>
              <w:right w:w="113" w:type="dxa"/>
            </w:tcMar>
            <w:vAlign w:val="bottom"/>
          </w:tcPr>
          <w:p w14:paraId="0891FB84" w14:textId="77777777" w:rsidR="00F47023" w:rsidRPr="0017569A" w:rsidRDefault="00F47023" w:rsidP="0017569A">
            <w:pPr>
              <w:pStyle w:val="FSBodyText"/>
              <w:spacing w:after="0" w:line="240" w:lineRule="auto"/>
              <w:jc w:val="right"/>
            </w:pPr>
            <w:r w:rsidRPr="0017569A">
              <w:rPr>
                <w:rStyle w:val="Bold"/>
                <w:rFonts w:eastAsia="MS Mincho"/>
                <w:lang w:val="it-IT"/>
              </w:rPr>
              <w:t>8,993</w:t>
            </w:r>
          </w:p>
        </w:tc>
        <w:tc>
          <w:tcPr>
            <w:tcW w:w="1417" w:type="dxa"/>
            <w:tcMar>
              <w:top w:w="28" w:type="dxa"/>
              <w:left w:w="0" w:type="dxa"/>
              <w:bottom w:w="57" w:type="dxa"/>
              <w:right w:w="113" w:type="dxa"/>
            </w:tcMar>
            <w:vAlign w:val="bottom"/>
          </w:tcPr>
          <w:p w14:paraId="636A9A3E" w14:textId="6BA33AC2" w:rsidR="00F47023" w:rsidRPr="0017569A" w:rsidRDefault="00F47023" w:rsidP="0017569A">
            <w:pPr>
              <w:pStyle w:val="FSBodyText"/>
              <w:spacing w:after="0" w:line="240" w:lineRule="auto"/>
              <w:jc w:val="right"/>
            </w:pPr>
            <w:r w:rsidRPr="0017569A">
              <w:rPr>
                <w:lang w:val="it-IT"/>
              </w:rPr>
              <w:t>6,388</w:t>
            </w:r>
          </w:p>
        </w:tc>
      </w:tr>
      <w:tr w:rsidR="00F47023" w14:paraId="6AC0111F" w14:textId="77777777" w:rsidTr="006140A4">
        <w:trPr>
          <w:trHeight w:val="227"/>
        </w:trPr>
        <w:tc>
          <w:tcPr>
            <w:tcW w:w="7257" w:type="dxa"/>
            <w:tcMar>
              <w:top w:w="28" w:type="dxa"/>
              <w:left w:w="0" w:type="dxa"/>
              <w:bottom w:w="57" w:type="dxa"/>
              <w:right w:w="113" w:type="dxa"/>
            </w:tcMar>
            <w:vAlign w:val="bottom"/>
          </w:tcPr>
          <w:p w14:paraId="67103ADB" w14:textId="77777777" w:rsidR="00F47023" w:rsidRPr="0017569A" w:rsidRDefault="00F47023" w:rsidP="0017569A">
            <w:pPr>
              <w:pStyle w:val="FSBodyText"/>
              <w:spacing w:after="0" w:line="240" w:lineRule="auto"/>
              <w:ind w:firstLine="180"/>
            </w:pPr>
            <w:r w:rsidRPr="0017569A">
              <w:rPr>
                <w:lang w:val="it-IT"/>
              </w:rPr>
              <w:t>Leases</w:t>
            </w:r>
          </w:p>
        </w:tc>
        <w:tc>
          <w:tcPr>
            <w:tcW w:w="1417" w:type="dxa"/>
            <w:tcMar>
              <w:top w:w="28" w:type="dxa"/>
              <w:left w:w="0" w:type="dxa"/>
              <w:bottom w:w="57" w:type="dxa"/>
              <w:right w:w="113" w:type="dxa"/>
            </w:tcMar>
            <w:vAlign w:val="bottom"/>
          </w:tcPr>
          <w:p w14:paraId="74AED3F3" w14:textId="77777777" w:rsidR="00F47023" w:rsidRPr="0017569A" w:rsidRDefault="00F47023" w:rsidP="0017569A">
            <w:pPr>
              <w:pStyle w:val="FSBodyText"/>
              <w:spacing w:after="0" w:line="240" w:lineRule="auto"/>
              <w:jc w:val="right"/>
            </w:pPr>
            <w:r w:rsidRPr="0017569A">
              <w:rPr>
                <w:rStyle w:val="Bold"/>
                <w:rFonts w:eastAsia="MS Mincho"/>
                <w:lang w:val="it-IT"/>
              </w:rPr>
              <w:t>2,605</w:t>
            </w:r>
          </w:p>
        </w:tc>
        <w:tc>
          <w:tcPr>
            <w:tcW w:w="1417" w:type="dxa"/>
            <w:tcMar>
              <w:top w:w="28" w:type="dxa"/>
              <w:left w:w="0" w:type="dxa"/>
              <w:bottom w:w="57" w:type="dxa"/>
              <w:right w:w="113" w:type="dxa"/>
            </w:tcMar>
            <w:vAlign w:val="bottom"/>
          </w:tcPr>
          <w:p w14:paraId="7205FCCC" w14:textId="77777777" w:rsidR="00F47023" w:rsidRPr="0017569A" w:rsidRDefault="00F47023" w:rsidP="0017569A">
            <w:pPr>
              <w:pStyle w:val="FSBodyText"/>
              <w:spacing w:after="0" w:line="240" w:lineRule="auto"/>
              <w:jc w:val="right"/>
            </w:pPr>
            <w:r w:rsidRPr="0017569A">
              <w:rPr>
                <w:lang w:val="it-IT"/>
              </w:rPr>
              <w:t xml:space="preserve"> -</w:t>
            </w:r>
          </w:p>
        </w:tc>
      </w:tr>
      <w:tr w:rsidR="00F47023" w14:paraId="7A177D44" w14:textId="77777777" w:rsidTr="006140A4">
        <w:trPr>
          <w:trHeight w:val="227"/>
        </w:trPr>
        <w:tc>
          <w:tcPr>
            <w:tcW w:w="7257" w:type="dxa"/>
            <w:tcMar>
              <w:top w:w="113" w:type="dxa"/>
              <w:left w:w="0" w:type="dxa"/>
              <w:bottom w:w="113" w:type="dxa"/>
              <w:right w:w="113" w:type="dxa"/>
            </w:tcMar>
            <w:vAlign w:val="bottom"/>
          </w:tcPr>
          <w:p w14:paraId="655DCB92" w14:textId="77777777" w:rsidR="00F47023" w:rsidRPr="0017569A" w:rsidRDefault="00F47023" w:rsidP="0017569A">
            <w:pPr>
              <w:pStyle w:val="FSBodyText"/>
              <w:spacing w:after="0" w:line="240" w:lineRule="auto"/>
              <w:ind w:firstLine="180"/>
            </w:pPr>
            <w:r w:rsidRPr="0017569A">
              <w:rPr>
                <w:lang w:val="it-IT"/>
              </w:rPr>
              <w:t>Employee provisions</w:t>
            </w:r>
          </w:p>
        </w:tc>
        <w:tc>
          <w:tcPr>
            <w:tcW w:w="1417" w:type="dxa"/>
            <w:tcMar>
              <w:top w:w="113" w:type="dxa"/>
              <w:left w:w="0" w:type="dxa"/>
              <w:bottom w:w="113" w:type="dxa"/>
              <w:right w:w="113" w:type="dxa"/>
            </w:tcMar>
            <w:vAlign w:val="bottom"/>
          </w:tcPr>
          <w:p w14:paraId="5A577CCD" w14:textId="77777777" w:rsidR="00F47023" w:rsidRPr="0017569A" w:rsidRDefault="00F47023" w:rsidP="0017569A">
            <w:pPr>
              <w:pStyle w:val="FSBodyText"/>
              <w:spacing w:after="0" w:line="240" w:lineRule="auto"/>
              <w:jc w:val="right"/>
            </w:pPr>
            <w:r w:rsidRPr="0017569A">
              <w:rPr>
                <w:rStyle w:val="Bold"/>
                <w:rFonts w:eastAsia="MS Mincho"/>
                <w:lang w:val="it-IT"/>
              </w:rPr>
              <w:t>1,685</w:t>
            </w:r>
          </w:p>
        </w:tc>
        <w:tc>
          <w:tcPr>
            <w:tcW w:w="1417" w:type="dxa"/>
            <w:tcMar>
              <w:top w:w="113" w:type="dxa"/>
              <w:left w:w="0" w:type="dxa"/>
              <w:bottom w:w="113" w:type="dxa"/>
              <w:right w:w="113" w:type="dxa"/>
            </w:tcMar>
            <w:vAlign w:val="bottom"/>
          </w:tcPr>
          <w:p w14:paraId="695B995D" w14:textId="331C9C41" w:rsidR="00F47023" w:rsidRPr="0017569A" w:rsidRDefault="00F47023" w:rsidP="0017569A">
            <w:pPr>
              <w:pStyle w:val="FSBodyText"/>
              <w:spacing w:after="0" w:line="240" w:lineRule="auto"/>
              <w:jc w:val="right"/>
            </w:pPr>
            <w:r w:rsidRPr="0017569A">
              <w:rPr>
                <w:lang w:val="it-IT"/>
              </w:rPr>
              <w:t>2,414</w:t>
            </w:r>
          </w:p>
        </w:tc>
      </w:tr>
      <w:tr w:rsidR="00F47023" w14:paraId="5DBC4F00" w14:textId="77777777" w:rsidTr="006140A4">
        <w:trPr>
          <w:trHeight w:val="227"/>
        </w:trPr>
        <w:tc>
          <w:tcPr>
            <w:tcW w:w="7257" w:type="dxa"/>
            <w:shd w:val="clear" w:color="auto" w:fill="F2F2F2" w:themeFill="background1" w:themeFillShade="F2"/>
            <w:tcMar>
              <w:top w:w="113" w:type="dxa"/>
              <w:left w:w="0" w:type="dxa"/>
              <w:bottom w:w="113" w:type="dxa"/>
              <w:right w:w="113" w:type="dxa"/>
            </w:tcMar>
            <w:vAlign w:val="bottom"/>
          </w:tcPr>
          <w:p w14:paraId="722D9CE6" w14:textId="77777777" w:rsidR="00F47023" w:rsidRPr="0017569A" w:rsidRDefault="00F47023" w:rsidP="0017569A">
            <w:pPr>
              <w:pStyle w:val="FSBodyText"/>
              <w:spacing w:after="0" w:line="240" w:lineRule="auto"/>
            </w:pPr>
            <w:r w:rsidRPr="0017569A">
              <w:rPr>
                <w:rStyle w:val="Bold"/>
                <w:rFonts w:eastAsia="MS Mincho"/>
              </w:rPr>
              <w:t>Total no more than 12 months</w:t>
            </w:r>
          </w:p>
        </w:tc>
        <w:tc>
          <w:tcPr>
            <w:tcW w:w="1417" w:type="dxa"/>
            <w:shd w:val="clear" w:color="auto" w:fill="F2F2F2" w:themeFill="background1" w:themeFillShade="F2"/>
            <w:tcMar>
              <w:top w:w="113" w:type="dxa"/>
              <w:left w:w="0" w:type="dxa"/>
              <w:bottom w:w="113" w:type="dxa"/>
              <w:right w:w="113" w:type="dxa"/>
            </w:tcMar>
            <w:vAlign w:val="bottom"/>
          </w:tcPr>
          <w:p w14:paraId="5AE925DB" w14:textId="77777777" w:rsidR="00F47023" w:rsidRPr="0017569A" w:rsidRDefault="00F47023" w:rsidP="0017569A">
            <w:pPr>
              <w:pStyle w:val="FSBodyText"/>
              <w:spacing w:after="0" w:line="240" w:lineRule="auto"/>
              <w:jc w:val="right"/>
            </w:pPr>
            <w:r w:rsidRPr="0017569A">
              <w:rPr>
                <w:rStyle w:val="Bold"/>
                <w:rFonts w:eastAsia="MS Mincho"/>
                <w:lang w:val="it-IT"/>
              </w:rPr>
              <w:t>14,838</w:t>
            </w:r>
          </w:p>
        </w:tc>
        <w:tc>
          <w:tcPr>
            <w:tcW w:w="1417" w:type="dxa"/>
            <w:shd w:val="clear" w:color="auto" w:fill="F2F2F2" w:themeFill="background1" w:themeFillShade="F2"/>
            <w:tcMar>
              <w:top w:w="113" w:type="dxa"/>
              <w:left w:w="0" w:type="dxa"/>
              <w:bottom w:w="113" w:type="dxa"/>
              <w:right w:w="113" w:type="dxa"/>
            </w:tcMar>
            <w:vAlign w:val="bottom"/>
          </w:tcPr>
          <w:p w14:paraId="3D5E179A" w14:textId="68EEFAE9" w:rsidR="00F47023" w:rsidRPr="0017569A" w:rsidRDefault="00F47023" w:rsidP="0017569A">
            <w:pPr>
              <w:pStyle w:val="FSBodyText"/>
              <w:spacing w:after="0" w:line="240" w:lineRule="auto"/>
              <w:jc w:val="right"/>
            </w:pPr>
            <w:r w:rsidRPr="0017569A">
              <w:rPr>
                <w:lang w:val="it-IT"/>
              </w:rPr>
              <w:t>9,667</w:t>
            </w:r>
          </w:p>
        </w:tc>
      </w:tr>
      <w:tr w:rsidR="00F47023" w14:paraId="641A6D7F" w14:textId="77777777" w:rsidTr="006140A4">
        <w:trPr>
          <w:trHeight w:val="227"/>
        </w:trPr>
        <w:tc>
          <w:tcPr>
            <w:tcW w:w="7257" w:type="dxa"/>
            <w:tcMar>
              <w:top w:w="227" w:type="dxa"/>
              <w:left w:w="0" w:type="dxa"/>
              <w:bottom w:w="57" w:type="dxa"/>
              <w:right w:w="113" w:type="dxa"/>
            </w:tcMar>
            <w:vAlign w:val="bottom"/>
          </w:tcPr>
          <w:p w14:paraId="1C2FADF6" w14:textId="77777777" w:rsidR="00F47023" w:rsidRPr="0017569A" w:rsidRDefault="00F47023" w:rsidP="0017569A">
            <w:pPr>
              <w:pStyle w:val="FSBodyText"/>
              <w:spacing w:after="0" w:line="240" w:lineRule="auto"/>
            </w:pPr>
            <w:r w:rsidRPr="0017569A">
              <w:rPr>
                <w:rStyle w:val="Bold"/>
                <w:rFonts w:eastAsia="MS Mincho"/>
                <w:lang w:val="it-IT"/>
              </w:rPr>
              <w:t>More than 12 months</w:t>
            </w:r>
          </w:p>
        </w:tc>
        <w:tc>
          <w:tcPr>
            <w:tcW w:w="1417" w:type="dxa"/>
            <w:tcMar>
              <w:top w:w="227" w:type="dxa"/>
              <w:left w:w="0" w:type="dxa"/>
              <w:bottom w:w="57" w:type="dxa"/>
              <w:right w:w="113" w:type="dxa"/>
            </w:tcMar>
            <w:vAlign w:val="bottom"/>
          </w:tcPr>
          <w:p w14:paraId="6C316C9D" w14:textId="77777777" w:rsidR="00F47023" w:rsidRPr="0017569A" w:rsidRDefault="00F47023" w:rsidP="0017569A">
            <w:pPr>
              <w:pStyle w:val="Nessunostileparagrafo"/>
              <w:spacing w:line="240" w:lineRule="auto"/>
              <w:textAlignment w:val="auto"/>
              <w:rPr>
                <w:rFonts w:ascii="Open Sans Semibold" w:hAnsi="Open Sans Semibold" w:cs="Times New Roman"/>
                <w:color w:val="auto"/>
                <w:sz w:val="16"/>
                <w:szCs w:val="16"/>
                <w:lang w:val="it-IT"/>
              </w:rPr>
            </w:pPr>
          </w:p>
        </w:tc>
        <w:tc>
          <w:tcPr>
            <w:tcW w:w="1417" w:type="dxa"/>
            <w:tcMar>
              <w:top w:w="227" w:type="dxa"/>
              <w:left w:w="0" w:type="dxa"/>
              <w:bottom w:w="57" w:type="dxa"/>
              <w:right w:w="113" w:type="dxa"/>
            </w:tcMar>
            <w:vAlign w:val="bottom"/>
          </w:tcPr>
          <w:p w14:paraId="3F20B05B" w14:textId="77777777" w:rsidR="00F47023" w:rsidRPr="0017569A" w:rsidRDefault="00F47023" w:rsidP="0017569A">
            <w:pPr>
              <w:pStyle w:val="Nessunostileparagrafo"/>
              <w:spacing w:line="240" w:lineRule="auto"/>
              <w:textAlignment w:val="auto"/>
              <w:rPr>
                <w:rFonts w:ascii="Open Sans Semibold" w:hAnsi="Open Sans Semibold" w:cs="Times New Roman"/>
                <w:color w:val="auto"/>
                <w:sz w:val="16"/>
                <w:szCs w:val="16"/>
                <w:lang w:val="it-IT"/>
              </w:rPr>
            </w:pPr>
          </w:p>
        </w:tc>
      </w:tr>
      <w:tr w:rsidR="00F47023" w14:paraId="507E7B6C" w14:textId="77777777" w:rsidTr="006140A4">
        <w:trPr>
          <w:trHeight w:val="227"/>
        </w:trPr>
        <w:tc>
          <w:tcPr>
            <w:tcW w:w="7257" w:type="dxa"/>
            <w:tcMar>
              <w:top w:w="28" w:type="dxa"/>
              <w:left w:w="0" w:type="dxa"/>
              <w:bottom w:w="57" w:type="dxa"/>
              <w:right w:w="113" w:type="dxa"/>
            </w:tcMar>
            <w:vAlign w:val="bottom"/>
          </w:tcPr>
          <w:p w14:paraId="64E78431" w14:textId="77777777" w:rsidR="00F47023" w:rsidRPr="0017569A" w:rsidRDefault="00F47023" w:rsidP="0017569A">
            <w:pPr>
              <w:pStyle w:val="FSBodyText"/>
              <w:spacing w:after="0" w:line="240" w:lineRule="auto"/>
              <w:ind w:firstLine="180"/>
            </w:pPr>
            <w:r w:rsidRPr="0017569A">
              <w:rPr>
                <w:lang w:val="it-IT"/>
              </w:rPr>
              <w:t>Other payables</w:t>
            </w:r>
          </w:p>
        </w:tc>
        <w:tc>
          <w:tcPr>
            <w:tcW w:w="1417" w:type="dxa"/>
            <w:tcMar>
              <w:top w:w="28" w:type="dxa"/>
              <w:left w:w="0" w:type="dxa"/>
              <w:bottom w:w="57" w:type="dxa"/>
              <w:right w:w="113" w:type="dxa"/>
            </w:tcMar>
            <w:vAlign w:val="bottom"/>
          </w:tcPr>
          <w:p w14:paraId="20C72A96" w14:textId="77777777" w:rsidR="00F47023" w:rsidRPr="0017569A" w:rsidRDefault="00F47023" w:rsidP="0017569A">
            <w:pPr>
              <w:pStyle w:val="FSBodyText"/>
              <w:spacing w:after="0" w:line="240" w:lineRule="auto"/>
              <w:jc w:val="right"/>
            </w:pPr>
            <w:r w:rsidRPr="0017569A">
              <w:rPr>
                <w:rStyle w:val="Bold"/>
                <w:rFonts w:eastAsia="MS Mincho"/>
                <w:lang w:val="it-IT"/>
              </w:rPr>
              <w:t>607</w:t>
            </w:r>
          </w:p>
        </w:tc>
        <w:tc>
          <w:tcPr>
            <w:tcW w:w="1417" w:type="dxa"/>
            <w:tcMar>
              <w:top w:w="28" w:type="dxa"/>
              <w:left w:w="0" w:type="dxa"/>
              <w:bottom w:w="57" w:type="dxa"/>
              <w:right w:w="113" w:type="dxa"/>
            </w:tcMar>
            <w:vAlign w:val="bottom"/>
          </w:tcPr>
          <w:p w14:paraId="13B98DB8" w14:textId="77777777" w:rsidR="00F47023" w:rsidRPr="0017569A" w:rsidRDefault="00F47023" w:rsidP="0017569A">
            <w:pPr>
              <w:pStyle w:val="FSBodyText"/>
              <w:spacing w:after="0" w:line="240" w:lineRule="auto"/>
              <w:jc w:val="right"/>
            </w:pPr>
            <w:r w:rsidRPr="0017569A">
              <w:rPr>
                <w:lang w:val="it-IT"/>
              </w:rPr>
              <w:t xml:space="preserve"> -</w:t>
            </w:r>
          </w:p>
        </w:tc>
      </w:tr>
      <w:tr w:rsidR="00F47023" w14:paraId="27687F75" w14:textId="77777777" w:rsidTr="006140A4">
        <w:trPr>
          <w:trHeight w:val="227"/>
        </w:trPr>
        <w:tc>
          <w:tcPr>
            <w:tcW w:w="7257" w:type="dxa"/>
            <w:tcMar>
              <w:top w:w="28" w:type="dxa"/>
              <w:left w:w="0" w:type="dxa"/>
              <w:bottom w:w="57" w:type="dxa"/>
              <w:right w:w="113" w:type="dxa"/>
            </w:tcMar>
            <w:vAlign w:val="bottom"/>
          </w:tcPr>
          <w:p w14:paraId="1F51C530" w14:textId="77777777" w:rsidR="00F47023" w:rsidRPr="0017569A" w:rsidRDefault="00F47023" w:rsidP="0017569A">
            <w:pPr>
              <w:pStyle w:val="FSBodyText"/>
              <w:spacing w:after="0" w:line="240" w:lineRule="auto"/>
              <w:ind w:firstLine="180"/>
            </w:pPr>
            <w:r w:rsidRPr="0017569A">
              <w:rPr>
                <w:lang w:val="it-IT"/>
              </w:rPr>
              <w:t>Leases</w:t>
            </w:r>
          </w:p>
        </w:tc>
        <w:tc>
          <w:tcPr>
            <w:tcW w:w="1417" w:type="dxa"/>
            <w:tcMar>
              <w:top w:w="28" w:type="dxa"/>
              <w:left w:w="0" w:type="dxa"/>
              <w:bottom w:w="57" w:type="dxa"/>
              <w:right w:w="113" w:type="dxa"/>
            </w:tcMar>
            <w:vAlign w:val="bottom"/>
          </w:tcPr>
          <w:p w14:paraId="1F068BF2" w14:textId="77777777" w:rsidR="00F47023" w:rsidRPr="0017569A" w:rsidRDefault="00F47023" w:rsidP="0017569A">
            <w:pPr>
              <w:pStyle w:val="FSBodyText"/>
              <w:spacing w:after="0" w:line="240" w:lineRule="auto"/>
              <w:jc w:val="right"/>
            </w:pPr>
            <w:r w:rsidRPr="0017569A">
              <w:rPr>
                <w:rStyle w:val="Bold"/>
                <w:rFonts w:eastAsia="MS Mincho"/>
                <w:lang w:val="it-IT"/>
              </w:rPr>
              <w:t xml:space="preserve"> -</w:t>
            </w:r>
          </w:p>
        </w:tc>
        <w:tc>
          <w:tcPr>
            <w:tcW w:w="1417" w:type="dxa"/>
            <w:tcMar>
              <w:top w:w="28" w:type="dxa"/>
              <w:left w:w="0" w:type="dxa"/>
              <w:bottom w:w="57" w:type="dxa"/>
              <w:right w:w="113" w:type="dxa"/>
            </w:tcMar>
            <w:vAlign w:val="bottom"/>
          </w:tcPr>
          <w:p w14:paraId="59337DA8" w14:textId="33413DDC" w:rsidR="00F47023" w:rsidRPr="0017569A" w:rsidRDefault="00F47023" w:rsidP="0017569A">
            <w:pPr>
              <w:pStyle w:val="FSBodyText"/>
              <w:spacing w:after="0" w:line="240" w:lineRule="auto"/>
              <w:jc w:val="right"/>
            </w:pPr>
            <w:r w:rsidRPr="0017569A">
              <w:rPr>
                <w:lang w:val="it-IT"/>
              </w:rPr>
              <w:t>5,104</w:t>
            </w:r>
          </w:p>
        </w:tc>
      </w:tr>
      <w:tr w:rsidR="00F47023" w14:paraId="07AC3962" w14:textId="77777777" w:rsidTr="006140A4">
        <w:trPr>
          <w:trHeight w:val="227"/>
        </w:trPr>
        <w:tc>
          <w:tcPr>
            <w:tcW w:w="7257" w:type="dxa"/>
            <w:tcMar>
              <w:top w:w="28" w:type="dxa"/>
              <w:left w:w="0" w:type="dxa"/>
              <w:bottom w:w="57" w:type="dxa"/>
              <w:right w:w="113" w:type="dxa"/>
            </w:tcMar>
            <w:vAlign w:val="bottom"/>
          </w:tcPr>
          <w:p w14:paraId="6EEE74C8" w14:textId="77777777" w:rsidR="00F47023" w:rsidRPr="0017569A" w:rsidRDefault="00F47023" w:rsidP="0017569A">
            <w:pPr>
              <w:pStyle w:val="FSBodyText"/>
              <w:spacing w:after="0" w:line="240" w:lineRule="auto"/>
              <w:ind w:firstLine="180"/>
            </w:pPr>
            <w:r w:rsidRPr="0017569A">
              <w:rPr>
                <w:lang w:val="it-IT"/>
              </w:rPr>
              <w:t>Employee provisions</w:t>
            </w:r>
          </w:p>
        </w:tc>
        <w:tc>
          <w:tcPr>
            <w:tcW w:w="1417" w:type="dxa"/>
            <w:tcMar>
              <w:top w:w="28" w:type="dxa"/>
              <w:left w:w="0" w:type="dxa"/>
              <w:bottom w:w="57" w:type="dxa"/>
              <w:right w:w="113" w:type="dxa"/>
            </w:tcMar>
            <w:vAlign w:val="bottom"/>
          </w:tcPr>
          <w:p w14:paraId="4D030F39" w14:textId="77777777" w:rsidR="00F47023" w:rsidRPr="0017569A" w:rsidRDefault="00F47023" w:rsidP="0017569A">
            <w:pPr>
              <w:pStyle w:val="FSBodyText"/>
              <w:spacing w:after="0" w:line="240" w:lineRule="auto"/>
              <w:jc w:val="right"/>
            </w:pPr>
            <w:r w:rsidRPr="0017569A">
              <w:rPr>
                <w:rStyle w:val="Bold"/>
                <w:rFonts w:eastAsia="MS Mincho"/>
                <w:lang w:val="it-IT"/>
              </w:rPr>
              <w:t>2,433</w:t>
            </w:r>
          </w:p>
        </w:tc>
        <w:tc>
          <w:tcPr>
            <w:tcW w:w="1417" w:type="dxa"/>
            <w:tcMar>
              <w:top w:w="28" w:type="dxa"/>
              <w:left w:w="0" w:type="dxa"/>
              <w:bottom w:w="57" w:type="dxa"/>
              <w:right w:w="113" w:type="dxa"/>
            </w:tcMar>
            <w:vAlign w:val="bottom"/>
          </w:tcPr>
          <w:p w14:paraId="096BCD36" w14:textId="77777777" w:rsidR="00F47023" w:rsidRPr="0017569A" w:rsidRDefault="00F47023" w:rsidP="0017569A">
            <w:pPr>
              <w:pStyle w:val="FSBodyText"/>
              <w:spacing w:after="0" w:line="240" w:lineRule="auto"/>
              <w:jc w:val="right"/>
            </w:pPr>
            <w:r w:rsidRPr="0017569A">
              <w:rPr>
                <w:lang w:val="it-IT"/>
              </w:rPr>
              <w:t>1,814</w:t>
            </w:r>
          </w:p>
        </w:tc>
      </w:tr>
      <w:tr w:rsidR="00F47023" w14:paraId="4E854086" w14:textId="77777777" w:rsidTr="006140A4">
        <w:trPr>
          <w:trHeight w:val="227"/>
        </w:trPr>
        <w:tc>
          <w:tcPr>
            <w:tcW w:w="7257" w:type="dxa"/>
            <w:tcMar>
              <w:top w:w="113" w:type="dxa"/>
              <w:left w:w="0" w:type="dxa"/>
              <w:bottom w:w="113" w:type="dxa"/>
              <w:right w:w="113" w:type="dxa"/>
            </w:tcMar>
            <w:vAlign w:val="bottom"/>
          </w:tcPr>
          <w:p w14:paraId="752210E2" w14:textId="77777777" w:rsidR="00F47023" w:rsidRPr="0017569A" w:rsidRDefault="00F47023" w:rsidP="0017569A">
            <w:pPr>
              <w:pStyle w:val="FSBodyText"/>
              <w:spacing w:after="0" w:line="240" w:lineRule="auto"/>
              <w:ind w:firstLine="180"/>
            </w:pPr>
            <w:r w:rsidRPr="0017569A">
              <w:rPr>
                <w:lang w:val="it-IT"/>
              </w:rPr>
              <w:t>Other provisions</w:t>
            </w:r>
          </w:p>
        </w:tc>
        <w:tc>
          <w:tcPr>
            <w:tcW w:w="1417" w:type="dxa"/>
            <w:tcMar>
              <w:top w:w="113" w:type="dxa"/>
              <w:left w:w="0" w:type="dxa"/>
              <w:bottom w:w="113" w:type="dxa"/>
              <w:right w:w="113" w:type="dxa"/>
            </w:tcMar>
            <w:vAlign w:val="bottom"/>
          </w:tcPr>
          <w:p w14:paraId="36EE955B" w14:textId="77777777" w:rsidR="00F47023" w:rsidRPr="0017569A" w:rsidRDefault="00F47023" w:rsidP="0017569A">
            <w:pPr>
              <w:pStyle w:val="FSBodyText"/>
              <w:spacing w:after="0" w:line="240" w:lineRule="auto"/>
              <w:jc w:val="right"/>
            </w:pPr>
            <w:r w:rsidRPr="0017569A">
              <w:rPr>
                <w:rStyle w:val="Bold"/>
                <w:rFonts w:eastAsia="MS Mincho"/>
                <w:lang w:val="it-IT"/>
              </w:rPr>
              <w:t>511</w:t>
            </w:r>
          </w:p>
        </w:tc>
        <w:tc>
          <w:tcPr>
            <w:tcW w:w="1417" w:type="dxa"/>
            <w:tcMar>
              <w:top w:w="113" w:type="dxa"/>
              <w:left w:w="0" w:type="dxa"/>
              <w:bottom w:w="113" w:type="dxa"/>
              <w:right w:w="113" w:type="dxa"/>
            </w:tcMar>
            <w:vAlign w:val="bottom"/>
          </w:tcPr>
          <w:p w14:paraId="79E48312" w14:textId="77777777" w:rsidR="00F47023" w:rsidRPr="0017569A" w:rsidRDefault="00F47023" w:rsidP="0017569A">
            <w:pPr>
              <w:pStyle w:val="FSBodyText"/>
              <w:spacing w:after="0" w:line="240" w:lineRule="auto"/>
              <w:jc w:val="right"/>
            </w:pPr>
            <w:r w:rsidRPr="0017569A">
              <w:rPr>
                <w:lang w:val="it-IT"/>
              </w:rPr>
              <w:t>561</w:t>
            </w:r>
          </w:p>
        </w:tc>
      </w:tr>
      <w:tr w:rsidR="00F47023" w14:paraId="13497A6E" w14:textId="77777777" w:rsidTr="006140A4">
        <w:trPr>
          <w:trHeight w:val="227"/>
        </w:trPr>
        <w:tc>
          <w:tcPr>
            <w:tcW w:w="7257" w:type="dxa"/>
            <w:shd w:val="clear" w:color="auto" w:fill="F2F2F2" w:themeFill="background1" w:themeFillShade="F2"/>
            <w:tcMar>
              <w:top w:w="113" w:type="dxa"/>
              <w:left w:w="0" w:type="dxa"/>
              <w:bottom w:w="113" w:type="dxa"/>
              <w:right w:w="113" w:type="dxa"/>
            </w:tcMar>
            <w:vAlign w:val="bottom"/>
          </w:tcPr>
          <w:p w14:paraId="69093F9A" w14:textId="77777777" w:rsidR="00F47023" w:rsidRPr="0017569A" w:rsidRDefault="00F47023" w:rsidP="0017569A">
            <w:pPr>
              <w:pStyle w:val="FSBodyText"/>
              <w:spacing w:after="0" w:line="240" w:lineRule="auto"/>
            </w:pPr>
            <w:r w:rsidRPr="0017569A">
              <w:rPr>
                <w:rStyle w:val="Bold"/>
                <w:rFonts w:eastAsia="MS Mincho"/>
                <w:lang w:val="it-IT"/>
              </w:rPr>
              <w:t>Total more than 12 months</w:t>
            </w:r>
          </w:p>
        </w:tc>
        <w:tc>
          <w:tcPr>
            <w:tcW w:w="1417" w:type="dxa"/>
            <w:shd w:val="clear" w:color="auto" w:fill="F2F2F2" w:themeFill="background1" w:themeFillShade="F2"/>
            <w:tcMar>
              <w:top w:w="113" w:type="dxa"/>
              <w:left w:w="0" w:type="dxa"/>
              <w:bottom w:w="113" w:type="dxa"/>
              <w:right w:w="113" w:type="dxa"/>
            </w:tcMar>
            <w:vAlign w:val="bottom"/>
          </w:tcPr>
          <w:p w14:paraId="22D9D881" w14:textId="77777777" w:rsidR="00F47023" w:rsidRPr="0017569A" w:rsidRDefault="00F47023" w:rsidP="0017569A">
            <w:pPr>
              <w:pStyle w:val="FSBodyText"/>
              <w:spacing w:after="0" w:line="240" w:lineRule="auto"/>
              <w:jc w:val="right"/>
            </w:pPr>
            <w:r w:rsidRPr="0017569A">
              <w:rPr>
                <w:rStyle w:val="Bold"/>
                <w:rFonts w:eastAsia="MS Mincho"/>
                <w:lang w:val="it-IT"/>
              </w:rPr>
              <w:t>3,551</w:t>
            </w:r>
          </w:p>
        </w:tc>
        <w:tc>
          <w:tcPr>
            <w:tcW w:w="1417" w:type="dxa"/>
            <w:shd w:val="clear" w:color="auto" w:fill="F2F2F2" w:themeFill="background1" w:themeFillShade="F2"/>
            <w:tcMar>
              <w:top w:w="113" w:type="dxa"/>
              <w:left w:w="0" w:type="dxa"/>
              <w:bottom w:w="113" w:type="dxa"/>
              <w:right w:w="113" w:type="dxa"/>
            </w:tcMar>
            <w:vAlign w:val="bottom"/>
          </w:tcPr>
          <w:p w14:paraId="1A539360" w14:textId="77777777" w:rsidR="00F47023" w:rsidRPr="0017569A" w:rsidRDefault="00F47023" w:rsidP="0017569A">
            <w:pPr>
              <w:pStyle w:val="FSBodyText"/>
              <w:spacing w:after="0" w:line="240" w:lineRule="auto"/>
              <w:jc w:val="right"/>
            </w:pPr>
            <w:r w:rsidRPr="0017569A">
              <w:rPr>
                <w:lang w:val="it-IT"/>
              </w:rPr>
              <w:t>7,479</w:t>
            </w:r>
          </w:p>
        </w:tc>
      </w:tr>
      <w:tr w:rsidR="00F47023" w14:paraId="36820BC9" w14:textId="77777777" w:rsidTr="006140A4">
        <w:trPr>
          <w:trHeight w:val="227"/>
        </w:trPr>
        <w:tc>
          <w:tcPr>
            <w:tcW w:w="7257" w:type="dxa"/>
            <w:shd w:val="clear" w:color="auto" w:fill="F2F2F2" w:themeFill="background1" w:themeFillShade="F2"/>
            <w:tcMar>
              <w:top w:w="113" w:type="dxa"/>
              <w:left w:w="0" w:type="dxa"/>
              <w:bottom w:w="113" w:type="dxa"/>
              <w:right w:w="113" w:type="dxa"/>
            </w:tcMar>
            <w:vAlign w:val="bottom"/>
          </w:tcPr>
          <w:p w14:paraId="04EA9C6A" w14:textId="77777777" w:rsidR="00F47023" w:rsidRPr="0017569A" w:rsidRDefault="00F47023" w:rsidP="0017569A">
            <w:pPr>
              <w:pStyle w:val="FSBodyText"/>
              <w:spacing w:after="0" w:line="240" w:lineRule="auto"/>
            </w:pPr>
            <w:r w:rsidRPr="0017569A">
              <w:rPr>
                <w:rStyle w:val="Bold"/>
                <w:rFonts w:eastAsia="MS Mincho"/>
                <w:lang w:val="it-IT"/>
              </w:rPr>
              <w:t>Total liabilities</w:t>
            </w:r>
          </w:p>
        </w:tc>
        <w:tc>
          <w:tcPr>
            <w:tcW w:w="1417" w:type="dxa"/>
            <w:shd w:val="clear" w:color="auto" w:fill="F2F2F2" w:themeFill="background1" w:themeFillShade="F2"/>
            <w:tcMar>
              <w:top w:w="113" w:type="dxa"/>
              <w:left w:w="0" w:type="dxa"/>
              <w:bottom w:w="113" w:type="dxa"/>
              <w:right w:w="113" w:type="dxa"/>
            </w:tcMar>
            <w:vAlign w:val="bottom"/>
          </w:tcPr>
          <w:p w14:paraId="377F48CE" w14:textId="77777777" w:rsidR="00F47023" w:rsidRPr="0017569A" w:rsidRDefault="00F47023" w:rsidP="0017569A">
            <w:pPr>
              <w:pStyle w:val="FSBodyText"/>
              <w:spacing w:after="0" w:line="240" w:lineRule="auto"/>
              <w:jc w:val="right"/>
            </w:pPr>
            <w:r w:rsidRPr="0017569A">
              <w:rPr>
                <w:rStyle w:val="Bold"/>
                <w:rFonts w:eastAsia="MS Mincho"/>
                <w:lang w:val="it-IT"/>
              </w:rPr>
              <w:t>18,389</w:t>
            </w:r>
          </w:p>
        </w:tc>
        <w:tc>
          <w:tcPr>
            <w:tcW w:w="1417" w:type="dxa"/>
            <w:shd w:val="clear" w:color="auto" w:fill="F2F2F2" w:themeFill="background1" w:themeFillShade="F2"/>
            <w:tcMar>
              <w:top w:w="113" w:type="dxa"/>
              <w:left w:w="0" w:type="dxa"/>
              <w:bottom w:w="113" w:type="dxa"/>
              <w:right w:w="113" w:type="dxa"/>
            </w:tcMar>
            <w:vAlign w:val="bottom"/>
          </w:tcPr>
          <w:p w14:paraId="2918C674" w14:textId="77777777" w:rsidR="00F47023" w:rsidRPr="0017569A" w:rsidRDefault="00F47023" w:rsidP="0017569A">
            <w:pPr>
              <w:pStyle w:val="FSBodyText"/>
              <w:spacing w:after="0" w:line="240" w:lineRule="auto"/>
              <w:jc w:val="right"/>
            </w:pPr>
            <w:r w:rsidRPr="0017569A">
              <w:rPr>
                <w:lang w:val="it-IT"/>
              </w:rPr>
              <w:t>17,146</w:t>
            </w:r>
          </w:p>
        </w:tc>
      </w:tr>
    </w:tbl>
    <w:p w14:paraId="4B68BA4B" w14:textId="77777777" w:rsidR="004C75E3" w:rsidRDefault="004C75E3" w:rsidP="004C75E3">
      <w:pPr>
        <w:sectPr w:rsidR="004C75E3" w:rsidSect="00C5796B">
          <w:headerReference w:type="default" r:id="rId71"/>
          <w:headerReference w:type="first" r:id="rId72"/>
          <w:endnotePr>
            <w:numFmt w:val="decimal"/>
          </w:endnotePr>
          <w:pgSz w:w="11879" w:h="16840" w:code="9"/>
          <w:pgMar w:top="1134" w:right="833" w:bottom="1134" w:left="1077" w:header="851" w:footer="851" w:gutter="0"/>
          <w:cols w:space="708"/>
          <w:titlePg/>
          <w:docGrid w:linePitch="360"/>
        </w:sectPr>
      </w:pPr>
    </w:p>
    <w:p w14:paraId="28D67AB6" w14:textId="6D7F2864" w:rsidR="00C17D75" w:rsidRPr="007E5362" w:rsidRDefault="00C17D75" w:rsidP="00DE48E9">
      <w:pPr>
        <w:pStyle w:val="Heading1"/>
        <w:rPr>
          <w:lang w:eastAsia="en-US"/>
        </w:rPr>
      </w:pPr>
      <w:bookmarkStart w:id="51" w:name="_Toc146437057"/>
      <w:r w:rsidRPr="007E5362">
        <w:rPr>
          <w:lang w:eastAsia="en-US"/>
        </w:rPr>
        <w:t>Executive Remuneration</w:t>
      </w:r>
      <w:bookmarkEnd w:id="51"/>
    </w:p>
    <w:p w14:paraId="472E4FA4" w14:textId="3A62C5DD" w:rsidR="00C17D75" w:rsidRPr="00AB6973" w:rsidRDefault="00C17D75" w:rsidP="00DE48E9">
      <w:pPr>
        <w:pStyle w:val="Heading2"/>
        <w:rPr>
          <w:lang w:eastAsia="en-US"/>
        </w:rPr>
      </w:pPr>
      <w:bookmarkStart w:id="52" w:name="mdheading-396"/>
      <w:bookmarkStart w:id="53" w:name="_Toc146437058"/>
      <w:bookmarkEnd w:id="52"/>
      <w:r w:rsidRPr="00AB6973">
        <w:rPr>
          <w:lang w:eastAsia="en-US"/>
        </w:rPr>
        <w:t>Introduction</w:t>
      </w:r>
      <w:bookmarkEnd w:id="53"/>
    </w:p>
    <w:p w14:paraId="56B227E9" w14:textId="77777777" w:rsidR="00C17D75" w:rsidRPr="00AB6973" w:rsidRDefault="00C17D75" w:rsidP="00C17D75">
      <w:pPr>
        <w:rPr>
          <w:rFonts w:eastAsia="Malgun Gothic" w:cs="Open Sans"/>
          <w:lang w:eastAsia="en-US"/>
        </w:rPr>
      </w:pPr>
      <w:r w:rsidRPr="00AB6973">
        <w:rPr>
          <w:rFonts w:eastAsia="Malgun Gothic" w:cs="Open Sans"/>
          <w:lang w:eastAsia="en-US"/>
        </w:rPr>
        <w:t>This section contains information about the remuneration of the Australian Human Rights Commission (the Commission) Key Management Personnel, Senior Executive Service (SES) and other highly paid staff.</w:t>
      </w:r>
    </w:p>
    <w:p w14:paraId="0BB1ED9D" w14:textId="77777777" w:rsidR="00C17D75" w:rsidRPr="00855CD1" w:rsidRDefault="00C17D75" w:rsidP="00DE48E9">
      <w:pPr>
        <w:pStyle w:val="Heading2"/>
        <w:rPr>
          <w:lang w:eastAsia="en-US"/>
        </w:rPr>
      </w:pPr>
      <w:bookmarkStart w:id="54" w:name="mdheading-409"/>
      <w:bookmarkStart w:id="55" w:name="_Toc146437059"/>
      <w:bookmarkEnd w:id="54"/>
      <w:r w:rsidRPr="00855CD1">
        <w:rPr>
          <w:lang w:eastAsia="en-US"/>
        </w:rPr>
        <w:t>Remuneration Policies and Practices</w:t>
      </w:r>
      <w:bookmarkEnd w:id="55"/>
    </w:p>
    <w:p w14:paraId="7CE52077" w14:textId="5E21D1A3" w:rsidR="009B478D" w:rsidRPr="00AB6973" w:rsidRDefault="00C17D75" w:rsidP="00C17D75">
      <w:pPr>
        <w:rPr>
          <w:rFonts w:eastAsia="Malgun Gothic" w:cs="Open Sans"/>
          <w:lang w:eastAsia="en-US"/>
        </w:rPr>
      </w:pPr>
      <w:r w:rsidRPr="00AB6973">
        <w:rPr>
          <w:rFonts w:eastAsia="Malgun Gothic" w:cs="Open Sans"/>
          <w:lang w:eastAsia="en-US"/>
        </w:rPr>
        <w:t>Remuneration for the President and Commissioners is set by the Remuneration Tribunal. The Remuneration Tribunal also determines increases to remuneration and allowances.</w:t>
      </w:r>
    </w:p>
    <w:p w14:paraId="36FBC9F8" w14:textId="2C5ADBA4" w:rsidR="00C17D75" w:rsidRPr="00AB6973" w:rsidRDefault="00C17D75" w:rsidP="00C17D75">
      <w:pPr>
        <w:rPr>
          <w:rFonts w:eastAsia="Malgun Gothic" w:cs="Open Sans"/>
          <w:lang w:eastAsia="en-US"/>
        </w:rPr>
      </w:pPr>
      <w:r w:rsidRPr="00AB6973">
        <w:rPr>
          <w:rFonts w:eastAsia="Malgun Gothic" w:cs="Open Sans"/>
          <w:lang w:eastAsia="en-US"/>
        </w:rPr>
        <w:t xml:space="preserve">The Commission’s remuneration for SES and other highly paid staff is determined by the President under section 24(1) of the </w:t>
      </w:r>
      <w:r w:rsidRPr="00DE48E9">
        <w:rPr>
          <w:rStyle w:val="Emphasis"/>
          <w:rFonts w:eastAsia="Malgun Gothic"/>
        </w:rPr>
        <w:t>Public Service Act 1999</w:t>
      </w:r>
      <w:r w:rsidRPr="00AB6973">
        <w:rPr>
          <w:rFonts w:eastAsia="Malgun Gothic" w:cs="Open Sans"/>
          <w:lang w:eastAsia="en-US"/>
        </w:rPr>
        <w:t xml:space="preserve"> (Cth). When determining SES and other highly paid staff remuneration, the President has regard to the Australian Public Service Remuneration </w:t>
      </w:r>
      <w:r w:rsidR="006F0BD4" w:rsidRPr="00AB6973">
        <w:rPr>
          <w:rFonts w:eastAsia="Malgun Gothic" w:cs="Open Sans"/>
          <w:lang w:eastAsia="en-US"/>
        </w:rPr>
        <w:t>R</w:t>
      </w:r>
      <w:r w:rsidRPr="00AB6973">
        <w:rPr>
          <w:rFonts w:eastAsia="Malgun Gothic" w:cs="Open Sans"/>
          <w:lang w:eastAsia="en-US"/>
        </w:rPr>
        <w:t>eport and comparable agencies.</w:t>
      </w:r>
    </w:p>
    <w:p w14:paraId="03D8BB4F" w14:textId="025AEB3E" w:rsidR="006F58D1" w:rsidRDefault="00C17D75" w:rsidP="00C17D75">
      <w:pPr>
        <w:rPr>
          <w:rFonts w:eastAsia="Malgun Gothic" w:cs="Open Sans"/>
          <w:lang w:eastAsia="en-US"/>
        </w:rPr>
      </w:pPr>
      <w:r w:rsidRPr="00AB6973">
        <w:rPr>
          <w:rFonts w:eastAsia="Malgun Gothic" w:cs="Open Sans"/>
          <w:lang w:eastAsia="en-US"/>
        </w:rPr>
        <w:t>SES determinations set out salary on commencement and provide for increments of salary, in line with percentage increases awarded to the Commissioners by the Remuneration Tribunal.</w:t>
      </w:r>
    </w:p>
    <w:p w14:paraId="5339FD69" w14:textId="72BB8666" w:rsidR="00D9619B" w:rsidRPr="00D9619B" w:rsidRDefault="00D9619B" w:rsidP="00D9619B">
      <w:pPr>
        <w:spacing w:before="0" w:after="0" w:line="240" w:lineRule="auto"/>
        <w:rPr>
          <w:rFonts w:eastAsia="Malgun Gothic" w:cs="Open Sans"/>
          <w:lang w:eastAsia="en-US"/>
        </w:rPr>
      </w:pPr>
      <w:r>
        <w:rPr>
          <w:rFonts w:eastAsia="Malgun Gothic" w:cs="Open Sans"/>
          <w:lang w:eastAsia="en-US"/>
        </w:rPr>
        <w:br w:type="page"/>
      </w:r>
    </w:p>
    <w:p w14:paraId="014E5CD1" w14:textId="756B6444" w:rsidR="00420477" w:rsidRPr="00420477" w:rsidRDefault="00B7010F" w:rsidP="4327C3A9">
      <w:pPr>
        <w:pStyle w:val="Heading5"/>
        <w:rPr>
          <w:rStyle w:val="Italic"/>
          <w:rFonts w:eastAsia="Malgun Gothic"/>
          <w:i w:val="0"/>
          <w:color w:val="0070C0"/>
          <w:sz w:val="22"/>
          <w:szCs w:val="22"/>
          <w:lang w:eastAsia="en-US"/>
        </w:rPr>
      </w:pPr>
      <w:hyperlink r:id="rId73">
        <w:r w:rsidR="00B61FB8" w:rsidRPr="4327C3A9">
          <w:rPr>
            <w:rStyle w:val="Hyperlink"/>
            <w:rFonts w:eastAsia="Malgun Gothic" w:cs="Open Sans"/>
            <w:sz w:val="22"/>
            <w:szCs w:val="22"/>
            <w:lang w:eastAsia="en-US"/>
          </w:rPr>
          <w:t>Rem</w:t>
        </w:r>
        <w:r w:rsidR="00C2191C">
          <w:rPr>
            <w:rStyle w:val="Hyperlink"/>
            <w:rFonts w:eastAsia="Malgun Gothic" w:cs="Open Sans"/>
            <w:sz w:val="22"/>
            <w:szCs w:val="22"/>
            <w:lang w:eastAsia="en-US"/>
          </w:rPr>
          <w:t>un</w:t>
        </w:r>
        <w:r w:rsidR="00B61FB8" w:rsidRPr="4327C3A9">
          <w:rPr>
            <w:rStyle w:val="Hyperlink"/>
            <w:rFonts w:eastAsia="Malgun Gothic" w:cs="Open Sans"/>
            <w:sz w:val="22"/>
            <w:szCs w:val="22"/>
            <w:lang w:eastAsia="en-US"/>
          </w:rPr>
          <w:t xml:space="preserve">eration of Key Management Personnel </w:t>
        </w:r>
      </w:hyperlink>
    </w:p>
    <w:tbl>
      <w:tblPr>
        <w:tblW w:w="9989" w:type="dxa"/>
        <w:tblInd w:w="-8" w:type="dxa"/>
        <w:tblLayout w:type="fixed"/>
        <w:tblCellMar>
          <w:left w:w="0" w:type="dxa"/>
          <w:right w:w="0" w:type="dxa"/>
        </w:tblCellMar>
        <w:tblLook w:val="0000" w:firstRow="0" w:lastRow="0" w:firstColumn="0" w:lastColumn="0" w:noHBand="0" w:noVBand="0"/>
      </w:tblPr>
      <w:tblGrid>
        <w:gridCol w:w="1191"/>
        <w:gridCol w:w="1701"/>
        <w:gridCol w:w="1153"/>
        <w:gridCol w:w="850"/>
        <w:gridCol w:w="850"/>
        <w:gridCol w:w="964"/>
        <w:gridCol w:w="794"/>
        <w:gridCol w:w="794"/>
        <w:gridCol w:w="680"/>
        <w:gridCol w:w="1012"/>
      </w:tblGrid>
      <w:tr w:rsidR="00956537" w:rsidRPr="00E936C7" w14:paraId="330FECBA" w14:textId="77777777" w:rsidTr="644940EB">
        <w:trPr>
          <w:trHeight w:val="60"/>
        </w:trPr>
        <w:tc>
          <w:tcPr>
            <w:tcW w:w="1191" w:type="dxa"/>
            <w:tcBorders>
              <w:top w:val="single" w:sz="4" w:space="0" w:color="auto"/>
              <w:bottom w:val="single" w:sz="4" w:space="0" w:color="6D6E70"/>
            </w:tcBorders>
            <w:shd w:val="clear" w:color="auto" w:fill="F2F2F2" w:themeFill="background1" w:themeFillShade="F2"/>
            <w:tcMar>
              <w:top w:w="85" w:type="dxa"/>
              <w:left w:w="0" w:type="dxa"/>
              <w:bottom w:w="113" w:type="dxa"/>
              <w:right w:w="113" w:type="dxa"/>
            </w:tcMar>
            <w:vAlign w:val="bottom"/>
          </w:tcPr>
          <w:p w14:paraId="364B6C3B" w14:textId="77777777" w:rsidR="00420477" w:rsidRPr="00D47AB2" w:rsidRDefault="00420477">
            <w:pPr>
              <w:pStyle w:val="Nessunostileparagrafo"/>
              <w:spacing w:line="240" w:lineRule="auto"/>
              <w:textAlignment w:val="auto"/>
              <w:rPr>
                <w:rFonts w:ascii="Open Sans" w:hAnsi="Open Sans" w:cs="Times New Roman"/>
                <w:color w:val="auto"/>
                <w:sz w:val="16"/>
                <w:szCs w:val="16"/>
              </w:rPr>
            </w:pPr>
          </w:p>
        </w:tc>
        <w:tc>
          <w:tcPr>
            <w:tcW w:w="1701" w:type="dxa"/>
            <w:tcBorders>
              <w:top w:val="single" w:sz="4" w:space="0" w:color="auto"/>
              <w:left w:val="nil"/>
              <w:bottom w:val="single" w:sz="4" w:space="0" w:color="6D6E70"/>
            </w:tcBorders>
            <w:shd w:val="clear" w:color="auto" w:fill="F2F2F2" w:themeFill="background1" w:themeFillShade="F2"/>
            <w:tcMar>
              <w:top w:w="85" w:type="dxa"/>
              <w:left w:w="0" w:type="dxa"/>
              <w:bottom w:w="113" w:type="dxa"/>
              <w:right w:w="113" w:type="dxa"/>
            </w:tcMar>
            <w:vAlign w:val="bottom"/>
          </w:tcPr>
          <w:p w14:paraId="0683F705" w14:textId="77777777" w:rsidR="00420477" w:rsidRPr="00E936C7" w:rsidRDefault="00420477">
            <w:pPr>
              <w:pStyle w:val="FSHeaderRow"/>
              <w:jc w:val="left"/>
            </w:pPr>
            <w:r w:rsidRPr="00E936C7">
              <w:t>Position title</w:t>
            </w:r>
          </w:p>
        </w:tc>
        <w:tc>
          <w:tcPr>
            <w:tcW w:w="1153" w:type="dxa"/>
            <w:tcBorders>
              <w:top w:val="single" w:sz="4" w:space="0" w:color="auto"/>
              <w:bottom w:val="single" w:sz="4" w:space="0" w:color="6D6E70"/>
            </w:tcBorders>
            <w:shd w:val="clear" w:color="auto" w:fill="F2F2F2" w:themeFill="background1" w:themeFillShade="F2"/>
            <w:tcMar>
              <w:top w:w="85" w:type="dxa"/>
              <w:left w:w="0" w:type="dxa"/>
              <w:bottom w:w="113" w:type="dxa"/>
              <w:right w:w="113" w:type="dxa"/>
            </w:tcMar>
            <w:vAlign w:val="bottom"/>
          </w:tcPr>
          <w:p w14:paraId="0FA822C2" w14:textId="77777777" w:rsidR="00420477" w:rsidRPr="00E936C7" w:rsidRDefault="00420477">
            <w:pPr>
              <w:pStyle w:val="FSHeaderRow"/>
            </w:pPr>
            <w:r w:rsidRPr="00E936C7">
              <w:t>Base salary</w:t>
            </w:r>
          </w:p>
        </w:tc>
        <w:tc>
          <w:tcPr>
            <w:tcW w:w="850" w:type="dxa"/>
            <w:tcBorders>
              <w:top w:val="single" w:sz="4" w:space="0" w:color="auto"/>
              <w:bottom w:val="single" w:sz="4" w:space="0" w:color="6D6E70"/>
            </w:tcBorders>
            <w:shd w:val="clear" w:color="auto" w:fill="F2F2F2" w:themeFill="background1" w:themeFillShade="F2"/>
            <w:tcMar>
              <w:top w:w="85" w:type="dxa"/>
              <w:left w:w="0" w:type="dxa"/>
              <w:bottom w:w="113" w:type="dxa"/>
              <w:right w:w="113" w:type="dxa"/>
            </w:tcMar>
            <w:vAlign w:val="bottom"/>
          </w:tcPr>
          <w:p w14:paraId="404A18D6" w14:textId="77777777" w:rsidR="00420477" w:rsidRPr="00E936C7" w:rsidRDefault="00420477">
            <w:pPr>
              <w:pStyle w:val="FSHeaderRow"/>
            </w:pPr>
            <w:r w:rsidRPr="00E936C7">
              <w:t>Bonuses</w:t>
            </w:r>
          </w:p>
        </w:tc>
        <w:tc>
          <w:tcPr>
            <w:tcW w:w="850" w:type="dxa"/>
            <w:tcBorders>
              <w:top w:val="single" w:sz="4" w:space="0" w:color="auto"/>
              <w:bottom w:val="single" w:sz="4" w:space="0" w:color="6D6E70"/>
            </w:tcBorders>
            <w:shd w:val="clear" w:color="auto" w:fill="F2F2F2" w:themeFill="background1" w:themeFillShade="F2"/>
            <w:tcMar>
              <w:top w:w="85" w:type="dxa"/>
              <w:left w:w="0" w:type="dxa"/>
              <w:bottom w:w="113" w:type="dxa"/>
              <w:right w:w="113" w:type="dxa"/>
            </w:tcMar>
            <w:vAlign w:val="bottom"/>
          </w:tcPr>
          <w:p w14:paraId="75A79198" w14:textId="77777777" w:rsidR="00420477" w:rsidRPr="00E936C7" w:rsidRDefault="00420477">
            <w:pPr>
              <w:pStyle w:val="FSHeaderRow"/>
            </w:pPr>
            <w:r w:rsidRPr="00E936C7">
              <w:t>Other</w:t>
            </w:r>
            <w:r w:rsidRPr="00E936C7">
              <w:br/>
              <w:t>benefits and allowances</w:t>
            </w:r>
          </w:p>
        </w:tc>
        <w:tc>
          <w:tcPr>
            <w:tcW w:w="964" w:type="dxa"/>
            <w:tcBorders>
              <w:top w:val="single" w:sz="4" w:space="0" w:color="auto"/>
              <w:bottom w:val="single" w:sz="4" w:space="0" w:color="6D6E70"/>
            </w:tcBorders>
            <w:shd w:val="clear" w:color="auto" w:fill="F2F2F2" w:themeFill="background1" w:themeFillShade="F2"/>
            <w:tcMar>
              <w:top w:w="85" w:type="dxa"/>
              <w:left w:w="0" w:type="dxa"/>
              <w:bottom w:w="113" w:type="dxa"/>
              <w:right w:w="113" w:type="dxa"/>
            </w:tcMar>
            <w:vAlign w:val="bottom"/>
          </w:tcPr>
          <w:p w14:paraId="38897BD7" w14:textId="317F4835" w:rsidR="00420477" w:rsidRPr="00E936C7" w:rsidRDefault="00420477">
            <w:pPr>
              <w:pStyle w:val="FSHeaderRow"/>
            </w:pPr>
            <w:r w:rsidRPr="00E936C7">
              <w:t>Superann</w:t>
            </w:r>
            <w:r w:rsidR="00217522">
              <w:br/>
              <w:t>-</w:t>
            </w:r>
            <w:r w:rsidRPr="00E936C7">
              <w:t>uation contributions</w:t>
            </w:r>
          </w:p>
        </w:tc>
        <w:tc>
          <w:tcPr>
            <w:tcW w:w="794" w:type="dxa"/>
            <w:tcBorders>
              <w:top w:val="single" w:sz="4" w:space="0" w:color="auto"/>
              <w:bottom w:val="single" w:sz="4" w:space="0" w:color="6D6E70"/>
            </w:tcBorders>
            <w:shd w:val="clear" w:color="auto" w:fill="F2F2F2" w:themeFill="background1" w:themeFillShade="F2"/>
            <w:tcMar>
              <w:top w:w="85" w:type="dxa"/>
              <w:left w:w="0" w:type="dxa"/>
              <w:bottom w:w="113" w:type="dxa"/>
              <w:right w:w="113" w:type="dxa"/>
            </w:tcMar>
            <w:vAlign w:val="bottom"/>
          </w:tcPr>
          <w:p w14:paraId="0D60B81B" w14:textId="77777777" w:rsidR="00420477" w:rsidRPr="00E936C7" w:rsidRDefault="00420477">
            <w:pPr>
              <w:pStyle w:val="FSHeaderRow"/>
            </w:pPr>
            <w:r w:rsidRPr="00E936C7">
              <w:t>Long service leave</w:t>
            </w:r>
          </w:p>
        </w:tc>
        <w:tc>
          <w:tcPr>
            <w:tcW w:w="794" w:type="dxa"/>
            <w:tcBorders>
              <w:top w:val="single" w:sz="4" w:space="0" w:color="auto"/>
              <w:bottom w:val="single" w:sz="4" w:space="0" w:color="6D6E70"/>
            </w:tcBorders>
            <w:shd w:val="clear" w:color="auto" w:fill="F2F2F2" w:themeFill="background1" w:themeFillShade="F2"/>
            <w:tcMar>
              <w:top w:w="85" w:type="dxa"/>
              <w:left w:w="0" w:type="dxa"/>
              <w:bottom w:w="113" w:type="dxa"/>
              <w:right w:w="113" w:type="dxa"/>
            </w:tcMar>
            <w:vAlign w:val="bottom"/>
          </w:tcPr>
          <w:p w14:paraId="5283A4D8" w14:textId="77777777" w:rsidR="00420477" w:rsidRPr="00E936C7" w:rsidRDefault="00420477">
            <w:pPr>
              <w:pStyle w:val="FSHeaderRow"/>
            </w:pPr>
            <w:r w:rsidRPr="00E936C7">
              <w:t xml:space="preserve">Other </w:t>
            </w:r>
            <w:r w:rsidRPr="00E936C7">
              <w:br/>
              <w:t>long</w:t>
            </w:r>
            <w:r w:rsidRPr="00E936C7">
              <w:rPr>
                <w:rFonts w:ascii="Cambria Math" w:hAnsi="Cambria Math" w:cs="Cambria Math"/>
              </w:rPr>
              <w:t>‑</w:t>
            </w:r>
            <w:r w:rsidRPr="00E936C7">
              <w:t>term benefits</w:t>
            </w:r>
          </w:p>
        </w:tc>
        <w:tc>
          <w:tcPr>
            <w:tcW w:w="680" w:type="dxa"/>
            <w:tcBorders>
              <w:top w:val="single" w:sz="4" w:space="0" w:color="auto"/>
              <w:bottom w:val="single" w:sz="4" w:space="0" w:color="6D6E70"/>
            </w:tcBorders>
            <w:shd w:val="clear" w:color="auto" w:fill="F2F2F2" w:themeFill="background1" w:themeFillShade="F2"/>
            <w:tcMar>
              <w:top w:w="85" w:type="dxa"/>
              <w:left w:w="0" w:type="dxa"/>
              <w:bottom w:w="113" w:type="dxa"/>
              <w:right w:w="113" w:type="dxa"/>
            </w:tcMar>
            <w:vAlign w:val="bottom"/>
          </w:tcPr>
          <w:p w14:paraId="1F57E5C9" w14:textId="61274E66" w:rsidR="00420477" w:rsidRPr="00E936C7" w:rsidRDefault="00420477">
            <w:pPr>
              <w:pStyle w:val="FSHeaderRow"/>
            </w:pPr>
            <w:r w:rsidRPr="00E936C7">
              <w:t>Termin</w:t>
            </w:r>
            <w:r w:rsidR="00217522">
              <w:br/>
              <w:t>-</w:t>
            </w:r>
            <w:r w:rsidRPr="00E936C7">
              <w:t>ation benefits</w:t>
            </w:r>
          </w:p>
        </w:tc>
        <w:tc>
          <w:tcPr>
            <w:tcW w:w="1012" w:type="dxa"/>
            <w:tcBorders>
              <w:top w:val="single" w:sz="4" w:space="0" w:color="auto"/>
              <w:bottom w:val="single" w:sz="4" w:space="0" w:color="6D6E70"/>
            </w:tcBorders>
            <w:shd w:val="clear" w:color="auto" w:fill="F2F2F2" w:themeFill="background1" w:themeFillShade="F2"/>
            <w:tcMar>
              <w:top w:w="85" w:type="dxa"/>
              <w:left w:w="0" w:type="dxa"/>
              <w:bottom w:w="113" w:type="dxa"/>
              <w:right w:w="113" w:type="dxa"/>
            </w:tcMar>
            <w:vAlign w:val="bottom"/>
          </w:tcPr>
          <w:p w14:paraId="0A171867" w14:textId="7DEA004C" w:rsidR="00420477" w:rsidRPr="00E936C7" w:rsidRDefault="00420477">
            <w:pPr>
              <w:pStyle w:val="FSHeaderRow"/>
            </w:pPr>
            <w:r w:rsidRPr="00E936C7">
              <w:t>Total remun</w:t>
            </w:r>
            <w:r w:rsidR="00217522">
              <w:br/>
              <w:t>-</w:t>
            </w:r>
            <w:r w:rsidRPr="00E936C7">
              <w:t>erations</w:t>
            </w:r>
          </w:p>
        </w:tc>
      </w:tr>
      <w:tr w:rsidR="00420477" w14:paraId="52A1FF1D" w14:textId="77777777" w:rsidTr="644940EB">
        <w:trPr>
          <w:trHeight w:val="60"/>
        </w:trPr>
        <w:tc>
          <w:tcPr>
            <w:tcW w:w="1191" w:type="dxa"/>
            <w:tcBorders>
              <w:top w:val="single" w:sz="4" w:space="0" w:color="6D6E70"/>
              <w:bottom w:val="single" w:sz="6" w:space="0" w:color="000000" w:themeColor="text1"/>
            </w:tcBorders>
            <w:tcMar>
              <w:top w:w="113" w:type="dxa"/>
              <w:left w:w="0" w:type="dxa"/>
              <w:bottom w:w="57" w:type="dxa"/>
              <w:right w:w="113" w:type="dxa"/>
            </w:tcMar>
            <w:vAlign w:val="center"/>
          </w:tcPr>
          <w:p w14:paraId="04F97616" w14:textId="77777777" w:rsidR="00420477" w:rsidRDefault="00420477">
            <w:pPr>
              <w:pStyle w:val="FSBodyText"/>
            </w:pPr>
            <w:r>
              <w:rPr>
                <w:sz w:val="14"/>
                <w:szCs w:val="14"/>
              </w:rPr>
              <w:t>Rosalind Croucher</w:t>
            </w:r>
          </w:p>
        </w:tc>
        <w:tc>
          <w:tcPr>
            <w:tcW w:w="1701" w:type="dxa"/>
            <w:tcBorders>
              <w:top w:val="single" w:sz="4" w:space="0" w:color="6D6E70"/>
              <w:bottom w:val="single" w:sz="6" w:space="0" w:color="000000" w:themeColor="text1"/>
            </w:tcBorders>
            <w:tcMar>
              <w:top w:w="113" w:type="dxa"/>
              <w:left w:w="0" w:type="dxa"/>
              <w:bottom w:w="57" w:type="dxa"/>
              <w:right w:w="113" w:type="dxa"/>
            </w:tcMar>
            <w:vAlign w:val="center"/>
          </w:tcPr>
          <w:p w14:paraId="7133EDA6" w14:textId="77777777" w:rsidR="00420477" w:rsidRDefault="00420477">
            <w:pPr>
              <w:pStyle w:val="FSBodyText"/>
            </w:pPr>
            <w:r>
              <w:rPr>
                <w:sz w:val="14"/>
                <w:szCs w:val="14"/>
              </w:rPr>
              <w:t>President</w:t>
            </w:r>
          </w:p>
        </w:tc>
        <w:tc>
          <w:tcPr>
            <w:tcW w:w="1153" w:type="dxa"/>
            <w:tcBorders>
              <w:top w:val="single" w:sz="4" w:space="0" w:color="6D6E70"/>
              <w:bottom w:val="single" w:sz="6" w:space="0" w:color="000000" w:themeColor="text1"/>
            </w:tcBorders>
            <w:tcMar>
              <w:top w:w="113" w:type="dxa"/>
              <w:left w:w="0" w:type="dxa"/>
              <w:bottom w:w="57" w:type="dxa"/>
              <w:right w:w="113" w:type="dxa"/>
            </w:tcMar>
            <w:vAlign w:val="center"/>
          </w:tcPr>
          <w:p w14:paraId="7030FA54" w14:textId="77777777" w:rsidR="00420477" w:rsidRDefault="00420477">
            <w:pPr>
              <w:pStyle w:val="FSBodyText7ptDestra"/>
            </w:pPr>
            <w:r>
              <w:t>468,383</w:t>
            </w:r>
          </w:p>
        </w:tc>
        <w:tc>
          <w:tcPr>
            <w:tcW w:w="850" w:type="dxa"/>
            <w:tcBorders>
              <w:top w:val="single" w:sz="4" w:space="0" w:color="6D6E70"/>
              <w:bottom w:val="single" w:sz="6" w:space="0" w:color="000000" w:themeColor="text1"/>
            </w:tcBorders>
            <w:tcMar>
              <w:top w:w="113" w:type="dxa"/>
              <w:left w:w="0" w:type="dxa"/>
              <w:bottom w:w="57" w:type="dxa"/>
              <w:right w:w="113" w:type="dxa"/>
            </w:tcMar>
            <w:vAlign w:val="center"/>
          </w:tcPr>
          <w:p w14:paraId="2200607A"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850" w:type="dxa"/>
            <w:tcBorders>
              <w:top w:val="single" w:sz="4" w:space="0" w:color="6D6E70"/>
              <w:bottom w:val="single" w:sz="6" w:space="0" w:color="000000" w:themeColor="text1"/>
            </w:tcBorders>
            <w:tcMar>
              <w:top w:w="113" w:type="dxa"/>
              <w:left w:w="0" w:type="dxa"/>
              <w:bottom w:w="57" w:type="dxa"/>
              <w:right w:w="113" w:type="dxa"/>
            </w:tcMar>
            <w:vAlign w:val="center"/>
          </w:tcPr>
          <w:p w14:paraId="0381FAD2"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964" w:type="dxa"/>
            <w:tcBorders>
              <w:top w:val="single" w:sz="4" w:space="0" w:color="6D6E70"/>
              <w:bottom w:val="single" w:sz="6" w:space="0" w:color="000000" w:themeColor="text1"/>
            </w:tcBorders>
            <w:tcMar>
              <w:top w:w="113" w:type="dxa"/>
              <w:left w:w="0" w:type="dxa"/>
              <w:bottom w:w="57" w:type="dxa"/>
              <w:right w:w="113" w:type="dxa"/>
            </w:tcMar>
            <w:vAlign w:val="center"/>
          </w:tcPr>
          <w:p w14:paraId="2C7FFD3E" w14:textId="77777777" w:rsidR="00420477" w:rsidRDefault="00420477">
            <w:pPr>
              <w:pStyle w:val="FSBodyText7ptDestra"/>
            </w:pPr>
            <w:r>
              <w:t>25,292</w:t>
            </w:r>
          </w:p>
        </w:tc>
        <w:tc>
          <w:tcPr>
            <w:tcW w:w="794" w:type="dxa"/>
            <w:tcBorders>
              <w:top w:val="single" w:sz="4" w:space="0" w:color="6D6E70"/>
              <w:bottom w:val="single" w:sz="6" w:space="0" w:color="000000" w:themeColor="text1"/>
            </w:tcBorders>
            <w:tcMar>
              <w:top w:w="113" w:type="dxa"/>
              <w:left w:w="0" w:type="dxa"/>
              <w:bottom w:w="57" w:type="dxa"/>
              <w:right w:w="113" w:type="dxa"/>
            </w:tcMar>
            <w:vAlign w:val="center"/>
          </w:tcPr>
          <w:p w14:paraId="4522FAC8" w14:textId="77777777" w:rsidR="00420477" w:rsidRDefault="00420477">
            <w:pPr>
              <w:pStyle w:val="FSBodyText7ptDestra"/>
            </w:pPr>
            <w:r>
              <w:t>32,217</w:t>
            </w:r>
          </w:p>
        </w:tc>
        <w:tc>
          <w:tcPr>
            <w:tcW w:w="794" w:type="dxa"/>
            <w:tcBorders>
              <w:top w:val="single" w:sz="4" w:space="0" w:color="6D6E70"/>
              <w:bottom w:val="single" w:sz="6" w:space="0" w:color="000000" w:themeColor="text1"/>
            </w:tcBorders>
            <w:tcMar>
              <w:top w:w="113" w:type="dxa"/>
              <w:left w:w="0" w:type="dxa"/>
              <w:bottom w:w="57" w:type="dxa"/>
              <w:right w:w="113" w:type="dxa"/>
            </w:tcMar>
            <w:vAlign w:val="center"/>
          </w:tcPr>
          <w:p w14:paraId="69FB9A87"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680" w:type="dxa"/>
            <w:tcBorders>
              <w:top w:val="single" w:sz="4" w:space="0" w:color="6D6E70"/>
              <w:bottom w:val="single" w:sz="6" w:space="0" w:color="000000" w:themeColor="text1"/>
            </w:tcBorders>
            <w:tcMar>
              <w:top w:w="113" w:type="dxa"/>
              <w:left w:w="0" w:type="dxa"/>
              <w:bottom w:w="57" w:type="dxa"/>
              <w:right w:w="113" w:type="dxa"/>
            </w:tcMar>
            <w:vAlign w:val="center"/>
          </w:tcPr>
          <w:p w14:paraId="74641F02"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1012" w:type="dxa"/>
            <w:tcBorders>
              <w:top w:val="single" w:sz="4" w:space="0" w:color="6D6E70"/>
              <w:bottom w:val="single" w:sz="6" w:space="0" w:color="000000" w:themeColor="text1"/>
            </w:tcBorders>
            <w:tcMar>
              <w:top w:w="113" w:type="dxa"/>
              <w:left w:w="0" w:type="dxa"/>
              <w:bottom w:w="57" w:type="dxa"/>
              <w:right w:w="113" w:type="dxa"/>
            </w:tcMar>
            <w:vAlign w:val="center"/>
          </w:tcPr>
          <w:p w14:paraId="40067421" w14:textId="77777777" w:rsidR="00420477" w:rsidRDefault="00420477">
            <w:pPr>
              <w:pStyle w:val="FSBodyText7ptDestra"/>
            </w:pPr>
            <w:r>
              <w:t>525,892</w:t>
            </w:r>
          </w:p>
        </w:tc>
      </w:tr>
      <w:tr w:rsidR="00420477" w14:paraId="10A9C5B8" w14:textId="77777777" w:rsidTr="644940EB">
        <w:trPr>
          <w:trHeight w:val="373"/>
        </w:trPr>
        <w:tc>
          <w:tcPr>
            <w:tcW w:w="1191"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2BC4CF4E" w14:textId="77777777" w:rsidR="00420477" w:rsidRDefault="00420477">
            <w:pPr>
              <w:pStyle w:val="FSBodyText"/>
            </w:pPr>
            <w:r>
              <w:rPr>
                <w:sz w:val="14"/>
                <w:szCs w:val="14"/>
              </w:rPr>
              <w:t>June Oscar</w:t>
            </w:r>
          </w:p>
        </w:tc>
        <w:tc>
          <w:tcPr>
            <w:tcW w:w="1701"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3851C006" w14:textId="77777777" w:rsidR="00420477" w:rsidRDefault="00420477">
            <w:pPr>
              <w:pStyle w:val="FSBodyText"/>
            </w:pPr>
            <w:r>
              <w:rPr>
                <w:sz w:val="14"/>
                <w:szCs w:val="14"/>
              </w:rPr>
              <w:t>Aboriginal and Torres Strait Islander Social Justice Commissioner</w:t>
            </w:r>
          </w:p>
        </w:tc>
        <w:tc>
          <w:tcPr>
            <w:tcW w:w="1153"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3340741B" w14:textId="77777777" w:rsidR="00420477" w:rsidRDefault="00420477">
            <w:pPr>
              <w:pStyle w:val="FSBodyText7ptDestra"/>
            </w:pPr>
            <w:r>
              <w:t>341,512</w:t>
            </w:r>
          </w:p>
        </w:tc>
        <w:tc>
          <w:tcPr>
            <w:tcW w:w="85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4AB3060D" w14:textId="706130F9" w:rsidR="00420477" w:rsidRPr="00D47AB2" w:rsidRDefault="00420477" w:rsidP="644940EB">
            <w:pPr>
              <w:pStyle w:val="FSBodyText7ptDestra"/>
              <w:rPr>
                <w:highlight w:val="yellow"/>
              </w:rPr>
            </w:pPr>
          </w:p>
        </w:tc>
        <w:tc>
          <w:tcPr>
            <w:tcW w:w="85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50FBFD2F" w14:textId="70FEA5A0" w:rsidR="00420477" w:rsidRPr="00497DB5" w:rsidRDefault="006E6D53" w:rsidP="00D47AB2">
            <w:pPr>
              <w:pStyle w:val="FSBodyText7ptDestra"/>
              <w:rPr>
                <w:rFonts w:cs="Times New Roman"/>
                <w:color w:val="auto"/>
                <w:lang w:val="it-IT"/>
              </w:rPr>
            </w:pPr>
            <w:r w:rsidRPr="00497DB5">
              <w:t>16,444</w:t>
            </w:r>
          </w:p>
        </w:tc>
        <w:tc>
          <w:tcPr>
            <w:tcW w:w="96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6E2CD375" w14:textId="77777777" w:rsidR="00420477" w:rsidRDefault="00420477">
            <w:pPr>
              <w:pStyle w:val="FSBodyText7ptDestra"/>
            </w:pPr>
            <w:r>
              <w:t>25,292</w:t>
            </w:r>
          </w:p>
        </w:tc>
        <w:tc>
          <w:tcPr>
            <w:tcW w:w="79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48B9121C" w14:textId="77777777" w:rsidR="00420477" w:rsidRDefault="00420477">
            <w:pPr>
              <w:pStyle w:val="FSBodyText7ptDestra"/>
            </w:pPr>
            <w:r>
              <w:t>13,418</w:t>
            </w:r>
          </w:p>
        </w:tc>
        <w:tc>
          <w:tcPr>
            <w:tcW w:w="79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7EF89782"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68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21D9402D"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1012"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267FD20B" w14:textId="5BA0C35B" w:rsidR="00420477" w:rsidRDefault="763E300C">
            <w:pPr>
              <w:pStyle w:val="FSBodyText7ptDestra"/>
            </w:pPr>
            <w:r>
              <w:t>396,</w:t>
            </w:r>
            <w:r w:rsidR="7616383B">
              <w:t>6</w:t>
            </w:r>
            <w:r>
              <w:t>66</w:t>
            </w:r>
          </w:p>
        </w:tc>
      </w:tr>
      <w:tr w:rsidR="00420477" w14:paraId="0C9448D6" w14:textId="77777777" w:rsidTr="644940EB">
        <w:trPr>
          <w:trHeight w:val="60"/>
        </w:trPr>
        <w:tc>
          <w:tcPr>
            <w:tcW w:w="1191"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5C12CF87" w14:textId="77777777" w:rsidR="00420477" w:rsidRDefault="00420477">
            <w:pPr>
              <w:pStyle w:val="FSBodyText"/>
            </w:pPr>
            <w:r>
              <w:rPr>
                <w:sz w:val="14"/>
                <w:szCs w:val="14"/>
              </w:rPr>
              <w:t>Kay Patterson</w:t>
            </w:r>
          </w:p>
        </w:tc>
        <w:tc>
          <w:tcPr>
            <w:tcW w:w="1701"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58B043E9" w14:textId="77777777" w:rsidR="00420477" w:rsidRDefault="00420477">
            <w:pPr>
              <w:pStyle w:val="FSBodyText"/>
            </w:pPr>
            <w:r>
              <w:rPr>
                <w:sz w:val="14"/>
                <w:szCs w:val="14"/>
              </w:rPr>
              <w:t>Age Discrimination Commissioner</w:t>
            </w:r>
          </w:p>
        </w:tc>
        <w:tc>
          <w:tcPr>
            <w:tcW w:w="1153"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7D2A21A0" w14:textId="77777777" w:rsidR="00420477" w:rsidRDefault="00420477">
            <w:pPr>
              <w:pStyle w:val="FSBodyText7ptDestra"/>
            </w:pPr>
            <w:r>
              <w:t>340,334</w:t>
            </w:r>
          </w:p>
        </w:tc>
        <w:tc>
          <w:tcPr>
            <w:tcW w:w="85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5458EB1D" w14:textId="77777777" w:rsidR="00420477" w:rsidRPr="00D47AB2" w:rsidRDefault="00420477" w:rsidP="644940EB">
            <w:pPr>
              <w:pStyle w:val="Nessunostileparagrafo"/>
              <w:spacing w:line="240" w:lineRule="auto"/>
              <w:textAlignment w:val="auto"/>
              <w:rPr>
                <w:rFonts w:ascii="Open Sans" w:hAnsi="Open Sans" w:cs="Times New Roman"/>
                <w:color w:val="auto"/>
                <w:highlight w:val="yellow"/>
                <w:lang w:val="it-IT"/>
              </w:rPr>
            </w:pPr>
          </w:p>
        </w:tc>
        <w:tc>
          <w:tcPr>
            <w:tcW w:w="85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72409844" w14:textId="77777777" w:rsidR="00420477" w:rsidRPr="00497DB5" w:rsidRDefault="00420477">
            <w:pPr>
              <w:pStyle w:val="Nessunostileparagrafo"/>
              <w:spacing w:line="240" w:lineRule="auto"/>
              <w:textAlignment w:val="auto"/>
              <w:rPr>
                <w:rFonts w:ascii="Open Sans" w:hAnsi="Open Sans" w:cs="Times New Roman"/>
                <w:color w:val="auto"/>
                <w:lang w:val="it-IT"/>
              </w:rPr>
            </w:pPr>
          </w:p>
        </w:tc>
        <w:tc>
          <w:tcPr>
            <w:tcW w:w="96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331E55A6" w14:textId="77777777" w:rsidR="00420477" w:rsidRDefault="00420477">
            <w:pPr>
              <w:pStyle w:val="FSBodyText7ptDestra"/>
            </w:pPr>
            <w:r>
              <w:t>25,292</w:t>
            </w:r>
          </w:p>
        </w:tc>
        <w:tc>
          <w:tcPr>
            <w:tcW w:w="79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2DC89F31" w14:textId="77777777" w:rsidR="00420477" w:rsidRDefault="00420477">
            <w:pPr>
              <w:pStyle w:val="FSBodyText7ptDestra"/>
            </w:pPr>
            <w:r>
              <w:t>11,647</w:t>
            </w:r>
          </w:p>
        </w:tc>
        <w:tc>
          <w:tcPr>
            <w:tcW w:w="79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048FE522"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68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1F560406"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1012"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41E51646" w14:textId="77777777" w:rsidR="00420477" w:rsidRDefault="00420477">
            <w:pPr>
              <w:pStyle w:val="FSBodyText7ptDestra"/>
            </w:pPr>
            <w:r>
              <w:t>377,273</w:t>
            </w:r>
          </w:p>
        </w:tc>
      </w:tr>
      <w:tr w:rsidR="00420477" w14:paraId="24D99207" w14:textId="77777777" w:rsidTr="644940EB">
        <w:trPr>
          <w:trHeight w:val="60"/>
        </w:trPr>
        <w:tc>
          <w:tcPr>
            <w:tcW w:w="1191"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2FBADF35" w14:textId="77777777" w:rsidR="00420477" w:rsidRDefault="00420477">
            <w:pPr>
              <w:pStyle w:val="FSBodyText"/>
            </w:pPr>
            <w:r>
              <w:rPr>
                <w:sz w:val="14"/>
                <w:szCs w:val="14"/>
              </w:rPr>
              <w:t>Ben Gauntlett</w:t>
            </w:r>
          </w:p>
        </w:tc>
        <w:tc>
          <w:tcPr>
            <w:tcW w:w="1701"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2F11C733" w14:textId="77777777" w:rsidR="00420477" w:rsidRDefault="00420477">
            <w:pPr>
              <w:pStyle w:val="FSBodyText"/>
            </w:pPr>
            <w:r>
              <w:rPr>
                <w:sz w:val="14"/>
                <w:szCs w:val="14"/>
              </w:rPr>
              <w:t>Disability Discrimination Commissioner</w:t>
            </w:r>
          </w:p>
        </w:tc>
        <w:tc>
          <w:tcPr>
            <w:tcW w:w="1153"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5813CC4A" w14:textId="77777777" w:rsidR="00420477" w:rsidRDefault="00420477">
            <w:pPr>
              <w:pStyle w:val="FSBodyText7ptDestra"/>
            </w:pPr>
            <w:r>
              <w:t>321,940</w:t>
            </w:r>
          </w:p>
        </w:tc>
        <w:tc>
          <w:tcPr>
            <w:tcW w:w="85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0A9107C8" w14:textId="77777777" w:rsidR="00420477" w:rsidRPr="00D47AB2" w:rsidRDefault="00420477" w:rsidP="644940EB">
            <w:pPr>
              <w:pStyle w:val="Nessunostileparagrafo"/>
              <w:spacing w:line="240" w:lineRule="auto"/>
              <w:textAlignment w:val="auto"/>
              <w:rPr>
                <w:rFonts w:ascii="Open Sans" w:hAnsi="Open Sans" w:cs="Times New Roman"/>
                <w:color w:val="auto"/>
                <w:highlight w:val="yellow"/>
                <w:lang w:val="it-IT"/>
              </w:rPr>
            </w:pPr>
          </w:p>
        </w:tc>
        <w:tc>
          <w:tcPr>
            <w:tcW w:w="85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78E42F69" w14:textId="77777777" w:rsidR="00420477" w:rsidRPr="00497DB5" w:rsidRDefault="00420477">
            <w:pPr>
              <w:pStyle w:val="Nessunostileparagrafo"/>
              <w:spacing w:line="240" w:lineRule="auto"/>
              <w:textAlignment w:val="auto"/>
              <w:rPr>
                <w:rFonts w:ascii="Open Sans" w:hAnsi="Open Sans" w:cs="Times New Roman"/>
                <w:color w:val="auto"/>
                <w:lang w:val="it-IT"/>
              </w:rPr>
            </w:pPr>
          </w:p>
        </w:tc>
        <w:tc>
          <w:tcPr>
            <w:tcW w:w="96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64FBD258" w14:textId="77777777" w:rsidR="00420477" w:rsidRDefault="00420477">
            <w:pPr>
              <w:pStyle w:val="FSBodyText7ptDestra"/>
            </w:pPr>
            <w:r>
              <w:t>27,108</w:t>
            </w:r>
          </w:p>
        </w:tc>
        <w:tc>
          <w:tcPr>
            <w:tcW w:w="79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2BC155E8" w14:textId="77777777" w:rsidR="00420477" w:rsidRDefault="00420477">
            <w:pPr>
              <w:pStyle w:val="FSBodyText7ptDestra"/>
            </w:pPr>
            <w:r>
              <w:t>8,849</w:t>
            </w:r>
          </w:p>
        </w:tc>
        <w:tc>
          <w:tcPr>
            <w:tcW w:w="79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33097A40"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68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0DA3C258"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1012"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5E635C52" w14:textId="77777777" w:rsidR="00420477" w:rsidRDefault="00420477">
            <w:pPr>
              <w:pStyle w:val="FSBodyText7ptDestra"/>
            </w:pPr>
            <w:r>
              <w:t>357,897</w:t>
            </w:r>
          </w:p>
        </w:tc>
      </w:tr>
      <w:tr w:rsidR="00420477" w14:paraId="6D860CA9" w14:textId="77777777" w:rsidTr="644940EB">
        <w:trPr>
          <w:trHeight w:val="60"/>
        </w:trPr>
        <w:tc>
          <w:tcPr>
            <w:tcW w:w="1191"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49C3E105" w14:textId="77777777" w:rsidR="00420477" w:rsidRDefault="00420477">
            <w:pPr>
              <w:pStyle w:val="FSBodyText"/>
            </w:pPr>
            <w:r>
              <w:rPr>
                <w:sz w:val="14"/>
                <w:szCs w:val="14"/>
              </w:rPr>
              <w:t>Lorraine Finlay</w:t>
            </w:r>
          </w:p>
        </w:tc>
        <w:tc>
          <w:tcPr>
            <w:tcW w:w="1701"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7A9C6BC8" w14:textId="77777777" w:rsidR="00420477" w:rsidRDefault="00420477">
            <w:pPr>
              <w:pStyle w:val="FSBodyText"/>
            </w:pPr>
            <w:r>
              <w:rPr>
                <w:sz w:val="14"/>
                <w:szCs w:val="14"/>
              </w:rPr>
              <w:t>Human Rights Commissioner</w:t>
            </w:r>
          </w:p>
        </w:tc>
        <w:tc>
          <w:tcPr>
            <w:tcW w:w="1153"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5DDFD83B" w14:textId="77777777" w:rsidR="00420477" w:rsidRDefault="00420477">
            <w:pPr>
              <w:pStyle w:val="FSBodyText7ptDestra"/>
            </w:pPr>
            <w:r>
              <w:t>358,426</w:t>
            </w:r>
          </w:p>
        </w:tc>
        <w:tc>
          <w:tcPr>
            <w:tcW w:w="85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6F7743F2" w14:textId="4173607C" w:rsidR="00420477" w:rsidRPr="00D47AB2" w:rsidRDefault="00420477" w:rsidP="644940EB">
            <w:pPr>
              <w:pStyle w:val="FSBodyText7ptDestra"/>
              <w:rPr>
                <w:highlight w:val="yellow"/>
              </w:rPr>
            </w:pPr>
          </w:p>
        </w:tc>
        <w:tc>
          <w:tcPr>
            <w:tcW w:w="85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4D768610" w14:textId="1F1BE0D6" w:rsidR="00420477" w:rsidRPr="00497DB5" w:rsidRDefault="000007C3" w:rsidP="00D47AB2">
            <w:pPr>
              <w:pStyle w:val="FSBodyText7ptDestra"/>
            </w:pPr>
            <w:r w:rsidRPr="00497DB5">
              <w:t>28,769</w:t>
            </w:r>
          </w:p>
        </w:tc>
        <w:tc>
          <w:tcPr>
            <w:tcW w:w="96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5701E3E9" w14:textId="77777777" w:rsidR="00420477" w:rsidRDefault="00420477">
            <w:pPr>
              <w:pStyle w:val="FSBodyText7ptDestra"/>
            </w:pPr>
            <w:r>
              <w:t>25,292</w:t>
            </w:r>
          </w:p>
        </w:tc>
        <w:tc>
          <w:tcPr>
            <w:tcW w:w="79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7E914226" w14:textId="77777777" w:rsidR="00420477" w:rsidRDefault="00420477">
            <w:pPr>
              <w:pStyle w:val="FSBodyText7ptDestra"/>
            </w:pPr>
            <w:r>
              <w:t>3,936</w:t>
            </w:r>
          </w:p>
        </w:tc>
        <w:tc>
          <w:tcPr>
            <w:tcW w:w="79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25A3AA36"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68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12C59D95"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1012"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423B06F0" w14:textId="77777777" w:rsidR="00420477" w:rsidRDefault="00420477">
            <w:pPr>
              <w:pStyle w:val="FSBodyText7ptDestra"/>
            </w:pPr>
            <w:r>
              <w:t>416,423</w:t>
            </w:r>
          </w:p>
        </w:tc>
      </w:tr>
      <w:tr w:rsidR="00420477" w14:paraId="0839142F" w14:textId="77777777" w:rsidTr="644940EB">
        <w:trPr>
          <w:trHeight w:val="60"/>
        </w:trPr>
        <w:tc>
          <w:tcPr>
            <w:tcW w:w="1191"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4AA0A9AD" w14:textId="77777777" w:rsidR="00420477" w:rsidRDefault="00420477">
            <w:pPr>
              <w:pStyle w:val="FSBodyText"/>
            </w:pPr>
            <w:r>
              <w:rPr>
                <w:sz w:val="14"/>
                <w:szCs w:val="14"/>
              </w:rPr>
              <w:t xml:space="preserve">Anne Hollonds </w:t>
            </w:r>
          </w:p>
        </w:tc>
        <w:tc>
          <w:tcPr>
            <w:tcW w:w="1701"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109A3C79" w14:textId="77777777" w:rsidR="00420477" w:rsidRDefault="00420477">
            <w:pPr>
              <w:pStyle w:val="FSBodyText"/>
            </w:pPr>
            <w:r>
              <w:rPr>
                <w:sz w:val="14"/>
                <w:szCs w:val="14"/>
              </w:rPr>
              <w:t>National Children’s Commissioner</w:t>
            </w:r>
          </w:p>
        </w:tc>
        <w:tc>
          <w:tcPr>
            <w:tcW w:w="1153"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080EB3A5" w14:textId="77777777" w:rsidR="00420477" w:rsidRDefault="00420477">
            <w:pPr>
              <w:pStyle w:val="FSBodyText7ptDestra"/>
            </w:pPr>
            <w:r>
              <w:t>363,774</w:t>
            </w:r>
          </w:p>
        </w:tc>
        <w:tc>
          <w:tcPr>
            <w:tcW w:w="85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370E7192" w14:textId="77777777" w:rsidR="00420477" w:rsidRPr="00D47AB2" w:rsidRDefault="00420477" w:rsidP="644940EB">
            <w:pPr>
              <w:pStyle w:val="Nessunostileparagrafo"/>
              <w:spacing w:line="240" w:lineRule="auto"/>
              <w:textAlignment w:val="auto"/>
              <w:rPr>
                <w:rFonts w:ascii="Open Sans" w:hAnsi="Open Sans" w:cs="Times New Roman"/>
                <w:color w:val="auto"/>
                <w:highlight w:val="yellow"/>
                <w:lang w:val="it-IT"/>
              </w:rPr>
            </w:pPr>
          </w:p>
        </w:tc>
        <w:tc>
          <w:tcPr>
            <w:tcW w:w="85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4027C375" w14:textId="77777777" w:rsidR="00420477" w:rsidRPr="00497DB5" w:rsidRDefault="00420477">
            <w:pPr>
              <w:pStyle w:val="Nessunostileparagrafo"/>
              <w:spacing w:line="240" w:lineRule="auto"/>
              <w:textAlignment w:val="auto"/>
              <w:rPr>
                <w:rFonts w:ascii="Open Sans" w:hAnsi="Open Sans" w:cs="Times New Roman"/>
                <w:color w:val="auto"/>
                <w:lang w:val="it-IT"/>
              </w:rPr>
            </w:pPr>
          </w:p>
        </w:tc>
        <w:tc>
          <w:tcPr>
            <w:tcW w:w="96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50823C0A" w14:textId="77777777" w:rsidR="00420477" w:rsidRDefault="00420477">
            <w:pPr>
              <w:pStyle w:val="FSBodyText7ptDestra"/>
            </w:pPr>
            <w:r>
              <w:t>25,292</w:t>
            </w:r>
          </w:p>
        </w:tc>
        <w:tc>
          <w:tcPr>
            <w:tcW w:w="79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2F4631FC" w14:textId="77777777" w:rsidR="00420477" w:rsidRDefault="00420477">
            <w:pPr>
              <w:pStyle w:val="FSBodyText7ptDestra"/>
            </w:pPr>
            <w:r>
              <w:t>8,753</w:t>
            </w:r>
          </w:p>
        </w:tc>
        <w:tc>
          <w:tcPr>
            <w:tcW w:w="79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32F86F08"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68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7FC8619D"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1012"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4555D0D3" w14:textId="77777777" w:rsidR="00420477" w:rsidRDefault="00420477">
            <w:pPr>
              <w:pStyle w:val="FSBodyText7ptDestra"/>
            </w:pPr>
            <w:r>
              <w:t>397,819</w:t>
            </w:r>
          </w:p>
        </w:tc>
      </w:tr>
      <w:tr w:rsidR="00420477" w14:paraId="50EE181E" w14:textId="77777777" w:rsidTr="644940EB">
        <w:trPr>
          <w:trHeight w:val="60"/>
        </w:trPr>
        <w:tc>
          <w:tcPr>
            <w:tcW w:w="1191"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10C80746" w14:textId="77777777" w:rsidR="00420477" w:rsidRDefault="00420477">
            <w:pPr>
              <w:pStyle w:val="FSBodyText"/>
            </w:pPr>
            <w:r>
              <w:rPr>
                <w:sz w:val="14"/>
                <w:szCs w:val="14"/>
              </w:rPr>
              <w:t>Chin Tan</w:t>
            </w:r>
          </w:p>
        </w:tc>
        <w:tc>
          <w:tcPr>
            <w:tcW w:w="1701"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64CBC4BF" w14:textId="77777777" w:rsidR="00420477" w:rsidRDefault="00420477">
            <w:pPr>
              <w:pStyle w:val="FSBodyText"/>
            </w:pPr>
            <w:r>
              <w:rPr>
                <w:sz w:val="14"/>
                <w:szCs w:val="14"/>
              </w:rPr>
              <w:t>Race Discrimination Commissioner</w:t>
            </w:r>
          </w:p>
        </w:tc>
        <w:tc>
          <w:tcPr>
            <w:tcW w:w="1153"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7847B5B1" w14:textId="77777777" w:rsidR="00420477" w:rsidRDefault="00420477">
            <w:pPr>
              <w:pStyle w:val="FSBodyText7ptDestra"/>
            </w:pPr>
            <w:r>
              <w:t>354,841</w:t>
            </w:r>
          </w:p>
        </w:tc>
        <w:tc>
          <w:tcPr>
            <w:tcW w:w="85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72122D20" w14:textId="02495A81" w:rsidR="00420477" w:rsidRPr="00D47AB2" w:rsidRDefault="00420477" w:rsidP="644940EB">
            <w:pPr>
              <w:pStyle w:val="FSBodyText7ptDestra"/>
              <w:rPr>
                <w:highlight w:val="yellow"/>
              </w:rPr>
            </w:pPr>
          </w:p>
        </w:tc>
        <w:tc>
          <w:tcPr>
            <w:tcW w:w="85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3E5A1F22" w14:textId="5293909E" w:rsidR="00420477" w:rsidRPr="00497DB5" w:rsidRDefault="006E6D53" w:rsidP="00D47AB2">
            <w:pPr>
              <w:pStyle w:val="FSBodyText7ptDestra"/>
            </w:pPr>
            <w:r w:rsidRPr="00497DB5">
              <w:t>25,079</w:t>
            </w:r>
          </w:p>
        </w:tc>
        <w:tc>
          <w:tcPr>
            <w:tcW w:w="96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22693498" w14:textId="77777777" w:rsidR="00420477" w:rsidRDefault="00420477">
            <w:pPr>
              <w:pStyle w:val="FSBodyText7ptDestra"/>
            </w:pPr>
            <w:r>
              <w:t>27,108</w:t>
            </w:r>
          </w:p>
        </w:tc>
        <w:tc>
          <w:tcPr>
            <w:tcW w:w="79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39136B82" w14:textId="77777777" w:rsidR="00420477" w:rsidRDefault="00420477">
            <w:pPr>
              <w:pStyle w:val="FSBodyText7ptDestra"/>
            </w:pPr>
            <w:r>
              <w:t>9,174</w:t>
            </w:r>
          </w:p>
        </w:tc>
        <w:tc>
          <w:tcPr>
            <w:tcW w:w="794"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39102E39"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680"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3CCA0BF0"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1012" w:type="dxa"/>
            <w:tcBorders>
              <w:top w:val="single" w:sz="6" w:space="0" w:color="000000" w:themeColor="text1"/>
              <w:bottom w:val="single" w:sz="6" w:space="0" w:color="000000" w:themeColor="text1"/>
            </w:tcBorders>
            <w:tcMar>
              <w:top w:w="57" w:type="dxa"/>
              <w:left w:w="0" w:type="dxa"/>
              <w:bottom w:w="57" w:type="dxa"/>
              <w:right w:w="113" w:type="dxa"/>
            </w:tcMar>
            <w:vAlign w:val="center"/>
          </w:tcPr>
          <w:p w14:paraId="2E38B7C0" w14:textId="77777777" w:rsidR="00420477" w:rsidRDefault="00420477">
            <w:pPr>
              <w:pStyle w:val="FSBodyText7ptDestra"/>
            </w:pPr>
            <w:r>
              <w:t>416,202</w:t>
            </w:r>
          </w:p>
        </w:tc>
      </w:tr>
      <w:tr w:rsidR="00420477" w14:paraId="6FC0B163" w14:textId="77777777" w:rsidTr="644940EB">
        <w:trPr>
          <w:trHeight w:val="60"/>
        </w:trPr>
        <w:tc>
          <w:tcPr>
            <w:tcW w:w="1191" w:type="dxa"/>
            <w:tcBorders>
              <w:top w:val="single" w:sz="6" w:space="0" w:color="000000" w:themeColor="text1"/>
              <w:bottom w:val="single" w:sz="4" w:space="0" w:color="000000" w:themeColor="text1"/>
            </w:tcBorders>
            <w:tcMar>
              <w:top w:w="57" w:type="dxa"/>
              <w:left w:w="0" w:type="dxa"/>
              <w:bottom w:w="57" w:type="dxa"/>
              <w:right w:w="113" w:type="dxa"/>
            </w:tcMar>
            <w:vAlign w:val="center"/>
          </w:tcPr>
          <w:p w14:paraId="592008CB" w14:textId="77777777" w:rsidR="00420477" w:rsidRDefault="00420477">
            <w:pPr>
              <w:pStyle w:val="FSBodyText"/>
            </w:pPr>
            <w:r>
              <w:rPr>
                <w:sz w:val="14"/>
                <w:szCs w:val="14"/>
              </w:rPr>
              <w:t>Kate Jenkins</w:t>
            </w:r>
          </w:p>
        </w:tc>
        <w:tc>
          <w:tcPr>
            <w:tcW w:w="1701" w:type="dxa"/>
            <w:tcBorders>
              <w:top w:val="single" w:sz="6" w:space="0" w:color="000000" w:themeColor="text1"/>
              <w:bottom w:val="single" w:sz="4" w:space="0" w:color="000000" w:themeColor="text1"/>
            </w:tcBorders>
            <w:tcMar>
              <w:top w:w="57" w:type="dxa"/>
              <w:left w:w="0" w:type="dxa"/>
              <w:bottom w:w="57" w:type="dxa"/>
              <w:right w:w="113" w:type="dxa"/>
            </w:tcMar>
            <w:vAlign w:val="center"/>
          </w:tcPr>
          <w:p w14:paraId="3CFE420B" w14:textId="77777777" w:rsidR="00420477" w:rsidRDefault="00420477">
            <w:pPr>
              <w:pStyle w:val="FSBodyText"/>
            </w:pPr>
            <w:r>
              <w:rPr>
                <w:sz w:val="14"/>
                <w:szCs w:val="14"/>
              </w:rPr>
              <w:t>Sex Discrimination Commissioner (ceased 6 April 2023)</w:t>
            </w:r>
          </w:p>
        </w:tc>
        <w:tc>
          <w:tcPr>
            <w:tcW w:w="1153" w:type="dxa"/>
            <w:tcBorders>
              <w:top w:val="single" w:sz="6" w:space="0" w:color="000000" w:themeColor="text1"/>
              <w:bottom w:val="single" w:sz="4" w:space="0" w:color="000000" w:themeColor="text1"/>
            </w:tcBorders>
            <w:tcMar>
              <w:top w:w="57" w:type="dxa"/>
              <w:left w:w="0" w:type="dxa"/>
              <w:bottom w:w="57" w:type="dxa"/>
              <w:right w:w="113" w:type="dxa"/>
            </w:tcMar>
            <w:vAlign w:val="center"/>
          </w:tcPr>
          <w:p w14:paraId="013861DD" w14:textId="77777777" w:rsidR="00420477" w:rsidRDefault="00420477">
            <w:pPr>
              <w:pStyle w:val="FSBodyText7ptDestra"/>
            </w:pPr>
            <w:r>
              <w:t>296,968</w:t>
            </w:r>
          </w:p>
        </w:tc>
        <w:tc>
          <w:tcPr>
            <w:tcW w:w="850" w:type="dxa"/>
            <w:tcBorders>
              <w:top w:val="single" w:sz="6" w:space="0" w:color="000000" w:themeColor="text1"/>
              <w:bottom w:val="single" w:sz="4" w:space="0" w:color="000000" w:themeColor="text1"/>
            </w:tcBorders>
            <w:tcMar>
              <w:top w:w="57" w:type="dxa"/>
              <w:left w:w="0" w:type="dxa"/>
              <w:bottom w:w="57" w:type="dxa"/>
              <w:right w:w="113" w:type="dxa"/>
            </w:tcMar>
            <w:vAlign w:val="center"/>
          </w:tcPr>
          <w:p w14:paraId="6B0F01CC" w14:textId="5321B817" w:rsidR="00420477" w:rsidRPr="00D47AB2" w:rsidRDefault="00420477" w:rsidP="644940EB">
            <w:pPr>
              <w:pStyle w:val="FSBodyText7ptDestra"/>
              <w:rPr>
                <w:highlight w:val="yellow"/>
              </w:rPr>
            </w:pPr>
          </w:p>
        </w:tc>
        <w:tc>
          <w:tcPr>
            <w:tcW w:w="850" w:type="dxa"/>
            <w:tcBorders>
              <w:top w:val="single" w:sz="6" w:space="0" w:color="000000" w:themeColor="text1"/>
              <w:bottom w:val="single" w:sz="4" w:space="0" w:color="000000" w:themeColor="text1"/>
            </w:tcBorders>
            <w:tcMar>
              <w:top w:w="57" w:type="dxa"/>
              <w:left w:w="0" w:type="dxa"/>
              <w:bottom w:w="57" w:type="dxa"/>
              <w:right w:w="113" w:type="dxa"/>
            </w:tcMar>
            <w:vAlign w:val="center"/>
          </w:tcPr>
          <w:p w14:paraId="39C4D6E3" w14:textId="53BCF853" w:rsidR="00420477" w:rsidRPr="00497DB5" w:rsidRDefault="006E6D53" w:rsidP="00D47AB2">
            <w:pPr>
              <w:pStyle w:val="FSBodyText7ptDestra"/>
              <w:rPr>
                <w:rFonts w:cs="Times New Roman"/>
                <w:color w:val="auto"/>
                <w:lang w:val="it-IT"/>
              </w:rPr>
            </w:pPr>
            <w:r w:rsidRPr="00497DB5">
              <w:t>42,172</w:t>
            </w:r>
          </w:p>
        </w:tc>
        <w:tc>
          <w:tcPr>
            <w:tcW w:w="964" w:type="dxa"/>
            <w:tcBorders>
              <w:top w:val="single" w:sz="6" w:space="0" w:color="000000" w:themeColor="text1"/>
              <w:bottom w:val="single" w:sz="4" w:space="0" w:color="000000" w:themeColor="text1"/>
            </w:tcBorders>
            <w:tcMar>
              <w:top w:w="57" w:type="dxa"/>
              <w:left w:w="0" w:type="dxa"/>
              <w:bottom w:w="57" w:type="dxa"/>
              <w:right w:w="113" w:type="dxa"/>
            </w:tcMar>
            <w:vAlign w:val="center"/>
          </w:tcPr>
          <w:p w14:paraId="4F74975C" w14:textId="77777777" w:rsidR="00420477" w:rsidRDefault="00420477">
            <w:pPr>
              <w:pStyle w:val="FSBodyText7ptDestra"/>
            </w:pPr>
            <w:r>
              <w:t>21,401</w:t>
            </w:r>
          </w:p>
        </w:tc>
        <w:tc>
          <w:tcPr>
            <w:tcW w:w="794" w:type="dxa"/>
            <w:tcBorders>
              <w:top w:val="single" w:sz="6" w:space="0" w:color="000000" w:themeColor="text1"/>
              <w:bottom w:val="single" w:sz="4" w:space="0" w:color="000000" w:themeColor="text1"/>
            </w:tcBorders>
            <w:tcMar>
              <w:top w:w="57" w:type="dxa"/>
              <w:left w:w="0" w:type="dxa"/>
              <w:bottom w:w="57" w:type="dxa"/>
              <w:right w:w="113" w:type="dxa"/>
            </w:tcMar>
            <w:vAlign w:val="center"/>
          </w:tcPr>
          <w:p w14:paraId="46DF768B" w14:textId="4FA03129" w:rsidR="00420477" w:rsidRDefault="006E6D53">
            <w:pPr>
              <w:pStyle w:val="FSBodyText7ptDestra"/>
            </w:pPr>
            <w:r>
              <w:t>-</w:t>
            </w:r>
          </w:p>
        </w:tc>
        <w:tc>
          <w:tcPr>
            <w:tcW w:w="794" w:type="dxa"/>
            <w:tcBorders>
              <w:top w:val="single" w:sz="6" w:space="0" w:color="000000" w:themeColor="text1"/>
              <w:bottom w:val="single" w:sz="4" w:space="0" w:color="000000" w:themeColor="text1"/>
            </w:tcBorders>
            <w:tcMar>
              <w:top w:w="57" w:type="dxa"/>
              <w:left w:w="0" w:type="dxa"/>
              <w:bottom w:w="57" w:type="dxa"/>
              <w:right w:w="113" w:type="dxa"/>
            </w:tcMar>
            <w:vAlign w:val="center"/>
          </w:tcPr>
          <w:p w14:paraId="05D38F56"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680" w:type="dxa"/>
            <w:tcBorders>
              <w:top w:val="single" w:sz="6" w:space="0" w:color="000000" w:themeColor="text1"/>
              <w:bottom w:val="single" w:sz="4" w:space="0" w:color="000000" w:themeColor="text1"/>
            </w:tcBorders>
            <w:tcMar>
              <w:top w:w="57" w:type="dxa"/>
              <w:left w:w="0" w:type="dxa"/>
              <w:bottom w:w="57" w:type="dxa"/>
              <w:right w:w="113" w:type="dxa"/>
            </w:tcMar>
            <w:vAlign w:val="center"/>
          </w:tcPr>
          <w:p w14:paraId="202E8BBE"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1012" w:type="dxa"/>
            <w:tcBorders>
              <w:top w:val="single" w:sz="6" w:space="0" w:color="000000" w:themeColor="text1"/>
              <w:bottom w:val="single" w:sz="4" w:space="0" w:color="000000" w:themeColor="text1"/>
            </w:tcBorders>
            <w:tcMar>
              <w:top w:w="57" w:type="dxa"/>
              <w:left w:w="0" w:type="dxa"/>
              <w:bottom w:w="57" w:type="dxa"/>
              <w:right w:w="113" w:type="dxa"/>
            </w:tcMar>
            <w:vAlign w:val="center"/>
          </w:tcPr>
          <w:p w14:paraId="34B3C606" w14:textId="77777777" w:rsidR="00420477" w:rsidRDefault="00420477">
            <w:pPr>
              <w:pStyle w:val="FSBodyText7ptDestra"/>
            </w:pPr>
            <w:r>
              <w:t>360,541</w:t>
            </w:r>
          </w:p>
        </w:tc>
      </w:tr>
      <w:tr w:rsidR="00420477" w14:paraId="5CA660D3" w14:textId="77777777" w:rsidTr="644940EB">
        <w:trPr>
          <w:trHeight w:val="60"/>
        </w:trPr>
        <w:tc>
          <w:tcPr>
            <w:tcW w:w="1191" w:type="dxa"/>
            <w:tcBorders>
              <w:top w:val="single" w:sz="4" w:space="0" w:color="000000" w:themeColor="text1"/>
              <w:bottom w:val="single" w:sz="4" w:space="0" w:color="000000" w:themeColor="text1"/>
            </w:tcBorders>
            <w:tcMar>
              <w:top w:w="57" w:type="dxa"/>
              <w:left w:w="0" w:type="dxa"/>
              <w:bottom w:w="113" w:type="dxa"/>
              <w:right w:w="113" w:type="dxa"/>
            </w:tcMar>
            <w:vAlign w:val="center"/>
          </w:tcPr>
          <w:p w14:paraId="4E6221AB" w14:textId="77777777" w:rsidR="00420477" w:rsidRDefault="00420477">
            <w:pPr>
              <w:pStyle w:val="FSBodyText"/>
            </w:pPr>
            <w:r>
              <w:rPr>
                <w:sz w:val="14"/>
                <w:szCs w:val="14"/>
              </w:rPr>
              <w:t>Leanne Smith</w:t>
            </w:r>
          </w:p>
        </w:tc>
        <w:tc>
          <w:tcPr>
            <w:tcW w:w="1701" w:type="dxa"/>
            <w:tcBorders>
              <w:top w:val="single" w:sz="4" w:space="0" w:color="000000" w:themeColor="text1"/>
              <w:bottom w:val="single" w:sz="4" w:space="0" w:color="000000" w:themeColor="text1"/>
            </w:tcBorders>
            <w:tcMar>
              <w:top w:w="57" w:type="dxa"/>
              <w:left w:w="0" w:type="dxa"/>
              <w:bottom w:w="113" w:type="dxa"/>
              <w:right w:w="113" w:type="dxa"/>
            </w:tcMar>
            <w:vAlign w:val="center"/>
          </w:tcPr>
          <w:p w14:paraId="25B27CF5" w14:textId="77777777" w:rsidR="00420477" w:rsidRDefault="00420477">
            <w:pPr>
              <w:pStyle w:val="FSBodyText"/>
            </w:pPr>
            <w:r>
              <w:rPr>
                <w:sz w:val="14"/>
                <w:szCs w:val="14"/>
              </w:rPr>
              <w:t xml:space="preserve">Chief Executive </w:t>
            </w:r>
          </w:p>
        </w:tc>
        <w:tc>
          <w:tcPr>
            <w:tcW w:w="1153" w:type="dxa"/>
            <w:tcBorders>
              <w:top w:val="single" w:sz="4" w:space="0" w:color="000000" w:themeColor="text1"/>
              <w:bottom w:val="single" w:sz="4" w:space="0" w:color="000000" w:themeColor="text1"/>
            </w:tcBorders>
            <w:tcMar>
              <w:top w:w="57" w:type="dxa"/>
              <w:left w:w="113" w:type="dxa"/>
              <w:bottom w:w="113" w:type="dxa"/>
              <w:right w:w="113" w:type="dxa"/>
            </w:tcMar>
            <w:vAlign w:val="center"/>
          </w:tcPr>
          <w:p w14:paraId="4B7082B1" w14:textId="77777777" w:rsidR="00420477" w:rsidRDefault="00420477">
            <w:pPr>
              <w:pStyle w:val="FSBodyText7ptDestra"/>
            </w:pPr>
            <w:r>
              <w:t>269,036</w:t>
            </w:r>
          </w:p>
        </w:tc>
        <w:tc>
          <w:tcPr>
            <w:tcW w:w="850" w:type="dxa"/>
            <w:tcBorders>
              <w:top w:val="single" w:sz="4" w:space="0" w:color="000000" w:themeColor="text1"/>
              <w:bottom w:val="single" w:sz="4" w:space="0" w:color="000000" w:themeColor="text1"/>
            </w:tcBorders>
            <w:tcMar>
              <w:top w:w="57" w:type="dxa"/>
              <w:left w:w="113" w:type="dxa"/>
              <w:bottom w:w="113" w:type="dxa"/>
              <w:right w:w="113" w:type="dxa"/>
            </w:tcMar>
            <w:vAlign w:val="center"/>
          </w:tcPr>
          <w:p w14:paraId="3652A947" w14:textId="77777777" w:rsidR="00420477" w:rsidRPr="00D47AB2" w:rsidRDefault="00420477" w:rsidP="644940EB">
            <w:pPr>
              <w:pStyle w:val="Nessunostileparagrafo"/>
              <w:spacing w:line="240" w:lineRule="auto"/>
              <w:textAlignment w:val="auto"/>
              <w:rPr>
                <w:rFonts w:ascii="Open Sans" w:hAnsi="Open Sans" w:cs="Times New Roman"/>
                <w:color w:val="auto"/>
                <w:highlight w:val="yellow"/>
                <w:lang w:val="it-IT"/>
              </w:rPr>
            </w:pPr>
          </w:p>
        </w:tc>
        <w:tc>
          <w:tcPr>
            <w:tcW w:w="850" w:type="dxa"/>
            <w:tcBorders>
              <w:top w:val="single" w:sz="4" w:space="0" w:color="000000" w:themeColor="text1"/>
              <w:bottom w:val="single" w:sz="4" w:space="0" w:color="000000" w:themeColor="text1"/>
            </w:tcBorders>
            <w:tcMar>
              <w:top w:w="57" w:type="dxa"/>
              <w:left w:w="113" w:type="dxa"/>
              <w:bottom w:w="113" w:type="dxa"/>
              <w:right w:w="113" w:type="dxa"/>
            </w:tcMar>
            <w:vAlign w:val="center"/>
          </w:tcPr>
          <w:p w14:paraId="1C34CEA1" w14:textId="77777777" w:rsidR="00420477" w:rsidRPr="00497DB5" w:rsidRDefault="00420477">
            <w:pPr>
              <w:pStyle w:val="Nessunostileparagrafo"/>
              <w:spacing w:line="240" w:lineRule="auto"/>
              <w:textAlignment w:val="auto"/>
              <w:rPr>
                <w:rFonts w:ascii="Open Sans" w:hAnsi="Open Sans" w:cs="Times New Roman"/>
                <w:color w:val="auto"/>
                <w:lang w:val="it-IT"/>
              </w:rPr>
            </w:pPr>
          </w:p>
        </w:tc>
        <w:tc>
          <w:tcPr>
            <w:tcW w:w="964" w:type="dxa"/>
            <w:tcBorders>
              <w:top w:val="single" w:sz="4" w:space="0" w:color="000000" w:themeColor="text1"/>
              <w:bottom w:val="single" w:sz="4" w:space="0" w:color="000000" w:themeColor="text1"/>
            </w:tcBorders>
            <w:tcMar>
              <w:top w:w="57" w:type="dxa"/>
              <w:left w:w="113" w:type="dxa"/>
              <w:bottom w:w="113" w:type="dxa"/>
              <w:right w:w="113" w:type="dxa"/>
            </w:tcMar>
            <w:vAlign w:val="center"/>
          </w:tcPr>
          <w:p w14:paraId="30E7B50E" w14:textId="77777777" w:rsidR="00420477" w:rsidRDefault="00420477">
            <w:pPr>
              <w:pStyle w:val="FSBodyText7ptDestra"/>
            </w:pPr>
            <w:r>
              <w:t>49,585</w:t>
            </w:r>
          </w:p>
        </w:tc>
        <w:tc>
          <w:tcPr>
            <w:tcW w:w="794" w:type="dxa"/>
            <w:tcBorders>
              <w:top w:val="single" w:sz="4" w:space="0" w:color="000000" w:themeColor="text1"/>
              <w:bottom w:val="single" w:sz="4" w:space="0" w:color="000000" w:themeColor="text1"/>
            </w:tcBorders>
            <w:tcMar>
              <w:top w:w="57" w:type="dxa"/>
              <w:left w:w="113" w:type="dxa"/>
              <w:bottom w:w="113" w:type="dxa"/>
              <w:right w:w="113" w:type="dxa"/>
            </w:tcMar>
            <w:vAlign w:val="center"/>
          </w:tcPr>
          <w:p w14:paraId="4419A743" w14:textId="77777777" w:rsidR="00420477" w:rsidRDefault="00420477">
            <w:pPr>
              <w:pStyle w:val="FSBodyText7ptDestra"/>
            </w:pPr>
            <w:r>
              <w:t>3,167</w:t>
            </w:r>
          </w:p>
        </w:tc>
        <w:tc>
          <w:tcPr>
            <w:tcW w:w="794" w:type="dxa"/>
            <w:tcBorders>
              <w:top w:val="single" w:sz="4" w:space="0" w:color="000000" w:themeColor="text1"/>
              <w:bottom w:val="single" w:sz="4" w:space="0" w:color="000000" w:themeColor="text1"/>
            </w:tcBorders>
            <w:tcMar>
              <w:top w:w="57" w:type="dxa"/>
              <w:left w:w="113" w:type="dxa"/>
              <w:bottom w:w="113" w:type="dxa"/>
              <w:right w:w="113" w:type="dxa"/>
            </w:tcMar>
            <w:vAlign w:val="center"/>
          </w:tcPr>
          <w:p w14:paraId="273292A1"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680" w:type="dxa"/>
            <w:tcBorders>
              <w:top w:val="single" w:sz="4" w:space="0" w:color="000000" w:themeColor="text1"/>
              <w:bottom w:val="single" w:sz="4" w:space="0" w:color="000000" w:themeColor="text1"/>
            </w:tcBorders>
            <w:tcMar>
              <w:top w:w="57" w:type="dxa"/>
              <w:left w:w="113" w:type="dxa"/>
              <w:bottom w:w="113" w:type="dxa"/>
              <w:right w:w="113" w:type="dxa"/>
            </w:tcMar>
            <w:vAlign w:val="center"/>
          </w:tcPr>
          <w:p w14:paraId="5A2FE36F" w14:textId="77777777" w:rsidR="00420477" w:rsidRDefault="00420477">
            <w:pPr>
              <w:pStyle w:val="Nessunostileparagrafo"/>
              <w:spacing w:line="240" w:lineRule="auto"/>
              <w:textAlignment w:val="auto"/>
              <w:rPr>
                <w:rFonts w:ascii="Open Sans" w:hAnsi="Open Sans" w:cs="Times New Roman"/>
                <w:color w:val="auto"/>
                <w:lang w:val="it-IT"/>
              </w:rPr>
            </w:pPr>
          </w:p>
        </w:tc>
        <w:tc>
          <w:tcPr>
            <w:tcW w:w="1012" w:type="dxa"/>
            <w:tcBorders>
              <w:top w:val="single" w:sz="4" w:space="0" w:color="000000" w:themeColor="text1"/>
              <w:bottom w:val="single" w:sz="4" w:space="0" w:color="000000" w:themeColor="text1"/>
            </w:tcBorders>
            <w:tcMar>
              <w:top w:w="57" w:type="dxa"/>
              <w:left w:w="113" w:type="dxa"/>
              <w:bottom w:w="113" w:type="dxa"/>
              <w:right w:w="113" w:type="dxa"/>
            </w:tcMar>
            <w:vAlign w:val="center"/>
          </w:tcPr>
          <w:p w14:paraId="7A34F4F5" w14:textId="77777777" w:rsidR="00420477" w:rsidRDefault="00420477">
            <w:pPr>
              <w:pStyle w:val="FSBodyText7ptDestra"/>
            </w:pPr>
            <w:r>
              <w:t>321,788</w:t>
            </w:r>
          </w:p>
        </w:tc>
      </w:tr>
      <w:tr w:rsidR="00956537" w14:paraId="145B33CF" w14:textId="77777777" w:rsidTr="644940EB">
        <w:trPr>
          <w:trHeight w:val="60"/>
        </w:trPr>
        <w:tc>
          <w:tcPr>
            <w:tcW w:w="1191" w:type="dxa"/>
            <w:tcBorders>
              <w:top w:val="single" w:sz="4" w:space="0" w:color="000000" w:themeColor="text1"/>
              <w:bottom w:val="single" w:sz="4" w:space="0" w:color="000000" w:themeColor="text1"/>
            </w:tcBorders>
            <w:shd w:val="clear" w:color="auto" w:fill="auto"/>
            <w:tcMar>
              <w:top w:w="0" w:type="dxa"/>
              <w:left w:w="113" w:type="dxa"/>
              <w:bottom w:w="0" w:type="dxa"/>
              <w:right w:w="113" w:type="dxa"/>
            </w:tcMar>
            <w:vAlign w:val="center"/>
          </w:tcPr>
          <w:p w14:paraId="75DD6839" w14:textId="77777777" w:rsidR="00420477" w:rsidRPr="00217522" w:rsidRDefault="00420477">
            <w:pPr>
              <w:pStyle w:val="Nessunostileparagrafo"/>
              <w:spacing w:line="240" w:lineRule="auto"/>
              <w:textAlignment w:val="auto"/>
              <w:rPr>
                <w:rFonts w:ascii="Open Sans" w:hAnsi="Open Sans" w:cs="Times New Roman"/>
                <w:color w:val="auto"/>
                <w:sz w:val="14"/>
                <w:szCs w:val="14"/>
                <w:lang w:val="it-IT"/>
              </w:rPr>
            </w:pPr>
          </w:p>
        </w:tc>
        <w:tc>
          <w:tcPr>
            <w:tcW w:w="1701" w:type="dxa"/>
            <w:tcBorders>
              <w:top w:val="single" w:sz="4" w:space="0" w:color="000000" w:themeColor="text1"/>
              <w:bottom w:val="single" w:sz="4" w:space="0" w:color="000000" w:themeColor="text1"/>
            </w:tcBorders>
            <w:shd w:val="clear" w:color="auto" w:fill="auto"/>
            <w:tcMar>
              <w:top w:w="0" w:type="dxa"/>
              <w:left w:w="113" w:type="dxa"/>
              <w:bottom w:w="0" w:type="dxa"/>
              <w:right w:w="113" w:type="dxa"/>
            </w:tcMar>
            <w:vAlign w:val="center"/>
          </w:tcPr>
          <w:p w14:paraId="49F45049" w14:textId="77777777" w:rsidR="00420477" w:rsidRPr="00217522" w:rsidRDefault="00420477">
            <w:pPr>
              <w:pStyle w:val="Nessunostileparagrafo"/>
              <w:spacing w:line="240" w:lineRule="auto"/>
              <w:textAlignment w:val="auto"/>
              <w:rPr>
                <w:rFonts w:ascii="Open Sans" w:hAnsi="Open Sans" w:cs="Times New Roman"/>
                <w:color w:val="auto"/>
                <w:sz w:val="14"/>
                <w:szCs w:val="14"/>
                <w:lang w:val="it-IT"/>
              </w:rPr>
            </w:pPr>
          </w:p>
        </w:tc>
        <w:tc>
          <w:tcPr>
            <w:tcW w:w="1153" w:type="dxa"/>
            <w:tcBorders>
              <w:top w:val="single" w:sz="4" w:space="0" w:color="000000" w:themeColor="text1"/>
              <w:bottom w:val="single" w:sz="4" w:space="0" w:color="000000" w:themeColor="text1"/>
            </w:tcBorders>
            <w:shd w:val="clear" w:color="auto" w:fill="auto"/>
            <w:tcMar>
              <w:top w:w="113" w:type="dxa"/>
              <w:left w:w="113" w:type="dxa"/>
              <w:bottom w:w="113" w:type="dxa"/>
              <w:right w:w="113" w:type="dxa"/>
            </w:tcMar>
            <w:vAlign w:val="center"/>
          </w:tcPr>
          <w:p w14:paraId="3CB8EAD8" w14:textId="270A3FFC" w:rsidR="00420477" w:rsidRDefault="00420477">
            <w:pPr>
              <w:pStyle w:val="FSBodyText7ptDestra"/>
            </w:pPr>
            <w:r>
              <w:t>$3,115,214</w:t>
            </w:r>
          </w:p>
        </w:tc>
        <w:tc>
          <w:tcPr>
            <w:tcW w:w="850" w:type="dxa"/>
            <w:tcBorders>
              <w:top w:val="single" w:sz="4" w:space="0" w:color="000000" w:themeColor="text1"/>
              <w:bottom w:val="single" w:sz="4" w:space="0" w:color="000000" w:themeColor="text1"/>
            </w:tcBorders>
            <w:shd w:val="clear" w:color="auto" w:fill="auto"/>
            <w:tcMar>
              <w:top w:w="113" w:type="dxa"/>
              <w:left w:w="113" w:type="dxa"/>
              <w:bottom w:w="113" w:type="dxa"/>
              <w:right w:w="113" w:type="dxa"/>
            </w:tcMar>
            <w:vAlign w:val="center"/>
          </w:tcPr>
          <w:p w14:paraId="1D1630A5" w14:textId="4F8AC477" w:rsidR="00420477" w:rsidRPr="00D47AB2" w:rsidRDefault="00001C62" w:rsidP="644940EB">
            <w:pPr>
              <w:pStyle w:val="FSBodyText7ptDestra"/>
              <w:rPr>
                <w:highlight w:val="yellow"/>
              </w:rPr>
            </w:pPr>
            <w:r w:rsidRPr="00497DB5">
              <w:t>$-</w:t>
            </w:r>
          </w:p>
        </w:tc>
        <w:tc>
          <w:tcPr>
            <w:tcW w:w="850" w:type="dxa"/>
            <w:tcBorders>
              <w:top w:val="single" w:sz="4" w:space="0" w:color="000000" w:themeColor="text1"/>
              <w:bottom w:val="single" w:sz="4" w:space="0" w:color="000000" w:themeColor="text1"/>
            </w:tcBorders>
            <w:shd w:val="clear" w:color="auto" w:fill="auto"/>
            <w:tcMar>
              <w:top w:w="113" w:type="dxa"/>
              <w:left w:w="113" w:type="dxa"/>
              <w:bottom w:w="113" w:type="dxa"/>
              <w:right w:w="113" w:type="dxa"/>
            </w:tcMar>
            <w:vAlign w:val="center"/>
          </w:tcPr>
          <w:p w14:paraId="7754EB0D" w14:textId="199FE984" w:rsidR="00420477" w:rsidRPr="00497DB5" w:rsidRDefault="006E6D53" w:rsidP="006E6D53">
            <w:pPr>
              <w:pStyle w:val="FSBodyText7ptDestra"/>
            </w:pPr>
            <w:r w:rsidRPr="00497DB5">
              <w:t>$112,164</w:t>
            </w:r>
          </w:p>
        </w:tc>
        <w:tc>
          <w:tcPr>
            <w:tcW w:w="964" w:type="dxa"/>
            <w:tcBorders>
              <w:top w:val="single" w:sz="4" w:space="0" w:color="000000" w:themeColor="text1"/>
              <w:bottom w:val="single" w:sz="4" w:space="0" w:color="000000" w:themeColor="text1"/>
            </w:tcBorders>
            <w:shd w:val="clear" w:color="auto" w:fill="auto"/>
            <w:tcMar>
              <w:top w:w="113" w:type="dxa"/>
              <w:left w:w="113" w:type="dxa"/>
              <w:bottom w:w="113" w:type="dxa"/>
              <w:right w:w="113" w:type="dxa"/>
            </w:tcMar>
            <w:vAlign w:val="center"/>
          </w:tcPr>
          <w:p w14:paraId="0FCA4C02" w14:textId="377811DB" w:rsidR="00420477" w:rsidRDefault="00420477">
            <w:pPr>
              <w:pStyle w:val="FSBodyText7ptDestra"/>
            </w:pPr>
            <w:r>
              <w:t>$251,662</w:t>
            </w:r>
          </w:p>
        </w:tc>
        <w:tc>
          <w:tcPr>
            <w:tcW w:w="794" w:type="dxa"/>
            <w:tcBorders>
              <w:top w:val="single" w:sz="4" w:space="0" w:color="000000" w:themeColor="text1"/>
              <w:bottom w:val="single" w:sz="4" w:space="0" w:color="000000" w:themeColor="text1"/>
            </w:tcBorders>
            <w:shd w:val="clear" w:color="auto" w:fill="auto"/>
            <w:tcMar>
              <w:top w:w="113" w:type="dxa"/>
              <w:left w:w="113" w:type="dxa"/>
              <w:bottom w:w="113" w:type="dxa"/>
              <w:right w:w="113" w:type="dxa"/>
            </w:tcMar>
            <w:vAlign w:val="center"/>
          </w:tcPr>
          <w:p w14:paraId="5ED2ACFC" w14:textId="1451C43F" w:rsidR="00420477" w:rsidRDefault="00420477">
            <w:pPr>
              <w:pStyle w:val="FSBodyText7ptDestra"/>
            </w:pPr>
            <w:r>
              <w:t>$91,161</w:t>
            </w:r>
          </w:p>
        </w:tc>
        <w:tc>
          <w:tcPr>
            <w:tcW w:w="794" w:type="dxa"/>
            <w:tcBorders>
              <w:top w:val="single" w:sz="4" w:space="0" w:color="000000" w:themeColor="text1"/>
              <w:bottom w:val="single" w:sz="4" w:space="0" w:color="000000" w:themeColor="text1"/>
            </w:tcBorders>
            <w:shd w:val="clear" w:color="auto" w:fill="auto"/>
            <w:tcMar>
              <w:top w:w="113" w:type="dxa"/>
              <w:left w:w="113" w:type="dxa"/>
              <w:bottom w:w="113" w:type="dxa"/>
              <w:right w:w="113" w:type="dxa"/>
            </w:tcMar>
            <w:vAlign w:val="center"/>
          </w:tcPr>
          <w:p w14:paraId="53432B98" w14:textId="1FE25584" w:rsidR="00420477" w:rsidRDefault="00420477">
            <w:pPr>
              <w:pStyle w:val="FSBodyText7ptDestra"/>
            </w:pPr>
            <w:r>
              <w:t>$-</w:t>
            </w:r>
          </w:p>
        </w:tc>
        <w:tc>
          <w:tcPr>
            <w:tcW w:w="680" w:type="dxa"/>
            <w:tcBorders>
              <w:top w:val="single" w:sz="4" w:space="0" w:color="000000" w:themeColor="text1"/>
              <w:bottom w:val="single" w:sz="4" w:space="0" w:color="000000" w:themeColor="text1"/>
            </w:tcBorders>
            <w:shd w:val="clear" w:color="auto" w:fill="auto"/>
            <w:tcMar>
              <w:top w:w="113" w:type="dxa"/>
              <w:left w:w="113" w:type="dxa"/>
              <w:bottom w:w="113" w:type="dxa"/>
              <w:right w:w="113" w:type="dxa"/>
            </w:tcMar>
            <w:vAlign w:val="center"/>
          </w:tcPr>
          <w:p w14:paraId="52EC3D36" w14:textId="48F77E5F" w:rsidR="00420477" w:rsidRDefault="00420477">
            <w:pPr>
              <w:pStyle w:val="FSBodyText7ptDestra"/>
            </w:pPr>
            <w:r>
              <w:t>$-</w:t>
            </w:r>
          </w:p>
        </w:tc>
        <w:tc>
          <w:tcPr>
            <w:tcW w:w="1012" w:type="dxa"/>
            <w:tcBorders>
              <w:top w:val="single" w:sz="4" w:space="0" w:color="000000" w:themeColor="text1"/>
              <w:bottom w:val="single" w:sz="4" w:space="0" w:color="000000" w:themeColor="text1"/>
            </w:tcBorders>
            <w:shd w:val="clear" w:color="auto" w:fill="auto"/>
            <w:tcMar>
              <w:top w:w="113" w:type="dxa"/>
              <w:left w:w="113" w:type="dxa"/>
              <w:bottom w:w="113" w:type="dxa"/>
              <w:right w:w="113" w:type="dxa"/>
            </w:tcMar>
            <w:vAlign w:val="center"/>
          </w:tcPr>
          <w:p w14:paraId="4BF51609" w14:textId="4F17B29A" w:rsidR="00420477" w:rsidRDefault="00420477">
            <w:pPr>
              <w:pStyle w:val="FSBodyText7ptDestra"/>
            </w:pPr>
            <w:r>
              <w:t>$3</w:t>
            </w:r>
            <w:r w:rsidR="006E6D53">
              <w:t>,</w:t>
            </w:r>
            <w:r>
              <w:t>570</w:t>
            </w:r>
            <w:r w:rsidR="006E6D53">
              <w:t>,</w:t>
            </w:r>
            <w:r>
              <w:t>201</w:t>
            </w:r>
          </w:p>
        </w:tc>
      </w:tr>
    </w:tbl>
    <w:p w14:paraId="1654B169" w14:textId="7E955CDD" w:rsidR="00523DAA" w:rsidRPr="001B14E3" w:rsidRDefault="38A1D6C1" w:rsidP="00D47AB2">
      <w:pPr>
        <w:pStyle w:val="Heading5"/>
      </w:pPr>
      <w:r w:rsidRPr="644940EB">
        <w:t xml:space="preserve">Remuneration for senior executives </w:t>
      </w:r>
    </w:p>
    <w:tbl>
      <w:tblPr>
        <w:tblW w:w="10091" w:type="dxa"/>
        <w:tblInd w:w="-8" w:type="dxa"/>
        <w:tblLayout w:type="fixed"/>
        <w:tblCellMar>
          <w:left w:w="0" w:type="dxa"/>
          <w:right w:w="0" w:type="dxa"/>
        </w:tblCellMar>
        <w:tblLook w:val="0000" w:firstRow="0" w:lastRow="0" w:firstColumn="0" w:lastColumn="0" w:noHBand="0" w:noVBand="0"/>
      </w:tblPr>
      <w:tblGrid>
        <w:gridCol w:w="1701"/>
        <w:gridCol w:w="907"/>
        <w:gridCol w:w="737"/>
        <w:gridCol w:w="794"/>
        <w:gridCol w:w="1020"/>
        <w:gridCol w:w="1247"/>
        <w:gridCol w:w="907"/>
        <w:gridCol w:w="794"/>
        <w:gridCol w:w="964"/>
        <w:gridCol w:w="1020"/>
      </w:tblGrid>
      <w:tr w:rsidR="003E0A75" w:rsidRPr="00E936C7" w14:paraId="18948AF3" w14:textId="77777777" w:rsidTr="644940EB">
        <w:trPr>
          <w:trHeight w:val="60"/>
        </w:trPr>
        <w:tc>
          <w:tcPr>
            <w:tcW w:w="1701" w:type="dxa"/>
            <w:tcBorders>
              <w:top w:val="single" w:sz="4" w:space="0" w:color="000000" w:themeColor="text1"/>
              <w:bottom w:val="single" w:sz="4" w:space="0" w:color="000000" w:themeColor="text1"/>
            </w:tcBorders>
            <w:shd w:val="clear" w:color="auto" w:fill="F2F2F2" w:themeFill="background1" w:themeFillShade="F2"/>
            <w:tcMar>
              <w:top w:w="85" w:type="dxa"/>
              <w:left w:w="0" w:type="dxa"/>
              <w:bottom w:w="113" w:type="dxa"/>
              <w:right w:w="113" w:type="dxa"/>
            </w:tcMar>
            <w:vAlign w:val="bottom"/>
          </w:tcPr>
          <w:p w14:paraId="44DA3CA0" w14:textId="77777777" w:rsidR="00420477" w:rsidRPr="00E936C7" w:rsidRDefault="00420477">
            <w:pPr>
              <w:pStyle w:val="FSHeaderRow"/>
              <w:jc w:val="left"/>
            </w:pPr>
            <w:r w:rsidRPr="00E936C7">
              <w:t>Remuneration Band</w:t>
            </w:r>
          </w:p>
        </w:tc>
        <w:tc>
          <w:tcPr>
            <w:tcW w:w="907" w:type="dxa"/>
            <w:tcBorders>
              <w:top w:val="single" w:sz="4" w:space="0" w:color="000000" w:themeColor="text1"/>
              <w:bottom w:val="single" w:sz="4" w:space="0" w:color="000000" w:themeColor="text1"/>
            </w:tcBorders>
            <w:shd w:val="clear" w:color="auto" w:fill="F2F2F2" w:themeFill="background1" w:themeFillShade="F2"/>
            <w:tcMar>
              <w:top w:w="85" w:type="dxa"/>
              <w:left w:w="113" w:type="dxa"/>
              <w:bottom w:w="113" w:type="dxa"/>
              <w:right w:w="113" w:type="dxa"/>
            </w:tcMar>
            <w:vAlign w:val="bottom"/>
          </w:tcPr>
          <w:p w14:paraId="03549F38" w14:textId="77777777" w:rsidR="00420477" w:rsidRPr="00E936C7" w:rsidRDefault="00420477">
            <w:pPr>
              <w:pStyle w:val="FSHeaderRow"/>
            </w:pPr>
            <w:r w:rsidRPr="00E936C7">
              <w:t>Number of senior executives</w:t>
            </w:r>
          </w:p>
        </w:tc>
        <w:tc>
          <w:tcPr>
            <w:tcW w:w="737" w:type="dxa"/>
            <w:tcBorders>
              <w:top w:val="single" w:sz="4" w:space="0" w:color="000000" w:themeColor="text1"/>
              <w:bottom w:val="single" w:sz="4" w:space="0" w:color="000000" w:themeColor="text1"/>
            </w:tcBorders>
            <w:shd w:val="clear" w:color="auto" w:fill="F2F2F2" w:themeFill="background1" w:themeFillShade="F2"/>
            <w:tcMar>
              <w:top w:w="85" w:type="dxa"/>
              <w:left w:w="113" w:type="dxa"/>
              <w:bottom w:w="113" w:type="dxa"/>
              <w:right w:w="113" w:type="dxa"/>
            </w:tcMar>
            <w:vAlign w:val="bottom"/>
          </w:tcPr>
          <w:p w14:paraId="606CD9B2" w14:textId="77777777" w:rsidR="00420477" w:rsidRPr="00E936C7" w:rsidRDefault="00420477">
            <w:pPr>
              <w:pStyle w:val="FSHeaderRow"/>
            </w:pPr>
            <w:r w:rsidRPr="00E936C7">
              <w:t xml:space="preserve">Average Base salary </w:t>
            </w:r>
          </w:p>
        </w:tc>
        <w:tc>
          <w:tcPr>
            <w:tcW w:w="794" w:type="dxa"/>
            <w:tcBorders>
              <w:top w:val="single" w:sz="4" w:space="0" w:color="000000" w:themeColor="text1"/>
              <w:bottom w:val="single" w:sz="4" w:space="0" w:color="000000" w:themeColor="text1"/>
            </w:tcBorders>
            <w:shd w:val="clear" w:color="auto" w:fill="F2F2F2" w:themeFill="background1" w:themeFillShade="F2"/>
            <w:tcMar>
              <w:top w:w="85" w:type="dxa"/>
              <w:left w:w="113" w:type="dxa"/>
              <w:bottom w:w="113" w:type="dxa"/>
              <w:right w:w="113" w:type="dxa"/>
            </w:tcMar>
            <w:vAlign w:val="bottom"/>
          </w:tcPr>
          <w:p w14:paraId="4AE85DE7" w14:textId="5897A7D9" w:rsidR="00420477" w:rsidRPr="00E936C7" w:rsidRDefault="00420477">
            <w:pPr>
              <w:pStyle w:val="FSHeaderRow"/>
            </w:pPr>
            <w:r w:rsidRPr="00E936C7">
              <w:t>Average bonuses</w:t>
            </w:r>
          </w:p>
        </w:tc>
        <w:tc>
          <w:tcPr>
            <w:tcW w:w="1020" w:type="dxa"/>
            <w:tcBorders>
              <w:top w:val="single" w:sz="4" w:space="0" w:color="000000" w:themeColor="text1"/>
              <w:bottom w:val="single" w:sz="4" w:space="0" w:color="000000" w:themeColor="text1"/>
            </w:tcBorders>
            <w:shd w:val="clear" w:color="auto" w:fill="F2F2F2" w:themeFill="background1" w:themeFillShade="F2"/>
            <w:tcMar>
              <w:top w:w="85" w:type="dxa"/>
              <w:left w:w="113" w:type="dxa"/>
              <w:bottom w:w="113" w:type="dxa"/>
              <w:right w:w="113" w:type="dxa"/>
            </w:tcMar>
            <w:vAlign w:val="bottom"/>
          </w:tcPr>
          <w:p w14:paraId="4F674866" w14:textId="77777777" w:rsidR="00420477" w:rsidRPr="00E936C7" w:rsidRDefault="00420477">
            <w:pPr>
              <w:pStyle w:val="FSHeaderRow"/>
            </w:pPr>
            <w:r w:rsidRPr="00E936C7">
              <w:t>Average other benefits and allowances</w:t>
            </w:r>
          </w:p>
        </w:tc>
        <w:tc>
          <w:tcPr>
            <w:tcW w:w="1247" w:type="dxa"/>
            <w:tcBorders>
              <w:top w:val="single" w:sz="4" w:space="0" w:color="000000" w:themeColor="text1"/>
              <w:bottom w:val="single" w:sz="4" w:space="0" w:color="000000" w:themeColor="text1"/>
            </w:tcBorders>
            <w:shd w:val="clear" w:color="auto" w:fill="F2F2F2" w:themeFill="background1" w:themeFillShade="F2"/>
            <w:tcMar>
              <w:top w:w="85" w:type="dxa"/>
              <w:left w:w="113" w:type="dxa"/>
              <w:bottom w:w="113" w:type="dxa"/>
              <w:right w:w="113" w:type="dxa"/>
            </w:tcMar>
            <w:vAlign w:val="bottom"/>
          </w:tcPr>
          <w:p w14:paraId="485156F5" w14:textId="77777777" w:rsidR="00420477" w:rsidRPr="00E936C7" w:rsidRDefault="00420477">
            <w:pPr>
              <w:pStyle w:val="FSHeaderRow"/>
            </w:pPr>
            <w:r w:rsidRPr="00E936C7">
              <w:t>Average superannuation contributions</w:t>
            </w:r>
          </w:p>
        </w:tc>
        <w:tc>
          <w:tcPr>
            <w:tcW w:w="907" w:type="dxa"/>
            <w:tcBorders>
              <w:top w:val="single" w:sz="4" w:space="0" w:color="000000" w:themeColor="text1"/>
              <w:bottom w:val="single" w:sz="4" w:space="0" w:color="000000" w:themeColor="text1"/>
            </w:tcBorders>
            <w:shd w:val="clear" w:color="auto" w:fill="F2F2F2" w:themeFill="background1" w:themeFillShade="F2"/>
            <w:tcMar>
              <w:top w:w="85" w:type="dxa"/>
              <w:left w:w="113" w:type="dxa"/>
              <w:bottom w:w="113" w:type="dxa"/>
              <w:right w:w="113" w:type="dxa"/>
            </w:tcMar>
            <w:vAlign w:val="bottom"/>
          </w:tcPr>
          <w:p w14:paraId="7381D00A" w14:textId="77777777" w:rsidR="00420477" w:rsidRPr="00E936C7" w:rsidRDefault="00420477">
            <w:pPr>
              <w:pStyle w:val="FSHeaderRow"/>
            </w:pPr>
            <w:r w:rsidRPr="00E936C7">
              <w:t>Average long service leave</w:t>
            </w:r>
          </w:p>
        </w:tc>
        <w:tc>
          <w:tcPr>
            <w:tcW w:w="794" w:type="dxa"/>
            <w:tcBorders>
              <w:top w:val="single" w:sz="4" w:space="0" w:color="000000" w:themeColor="text1"/>
              <w:bottom w:val="single" w:sz="4" w:space="0" w:color="000000" w:themeColor="text1"/>
            </w:tcBorders>
            <w:shd w:val="clear" w:color="auto" w:fill="F2F2F2" w:themeFill="background1" w:themeFillShade="F2"/>
            <w:tcMar>
              <w:top w:w="85" w:type="dxa"/>
              <w:left w:w="113" w:type="dxa"/>
              <w:bottom w:w="113" w:type="dxa"/>
              <w:right w:w="113" w:type="dxa"/>
            </w:tcMar>
            <w:vAlign w:val="bottom"/>
          </w:tcPr>
          <w:p w14:paraId="56170412" w14:textId="36C1F07C" w:rsidR="00420477" w:rsidRPr="00E936C7" w:rsidRDefault="00420477">
            <w:pPr>
              <w:pStyle w:val="FSHeaderRow"/>
            </w:pPr>
            <w:r w:rsidRPr="00E936C7">
              <w:t>Average other long</w:t>
            </w:r>
            <w:r w:rsidRPr="00E936C7">
              <w:rPr>
                <w:rFonts w:ascii="Cambria Math" w:hAnsi="Cambria Math" w:cs="Cambria Math"/>
              </w:rPr>
              <w:t>‑</w:t>
            </w:r>
            <w:r w:rsidR="00217522">
              <w:rPr>
                <w:rFonts w:ascii="Cambria Math" w:hAnsi="Cambria Math" w:cs="Cambria Math"/>
              </w:rPr>
              <w:br/>
            </w:r>
            <w:r w:rsidRPr="00E936C7">
              <w:t>term benefits</w:t>
            </w:r>
          </w:p>
        </w:tc>
        <w:tc>
          <w:tcPr>
            <w:tcW w:w="964" w:type="dxa"/>
            <w:tcBorders>
              <w:top w:val="single" w:sz="4" w:space="0" w:color="000000" w:themeColor="text1"/>
              <w:bottom w:val="single" w:sz="4" w:space="0" w:color="000000" w:themeColor="text1"/>
            </w:tcBorders>
            <w:shd w:val="clear" w:color="auto" w:fill="F2F2F2" w:themeFill="background1" w:themeFillShade="F2"/>
            <w:tcMar>
              <w:top w:w="85" w:type="dxa"/>
              <w:left w:w="113" w:type="dxa"/>
              <w:bottom w:w="113" w:type="dxa"/>
              <w:right w:w="113" w:type="dxa"/>
            </w:tcMar>
            <w:vAlign w:val="bottom"/>
          </w:tcPr>
          <w:p w14:paraId="13D8355B" w14:textId="77777777" w:rsidR="00217522" w:rsidRDefault="00420477">
            <w:pPr>
              <w:pStyle w:val="FSHeaderRow"/>
            </w:pPr>
            <w:r w:rsidRPr="00E936C7">
              <w:t>Average termin</w:t>
            </w:r>
          </w:p>
          <w:p w14:paraId="4C040AB8" w14:textId="6883AB2A" w:rsidR="00420477" w:rsidRPr="00E936C7" w:rsidRDefault="00217522">
            <w:pPr>
              <w:pStyle w:val="FSHeaderRow"/>
            </w:pPr>
            <w:r>
              <w:t>-</w:t>
            </w:r>
            <w:r w:rsidR="00420477" w:rsidRPr="00E936C7">
              <w:t>ation benefits</w:t>
            </w:r>
          </w:p>
        </w:tc>
        <w:tc>
          <w:tcPr>
            <w:tcW w:w="1020" w:type="dxa"/>
            <w:tcBorders>
              <w:top w:val="single" w:sz="4" w:space="0" w:color="000000" w:themeColor="text1"/>
              <w:bottom w:val="single" w:sz="4" w:space="0" w:color="000000" w:themeColor="text1"/>
            </w:tcBorders>
            <w:shd w:val="clear" w:color="auto" w:fill="F2F2F2" w:themeFill="background1" w:themeFillShade="F2"/>
            <w:tcMar>
              <w:top w:w="85" w:type="dxa"/>
              <w:left w:w="113" w:type="dxa"/>
              <w:bottom w:w="113" w:type="dxa"/>
              <w:right w:w="113" w:type="dxa"/>
            </w:tcMar>
            <w:vAlign w:val="bottom"/>
          </w:tcPr>
          <w:p w14:paraId="521C0910" w14:textId="4A5B9723" w:rsidR="00420477" w:rsidRPr="00E936C7" w:rsidRDefault="00420477">
            <w:pPr>
              <w:pStyle w:val="FSHeaderRow"/>
            </w:pPr>
            <w:r w:rsidRPr="00E936C7">
              <w:t>Average total remun</w:t>
            </w:r>
            <w:r w:rsidR="00217522">
              <w:t>-</w:t>
            </w:r>
            <w:r w:rsidRPr="00E936C7">
              <w:t>eration</w:t>
            </w:r>
          </w:p>
        </w:tc>
      </w:tr>
      <w:tr w:rsidR="003E0A75" w14:paraId="7DD5D162" w14:textId="77777777" w:rsidTr="644940EB">
        <w:trPr>
          <w:trHeight w:val="60"/>
        </w:trPr>
        <w:tc>
          <w:tcPr>
            <w:tcW w:w="1701" w:type="dxa"/>
            <w:tcBorders>
              <w:top w:val="single" w:sz="4" w:space="0" w:color="000000" w:themeColor="text1"/>
              <w:bottom w:val="dotted" w:sz="8" w:space="0" w:color="000000" w:themeColor="text1"/>
            </w:tcBorders>
            <w:shd w:val="clear" w:color="auto" w:fill="auto"/>
            <w:tcMar>
              <w:top w:w="113" w:type="dxa"/>
              <w:left w:w="0" w:type="dxa"/>
              <w:bottom w:w="113" w:type="dxa"/>
              <w:right w:w="113" w:type="dxa"/>
            </w:tcMar>
            <w:vAlign w:val="bottom"/>
          </w:tcPr>
          <w:p w14:paraId="15A3417B" w14:textId="3BB8DEA0" w:rsidR="00420477" w:rsidRDefault="763E300C">
            <w:pPr>
              <w:pStyle w:val="FSBodyText"/>
            </w:pPr>
            <w:r w:rsidRPr="644940EB">
              <w:rPr>
                <w:sz w:val="14"/>
                <w:szCs w:val="14"/>
              </w:rPr>
              <w:t>$234</w:t>
            </w:r>
            <w:r w:rsidR="006E6D53">
              <w:rPr>
                <w:sz w:val="14"/>
                <w:szCs w:val="14"/>
              </w:rPr>
              <w:t>,</w:t>
            </w:r>
            <w:r w:rsidRPr="644940EB">
              <w:rPr>
                <w:sz w:val="14"/>
                <w:szCs w:val="14"/>
              </w:rPr>
              <w:t xml:space="preserve">501 </w:t>
            </w:r>
            <w:r w:rsidR="006E6D53">
              <w:rPr>
                <w:sz w:val="14"/>
                <w:szCs w:val="14"/>
              </w:rPr>
              <w:t>–</w:t>
            </w:r>
            <w:r w:rsidR="006E6D53" w:rsidRPr="644940EB">
              <w:rPr>
                <w:sz w:val="14"/>
                <w:szCs w:val="14"/>
              </w:rPr>
              <w:t xml:space="preserve"> </w:t>
            </w:r>
            <w:r w:rsidRPr="644940EB">
              <w:rPr>
                <w:sz w:val="14"/>
                <w:szCs w:val="14"/>
              </w:rPr>
              <w:t>$237</w:t>
            </w:r>
            <w:r w:rsidR="006E6D53">
              <w:rPr>
                <w:sz w:val="14"/>
                <w:szCs w:val="14"/>
              </w:rPr>
              <w:t>,</w:t>
            </w:r>
            <w:r w:rsidRPr="644940EB">
              <w:rPr>
                <w:sz w:val="14"/>
                <w:szCs w:val="14"/>
              </w:rPr>
              <w:t>000</w:t>
            </w:r>
          </w:p>
        </w:tc>
        <w:tc>
          <w:tcPr>
            <w:tcW w:w="907" w:type="dxa"/>
            <w:tcBorders>
              <w:top w:val="single" w:sz="4" w:space="0" w:color="000000" w:themeColor="text1"/>
              <w:bottom w:val="dotted" w:sz="8" w:space="0" w:color="000000" w:themeColor="text1"/>
            </w:tcBorders>
            <w:shd w:val="clear" w:color="auto" w:fill="auto"/>
            <w:tcMar>
              <w:top w:w="113" w:type="dxa"/>
              <w:left w:w="0" w:type="dxa"/>
              <w:bottom w:w="113" w:type="dxa"/>
              <w:right w:w="113" w:type="dxa"/>
            </w:tcMar>
            <w:vAlign w:val="bottom"/>
          </w:tcPr>
          <w:p w14:paraId="3313BDD0" w14:textId="7DF4B5B5" w:rsidR="00420477" w:rsidRDefault="00420477">
            <w:pPr>
              <w:pStyle w:val="FSBodyText"/>
              <w:jc w:val="right"/>
            </w:pPr>
            <w:r>
              <w:rPr>
                <w:sz w:val="14"/>
                <w:szCs w:val="14"/>
              </w:rPr>
              <w:t>2</w:t>
            </w:r>
          </w:p>
        </w:tc>
        <w:tc>
          <w:tcPr>
            <w:tcW w:w="737" w:type="dxa"/>
            <w:tcBorders>
              <w:top w:val="single" w:sz="4" w:space="0" w:color="000000" w:themeColor="text1"/>
              <w:bottom w:val="dotted" w:sz="8" w:space="0" w:color="000000" w:themeColor="text1"/>
            </w:tcBorders>
            <w:shd w:val="clear" w:color="auto" w:fill="auto"/>
            <w:tcMar>
              <w:top w:w="113" w:type="dxa"/>
              <w:left w:w="0" w:type="dxa"/>
              <w:bottom w:w="113" w:type="dxa"/>
              <w:right w:w="113" w:type="dxa"/>
            </w:tcMar>
            <w:vAlign w:val="bottom"/>
          </w:tcPr>
          <w:p w14:paraId="17659BE6" w14:textId="2FEBE59A" w:rsidR="00420477" w:rsidRDefault="00420477">
            <w:pPr>
              <w:pStyle w:val="FSBodyText"/>
              <w:jc w:val="right"/>
            </w:pPr>
            <w:r>
              <w:rPr>
                <w:sz w:val="14"/>
                <w:szCs w:val="14"/>
              </w:rPr>
              <w:t>209,632</w:t>
            </w:r>
          </w:p>
        </w:tc>
        <w:tc>
          <w:tcPr>
            <w:tcW w:w="794" w:type="dxa"/>
            <w:tcBorders>
              <w:top w:val="single" w:sz="4" w:space="0" w:color="000000" w:themeColor="text1"/>
              <w:bottom w:val="dotted" w:sz="8" w:space="0" w:color="000000" w:themeColor="text1"/>
            </w:tcBorders>
            <w:shd w:val="clear" w:color="auto" w:fill="auto"/>
            <w:tcMar>
              <w:top w:w="113" w:type="dxa"/>
              <w:left w:w="0" w:type="dxa"/>
              <w:bottom w:w="113" w:type="dxa"/>
              <w:right w:w="113" w:type="dxa"/>
            </w:tcMar>
            <w:vAlign w:val="bottom"/>
          </w:tcPr>
          <w:p w14:paraId="301A7709" w14:textId="77777777" w:rsidR="00420477" w:rsidRDefault="00420477">
            <w:pPr>
              <w:pStyle w:val="FSBodyText"/>
              <w:jc w:val="right"/>
            </w:pPr>
            <w:r>
              <w:rPr>
                <w:sz w:val="14"/>
                <w:szCs w:val="14"/>
              </w:rPr>
              <w:t>-</w:t>
            </w:r>
          </w:p>
        </w:tc>
        <w:tc>
          <w:tcPr>
            <w:tcW w:w="1020" w:type="dxa"/>
            <w:tcBorders>
              <w:top w:val="single" w:sz="4" w:space="0" w:color="000000" w:themeColor="text1"/>
              <w:bottom w:val="dotted" w:sz="8" w:space="0" w:color="000000" w:themeColor="text1"/>
            </w:tcBorders>
            <w:shd w:val="clear" w:color="auto" w:fill="auto"/>
            <w:tcMar>
              <w:top w:w="113" w:type="dxa"/>
              <w:left w:w="0" w:type="dxa"/>
              <w:bottom w:w="113" w:type="dxa"/>
              <w:right w:w="113" w:type="dxa"/>
            </w:tcMar>
            <w:vAlign w:val="bottom"/>
          </w:tcPr>
          <w:p w14:paraId="02555BC1" w14:textId="77777777" w:rsidR="00420477" w:rsidRDefault="00420477">
            <w:pPr>
              <w:pStyle w:val="FSBodyText"/>
              <w:jc w:val="right"/>
            </w:pPr>
            <w:r>
              <w:rPr>
                <w:sz w:val="14"/>
                <w:szCs w:val="14"/>
              </w:rPr>
              <w:t>-</w:t>
            </w:r>
          </w:p>
        </w:tc>
        <w:tc>
          <w:tcPr>
            <w:tcW w:w="1247" w:type="dxa"/>
            <w:tcBorders>
              <w:top w:val="single" w:sz="4" w:space="0" w:color="000000" w:themeColor="text1"/>
              <w:bottom w:val="dotted" w:sz="8" w:space="0" w:color="000000" w:themeColor="text1"/>
            </w:tcBorders>
            <w:shd w:val="clear" w:color="auto" w:fill="auto"/>
            <w:tcMar>
              <w:top w:w="113" w:type="dxa"/>
              <w:left w:w="0" w:type="dxa"/>
              <w:bottom w:w="113" w:type="dxa"/>
              <w:right w:w="113" w:type="dxa"/>
            </w:tcMar>
            <w:vAlign w:val="bottom"/>
          </w:tcPr>
          <w:p w14:paraId="1FADB988" w14:textId="07D420BC" w:rsidR="00420477" w:rsidRDefault="00420477">
            <w:pPr>
              <w:pStyle w:val="FSBodyText"/>
              <w:jc w:val="right"/>
            </w:pPr>
            <w:r>
              <w:rPr>
                <w:sz w:val="14"/>
                <w:szCs w:val="14"/>
              </w:rPr>
              <w:t>35,419</w:t>
            </w:r>
          </w:p>
        </w:tc>
        <w:tc>
          <w:tcPr>
            <w:tcW w:w="907" w:type="dxa"/>
            <w:tcBorders>
              <w:top w:val="single" w:sz="4" w:space="0" w:color="000000" w:themeColor="text1"/>
              <w:bottom w:val="dotted" w:sz="8" w:space="0" w:color="000000" w:themeColor="text1"/>
            </w:tcBorders>
            <w:shd w:val="clear" w:color="auto" w:fill="auto"/>
            <w:tcMar>
              <w:top w:w="113" w:type="dxa"/>
              <w:left w:w="0" w:type="dxa"/>
              <w:bottom w:w="113" w:type="dxa"/>
              <w:right w:w="113" w:type="dxa"/>
            </w:tcMar>
            <w:vAlign w:val="bottom"/>
          </w:tcPr>
          <w:p w14:paraId="66B355A5" w14:textId="6FF89354" w:rsidR="00420477" w:rsidRDefault="00420477">
            <w:pPr>
              <w:pStyle w:val="FSBodyText"/>
              <w:jc w:val="right"/>
            </w:pPr>
            <w:r>
              <w:rPr>
                <w:sz w:val="14"/>
                <w:szCs w:val="14"/>
              </w:rPr>
              <w:t>17,155</w:t>
            </w:r>
          </w:p>
        </w:tc>
        <w:tc>
          <w:tcPr>
            <w:tcW w:w="794" w:type="dxa"/>
            <w:tcBorders>
              <w:top w:val="single" w:sz="4" w:space="0" w:color="000000" w:themeColor="text1"/>
              <w:bottom w:val="dotted" w:sz="8" w:space="0" w:color="000000" w:themeColor="text1"/>
            </w:tcBorders>
            <w:shd w:val="clear" w:color="auto" w:fill="auto"/>
            <w:tcMar>
              <w:top w:w="113" w:type="dxa"/>
              <w:left w:w="0" w:type="dxa"/>
              <w:bottom w:w="113" w:type="dxa"/>
              <w:right w:w="113" w:type="dxa"/>
            </w:tcMar>
            <w:vAlign w:val="bottom"/>
          </w:tcPr>
          <w:p w14:paraId="08E9977A" w14:textId="77777777" w:rsidR="00420477" w:rsidRDefault="00420477">
            <w:pPr>
              <w:pStyle w:val="FSBodyText"/>
              <w:jc w:val="right"/>
            </w:pPr>
            <w:r>
              <w:rPr>
                <w:sz w:val="14"/>
                <w:szCs w:val="14"/>
              </w:rPr>
              <w:t>-</w:t>
            </w:r>
          </w:p>
        </w:tc>
        <w:tc>
          <w:tcPr>
            <w:tcW w:w="964" w:type="dxa"/>
            <w:tcBorders>
              <w:top w:val="single" w:sz="4" w:space="0" w:color="000000" w:themeColor="text1"/>
              <w:bottom w:val="dotted" w:sz="8" w:space="0" w:color="000000" w:themeColor="text1"/>
            </w:tcBorders>
            <w:shd w:val="clear" w:color="auto" w:fill="auto"/>
            <w:tcMar>
              <w:top w:w="113" w:type="dxa"/>
              <w:left w:w="0" w:type="dxa"/>
              <w:bottom w:w="113" w:type="dxa"/>
              <w:right w:w="113" w:type="dxa"/>
            </w:tcMar>
            <w:vAlign w:val="bottom"/>
          </w:tcPr>
          <w:p w14:paraId="0464D274" w14:textId="77777777" w:rsidR="00420477" w:rsidRDefault="00420477">
            <w:pPr>
              <w:pStyle w:val="FSBodyText"/>
              <w:jc w:val="right"/>
            </w:pPr>
            <w:r>
              <w:rPr>
                <w:sz w:val="14"/>
                <w:szCs w:val="14"/>
              </w:rPr>
              <w:t>-</w:t>
            </w:r>
          </w:p>
        </w:tc>
        <w:tc>
          <w:tcPr>
            <w:tcW w:w="1020" w:type="dxa"/>
            <w:tcBorders>
              <w:top w:val="single" w:sz="4" w:space="0" w:color="000000" w:themeColor="text1"/>
              <w:bottom w:val="dotted" w:sz="8" w:space="0" w:color="000000" w:themeColor="text1"/>
            </w:tcBorders>
            <w:shd w:val="clear" w:color="auto" w:fill="auto"/>
            <w:tcMar>
              <w:top w:w="113" w:type="dxa"/>
              <w:left w:w="0" w:type="dxa"/>
              <w:bottom w:w="113" w:type="dxa"/>
              <w:right w:w="113" w:type="dxa"/>
            </w:tcMar>
            <w:vAlign w:val="bottom"/>
          </w:tcPr>
          <w:p w14:paraId="2AEA6949" w14:textId="56CA02DF" w:rsidR="00420477" w:rsidRDefault="00420477">
            <w:pPr>
              <w:pStyle w:val="FSBodyText"/>
              <w:jc w:val="right"/>
            </w:pPr>
            <w:r>
              <w:rPr>
                <w:sz w:val="14"/>
                <w:szCs w:val="14"/>
              </w:rPr>
              <w:t xml:space="preserve"> $262,208</w:t>
            </w:r>
          </w:p>
        </w:tc>
      </w:tr>
    </w:tbl>
    <w:p w14:paraId="4B1CE0E4" w14:textId="61249E43" w:rsidR="00D9619B" w:rsidRPr="00D557A7" w:rsidRDefault="00D9619B" w:rsidP="00D9619B">
      <w:pPr>
        <w:spacing w:before="0" w:after="0" w:line="240" w:lineRule="auto"/>
        <w:rPr>
          <w:rFonts w:eastAsia="Malgun Gothic"/>
        </w:rPr>
      </w:pPr>
      <w:r>
        <w:rPr>
          <w:rFonts w:eastAsia="Malgun Gothic"/>
        </w:rPr>
        <w:br w:type="page"/>
      </w:r>
    </w:p>
    <w:p w14:paraId="6704A4C5" w14:textId="21D649CC" w:rsidR="009E3F12" w:rsidRPr="00AB6973" w:rsidRDefault="009E3F12" w:rsidP="00DE48E9">
      <w:pPr>
        <w:pStyle w:val="Heading1"/>
        <w:rPr>
          <w:lang w:eastAsia="en-US"/>
        </w:rPr>
      </w:pPr>
      <w:bookmarkStart w:id="56" w:name="_Toc146437060"/>
      <w:r w:rsidRPr="448905EB">
        <w:rPr>
          <w:lang w:eastAsia="en-US"/>
        </w:rPr>
        <w:t xml:space="preserve">Other </w:t>
      </w:r>
      <w:r w:rsidR="4E666D8E" w:rsidRPr="4E4621F4">
        <w:rPr>
          <w:lang w:eastAsia="en-US"/>
        </w:rPr>
        <w:t>Reporting</w:t>
      </w:r>
      <w:r w:rsidR="4E666D8E" w:rsidRPr="2C9FB65F">
        <w:rPr>
          <w:lang w:eastAsia="en-US"/>
        </w:rPr>
        <w:t xml:space="preserve"> </w:t>
      </w:r>
      <w:r w:rsidRPr="448905EB">
        <w:rPr>
          <w:lang w:eastAsia="en-US"/>
        </w:rPr>
        <w:t>Requirements</w:t>
      </w:r>
      <w:bookmarkEnd w:id="56"/>
    </w:p>
    <w:p w14:paraId="38321593" w14:textId="725AD625" w:rsidR="009E3F12" w:rsidRPr="00AB6973" w:rsidRDefault="009E3F12" w:rsidP="00DE48E9">
      <w:pPr>
        <w:pStyle w:val="Heading2"/>
      </w:pPr>
      <w:bookmarkStart w:id="57" w:name="_Toc146437061"/>
      <w:r w:rsidRPr="00AB6973">
        <w:t>Environment Statement</w:t>
      </w:r>
      <w:bookmarkEnd w:id="57"/>
    </w:p>
    <w:p w14:paraId="68B26CC6" w14:textId="5D5F869D" w:rsidR="005D2468" w:rsidRPr="00855CD1" w:rsidRDefault="00FC3063" w:rsidP="00DE48E9">
      <w:r w:rsidRPr="448905EB">
        <w:t xml:space="preserve">The Commission uses energy saving methods in its operations and it endeavours to make the best use of resources while </w:t>
      </w:r>
      <w:r w:rsidR="004652F9" w:rsidRPr="448905EB">
        <w:t>also</w:t>
      </w:r>
      <w:r w:rsidRPr="448905EB">
        <w:t xml:space="preserve"> reducing its environmental impact through appropriate recycling schemes.</w:t>
      </w:r>
    </w:p>
    <w:p w14:paraId="21D4D326" w14:textId="34BC1911" w:rsidR="00FC3063" w:rsidRPr="00855CD1" w:rsidRDefault="00FC3063" w:rsidP="00DE48E9">
      <w:r w:rsidRPr="448905EB">
        <w:t>In 2022–2023 we continued to mitigate our impact on the environment by:</w:t>
      </w:r>
    </w:p>
    <w:p w14:paraId="7CB52AFF" w14:textId="34D9D06E" w:rsidR="00FC3063" w:rsidRPr="00855CD1" w:rsidRDefault="00FC3063" w:rsidP="00DE48E9">
      <w:pPr>
        <w:pStyle w:val="ListBullet"/>
      </w:pPr>
      <w:r w:rsidRPr="448905EB">
        <w:t>maintaining our commitment to an Electronic Document Record Management System (EDRMS), facilitating digital recordkeeping</w:t>
      </w:r>
    </w:p>
    <w:p w14:paraId="4D3F82CE" w14:textId="231DE414" w:rsidR="00FC3063" w:rsidRPr="00855CD1" w:rsidRDefault="002B31E7" w:rsidP="00DE48E9">
      <w:pPr>
        <w:pStyle w:val="ListBullet"/>
      </w:pPr>
      <w:r w:rsidRPr="448905EB">
        <w:t>u</w:t>
      </w:r>
      <w:r w:rsidR="00FC3063" w:rsidRPr="448905EB">
        <w:t>sing Microsoft Teams facilities to reduce air and road travel</w:t>
      </w:r>
    </w:p>
    <w:p w14:paraId="52AD3AC4" w14:textId="4CC39E1E" w:rsidR="00FC3063" w:rsidRPr="00855CD1" w:rsidRDefault="5546E876" w:rsidP="00DE48E9">
      <w:pPr>
        <w:pStyle w:val="ListBullet"/>
      </w:pPr>
      <w:r w:rsidRPr="448905EB">
        <w:t>powering down all non-essential electronic equipment (including multi-use devices and non-essential air conditioning units) during the Christmas to New Year</w:t>
      </w:r>
      <w:r w:rsidR="003C49E4" w:rsidRPr="448905EB">
        <w:t xml:space="preserve"> closedown</w:t>
      </w:r>
      <w:r w:rsidRPr="448905EB">
        <w:t>, and other sustained office shutdown periods</w:t>
      </w:r>
    </w:p>
    <w:p w14:paraId="54225A79" w14:textId="0EDA33E2" w:rsidR="00FC3063" w:rsidRPr="00855CD1" w:rsidRDefault="00FC3063" w:rsidP="00DE48E9">
      <w:pPr>
        <w:pStyle w:val="ListBullet"/>
      </w:pPr>
      <w:r w:rsidRPr="448905EB">
        <w:t xml:space="preserve">providing opportunities for staff to </w:t>
      </w:r>
      <w:r w:rsidR="00C95042" w:rsidRPr="448905EB">
        <w:t xml:space="preserve">cycle </w:t>
      </w:r>
      <w:r w:rsidRPr="448905EB">
        <w:t>and walk to work and to participate in our building’s sustainable waste management system which promotes recycling.</w:t>
      </w:r>
    </w:p>
    <w:p w14:paraId="5DEA13E3" w14:textId="318CEDE4" w:rsidR="55A98B12" w:rsidRDefault="00FC3063" w:rsidP="00DE48E9">
      <w:r w:rsidRPr="448905EB">
        <w:t>Looking forward, the Commission will seek to strengthen the metrics of our environment</w:t>
      </w:r>
      <w:r w:rsidR="00C95042" w:rsidRPr="448905EB">
        <w:t>al</w:t>
      </w:r>
      <w:r w:rsidRPr="448905EB">
        <w:t xml:space="preserve"> impact and increase our focus on human rights principles and </w:t>
      </w:r>
      <w:r w:rsidR="4FB56618" w:rsidRPr="448905EB">
        <w:t>how they impact</w:t>
      </w:r>
      <w:r w:rsidRPr="448905EB">
        <w:t xml:space="preserve"> the environment.</w:t>
      </w:r>
    </w:p>
    <w:p w14:paraId="1856EC8A" w14:textId="1B4F06C5" w:rsidR="003C7007" w:rsidRDefault="003608B6" w:rsidP="00DE48E9">
      <w:r w:rsidRPr="00855CD1">
        <w:t xml:space="preserve">The APS Net Zero unit has worked with teams from the following Whole of Government Arrangements to source data. </w:t>
      </w:r>
      <w:r w:rsidR="00A356E2" w:rsidRPr="00855CD1">
        <w:t xml:space="preserve">Please see below </w:t>
      </w:r>
      <w:r w:rsidR="00304490" w:rsidRPr="00855CD1">
        <w:t>the Commission emissions outputs for the 2022</w:t>
      </w:r>
      <w:r w:rsidR="003401E9" w:rsidRPr="00855CD1">
        <w:t>–</w:t>
      </w:r>
      <w:r w:rsidR="00304490" w:rsidRPr="00855CD1">
        <w:t>23</w:t>
      </w:r>
      <w:r w:rsidR="00304490" w:rsidRPr="00AB6973">
        <w:t xml:space="preserve"> reporting period.</w:t>
      </w:r>
    </w:p>
    <w:p w14:paraId="1E14B421" w14:textId="01C1F23F" w:rsidR="00105472" w:rsidRPr="00AB6973" w:rsidRDefault="003C7007" w:rsidP="003C7007">
      <w:pPr>
        <w:spacing w:before="0" w:after="0" w:line="240" w:lineRule="auto"/>
      </w:pPr>
      <w:r>
        <w:br w:type="page"/>
      </w:r>
    </w:p>
    <w:tbl>
      <w:tblPr>
        <w:tblW w:w="9791" w:type="dxa"/>
        <w:tblBorders>
          <w:top w:val="single" w:sz="4" w:space="0" w:color="000000" w:themeColor="text1"/>
          <w:bottom w:val="single" w:sz="4" w:space="0" w:color="000000" w:themeColor="text1"/>
          <w:insideH w:val="single" w:sz="4" w:space="0" w:color="000000" w:themeColor="text1"/>
        </w:tblBorders>
        <w:tblCellMar>
          <w:top w:w="15" w:type="dxa"/>
          <w:bottom w:w="15" w:type="dxa"/>
        </w:tblCellMar>
        <w:tblLook w:val="04A0" w:firstRow="1" w:lastRow="0" w:firstColumn="1" w:lastColumn="0" w:noHBand="0" w:noVBand="1"/>
      </w:tblPr>
      <w:tblGrid>
        <w:gridCol w:w="2535"/>
        <w:gridCol w:w="1814"/>
        <w:gridCol w:w="1814"/>
        <w:gridCol w:w="1814"/>
        <w:gridCol w:w="1814"/>
      </w:tblGrid>
      <w:tr w:rsidR="006138C7" w:rsidRPr="00D557A7" w14:paraId="006B048D" w14:textId="77777777" w:rsidTr="00497DB5">
        <w:trPr>
          <w:trHeight w:val="345"/>
        </w:trPr>
        <w:tc>
          <w:tcPr>
            <w:tcW w:w="2535" w:type="dxa"/>
            <w:shd w:val="clear" w:color="auto" w:fill="F2F2F2" w:themeFill="background1" w:themeFillShade="F2"/>
            <w:noWrap/>
            <w:vAlign w:val="bottom"/>
            <w:hideMark/>
          </w:tcPr>
          <w:p w14:paraId="4B5AA5DF" w14:textId="77777777" w:rsidR="00F95998" w:rsidRPr="00D557A7" w:rsidRDefault="00F95998" w:rsidP="00D557A7">
            <w:pPr>
              <w:pStyle w:val="TableHeading"/>
            </w:pPr>
            <w:r w:rsidRPr="00D557A7">
              <w:t>Emission Source</w:t>
            </w:r>
          </w:p>
        </w:tc>
        <w:tc>
          <w:tcPr>
            <w:tcW w:w="1814" w:type="dxa"/>
            <w:shd w:val="clear" w:color="auto" w:fill="F2F2F2" w:themeFill="background1" w:themeFillShade="F2"/>
            <w:noWrap/>
            <w:vAlign w:val="bottom"/>
            <w:hideMark/>
          </w:tcPr>
          <w:p w14:paraId="6F9A3AF1" w14:textId="77777777" w:rsidR="00F95998" w:rsidRPr="00D557A7" w:rsidRDefault="00F95998" w:rsidP="00497DB5">
            <w:pPr>
              <w:pStyle w:val="TableHeading"/>
              <w:jc w:val="right"/>
            </w:pPr>
            <w:r w:rsidRPr="00D557A7">
              <w:t>Scope 1 kg CO2-e</w:t>
            </w:r>
          </w:p>
        </w:tc>
        <w:tc>
          <w:tcPr>
            <w:tcW w:w="1814" w:type="dxa"/>
            <w:shd w:val="clear" w:color="auto" w:fill="F2F2F2" w:themeFill="background1" w:themeFillShade="F2"/>
            <w:noWrap/>
            <w:vAlign w:val="bottom"/>
            <w:hideMark/>
          </w:tcPr>
          <w:p w14:paraId="0AD43514" w14:textId="77777777" w:rsidR="00F95998" w:rsidRPr="00D557A7" w:rsidRDefault="00F95998" w:rsidP="00497DB5">
            <w:pPr>
              <w:pStyle w:val="TableHeading"/>
              <w:jc w:val="right"/>
            </w:pPr>
            <w:r w:rsidRPr="00D557A7">
              <w:t>Scope 2 kg CO2-e</w:t>
            </w:r>
          </w:p>
        </w:tc>
        <w:tc>
          <w:tcPr>
            <w:tcW w:w="1814" w:type="dxa"/>
            <w:shd w:val="clear" w:color="auto" w:fill="F2F2F2" w:themeFill="background1" w:themeFillShade="F2"/>
            <w:noWrap/>
            <w:vAlign w:val="bottom"/>
            <w:hideMark/>
          </w:tcPr>
          <w:p w14:paraId="0A04E7C2" w14:textId="77777777" w:rsidR="00F95998" w:rsidRPr="00D557A7" w:rsidRDefault="00F95998" w:rsidP="00497DB5">
            <w:pPr>
              <w:pStyle w:val="TableHeading"/>
              <w:jc w:val="right"/>
            </w:pPr>
            <w:r w:rsidRPr="00D557A7">
              <w:t>Scope 3 kg CO2-e</w:t>
            </w:r>
          </w:p>
        </w:tc>
        <w:tc>
          <w:tcPr>
            <w:tcW w:w="1814" w:type="dxa"/>
            <w:shd w:val="clear" w:color="auto" w:fill="F2F2F2" w:themeFill="background1" w:themeFillShade="F2"/>
            <w:noWrap/>
            <w:vAlign w:val="bottom"/>
            <w:hideMark/>
          </w:tcPr>
          <w:p w14:paraId="793BA662" w14:textId="77777777" w:rsidR="00F95998" w:rsidRPr="00D557A7" w:rsidRDefault="00F95998" w:rsidP="00497DB5">
            <w:pPr>
              <w:pStyle w:val="TableHeading"/>
              <w:jc w:val="right"/>
            </w:pPr>
            <w:r w:rsidRPr="00D557A7">
              <w:t>Total kg CO2-e</w:t>
            </w:r>
          </w:p>
        </w:tc>
      </w:tr>
      <w:tr w:rsidR="00C824DA" w:rsidRPr="00855CD1" w14:paraId="279A4E3E" w14:textId="77777777" w:rsidTr="00497DB5">
        <w:trPr>
          <w:trHeight w:val="345"/>
        </w:trPr>
        <w:tc>
          <w:tcPr>
            <w:tcW w:w="2535" w:type="dxa"/>
            <w:noWrap/>
            <w:vAlign w:val="bottom"/>
            <w:hideMark/>
          </w:tcPr>
          <w:p w14:paraId="249A4DF2" w14:textId="77777777" w:rsidR="00F95998" w:rsidRPr="00AB6973" w:rsidRDefault="00F95998" w:rsidP="00D557A7">
            <w:pPr>
              <w:pStyle w:val="TableText"/>
            </w:pPr>
            <w:r w:rsidRPr="00AB6973">
              <w:t>Electricity (Location Based Approach)</w:t>
            </w:r>
          </w:p>
        </w:tc>
        <w:tc>
          <w:tcPr>
            <w:tcW w:w="1814" w:type="dxa"/>
            <w:vAlign w:val="center"/>
            <w:hideMark/>
          </w:tcPr>
          <w:p w14:paraId="4EAD03A6" w14:textId="217D9ADE" w:rsidR="00F95998" w:rsidRPr="00AB6973" w:rsidRDefault="00F95998" w:rsidP="00497DB5">
            <w:pPr>
              <w:pStyle w:val="TableText"/>
              <w:jc w:val="right"/>
              <w:rPr>
                <w:color w:val="000000" w:themeColor="text1"/>
              </w:rPr>
            </w:pPr>
          </w:p>
        </w:tc>
        <w:tc>
          <w:tcPr>
            <w:tcW w:w="1814" w:type="dxa"/>
            <w:vAlign w:val="center"/>
            <w:hideMark/>
          </w:tcPr>
          <w:p w14:paraId="5E71C843" w14:textId="53A2E7B7" w:rsidR="00F95998" w:rsidRPr="00AB6973" w:rsidRDefault="00F95998" w:rsidP="00497DB5">
            <w:pPr>
              <w:pStyle w:val="TableText"/>
              <w:jc w:val="right"/>
            </w:pPr>
            <w:r w:rsidRPr="00AB6973">
              <w:t>176,226</w:t>
            </w:r>
          </w:p>
        </w:tc>
        <w:tc>
          <w:tcPr>
            <w:tcW w:w="1814" w:type="dxa"/>
            <w:vAlign w:val="center"/>
            <w:hideMark/>
          </w:tcPr>
          <w:p w14:paraId="4E1CA97A" w14:textId="046A1EA5" w:rsidR="00F95998" w:rsidRPr="00AB6973" w:rsidRDefault="00F95998" w:rsidP="00497DB5">
            <w:pPr>
              <w:pStyle w:val="TableText"/>
              <w:jc w:val="right"/>
            </w:pPr>
            <w:r w:rsidRPr="00AB6973">
              <w:t>14,485</w:t>
            </w:r>
          </w:p>
        </w:tc>
        <w:tc>
          <w:tcPr>
            <w:tcW w:w="1814" w:type="dxa"/>
            <w:vAlign w:val="center"/>
            <w:hideMark/>
          </w:tcPr>
          <w:p w14:paraId="3C9E7FD1" w14:textId="3F80B66B" w:rsidR="00F95998" w:rsidRPr="00AB6973" w:rsidRDefault="00F95998" w:rsidP="00497DB5">
            <w:pPr>
              <w:pStyle w:val="TableText"/>
              <w:jc w:val="right"/>
            </w:pPr>
            <w:r w:rsidRPr="00AB6973">
              <w:t>190,711</w:t>
            </w:r>
          </w:p>
        </w:tc>
      </w:tr>
      <w:tr w:rsidR="00C20C2D" w:rsidRPr="00855CD1" w14:paraId="166D2233" w14:textId="77777777" w:rsidTr="00497DB5">
        <w:trPr>
          <w:trHeight w:val="345"/>
        </w:trPr>
        <w:tc>
          <w:tcPr>
            <w:tcW w:w="2535" w:type="dxa"/>
            <w:noWrap/>
            <w:vAlign w:val="bottom"/>
            <w:hideMark/>
          </w:tcPr>
          <w:p w14:paraId="65B867C7" w14:textId="77777777" w:rsidR="00F95998" w:rsidRPr="00AB6973" w:rsidRDefault="00F95998" w:rsidP="00D557A7">
            <w:pPr>
              <w:pStyle w:val="TableText"/>
            </w:pPr>
            <w:r w:rsidRPr="00AB6973">
              <w:t>Natural Gas</w:t>
            </w:r>
          </w:p>
        </w:tc>
        <w:tc>
          <w:tcPr>
            <w:tcW w:w="1814" w:type="dxa"/>
            <w:hideMark/>
          </w:tcPr>
          <w:p w14:paraId="6E723387" w14:textId="4D4F064A" w:rsidR="00F95998" w:rsidRPr="00AB6973" w:rsidRDefault="003C7007" w:rsidP="00497DB5">
            <w:pPr>
              <w:pStyle w:val="TableText"/>
              <w:jc w:val="right"/>
            </w:pPr>
            <w:r>
              <w:t>–</w:t>
            </w:r>
          </w:p>
        </w:tc>
        <w:tc>
          <w:tcPr>
            <w:tcW w:w="1814" w:type="dxa"/>
            <w:hideMark/>
          </w:tcPr>
          <w:p w14:paraId="2E2FB403" w14:textId="77777777" w:rsidR="00F95998" w:rsidRPr="00AB6973" w:rsidRDefault="00F95998" w:rsidP="00497DB5">
            <w:pPr>
              <w:pStyle w:val="TableText"/>
              <w:jc w:val="right"/>
            </w:pPr>
            <w:r w:rsidRPr="00AB6973">
              <w:t>N/A</w:t>
            </w:r>
          </w:p>
        </w:tc>
        <w:tc>
          <w:tcPr>
            <w:tcW w:w="1814" w:type="dxa"/>
            <w:hideMark/>
          </w:tcPr>
          <w:p w14:paraId="77199534" w14:textId="50991383" w:rsidR="00F95998" w:rsidRPr="00AB6973" w:rsidRDefault="003C7007" w:rsidP="00497DB5">
            <w:pPr>
              <w:pStyle w:val="TableText"/>
              <w:jc w:val="right"/>
            </w:pPr>
            <w:r>
              <w:t>–</w:t>
            </w:r>
          </w:p>
        </w:tc>
        <w:tc>
          <w:tcPr>
            <w:tcW w:w="1814" w:type="dxa"/>
            <w:hideMark/>
          </w:tcPr>
          <w:p w14:paraId="2B7DDBFC" w14:textId="26CFF5C2" w:rsidR="00F95998" w:rsidRPr="00AB6973" w:rsidRDefault="003C7007" w:rsidP="00497DB5">
            <w:pPr>
              <w:pStyle w:val="TableText"/>
              <w:jc w:val="right"/>
            </w:pPr>
            <w:r>
              <w:t>–</w:t>
            </w:r>
          </w:p>
        </w:tc>
      </w:tr>
      <w:tr w:rsidR="00C824DA" w:rsidRPr="00855CD1" w14:paraId="27B42566" w14:textId="77777777" w:rsidTr="00497DB5">
        <w:trPr>
          <w:trHeight w:val="345"/>
        </w:trPr>
        <w:tc>
          <w:tcPr>
            <w:tcW w:w="2535" w:type="dxa"/>
            <w:noWrap/>
            <w:vAlign w:val="bottom"/>
            <w:hideMark/>
          </w:tcPr>
          <w:p w14:paraId="73C5B539" w14:textId="77777777" w:rsidR="00F95998" w:rsidRPr="00AB6973" w:rsidRDefault="00F95998" w:rsidP="00D557A7">
            <w:pPr>
              <w:pStyle w:val="TableText"/>
            </w:pPr>
            <w:r w:rsidRPr="00AB6973">
              <w:t>Fleet Vehicles</w:t>
            </w:r>
          </w:p>
        </w:tc>
        <w:tc>
          <w:tcPr>
            <w:tcW w:w="1814" w:type="dxa"/>
            <w:hideMark/>
          </w:tcPr>
          <w:p w14:paraId="02C63C7A" w14:textId="03C0DEB9" w:rsidR="00F95998" w:rsidRPr="00AB6973" w:rsidRDefault="003C7007" w:rsidP="00497DB5">
            <w:pPr>
              <w:pStyle w:val="TableText"/>
              <w:jc w:val="right"/>
            </w:pPr>
            <w:r>
              <w:t>–</w:t>
            </w:r>
          </w:p>
        </w:tc>
        <w:tc>
          <w:tcPr>
            <w:tcW w:w="1814" w:type="dxa"/>
            <w:hideMark/>
          </w:tcPr>
          <w:p w14:paraId="0A0AD609" w14:textId="77777777" w:rsidR="00F95998" w:rsidRPr="00AB6973" w:rsidRDefault="00F95998" w:rsidP="00497DB5">
            <w:pPr>
              <w:pStyle w:val="TableText"/>
              <w:jc w:val="right"/>
            </w:pPr>
            <w:r w:rsidRPr="00AB6973">
              <w:t>N/A</w:t>
            </w:r>
          </w:p>
        </w:tc>
        <w:tc>
          <w:tcPr>
            <w:tcW w:w="1814" w:type="dxa"/>
            <w:hideMark/>
          </w:tcPr>
          <w:p w14:paraId="5CC1D636" w14:textId="0841352D" w:rsidR="00F95998" w:rsidRPr="00AB6973" w:rsidRDefault="003C7007" w:rsidP="00497DB5">
            <w:pPr>
              <w:pStyle w:val="TableText"/>
              <w:jc w:val="right"/>
            </w:pPr>
            <w:r>
              <w:t>–</w:t>
            </w:r>
          </w:p>
        </w:tc>
        <w:tc>
          <w:tcPr>
            <w:tcW w:w="1814" w:type="dxa"/>
            <w:hideMark/>
          </w:tcPr>
          <w:p w14:paraId="1343B645" w14:textId="0A0A9519" w:rsidR="00F95998" w:rsidRPr="00AB6973" w:rsidRDefault="003C7007" w:rsidP="00497DB5">
            <w:pPr>
              <w:pStyle w:val="TableText"/>
              <w:jc w:val="right"/>
            </w:pPr>
            <w:r>
              <w:t>–</w:t>
            </w:r>
          </w:p>
        </w:tc>
      </w:tr>
      <w:tr w:rsidR="00C824DA" w:rsidRPr="00855CD1" w14:paraId="102B6756" w14:textId="77777777" w:rsidTr="00497DB5">
        <w:trPr>
          <w:trHeight w:val="345"/>
        </w:trPr>
        <w:tc>
          <w:tcPr>
            <w:tcW w:w="2535" w:type="dxa"/>
            <w:noWrap/>
            <w:vAlign w:val="bottom"/>
            <w:hideMark/>
          </w:tcPr>
          <w:p w14:paraId="450B739A" w14:textId="77777777" w:rsidR="00F95998" w:rsidRPr="00AB6973" w:rsidRDefault="00F95998" w:rsidP="00D557A7">
            <w:pPr>
              <w:pStyle w:val="TableText"/>
            </w:pPr>
            <w:r w:rsidRPr="00AB6973">
              <w:t>Domestic Flights</w:t>
            </w:r>
          </w:p>
        </w:tc>
        <w:tc>
          <w:tcPr>
            <w:tcW w:w="1814" w:type="dxa"/>
            <w:hideMark/>
          </w:tcPr>
          <w:p w14:paraId="635EA19A" w14:textId="77777777" w:rsidR="00F95998" w:rsidRPr="00AB6973" w:rsidRDefault="00F95998" w:rsidP="00497DB5">
            <w:pPr>
              <w:pStyle w:val="TableText"/>
              <w:jc w:val="right"/>
            </w:pPr>
            <w:r w:rsidRPr="00AB6973">
              <w:t>N/A</w:t>
            </w:r>
          </w:p>
        </w:tc>
        <w:tc>
          <w:tcPr>
            <w:tcW w:w="1814" w:type="dxa"/>
            <w:hideMark/>
          </w:tcPr>
          <w:p w14:paraId="406A75CD" w14:textId="77777777" w:rsidR="00F95998" w:rsidRPr="00AB6973" w:rsidRDefault="00F95998" w:rsidP="00497DB5">
            <w:pPr>
              <w:pStyle w:val="TableText"/>
              <w:jc w:val="right"/>
            </w:pPr>
            <w:r w:rsidRPr="00AB6973">
              <w:t>N/A</w:t>
            </w:r>
          </w:p>
        </w:tc>
        <w:tc>
          <w:tcPr>
            <w:tcW w:w="1814" w:type="dxa"/>
            <w:hideMark/>
          </w:tcPr>
          <w:p w14:paraId="4F35FFAE" w14:textId="48A1B67F" w:rsidR="00F95998" w:rsidRPr="00AB6973" w:rsidRDefault="00F95998" w:rsidP="00497DB5">
            <w:pPr>
              <w:pStyle w:val="TableText"/>
              <w:jc w:val="right"/>
            </w:pPr>
            <w:r w:rsidRPr="00AB6973">
              <w:t>315,125</w:t>
            </w:r>
          </w:p>
        </w:tc>
        <w:tc>
          <w:tcPr>
            <w:tcW w:w="1814" w:type="dxa"/>
            <w:hideMark/>
          </w:tcPr>
          <w:p w14:paraId="659E979E" w14:textId="53069761" w:rsidR="00F95998" w:rsidRPr="00AB6973" w:rsidRDefault="00F95998" w:rsidP="00497DB5">
            <w:pPr>
              <w:pStyle w:val="TableText"/>
              <w:jc w:val="right"/>
            </w:pPr>
            <w:r w:rsidRPr="00AB6973">
              <w:t xml:space="preserve">315,125 </w:t>
            </w:r>
          </w:p>
        </w:tc>
      </w:tr>
      <w:tr w:rsidR="00C824DA" w:rsidRPr="00855CD1" w14:paraId="5A618AE8" w14:textId="77777777" w:rsidTr="00497DB5">
        <w:trPr>
          <w:trHeight w:val="345"/>
        </w:trPr>
        <w:tc>
          <w:tcPr>
            <w:tcW w:w="2535" w:type="dxa"/>
            <w:noWrap/>
            <w:vAlign w:val="bottom"/>
            <w:hideMark/>
          </w:tcPr>
          <w:p w14:paraId="6C280709" w14:textId="77777777" w:rsidR="00F95998" w:rsidRPr="00AB6973" w:rsidRDefault="00F95998" w:rsidP="00D557A7">
            <w:pPr>
              <w:pStyle w:val="TableText"/>
            </w:pPr>
            <w:r w:rsidRPr="00AB6973">
              <w:t>Other Energy</w:t>
            </w:r>
          </w:p>
        </w:tc>
        <w:tc>
          <w:tcPr>
            <w:tcW w:w="1814" w:type="dxa"/>
            <w:hideMark/>
          </w:tcPr>
          <w:p w14:paraId="56A2D855" w14:textId="03F73825" w:rsidR="00F95998" w:rsidRPr="00AB6973" w:rsidRDefault="003C7007" w:rsidP="00497DB5">
            <w:pPr>
              <w:pStyle w:val="TableText"/>
              <w:jc w:val="right"/>
            </w:pPr>
            <w:r>
              <w:t>–</w:t>
            </w:r>
          </w:p>
        </w:tc>
        <w:tc>
          <w:tcPr>
            <w:tcW w:w="1814" w:type="dxa"/>
            <w:hideMark/>
          </w:tcPr>
          <w:p w14:paraId="40521CA8" w14:textId="77777777" w:rsidR="00F95998" w:rsidRPr="00AB6973" w:rsidRDefault="00F95998" w:rsidP="00497DB5">
            <w:pPr>
              <w:pStyle w:val="TableText"/>
              <w:jc w:val="right"/>
            </w:pPr>
            <w:r w:rsidRPr="00AB6973">
              <w:t>N/A</w:t>
            </w:r>
          </w:p>
        </w:tc>
        <w:tc>
          <w:tcPr>
            <w:tcW w:w="1814" w:type="dxa"/>
            <w:hideMark/>
          </w:tcPr>
          <w:p w14:paraId="29222276" w14:textId="7E8EEBA7" w:rsidR="00F95998" w:rsidRPr="00AB6973" w:rsidRDefault="003C7007" w:rsidP="00497DB5">
            <w:pPr>
              <w:pStyle w:val="TableText"/>
              <w:jc w:val="right"/>
            </w:pPr>
            <w:r>
              <w:t>–</w:t>
            </w:r>
          </w:p>
        </w:tc>
        <w:tc>
          <w:tcPr>
            <w:tcW w:w="1814" w:type="dxa"/>
            <w:hideMark/>
          </w:tcPr>
          <w:p w14:paraId="1D90E302" w14:textId="017C3744" w:rsidR="00F95998" w:rsidRPr="00AB6973" w:rsidRDefault="003C7007" w:rsidP="00497DB5">
            <w:pPr>
              <w:pStyle w:val="TableText"/>
              <w:jc w:val="right"/>
            </w:pPr>
            <w:r>
              <w:t>–</w:t>
            </w:r>
          </w:p>
        </w:tc>
      </w:tr>
      <w:tr w:rsidR="003A7991" w:rsidRPr="00855CD1" w14:paraId="6ECDBED6" w14:textId="77777777" w:rsidTr="00497DB5">
        <w:trPr>
          <w:trHeight w:val="345"/>
        </w:trPr>
        <w:tc>
          <w:tcPr>
            <w:tcW w:w="2535" w:type="dxa"/>
            <w:shd w:val="clear" w:color="auto" w:fill="F2F2F2" w:themeFill="background1" w:themeFillShade="F2"/>
            <w:noWrap/>
            <w:vAlign w:val="bottom"/>
            <w:hideMark/>
          </w:tcPr>
          <w:p w14:paraId="6B1AD58C" w14:textId="77777777" w:rsidR="00F95998" w:rsidRPr="00AB6973" w:rsidRDefault="00F95998" w:rsidP="00D557A7">
            <w:pPr>
              <w:pStyle w:val="TableText"/>
            </w:pPr>
            <w:r w:rsidRPr="00AB6973">
              <w:t>Total kg CO2-e</w:t>
            </w:r>
          </w:p>
        </w:tc>
        <w:tc>
          <w:tcPr>
            <w:tcW w:w="1814" w:type="dxa"/>
            <w:hideMark/>
          </w:tcPr>
          <w:p w14:paraId="7F7F51F1" w14:textId="2C922F9C" w:rsidR="00F95998" w:rsidRPr="00AB6973" w:rsidRDefault="003C7007" w:rsidP="00497DB5">
            <w:pPr>
              <w:pStyle w:val="TableText"/>
              <w:jc w:val="right"/>
            </w:pPr>
            <w:r>
              <w:t>–</w:t>
            </w:r>
          </w:p>
        </w:tc>
        <w:tc>
          <w:tcPr>
            <w:tcW w:w="1814" w:type="dxa"/>
            <w:hideMark/>
          </w:tcPr>
          <w:p w14:paraId="527794F1" w14:textId="505D3A6E" w:rsidR="00F95998" w:rsidRPr="00AB6973" w:rsidRDefault="00F95998" w:rsidP="00497DB5">
            <w:pPr>
              <w:pStyle w:val="TableText"/>
              <w:jc w:val="right"/>
            </w:pPr>
            <w:r w:rsidRPr="00AB6973">
              <w:t>176,226</w:t>
            </w:r>
          </w:p>
        </w:tc>
        <w:tc>
          <w:tcPr>
            <w:tcW w:w="1814" w:type="dxa"/>
            <w:hideMark/>
          </w:tcPr>
          <w:p w14:paraId="5099CE45" w14:textId="545E44C2" w:rsidR="00F95998" w:rsidRPr="00AB6973" w:rsidRDefault="00F95998" w:rsidP="00497DB5">
            <w:pPr>
              <w:pStyle w:val="TableText"/>
              <w:jc w:val="right"/>
            </w:pPr>
            <w:r w:rsidRPr="00AB6973">
              <w:t>329,610</w:t>
            </w:r>
          </w:p>
        </w:tc>
        <w:tc>
          <w:tcPr>
            <w:tcW w:w="1814" w:type="dxa"/>
            <w:hideMark/>
          </w:tcPr>
          <w:p w14:paraId="378B1C69" w14:textId="41C8E917" w:rsidR="00F95998" w:rsidRPr="00AB6973" w:rsidRDefault="00F95998" w:rsidP="00497DB5">
            <w:pPr>
              <w:pStyle w:val="TableText"/>
              <w:jc w:val="right"/>
            </w:pPr>
            <w:r w:rsidRPr="00AB6973">
              <w:t>505,836</w:t>
            </w:r>
          </w:p>
        </w:tc>
      </w:tr>
    </w:tbl>
    <w:p w14:paraId="02E4C55F" w14:textId="77777777" w:rsidR="003C7007" w:rsidRDefault="003C7007"/>
    <w:p w14:paraId="55EF92F6" w14:textId="77777777" w:rsidR="003C7007" w:rsidRPr="00AB6973" w:rsidRDefault="003C7007" w:rsidP="003C7007">
      <w:pPr>
        <w:pStyle w:val="NormalWeb"/>
      </w:pPr>
      <w:r w:rsidRPr="00AB6973">
        <w:t>The electricity emissions reported above are calculated using the location-based approach. When applying the market-based method, which accounts for activities such as Greenpower, purchased LGCs and/or being located in the ACT, the total emissions for electricity, are below:</w:t>
      </w:r>
    </w:p>
    <w:p w14:paraId="1D746DBC" w14:textId="77777777" w:rsidR="003C7007" w:rsidRDefault="003C7007"/>
    <w:tbl>
      <w:tblPr>
        <w:tblW w:w="9791" w:type="dxa"/>
        <w:tblInd w:w="-20" w:type="dxa"/>
        <w:tblBorders>
          <w:top w:val="single" w:sz="4" w:space="0" w:color="000000" w:themeColor="text1"/>
          <w:bottom w:val="single" w:sz="4" w:space="0" w:color="000000" w:themeColor="text1"/>
          <w:insideH w:val="single" w:sz="4" w:space="0" w:color="000000" w:themeColor="text1"/>
        </w:tblBorders>
        <w:tblCellMar>
          <w:top w:w="15" w:type="dxa"/>
          <w:bottom w:w="15" w:type="dxa"/>
        </w:tblCellMar>
        <w:tblLook w:val="04A0" w:firstRow="1" w:lastRow="0" w:firstColumn="1" w:lastColumn="0" w:noHBand="0" w:noVBand="1"/>
      </w:tblPr>
      <w:tblGrid>
        <w:gridCol w:w="2535"/>
        <w:gridCol w:w="1814"/>
        <w:gridCol w:w="1814"/>
        <w:gridCol w:w="1814"/>
        <w:gridCol w:w="1814"/>
      </w:tblGrid>
      <w:tr w:rsidR="006138C7" w:rsidRPr="00855CD1" w14:paraId="0FBD9135" w14:textId="77777777" w:rsidTr="00497DB5">
        <w:trPr>
          <w:trHeight w:val="345"/>
        </w:trPr>
        <w:tc>
          <w:tcPr>
            <w:tcW w:w="2535" w:type="dxa"/>
            <w:shd w:val="clear" w:color="auto" w:fill="F2F2F2" w:themeFill="background1" w:themeFillShade="F2"/>
            <w:noWrap/>
            <w:vAlign w:val="bottom"/>
            <w:hideMark/>
          </w:tcPr>
          <w:p w14:paraId="02415D05" w14:textId="77777777" w:rsidR="00F95998" w:rsidRPr="00AB6973" w:rsidRDefault="00F95998" w:rsidP="003C7007">
            <w:pPr>
              <w:pStyle w:val="TableHeading"/>
            </w:pPr>
            <w:r w:rsidRPr="00AB6973">
              <w:t>Emission Source</w:t>
            </w:r>
          </w:p>
        </w:tc>
        <w:tc>
          <w:tcPr>
            <w:tcW w:w="1814" w:type="dxa"/>
            <w:shd w:val="clear" w:color="auto" w:fill="F2F2F2" w:themeFill="background1" w:themeFillShade="F2"/>
            <w:noWrap/>
            <w:vAlign w:val="bottom"/>
            <w:hideMark/>
          </w:tcPr>
          <w:p w14:paraId="209A42F7" w14:textId="77777777" w:rsidR="00F95998" w:rsidRPr="00AB6973" w:rsidRDefault="00F95998" w:rsidP="00497DB5">
            <w:pPr>
              <w:pStyle w:val="TableHeading"/>
              <w:jc w:val="right"/>
            </w:pPr>
            <w:r w:rsidRPr="00AB6973">
              <w:t>Scope 1 kg CO2-e</w:t>
            </w:r>
          </w:p>
        </w:tc>
        <w:tc>
          <w:tcPr>
            <w:tcW w:w="1814" w:type="dxa"/>
            <w:shd w:val="clear" w:color="auto" w:fill="F2F2F2" w:themeFill="background1" w:themeFillShade="F2"/>
            <w:noWrap/>
            <w:vAlign w:val="bottom"/>
            <w:hideMark/>
          </w:tcPr>
          <w:p w14:paraId="5907AF69" w14:textId="77777777" w:rsidR="00F95998" w:rsidRPr="00AB6973" w:rsidRDefault="00F95998" w:rsidP="00497DB5">
            <w:pPr>
              <w:pStyle w:val="TableHeading"/>
              <w:jc w:val="right"/>
            </w:pPr>
            <w:r w:rsidRPr="00AB6973">
              <w:t>Scope 2 kg CO2-e</w:t>
            </w:r>
          </w:p>
        </w:tc>
        <w:tc>
          <w:tcPr>
            <w:tcW w:w="1814" w:type="dxa"/>
            <w:shd w:val="clear" w:color="auto" w:fill="F2F2F2" w:themeFill="background1" w:themeFillShade="F2"/>
            <w:noWrap/>
            <w:vAlign w:val="bottom"/>
            <w:hideMark/>
          </w:tcPr>
          <w:p w14:paraId="16E12A09" w14:textId="77777777" w:rsidR="00F95998" w:rsidRPr="00AB6973" w:rsidRDefault="00F95998" w:rsidP="00497DB5">
            <w:pPr>
              <w:pStyle w:val="TableHeading"/>
              <w:jc w:val="right"/>
            </w:pPr>
            <w:r w:rsidRPr="00AB6973">
              <w:t>Scope 3 kg CO2-e</w:t>
            </w:r>
          </w:p>
        </w:tc>
        <w:tc>
          <w:tcPr>
            <w:tcW w:w="1814" w:type="dxa"/>
            <w:shd w:val="clear" w:color="auto" w:fill="F2F2F2" w:themeFill="background1" w:themeFillShade="F2"/>
            <w:noWrap/>
            <w:vAlign w:val="bottom"/>
            <w:hideMark/>
          </w:tcPr>
          <w:p w14:paraId="57165B68" w14:textId="77777777" w:rsidR="00F95998" w:rsidRPr="00AB6973" w:rsidRDefault="00F95998" w:rsidP="00497DB5">
            <w:pPr>
              <w:pStyle w:val="TableHeading"/>
              <w:jc w:val="right"/>
            </w:pPr>
            <w:r w:rsidRPr="00AB6973">
              <w:t>Total kg CO2-e</w:t>
            </w:r>
          </w:p>
        </w:tc>
      </w:tr>
      <w:tr w:rsidR="00C824DA" w:rsidRPr="003C7007" w14:paraId="567D762C" w14:textId="77777777" w:rsidTr="00497DB5">
        <w:trPr>
          <w:trHeight w:val="345"/>
        </w:trPr>
        <w:tc>
          <w:tcPr>
            <w:tcW w:w="2535" w:type="dxa"/>
            <w:noWrap/>
            <w:vAlign w:val="bottom"/>
            <w:hideMark/>
          </w:tcPr>
          <w:p w14:paraId="76784B5C" w14:textId="77777777" w:rsidR="00F95998" w:rsidRPr="003C7007" w:rsidRDefault="00F95998" w:rsidP="003C7007">
            <w:pPr>
              <w:pStyle w:val="TableText"/>
            </w:pPr>
            <w:r w:rsidRPr="003C7007">
              <w:t>Electricity (Market Based Approach)</w:t>
            </w:r>
          </w:p>
        </w:tc>
        <w:tc>
          <w:tcPr>
            <w:tcW w:w="1814" w:type="dxa"/>
            <w:vAlign w:val="center"/>
            <w:hideMark/>
          </w:tcPr>
          <w:p w14:paraId="7FEFEF98" w14:textId="77777777" w:rsidR="00F95998" w:rsidRPr="003C7007" w:rsidRDefault="00F95998" w:rsidP="00497DB5">
            <w:pPr>
              <w:pStyle w:val="TableText"/>
              <w:jc w:val="right"/>
            </w:pPr>
            <w:r w:rsidRPr="003C7007">
              <w:t>N/A</w:t>
            </w:r>
          </w:p>
        </w:tc>
        <w:tc>
          <w:tcPr>
            <w:tcW w:w="1814" w:type="dxa"/>
            <w:vAlign w:val="center"/>
            <w:hideMark/>
          </w:tcPr>
          <w:p w14:paraId="32C79F11" w14:textId="77777777" w:rsidR="00F95998" w:rsidRPr="003C7007" w:rsidRDefault="00F95998" w:rsidP="00497DB5">
            <w:pPr>
              <w:pStyle w:val="TableText"/>
              <w:jc w:val="right"/>
            </w:pPr>
            <w:r w:rsidRPr="003C7007">
              <w:t xml:space="preserve">165,319 </w:t>
            </w:r>
          </w:p>
        </w:tc>
        <w:tc>
          <w:tcPr>
            <w:tcW w:w="1814" w:type="dxa"/>
            <w:vAlign w:val="center"/>
            <w:hideMark/>
          </w:tcPr>
          <w:p w14:paraId="2F2E2AF7" w14:textId="5A4E1C29" w:rsidR="00F95998" w:rsidRPr="003C7007" w:rsidRDefault="00F95998" w:rsidP="00497DB5">
            <w:pPr>
              <w:pStyle w:val="TableText"/>
              <w:jc w:val="right"/>
            </w:pPr>
            <w:r w:rsidRPr="003C7007">
              <w:t xml:space="preserve">21,880 </w:t>
            </w:r>
          </w:p>
        </w:tc>
        <w:tc>
          <w:tcPr>
            <w:tcW w:w="1814" w:type="dxa"/>
            <w:vAlign w:val="center"/>
            <w:hideMark/>
          </w:tcPr>
          <w:p w14:paraId="19330CC4" w14:textId="2DA6B2DD" w:rsidR="00F95998" w:rsidRPr="003C7007" w:rsidRDefault="00F95998" w:rsidP="00497DB5">
            <w:pPr>
              <w:pStyle w:val="TableText"/>
              <w:jc w:val="right"/>
            </w:pPr>
            <w:r w:rsidRPr="003C7007">
              <w:t>187,199</w:t>
            </w:r>
          </w:p>
        </w:tc>
      </w:tr>
      <w:tr w:rsidR="00C20C2D" w:rsidRPr="003C7007" w14:paraId="448146AF" w14:textId="77777777" w:rsidTr="00497DB5">
        <w:trPr>
          <w:trHeight w:val="345"/>
        </w:trPr>
        <w:tc>
          <w:tcPr>
            <w:tcW w:w="2535" w:type="dxa"/>
            <w:noWrap/>
            <w:vAlign w:val="bottom"/>
            <w:hideMark/>
          </w:tcPr>
          <w:p w14:paraId="262B4DF4" w14:textId="77777777" w:rsidR="00F95998" w:rsidRPr="003C7007" w:rsidRDefault="00F95998" w:rsidP="003C7007">
            <w:pPr>
              <w:pStyle w:val="TableText"/>
            </w:pPr>
            <w:r w:rsidRPr="003C7007">
              <w:t>Natural Gas</w:t>
            </w:r>
          </w:p>
        </w:tc>
        <w:tc>
          <w:tcPr>
            <w:tcW w:w="1814" w:type="dxa"/>
            <w:hideMark/>
          </w:tcPr>
          <w:p w14:paraId="665A468E" w14:textId="43243D48" w:rsidR="00F95998" w:rsidRPr="003C7007" w:rsidRDefault="003C7007" w:rsidP="00497DB5">
            <w:pPr>
              <w:pStyle w:val="TableText"/>
              <w:jc w:val="right"/>
            </w:pPr>
            <w:r>
              <w:t>–</w:t>
            </w:r>
          </w:p>
        </w:tc>
        <w:tc>
          <w:tcPr>
            <w:tcW w:w="1814" w:type="dxa"/>
            <w:hideMark/>
          </w:tcPr>
          <w:p w14:paraId="3051A947" w14:textId="540BA1BA" w:rsidR="00F95998" w:rsidRPr="003C7007" w:rsidRDefault="00F95998" w:rsidP="00497DB5">
            <w:pPr>
              <w:pStyle w:val="TableText"/>
              <w:jc w:val="right"/>
            </w:pPr>
            <w:r w:rsidRPr="003C7007">
              <w:t>N/A</w:t>
            </w:r>
          </w:p>
        </w:tc>
        <w:tc>
          <w:tcPr>
            <w:tcW w:w="1814" w:type="dxa"/>
            <w:hideMark/>
          </w:tcPr>
          <w:p w14:paraId="47D7CDA7" w14:textId="4F2D5ED2" w:rsidR="00F95998" w:rsidRPr="003C7007" w:rsidRDefault="003C7007" w:rsidP="00497DB5">
            <w:pPr>
              <w:pStyle w:val="TableText"/>
              <w:jc w:val="right"/>
            </w:pPr>
            <w:r>
              <w:t>–</w:t>
            </w:r>
          </w:p>
        </w:tc>
        <w:tc>
          <w:tcPr>
            <w:tcW w:w="1814" w:type="dxa"/>
            <w:hideMark/>
          </w:tcPr>
          <w:p w14:paraId="3CF956BC" w14:textId="5086B515" w:rsidR="00F95998" w:rsidRPr="003C7007" w:rsidRDefault="003C7007" w:rsidP="00497DB5">
            <w:pPr>
              <w:pStyle w:val="TableText"/>
              <w:jc w:val="right"/>
            </w:pPr>
            <w:r>
              <w:t>–</w:t>
            </w:r>
          </w:p>
        </w:tc>
      </w:tr>
      <w:tr w:rsidR="00C824DA" w:rsidRPr="003C7007" w14:paraId="06BFA4EB" w14:textId="77777777" w:rsidTr="00497DB5">
        <w:trPr>
          <w:trHeight w:val="345"/>
        </w:trPr>
        <w:tc>
          <w:tcPr>
            <w:tcW w:w="2535" w:type="dxa"/>
            <w:noWrap/>
            <w:vAlign w:val="bottom"/>
            <w:hideMark/>
          </w:tcPr>
          <w:p w14:paraId="2E817FFE" w14:textId="77777777" w:rsidR="00F95998" w:rsidRPr="003C7007" w:rsidRDefault="00F95998" w:rsidP="003C7007">
            <w:pPr>
              <w:pStyle w:val="TableText"/>
            </w:pPr>
            <w:r w:rsidRPr="003C7007">
              <w:t>Fleet Vehicles</w:t>
            </w:r>
          </w:p>
        </w:tc>
        <w:tc>
          <w:tcPr>
            <w:tcW w:w="1814" w:type="dxa"/>
            <w:hideMark/>
          </w:tcPr>
          <w:p w14:paraId="3917F3A3" w14:textId="31DB3F9D" w:rsidR="00F95998" w:rsidRPr="003C7007" w:rsidRDefault="003C7007" w:rsidP="00497DB5">
            <w:pPr>
              <w:pStyle w:val="TableText"/>
              <w:jc w:val="right"/>
            </w:pPr>
            <w:r>
              <w:t>–</w:t>
            </w:r>
          </w:p>
        </w:tc>
        <w:tc>
          <w:tcPr>
            <w:tcW w:w="1814" w:type="dxa"/>
            <w:hideMark/>
          </w:tcPr>
          <w:p w14:paraId="66EA8F2D" w14:textId="35FD5DFE" w:rsidR="00F95998" w:rsidRPr="003C7007" w:rsidRDefault="00F95998" w:rsidP="00497DB5">
            <w:pPr>
              <w:pStyle w:val="TableText"/>
              <w:jc w:val="right"/>
            </w:pPr>
            <w:r w:rsidRPr="003C7007">
              <w:t>N/A</w:t>
            </w:r>
          </w:p>
        </w:tc>
        <w:tc>
          <w:tcPr>
            <w:tcW w:w="1814" w:type="dxa"/>
            <w:hideMark/>
          </w:tcPr>
          <w:p w14:paraId="4F839ED1" w14:textId="3A1B424B" w:rsidR="00F95998" w:rsidRPr="003C7007" w:rsidRDefault="003C7007" w:rsidP="00497DB5">
            <w:pPr>
              <w:pStyle w:val="TableText"/>
              <w:jc w:val="right"/>
            </w:pPr>
            <w:r>
              <w:t>–</w:t>
            </w:r>
          </w:p>
        </w:tc>
        <w:tc>
          <w:tcPr>
            <w:tcW w:w="1814" w:type="dxa"/>
            <w:hideMark/>
          </w:tcPr>
          <w:p w14:paraId="0770A03B" w14:textId="03653C53" w:rsidR="00F95998" w:rsidRPr="003C7007" w:rsidRDefault="003C7007" w:rsidP="00497DB5">
            <w:pPr>
              <w:pStyle w:val="TableText"/>
              <w:jc w:val="right"/>
            </w:pPr>
            <w:r>
              <w:t>–</w:t>
            </w:r>
          </w:p>
        </w:tc>
      </w:tr>
      <w:tr w:rsidR="00C824DA" w:rsidRPr="003C7007" w14:paraId="780E45E9" w14:textId="77777777" w:rsidTr="00497DB5">
        <w:trPr>
          <w:trHeight w:val="345"/>
        </w:trPr>
        <w:tc>
          <w:tcPr>
            <w:tcW w:w="2535" w:type="dxa"/>
            <w:noWrap/>
            <w:vAlign w:val="bottom"/>
            <w:hideMark/>
          </w:tcPr>
          <w:p w14:paraId="012688AB" w14:textId="77777777" w:rsidR="00F95998" w:rsidRPr="003C7007" w:rsidRDefault="00F95998" w:rsidP="003C7007">
            <w:pPr>
              <w:pStyle w:val="TableText"/>
            </w:pPr>
            <w:r w:rsidRPr="003C7007">
              <w:t>Domestic Flights</w:t>
            </w:r>
          </w:p>
        </w:tc>
        <w:tc>
          <w:tcPr>
            <w:tcW w:w="1814" w:type="dxa"/>
            <w:hideMark/>
          </w:tcPr>
          <w:p w14:paraId="3E55AB90" w14:textId="5D484F36" w:rsidR="00F95998" w:rsidRPr="003C7007" w:rsidRDefault="00F95998" w:rsidP="00497DB5">
            <w:pPr>
              <w:pStyle w:val="TableText"/>
              <w:jc w:val="right"/>
            </w:pPr>
            <w:r w:rsidRPr="003C7007">
              <w:t>N/A</w:t>
            </w:r>
          </w:p>
        </w:tc>
        <w:tc>
          <w:tcPr>
            <w:tcW w:w="1814" w:type="dxa"/>
            <w:hideMark/>
          </w:tcPr>
          <w:p w14:paraId="77A389ED" w14:textId="50646180" w:rsidR="00F95998" w:rsidRPr="003C7007" w:rsidRDefault="00F95998" w:rsidP="00497DB5">
            <w:pPr>
              <w:pStyle w:val="TableText"/>
              <w:jc w:val="right"/>
            </w:pPr>
            <w:r w:rsidRPr="003C7007">
              <w:t>N/A</w:t>
            </w:r>
          </w:p>
        </w:tc>
        <w:tc>
          <w:tcPr>
            <w:tcW w:w="1814" w:type="dxa"/>
            <w:hideMark/>
          </w:tcPr>
          <w:p w14:paraId="57EF53DD" w14:textId="42CAF968" w:rsidR="00F95998" w:rsidRPr="003C7007" w:rsidRDefault="00F95998" w:rsidP="00497DB5">
            <w:pPr>
              <w:pStyle w:val="TableText"/>
              <w:jc w:val="right"/>
            </w:pPr>
            <w:r w:rsidRPr="003C7007">
              <w:t xml:space="preserve">315,125 </w:t>
            </w:r>
          </w:p>
        </w:tc>
        <w:tc>
          <w:tcPr>
            <w:tcW w:w="1814" w:type="dxa"/>
            <w:hideMark/>
          </w:tcPr>
          <w:p w14:paraId="13712E6A" w14:textId="6EF62B77" w:rsidR="00F95998" w:rsidRPr="003C7007" w:rsidRDefault="00F95998" w:rsidP="00497DB5">
            <w:pPr>
              <w:pStyle w:val="TableText"/>
              <w:jc w:val="right"/>
            </w:pPr>
            <w:r w:rsidRPr="003C7007">
              <w:t>315,125</w:t>
            </w:r>
          </w:p>
        </w:tc>
      </w:tr>
      <w:tr w:rsidR="00C824DA" w:rsidRPr="003C7007" w14:paraId="61F13EB6" w14:textId="77777777" w:rsidTr="00497DB5">
        <w:trPr>
          <w:trHeight w:val="345"/>
        </w:trPr>
        <w:tc>
          <w:tcPr>
            <w:tcW w:w="2535" w:type="dxa"/>
            <w:noWrap/>
            <w:vAlign w:val="bottom"/>
            <w:hideMark/>
          </w:tcPr>
          <w:p w14:paraId="569CFEB1" w14:textId="77777777" w:rsidR="00F95998" w:rsidRPr="003C7007" w:rsidRDefault="00F95998" w:rsidP="003C7007">
            <w:pPr>
              <w:pStyle w:val="TableText"/>
            </w:pPr>
            <w:r w:rsidRPr="003C7007">
              <w:t>Other Energy</w:t>
            </w:r>
          </w:p>
        </w:tc>
        <w:tc>
          <w:tcPr>
            <w:tcW w:w="1814" w:type="dxa"/>
            <w:hideMark/>
          </w:tcPr>
          <w:p w14:paraId="5FE3C0AA" w14:textId="4A4DFD22" w:rsidR="00F95998" w:rsidRPr="003C7007" w:rsidRDefault="003C7007" w:rsidP="00497DB5">
            <w:pPr>
              <w:pStyle w:val="TableText"/>
              <w:jc w:val="right"/>
            </w:pPr>
            <w:r>
              <w:t>–</w:t>
            </w:r>
          </w:p>
        </w:tc>
        <w:tc>
          <w:tcPr>
            <w:tcW w:w="1814" w:type="dxa"/>
            <w:hideMark/>
          </w:tcPr>
          <w:p w14:paraId="3F6316F8" w14:textId="4D2CF29D" w:rsidR="00F95998" w:rsidRPr="003C7007" w:rsidRDefault="00F95998" w:rsidP="00497DB5">
            <w:pPr>
              <w:pStyle w:val="TableText"/>
              <w:jc w:val="right"/>
            </w:pPr>
            <w:r w:rsidRPr="003C7007">
              <w:t>N/A</w:t>
            </w:r>
          </w:p>
        </w:tc>
        <w:tc>
          <w:tcPr>
            <w:tcW w:w="1814" w:type="dxa"/>
            <w:hideMark/>
          </w:tcPr>
          <w:p w14:paraId="5775006F" w14:textId="6B3622ED" w:rsidR="00F95998" w:rsidRPr="003C7007" w:rsidRDefault="003C7007" w:rsidP="00497DB5">
            <w:pPr>
              <w:pStyle w:val="TableText"/>
              <w:jc w:val="right"/>
            </w:pPr>
            <w:r>
              <w:t>–</w:t>
            </w:r>
          </w:p>
        </w:tc>
        <w:tc>
          <w:tcPr>
            <w:tcW w:w="1814" w:type="dxa"/>
            <w:hideMark/>
          </w:tcPr>
          <w:p w14:paraId="3E9E8215" w14:textId="7D8E52BA" w:rsidR="00F95998" w:rsidRPr="003C7007" w:rsidRDefault="003C7007" w:rsidP="00497DB5">
            <w:pPr>
              <w:pStyle w:val="TableText"/>
              <w:jc w:val="right"/>
            </w:pPr>
            <w:r>
              <w:t>–</w:t>
            </w:r>
          </w:p>
        </w:tc>
      </w:tr>
      <w:tr w:rsidR="003A7991" w:rsidRPr="003C7007" w14:paraId="6163FFFA" w14:textId="77777777" w:rsidTr="00497DB5">
        <w:trPr>
          <w:trHeight w:val="345"/>
        </w:trPr>
        <w:tc>
          <w:tcPr>
            <w:tcW w:w="2535" w:type="dxa"/>
            <w:shd w:val="clear" w:color="auto" w:fill="F2F2F2" w:themeFill="background1" w:themeFillShade="F2"/>
            <w:noWrap/>
            <w:vAlign w:val="bottom"/>
            <w:hideMark/>
          </w:tcPr>
          <w:p w14:paraId="7EFFB936" w14:textId="77777777" w:rsidR="00F95998" w:rsidRPr="003C7007" w:rsidRDefault="00F95998" w:rsidP="003C7007">
            <w:pPr>
              <w:pStyle w:val="TableText"/>
              <w:rPr>
                <w:rStyle w:val="Strong"/>
              </w:rPr>
            </w:pPr>
            <w:r w:rsidRPr="003C7007">
              <w:rPr>
                <w:rStyle w:val="Strong"/>
              </w:rPr>
              <w:t>Total kg CO2-e</w:t>
            </w:r>
          </w:p>
        </w:tc>
        <w:tc>
          <w:tcPr>
            <w:tcW w:w="1814" w:type="dxa"/>
            <w:hideMark/>
          </w:tcPr>
          <w:p w14:paraId="33713871" w14:textId="25C19B88" w:rsidR="00F95998" w:rsidRPr="003C7007" w:rsidRDefault="003C7007" w:rsidP="00497DB5">
            <w:pPr>
              <w:pStyle w:val="TableText"/>
              <w:jc w:val="right"/>
            </w:pPr>
            <w:r>
              <w:t>–</w:t>
            </w:r>
          </w:p>
        </w:tc>
        <w:tc>
          <w:tcPr>
            <w:tcW w:w="1814" w:type="dxa"/>
            <w:hideMark/>
          </w:tcPr>
          <w:p w14:paraId="198F0937" w14:textId="774C823A" w:rsidR="00F95998" w:rsidRPr="003C7007" w:rsidRDefault="00F95998" w:rsidP="00497DB5">
            <w:pPr>
              <w:pStyle w:val="TableText"/>
              <w:jc w:val="right"/>
            </w:pPr>
            <w:r w:rsidRPr="003C7007">
              <w:t>165,319</w:t>
            </w:r>
          </w:p>
        </w:tc>
        <w:tc>
          <w:tcPr>
            <w:tcW w:w="1814" w:type="dxa"/>
            <w:hideMark/>
          </w:tcPr>
          <w:p w14:paraId="1F61455F" w14:textId="74EE5C01" w:rsidR="00F95998" w:rsidRPr="003C7007" w:rsidRDefault="00F95998" w:rsidP="00497DB5">
            <w:pPr>
              <w:pStyle w:val="TableText"/>
              <w:jc w:val="right"/>
            </w:pPr>
            <w:r w:rsidRPr="003C7007">
              <w:t>337,006</w:t>
            </w:r>
          </w:p>
        </w:tc>
        <w:tc>
          <w:tcPr>
            <w:tcW w:w="1814" w:type="dxa"/>
            <w:hideMark/>
          </w:tcPr>
          <w:p w14:paraId="71AEFE70" w14:textId="5CB6E182" w:rsidR="00F95998" w:rsidRPr="003C7007" w:rsidRDefault="00F95998" w:rsidP="00497DB5">
            <w:pPr>
              <w:pStyle w:val="TableText"/>
              <w:jc w:val="right"/>
            </w:pPr>
            <w:r w:rsidRPr="003C7007">
              <w:t>502,324</w:t>
            </w:r>
          </w:p>
        </w:tc>
      </w:tr>
    </w:tbl>
    <w:p w14:paraId="5A615157" w14:textId="20A1031B" w:rsidR="00356A1C" w:rsidRPr="00DE48E9" w:rsidRDefault="00EE680F" w:rsidP="10387301">
      <w:pPr>
        <w:pStyle w:val="Heading2"/>
      </w:pPr>
      <w:bookmarkStart w:id="58" w:name="_Toc146437062"/>
      <w:r w:rsidRPr="448905EB">
        <w:t>Workplace Health and Safety</w:t>
      </w:r>
      <w:bookmarkEnd w:id="58"/>
    </w:p>
    <w:tbl>
      <w:tblPr>
        <w:tblStyle w:val="TableGrey"/>
        <w:tblW w:w="0" w:type="auto"/>
        <w:tblLook w:val="04A0" w:firstRow="1" w:lastRow="0" w:firstColumn="1" w:lastColumn="0" w:noHBand="0" w:noVBand="1"/>
      </w:tblPr>
      <w:tblGrid>
        <w:gridCol w:w="9628"/>
      </w:tblGrid>
      <w:tr w:rsidR="00DE48E9" w:rsidRPr="00DE48E9" w14:paraId="739B9064" w14:textId="77777777" w:rsidTr="00686760">
        <w:tc>
          <w:tcPr>
            <w:tcW w:w="9628" w:type="dxa"/>
          </w:tcPr>
          <w:p w14:paraId="6D603691" w14:textId="4454CE59" w:rsidR="00DE48E9" w:rsidRPr="00D557A7" w:rsidRDefault="00DE48E9" w:rsidP="00D557A7">
            <w:r w:rsidRPr="00D557A7">
              <w:t>In July 2022, following extensive staff consultation, the Commission successfully launched its Hybrid Work and Workplace Flexibility Policy and Procedure. The Hybrid Work Arrangements encourage the establishment of ‘in office’ attendance arrangements, that support each staff members personal situation and preference whist ensuring high performance and productivity. In-office attendance of forty per cent of an employee’s work week was set as a baseline, with further flexibility available to tailor specific circumstances.</w:t>
            </w:r>
          </w:p>
          <w:p w14:paraId="4AA83D2A" w14:textId="77777777" w:rsidR="00DE48E9" w:rsidRDefault="00DE48E9" w:rsidP="00A738A4">
            <w:pPr>
              <w:pStyle w:val="NormalWeb"/>
              <w:spacing w:before="240" w:after="240"/>
              <w:rPr>
                <w:rFonts w:cs="Open Sans"/>
                <w:color w:val="000000" w:themeColor="text1"/>
              </w:rPr>
            </w:pPr>
            <w:r w:rsidRPr="00DE48E9">
              <w:rPr>
                <w:rFonts w:cs="Open Sans"/>
                <w:color w:val="000000" w:themeColor="text1"/>
              </w:rPr>
              <w:t>Remote Work Agreements were introduced with the Hybrid Work and Workplace Flexibility Policy and Procedure to ensure staff who adopted a hybrid approach to work considered health and safety risks in their remote workspaces. Ergonomic workstation assessments continued to be offered to support suitable workstations to enhance the health, safety and wellbeing of staff.</w:t>
            </w:r>
          </w:p>
          <w:p w14:paraId="01B40E77" w14:textId="0D1A527E" w:rsidR="00DE48E9" w:rsidRPr="00DE48E9" w:rsidRDefault="00DE48E9" w:rsidP="00A738A4">
            <w:pPr>
              <w:pStyle w:val="NormalWeb"/>
              <w:spacing w:before="240" w:after="240"/>
              <w:rPr>
                <w:rFonts w:cs="Open Sans"/>
                <w:color w:val="000000" w:themeColor="text1"/>
              </w:rPr>
            </w:pPr>
            <w:r w:rsidRPr="00DE48E9">
              <w:rPr>
                <w:rFonts w:cs="Open Sans"/>
                <w:color w:val="000000" w:themeColor="text1"/>
              </w:rPr>
              <w:t>The elimination of psychosocial hazards has been a key focus this reporting period, with Vicarious Trauma Training offered to staff. This course was originally offered to those working in the Commission’s Investigation and Conciliation Services Team in the first quarter of 2023. Positive response from the training has resulted in the program being offered periodically throughout the next year.</w:t>
            </w:r>
          </w:p>
        </w:tc>
      </w:tr>
    </w:tbl>
    <w:p w14:paraId="3C0932BA" w14:textId="77777777" w:rsidR="00DE48E9" w:rsidRDefault="00DE48E9"/>
    <w:tbl>
      <w:tblPr>
        <w:tblStyle w:val="TableGrey"/>
        <w:tblW w:w="0" w:type="auto"/>
        <w:tblLook w:val="04A0" w:firstRow="1" w:lastRow="0" w:firstColumn="1" w:lastColumn="0" w:noHBand="0" w:noVBand="1"/>
      </w:tblPr>
      <w:tblGrid>
        <w:gridCol w:w="9628"/>
      </w:tblGrid>
      <w:tr w:rsidR="00DE48E9" w:rsidRPr="00DE48E9" w14:paraId="18F9AE1E" w14:textId="77777777" w:rsidTr="00686760">
        <w:tc>
          <w:tcPr>
            <w:tcW w:w="9628" w:type="dxa"/>
          </w:tcPr>
          <w:p w14:paraId="3D181FF2" w14:textId="618E6C97" w:rsidR="00DE48E9" w:rsidRPr="00D557A7" w:rsidRDefault="00DE48E9" w:rsidP="00D557A7">
            <w:pPr>
              <w:rPr>
                <w:rFonts w:eastAsia="MS Mincho"/>
              </w:rPr>
            </w:pPr>
            <w:r w:rsidRPr="00D557A7">
              <w:rPr>
                <w:rFonts w:eastAsia="MS Mincho"/>
              </w:rPr>
              <w:t>The Commission has continued to support wellbeing initiatives through the reimbursement of costs for Flu vaccinations and the Healthy Lifestyle allowances.</w:t>
            </w:r>
          </w:p>
          <w:p w14:paraId="6A06E884" w14:textId="45DB6D56" w:rsidR="00DE48E9" w:rsidRPr="00D557A7" w:rsidRDefault="00DE48E9" w:rsidP="00D557A7">
            <w:pPr>
              <w:rPr>
                <w:rFonts w:eastAsia="MS Mincho"/>
              </w:rPr>
            </w:pPr>
            <w:r w:rsidRPr="00D557A7">
              <w:rPr>
                <w:rFonts w:eastAsia="MS Mincho"/>
              </w:rPr>
              <w:t>Throughout the reporting period, the Protective Security Committee and the Workplace Health and Safety Committee met quarterly. The Protective Security Committee revised visitor sign-in procedures in the last quarter of 2022, and in December 2022 all Commission officials were notified of the revised visitor sign-in and emergency procedures. The Commission also successfully participated in fire alarm drills hosted by its landlord for the building, with nominated fire wardens having attended periodic fire evacuation training.</w:t>
            </w:r>
          </w:p>
          <w:p w14:paraId="50DBDE3C" w14:textId="77777777" w:rsidR="00DE48E9" w:rsidRPr="00D557A7" w:rsidRDefault="00DE48E9" w:rsidP="00D557A7">
            <w:pPr>
              <w:rPr>
                <w:rFonts w:eastAsia="MS Mincho"/>
              </w:rPr>
            </w:pPr>
            <w:r w:rsidRPr="00D557A7">
              <w:rPr>
                <w:rFonts w:eastAsia="MS Mincho"/>
              </w:rPr>
              <w:t xml:space="preserve">Additionally, in this reporting period, </w:t>
            </w:r>
          </w:p>
          <w:p w14:paraId="6E87E16B" w14:textId="75E2DB18" w:rsidR="00DE48E9" w:rsidRDefault="00DE48E9" w:rsidP="00D557A7">
            <w:pPr>
              <w:pStyle w:val="ListBullet"/>
            </w:pPr>
            <w:r w:rsidRPr="00D557A7">
              <w:t>the Commission has not been made aware of any notifiable incidents that arose out of the Commission’s conduct or undertakings</w:t>
            </w:r>
          </w:p>
          <w:p w14:paraId="13ED98C3" w14:textId="1FFC3B4D" w:rsidR="009A2473" w:rsidRPr="00D557A7" w:rsidRDefault="009A2473" w:rsidP="00D557A7">
            <w:pPr>
              <w:pStyle w:val="ListBullet"/>
            </w:pPr>
            <w:r>
              <w:t>t</w:t>
            </w:r>
            <w:r w:rsidRPr="2EB1F5EC">
              <w:t>here have been nil workers compensation claims</w:t>
            </w:r>
          </w:p>
          <w:p w14:paraId="6B3375EF" w14:textId="1AFC1B56" w:rsidR="00DE48E9" w:rsidRPr="00D557A7" w:rsidRDefault="00DE48E9" w:rsidP="00D557A7">
            <w:pPr>
              <w:pStyle w:val="ListBullet"/>
            </w:pPr>
            <w:r w:rsidRPr="00D557A7">
              <w:t>there have been no investigations that relate to businesses or undertakings</w:t>
            </w:r>
          </w:p>
          <w:p w14:paraId="2779FCAD" w14:textId="54B17035" w:rsidR="00DE48E9" w:rsidRPr="00D557A7" w:rsidRDefault="00DE48E9" w:rsidP="00D557A7">
            <w:pPr>
              <w:pStyle w:val="ListBullet"/>
            </w:pPr>
            <w:r w:rsidRPr="00D557A7">
              <w:t xml:space="preserve">no notices have been received under Part 10 of the </w:t>
            </w:r>
            <w:r w:rsidRPr="00D557A7">
              <w:rPr>
                <w:rStyle w:val="Emphasis"/>
              </w:rPr>
              <w:t>Work, Health and Safety Act 2011</w:t>
            </w:r>
            <w:r w:rsidRPr="00D557A7">
              <w:t xml:space="preserve"> (Cth)</w:t>
            </w:r>
          </w:p>
          <w:p w14:paraId="5EF28588" w14:textId="0DDF2EA7" w:rsidR="00DE48E9" w:rsidRPr="00DE48E9" w:rsidRDefault="00DE48E9" w:rsidP="00D557A7">
            <w:pPr>
              <w:pStyle w:val="ListBullet"/>
              <w:rPr>
                <w:rStyle w:val="Strong"/>
                <w:rFonts w:cs="Open Sans"/>
                <w:b w:val="0"/>
                <w:bCs w:val="0"/>
              </w:rPr>
            </w:pPr>
            <w:r w:rsidRPr="00D557A7">
              <w:t>there are no other matters required by guidelines to be reported.</w:t>
            </w:r>
          </w:p>
        </w:tc>
      </w:tr>
    </w:tbl>
    <w:p w14:paraId="7009710D" w14:textId="77777777" w:rsidR="0022267A" w:rsidRDefault="0022267A" w:rsidP="00DE48E9"/>
    <w:p w14:paraId="1966ABF1" w14:textId="12DF0C94" w:rsidR="00BB4B94" w:rsidRDefault="00BB4B94">
      <w:pPr>
        <w:spacing w:before="0" w:after="0" w:line="240" w:lineRule="auto"/>
      </w:pPr>
      <w:r>
        <w:br w:type="page"/>
      </w:r>
    </w:p>
    <w:p w14:paraId="54661D46" w14:textId="35F394F0" w:rsidR="00F4624F" w:rsidRPr="00DE48E9" w:rsidRDefault="00F4624F" w:rsidP="00DE48E9">
      <w:pPr>
        <w:pStyle w:val="Heading2"/>
      </w:pPr>
      <w:bookmarkStart w:id="59" w:name="_Toc146437063"/>
      <w:r w:rsidRPr="00DE48E9">
        <w:t>Payments</w:t>
      </w:r>
      <w:r w:rsidRPr="00AB6973">
        <w:t xml:space="preserve"> to advertising, market research, and other designated organisations</w:t>
      </w:r>
      <w:bookmarkEnd w:id="59"/>
    </w:p>
    <w:p w14:paraId="721A4D3D" w14:textId="6A7C3554" w:rsidR="22987D24" w:rsidRDefault="401B81A7" w:rsidP="22987D24">
      <w:pPr>
        <w:rPr>
          <w:rFonts w:cs="Open Sans"/>
        </w:rPr>
      </w:pPr>
      <w:r w:rsidRPr="448905EB">
        <w:rPr>
          <w:rFonts w:cs="Open Sans"/>
        </w:rPr>
        <w:t>The Commission made the following payments valued at $14,300 (inclusive GST) or more to advertising ag</w:t>
      </w:r>
      <w:r w:rsidR="4E679981" w:rsidRPr="448905EB">
        <w:rPr>
          <w:rFonts w:cs="Open Sans"/>
        </w:rPr>
        <w:t xml:space="preserve">encies, market research organisations, polling organisations, media advertising organisations and direct mail organisations in the reporting period. </w:t>
      </w:r>
    </w:p>
    <w:p w14:paraId="3CE3FB76" w14:textId="399FC365" w:rsidR="58621DD7" w:rsidRDefault="58621DD7" w:rsidP="58621DD7">
      <w:pPr>
        <w:rPr>
          <w:rFonts w:cs="Open Sans"/>
        </w:rPr>
      </w:pPr>
    </w:p>
    <w:tbl>
      <w:tblPr>
        <w:tblW w:w="5000" w:type="pct"/>
        <w:tblCellMar>
          <w:top w:w="15" w:type="dxa"/>
          <w:bottom w:w="15" w:type="dxa"/>
        </w:tblCellMar>
        <w:tblLook w:val="04A0" w:firstRow="1" w:lastRow="0" w:firstColumn="1" w:lastColumn="0" w:noHBand="0" w:noVBand="1"/>
      </w:tblPr>
      <w:tblGrid>
        <w:gridCol w:w="2319"/>
        <w:gridCol w:w="2345"/>
        <w:gridCol w:w="3886"/>
        <w:gridCol w:w="1222"/>
        <w:gridCol w:w="197"/>
      </w:tblGrid>
      <w:tr w:rsidR="00C5796B" w:rsidRPr="00D557A7" w14:paraId="204CF797" w14:textId="77777777" w:rsidTr="003C7007">
        <w:trPr>
          <w:trHeight w:val="615"/>
        </w:trPr>
        <w:tc>
          <w:tcPr>
            <w:tcW w:w="1163" w:type="pct"/>
            <w:tcBorders>
              <w:top w:val="single" w:sz="4" w:space="0" w:color="auto"/>
              <w:left w:val="nil"/>
              <w:bottom w:val="single" w:sz="4" w:space="0" w:color="auto"/>
              <w:right w:val="nil"/>
            </w:tcBorders>
            <w:shd w:val="clear" w:color="auto" w:fill="F2F2F2" w:themeFill="background1" w:themeFillShade="F2"/>
            <w:vAlign w:val="center"/>
            <w:hideMark/>
          </w:tcPr>
          <w:p w14:paraId="78334AA1" w14:textId="77777777" w:rsidR="00A82E81" w:rsidRPr="00D557A7" w:rsidRDefault="00A82E81" w:rsidP="00D557A7">
            <w:pPr>
              <w:pStyle w:val="TableHeading"/>
            </w:pPr>
            <w:r w:rsidRPr="00D557A7">
              <w:t>Name of Organisation</w:t>
            </w:r>
          </w:p>
        </w:tc>
        <w:tc>
          <w:tcPr>
            <w:tcW w:w="1176" w:type="pct"/>
            <w:tcBorders>
              <w:top w:val="single" w:sz="4" w:space="0" w:color="auto"/>
              <w:left w:val="nil"/>
              <w:bottom w:val="single" w:sz="4" w:space="0" w:color="auto"/>
              <w:right w:val="nil"/>
            </w:tcBorders>
            <w:shd w:val="clear" w:color="auto" w:fill="F2F2F2" w:themeFill="background1" w:themeFillShade="F2"/>
            <w:vAlign w:val="center"/>
            <w:hideMark/>
          </w:tcPr>
          <w:p w14:paraId="62C2F7D3" w14:textId="77777777" w:rsidR="00A82E81" w:rsidRPr="00D557A7" w:rsidRDefault="00A82E81" w:rsidP="00D557A7">
            <w:pPr>
              <w:pStyle w:val="TableHeading"/>
            </w:pPr>
            <w:r w:rsidRPr="00D557A7">
              <w:t>Type of Organisation</w:t>
            </w:r>
          </w:p>
        </w:tc>
        <w:tc>
          <w:tcPr>
            <w:tcW w:w="1949" w:type="pct"/>
            <w:tcBorders>
              <w:top w:val="single" w:sz="4" w:space="0" w:color="auto"/>
              <w:left w:val="nil"/>
              <w:bottom w:val="single" w:sz="4" w:space="0" w:color="auto"/>
              <w:right w:val="nil"/>
            </w:tcBorders>
            <w:shd w:val="clear" w:color="auto" w:fill="F2F2F2" w:themeFill="background1" w:themeFillShade="F2"/>
            <w:vAlign w:val="center"/>
            <w:hideMark/>
          </w:tcPr>
          <w:p w14:paraId="6CAA44DF" w14:textId="77777777" w:rsidR="00A82E81" w:rsidRPr="00D557A7" w:rsidRDefault="00A82E81" w:rsidP="00D557A7">
            <w:pPr>
              <w:pStyle w:val="TableHeading"/>
            </w:pPr>
            <w:r w:rsidRPr="00D557A7">
              <w:t>Purpose</w:t>
            </w:r>
          </w:p>
        </w:tc>
        <w:tc>
          <w:tcPr>
            <w:tcW w:w="712" w:type="pct"/>
            <w:gridSpan w:val="2"/>
            <w:tcBorders>
              <w:top w:val="single" w:sz="4" w:space="0" w:color="auto"/>
              <w:left w:val="nil"/>
              <w:bottom w:val="single" w:sz="4" w:space="0" w:color="000000"/>
              <w:right w:val="nil"/>
            </w:tcBorders>
            <w:shd w:val="clear" w:color="auto" w:fill="F2F2F2" w:themeFill="background1" w:themeFillShade="F2"/>
            <w:vAlign w:val="center"/>
            <w:hideMark/>
          </w:tcPr>
          <w:p w14:paraId="5B211C71" w14:textId="77777777" w:rsidR="00A82E81" w:rsidRPr="00D557A7" w:rsidRDefault="00A82E81" w:rsidP="00D557A7">
            <w:pPr>
              <w:pStyle w:val="TableHeading"/>
            </w:pPr>
            <w:r w:rsidRPr="00D557A7">
              <w:t>Payment $ (inc of GST)</w:t>
            </w:r>
          </w:p>
        </w:tc>
      </w:tr>
      <w:tr w:rsidR="00A82E81" w:rsidRPr="00855CD1" w14:paraId="4DCB84B7" w14:textId="77777777" w:rsidTr="004D63AC">
        <w:trPr>
          <w:gridAfter w:val="1"/>
          <w:wAfter w:w="99" w:type="pct"/>
          <w:trHeight w:val="615"/>
        </w:trPr>
        <w:tc>
          <w:tcPr>
            <w:tcW w:w="1163" w:type="pct"/>
            <w:tcBorders>
              <w:top w:val="single" w:sz="4" w:space="0" w:color="auto"/>
              <w:left w:val="nil"/>
              <w:bottom w:val="single" w:sz="4" w:space="0" w:color="auto"/>
              <w:right w:val="nil"/>
            </w:tcBorders>
            <w:vAlign w:val="center"/>
            <w:hideMark/>
          </w:tcPr>
          <w:p w14:paraId="43C31BD8" w14:textId="77777777" w:rsidR="00A82E81" w:rsidRPr="00AB6973" w:rsidRDefault="00A82E81" w:rsidP="00D557A7">
            <w:pPr>
              <w:pStyle w:val="TableText"/>
            </w:pPr>
            <w:r w:rsidRPr="00AB6973">
              <w:t>QMR</w:t>
            </w:r>
          </w:p>
        </w:tc>
        <w:tc>
          <w:tcPr>
            <w:tcW w:w="1176" w:type="pct"/>
            <w:tcBorders>
              <w:top w:val="single" w:sz="4" w:space="0" w:color="auto"/>
              <w:left w:val="nil"/>
              <w:bottom w:val="single" w:sz="4" w:space="0" w:color="auto"/>
              <w:right w:val="nil"/>
            </w:tcBorders>
            <w:vAlign w:val="center"/>
            <w:hideMark/>
          </w:tcPr>
          <w:p w14:paraId="2F100BF4" w14:textId="77777777" w:rsidR="00A82E81" w:rsidRPr="00AB6973" w:rsidRDefault="00A82E81" w:rsidP="00D557A7">
            <w:pPr>
              <w:pStyle w:val="TableText"/>
            </w:pPr>
            <w:r w:rsidRPr="00AB6973">
              <w:t>Market Research</w:t>
            </w:r>
          </w:p>
        </w:tc>
        <w:tc>
          <w:tcPr>
            <w:tcW w:w="1949" w:type="pct"/>
            <w:tcBorders>
              <w:top w:val="single" w:sz="4" w:space="0" w:color="auto"/>
              <w:left w:val="nil"/>
              <w:bottom w:val="single" w:sz="4" w:space="0" w:color="auto"/>
              <w:right w:val="nil"/>
            </w:tcBorders>
            <w:vAlign w:val="center"/>
            <w:hideMark/>
          </w:tcPr>
          <w:p w14:paraId="15A76B5B" w14:textId="77777777" w:rsidR="00A82E81" w:rsidRPr="00AB6973" w:rsidRDefault="00A82E81" w:rsidP="00D557A7">
            <w:pPr>
              <w:pStyle w:val="TableText"/>
            </w:pPr>
            <w:r w:rsidRPr="00AB6973">
              <w:t>External research on National Age Beliefs in aged care intervention</w:t>
            </w:r>
          </w:p>
        </w:tc>
        <w:tc>
          <w:tcPr>
            <w:tcW w:w="613" w:type="pct"/>
            <w:tcBorders>
              <w:top w:val="single" w:sz="4" w:space="0" w:color="000000"/>
              <w:left w:val="nil"/>
              <w:bottom w:val="single" w:sz="4" w:space="0" w:color="auto"/>
              <w:right w:val="nil"/>
            </w:tcBorders>
            <w:vAlign w:val="center"/>
            <w:hideMark/>
          </w:tcPr>
          <w:p w14:paraId="52CE421F" w14:textId="77777777" w:rsidR="00A82E81" w:rsidRPr="00AB6973" w:rsidRDefault="00A82E81" w:rsidP="00D557A7">
            <w:pPr>
              <w:pStyle w:val="TableText"/>
            </w:pPr>
            <w:r w:rsidRPr="00AB6973">
              <w:t>76,010</w:t>
            </w:r>
          </w:p>
        </w:tc>
      </w:tr>
      <w:tr w:rsidR="00A82E81" w:rsidRPr="00855CD1" w14:paraId="0F40AC94" w14:textId="77777777" w:rsidTr="004D63AC">
        <w:trPr>
          <w:gridAfter w:val="1"/>
          <w:wAfter w:w="99" w:type="pct"/>
          <w:trHeight w:val="315"/>
        </w:trPr>
        <w:tc>
          <w:tcPr>
            <w:tcW w:w="1163" w:type="pct"/>
            <w:tcBorders>
              <w:top w:val="single" w:sz="4" w:space="0" w:color="auto"/>
              <w:left w:val="nil"/>
              <w:bottom w:val="single" w:sz="4" w:space="0" w:color="auto"/>
              <w:right w:val="nil"/>
            </w:tcBorders>
            <w:vAlign w:val="center"/>
            <w:hideMark/>
          </w:tcPr>
          <w:p w14:paraId="13AF3813" w14:textId="77777777" w:rsidR="00A82E81" w:rsidRPr="00AB6973" w:rsidRDefault="00A82E81" w:rsidP="00D557A7">
            <w:pPr>
              <w:pStyle w:val="TableText"/>
            </w:pPr>
            <w:r w:rsidRPr="00AB6973">
              <w:t>IPSO Limited</w:t>
            </w:r>
          </w:p>
        </w:tc>
        <w:tc>
          <w:tcPr>
            <w:tcW w:w="1176" w:type="pct"/>
            <w:tcBorders>
              <w:top w:val="single" w:sz="4" w:space="0" w:color="auto"/>
              <w:left w:val="nil"/>
              <w:bottom w:val="single" w:sz="4" w:space="0" w:color="auto"/>
              <w:right w:val="nil"/>
            </w:tcBorders>
            <w:vAlign w:val="center"/>
            <w:hideMark/>
          </w:tcPr>
          <w:p w14:paraId="4406F157" w14:textId="77777777" w:rsidR="00A82E81" w:rsidRPr="00AB6973" w:rsidRDefault="00A82E81" w:rsidP="00D557A7">
            <w:pPr>
              <w:pStyle w:val="TableText"/>
            </w:pPr>
            <w:r w:rsidRPr="00AB6973">
              <w:t>Market Research</w:t>
            </w:r>
          </w:p>
        </w:tc>
        <w:tc>
          <w:tcPr>
            <w:tcW w:w="1949" w:type="pct"/>
            <w:tcBorders>
              <w:top w:val="single" w:sz="4" w:space="0" w:color="auto"/>
              <w:left w:val="nil"/>
              <w:bottom w:val="single" w:sz="4" w:space="0" w:color="auto"/>
              <w:right w:val="nil"/>
            </w:tcBorders>
            <w:vAlign w:val="center"/>
            <w:hideMark/>
          </w:tcPr>
          <w:p w14:paraId="59657889" w14:textId="77777777" w:rsidR="00A82E81" w:rsidRPr="00AB6973" w:rsidRDefault="00A82E81" w:rsidP="00D557A7">
            <w:pPr>
              <w:pStyle w:val="TableText"/>
            </w:pPr>
            <w:r w:rsidRPr="00AB6973">
              <w:t>As above</w:t>
            </w:r>
          </w:p>
        </w:tc>
        <w:tc>
          <w:tcPr>
            <w:tcW w:w="613" w:type="pct"/>
            <w:tcBorders>
              <w:top w:val="single" w:sz="4" w:space="0" w:color="auto"/>
              <w:left w:val="nil"/>
              <w:bottom w:val="single" w:sz="4" w:space="0" w:color="auto"/>
              <w:right w:val="nil"/>
            </w:tcBorders>
            <w:vAlign w:val="center"/>
            <w:hideMark/>
          </w:tcPr>
          <w:p w14:paraId="24CE091F" w14:textId="77777777" w:rsidR="00A82E81" w:rsidRPr="00AB6973" w:rsidRDefault="00A82E81" w:rsidP="00D557A7">
            <w:pPr>
              <w:pStyle w:val="TableText"/>
            </w:pPr>
            <w:r w:rsidRPr="00AB6973">
              <w:t>69,311</w:t>
            </w:r>
          </w:p>
        </w:tc>
      </w:tr>
      <w:tr w:rsidR="00A82E81" w:rsidRPr="00855CD1" w14:paraId="22928874" w14:textId="77777777" w:rsidTr="004D63AC">
        <w:trPr>
          <w:gridAfter w:val="1"/>
          <w:wAfter w:w="99" w:type="pct"/>
          <w:trHeight w:val="915"/>
        </w:trPr>
        <w:tc>
          <w:tcPr>
            <w:tcW w:w="1163" w:type="pct"/>
            <w:tcBorders>
              <w:top w:val="single" w:sz="4" w:space="0" w:color="auto"/>
              <w:left w:val="nil"/>
              <w:bottom w:val="single" w:sz="4" w:space="0" w:color="000000"/>
              <w:right w:val="nil"/>
            </w:tcBorders>
            <w:vAlign w:val="center"/>
            <w:hideMark/>
          </w:tcPr>
          <w:p w14:paraId="3F2953BA" w14:textId="77777777" w:rsidR="00A82E81" w:rsidRPr="00AB6973" w:rsidRDefault="00A82E81" w:rsidP="00D557A7">
            <w:pPr>
              <w:pStyle w:val="TableText"/>
            </w:pPr>
            <w:r w:rsidRPr="00AB6973">
              <w:t>Roy Morgan Research Ltd.</w:t>
            </w:r>
          </w:p>
        </w:tc>
        <w:tc>
          <w:tcPr>
            <w:tcW w:w="1176" w:type="pct"/>
            <w:tcBorders>
              <w:top w:val="single" w:sz="4" w:space="0" w:color="auto"/>
              <w:left w:val="nil"/>
              <w:bottom w:val="single" w:sz="4" w:space="0" w:color="000000"/>
              <w:right w:val="nil"/>
            </w:tcBorders>
            <w:vAlign w:val="center"/>
            <w:hideMark/>
          </w:tcPr>
          <w:p w14:paraId="2F7DD59F" w14:textId="77777777" w:rsidR="00A82E81" w:rsidRPr="00AB6973" w:rsidRDefault="00A82E81" w:rsidP="00D557A7">
            <w:pPr>
              <w:pStyle w:val="TableText"/>
            </w:pPr>
            <w:r w:rsidRPr="00AB6973">
              <w:t>Market Research</w:t>
            </w:r>
          </w:p>
        </w:tc>
        <w:tc>
          <w:tcPr>
            <w:tcW w:w="1949" w:type="pct"/>
            <w:tcBorders>
              <w:top w:val="single" w:sz="4" w:space="0" w:color="auto"/>
              <w:left w:val="nil"/>
              <w:bottom w:val="single" w:sz="4" w:space="0" w:color="000000"/>
              <w:right w:val="nil"/>
            </w:tcBorders>
            <w:vAlign w:val="center"/>
            <w:hideMark/>
          </w:tcPr>
          <w:p w14:paraId="09790071" w14:textId="77777777" w:rsidR="00A82E81" w:rsidRPr="00AB6973" w:rsidRDefault="00A82E81" w:rsidP="00D557A7">
            <w:pPr>
              <w:pStyle w:val="TableText"/>
            </w:pPr>
            <w:r w:rsidRPr="00AB6973">
              <w:t>External research on the nature, prevalence and reporting of inappropriate behaviours and sexual harassment in an organisational setting</w:t>
            </w:r>
          </w:p>
        </w:tc>
        <w:tc>
          <w:tcPr>
            <w:tcW w:w="613" w:type="pct"/>
            <w:tcBorders>
              <w:top w:val="single" w:sz="4" w:space="0" w:color="auto"/>
              <w:left w:val="nil"/>
              <w:bottom w:val="single" w:sz="4" w:space="0" w:color="000000"/>
              <w:right w:val="nil"/>
            </w:tcBorders>
            <w:vAlign w:val="center"/>
            <w:hideMark/>
          </w:tcPr>
          <w:p w14:paraId="0212B410" w14:textId="77777777" w:rsidR="00A82E81" w:rsidRPr="00AB6973" w:rsidRDefault="00A82E81" w:rsidP="00D557A7">
            <w:pPr>
              <w:pStyle w:val="TableText"/>
            </w:pPr>
            <w:r w:rsidRPr="00AB6973">
              <w:t>307,424</w:t>
            </w:r>
          </w:p>
        </w:tc>
      </w:tr>
      <w:tr w:rsidR="00A82E81" w:rsidRPr="00855CD1" w14:paraId="7D5169D1" w14:textId="77777777" w:rsidTr="004D63AC">
        <w:trPr>
          <w:gridAfter w:val="1"/>
          <w:wAfter w:w="99" w:type="pct"/>
          <w:trHeight w:val="315"/>
        </w:trPr>
        <w:tc>
          <w:tcPr>
            <w:tcW w:w="1163" w:type="pct"/>
            <w:tcBorders>
              <w:top w:val="single" w:sz="4" w:space="0" w:color="000000"/>
              <w:left w:val="nil"/>
              <w:bottom w:val="single" w:sz="4" w:space="0" w:color="auto"/>
              <w:right w:val="nil"/>
            </w:tcBorders>
            <w:vAlign w:val="center"/>
            <w:hideMark/>
          </w:tcPr>
          <w:p w14:paraId="6A899E49" w14:textId="77777777" w:rsidR="00A82E81" w:rsidRPr="00AB6973" w:rsidRDefault="00A82E81" w:rsidP="00D557A7">
            <w:pPr>
              <w:pStyle w:val="TableText"/>
            </w:pPr>
            <w:r w:rsidRPr="00AB6973">
              <w:t>Qualtrics</w:t>
            </w:r>
          </w:p>
        </w:tc>
        <w:tc>
          <w:tcPr>
            <w:tcW w:w="1176" w:type="pct"/>
            <w:tcBorders>
              <w:top w:val="single" w:sz="4" w:space="0" w:color="000000"/>
              <w:left w:val="nil"/>
              <w:bottom w:val="single" w:sz="4" w:space="0" w:color="auto"/>
              <w:right w:val="nil"/>
            </w:tcBorders>
            <w:vAlign w:val="center"/>
            <w:hideMark/>
          </w:tcPr>
          <w:p w14:paraId="3C8A46B0" w14:textId="77777777" w:rsidR="00A82E81" w:rsidRPr="00AB6973" w:rsidRDefault="00A82E81" w:rsidP="00D557A7">
            <w:pPr>
              <w:pStyle w:val="TableText"/>
            </w:pPr>
            <w:r w:rsidRPr="00AB6973">
              <w:t>Market Research</w:t>
            </w:r>
          </w:p>
        </w:tc>
        <w:tc>
          <w:tcPr>
            <w:tcW w:w="1949" w:type="pct"/>
            <w:tcBorders>
              <w:top w:val="single" w:sz="4" w:space="0" w:color="000000"/>
              <w:left w:val="nil"/>
              <w:bottom w:val="single" w:sz="4" w:space="0" w:color="auto"/>
              <w:right w:val="nil"/>
            </w:tcBorders>
            <w:vAlign w:val="center"/>
            <w:hideMark/>
          </w:tcPr>
          <w:p w14:paraId="1FC6A48F" w14:textId="77777777" w:rsidR="00A82E81" w:rsidRPr="00AB6973" w:rsidRDefault="00A82E81" w:rsidP="00D557A7">
            <w:pPr>
              <w:pStyle w:val="TableText"/>
            </w:pPr>
            <w:r w:rsidRPr="00AB6973">
              <w:t>As above</w:t>
            </w:r>
          </w:p>
        </w:tc>
        <w:tc>
          <w:tcPr>
            <w:tcW w:w="613" w:type="pct"/>
            <w:tcBorders>
              <w:top w:val="single" w:sz="4" w:space="0" w:color="000000"/>
              <w:left w:val="nil"/>
              <w:bottom w:val="single" w:sz="4" w:space="0" w:color="auto"/>
              <w:right w:val="nil"/>
            </w:tcBorders>
            <w:vAlign w:val="center"/>
            <w:hideMark/>
          </w:tcPr>
          <w:p w14:paraId="22A3B487" w14:textId="77777777" w:rsidR="00A82E81" w:rsidRPr="00AB6973" w:rsidRDefault="00A82E81" w:rsidP="00D557A7">
            <w:pPr>
              <w:pStyle w:val="TableText"/>
            </w:pPr>
            <w:r w:rsidRPr="00AB6973">
              <w:t>17,968</w:t>
            </w:r>
          </w:p>
        </w:tc>
      </w:tr>
      <w:tr w:rsidR="00A82E81" w:rsidRPr="00D557A7" w14:paraId="6D2C9E3D" w14:textId="77777777" w:rsidTr="004D63AC">
        <w:trPr>
          <w:gridAfter w:val="1"/>
          <w:wAfter w:w="99" w:type="pct"/>
          <w:trHeight w:val="615"/>
        </w:trPr>
        <w:tc>
          <w:tcPr>
            <w:tcW w:w="1163" w:type="pct"/>
            <w:tcBorders>
              <w:top w:val="single" w:sz="4" w:space="0" w:color="auto"/>
              <w:left w:val="nil"/>
              <w:bottom w:val="single" w:sz="4" w:space="0" w:color="auto"/>
              <w:right w:val="nil"/>
            </w:tcBorders>
            <w:vAlign w:val="center"/>
            <w:hideMark/>
          </w:tcPr>
          <w:p w14:paraId="375581C5" w14:textId="77777777" w:rsidR="00A82E81" w:rsidRPr="00D557A7" w:rsidRDefault="00A82E81" w:rsidP="00D557A7">
            <w:pPr>
              <w:pStyle w:val="TableText"/>
            </w:pPr>
            <w:r w:rsidRPr="00D557A7">
              <w:t>Common Cause Australia</w:t>
            </w:r>
          </w:p>
        </w:tc>
        <w:tc>
          <w:tcPr>
            <w:tcW w:w="1176" w:type="pct"/>
            <w:tcBorders>
              <w:top w:val="single" w:sz="4" w:space="0" w:color="auto"/>
              <w:left w:val="nil"/>
              <w:bottom w:val="single" w:sz="4" w:space="0" w:color="auto"/>
              <w:right w:val="nil"/>
            </w:tcBorders>
            <w:vAlign w:val="center"/>
            <w:hideMark/>
          </w:tcPr>
          <w:p w14:paraId="66602C5E" w14:textId="0B295EFA" w:rsidR="00A82E81" w:rsidRPr="00D557A7" w:rsidRDefault="00371FC0" w:rsidP="00D557A7">
            <w:pPr>
              <w:pStyle w:val="TableText"/>
            </w:pPr>
            <w:r>
              <w:t>Market research</w:t>
            </w:r>
          </w:p>
        </w:tc>
        <w:tc>
          <w:tcPr>
            <w:tcW w:w="1949" w:type="pct"/>
            <w:tcBorders>
              <w:top w:val="single" w:sz="4" w:space="0" w:color="auto"/>
              <w:left w:val="nil"/>
              <w:bottom w:val="single" w:sz="4" w:space="0" w:color="auto"/>
              <w:right w:val="nil"/>
            </w:tcBorders>
            <w:vAlign w:val="center"/>
            <w:hideMark/>
          </w:tcPr>
          <w:p w14:paraId="12930F22" w14:textId="38E04674" w:rsidR="00A82E81" w:rsidRPr="00D557A7" w:rsidRDefault="00371FC0" w:rsidP="00D557A7">
            <w:pPr>
              <w:pStyle w:val="TableText"/>
            </w:pPr>
            <w:r>
              <w:t>Human Rights Act research project</w:t>
            </w:r>
          </w:p>
        </w:tc>
        <w:tc>
          <w:tcPr>
            <w:tcW w:w="613" w:type="pct"/>
            <w:tcBorders>
              <w:top w:val="single" w:sz="4" w:space="0" w:color="auto"/>
              <w:left w:val="nil"/>
              <w:bottom w:val="single" w:sz="4" w:space="0" w:color="auto"/>
              <w:right w:val="nil"/>
            </w:tcBorders>
            <w:vAlign w:val="center"/>
            <w:hideMark/>
          </w:tcPr>
          <w:p w14:paraId="2EB83DEE" w14:textId="1D047C0A" w:rsidR="00A82E81" w:rsidRPr="00D557A7" w:rsidRDefault="00A82E81" w:rsidP="00D557A7">
            <w:pPr>
              <w:pStyle w:val="TableText"/>
            </w:pPr>
            <w:r w:rsidRPr="00D557A7">
              <w:t>16,423</w:t>
            </w:r>
          </w:p>
        </w:tc>
      </w:tr>
      <w:tr w:rsidR="00A82E81" w:rsidRPr="00855CD1" w14:paraId="4154B94C" w14:textId="77777777" w:rsidTr="004D63AC">
        <w:trPr>
          <w:gridAfter w:val="1"/>
          <w:wAfter w:w="99" w:type="pct"/>
          <w:trHeight w:val="615"/>
        </w:trPr>
        <w:tc>
          <w:tcPr>
            <w:tcW w:w="1163" w:type="pct"/>
            <w:tcBorders>
              <w:top w:val="single" w:sz="4" w:space="0" w:color="auto"/>
              <w:left w:val="nil"/>
              <w:bottom w:val="single" w:sz="4" w:space="0" w:color="auto"/>
              <w:right w:val="nil"/>
            </w:tcBorders>
            <w:vAlign w:val="center"/>
            <w:hideMark/>
          </w:tcPr>
          <w:p w14:paraId="63BF6EA3" w14:textId="77777777" w:rsidR="00A82E81" w:rsidRPr="00AB6973" w:rsidRDefault="00A82E81" w:rsidP="00D557A7">
            <w:pPr>
              <w:pStyle w:val="TableText"/>
            </w:pPr>
            <w:r w:rsidRPr="00AB6973">
              <w:t>Media Heads Pty Ltd</w:t>
            </w:r>
          </w:p>
        </w:tc>
        <w:tc>
          <w:tcPr>
            <w:tcW w:w="1176" w:type="pct"/>
            <w:tcBorders>
              <w:top w:val="single" w:sz="4" w:space="0" w:color="auto"/>
              <w:left w:val="nil"/>
              <w:bottom w:val="single" w:sz="4" w:space="0" w:color="auto"/>
              <w:right w:val="nil"/>
            </w:tcBorders>
            <w:vAlign w:val="center"/>
            <w:hideMark/>
          </w:tcPr>
          <w:p w14:paraId="42045362" w14:textId="77777777" w:rsidR="00A82E81" w:rsidRPr="00AB6973" w:rsidRDefault="00A82E81" w:rsidP="00D557A7">
            <w:pPr>
              <w:pStyle w:val="TableText"/>
            </w:pPr>
            <w:r w:rsidRPr="00AB6973">
              <w:t xml:space="preserve">Advertising </w:t>
            </w:r>
          </w:p>
        </w:tc>
        <w:tc>
          <w:tcPr>
            <w:tcW w:w="1949" w:type="pct"/>
            <w:tcBorders>
              <w:top w:val="single" w:sz="4" w:space="0" w:color="auto"/>
              <w:left w:val="nil"/>
              <w:bottom w:val="single" w:sz="4" w:space="0" w:color="auto"/>
              <w:right w:val="nil"/>
            </w:tcBorders>
            <w:vAlign w:val="center"/>
            <w:hideMark/>
          </w:tcPr>
          <w:p w14:paraId="3AFFAD38" w14:textId="77777777" w:rsidR="00A82E81" w:rsidRPr="00AB6973" w:rsidRDefault="00A82E81" w:rsidP="00D557A7">
            <w:pPr>
              <w:pStyle w:val="TableText"/>
            </w:pPr>
            <w:r w:rsidRPr="00AB6973">
              <w:t>Production of community service announcement video for Elder abuse campaign</w:t>
            </w:r>
          </w:p>
        </w:tc>
        <w:tc>
          <w:tcPr>
            <w:tcW w:w="613" w:type="pct"/>
            <w:tcBorders>
              <w:top w:val="single" w:sz="4" w:space="0" w:color="auto"/>
              <w:left w:val="nil"/>
              <w:bottom w:val="single" w:sz="4" w:space="0" w:color="auto"/>
              <w:right w:val="nil"/>
            </w:tcBorders>
            <w:vAlign w:val="center"/>
            <w:hideMark/>
          </w:tcPr>
          <w:p w14:paraId="7DA51648" w14:textId="77777777" w:rsidR="00A82E81" w:rsidRPr="00AB6973" w:rsidRDefault="00A82E81" w:rsidP="00D557A7">
            <w:pPr>
              <w:pStyle w:val="TableText"/>
            </w:pPr>
            <w:r w:rsidRPr="00AB6973">
              <w:t>44,440</w:t>
            </w:r>
          </w:p>
        </w:tc>
      </w:tr>
      <w:tr w:rsidR="00A82E81" w:rsidRPr="00855CD1" w14:paraId="5B7F0897" w14:textId="77777777" w:rsidTr="004D63AC">
        <w:trPr>
          <w:gridAfter w:val="1"/>
          <w:wAfter w:w="99" w:type="pct"/>
          <w:trHeight w:val="315"/>
        </w:trPr>
        <w:tc>
          <w:tcPr>
            <w:tcW w:w="1163" w:type="pct"/>
            <w:tcBorders>
              <w:top w:val="single" w:sz="4" w:space="0" w:color="auto"/>
              <w:left w:val="nil"/>
              <w:bottom w:val="single" w:sz="4" w:space="0" w:color="000000"/>
              <w:right w:val="nil"/>
            </w:tcBorders>
            <w:vAlign w:val="center"/>
            <w:hideMark/>
          </w:tcPr>
          <w:p w14:paraId="6A557D3C" w14:textId="77777777" w:rsidR="00A82E81" w:rsidRPr="00AB6973" w:rsidRDefault="00A82E81" w:rsidP="00D557A7">
            <w:pPr>
              <w:pStyle w:val="TableText"/>
            </w:pPr>
            <w:r w:rsidRPr="00AB6973">
              <w:t>The Lote Agency</w:t>
            </w:r>
          </w:p>
        </w:tc>
        <w:tc>
          <w:tcPr>
            <w:tcW w:w="1176" w:type="pct"/>
            <w:tcBorders>
              <w:top w:val="single" w:sz="4" w:space="0" w:color="auto"/>
              <w:left w:val="nil"/>
              <w:bottom w:val="single" w:sz="4" w:space="0" w:color="000000"/>
              <w:right w:val="nil"/>
            </w:tcBorders>
            <w:vAlign w:val="center"/>
            <w:hideMark/>
          </w:tcPr>
          <w:p w14:paraId="6CB264D3" w14:textId="77777777" w:rsidR="00A82E81" w:rsidRPr="00AB6973" w:rsidRDefault="00A82E81" w:rsidP="00D557A7">
            <w:pPr>
              <w:pStyle w:val="TableText"/>
            </w:pPr>
            <w:r w:rsidRPr="00AB6973">
              <w:t xml:space="preserve">Advertising </w:t>
            </w:r>
          </w:p>
        </w:tc>
        <w:tc>
          <w:tcPr>
            <w:tcW w:w="1949" w:type="pct"/>
            <w:tcBorders>
              <w:top w:val="single" w:sz="4" w:space="0" w:color="auto"/>
              <w:left w:val="nil"/>
              <w:bottom w:val="single" w:sz="4" w:space="0" w:color="000000"/>
              <w:right w:val="nil"/>
            </w:tcBorders>
            <w:vAlign w:val="center"/>
            <w:hideMark/>
          </w:tcPr>
          <w:p w14:paraId="12D2E06D" w14:textId="77777777" w:rsidR="00A82E81" w:rsidRPr="00AB6973" w:rsidRDefault="00A82E81" w:rsidP="00D557A7">
            <w:pPr>
              <w:pStyle w:val="TableText"/>
            </w:pPr>
            <w:r w:rsidRPr="00AB6973">
              <w:t>Planning ahead for later life campaign</w:t>
            </w:r>
          </w:p>
        </w:tc>
        <w:tc>
          <w:tcPr>
            <w:tcW w:w="613" w:type="pct"/>
            <w:tcBorders>
              <w:top w:val="single" w:sz="4" w:space="0" w:color="auto"/>
              <w:left w:val="nil"/>
              <w:bottom w:val="single" w:sz="4" w:space="0" w:color="000000"/>
              <w:right w:val="nil"/>
            </w:tcBorders>
            <w:vAlign w:val="center"/>
            <w:hideMark/>
          </w:tcPr>
          <w:p w14:paraId="3EF86D1F" w14:textId="77777777" w:rsidR="00A82E81" w:rsidRPr="00AB6973" w:rsidRDefault="00A82E81" w:rsidP="00D557A7">
            <w:pPr>
              <w:pStyle w:val="TableText"/>
            </w:pPr>
            <w:r w:rsidRPr="00AB6973">
              <w:t>76,875</w:t>
            </w:r>
          </w:p>
        </w:tc>
      </w:tr>
    </w:tbl>
    <w:p w14:paraId="0C4B5312" w14:textId="77777777" w:rsidR="00A44E26" w:rsidRPr="00AB6973" w:rsidRDefault="00A44E26">
      <w:pPr>
        <w:rPr>
          <w:rFonts w:cs="Open Sans"/>
        </w:rPr>
      </w:pPr>
    </w:p>
    <w:p w14:paraId="2E3C9D79" w14:textId="6997826A" w:rsidR="008A3281" w:rsidRDefault="008A3281">
      <w:pPr>
        <w:spacing w:after="0" w:line="240" w:lineRule="auto"/>
        <w:rPr>
          <w:rFonts w:cs="Open Sans"/>
        </w:rPr>
      </w:pPr>
      <w:r>
        <w:rPr>
          <w:rFonts w:cs="Open Sans"/>
        </w:rPr>
        <w:br w:type="page"/>
      </w:r>
    </w:p>
    <w:p w14:paraId="0BDC4A06" w14:textId="7F42B672" w:rsidR="00B932AB" w:rsidRPr="00AB6973" w:rsidRDefault="00B932AB" w:rsidP="008A3281">
      <w:pPr>
        <w:pStyle w:val="Heading1"/>
      </w:pPr>
      <w:bookmarkStart w:id="60" w:name="_Toc146437064"/>
      <w:r w:rsidRPr="00AB6973">
        <w:t>A</w:t>
      </w:r>
      <w:r w:rsidR="008A3281">
        <w:t>ppendices</w:t>
      </w:r>
      <w:bookmarkEnd w:id="60"/>
    </w:p>
    <w:p w14:paraId="49D82C90" w14:textId="6807DEC8" w:rsidR="005A2476" w:rsidRPr="00AB6973" w:rsidRDefault="00192436" w:rsidP="002F16FD">
      <w:pPr>
        <w:pStyle w:val="Heading2"/>
        <w:numPr>
          <w:ilvl w:val="0"/>
          <w:numId w:val="0"/>
        </w:numPr>
      </w:pPr>
      <w:bookmarkStart w:id="61" w:name="_Toc146437065"/>
      <w:r w:rsidRPr="002F16FD">
        <w:t>Appendix</w:t>
      </w:r>
      <w:r w:rsidRPr="00AB6973">
        <w:t xml:space="preserve"> 1: </w:t>
      </w:r>
      <w:r w:rsidR="00B932AB" w:rsidRPr="00AB6973">
        <w:t>Performance measurement framework</w:t>
      </w:r>
      <w:r w:rsidR="008A3281">
        <w:t xml:space="preserve"> </w:t>
      </w:r>
      <w:r w:rsidR="00B932AB" w:rsidRPr="00AB6973">
        <w:t>table 2022</w:t>
      </w:r>
      <w:r w:rsidR="00D0510A" w:rsidRPr="00AB6973">
        <w:t>–</w:t>
      </w:r>
      <w:r w:rsidR="00B932AB" w:rsidRPr="00AB6973">
        <w:t>23</w:t>
      </w:r>
      <w:bookmarkEnd w:id="61"/>
    </w:p>
    <w:p w14:paraId="1219D27A" w14:textId="183897C2" w:rsidR="00B2487C" w:rsidRPr="00A47BBF" w:rsidRDefault="00BD2C17" w:rsidP="00A47BBF">
      <w:r w:rsidRPr="00A47BBF">
        <w:t xml:space="preserve">Measuring our impact (what difference, what benefit), in the context and nature of our work, is important but complex. </w:t>
      </w:r>
      <w:r w:rsidR="00B2487C" w:rsidRPr="00A47BBF">
        <w:t>In our framework, progress indicators are mapped to each of the outcomes. They are designed to provide reasonable evidence of contribution to the outcome, and include output, process and outcome measures. They are, in turn, supported by data from monitoring and evaluation strategies implemented across the Commission’s programs and services.</w:t>
      </w:r>
    </w:p>
    <w:p w14:paraId="2BBCF21E" w14:textId="64367522" w:rsidR="00B2487C" w:rsidRPr="00A47BBF" w:rsidRDefault="00B2487C" w:rsidP="00A47BBF">
      <w:r w:rsidRPr="00A47BBF">
        <w:t>While some indicators measure the direct attributions of the Commission’s work, other</w:t>
      </w:r>
      <w:r w:rsidR="00EF37F6" w:rsidRPr="00A47BBF">
        <w:t>s</w:t>
      </w:r>
      <w:r w:rsidRPr="00A47BBF">
        <w:t xml:space="preserve"> are to capture the stories and case studies of the Commission to document our contributions to the outcomes, noting that these are often best understood when seen in the context of multi-year programs, advocacy and submissions.</w:t>
      </w:r>
    </w:p>
    <w:p w14:paraId="309242BA" w14:textId="3523EF2C" w:rsidR="689D7EFF" w:rsidRDefault="00B2487C" w:rsidP="00A47BBF">
      <w:r w:rsidRPr="00A47BBF">
        <w:t xml:space="preserve">These strategies range from the basic capture of outputs to more comprehensive mixed-method evaluations. </w:t>
      </w:r>
      <w:r w:rsidR="00BD2C17" w:rsidRPr="00A47BBF">
        <w:t>The Commission utilises a monitoring, evaluation, accountability and learning approach to our work.</w:t>
      </w:r>
    </w:p>
    <w:p w14:paraId="55FD9CC5" w14:textId="7D741FC8" w:rsidR="00A47BBF" w:rsidRPr="00A47BBF" w:rsidRDefault="00A47BBF" w:rsidP="00A47BBF">
      <w:pPr>
        <w:spacing w:after="0" w:line="240" w:lineRule="auto"/>
      </w:pPr>
      <w:r>
        <w:br w:type="page"/>
      </w:r>
    </w:p>
    <w:tbl>
      <w:tblPr>
        <w:tblStyle w:val="TableGrid0"/>
        <w:tblpPr w:leftFromText="180" w:rightFromText="180" w:vertAnchor="text" w:tblpY="1"/>
        <w:tblOverlap w:val="never"/>
        <w:tblW w:w="10201" w:type="dxa"/>
        <w:tblLayout w:type="fixed"/>
        <w:tblLook w:val="04A0" w:firstRow="1" w:lastRow="0" w:firstColumn="1" w:lastColumn="0" w:noHBand="0" w:noVBand="1"/>
      </w:tblPr>
      <w:tblGrid>
        <w:gridCol w:w="1837"/>
        <w:gridCol w:w="2124"/>
        <w:gridCol w:w="2841"/>
        <w:gridCol w:w="3399"/>
      </w:tblGrid>
      <w:tr w:rsidR="00666626" w:rsidRPr="00A47BBF" w14:paraId="05839C58" w14:textId="77777777" w:rsidTr="002D0DC6">
        <w:trPr>
          <w:trHeight w:val="512"/>
          <w:tblHeader/>
        </w:trPr>
        <w:tc>
          <w:tcPr>
            <w:tcW w:w="1838" w:type="dxa"/>
            <w:vMerge w:val="restart"/>
            <w:shd w:val="clear" w:color="auto" w:fill="F2F2F2" w:themeFill="background1" w:themeFillShade="F2"/>
            <w:vAlign w:val="bottom"/>
          </w:tcPr>
          <w:p w14:paraId="270E8B5E" w14:textId="77777777" w:rsidR="004634AE" w:rsidRPr="002D0DC6" w:rsidRDefault="1FF11608" w:rsidP="002D0DC6">
            <w:pPr>
              <w:pStyle w:val="TableHeading"/>
            </w:pPr>
            <w:r w:rsidRPr="002D0DC6">
              <w:t>Goal</w:t>
            </w:r>
          </w:p>
        </w:tc>
        <w:tc>
          <w:tcPr>
            <w:tcW w:w="2117" w:type="dxa"/>
            <w:vMerge w:val="restart"/>
            <w:shd w:val="clear" w:color="auto" w:fill="F2F2F2" w:themeFill="background1" w:themeFillShade="F2"/>
            <w:vAlign w:val="bottom"/>
          </w:tcPr>
          <w:p w14:paraId="740551C3" w14:textId="77777777" w:rsidR="004634AE" w:rsidRPr="002D0DC6" w:rsidRDefault="1FF11608" w:rsidP="002D0DC6">
            <w:pPr>
              <w:pStyle w:val="TableHeading"/>
            </w:pPr>
            <w:r w:rsidRPr="002D0DC6">
              <w:t>Outcome</w:t>
            </w:r>
          </w:p>
        </w:tc>
        <w:tc>
          <w:tcPr>
            <w:tcW w:w="2844" w:type="dxa"/>
            <w:vMerge w:val="restart"/>
            <w:shd w:val="clear" w:color="auto" w:fill="F2F2F2" w:themeFill="background1" w:themeFillShade="F2"/>
            <w:vAlign w:val="bottom"/>
          </w:tcPr>
          <w:p w14:paraId="0B1EA406" w14:textId="77777777" w:rsidR="004634AE" w:rsidRPr="002D0DC6" w:rsidRDefault="1FF11608" w:rsidP="002D0DC6">
            <w:pPr>
              <w:pStyle w:val="TableHeading"/>
            </w:pPr>
            <w:r w:rsidRPr="002D0DC6">
              <w:t>Performance expectation</w:t>
            </w:r>
          </w:p>
        </w:tc>
        <w:tc>
          <w:tcPr>
            <w:tcW w:w="3402" w:type="dxa"/>
            <w:vMerge w:val="restart"/>
            <w:shd w:val="clear" w:color="auto" w:fill="F2F2F2" w:themeFill="background1" w:themeFillShade="F2"/>
            <w:vAlign w:val="bottom"/>
          </w:tcPr>
          <w:p w14:paraId="2942DF77" w14:textId="371BFFF1" w:rsidR="004634AE" w:rsidRPr="002D0DC6" w:rsidRDefault="1FF11608" w:rsidP="002D0DC6">
            <w:pPr>
              <w:pStyle w:val="TableHeading"/>
            </w:pPr>
            <w:r w:rsidRPr="002D0DC6">
              <w:t>Progress indicator (and PBS target)</w:t>
            </w:r>
          </w:p>
        </w:tc>
      </w:tr>
      <w:tr w:rsidR="004634AE" w:rsidRPr="00A47BBF" w14:paraId="45713CCD" w14:textId="77777777" w:rsidTr="002D0DC6">
        <w:trPr>
          <w:trHeight w:val="512"/>
          <w:tblHeader/>
        </w:trPr>
        <w:tc>
          <w:tcPr>
            <w:tcW w:w="1838" w:type="dxa"/>
            <w:vMerge/>
            <w:shd w:val="clear" w:color="auto" w:fill="F2F2F2" w:themeFill="background1" w:themeFillShade="F2"/>
            <w:vAlign w:val="bottom"/>
          </w:tcPr>
          <w:p w14:paraId="251193B8" w14:textId="77777777" w:rsidR="004634AE" w:rsidRPr="00A47BBF" w:rsidRDefault="004634AE" w:rsidP="00E86BC5">
            <w:pPr>
              <w:pStyle w:val="TableText"/>
              <w:rPr>
                <w:sz w:val="20"/>
              </w:rPr>
            </w:pPr>
          </w:p>
        </w:tc>
        <w:tc>
          <w:tcPr>
            <w:tcW w:w="2117" w:type="dxa"/>
            <w:vMerge/>
            <w:shd w:val="clear" w:color="auto" w:fill="F2F2F2" w:themeFill="background1" w:themeFillShade="F2"/>
            <w:vAlign w:val="bottom"/>
          </w:tcPr>
          <w:p w14:paraId="2E5CB2B7" w14:textId="77777777" w:rsidR="004634AE" w:rsidRPr="00A47BBF" w:rsidRDefault="004634AE" w:rsidP="00E86BC5">
            <w:pPr>
              <w:pStyle w:val="TableText"/>
              <w:rPr>
                <w:sz w:val="20"/>
              </w:rPr>
            </w:pPr>
          </w:p>
        </w:tc>
        <w:tc>
          <w:tcPr>
            <w:tcW w:w="2844" w:type="dxa"/>
            <w:vMerge/>
            <w:shd w:val="clear" w:color="auto" w:fill="F2F2F2" w:themeFill="background1" w:themeFillShade="F2"/>
            <w:vAlign w:val="bottom"/>
          </w:tcPr>
          <w:p w14:paraId="3540EB27" w14:textId="77777777" w:rsidR="004634AE" w:rsidRPr="00A47BBF" w:rsidRDefault="004634AE" w:rsidP="00E86BC5">
            <w:pPr>
              <w:pStyle w:val="TableText"/>
              <w:rPr>
                <w:sz w:val="20"/>
              </w:rPr>
            </w:pPr>
          </w:p>
        </w:tc>
        <w:tc>
          <w:tcPr>
            <w:tcW w:w="3402" w:type="dxa"/>
            <w:vMerge/>
            <w:shd w:val="clear" w:color="auto" w:fill="F2F2F2" w:themeFill="background1" w:themeFillShade="F2"/>
            <w:vAlign w:val="bottom"/>
          </w:tcPr>
          <w:p w14:paraId="1689F463" w14:textId="77777777" w:rsidR="004634AE" w:rsidRPr="00A47BBF" w:rsidRDefault="004634AE" w:rsidP="00E86BC5">
            <w:pPr>
              <w:pStyle w:val="TableText"/>
              <w:rPr>
                <w:sz w:val="20"/>
              </w:rPr>
            </w:pPr>
          </w:p>
        </w:tc>
      </w:tr>
      <w:tr w:rsidR="004634AE" w:rsidRPr="00A47BBF" w14:paraId="3E5EC82D" w14:textId="77777777" w:rsidTr="00E86BC5">
        <w:trPr>
          <w:trHeight w:val="1627"/>
        </w:trPr>
        <w:tc>
          <w:tcPr>
            <w:tcW w:w="1838" w:type="dxa"/>
            <w:vMerge w:val="restart"/>
          </w:tcPr>
          <w:p w14:paraId="24365F36" w14:textId="77777777" w:rsidR="004634AE" w:rsidRPr="00A47BBF" w:rsidRDefault="1FF11608" w:rsidP="00E86BC5">
            <w:pPr>
              <w:pStyle w:val="TableText"/>
              <w:rPr>
                <w:color w:val="000000"/>
                <w:sz w:val="20"/>
              </w:rPr>
            </w:pPr>
            <w:r w:rsidRPr="00E86BC5">
              <w:rPr>
                <w:rStyle w:val="Strong"/>
              </w:rPr>
              <w:t>1</w:t>
            </w:r>
            <w:r w:rsidRPr="00A47BBF">
              <w:rPr>
                <w:sz w:val="20"/>
              </w:rPr>
              <w:t xml:space="preserve"> Improving enjoyment of human rights by all, supporting access to justice and remedies for people and communities whose rights are breached.</w:t>
            </w:r>
          </w:p>
        </w:tc>
        <w:tc>
          <w:tcPr>
            <w:tcW w:w="2117" w:type="dxa"/>
            <w:vMerge w:val="restart"/>
          </w:tcPr>
          <w:p w14:paraId="54EF732E" w14:textId="77777777" w:rsidR="004634AE" w:rsidRPr="00A47BBF" w:rsidRDefault="1FF11608" w:rsidP="00E86BC5">
            <w:pPr>
              <w:pStyle w:val="TableText"/>
              <w:rPr>
                <w:sz w:val="20"/>
              </w:rPr>
            </w:pPr>
            <w:r w:rsidRPr="00E86BC5">
              <w:rPr>
                <w:rStyle w:val="Strong"/>
              </w:rPr>
              <w:t>1.1</w:t>
            </w:r>
            <w:r w:rsidRPr="00A47BBF">
              <w:rPr>
                <w:sz w:val="20"/>
              </w:rPr>
              <w:t xml:space="preserve"> We deliver a fair and effective investigation and conciliation of complaints service. </w:t>
            </w:r>
          </w:p>
          <w:p w14:paraId="0122A061" w14:textId="77777777" w:rsidR="004634AE" w:rsidRPr="00E86BC5" w:rsidRDefault="1FF11608" w:rsidP="00E86BC5">
            <w:pPr>
              <w:pStyle w:val="TableText"/>
              <w:rPr>
                <w:rStyle w:val="Strong"/>
              </w:rPr>
            </w:pPr>
            <w:r w:rsidRPr="00E86BC5">
              <w:rPr>
                <w:rStyle w:val="Strong"/>
              </w:rPr>
              <w:t>[PBS criterion]</w:t>
            </w:r>
          </w:p>
        </w:tc>
        <w:tc>
          <w:tcPr>
            <w:tcW w:w="2844" w:type="dxa"/>
            <w:vMerge w:val="restart"/>
          </w:tcPr>
          <w:p w14:paraId="286F5599" w14:textId="77777777" w:rsidR="004634AE" w:rsidRPr="00A47BBF" w:rsidRDefault="1FF11608" w:rsidP="00E86BC5">
            <w:pPr>
              <w:pStyle w:val="TableText"/>
              <w:rPr>
                <w:sz w:val="20"/>
              </w:rPr>
            </w:pPr>
            <w:r w:rsidRPr="00A47BBF">
              <w:rPr>
                <w:sz w:val="20"/>
              </w:rPr>
              <w:t>Our investigation and conciliation of complaints and dispute resolution meet performance indicators on timeliness, efficiency and service user satisfaction.</w:t>
            </w:r>
          </w:p>
          <w:p w14:paraId="52339670" w14:textId="77777777" w:rsidR="004634AE" w:rsidRPr="00A47BBF" w:rsidRDefault="1FF11608" w:rsidP="00E86BC5">
            <w:pPr>
              <w:pStyle w:val="TableText"/>
              <w:rPr>
                <w:sz w:val="20"/>
              </w:rPr>
            </w:pPr>
            <w:r w:rsidRPr="00A47BBF">
              <w:rPr>
                <w:sz w:val="20"/>
              </w:rPr>
              <w:t>Our investigation and conciliation of complaints and dispute resolution processes have systemic and educational outcomes.</w:t>
            </w:r>
          </w:p>
        </w:tc>
        <w:tc>
          <w:tcPr>
            <w:tcW w:w="3402" w:type="dxa"/>
            <w:vMerge w:val="restart"/>
          </w:tcPr>
          <w:p w14:paraId="201F3373" w14:textId="77777777" w:rsidR="004634AE" w:rsidRPr="00A47BBF" w:rsidRDefault="1FF11608" w:rsidP="00E86BC5">
            <w:pPr>
              <w:pStyle w:val="TableText"/>
              <w:rPr>
                <w:sz w:val="20"/>
              </w:rPr>
            </w:pPr>
            <w:r w:rsidRPr="00A47BBF">
              <w:rPr>
                <w:sz w:val="20"/>
              </w:rPr>
              <w:t>85% of complaints are finalised in under 12 months.</w:t>
            </w:r>
          </w:p>
          <w:p w14:paraId="68057C05" w14:textId="77777777" w:rsidR="004634AE" w:rsidRPr="00A47BBF" w:rsidRDefault="1FF11608" w:rsidP="00E86BC5">
            <w:pPr>
              <w:pStyle w:val="TableText"/>
              <w:rPr>
                <w:sz w:val="20"/>
              </w:rPr>
            </w:pPr>
            <w:r w:rsidRPr="00A47BBF">
              <w:rPr>
                <w:sz w:val="20"/>
              </w:rPr>
              <w:t>40% of complaints are resolved by conciliation.</w:t>
            </w:r>
          </w:p>
          <w:p w14:paraId="3573C354" w14:textId="77777777" w:rsidR="004634AE" w:rsidRPr="00A47BBF" w:rsidRDefault="1FF11608" w:rsidP="00E86BC5">
            <w:pPr>
              <w:pStyle w:val="TableText"/>
              <w:rPr>
                <w:rStyle w:val="Strong"/>
                <w:sz w:val="20"/>
              </w:rPr>
            </w:pPr>
            <w:r w:rsidRPr="00A47BBF">
              <w:rPr>
                <w:sz w:val="20"/>
              </w:rPr>
              <w:t xml:space="preserve">85% of parties to complaints are satisfied with the service they receive. </w:t>
            </w:r>
            <w:r w:rsidRPr="00E86BC5">
              <w:rPr>
                <w:rStyle w:val="Strong"/>
              </w:rPr>
              <w:t>[PBS target]</w:t>
            </w:r>
          </w:p>
          <w:p w14:paraId="35193C7E" w14:textId="77777777" w:rsidR="004634AE" w:rsidRPr="00A47BBF" w:rsidRDefault="1FF11608" w:rsidP="00E86BC5">
            <w:pPr>
              <w:pStyle w:val="TableText"/>
              <w:rPr>
                <w:rStyle w:val="Strong"/>
                <w:sz w:val="20"/>
              </w:rPr>
            </w:pPr>
            <w:r w:rsidRPr="00A47BBF">
              <w:rPr>
                <w:sz w:val="20"/>
              </w:rPr>
              <w:t xml:space="preserve">Instances where the terms on which investigation and conciliation disputes are resolved include systemic outcomes that accord with the objectives of the law. </w:t>
            </w:r>
            <w:r w:rsidRPr="00E86BC5">
              <w:rPr>
                <w:rStyle w:val="Strong"/>
              </w:rPr>
              <w:t>[PBS target]</w:t>
            </w:r>
          </w:p>
          <w:p w14:paraId="2432727C" w14:textId="77777777" w:rsidR="004634AE" w:rsidRPr="00A47BBF" w:rsidRDefault="1FF11608" w:rsidP="00E86BC5">
            <w:pPr>
              <w:pStyle w:val="TableText"/>
              <w:rPr>
                <w:rStyle w:val="Strong"/>
                <w:b w:val="0"/>
                <w:sz w:val="20"/>
              </w:rPr>
            </w:pPr>
            <w:r w:rsidRPr="00A47BBF">
              <w:rPr>
                <w:sz w:val="20"/>
              </w:rPr>
              <w:t xml:space="preserve">Instances where participation in the investigation and conciliation process results in increased understanding of rights and responsibilities in the law. </w:t>
            </w:r>
            <w:r w:rsidRPr="00E86BC5">
              <w:rPr>
                <w:rStyle w:val="Strong"/>
              </w:rPr>
              <w:t>[PBS target]</w:t>
            </w:r>
          </w:p>
        </w:tc>
      </w:tr>
      <w:tr w:rsidR="004634AE" w:rsidRPr="00A47BBF" w14:paraId="3EA72B05" w14:textId="77777777" w:rsidTr="00E86BC5">
        <w:trPr>
          <w:trHeight w:val="1654"/>
        </w:trPr>
        <w:tc>
          <w:tcPr>
            <w:tcW w:w="1838" w:type="dxa"/>
            <w:vMerge/>
          </w:tcPr>
          <w:p w14:paraId="55324AFA" w14:textId="77777777" w:rsidR="004634AE" w:rsidRPr="00A47BBF" w:rsidRDefault="004634AE" w:rsidP="00E86BC5">
            <w:pPr>
              <w:pStyle w:val="TableText"/>
              <w:rPr>
                <w:rStyle w:val="Strong"/>
                <w:rFonts w:eastAsia="MS Mincho"/>
                <w:sz w:val="20"/>
                <w:lang w:val="en-AU" w:eastAsia="en-AU"/>
              </w:rPr>
            </w:pPr>
          </w:p>
        </w:tc>
        <w:tc>
          <w:tcPr>
            <w:tcW w:w="2117" w:type="dxa"/>
            <w:vMerge/>
          </w:tcPr>
          <w:p w14:paraId="0573307E" w14:textId="77777777" w:rsidR="004634AE" w:rsidRPr="00A47BBF" w:rsidRDefault="004634AE" w:rsidP="00E86BC5">
            <w:pPr>
              <w:pStyle w:val="TableText"/>
              <w:rPr>
                <w:sz w:val="20"/>
              </w:rPr>
            </w:pPr>
          </w:p>
        </w:tc>
        <w:tc>
          <w:tcPr>
            <w:tcW w:w="2844" w:type="dxa"/>
            <w:vMerge/>
          </w:tcPr>
          <w:p w14:paraId="2F17F2D1" w14:textId="77777777" w:rsidR="004634AE" w:rsidRPr="00A47BBF" w:rsidRDefault="004634AE" w:rsidP="00E86BC5">
            <w:pPr>
              <w:pStyle w:val="TableText"/>
              <w:rPr>
                <w:sz w:val="20"/>
              </w:rPr>
            </w:pPr>
          </w:p>
        </w:tc>
        <w:tc>
          <w:tcPr>
            <w:tcW w:w="3402" w:type="dxa"/>
            <w:vMerge/>
          </w:tcPr>
          <w:p w14:paraId="44CB19BC" w14:textId="77777777" w:rsidR="004634AE" w:rsidRPr="00A47BBF" w:rsidRDefault="004634AE" w:rsidP="00E86BC5">
            <w:pPr>
              <w:pStyle w:val="TableText"/>
              <w:rPr>
                <w:sz w:val="20"/>
              </w:rPr>
            </w:pPr>
          </w:p>
        </w:tc>
      </w:tr>
      <w:tr w:rsidR="004634AE" w:rsidRPr="00A47BBF" w14:paraId="5F773092" w14:textId="77777777" w:rsidTr="00E86BC5">
        <w:trPr>
          <w:trHeight w:val="612"/>
        </w:trPr>
        <w:tc>
          <w:tcPr>
            <w:tcW w:w="1838" w:type="dxa"/>
            <w:vMerge/>
          </w:tcPr>
          <w:p w14:paraId="2E2A43F9" w14:textId="77777777" w:rsidR="004634AE" w:rsidRPr="00A47BBF" w:rsidRDefault="004634AE" w:rsidP="00E86BC5">
            <w:pPr>
              <w:pStyle w:val="TableText"/>
              <w:rPr>
                <w:rStyle w:val="Strong"/>
                <w:rFonts w:eastAsia="MS Mincho"/>
                <w:sz w:val="20"/>
                <w:lang w:val="en-AU" w:eastAsia="en-AU"/>
              </w:rPr>
            </w:pPr>
          </w:p>
        </w:tc>
        <w:tc>
          <w:tcPr>
            <w:tcW w:w="2117" w:type="dxa"/>
            <w:vMerge/>
          </w:tcPr>
          <w:p w14:paraId="267E632D" w14:textId="77777777" w:rsidR="004634AE" w:rsidRPr="00A47BBF" w:rsidRDefault="004634AE" w:rsidP="00E86BC5">
            <w:pPr>
              <w:pStyle w:val="TableText"/>
              <w:rPr>
                <w:sz w:val="20"/>
              </w:rPr>
            </w:pPr>
          </w:p>
        </w:tc>
        <w:tc>
          <w:tcPr>
            <w:tcW w:w="2844" w:type="dxa"/>
            <w:vMerge/>
          </w:tcPr>
          <w:p w14:paraId="59AF8645" w14:textId="77777777" w:rsidR="004634AE" w:rsidRPr="00A47BBF" w:rsidRDefault="004634AE" w:rsidP="00E86BC5">
            <w:pPr>
              <w:pStyle w:val="TableText"/>
              <w:rPr>
                <w:sz w:val="20"/>
              </w:rPr>
            </w:pPr>
          </w:p>
        </w:tc>
        <w:tc>
          <w:tcPr>
            <w:tcW w:w="3402" w:type="dxa"/>
            <w:vMerge/>
          </w:tcPr>
          <w:p w14:paraId="3DBEE580" w14:textId="77777777" w:rsidR="004634AE" w:rsidRPr="00A47BBF" w:rsidRDefault="004634AE" w:rsidP="00E86BC5">
            <w:pPr>
              <w:pStyle w:val="TableText"/>
              <w:rPr>
                <w:sz w:val="20"/>
              </w:rPr>
            </w:pPr>
          </w:p>
        </w:tc>
      </w:tr>
      <w:tr w:rsidR="004634AE" w:rsidRPr="00A47BBF" w14:paraId="54779FAF" w14:textId="77777777" w:rsidTr="00E86BC5">
        <w:trPr>
          <w:trHeight w:val="887"/>
        </w:trPr>
        <w:tc>
          <w:tcPr>
            <w:tcW w:w="1838" w:type="dxa"/>
            <w:vMerge w:val="restart"/>
          </w:tcPr>
          <w:p w14:paraId="6C9D7653" w14:textId="77777777" w:rsidR="004634AE" w:rsidRPr="00A47BBF" w:rsidRDefault="1FF11608" w:rsidP="00E86BC5">
            <w:pPr>
              <w:pStyle w:val="TableText"/>
              <w:rPr>
                <w:sz w:val="20"/>
              </w:rPr>
            </w:pPr>
            <w:r w:rsidRPr="00E86BC5">
              <w:rPr>
                <w:rStyle w:val="Strong"/>
              </w:rPr>
              <w:t>2</w:t>
            </w:r>
            <w:r w:rsidRPr="00A47BBF">
              <w:rPr>
                <w:rStyle w:val="Strong"/>
                <w:rFonts w:eastAsia="MS Mincho"/>
                <w:sz w:val="20"/>
              </w:rPr>
              <w:t xml:space="preserve"> </w:t>
            </w:r>
            <w:r w:rsidRPr="00A47BBF">
              <w:rPr>
                <w:sz w:val="20"/>
              </w:rPr>
              <w:t>Strengthening Australia’s human rights framework, embedding human rights issues at a national level.</w:t>
            </w:r>
          </w:p>
          <w:p w14:paraId="2DECC0BD" w14:textId="77777777" w:rsidR="00F83111" w:rsidRPr="00A47BBF" w:rsidRDefault="00F83111" w:rsidP="00E86BC5">
            <w:pPr>
              <w:pStyle w:val="TableText"/>
              <w:rPr>
                <w:sz w:val="20"/>
              </w:rPr>
            </w:pPr>
          </w:p>
          <w:p w14:paraId="79C4E21C" w14:textId="77777777" w:rsidR="00F83111" w:rsidRPr="00A47BBF" w:rsidRDefault="00F83111" w:rsidP="00E86BC5">
            <w:pPr>
              <w:pStyle w:val="TableText"/>
              <w:rPr>
                <w:sz w:val="20"/>
              </w:rPr>
            </w:pPr>
          </w:p>
          <w:p w14:paraId="7DF34C06" w14:textId="77777777" w:rsidR="00F83111" w:rsidRPr="00A47BBF" w:rsidRDefault="00F83111" w:rsidP="00E86BC5">
            <w:pPr>
              <w:pStyle w:val="TableText"/>
              <w:rPr>
                <w:sz w:val="20"/>
              </w:rPr>
            </w:pPr>
          </w:p>
          <w:p w14:paraId="3CCC3F4A" w14:textId="77777777" w:rsidR="00F83111" w:rsidRPr="00A47BBF" w:rsidRDefault="00F83111" w:rsidP="00E86BC5">
            <w:pPr>
              <w:pStyle w:val="TableText"/>
              <w:rPr>
                <w:sz w:val="20"/>
              </w:rPr>
            </w:pPr>
          </w:p>
          <w:p w14:paraId="6FC5CB0C" w14:textId="77777777" w:rsidR="00F83111" w:rsidRDefault="00F83111" w:rsidP="00E86BC5">
            <w:pPr>
              <w:pStyle w:val="TableText"/>
              <w:rPr>
                <w:sz w:val="20"/>
              </w:rPr>
            </w:pPr>
          </w:p>
          <w:p w14:paraId="18002B0A" w14:textId="77777777" w:rsidR="003C7007" w:rsidRDefault="003C7007" w:rsidP="00E86BC5">
            <w:pPr>
              <w:pStyle w:val="TableText"/>
              <w:rPr>
                <w:sz w:val="20"/>
              </w:rPr>
            </w:pPr>
          </w:p>
          <w:p w14:paraId="08C54643" w14:textId="77777777" w:rsidR="00D557A7" w:rsidRDefault="00D557A7" w:rsidP="00E86BC5">
            <w:pPr>
              <w:pStyle w:val="TableText"/>
              <w:rPr>
                <w:sz w:val="20"/>
              </w:rPr>
            </w:pPr>
          </w:p>
          <w:p w14:paraId="38A27FE2" w14:textId="77777777" w:rsidR="00D557A7" w:rsidRDefault="00D557A7" w:rsidP="00E86BC5">
            <w:pPr>
              <w:pStyle w:val="TableText"/>
              <w:rPr>
                <w:sz w:val="20"/>
              </w:rPr>
            </w:pPr>
          </w:p>
          <w:p w14:paraId="16D7ED53" w14:textId="77777777" w:rsidR="00D557A7" w:rsidRPr="00A47BBF" w:rsidRDefault="00D557A7" w:rsidP="00E86BC5">
            <w:pPr>
              <w:pStyle w:val="TableText"/>
              <w:rPr>
                <w:sz w:val="20"/>
              </w:rPr>
            </w:pPr>
          </w:p>
          <w:p w14:paraId="7A8F3F68" w14:textId="6A95424B" w:rsidR="004634AE" w:rsidRPr="00A47BBF" w:rsidRDefault="00F83111" w:rsidP="00E86BC5">
            <w:pPr>
              <w:pStyle w:val="TableText"/>
              <w:rPr>
                <w:sz w:val="20"/>
              </w:rPr>
            </w:pPr>
            <w:r w:rsidRPr="00E86BC5">
              <w:rPr>
                <w:rStyle w:val="Strong"/>
              </w:rPr>
              <w:t>2</w:t>
            </w:r>
            <w:r w:rsidRPr="00A47BBF">
              <w:rPr>
                <w:rStyle w:val="Strong"/>
                <w:rFonts w:eastAsia="MS Mincho"/>
                <w:sz w:val="20"/>
              </w:rPr>
              <w:t xml:space="preserve"> </w:t>
            </w:r>
            <w:r w:rsidRPr="00A47BBF">
              <w:rPr>
                <w:sz w:val="20"/>
              </w:rPr>
              <w:t>Strengthening Australia’s human rights framework, embedding human rights issues at a national level (continued)</w:t>
            </w:r>
          </w:p>
        </w:tc>
        <w:tc>
          <w:tcPr>
            <w:tcW w:w="2126" w:type="dxa"/>
            <w:vMerge w:val="restart"/>
          </w:tcPr>
          <w:p w14:paraId="555E71B9" w14:textId="77777777" w:rsidR="004634AE" w:rsidRPr="00A47BBF" w:rsidRDefault="1FF11608" w:rsidP="00E86BC5">
            <w:pPr>
              <w:pStyle w:val="TableText"/>
              <w:rPr>
                <w:sz w:val="20"/>
              </w:rPr>
            </w:pPr>
            <w:r w:rsidRPr="00E86BC5">
              <w:rPr>
                <w:rStyle w:val="Strong"/>
              </w:rPr>
              <w:t>2.1</w:t>
            </w:r>
            <w:r w:rsidRPr="00A47BBF">
              <w:rPr>
                <w:sz w:val="20"/>
              </w:rPr>
              <w:t xml:space="preserve"> The leadership and advocacy of the President and Commissioners on thematic areas or identified human rights issues, improves the enjoyment of human rights by affected groups.</w:t>
            </w:r>
          </w:p>
          <w:p w14:paraId="19143E74" w14:textId="77777777" w:rsidR="00F83111" w:rsidRPr="00A47BBF" w:rsidRDefault="00F83111" w:rsidP="00E86BC5">
            <w:pPr>
              <w:pStyle w:val="TableText"/>
              <w:rPr>
                <w:sz w:val="20"/>
              </w:rPr>
            </w:pPr>
          </w:p>
          <w:p w14:paraId="537B6FCF" w14:textId="77777777" w:rsidR="00F83111" w:rsidRPr="00A47BBF" w:rsidRDefault="00F83111" w:rsidP="00E86BC5">
            <w:pPr>
              <w:pStyle w:val="TableText"/>
              <w:rPr>
                <w:sz w:val="20"/>
              </w:rPr>
            </w:pPr>
          </w:p>
          <w:p w14:paraId="7A1B0521" w14:textId="77777777" w:rsidR="00F83111" w:rsidRPr="00A47BBF" w:rsidRDefault="00F83111" w:rsidP="00E86BC5">
            <w:pPr>
              <w:pStyle w:val="TableText"/>
              <w:rPr>
                <w:sz w:val="20"/>
              </w:rPr>
            </w:pPr>
          </w:p>
          <w:p w14:paraId="284D3676" w14:textId="77777777" w:rsidR="00F83111" w:rsidRPr="00A47BBF" w:rsidRDefault="00F83111" w:rsidP="00E86BC5">
            <w:pPr>
              <w:pStyle w:val="TableText"/>
              <w:rPr>
                <w:sz w:val="20"/>
              </w:rPr>
            </w:pPr>
          </w:p>
          <w:p w14:paraId="6BBC0D22" w14:textId="77777777" w:rsidR="00F83111" w:rsidRPr="00A47BBF" w:rsidRDefault="00F83111" w:rsidP="00E86BC5">
            <w:pPr>
              <w:pStyle w:val="TableText"/>
              <w:rPr>
                <w:sz w:val="20"/>
              </w:rPr>
            </w:pPr>
          </w:p>
          <w:p w14:paraId="2AF05583" w14:textId="77777777" w:rsidR="00F83111" w:rsidRPr="00A47BBF" w:rsidRDefault="00F83111" w:rsidP="00E86BC5">
            <w:pPr>
              <w:pStyle w:val="TableText"/>
              <w:rPr>
                <w:sz w:val="20"/>
              </w:rPr>
            </w:pPr>
          </w:p>
          <w:p w14:paraId="6358D19C" w14:textId="77777777" w:rsidR="00F83111" w:rsidRPr="00A47BBF" w:rsidRDefault="00F83111" w:rsidP="00E86BC5">
            <w:pPr>
              <w:pStyle w:val="TableText"/>
              <w:rPr>
                <w:sz w:val="20"/>
              </w:rPr>
            </w:pPr>
          </w:p>
          <w:p w14:paraId="38B051D2" w14:textId="77777777" w:rsidR="00F83111" w:rsidRPr="00A47BBF" w:rsidRDefault="00F83111" w:rsidP="00E86BC5">
            <w:pPr>
              <w:pStyle w:val="TableText"/>
              <w:rPr>
                <w:sz w:val="20"/>
              </w:rPr>
            </w:pPr>
          </w:p>
          <w:p w14:paraId="648067F9" w14:textId="77777777" w:rsidR="004634AE" w:rsidRPr="00A47BBF" w:rsidRDefault="004634AE" w:rsidP="00E86BC5">
            <w:pPr>
              <w:pStyle w:val="TableText"/>
              <w:rPr>
                <w:sz w:val="20"/>
              </w:rPr>
            </w:pPr>
          </w:p>
        </w:tc>
        <w:tc>
          <w:tcPr>
            <w:tcW w:w="2835" w:type="dxa"/>
            <w:vMerge w:val="restart"/>
          </w:tcPr>
          <w:p w14:paraId="2D21AA94" w14:textId="77777777" w:rsidR="004634AE" w:rsidRPr="00A47BBF" w:rsidRDefault="1FF11608" w:rsidP="00E86BC5">
            <w:pPr>
              <w:pStyle w:val="TableText"/>
              <w:rPr>
                <w:sz w:val="20"/>
              </w:rPr>
            </w:pPr>
            <w:r w:rsidRPr="00A47BBF">
              <w:rPr>
                <w:sz w:val="20"/>
              </w:rPr>
              <w:t>Our research, reporting and advice influences and builds capacity in decision makers and other stakeholders to take action to address the identified human rights issues.</w:t>
            </w:r>
          </w:p>
        </w:tc>
        <w:tc>
          <w:tcPr>
            <w:tcW w:w="3402" w:type="dxa"/>
            <w:vMerge w:val="restart"/>
          </w:tcPr>
          <w:p w14:paraId="7F99B18D" w14:textId="77777777" w:rsidR="004634AE" w:rsidRPr="00A47BBF" w:rsidRDefault="1FF11608" w:rsidP="00E86BC5">
            <w:pPr>
              <w:pStyle w:val="TableText"/>
              <w:rPr>
                <w:sz w:val="20"/>
              </w:rPr>
            </w:pPr>
            <w:r w:rsidRPr="00A47BBF">
              <w:rPr>
                <w:sz w:val="20"/>
              </w:rPr>
              <w:t>Research, reporting and advice activities of the Commission:</w:t>
            </w:r>
          </w:p>
          <w:p w14:paraId="463D5A7E" w14:textId="77777777" w:rsidR="004634AE" w:rsidRPr="00A47BBF" w:rsidRDefault="1FF11608" w:rsidP="00E86BC5">
            <w:pPr>
              <w:pStyle w:val="TableText"/>
              <w:rPr>
                <w:sz w:val="20"/>
              </w:rPr>
            </w:pPr>
            <w:r w:rsidRPr="00A47BBF">
              <w:rPr>
                <w:sz w:val="20"/>
              </w:rPr>
              <w:t>are viewed as evidenced, persuasive and credible by stakeholders</w:t>
            </w:r>
          </w:p>
          <w:p w14:paraId="3AC57FBF" w14:textId="77777777" w:rsidR="004634AE" w:rsidRPr="00A47BBF" w:rsidRDefault="1FF11608" w:rsidP="00E86BC5">
            <w:pPr>
              <w:pStyle w:val="TableText"/>
              <w:rPr>
                <w:sz w:val="20"/>
              </w:rPr>
            </w:pPr>
            <w:r w:rsidRPr="00A47BBF">
              <w:rPr>
                <w:sz w:val="20"/>
              </w:rPr>
              <w:t>increase understanding of the human rights issues and impacts raised</w:t>
            </w:r>
          </w:p>
          <w:p w14:paraId="45C29269" w14:textId="77777777" w:rsidR="004634AE" w:rsidRPr="00A47BBF" w:rsidRDefault="1FF11608" w:rsidP="00E86BC5">
            <w:pPr>
              <w:pStyle w:val="TableText"/>
              <w:rPr>
                <w:sz w:val="20"/>
              </w:rPr>
            </w:pPr>
            <w:r w:rsidRPr="00A47BBF">
              <w:rPr>
                <w:sz w:val="20"/>
              </w:rPr>
              <w:t>strengthen stakeholder capacity to promote and advocate for the human rights issues raised.</w:t>
            </w:r>
          </w:p>
        </w:tc>
      </w:tr>
      <w:tr w:rsidR="004634AE" w:rsidRPr="00A47BBF" w14:paraId="014715AE" w14:textId="77777777" w:rsidTr="00E86BC5">
        <w:trPr>
          <w:trHeight w:val="1547"/>
        </w:trPr>
        <w:tc>
          <w:tcPr>
            <w:tcW w:w="1838" w:type="dxa"/>
            <w:vMerge/>
          </w:tcPr>
          <w:p w14:paraId="0C35D8BD" w14:textId="77777777" w:rsidR="004634AE" w:rsidRPr="00A47BBF" w:rsidRDefault="004634AE" w:rsidP="00E86BC5">
            <w:pPr>
              <w:pStyle w:val="TableText"/>
              <w:rPr>
                <w:rStyle w:val="Strong"/>
                <w:rFonts w:eastAsia="MS Mincho"/>
                <w:sz w:val="20"/>
                <w:lang w:val="en-AU" w:eastAsia="en-AU"/>
              </w:rPr>
            </w:pPr>
          </w:p>
        </w:tc>
        <w:tc>
          <w:tcPr>
            <w:tcW w:w="2126" w:type="dxa"/>
            <w:vMerge/>
          </w:tcPr>
          <w:p w14:paraId="08C88E2D" w14:textId="77777777" w:rsidR="004634AE" w:rsidRPr="00A47BBF" w:rsidRDefault="004634AE" w:rsidP="00E86BC5">
            <w:pPr>
              <w:pStyle w:val="TableText"/>
              <w:rPr>
                <w:rStyle w:val="Strong"/>
                <w:color w:val="26292F"/>
                <w:sz w:val="20"/>
              </w:rPr>
            </w:pPr>
          </w:p>
        </w:tc>
        <w:tc>
          <w:tcPr>
            <w:tcW w:w="2835" w:type="dxa"/>
            <w:vMerge/>
          </w:tcPr>
          <w:p w14:paraId="1102FAB7" w14:textId="77777777" w:rsidR="004634AE" w:rsidRPr="00A47BBF" w:rsidRDefault="004634AE" w:rsidP="00E86BC5">
            <w:pPr>
              <w:pStyle w:val="TableText"/>
              <w:rPr>
                <w:sz w:val="20"/>
              </w:rPr>
            </w:pPr>
          </w:p>
        </w:tc>
        <w:tc>
          <w:tcPr>
            <w:tcW w:w="3402" w:type="dxa"/>
            <w:vMerge/>
          </w:tcPr>
          <w:p w14:paraId="3A58F1F5" w14:textId="77777777" w:rsidR="004634AE" w:rsidRPr="00A47BBF" w:rsidRDefault="004634AE" w:rsidP="00E86BC5">
            <w:pPr>
              <w:pStyle w:val="TableText"/>
              <w:rPr>
                <w:sz w:val="20"/>
              </w:rPr>
            </w:pPr>
          </w:p>
        </w:tc>
      </w:tr>
      <w:tr w:rsidR="004634AE" w:rsidRPr="00A47BBF" w14:paraId="329CA753" w14:textId="77777777" w:rsidTr="00E86BC5">
        <w:trPr>
          <w:trHeight w:val="612"/>
        </w:trPr>
        <w:tc>
          <w:tcPr>
            <w:tcW w:w="1838" w:type="dxa"/>
            <w:vMerge/>
          </w:tcPr>
          <w:p w14:paraId="1F17673D" w14:textId="77777777" w:rsidR="004634AE" w:rsidRPr="00A47BBF" w:rsidRDefault="004634AE" w:rsidP="00E86BC5">
            <w:pPr>
              <w:pStyle w:val="TableText"/>
              <w:rPr>
                <w:rStyle w:val="Strong"/>
                <w:rFonts w:eastAsia="MS Mincho"/>
                <w:sz w:val="20"/>
                <w:lang w:val="en-AU" w:eastAsia="en-AU"/>
              </w:rPr>
            </w:pPr>
          </w:p>
        </w:tc>
        <w:tc>
          <w:tcPr>
            <w:tcW w:w="2126" w:type="dxa"/>
            <w:vMerge/>
          </w:tcPr>
          <w:p w14:paraId="5FE05D63" w14:textId="77777777" w:rsidR="004634AE" w:rsidRPr="00A47BBF" w:rsidRDefault="004634AE" w:rsidP="00E86BC5">
            <w:pPr>
              <w:pStyle w:val="TableText"/>
              <w:rPr>
                <w:rStyle w:val="Strong"/>
                <w:color w:val="26292F"/>
                <w:sz w:val="20"/>
              </w:rPr>
            </w:pPr>
          </w:p>
        </w:tc>
        <w:tc>
          <w:tcPr>
            <w:tcW w:w="2835" w:type="dxa"/>
            <w:vMerge/>
          </w:tcPr>
          <w:p w14:paraId="3D6B7638" w14:textId="77777777" w:rsidR="004634AE" w:rsidRPr="00A47BBF" w:rsidRDefault="004634AE" w:rsidP="00E86BC5">
            <w:pPr>
              <w:pStyle w:val="TableText"/>
              <w:rPr>
                <w:sz w:val="20"/>
              </w:rPr>
            </w:pPr>
          </w:p>
        </w:tc>
        <w:tc>
          <w:tcPr>
            <w:tcW w:w="3402" w:type="dxa"/>
            <w:vMerge/>
          </w:tcPr>
          <w:p w14:paraId="5EA31D01" w14:textId="77777777" w:rsidR="004634AE" w:rsidRPr="00A47BBF" w:rsidRDefault="004634AE" w:rsidP="00E86BC5">
            <w:pPr>
              <w:pStyle w:val="TableText"/>
              <w:rPr>
                <w:sz w:val="20"/>
              </w:rPr>
            </w:pPr>
          </w:p>
        </w:tc>
      </w:tr>
      <w:tr w:rsidR="004634AE" w:rsidRPr="00A47BBF" w14:paraId="52F63A89" w14:textId="77777777" w:rsidTr="00E86BC5">
        <w:trPr>
          <w:trHeight w:val="907"/>
        </w:trPr>
        <w:tc>
          <w:tcPr>
            <w:tcW w:w="1838" w:type="dxa"/>
            <w:vMerge/>
          </w:tcPr>
          <w:p w14:paraId="3ECBED93" w14:textId="77777777" w:rsidR="004634AE" w:rsidRPr="00A47BBF" w:rsidRDefault="004634AE" w:rsidP="00E86BC5">
            <w:pPr>
              <w:pStyle w:val="TableText"/>
              <w:rPr>
                <w:b/>
                <w:bCs/>
                <w:sz w:val="20"/>
              </w:rPr>
            </w:pPr>
          </w:p>
        </w:tc>
        <w:tc>
          <w:tcPr>
            <w:tcW w:w="2126" w:type="dxa"/>
            <w:vMerge/>
          </w:tcPr>
          <w:p w14:paraId="3065F2C0" w14:textId="77777777" w:rsidR="004634AE" w:rsidRPr="00A47BBF" w:rsidRDefault="004634AE" w:rsidP="00E86BC5">
            <w:pPr>
              <w:pStyle w:val="TableText"/>
              <w:rPr>
                <w:sz w:val="20"/>
              </w:rPr>
            </w:pPr>
          </w:p>
        </w:tc>
        <w:tc>
          <w:tcPr>
            <w:tcW w:w="2835" w:type="dxa"/>
            <w:vMerge/>
          </w:tcPr>
          <w:p w14:paraId="521E7B21" w14:textId="77777777" w:rsidR="004634AE" w:rsidRPr="00A47BBF" w:rsidRDefault="004634AE" w:rsidP="00E86BC5">
            <w:pPr>
              <w:pStyle w:val="TableText"/>
              <w:rPr>
                <w:sz w:val="20"/>
              </w:rPr>
            </w:pPr>
          </w:p>
        </w:tc>
        <w:tc>
          <w:tcPr>
            <w:tcW w:w="3402" w:type="dxa"/>
          </w:tcPr>
          <w:p w14:paraId="7666707C" w14:textId="77777777" w:rsidR="004634AE" w:rsidRPr="00A47BBF" w:rsidRDefault="1FF11608" w:rsidP="00E86BC5">
            <w:pPr>
              <w:pStyle w:val="TableText"/>
              <w:rPr>
                <w:sz w:val="20"/>
              </w:rPr>
            </w:pPr>
            <w:r w:rsidRPr="00A47BBF">
              <w:rPr>
                <w:sz w:val="20"/>
              </w:rPr>
              <w:t>Instances of programs attracting strategic partnerships that advance the priority human rights issues we have advocated for.</w:t>
            </w:r>
          </w:p>
        </w:tc>
      </w:tr>
      <w:tr w:rsidR="004634AE" w:rsidRPr="00A47BBF" w14:paraId="17CC7569" w14:textId="77777777" w:rsidTr="00E86BC5">
        <w:trPr>
          <w:trHeight w:val="1257"/>
        </w:trPr>
        <w:tc>
          <w:tcPr>
            <w:tcW w:w="1838" w:type="dxa"/>
            <w:vMerge/>
          </w:tcPr>
          <w:p w14:paraId="4B306C6A" w14:textId="77777777" w:rsidR="004634AE" w:rsidRPr="00A47BBF" w:rsidRDefault="004634AE" w:rsidP="00E86BC5">
            <w:pPr>
              <w:pStyle w:val="TableText"/>
              <w:rPr>
                <w:b/>
                <w:bCs/>
                <w:sz w:val="20"/>
              </w:rPr>
            </w:pPr>
          </w:p>
        </w:tc>
        <w:tc>
          <w:tcPr>
            <w:tcW w:w="2126" w:type="dxa"/>
            <w:vMerge/>
          </w:tcPr>
          <w:p w14:paraId="1BBC05C3" w14:textId="77777777" w:rsidR="004634AE" w:rsidRPr="00A47BBF" w:rsidRDefault="004634AE" w:rsidP="00E86BC5">
            <w:pPr>
              <w:pStyle w:val="TableText"/>
              <w:rPr>
                <w:sz w:val="20"/>
              </w:rPr>
            </w:pPr>
          </w:p>
        </w:tc>
        <w:tc>
          <w:tcPr>
            <w:tcW w:w="2835" w:type="dxa"/>
            <w:vMerge/>
          </w:tcPr>
          <w:p w14:paraId="1735C8DB" w14:textId="77777777" w:rsidR="004634AE" w:rsidRPr="00A47BBF" w:rsidRDefault="004634AE" w:rsidP="00E86BC5">
            <w:pPr>
              <w:pStyle w:val="TableText"/>
              <w:rPr>
                <w:sz w:val="20"/>
              </w:rPr>
            </w:pPr>
          </w:p>
        </w:tc>
        <w:tc>
          <w:tcPr>
            <w:tcW w:w="3402" w:type="dxa"/>
          </w:tcPr>
          <w:p w14:paraId="05674A2F" w14:textId="77777777" w:rsidR="004634AE" w:rsidRPr="00A47BBF" w:rsidRDefault="1FF11608" w:rsidP="00E86BC5">
            <w:pPr>
              <w:pStyle w:val="TableText"/>
              <w:rPr>
                <w:sz w:val="20"/>
              </w:rPr>
            </w:pPr>
            <w:r w:rsidRPr="00A47BBF">
              <w:rPr>
                <w:sz w:val="20"/>
              </w:rPr>
              <w:t>Instances of improved Federal and state government policy, practice and legislative change that reflect our advice.</w:t>
            </w:r>
          </w:p>
          <w:p w14:paraId="6695B1A2" w14:textId="77777777" w:rsidR="004634AE" w:rsidRPr="00A47BBF" w:rsidRDefault="1FF11608" w:rsidP="00E86BC5">
            <w:pPr>
              <w:pStyle w:val="TableText"/>
              <w:rPr>
                <w:rStyle w:val="Strong"/>
                <w:sz w:val="20"/>
              </w:rPr>
            </w:pPr>
            <w:r w:rsidRPr="00A47BBF">
              <w:rPr>
                <w:sz w:val="20"/>
              </w:rPr>
              <w:t xml:space="preserve">High proportion of Committee inquiry reports reflect and cite the Commission’s advice. </w:t>
            </w:r>
            <w:r w:rsidRPr="00E86BC5">
              <w:rPr>
                <w:rStyle w:val="Strong"/>
              </w:rPr>
              <w:t>[PBS target]</w:t>
            </w:r>
          </w:p>
        </w:tc>
      </w:tr>
      <w:tr w:rsidR="004634AE" w:rsidRPr="00A47BBF" w14:paraId="41128DEB" w14:textId="77777777" w:rsidTr="00E86BC5">
        <w:trPr>
          <w:trHeight w:val="1296"/>
        </w:trPr>
        <w:tc>
          <w:tcPr>
            <w:tcW w:w="1838" w:type="dxa"/>
            <w:vMerge/>
          </w:tcPr>
          <w:p w14:paraId="19C103A8" w14:textId="77777777" w:rsidR="004634AE" w:rsidRPr="00A47BBF" w:rsidRDefault="004634AE" w:rsidP="00E86BC5">
            <w:pPr>
              <w:pStyle w:val="TableText"/>
              <w:rPr>
                <w:b/>
                <w:bCs/>
                <w:sz w:val="20"/>
              </w:rPr>
            </w:pPr>
          </w:p>
        </w:tc>
        <w:tc>
          <w:tcPr>
            <w:tcW w:w="2117" w:type="dxa"/>
            <w:vMerge w:val="restart"/>
          </w:tcPr>
          <w:p w14:paraId="1CB5F496" w14:textId="77777777" w:rsidR="004634AE" w:rsidRPr="00A47BBF" w:rsidRDefault="1FF11608" w:rsidP="00E86BC5">
            <w:pPr>
              <w:pStyle w:val="TableText"/>
              <w:rPr>
                <w:sz w:val="20"/>
              </w:rPr>
            </w:pPr>
            <w:r w:rsidRPr="00E86BC5">
              <w:rPr>
                <w:rStyle w:val="Strong"/>
              </w:rPr>
              <w:t>2.2</w:t>
            </w:r>
            <w:r w:rsidRPr="00A47BBF">
              <w:rPr>
                <w:sz w:val="20"/>
              </w:rPr>
              <w:t xml:space="preserve"> Law and policy makers, at all levels, consider and address the human rights impacts we identify through our submissions, inquiries, research, reports and United Nations engagement.</w:t>
            </w:r>
          </w:p>
          <w:p w14:paraId="0B74ECF2" w14:textId="77777777" w:rsidR="004634AE" w:rsidRPr="00E86BC5" w:rsidRDefault="1FF11608" w:rsidP="00E86BC5">
            <w:pPr>
              <w:pStyle w:val="TableText"/>
              <w:rPr>
                <w:rStyle w:val="Strong"/>
              </w:rPr>
            </w:pPr>
            <w:r w:rsidRPr="00E86BC5">
              <w:rPr>
                <w:rStyle w:val="Strong"/>
              </w:rPr>
              <w:t>[PBS criterion]</w:t>
            </w:r>
          </w:p>
        </w:tc>
        <w:tc>
          <w:tcPr>
            <w:tcW w:w="2844" w:type="dxa"/>
            <w:vMerge w:val="restart"/>
          </w:tcPr>
          <w:p w14:paraId="1FB2BA36" w14:textId="77777777" w:rsidR="004634AE" w:rsidRPr="00A47BBF" w:rsidRDefault="1FF11608" w:rsidP="00E86BC5">
            <w:pPr>
              <w:pStyle w:val="TableText"/>
              <w:rPr>
                <w:sz w:val="20"/>
              </w:rPr>
            </w:pPr>
            <w:r w:rsidRPr="00A47BBF">
              <w:rPr>
                <w:sz w:val="20"/>
              </w:rPr>
              <w:t>Parliamentary committee inquiry reports reflect the human rights issues raised in our submissions and recommendations.</w:t>
            </w:r>
          </w:p>
          <w:p w14:paraId="269E693C" w14:textId="77777777" w:rsidR="004634AE" w:rsidRPr="00A47BBF" w:rsidRDefault="1FF11608" w:rsidP="00E86BC5">
            <w:pPr>
              <w:pStyle w:val="TableText"/>
              <w:rPr>
                <w:sz w:val="20"/>
              </w:rPr>
            </w:pPr>
            <w:r w:rsidRPr="00A47BBF">
              <w:rPr>
                <w:sz w:val="20"/>
              </w:rPr>
              <w:t>UN treaty body concluding observations and UPR recommendations are adopted by Government and implemented.</w:t>
            </w:r>
          </w:p>
          <w:p w14:paraId="2637DE71" w14:textId="77777777" w:rsidR="004634AE" w:rsidRPr="00A47BBF" w:rsidRDefault="1FF11608" w:rsidP="00E86BC5">
            <w:pPr>
              <w:pStyle w:val="TableText"/>
              <w:rPr>
                <w:sz w:val="20"/>
              </w:rPr>
            </w:pPr>
            <w:r w:rsidRPr="00A47BBF">
              <w:rPr>
                <w:sz w:val="20"/>
              </w:rPr>
              <w:t>Arguments presented in our submissions to courts influence outcomes in a way that is consistent with human rights.</w:t>
            </w:r>
          </w:p>
        </w:tc>
        <w:tc>
          <w:tcPr>
            <w:tcW w:w="3402" w:type="dxa"/>
          </w:tcPr>
          <w:p w14:paraId="485D5F01" w14:textId="77777777" w:rsidR="004634AE" w:rsidRPr="00A47BBF" w:rsidRDefault="1FF11608" w:rsidP="00E86BC5">
            <w:pPr>
              <w:pStyle w:val="TableText"/>
              <w:rPr>
                <w:rStyle w:val="Strong"/>
                <w:sz w:val="20"/>
              </w:rPr>
            </w:pPr>
            <w:r w:rsidRPr="00A47BBF">
              <w:rPr>
                <w:sz w:val="20"/>
              </w:rPr>
              <w:t xml:space="preserve">High proportion of Committee inquiry reports reflect and cite the Commission’s advice. </w:t>
            </w:r>
            <w:r w:rsidRPr="00E86BC5">
              <w:rPr>
                <w:rStyle w:val="Strong"/>
              </w:rPr>
              <w:t>[PBS target]</w:t>
            </w:r>
          </w:p>
        </w:tc>
      </w:tr>
      <w:tr w:rsidR="004634AE" w:rsidRPr="00A47BBF" w14:paraId="0650FBEC" w14:textId="77777777" w:rsidTr="00E86BC5">
        <w:trPr>
          <w:trHeight w:val="1149"/>
        </w:trPr>
        <w:tc>
          <w:tcPr>
            <w:tcW w:w="1838" w:type="dxa"/>
            <w:vMerge/>
          </w:tcPr>
          <w:p w14:paraId="7FDB4111" w14:textId="77777777" w:rsidR="004634AE" w:rsidRPr="00A47BBF" w:rsidRDefault="004634AE" w:rsidP="00E86BC5">
            <w:pPr>
              <w:pStyle w:val="TableText"/>
              <w:rPr>
                <w:b/>
                <w:bCs/>
                <w:sz w:val="20"/>
              </w:rPr>
            </w:pPr>
          </w:p>
        </w:tc>
        <w:tc>
          <w:tcPr>
            <w:tcW w:w="2117" w:type="dxa"/>
            <w:vMerge/>
          </w:tcPr>
          <w:p w14:paraId="195C1B12" w14:textId="77777777" w:rsidR="004634AE" w:rsidRPr="00A47BBF" w:rsidRDefault="004634AE" w:rsidP="00E86BC5">
            <w:pPr>
              <w:pStyle w:val="TableText"/>
              <w:rPr>
                <w:sz w:val="20"/>
              </w:rPr>
            </w:pPr>
          </w:p>
        </w:tc>
        <w:tc>
          <w:tcPr>
            <w:tcW w:w="2844" w:type="dxa"/>
            <w:vMerge/>
          </w:tcPr>
          <w:p w14:paraId="7D87389C" w14:textId="77777777" w:rsidR="004634AE" w:rsidRPr="00A47BBF" w:rsidRDefault="004634AE" w:rsidP="00E86BC5">
            <w:pPr>
              <w:pStyle w:val="TableText"/>
              <w:rPr>
                <w:sz w:val="20"/>
              </w:rPr>
            </w:pPr>
          </w:p>
        </w:tc>
        <w:tc>
          <w:tcPr>
            <w:tcW w:w="3402" w:type="dxa"/>
          </w:tcPr>
          <w:p w14:paraId="4793A5EB" w14:textId="77777777" w:rsidR="004634AE" w:rsidRPr="00A47BBF" w:rsidRDefault="1FF11608" w:rsidP="00E86BC5">
            <w:pPr>
              <w:pStyle w:val="TableText"/>
              <w:rPr>
                <w:sz w:val="20"/>
              </w:rPr>
            </w:pPr>
            <w:r w:rsidRPr="00A47BBF">
              <w:rPr>
                <w:sz w:val="20"/>
              </w:rPr>
              <w:t>Instances of our recommendations to UN mechanisms being reflected in treaty body concluding observations and other reports.</w:t>
            </w:r>
          </w:p>
        </w:tc>
      </w:tr>
      <w:tr w:rsidR="004634AE" w:rsidRPr="00A47BBF" w14:paraId="17671EC0" w14:textId="77777777" w:rsidTr="00E86BC5">
        <w:trPr>
          <w:trHeight w:val="723"/>
        </w:trPr>
        <w:tc>
          <w:tcPr>
            <w:tcW w:w="1838" w:type="dxa"/>
            <w:vMerge/>
          </w:tcPr>
          <w:p w14:paraId="6BDD2E26" w14:textId="77777777" w:rsidR="004634AE" w:rsidRPr="00A47BBF" w:rsidRDefault="004634AE" w:rsidP="00E86BC5">
            <w:pPr>
              <w:pStyle w:val="TableText"/>
              <w:rPr>
                <w:b/>
                <w:bCs/>
                <w:sz w:val="20"/>
              </w:rPr>
            </w:pPr>
          </w:p>
        </w:tc>
        <w:tc>
          <w:tcPr>
            <w:tcW w:w="2117" w:type="dxa"/>
            <w:vMerge/>
          </w:tcPr>
          <w:p w14:paraId="1F406875" w14:textId="77777777" w:rsidR="004634AE" w:rsidRPr="00A47BBF" w:rsidRDefault="004634AE" w:rsidP="00E86BC5">
            <w:pPr>
              <w:pStyle w:val="TableText"/>
              <w:rPr>
                <w:sz w:val="20"/>
              </w:rPr>
            </w:pPr>
          </w:p>
        </w:tc>
        <w:tc>
          <w:tcPr>
            <w:tcW w:w="2844" w:type="dxa"/>
            <w:vMerge/>
          </w:tcPr>
          <w:p w14:paraId="04F425B4" w14:textId="77777777" w:rsidR="004634AE" w:rsidRPr="00A47BBF" w:rsidRDefault="004634AE" w:rsidP="00E86BC5">
            <w:pPr>
              <w:pStyle w:val="TableText"/>
              <w:rPr>
                <w:sz w:val="20"/>
              </w:rPr>
            </w:pPr>
          </w:p>
        </w:tc>
        <w:tc>
          <w:tcPr>
            <w:tcW w:w="3402" w:type="dxa"/>
          </w:tcPr>
          <w:p w14:paraId="25570BA9" w14:textId="77777777" w:rsidR="004634AE" w:rsidRPr="00A47BBF" w:rsidRDefault="1FF11608" w:rsidP="00E86BC5">
            <w:pPr>
              <w:pStyle w:val="TableText"/>
              <w:rPr>
                <w:rStyle w:val="Strong"/>
                <w:sz w:val="20"/>
              </w:rPr>
            </w:pPr>
            <w:r w:rsidRPr="00A47BBF">
              <w:rPr>
                <w:sz w:val="20"/>
              </w:rPr>
              <w:t xml:space="preserve">Majority of our applications to the courts for leave to appear are accepted. </w:t>
            </w:r>
            <w:r w:rsidRPr="00E86BC5">
              <w:rPr>
                <w:rStyle w:val="Strong"/>
              </w:rPr>
              <w:t>[PBS target]</w:t>
            </w:r>
          </w:p>
        </w:tc>
      </w:tr>
      <w:tr w:rsidR="004634AE" w:rsidRPr="00A47BBF" w14:paraId="313CED65" w14:textId="77777777" w:rsidTr="00E86BC5">
        <w:trPr>
          <w:trHeight w:val="511"/>
        </w:trPr>
        <w:tc>
          <w:tcPr>
            <w:tcW w:w="1838" w:type="dxa"/>
            <w:vMerge/>
          </w:tcPr>
          <w:p w14:paraId="6A1362BF" w14:textId="77777777" w:rsidR="004634AE" w:rsidRPr="00A47BBF" w:rsidRDefault="004634AE" w:rsidP="00E86BC5">
            <w:pPr>
              <w:pStyle w:val="TableText"/>
              <w:rPr>
                <w:b/>
                <w:bCs/>
                <w:sz w:val="20"/>
              </w:rPr>
            </w:pPr>
          </w:p>
        </w:tc>
        <w:tc>
          <w:tcPr>
            <w:tcW w:w="2117" w:type="dxa"/>
            <w:vMerge/>
          </w:tcPr>
          <w:p w14:paraId="04C01FAB" w14:textId="77777777" w:rsidR="004634AE" w:rsidRPr="00A47BBF" w:rsidRDefault="004634AE" w:rsidP="00E86BC5">
            <w:pPr>
              <w:pStyle w:val="TableText"/>
              <w:rPr>
                <w:sz w:val="20"/>
              </w:rPr>
            </w:pPr>
          </w:p>
        </w:tc>
        <w:tc>
          <w:tcPr>
            <w:tcW w:w="2844" w:type="dxa"/>
            <w:vMerge/>
          </w:tcPr>
          <w:p w14:paraId="598B9446" w14:textId="77777777" w:rsidR="004634AE" w:rsidRPr="00A47BBF" w:rsidRDefault="004634AE" w:rsidP="00E86BC5">
            <w:pPr>
              <w:pStyle w:val="TableText"/>
              <w:rPr>
                <w:sz w:val="20"/>
              </w:rPr>
            </w:pPr>
          </w:p>
        </w:tc>
        <w:tc>
          <w:tcPr>
            <w:tcW w:w="3402" w:type="dxa"/>
          </w:tcPr>
          <w:p w14:paraId="5AC42143" w14:textId="77777777" w:rsidR="004634AE" w:rsidRPr="00A47BBF" w:rsidRDefault="1FF11608" w:rsidP="00E86BC5">
            <w:pPr>
              <w:pStyle w:val="TableText"/>
              <w:rPr>
                <w:rStyle w:val="Strong"/>
                <w:sz w:val="20"/>
              </w:rPr>
            </w:pPr>
            <w:r w:rsidRPr="00A47BBF">
              <w:rPr>
                <w:sz w:val="20"/>
              </w:rPr>
              <w:t xml:space="preserve">Instances of our court submissions reflected in the final judgment of the matter. </w:t>
            </w:r>
            <w:r w:rsidRPr="00E86BC5">
              <w:rPr>
                <w:rStyle w:val="Strong"/>
              </w:rPr>
              <w:t>[PBS target]</w:t>
            </w:r>
          </w:p>
        </w:tc>
      </w:tr>
      <w:tr w:rsidR="004634AE" w:rsidRPr="00A47BBF" w14:paraId="7C76CE56" w14:textId="77777777" w:rsidTr="00E86BC5">
        <w:trPr>
          <w:trHeight w:val="1447"/>
        </w:trPr>
        <w:tc>
          <w:tcPr>
            <w:tcW w:w="1838" w:type="dxa"/>
            <w:vMerge/>
          </w:tcPr>
          <w:p w14:paraId="096BFE4E" w14:textId="77777777" w:rsidR="004634AE" w:rsidRPr="00A47BBF" w:rsidRDefault="004634AE" w:rsidP="00E86BC5">
            <w:pPr>
              <w:pStyle w:val="TableText"/>
              <w:rPr>
                <w:b/>
                <w:bCs/>
                <w:sz w:val="20"/>
              </w:rPr>
            </w:pPr>
          </w:p>
        </w:tc>
        <w:tc>
          <w:tcPr>
            <w:tcW w:w="2117" w:type="dxa"/>
          </w:tcPr>
          <w:p w14:paraId="0F07BC2C" w14:textId="77777777" w:rsidR="004634AE" w:rsidRPr="00A47BBF" w:rsidRDefault="1FF11608" w:rsidP="00E86BC5">
            <w:pPr>
              <w:pStyle w:val="TableText"/>
              <w:rPr>
                <w:sz w:val="20"/>
              </w:rPr>
            </w:pPr>
            <w:r w:rsidRPr="00A47BBF">
              <w:rPr>
                <w:b/>
                <w:sz w:val="20"/>
              </w:rPr>
              <w:t>2.3</w:t>
            </w:r>
            <w:r w:rsidRPr="00A47BBF">
              <w:rPr>
                <w:sz w:val="20"/>
              </w:rPr>
              <w:t xml:space="preserve"> The national human rights reform agenda proposed in the </w:t>
            </w:r>
            <w:r w:rsidRPr="00A47BBF">
              <w:rPr>
                <w:rStyle w:val="Emphasis"/>
                <w:sz w:val="20"/>
              </w:rPr>
              <w:t>Free &amp; Equal: An Australian conversation on human rights</w:t>
            </w:r>
            <w:r w:rsidRPr="00A47BBF">
              <w:rPr>
                <w:sz w:val="20"/>
              </w:rPr>
              <w:t xml:space="preserve"> report is considered and addressed by the Parliament, government and the non-government sector.</w:t>
            </w:r>
          </w:p>
        </w:tc>
        <w:tc>
          <w:tcPr>
            <w:tcW w:w="2844" w:type="dxa"/>
          </w:tcPr>
          <w:p w14:paraId="36CAA28D" w14:textId="77777777" w:rsidR="004634AE" w:rsidRPr="00A47BBF" w:rsidRDefault="1FF11608" w:rsidP="00E86BC5">
            <w:pPr>
              <w:pStyle w:val="TableText"/>
              <w:rPr>
                <w:sz w:val="20"/>
              </w:rPr>
            </w:pPr>
            <w:r w:rsidRPr="00A47BBF">
              <w:rPr>
                <w:sz w:val="20"/>
              </w:rPr>
              <w:t>Recommendations and actions in the report are addressed by the Attorney-General and Federal Parliament. The recommendations and actions in the Report receive public support and commitment from the Attorney-General and the non-government sector.</w:t>
            </w:r>
          </w:p>
        </w:tc>
        <w:tc>
          <w:tcPr>
            <w:tcW w:w="3402" w:type="dxa"/>
          </w:tcPr>
          <w:p w14:paraId="16CAC867" w14:textId="77777777" w:rsidR="004634AE" w:rsidRPr="00A47BBF" w:rsidRDefault="1FF11608" w:rsidP="00E86BC5">
            <w:pPr>
              <w:pStyle w:val="TableText"/>
              <w:rPr>
                <w:sz w:val="20"/>
              </w:rPr>
            </w:pPr>
            <w:r w:rsidRPr="00A47BBF">
              <w:rPr>
                <w:sz w:val="20"/>
              </w:rPr>
              <w:t>The recommendations and actions in the report generate dialogue and receive public support and commitment from the Attorney-General and the non-government sector.</w:t>
            </w:r>
          </w:p>
        </w:tc>
      </w:tr>
      <w:tr w:rsidR="004634AE" w:rsidRPr="00A47BBF" w14:paraId="3B9E3C5F" w14:textId="77777777" w:rsidTr="00E86BC5">
        <w:trPr>
          <w:trHeight w:val="1231"/>
        </w:trPr>
        <w:tc>
          <w:tcPr>
            <w:tcW w:w="1838" w:type="dxa"/>
            <w:vMerge w:val="restart"/>
          </w:tcPr>
          <w:p w14:paraId="74D6BEE9" w14:textId="77777777" w:rsidR="004634AE" w:rsidRPr="00A47BBF" w:rsidRDefault="1FF11608" w:rsidP="00E86BC5">
            <w:pPr>
              <w:pStyle w:val="TableText"/>
              <w:rPr>
                <w:sz w:val="20"/>
              </w:rPr>
            </w:pPr>
            <w:r w:rsidRPr="00E86BC5">
              <w:rPr>
                <w:rStyle w:val="Strong"/>
              </w:rPr>
              <w:t>3</w:t>
            </w:r>
            <w:r w:rsidRPr="00A47BBF">
              <w:rPr>
                <w:sz w:val="20"/>
              </w:rPr>
              <w:t xml:space="preserve"> Better understanding of, and respect for, human rights so people and communities take action to defend human rights in their own context.</w:t>
            </w:r>
          </w:p>
        </w:tc>
        <w:tc>
          <w:tcPr>
            <w:tcW w:w="2117" w:type="dxa"/>
            <w:vMerge w:val="restart"/>
          </w:tcPr>
          <w:p w14:paraId="6D66F2A5" w14:textId="77777777" w:rsidR="004634AE" w:rsidRPr="00A47BBF" w:rsidRDefault="1FF11608" w:rsidP="00E86BC5">
            <w:pPr>
              <w:pStyle w:val="TableText"/>
              <w:rPr>
                <w:rStyle w:val="Strong"/>
                <w:color w:val="26292F"/>
                <w:sz w:val="20"/>
              </w:rPr>
            </w:pPr>
            <w:r w:rsidRPr="00E86BC5">
              <w:rPr>
                <w:rStyle w:val="Strong"/>
              </w:rPr>
              <w:t>3.1</w:t>
            </w:r>
            <w:r w:rsidRPr="00A47BBF">
              <w:rPr>
                <w:sz w:val="20"/>
              </w:rPr>
              <w:t xml:space="preserve"> Our education activities increase capability among individuals, communities and organisations to promote and protect human rights and address discrimination. </w:t>
            </w:r>
            <w:r w:rsidRPr="00E86BC5">
              <w:rPr>
                <w:rStyle w:val="Strong"/>
              </w:rPr>
              <w:t>[PBS criterion]</w:t>
            </w:r>
          </w:p>
        </w:tc>
        <w:tc>
          <w:tcPr>
            <w:tcW w:w="2844" w:type="dxa"/>
            <w:vMerge w:val="restart"/>
          </w:tcPr>
          <w:p w14:paraId="2177837A" w14:textId="77777777" w:rsidR="004634AE" w:rsidRPr="00A47BBF" w:rsidRDefault="1FF11608" w:rsidP="00E86BC5">
            <w:pPr>
              <w:pStyle w:val="TableText"/>
              <w:rPr>
                <w:sz w:val="20"/>
              </w:rPr>
            </w:pPr>
            <w:r w:rsidRPr="00A47BBF">
              <w:rPr>
                <w:sz w:val="20"/>
              </w:rPr>
              <w:t>Participants in education activities benefit through achieving the intended human rights learning and capability objectives.</w:t>
            </w:r>
          </w:p>
          <w:p w14:paraId="00FBA994" w14:textId="77777777" w:rsidR="004634AE" w:rsidRPr="00A47BBF" w:rsidRDefault="1FF11608" w:rsidP="00E86BC5">
            <w:pPr>
              <w:pStyle w:val="TableText"/>
              <w:rPr>
                <w:sz w:val="20"/>
              </w:rPr>
            </w:pPr>
            <w:r w:rsidRPr="00A47BBF">
              <w:rPr>
                <w:sz w:val="20"/>
              </w:rPr>
              <w:t>Most participants in our adult training programs report:</w:t>
            </w:r>
          </w:p>
          <w:p w14:paraId="51A54677" w14:textId="77777777" w:rsidR="004634AE" w:rsidRPr="00A47BBF" w:rsidRDefault="1FF11608" w:rsidP="00E86BC5">
            <w:pPr>
              <w:pStyle w:val="TableText"/>
              <w:rPr>
                <w:sz w:val="20"/>
              </w:rPr>
            </w:pPr>
            <w:r w:rsidRPr="00A47BBF">
              <w:rPr>
                <w:sz w:val="20"/>
              </w:rPr>
              <w:t xml:space="preserve">satisfaction with the quality and relevance of the training </w:t>
            </w:r>
          </w:p>
          <w:p w14:paraId="4C8D29CF" w14:textId="77777777" w:rsidR="004634AE" w:rsidRPr="00A47BBF" w:rsidRDefault="1FF11608" w:rsidP="00E86BC5">
            <w:pPr>
              <w:pStyle w:val="TableText"/>
              <w:rPr>
                <w:rStyle w:val="Strong"/>
                <w:sz w:val="20"/>
                <w:lang w:val="en-AU" w:eastAsia="en-AU"/>
              </w:rPr>
            </w:pPr>
            <w:r w:rsidRPr="00A47BBF">
              <w:rPr>
                <w:sz w:val="20"/>
              </w:rPr>
              <w:t xml:space="preserve">increased understanding, expertise, reframed attitudes. </w:t>
            </w:r>
            <w:r w:rsidRPr="00E86BC5">
              <w:rPr>
                <w:rStyle w:val="Strong"/>
              </w:rPr>
              <w:t>[PBS target]</w:t>
            </w:r>
          </w:p>
        </w:tc>
        <w:tc>
          <w:tcPr>
            <w:tcW w:w="3402" w:type="dxa"/>
          </w:tcPr>
          <w:p w14:paraId="5E89C2B0" w14:textId="77777777" w:rsidR="004634AE" w:rsidRPr="00A47BBF" w:rsidRDefault="1FF11608" w:rsidP="00E86BC5">
            <w:pPr>
              <w:pStyle w:val="TableText"/>
              <w:rPr>
                <w:sz w:val="20"/>
              </w:rPr>
            </w:pPr>
            <w:r w:rsidRPr="00A47BBF">
              <w:rPr>
                <w:sz w:val="20"/>
              </w:rPr>
              <w:t>Most participants in our adult training programs report:</w:t>
            </w:r>
          </w:p>
          <w:p w14:paraId="65FEC7A1" w14:textId="77777777" w:rsidR="004634AE" w:rsidRPr="00A47BBF" w:rsidRDefault="1FF11608" w:rsidP="00E86BC5">
            <w:pPr>
              <w:pStyle w:val="TableText"/>
              <w:rPr>
                <w:sz w:val="20"/>
              </w:rPr>
            </w:pPr>
            <w:r w:rsidRPr="00A47BBF">
              <w:rPr>
                <w:sz w:val="20"/>
              </w:rPr>
              <w:t xml:space="preserve">satisfaction with the quality and relevance of the training </w:t>
            </w:r>
          </w:p>
          <w:p w14:paraId="20E63C26" w14:textId="60579676" w:rsidR="004634AE" w:rsidRPr="00E86BC5" w:rsidRDefault="1FF11608" w:rsidP="00E86BC5">
            <w:pPr>
              <w:pStyle w:val="TableText"/>
              <w:rPr>
                <w:rStyle w:val="Strong"/>
                <w:b w:val="0"/>
                <w:bCs w:val="0"/>
                <w:sz w:val="20"/>
              </w:rPr>
            </w:pPr>
            <w:r w:rsidRPr="00A47BBF">
              <w:rPr>
                <w:sz w:val="20"/>
              </w:rPr>
              <w:t xml:space="preserve">increased understanding, expertise, reframed attitudes. </w:t>
            </w:r>
            <w:r w:rsidRPr="00E86BC5">
              <w:rPr>
                <w:rStyle w:val="Strong"/>
              </w:rPr>
              <w:t>[PBS target]</w:t>
            </w:r>
          </w:p>
        </w:tc>
      </w:tr>
      <w:tr w:rsidR="004634AE" w:rsidRPr="00A47BBF" w14:paraId="5D0F22E3" w14:textId="77777777" w:rsidTr="00E86BC5">
        <w:trPr>
          <w:trHeight w:val="786"/>
        </w:trPr>
        <w:tc>
          <w:tcPr>
            <w:tcW w:w="1838" w:type="dxa"/>
            <w:vMerge/>
          </w:tcPr>
          <w:p w14:paraId="407ED5B0" w14:textId="77777777" w:rsidR="004634AE" w:rsidRPr="00A47BBF" w:rsidRDefault="004634AE" w:rsidP="00E86BC5">
            <w:pPr>
              <w:pStyle w:val="TableText"/>
              <w:rPr>
                <w:sz w:val="20"/>
              </w:rPr>
            </w:pPr>
          </w:p>
        </w:tc>
        <w:tc>
          <w:tcPr>
            <w:tcW w:w="2117" w:type="dxa"/>
            <w:vMerge/>
          </w:tcPr>
          <w:p w14:paraId="5CD89E39" w14:textId="77777777" w:rsidR="004634AE" w:rsidRPr="00A47BBF" w:rsidRDefault="004634AE" w:rsidP="00E86BC5">
            <w:pPr>
              <w:pStyle w:val="TableText"/>
              <w:rPr>
                <w:b/>
                <w:bCs/>
                <w:sz w:val="20"/>
              </w:rPr>
            </w:pPr>
          </w:p>
        </w:tc>
        <w:tc>
          <w:tcPr>
            <w:tcW w:w="2844" w:type="dxa"/>
            <w:vMerge/>
          </w:tcPr>
          <w:p w14:paraId="7D3AD003" w14:textId="77777777" w:rsidR="004634AE" w:rsidRPr="00A47BBF" w:rsidRDefault="004634AE" w:rsidP="00E86BC5">
            <w:pPr>
              <w:pStyle w:val="TableText"/>
              <w:rPr>
                <w:sz w:val="20"/>
              </w:rPr>
            </w:pPr>
          </w:p>
        </w:tc>
        <w:tc>
          <w:tcPr>
            <w:tcW w:w="3402" w:type="dxa"/>
          </w:tcPr>
          <w:p w14:paraId="544B0517" w14:textId="77777777" w:rsidR="004634AE" w:rsidRPr="00A47BBF" w:rsidRDefault="1FF11608" w:rsidP="00E86BC5">
            <w:pPr>
              <w:pStyle w:val="TableText"/>
              <w:rPr>
                <w:sz w:val="20"/>
              </w:rPr>
            </w:pPr>
            <w:r w:rsidRPr="00A47BBF">
              <w:rPr>
                <w:sz w:val="20"/>
              </w:rPr>
              <w:t>Instances of organisations working with the Commission to develop human rights education/ training activities.</w:t>
            </w:r>
          </w:p>
        </w:tc>
      </w:tr>
      <w:tr w:rsidR="004634AE" w:rsidRPr="00A47BBF" w14:paraId="177B26D0" w14:textId="77777777" w:rsidTr="00E86BC5">
        <w:trPr>
          <w:trHeight w:val="2188"/>
        </w:trPr>
        <w:tc>
          <w:tcPr>
            <w:tcW w:w="1838" w:type="dxa"/>
            <w:vMerge/>
          </w:tcPr>
          <w:p w14:paraId="28BA4F02" w14:textId="77777777" w:rsidR="004634AE" w:rsidRPr="00A47BBF" w:rsidRDefault="004634AE" w:rsidP="00E86BC5">
            <w:pPr>
              <w:pStyle w:val="TableText"/>
              <w:rPr>
                <w:sz w:val="20"/>
              </w:rPr>
            </w:pPr>
          </w:p>
        </w:tc>
        <w:tc>
          <w:tcPr>
            <w:tcW w:w="2117" w:type="dxa"/>
          </w:tcPr>
          <w:p w14:paraId="0E75D2D3" w14:textId="77777777" w:rsidR="004634AE" w:rsidRPr="00A47BBF" w:rsidRDefault="1FF11608" w:rsidP="00E86BC5">
            <w:pPr>
              <w:pStyle w:val="TableText"/>
              <w:rPr>
                <w:rStyle w:val="Strong"/>
                <w:sz w:val="20"/>
              </w:rPr>
            </w:pPr>
            <w:r w:rsidRPr="00E86BC5">
              <w:rPr>
                <w:rStyle w:val="Strong"/>
              </w:rPr>
              <w:t>3.2</w:t>
            </w:r>
            <w:r w:rsidRPr="00A47BBF">
              <w:rPr>
                <w:sz w:val="20"/>
              </w:rPr>
              <w:t xml:space="preserve"> Our education activities increase capability among individuals, communities and organisations to promote and protect human rights and address discrimination. </w:t>
            </w:r>
            <w:r w:rsidRPr="00E86BC5">
              <w:rPr>
                <w:rStyle w:val="Strong"/>
              </w:rPr>
              <w:t>[PBS criterion]</w:t>
            </w:r>
          </w:p>
        </w:tc>
        <w:tc>
          <w:tcPr>
            <w:tcW w:w="2844" w:type="dxa"/>
          </w:tcPr>
          <w:p w14:paraId="5925ACFC" w14:textId="77777777" w:rsidR="004634AE" w:rsidRPr="00A47BBF" w:rsidRDefault="1FF11608" w:rsidP="00E86BC5">
            <w:pPr>
              <w:pStyle w:val="TableText"/>
              <w:rPr>
                <w:sz w:val="20"/>
              </w:rPr>
            </w:pPr>
            <w:r w:rsidRPr="00A47BBF">
              <w:rPr>
                <w:sz w:val="20"/>
              </w:rPr>
              <w:t>Our activities with stakeholder organisations lead to systemic and sustained action, including changes to organisational policy and practice, to respect, protect and promote human rights in their context.</w:t>
            </w:r>
          </w:p>
          <w:p w14:paraId="156A3291" w14:textId="77777777" w:rsidR="004634AE" w:rsidRPr="00A47BBF" w:rsidRDefault="1FF11608" w:rsidP="00E86BC5">
            <w:pPr>
              <w:pStyle w:val="TableText"/>
              <w:rPr>
                <w:sz w:val="20"/>
              </w:rPr>
            </w:pPr>
            <w:r w:rsidRPr="00A47BBF">
              <w:rPr>
                <w:sz w:val="20"/>
              </w:rPr>
              <w:t>Our regional technical cooperation activities increase stakeholder capacity to advance national reform in partner states.</w:t>
            </w:r>
          </w:p>
        </w:tc>
        <w:tc>
          <w:tcPr>
            <w:tcW w:w="3402" w:type="dxa"/>
          </w:tcPr>
          <w:p w14:paraId="2622912F" w14:textId="77777777" w:rsidR="004634AE" w:rsidRPr="00A47BBF" w:rsidRDefault="1FF11608" w:rsidP="00E86BC5">
            <w:pPr>
              <w:pStyle w:val="TableText"/>
              <w:rPr>
                <w:sz w:val="20"/>
              </w:rPr>
            </w:pPr>
            <w:r w:rsidRPr="00A47BBF">
              <w:rPr>
                <w:sz w:val="20"/>
              </w:rPr>
              <w:t>Instances of organisations working with the Commission to develop human rights education/ training activities.</w:t>
            </w:r>
          </w:p>
          <w:p w14:paraId="17288DDF" w14:textId="77777777" w:rsidR="004634AE" w:rsidRPr="00A47BBF" w:rsidRDefault="1FF11608" w:rsidP="00E86BC5">
            <w:pPr>
              <w:pStyle w:val="TableText"/>
              <w:rPr>
                <w:rStyle w:val="Strong"/>
                <w:sz w:val="20"/>
                <w:lang w:val="en-AU" w:eastAsia="en-AU"/>
              </w:rPr>
            </w:pPr>
            <w:r w:rsidRPr="00A47BBF">
              <w:rPr>
                <w:sz w:val="20"/>
              </w:rPr>
              <w:t xml:space="preserve">Instances of stakeholders in our activities with organisations making changes to organisational policy and practice, to respect, protect and promote human rights in their context. </w:t>
            </w:r>
            <w:r w:rsidRPr="00E86BC5">
              <w:rPr>
                <w:rStyle w:val="Strong"/>
              </w:rPr>
              <w:t>[PBS target]</w:t>
            </w:r>
          </w:p>
          <w:p w14:paraId="09D756AB" w14:textId="77777777" w:rsidR="004634AE" w:rsidRPr="00A47BBF" w:rsidRDefault="1FF11608" w:rsidP="00E86BC5">
            <w:pPr>
              <w:pStyle w:val="TableText"/>
              <w:rPr>
                <w:sz w:val="20"/>
              </w:rPr>
            </w:pPr>
            <w:r w:rsidRPr="00A47BBF">
              <w:rPr>
                <w:sz w:val="20"/>
              </w:rPr>
              <w:t>Instances of partners’:</w:t>
            </w:r>
          </w:p>
          <w:p w14:paraId="25248982" w14:textId="77777777" w:rsidR="004634AE" w:rsidRPr="00A47BBF" w:rsidRDefault="1FF11608" w:rsidP="00E86BC5">
            <w:pPr>
              <w:pStyle w:val="TableText"/>
              <w:rPr>
                <w:sz w:val="20"/>
              </w:rPr>
            </w:pPr>
            <w:r w:rsidRPr="00A47BBF">
              <w:rPr>
                <w:sz w:val="20"/>
              </w:rPr>
              <w:t>increased knowledge and application of human rights frameworks, principles, and practices to advance human rights reform</w:t>
            </w:r>
          </w:p>
          <w:p w14:paraId="05BBFA3A" w14:textId="77777777" w:rsidR="004634AE" w:rsidRPr="00A47BBF" w:rsidRDefault="1FF11608" w:rsidP="00E86BC5">
            <w:pPr>
              <w:pStyle w:val="TableText"/>
              <w:rPr>
                <w:sz w:val="20"/>
              </w:rPr>
            </w:pPr>
            <w:r w:rsidRPr="00A47BBF">
              <w:rPr>
                <w:sz w:val="20"/>
              </w:rPr>
              <w:t>practice/policy reform relating to human rights principles, which are reviewed or developed because of technical cooperation activities.</w:t>
            </w:r>
          </w:p>
        </w:tc>
      </w:tr>
      <w:tr w:rsidR="004634AE" w:rsidRPr="00A47BBF" w14:paraId="51C16243" w14:textId="77777777" w:rsidTr="00E86BC5">
        <w:trPr>
          <w:trHeight w:val="1264"/>
        </w:trPr>
        <w:tc>
          <w:tcPr>
            <w:tcW w:w="1838" w:type="dxa"/>
            <w:vMerge w:val="restart"/>
          </w:tcPr>
          <w:p w14:paraId="6A8CC5B0" w14:textId="77777777" w:rsidR="004634AE" w:rsidRPr="00A47BBF" w:rsidRDefault="1FF11608" w:rsidP="00E86BC5">
            <w:pPr>
              <w:pStyle w:val="TableText"/>
              <w:rPr>
                <w:sz w:val="20"/>
              </w:rPr>
            </w:pPr>
            <w:r w:rsidRPr="00E86BC5">
              <w:rPr>
                <w:rStyle w:val="Strong"/>
              </w:rPr>
              <w:t>4</w:t>
            </w:r>
            <w:r w:rsidRPr="00A47BBF">
              <w:rPr>
                <w:sz w:val="20"/>
              </w:rPr>
              <w:t xml:space="preserve"> Maintaining our international standing as a strong human rights institution representing human rights in Australia and contributing to human rights advancement globally.</w:t>
            </w:r>
          </w:p>
        </w:tc>
        <w:tc>
          <w:tcPr>
            <w:tcW w:w="2117" w:type="dxa"/>
          </w:tcPr>
          <w:p w14:paraId="3588DFC2" w14:textId="77777777" w:rsidR="004634AE" w:rsidRPr="00A47BBF" w:rsidRDefault="1FF11608" w:rsidP="00E86BC5">
            <w:pPr>
              <w:pStyle w:val="TableText"/>
              <w:rPr>
                <w:rStyle w:val="Strong"/>
                <w:sz w:val="20"/>
              </w:rPr>
            </w:pPr>
            <w:r w:rsidRPr="00E86BC5">
              <w:rPr>
                <w:rStyle w:val="Strong"/>
              </w:rPr>
              <w:t>4.1</w:t>
            </w:r>
            <w:r w:rsidRPr="00A47BBF">
              <w:rPr>
                <w:sz w:val="20"/>
              </w:rPr>
              <w:t xml:space="preserve"> Our activities increase the capacity of vulnerable groups, communities and their advocates to understand and advocate for their rights. </w:t>
            </w:r>
            <w:r w:rsidRPr="00E86BC5">
              <w:rPr>
                <w:rStyle w:val="Strong"/>
              </w:rPr>
              <w:t>[PBS criterion]</w:t>
            </w:r>
          </w:p>
        </w:tc>
        <w:tc>
          <w:tcPr>
            <w:tcW w:w="2844" w:type="dxa"/>
          </w:tcPr>
          <w:p w14:paraId="5EFCE1C1" w14:textId="7F64285C" w:rsidR="004634AE" w:rsidRPr="00A47BBF" w:rsidRDefault="1FF11608" w:rsidP="00E86BC5">
            <w:pPr>
              <w:pStyle w:val="TableText"/>
              <w:rPr>
                <w:rStyle w:val="eop"/>
                <w:rFonts w:cs="Open Sans"/>
                <w:sz w:val="20"/>
                <w:lang w:val="en-AU" w:eastAsia="en-AU"/>
              </w:rPr>
            </w:pPr>
            <w:r w:rsidRPr="00A47BBF">
              <w:rPr>
                <w:sz w:val="20"/>
                <w:shd w:val="clear" w:color="auto" w:fill="FFFFFF"/>
              </w:rPr>
              <w:t>Participants and stakeholders, in our consultations, research and education and informing activities experience participation, empowerment and benefit.</w:t>
            </w:r>
          </w:p>
        </w:tc>
        <w:tc>
          <w:tcPr>
            <w:tcW w:w="3402" w:type="dxa"/>
          </w:tcPr>
          <w:p w14:paraId="266D7F82" w14:textId="77777777" w:rsidR="004634AE" w:rsidRPr="00A47BBF" w:rsidRDefault="1FF11608" w:rsidP="00E86BC5">
            <w:pPr>
              <w:pStyle w:val="TableText"/>
              <w:rPr>
                <w:rStyle w:val="Strong"/>
                <w:sz w:val="20"/>
                <w:lang w:val="en-AU" w:eastAsia="en-AU"/>
              </w:rPr>
            </w:pPr>
            <w:r w:rsidRPr="00A47BBF">
              <w:rPr>
                <w:sz w:val="20"/>
              </w:rPr>
              <w:t xml:space="preserve">Instances of participants and stakeholders in our consultations and research activities report participation experiences that are beneficial and empowering. </w:t>
            </w:r>
            <w:r w:rsidRPr="00E86BC5">
              <w:rPr>
                <w:rStyle w:val="Strong"/>
              </w:rPr>
              <w:t>[PBS target]</w:t>
            </w:r>
          </w:p>
        </w:tc>
      </w:tr>
      <w:tr w:rsidR="004634AE" w:rsidRPr="00A47BBF" w14:paraId="1BF52165" w14:textId="77777777" w:rsidTr="00E86BC5">
        <w:trPr>
          <w:trHeight w:val="2188"/>
        </w:trPr>
        <w:tc>
          <w:tcPr>
            <w:tcW w:w="1838" w:type="dxa"/>
            <w:vMerge/>
          </w:tcPr>
          <w:p w14:paraId="02E37B7C" w14:textId="77777777" w:rsidR="004634AE" w:rsidRPr="00A47BBF" w:rsidRDefault="004634AE" w:rsidP="00E86BC5">
            <w:pPr>
              <w:pStyle w:val="TableText"/>
              <w:rPr>
                <w:rStyle w:val="Strong"/>
                <w:sz w:val="20"/>
                <w:lang w:val="en-AU" w:eastAsia="en-AU"/>
              </w:rPr>
            </w:pPr>
          </w:p>
        </w:tc>
        <w:tc>
          <w:tcPr>
            <w:tcW w:w="2117" w:type="dxa"/>
            <w:vMerge w:val="restart"/>
          </w:tcPr>
          <w:p w14:paraId="6C050109" w14:textId="77777777" w:rsidR="004634AE" w:rsidRPr="00A47BBF" w:rsidRDefault="1FF11608" w:rsidP="00E86BC5">
            <w:pPr>
              <w:pStyle w:val="TableText"/>
              <w:rPr>
                <w:rStyle w:val="Strong"/>
                <w:sz w:val="20"/>
              </w:rPr>
            </w:pPr>
            <w:r w:rsidRPr="00E86BC5">
              <w:rPr>
                <w:rStyle w:val="Strong"/>
              </w:rPr>
              <w:t>4.2</w:t>
            </w:r>
            <w:r w:rsidRPr="00A47BBF">
              <w:rPr>
                <w:sz w:val="20"/>
              </w:rPr>
              <w:t xml:space="preserve"> Our activities increase the capacity of governments, organisations, other groups and services to understand and address the human rights impact of their actions, particularly when working with vulnerable groups and communities. </w:t>
            </w:r>
            <w:r w:rsidRPr="00E86BC5">
              <w:rPr>
                <w:rStyle w:val="Strong"/>
              </w:rPr>
              <w:t>[PBS criterion]</w:t>
            </w:r>
          </w:p>
        </w:tc>
        <w:tc>
          <w:tcPr>
            <w:tcW w:w="2844" w:type="dxa"/>
          </w:tcPr>
          <w:p w14:paraId="1705B0EF" w14:textId="77777777" w:rsidR="004634AE" w:rsidRPr="00A47BBF" w:rsidRDefault="1FF11608" w:rsidP="00E86BC5">
            <w:pPr>
              <w:pStyle w:val="TableText"/>
              <w:rPr>
                <w:sz w:val="20"/>
              </w:rPr>
            </w:pPr>
            <w:r w:rsidRPr="00A47BBF">
              <w:rPr>
                <w:sz w:val="20"/>
              </w:rPr>
              <w:t>Our activities with stakeholder organisations lead to systemic and sustained action, including changes to organisational policy and practice, to respect, protect and promote human rights in their context.</w:t>
            </w:r>
          </w:p>
        </w:tc>
        <w:tc>
          <w:tcPr>
            <w:tcW w:w="3402" w:type="dxa"/>
          </w:tcPr>
          <w:p w14:paraId="50617234" w14:textId="77777777" w:rsidR="004634AE" w:rsidRPr="00A47BBF" w:rsidRDefault="1FF11608" w:rsidP="00E86BC5">
            <w:pPr>
              <w:pStyle w:val="TableText"/>
              <w:rPr>
                <w:rStyle w:val="Strong"/>
                <w:b w:val="0"/>
                <w:sz w:val="20"/>
              </w:rPr>
            </w:pPr>
            <w:r w:rsidRPr="00A47BBF">
              <w:rPr>
                <w:sz w:val="20"/>
              </w:rPr>
              <w:t xml:space="preserve">Instances of stakeholders in our activities with organisations reporting that our work has contributed to increased understanding of the impact of their systems and operations on human rights. </w:t>
            </w:r>
            <w:r w:rsidRPr="00E86BC5">
              <w:rPr>
                <w:rStyle w:val="Strong"/>
              </w:rPr>
              <w:t>[PBS target]</w:t>
            </w:r>
          </w:p>
          <w:p w14:paraId="45670344" w14:textId="77777777" w:rsidR="004634AE" w:rsidRPr="00A47BBF" w:rsidRDefault="1FF11608" w:rsidP="00E86BC5">
            <w:pPr>
              <w:pStyle w:val="TableText"/>
              <w:rPr>
                <w:rStyle w:val="Strong"/>
                <w:sz w:val="20"/>
                <w:lang w:val="en-AU" w:eastAsia="en-AU"/>
              </w:rPr>
            </w:pPr>
            <w:r w:rsidRPr="00A47BBF">
              <w:rPr>
                <w:sz w:val="20"/>
              </w:rPr>
              <w:t xml:space="preserve">Instances of stakeholders in our activities with organisations making changes to organisational policy and practice, to respect, protect and promote human rights in their context. </w:t>
            </w:r>
            <w:r w:rsidRPr="00E86BC5">
              <w:rPr>
                <w:rStyle w:val="Strong"/>
              </w:rPr>
              <w:t>[PBS target]</w:t>
            </w:r>
          </w:p>
        </w:tc>
      </w:tr>
      <w:tr w:rsidR="004634AE" w:rsidRPr="00A47BBF" w14:paraId="3CC678F6" w14:textId="77777777" w:rsidTr="00E86BC5">
        <w:trPr>
          <w:trHeight w:val="2188"/>
        </w:trPr>
        <w:tc>
          <w:tcPr>
            <w:tcW w:w="1838" w:type="dxa"/>
            <w:vMerge/>
          </w:tcPr>
          <w:p w14:paraId="260EE36E" w14:textId="77777777" w:rsidR="004634AE" w:rsidRPr="00A47BBF" w:rsidRDefault="004634AE" w:rsidP="00E86BC5">
            <w:pPr>
              <w:pStyle w:val="TableText"/>
              <w:rPr>
                <w:rStyle w:val="Strong"/>
                <w:sz w:val="20"/>
                <w:lang w:val="en-AU" w:eastAsia="en-AU"/>
              </w:rPr>
            </w:pPr>
          </w:p>
        </w:tc>
        <w:tc>
          <w:tcPr>
            <w:tcW w:w="2117" w:type="dxa"/>
            <w:vMerge/>
          </w:tcPr>
          <w:p w14:paraId="2437AE3B" w14:textId="77777777" w:rsidR="004634AE" w:rsidRPr="00A47BBF" w:rsidRDefault="004634AE" w:rsidP="00E86BC5">
            <w:pPr>
              <w:pStyle w:val="TableText"/>
              <w:rPr>
                <w:rStyle w:val="Strong"/>
                <w:sz w:val="20"/>
                <w:lang w:val="en-AU" w:eastAsia="en-AU"/>
              </w:rPr>
            </w:pPr>
          </w:p>
        </w:tc>
        <w:tc>
          <w:tcPr>
            <w:tcW w:w="2844" w:type="dxa"/>
          </w:tcPr>
          <w:p w14:paraId="0723DAEA" w14:textId="77777777" w:rsidR="004634AE" w:rsidRPr="00A47BBF" w:rsidRDefault="1FF11608" w:rsidP="00E86BC5">
            <w:pPr>
              <w:pStyle w:val="TableText"/>
              <w:rPr>
                <w:sz w:val="20"/>
              </w:rPr>
            </w:pPr>
            <w:r w:rsidRPr="00A47BBF">
              <w:rPr>
                <w:sz w:val="20"/>
              </w:rPr>
              <w:t>Our regional technical cooperation activities increase stakeholder capacity to advance national reform in partner states.</w:t>
            </w:r>
          </w:p>
        </w:tc>
        <w:tc>
          <w:tcPr>
            <w:tcW w:w="3402" w:type="dxa"/>
          </w:tcPr>
          <w:p w14:paraId="0591EF72" w14:textId="77777777" w:rsidR="004634AE" w:rsidRPr="00A47BBF" w:rsidRDefault="1FF11608" w:rsidP="00E86BC5">
            <w:pPr>
              <w:pStyle w:val="TableText"/>
              <w:rPr>
                <w:sz w:val="20"/>
              </w:rPr>
            </w:pPr>
            <w:r w:rsidRPr="00A47BBF">
              <w:rPr>
                <w:sz w:val="20"/>
              </w:rPr>
              <w:t>Instances of partners’:</w:t>
            </w:r>
          </w:p>
          <w:p w14:paraId="7ABAA10B" w14:textId="77777777" w:rsidR="00D85CCF" w:rsidRPr="00A47BBF" w:rsidRDefault="1FF11608" w:rsidP="00E86BC5">
            <w:pPr>
              <w:pStyle w:val="TableText"/>
              <w:rPr>
                <w:sz w:val="20"/>
              </w:rPr>
            </w:pPr>
            <w:r w:rsidRPr="00A47BBF">
              <w:rPr>
                <w:sz w:val="20"/>
              </w:rPr>
              <w:t>increased knowledge and application of human rights frameworks, principles, and practices to advance human rights reform</w:t>
            </w:r>
          </w:p>
          <w:p w14:paraId="4D11BE83" w14:textId="48C9A48D" w:rsidR="004634AE" w:rsidRPr="00A47BBF" w:rsidRDefault="1FF11608" w:rsidP="00E86BC5">
            <w:pPr>
              <w:pStyle w:val="TableText"/>
              <w:rPr>
                <w:sz w:val="20"/>
              </w:rPr>
            </w:pPr>
            <w:r w:rsidRPr="00A47BBF">
              <w:rPr>
                <w:sz w:val="20"/>
              </w:rPr>
              <w:t>practice/policy reform relating to human rights principles, which are reviewed or developed because of technical cooperation activities.</w:t>
            </w:r>
          </w:p>
        </w:tc>
      </w:tr>
      <w:tr w:rsidR="004634AE" w:rsidRPr="00A47BBF" w14:paraId="59CF0790" w14:textId="77777777" w:rsidTr="00E86BC5">
        <w:trPr>
          <w:trHeight w:val="2188"/>
        </w:trPr>
        <w:tc>
          <w:tcPr>
            <w:tcW w:w="1838" w:type="dxa"/>
            <w:vMerge/>
          </w:tcPr>
          <w:p w14:paraId="251B5940" w14:textId="77777777" w:rsidR="004634AE" w:rsidRPr="00A47BBF" w:rsidRDefault="004634AE" w:rsidP="00E86BC5">
            <w:pPr>
              <w:pStyle w:val="TableText"/>
              <w:rPr>
                <w:rStyle w:val="Strong"/>
                <w:sz w:val="20"/>
                <w:lang w:val="en-AU" w:eastAsia="en-AU"/>
              </w:rPr>
            </w:pPr>
          </w:p>
        </w:tc>
        <w:tc>
          <w:tcPr>
            <w:tcW w:w="2117" w:type="dxa"/>
          </w:tcPr>
          <w:p w14:paraId="253BA499" w14:textId="77777777" w:rsidR="004634AE" w:rsidRPr="00A47BBF" w:rsidRDefault="1FF11608" w:rsidP="00E86BC5">
            <w:pPr>
              <w:pStyle w:val="TableText"/>
              <w:rPr>
                <w:rStyle w:val="Strong"/>
                <w:sz w:val="20"/>
              </w:rPr>
            </w:pPr>
            <w:r w:rsidRPr="007A6A69">
              <w:rPr>
                <w:rStyle w:val="Strong"/>
              </w:rPr>
              <w:t>4.3</w:t>
            </w:r>
            <w:r w:rsidRPr="00A47BBF">
              <w:rPr>
                <w:b/>
                <w:sz w:val="20"/>
              </w:rPr>
              <w:t xml:space="preserve"> </w:t>
            </w:r>
            <w:r w:rsidRPr="00A47BBF">
              <w:rPr>
                <w:sz w:val="20"/>
              </w:rPr>
              <w:t>The Commission is compliant with the Paris Principles (Principles Relating to the Status of National Human Rights Institutions) and is assessed as an independent and effective national human rights institution.</w:t>
            </w:r>
          </w:p>
        </w:tc>
        <w:tc>
          <w:tcPr>
            <w:tcW w:w="2844" w:type="dxa"/>
          </w:tcPr>
          <w:p w14:paraId="7C264BD5" w14:textId="77777777" w:rsidR="004634AE" w:rsidRPr="00A47BBF" w:rsidRDefault="1FF11608" w:rsidP="00E86BC5">
            <w:pPr>
              <w:pStyle w:val="TableText"/>
              <w:rPr>
                <w:sz w:val="20"/>
              </w:rPr>
            </w:pPr>
            <w:r w:rsidRPr="00A47BBF">
              <w:rPr>
                <w:sz w:val="20"/>
              </w:rPr>
              <w:t>The Commission maintains its ‘A status’ as assessed by the Global Alliance of National Human Rights Institutions (GANHRI).</w:t>
            </w:r>
          </w:p>
        </w:tc>
        <w:tc>
          <w:tcPr>
            <w:tcW w:w="3402" w:type="dxa"/>
          </w:tcPr>
          <w:p w14:paraId="64382ACE" w14:textId="77777777" w:rsidR="004634AE" w:rsidRPr="00A47BBF" w:rsidRDefault="1FF11608" w:rsidP="00E86BC5">
            <w:pPr>
              <w:pStyle w:val="TableText"/>
              <w:rPr>
                <w:sz w:val="20"/>
              </w:rPr>
            </w:pPr>
            <w:r w:rsidRPr="00A47BBF">
              <w:rPr>
                <w:sz w:val="20"/>
              </w:rPr>
              <w:t xml:space="preserve">Compliance with the Paris Principles and/or remediation actions in train e.g. </w:t>
            </w:r>
            <w:r w:rsidRPr="003C7007">
              <w:rPr>
                <w:rStyle w:val="Emphasis"/>
                <w:sz w:val="20"/>
              </w:rPr>
              <w:t>Australian Human Rights Commission Legislation Amendment (Selection and Appointment) Act</w:t>
            </w:r>
            <w:r w:rsidRPr="003C7007">
              <w:rPr>
                <w:sz w:val="20"/>
              </w:rPr>
              <w:t>.</w:t>
            </w:r>
          </w:p>
        </w:tc>
      </w:tr>
      <w:tr w:rsidR="004634AE" w:rsidRPr="00A47BBF" w14:paraId="69D47DE8" w14:textId="77777777" w:rsidTr="00E86BC5">
        <w:trPr>
          <w:trHeight w:val="1876"/>
        </w:trPr>
        <w:tc>
          <w:tcPr>
            <w:tcW w:w="1838" w:type="dxa"/>
          </w:tcPr>
          <w:p w14:paraId="7661FA46" w14:textId="77777777" w:rsidR="004634AE" w:rsidRPr="00A47BBF" w:rsidRDefault="1FF11608" w:rsidP="00E86BC5">
            <w:pPr>
              <w:pStyle w:val="TableText"/>
              <w:rPr>
                <w:rStyle w:val="Strong"/>
                <w:b w:val="0"/>
                <w:sz w:val="20"/>
              </w:rPr>
            </w:pPr>
            <w:r w:rsidRPr="007A6A69">
              <w:rPr>
                <w:rStyle w:val="Strong"/>
              </w:rPr>
              <w:t>5</w:t>
            </w:r>
            <w:r w:rsidRPr="00A47BBF">
              <w:rPr>
                <w:b/>
                <w:bCs/>
                <w:sz w:val="20"/>
              </w:rPr>
              <w:t xml:space="preserve"> </w:t>
            </w:r>
            <w:r w:rsidRPr="00A47BBF">
              <w:rPr>
                <w:sz w:val="20"/>
              </w:rPr>
              <w:t>Ensuring that the Commission is sustainable into the future and able to strategically implement its statutory mandate.</w:t>
            </w:r>
          </w:p>
        </w:tc>
        <w:tc>
          <w:tcPr>
            <w:tcW w:w="2117" w:type="dxa"/>
          </w:tcPr>
          <w:p w14:paraId="27CB3CE7" w14:textId="77777777" w:rsidR="004634AE" w:rsidRPr="00A47BBF" w:rsidRDefault="1FF11608" w:rsidP="00E86BC5">
            <w:pPr>
              <w:pStyle w:val="TableText"/>
              <w:rPr>
                <w:rStyle w:val="Strong"/>
                <w:sz w:val="20"/>
              </w:rPr>
            </w:pPr>
            <w:r w:rsidRPr="007A6A69">
              <w:rPr>
                <w:rStyle w:val="Strong"/>
              </w:rPr>
              <w:t>5.1</w:t>
            </w:r>
            <w:r w:rsidRPr="00A47BBF">
              <w:rPr>
                <w:sz w:val="20"/>
              </w:rPr>
              <w:t xml:space="preserve"> The Commission has a clear strategic direction and confidently implements its mandate with secure and sustainable funding that is transparently and accountably managed.</w:t>
            </w:r>
          </w:p>
        </w:tc>
        <w:tc>
          <w:tcPr>
            <w:tcW w:w="2844" w:type="dxa"/>
          </w:tcPr>
          <w:p w14:paraId="3AEC2BEE" w14:textId="77777777" w:rsidR="004634AE" w:rsidRPr="00A47BBF" w:rsidRDefault="1FF11608" w:rsidP="00E86BC5">
            <w:pPr>
              <w:pStyle w:val="TableText"/>
              <w:rPr>
                <w:sz w:val="20"/>
              </w:rPr>
            </w:pPr>
            <w:r w:rsidRPr="00A47BBF">
              <w:rPr>
                <w:sz w:val="20"/>
              </w:rPr>
              <w:t xml:space="preserve">The Commission maintains its compliance with the </w:t>
            </w:r>
            <w:r w:rsidRPr="003C7007">
              <w:rPr>
                <w:rStyle w:val="Emphasis"/>
                <w:sz w:val="20"/>
              </w:rPr>
              <w:t>Australian Human Rights Commission Act 1986, the Public Governance, Performance and Accountability (PGFA) Act 2013</w:t>
            </w:r>
            <w:r w:rsidRPr="003C7007">
              <w:rPr>
                <w:sz w:val="20"/>
              </w:rPr>
              <w:t>.</w:t>
            </w:r>
          </w:p>
        </w:tc>
        <w:tc>
          <w:tcPr>
            <w:tcW w:w="3402" w:type="dxa"/>
          </w:tcPr>
          <w:p w14:paraId="115E2447" w14:textId="77777777" w:rsidR="004634AE" w:rsidRPr="00A47BBF" w:rsidRDefault="1FF11608" w:rsidP="00E86BC5">
            <w:pPr>
              <w:pStyle w:val="TableText"/>
              <w:rPr>
                <w:sz w:val="20"/>
              </w:rPr>
            </w:pPr>
            <w:r w:rsidRPr="00A47BBF">
              <w:rPr>
                <w:sz w:val="20"/>
              </w:rPr>
              <w:t>Completion of all requirements under the PGPA including corporate accountability, Annual Reports and Financial compliance.</w:t>
            </w:r>
          </w:p>
          <w:p w14:paraId="63A270F6" w14:textId="77777777" w:rsidR="004634AE" w:rsidRPr="00A47BBF" w:rsidRDefault="1FF11608" w:rsidP="00E86BC5">
            <w:pPr>
              <w:pStyle w:val="TableText"/>
              <w:rPr>
                <w:sz w:val="20"/>
              </w:rPr>
            </w:pPr>
            <w:r w:rsidRPr="00A47BBF">
              <w:rPr>
                <w:sz w:val="20"/>
              </w:rPr>
              <w:t>Implementation of appropriate governance and financial structures including number of recommendations adopted from the external reviews.</w:t>
            </w:r>
          </w:p>
        </w:tc>
      </w:tr>
    </w:tbl>
    <w:p w14:paraId="6470A550" w14:textId="77777777" w:rsidR="00F615AB" w:rsidRPr="00AB6973" w:rsidRDefault="00F615AB" w:rsidP="00982B2E">
      <w:pPr>
        <w:rPr>
          <w:rFonts w:cs="Open Sans"/>
        </w:rPr>
      </w:pPr>
    </w:p>
    <w:p w14:paraId="4D6C664A" w14:textId="77777777" w:rsidR="001710EC" w:rsidRDefault="001710EC" w:rsidP="00982B2E">
      <w:pPr>
        <w:rPr>
          <w:rFonts w:cs="Open Sans"/>
        </w:rPr>
      </w:pPr>
    </w:p>
    <w:p w14:paraId="0A86F53D" w14:textId="2570BADF" w:rsidR="001710EC" w:rsidRPr="00AB6973" w:rsidRDefault="001710EC" w:rsidP="00982B2E">
      <w:pPr>
        <w:rPr>
          <w:rFonts w:cs="Open Sans"/>
        </w:rPr>
        <w:sectPr w:rsidR="001710EC" w:rsidRPr="00AB6973" w:rsidSect="00C5796B">
          <w:headerReference w:type="first" r:id="rId74"/>
          <w:endnotePr>
            <w:numFmt w:val="decimal"/>
          </w:endnotePr>
          <w:pgSz w:w="11879" w:h="16840" w:code="9"/>
          <w:pgMar w:top="1134" w:right="833" w:bottom="1134" w:left="1077" w:header="851" w:footer="851" w:gutter="0"/>
          <w:cols w:space="708"/>
          <w:titlePg/>
          <w:docGrid w:linePitch="360"/>
        </w:sectPr>
      </w:pPr>
    </w:p>
    <w:p w14:paraId="768CA17E" w14:textId="180B2994" w:rsidR="004B549B" w:rsidRPr="00AB6973" w:rsidRDefault="00192436" w:rsidP="002F16FD">
      <w:pPr>
        <w:pStyle w:val="Heading2"/>
        <w:numPr>
          <w:ilvl w:val="1"/>
          <w:numId w:val="0"/>
        </w:numPr>
      </w:pPr>
      <w:bookmarkStart w:id="62" w:name="_Toc146437066"/>
      <w:r>
        <w:t>Appendix 2:</w:t>
      </w:r>
      <w:r w:rsidR="003C7007">
        <w:t xml:space="preserve"> </w:t>
      </w:r>
      <w:r w:rsidR="0AB6AEBE">
        <w:t>E</w:t>
      </w:r>
      <w:r>
        <w:t>mployee statistics</w:t>
      </w:r>
      <w:bookmarkEnd w:id="62"/>
    </w:p>
    <w:p w14:paraId="0A8E72E4" w14:textId="744FF4B6" w:rsidR="1D386B7A" w:rsidRPr="00AB6973" w:rsidRDefault="1D386B7A" w:rsidP="002F16FD">
      <w:pPr>
        <w:pStyle w:val="Heading5"/>
      </w:pPr>
      <w:r w:rsidRPr="448905EB">
        <w:t>Ongoing</w:t>
      </w:r>
    </w:p>
    <w:tbl>
      <w:tblPr>
        <w:tblStyle w:val="GridTable5Dark-Accent5"/>
        <w:tblW w:w="14792" w:type="dxa"/>
        <w:tblInd w:w="-5" w:type="dxa"/>
        <w:tblBorders>
          <w:top w:val="single" w:sz="4" w:space="0" w:color="000000"/>
          <w:left w:val="none" w:sz="0" w:space="0" w:color="auto"/>
          <w:bottom w:val="single" w:sz="4" w:space="0" w:color="000000"/>
          <w:right w:val="none" w:sz="0" w:space="0" w:color="auto"/>
          <w:insideH w:val="single" w:sz="4" w:space="0" w:color="000000"/>
          <w:insideV w:val="none" w:sz="0" w:space="0" w:color="auto"/>
        </w:tblBorders>
        <w:tblLayout w:type="fixed"/>
        <w:tblLook w:val="04A0" w:firstRow="1" w:lastRow="0" w:firstColumn="1" w:lastColumn="0" w:noHBand="0" w:noVBand="1"/>
      </w:tblPr>
      <w:tblGrid>
        <w:gridCol w:w="794"/>
        <w:gridCol w:w="680"/>
        <w:gridCol w:w="680"/>
        <w:gridCol w:w="737"/>
        <w:gridCol w:w="850"/>
        <w:gridCol w:w="850"/>
        <w:gridCol w:w="850"/>
        <w:gridCol w:w="907"/>
        <w:gridCol w:w="850"/>
        <w:gridCol w:w="850"/>
        <w:gridCol w:w="1020"/>
        <w:gridCol w:w="1020"/>
        <w:gridCol w:w="1020"/>
        <w:gridCol w:w="1020"/>
        <w:gridCol w:w="1020"/>
        <w:gridCol w:w="1020"/>
        <w:gridCol w:w="624"/>
      </w:tblGrid>
      <w:tr w:rsidR="001A6611" w:rsidRPr="00BE3601" w14:paraId="16A654BE" w14:textId="77777777" w:rsidTr="001A6611">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794" w:type="dxa"/>
            <w:shd w:val="clear" w:color="auto" w:fill="F2F2F2" w:themeFill="background1" w:themeFillShade="F2"/>
            <w:noWrap/>
            <w:vAlign w:val="bottom"/>
            <w:hideMark/>
          </w:tcPr>
          <w:p w14:paraId="30E51AD2" w14:textId="77777777" w:rsidR="001C1D9B" w:rsidRPr="00BE3601" w:rsidRDefault="001C1D9B" w:rsidP="001A6611">
            <w:pPr>
              <w:pStyle w:val="TableHeadingBoldCn"/>
              <w:jc w:val="right"/>
              <w:rPr>
                <w:rStyle w:val="Strong"/>
                <w:rFonts w:ascii="Avenir Next Condensed Demi Bold" w:hAnsi="Avenir Next Condensed Demi Bold"/>
                <w:b w:val="0"/>
                <w:bCs w:val="0"/>
              </w:rPr>
            </w:pPr>
          </w:p>
        </w:tc>
        <w:tc>
          <w:tcPr>
            <w:tcW w:w="680" w:type="dxa"/>
            <w:shd w:val="clear" w:color="auto" w:fill="F2F2F2" w:themeFill="background1" w:themeFillShade="F2"/>
            <w:noWrap/>
            <w:vAlign w:val="bottom"/>
            <w:hideMark/>
          </w:tcPr>
          <w:p w14:paraId="6042C6AD" w14:textId="5B492DD8" w:rsidR="001C1D9B" w:rsidRPr="00BE3601" w:rsidRDefault="001C1D9B" w:rsidP="001A6611">
            <w:pPr>
              <w:pStyle w:val="TableHeadingBoldCn"/>
              <w:jc w:val="right"/>
              <w:cnfStyle w:val="100000000000" w:firstRow="1" w:lastRow="0" w:firstColumn="0" w:lastColumn="0" w:oddVBand="0" w:evenVBand="0" w:oddHBand="0" w:evenHBand="0" w:firstRowFirstColumn="0" w:firstRowLastColumn="0" w:lastRowFirstColumn="0" w:lastRowLastColumn="0"/>
            </w:pPr>
            <w:r w:rsidRPr="00BE3601">
              <w:t xml:space="preserve">Man/Male </w:t>
            </w:r>
            <w:r w:rsidR="003F1150">
              <w:t>–</w:t>
            </w:r>
            <w:r w:rsidRPr="00BE3601">
              <w:t xml:space="preserve"> Full time</w:t>
            </w:r>
          </w:p>
        </w:tc>
        <w:tc>
          <w:tcPr>
            <w:tcW w:w="680" w:type="dxa"/>
            <w:shd w:val="clear" w:color="auto" w:fill="F2F2F2" w:themeFill="background1" w:themeFillShade="F2"/>
            <w:noWrap/>
            <w:vAlign w:val="bottom"/>
            <w:hideMark/>
          </w:tcPr>
          <w:p w14:paraId="7CCCB342" w14:textId="77FEC44C" w:rsidR="001C1D9B" w:rsidRPr="00BE3601" w:rsidRDefault="001C1D9B" w:rsidP="001A6611">
            <w:pPr>
              <w:pStyle w:val="TableHeadingBoldCn"/>
              <w:jc w:val="right"/>
              <w:cnfStyle w:val="100000000000" w:firstRow="1" w:lastRow="0" w:firstColumn="0" w:lastColumn="0" w:oddVBand="0" w:evenVBand="0" w:oddHBand="0" w:evenHBand="0" w:firstRowFirstColumn="0" w:firstRowLastColumn="0" w:lastRowFirstColumn="0" w:lastRowLastColumn="0"/>
            </w:pPr>
            <w:r w:rsidRPr="00BE3601">
              <w:t xml:space="preserve">Man/Male </w:t>
            </w:r>
            <w:r w:rsidR="003F1150">
              <w:t>–</w:t>
            </w:r>
            <w:r w:rsidRPr="00BE3601">
              <w:t xml:space="preserve"> Part time</w:t>
            </w:r>
          </w:p>
        </w:tc>
        <w:tc>
          <w:tcPr>
            <w:tcW w:w="737" w:type="dxa"/>
            <w:shd w:val="clear" w:color="auto" w:fill="F2F2F2" w:themeFill="background1" w:themeFillShade="F2"/>
            <w:noWrap/>
            <w:vAlign w:val="bottom"/>
            <w:hideMark/>
          </w:tcPr>
          <w:p w14:paraId="5405F811" w14:textId="585337D8" w:rsidR="001C1D9B" w:rsidRPr="00BE3601" w:rsidRDefault="001C1D9B" w:rsidP="001A6611">
            <w:pPr>
              <w:pStyle w:val="TableHeadingBoldCn"/>
              <w:jc w:val="right"/>
              <w:cnfStyle w:val="100000000000" w:firstRow="1" w:lastRow="0" w:firstColumn="0" w:lastColumn="0" w:oddVBand="0" w:evenVBand="0" w:oddHBand="0" w:evenHBand="0" w:firstRowFirstColumn="0" w:firstRowLastColumn="0" w:lastRowFirstColumn="0" w:lastRowLastColumn="0"/>
            </w:pPr>
            <w:r w:rsidRPr="00BE3601">
              <w:t xml:space="preserve">Man/Male </w:t>
            </w:r>
            <w:r w:rsidR="001A6611">
              <w:br/>
            </w:r>
            <w:r w:rsidR="003F1150">
              <w:t>–</w:t>
            </w:r>
            <w:r w:rsidRPr="00BE3601">
              <w:t xml:space="preserve"> Total</w:t>
            </w:r>
          </w:p>
        </w:tc>
        <w:tc>
          <w:tcPr>
            <w:tcW w:w="850" w:type="dxa"/>
            <w:shd w:val="clear" w:color="auto" w:fill="F2F2F2" w:themeFill="background1" w:themeFillShade="F2"/>
            <w:noWrap/>
            <w:vAlign w:val="bottom"/>
            <w:hideMark/>
          </w:tcPr>
          <w:p w14:paraId="040A7F38" w14:textId="51EBCD8D" w:rsidR="001C1D9B" w:rsidRPr="00BE3601" w:rsidRDefault="001C1D9B" w:rsidP="001A6611">
            <w:pPr>
              <w:pStyle w:val="TableHeadingBoldCn"/>
              <w:jc w:val="right"/>
              <w:cnfStyle w:val="100000000000" w:firstRow="1" w:lastRow="0" w:firstColumn="0" w:lastColumn="0" w:oddVBand="0" w:evenVBand="0" w:oddHBand="0" w:evenHBand="0" w:firstRowFirstColumn="0" w:firstRowLastColumn="0" w:lastRowFirstColumn="0" w:lastRowLastColumn="0"/>
            </w:pPr>
            <w:r w:rsidRPr="00BE3601">
              <w:t xml:space="preserve">Woman/Female </w:t>
            </w:r>
            <w:r w:rsidR="003F1150">
              <w:t>–</w:t>
            </w:r>
            <w:r w:rsidRPr="00BE3601">
              <w:t xml:space="preserve"> Full time</w:t>
            </w:r>
          </w:p>
        </w:tc>
        <w:tc>
          <w:tcPr>
            <w:tcW w:w="850" w:type="dxa"/>
            <w:shd w:val="clear" w:color="auto" w:fill="F2F2F2" w:themeFill="background1" w:themeFillShade="F2"/>
            <w:noWrap/>
            <w:vAlign w:val="bottom"/>
            <w:hideMark/>
          </w:tcPr>
          <w:p w14:paraId="21BF2F0F" w14:textId="5E348F54" w:rsidR="001C1D9B" w:rsidRPr="00BE3601" w:rsidRDefault="001C1D9B" w:rsidP="001A6611">
            <w:pPr>
              <w:pStyle w:val="TableHeadingBoldCn"/>
              <w:jc w:val="right"/>
              <w:cnfStyle w:val="100000000000" w:firstRow="1" w:lastRow="0" w:firstColumn="0" w:lastColumn="0" w:oddVBand="0" w:evenVBand="0" w:oddHBand="0" w:evenHBand="0" w:firstRowFirstColumn="0" w:firstRowLastColumn="0" w:lastRowFirstColumn="0" w:lastRowLastColumn="0"/>
            </w:pPr>
            <w:r w:rsidRPr="00BE3601">
              <w:t xml:space="preserve">Woman/Female </w:t>
            </w:r>
            <w:r w:rsidR="003F1150">
              <w:t>–</w:t>
            </w:r>
            <w:r w:rsidRPr="00BE3601">
              <w:t xml:space="preserve"> Part time</w:t>
            </w:r>
          </w:p>
        </w:tc>
        <w:tc>
          <w:tcPr>
            <w:tcW w:w="850" w:type="dxa"/>
            <w:shd w:val="clear" w:color="auto" w:fill="F2F2F2" w:themeFill="background1" w:themeFillShade="F2"/>
            <w:noWrap/>
            <w:vAlign w:val="bottom"/>
            <w:hideMark/>
          </w:tcPr>
          <w:p w14:paraId="3E7D1044" w14:textId="2F2E72F9" w:rsidR="001C1D9B" w:rsidRPr="00BE3601" w:rsidRDefault="001C1D9B" w:rsidP="001A6611">
            <w:pPr>
              <w:pStyle w:val="TableHeadingBoldCn"/>
              <w:jc w:val="right"/>
              <w:cnfStyle w:val="100000000000" w:firstRow="1" w:lastRow="0" w:firstColumn="0" w:lastColumn="0" w:oddVBand="0" w:evenVBand="0" w:oddHBand="0" w:evenHBand="0" w:firstRowFirstColumn="0" w:firstRowLastColumn="0" w:lastRowFirstColumn="0" w:lastRowLastColumn="0"/>
            </w:pPr>
            <w:r w:rsidRPr="00BE3601">
              <w:t xml:space="preserve">Woman/Female </w:t>
            </w:r>
            <w:r w:rsidR="003F1150">
              <w:t>–</w:t>
            </w:r>
            <w:r w:rsidRPr="00BE3601">
              <w:t xml:space="preserve"> Total</w:t>
            </w:r>
          </w:p>
        </w:tc>
        <w:tc>
          <w:tcPr>
            <w:tcW w:w="907" w:type="dxa"/>
            <w:shd w:val="clear" w:color="auto" w:fill="F2F2F2" w:themeFill="background1" w:themeFillShade="F2"/>
            <w:noWrap/>
            <w:vAlign w:val="bottom"/>
            <w:hideMark/>
          </w:tcPr>
          <w:p w14:paraId="5EE5D4EC" w14:textId="06042515" w:rsidR="001C1D9B" w:rsidRPr="00BE3601" w:rsidRDefault="001C1D9B" w:rsidP="001A6611">
            <w:pPr>
              <w:pStyle w:val="TableHeadingBoldCn"/>
              <w:jc w:val="right"/>
              <w:cnfStyle w:val="100000000000" w:firstRow="1" w:lastRow="0" w:firstColumn="0" w:lastColumn="0" w:oddVBand="0" w:evenVBand="0" w:oddHBand="0" w:evenHBand="0" w:firstRowFirstColumn="0" w:firstRowLastColumn="0" w:lastRowFirstColumn="0" w:lastRowLastColumn="0"/>
            </w:pPr>
            <w:r w:rsidRPr="00BE3601">
              <w:t xml:space="preserve">Non-binary </w:t>
            </w:r>
            <w:r w:rsidR="001A6611">
              <w:br/>
            </w:r>
            <w:r w:rsidR="003F1150">
              <w:t>–</w:t>
            </w:r>
            <w:r w:rsidRPr="00BE3601">
              <w:t xml:space="preserve"> Full time</w:t>
            </w:r>
          </w:p>
        </w:tc>
        <w:tc>
          <w:tcPr>
            <w:tcW w:w="850" w:type="dxa"/>
            <w:shd w:val="clear" w:color="auto" w:fill="F2F2F2" w:themeFill="background1" w:themeFillShade="F2"/>
            <w:noWrap/>
            <w:vAlign w:val="bottom"/>
            <w:hideMark/>
          </w:tcPr>
          <w:p w14:paraId="322641DE" w14:textId="680F5006" w:rsidR="001C1D9B" w:rsidRPr="00BE3601" w:rsidRDefault="001C1D9B" w:rsidP="001A6611">
            <w:pPr>
              <w:pStyle w:val="TableHeadingBoldCn"/>
              <w:jc w:val="right"/>
              <w:cnfStyle w:val="100000000000" w:firstRow="1" w:lastRow="0" w:firstColumn="0" w:lastColumn="0" w:oddVBand="0" w:evenVBand="0" w:oddHBand="0" w:evenHBand="0" w:firstRowFirstColumn="0" w:firstRowLastColumn="0" w:lastRowFirstColumn="0" w:lastRowLastColumn="0"/>
            </w:pPr>
            <w:r w:rsidRPr="00BE3601">
              <w:t xml:space="preserve">Non-binary </w:t>
            </w:r>
            <w:r w:rsidR="001A6611">
              <w:br/>
            </w:r>
            <w:r w:rsidR="003F1150">
              <w:t>–</w:t>
            </w:r>
            <w:r w:rsidRPr="00BE3601">
              <w:t xml:space="preserve"> Part time</w:t>
            </w:r>
          </w:p>
        </w:tc>
        <w:tc>
          <w:tcPr>
            <w:tcW w:w="850" w:type="dxa"/>
            <w:shd w:val="clear" w:color="auto" w:fill="F2F2F2" w:themeFill="background1" w:themeFillShade="F2"/>
            <w:noWrap/>
            <w:vAlign w:val="bottom"/>
            <w:hideMark/>
          </w:tcPr>
          <w:p w14:paraId="00B9BD37" w14:textId="2E7DD544" w:rsidR="001C1D9B" w:rsidRPr="00BE3601" w:rsidRDefault="001C1D9B" w:rsidP="001A6611">
            <w:pPr>
              <w:pStyle w:val="TableHeadingBoldCn"/>
              <w:jc w:val="right"/>
              <w:cnfStyle w:val="100000000000" w:firstRow="1" w:lastRow="0" w:firstColumn="0" w:lastColumn="0" w:oddVBand="0" w:evenVBand="0" w:oddHBand="0" w:evenHBand="0" w:firstRowFirstColumn="0" w:firstRowLastColumn="0" w:lastRowFirstColumn="0" w:lastRowLastColumn="0"/>
            </w:pPr>
            <w:r w:rsidRPr="00BE3601">
              <w:t xml:space="preserve">Non-binary </w:t>
            </w:r>
            <w:r w:rsidR="001A6611">
              <w:br/>
            </w:r>
            <w:r w:rsidR="003F1150">
              <w:t>–</w:t>
            </w:r>
            <w:r w:rsidRPr="00BE3601">
              <w:t xml:space="preserve"> Total</w:t>
            </w:r>
          </w:p>
        </w:tc>
        <w:tc>
          <w:tcPr>
            <w:tcW w:w="1020" w:type="dxa"/>
            <w:shd w:val="clear" w:color="auto" w:fill="F2F2F2" w:themeFill="background1" w:themeFillShade="F2"/>
            <w:noWrap/>
            <w:vAlign w:val="bottom"/>
            <w:hideMark/>
          </w:tcPr>
          <w:p w14:paraId="709C991B" w14:textId="64E68F60" w:rsidR="001C1D9B" w:rsidRPr="00BE3601" w:rsidRDefault="001C1D9B" w:rsidP="001A6611">
            <w:pPr>
              <w:pStyle w:val="TableHeadingBoldCn"/>
              <w:jc w:val="right"/>
              <w:cnfStyle w:val="100000000000" w:firstRow="1" w:lastRow="0" w:firstColumn="0" w:lastColumn="0" w:oddVBand="0" w:evenVBand="0" w:oddHBand="0" w:evenHBand="0" w:firstRowFirstColumn="0" w:firstRowLastColumn="0" w:lastRowFirstColumn="0" w:lastRowLastColumn="0"/>
            </w:pPr>
            <w:r w:rsidRPr="00BE3601">
              <w:t xml:space="preserve">Prefers not to answer </w:t>
            </w:r>
            <w:r w:rsidR="003F1150">
              <w:t>–</w:t>
            </w:r>
            <w:r w:rsidRPr="00BE3601">
              <w:t xml:space="preserve"> Full time</w:t>
            </w:r>
          </w:p>
        </w:tc>
        <w:tc>
          <w:tcPr>
            <w:tcW w:w="1020" w:type="dxa"/>
            <w:shd w:val="clear" w:color="auto" w:fill="F2F2F2" w:themeFill="background1" w:themeFillShade="F2"/>
            <w:noWrap/>
            <w:vAlign w:val="bottom"/>
            <w:hideMark/>
          </w:tcPr>
          <w:p w14:paraId="42AA8E81" w14:textId="23994E1B" w:rsidR="001C1D9B" w:rsidRPr="00BE3601" w:rsidRDefault="001C1D9B" w:rsidP="001A6611">
            <w:pPr>
              <w:pStyle w:val="TableHeadingBoldCn"/>
              <w:jc w:val="right"/>
              <w:cnfStyle w:val="100000000000" w:firstRow="1" w:lastRow="0" w:firstColumn="0" w:lastColumn="0" w:oddVBand="0" w:evenVBand="0" w:oddHBand="0" w:evenHBand="0" w:firstRowFirstColumn="0" w:firstRowLastColumn="0" w:lastRowFirstColumn="0" w:lastRowLastColumn="0"/>
            </w:pPr>
            <w:r w:rsidRPr="00BE3601">
              <w:t xml:space="preserve">Prefers not to answer </w:t>
            </w:r>
            <w:r w:rsidR="003F1150">
              <w:t>–</w:t>
            </w:r>
            <w:r w:rsidRPr="00BE3601">
              <w:t xml:space="preserve"> Part time</w:t>
            </w:r>
          </w:p>
        </w:tc>
        <w:tc>
          <w:tcPr>
            <w:tcW w:w="1020" w:type="dxa"/>
            <w:shd w:val="clear" w:color="auto" w:fill="F2F2F2" w:themeFill="background1" w:themeFillShade="F2"/>
            <w:noWrap/>
            <w:vAlign w:val="bottom"/>
            <w:hideMark/>
          </w:tcPr>
          <w:p w14:paraId="2429CD3F" w14:textId="4588E8FF" w:rsidR="001C1D9B" w:rsidRPr="00BE3601" w:rsidRDefault="001C1D9B" w:rsidP="001A6611">
            <w:pPr>
              <w:pStyle w:val="TableHeadingBoldCn"/>
              <w:jc w:val="right"/>
              <w:cnfStyle w:val="100000000000" w:firstRow="1" w:lastRow="0" w:firstColumn="0" w:lastColumn="0" w:oddVBand="0" w:evenVBand="0" w:oddHBand="0" w:evenHBand="0" w:firstRowFirstColumn="0" w:firstRowLastColumn="0" w:lastRowFirstColumn="0" w:lastRowLastColumn="0"/>
            </w:pPr>
            <w:r w:rsidRPr="00BE3601">
              <w:t xml:space="preserve">Prefers not to answer </w:t>
            </w:r>
            <w:r w:rsidR="003F1150">
              <w:t>–</w:t>
            </w:r>
            <w:r w:rsidRPr="00BE3601">
              <w:t xml:space="preserve"> Total</w:t>
            </w:r>
          </w:p>
        </w:tc>
        <w:tc>
          <w:tcPr>
            <w:tcW w:w="1020" w:type="dxa"/>
            <w:shd w:val="clear" w:color="auto" w:fill="F2F2F2" w:themeFill="background1" w:themeFillShade="F2"/>
            <w:noWrap/>
            <w:vAlign w:val="bottom"/>
            <w:hideMark/>
          </w:tcPr>
          <w:p w14:paraId="72B3B051" w14:textId="52CCA945" w:rsidR="001C1D9B" w:rsidRPr="00BE3601" w:rsidRDefault="001C1D9B" w:rsidP="001A6611">
            <w:pPr>
              <w:pStyle w:val="TableHeadingBoldCn"/>
              <w:jc w:val="right"/>
              <w:cnfStyle w:val="100000000000" w:firstRow="1" w:lastRow="0" w:firstColumn="0" w:lastColumn="0" w:oddVBand="0" w:evenVBand="0" w:oddHBand="0" w:evenHBand="0" w:firstRowFirstColumn="0" w:firstRowLastColumn="0" w:lastRowFirstColumn="0" w:lastRowLastColumn="0"/>
            </w:pPr>
            <w:r w:rsidRPr="00BE3601">
              <w:t xml:space="preserve">Uses a different term </w:t>
            </w:r>
            <w:r w:rsidR="003F1150">
              <w:t>–</w:t>
            </w:r>
            <w:r w:rsidRPr="00BE3601">
              <w:t xml:space="preserve"> Full time</w:t>
            </w:r>
          </w:p>
        </w:tc>
        <w:tc>
          <w:tcPr>
            <w:tcW w:w="1020" w:type="dxa"/>
            <w:shd w:val="clear" w:color="auto" w:fill="F2F2F2" w:themeFill="background1" w:themeFillShade="F2"/>
            <w:noWrap/>
            <w:vAlign w:val="bottom"/>
            <w:hideMark/>
          </w:tcPr>
          <w:p w14:paraId="728009BC" w14:textId="180EE17D" w:rsidR="001C1D9B" w:rsidRPr="00BE3601" w:rsidRDefault="001C1D9B" w:rsidP="001A6611">
            <w:pPr>
              <w:pStyle w:val="TableHeadingBoldCn"/>
              <w:jc w:val="right"/>
              <w:cnfStyle w:val="100000000000" w:firstRow="1" w:lastRow="0" w:firstColumn="0" w:lastColumn="0" w:oddVBand="0" w:evenVBand="0" w:oddHBand="0" w:evenHBand="0" w:firstRowFirstColumn="0" w:firstRowLastColumn="0" w:lastRowFirstColumn="0" w:lastRowLastColumn="0"/>
            </w:pPr>
            <w:r w:rsidRPr="00BE3601">
              <w:t xml:space="preserve">Uses a different term </w:t>
            </w:r>
            <w:r w:rsidR="003F1150">
              <w:t>–</w:t>
            </w:r>
            <w:r w:rsidRPr="00BE3601">
              <w:t xml:space="preserve"> Part time</w:t>
            </w:r>
          </w:p>
        </w:tc>
        <w:tc>
          <w:tcPr>
            <w:tcW w:w="1020" w:type="dxa"/>
            <w:shd w:val="clear" w:color="auto" w:fill="F2F2F2" w:themeFill="background1" w:themeFillShade="F2"/>
            <w:noWrap/>
            <w:vAlign w:val="bottom"/>
            <w:hideMark/>
          </w:tcPr>
          <w:p w14:paraId="35026A4F" w14:textId="5F9F6ACA" w:rsidR="001C1D9B" w:rsidRPr="00BE3601" w:rsidRDefault="001C1D9B" w:rsidP="001A6611">
            <w:pPr>
              <w:pStyle w:val="TableHeadingBoldCn"/>
              <w:jc w:val="right"/>
              <w:cnfStyle w:val="100000000000" w:firstRow="1" w:lastRow="0" w:firstColumn="0" w:lastColumn="0" w:oddVBand="0" w:evenVBand="0" w:oddHBand="0" w:evenHBand="0" w:firstRowFirstColumn="0" w:firstRowLastColumn="0" w:lastRowFirstColumn="0" w:lastRowLastColumn="0"/>
            </w:pPr>
            <w:r w:rsidRPr="00BE3601">
              <w:t xml:space="preserve">Uses a different term </w:t>
            </w:r>
            <w:r w:rsidR="003F1150">
              <w:t>–</w:t>
            </w:r>
            <w:r w:rsidRPr="00BE3601">
              <w:t xml:space="preserve"> Total</w:t>
            </w:r>
          </w:p>
        </w:tc>
        <w:tc>
          <w:tcPr>
            <w:tcW w:w="624" w:type="dxa"/>
            <w:shd w:val="clear" w:color="auto" w:fill="F2F2F2" w:themeFill="background1" w:themeFillShade="F2"/>
            <w:noWrap/>
            <w:vAlign w:val="bottom"/>
            <w:hideMark/>
          </w:tcPr>
          <w:p w14:paraId="38B519AA" w14:textId="77777777" w:rsidR="001C1D9B" w:rsidRPr="00BE3601" w:rsidRDefault="001C1D9B" w:rsidP="001A6611">
            <w:pPr>
              <w:pStyle w:val="TableHeadingBoldCn"/>
              <w:jc w:val="right"/>
              <w:cnfStyle w:val="100000000000" w:firstRow="1" w:lastRow="0" w:firstColumn="0" w:lastColumn="0" w:oddVBand="0" w:evenVBand="0" w:oddHBand="0" w:evenHBand="0" w:firstRowFirstColumn="0" w:firstRowLastColumn="0" w:lastRowFirstColumn="0" w:lastRowLastColumn="0"/>
            </w:pPr>
            <w:r w:rsidRPr="00BE3601">
              <w:t>Total</w:t>
            </w:r>
          </w:p>
        </w:tc>
      </w:tr>
      <w:tr w:rsidR="002D0DC6" w:rsidRPr="001710EC" w14:paraId="20D68B4B" w14:textId="77777777" w:rsidTr="001A6611">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794" w:type="dxa"/>
            <w:tcBorders>
              <w:left w:val="none" w:sz="0" w:space="0" w:color="auto"/>
            </w:tcBorders>
            <w:shd w:val="clear" w:color="auto" w:fill="auto"/>
            <w:noWrap/>
            <w:hideMark/>
          </w:tcPr>
          <w:p w14:paraId="060DC987" w14:textId="77777777" w:rsidR="001C1D9B" w:rsidRPr="00734271" w:rsidRDefault="001C1D9B" w:rsidP="00734271">
            <w:pPr>
              <w:pStyle w:val="TableHeadingPlainCn"/>
              <w:rPr>
                <w:b w:val="0"/>
                <w:bCs w:val="0"/>
                <w:color w:val="auto"/>
              </w:rPr>
            </w:pPr>
            <w:r w:rsidRPr="00734271">
              <w:rPr>
                <w:b w:val="0"/>
                <w:bCs w:val="0"/>
                <w:color w:val="auto"/>
              </w:rPr>
              <w:t>NSW</w:t>
            </w:r>
          </w:p>
        </w:tc>
        <w:tc>
          <w:tcPr>
            <w:tcW w:w="680" w:type="dxa"/>
            <w:shd w:val="clear" w:color="auto" w:fill="auto"/>
            <w:noWrap/>
            <w:hideMark/>
          </w:tcPr>
          <w:p w14:paraId="59F904FA"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16</w:t>
            </w:r>
          </w:p>
        </w:tc>
        <w:tc>
          <w:tcPr>
            <w:tcW w:w="680" w:type="dxa"/>
            <w:shd w:val="clear" w:color="auto" w:fill="auto"/>
            <w:noWrap/>
            <w:hideMark/>
          </w:tcPr>
          <w:p w14:paraId="4140C8DB"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1</w:t>
            </w:r>
          </w:p>
        </w:tc>
        <w:tc>
          <w:tcPr>
            <w:tcW w:w="737" w:type="dxa"/>
            <w:shd w:val="clear" w:color="auto" w:fill="auto"/>
            <w:noWrap/>
            <w:hideMark/>
          </w:tcPr>
          <w:p w14:paraId="6D6651D2"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17</w:t>
            </w:r>
          </w:p>
        </w:tc>
        <w:tc>
          <w:tcPr>
            <w:tcW w:w="850" w:type="dxa"/>
            <w:shd w:val="clear" w:color="auto" w:fill="auto"/>
            <w:noWrap/>
            <w:hideMark/>
          </w:tcPr>
          <w:p w14:paraId="095DE472"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41</w:t>
            </w:r>
          </w:p>
        </w:tc>
        <w:tc>
          <w:tcPr>
            <w:tcW w:w="850" w:type="dxa"/>
            <w:shd w:val="clear" w:color="auto" w:fill="auto"/>
            <w:noWrap/>
            <w:hideMark/>
          </w:tcPr>
          <w:p w14:paraId="7211A654"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18</w:t>
            </w:r>
          </w:p>
        </w:tc>
        <w:tc>
          <w:tcPr>
            <w:tcW w:w="850" w:type="dxa"/>
            <w:shd w:val="clear" w:color="auto" w:fill="auto"/>
            <w:noWrap/>
            <w:hideMark/>
          </w:tcPr>
          <w:p w14:paraId="2A26D835"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59</w:t>
            </w:r>
          </w:p>
        </w:tc>
        <w:tc>
          <w:tcPr>
            <w:tcW w:w="907" w:type="dxa"/>
            <w:shd w:val="clear" w:color="auto" w:fill="auto"/>
            <w:noWrap/>
            <w:hideMark/>
          </w:tcPr>
          <w:p w14:paraId="2F412E1D"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7292E599"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087F2156"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102E925F"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65B20DD7"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7AC9EE4F"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2FC83A8C"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2F7ACB6D"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14DAE1C7"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624" w:type="dxa"/>
            <w:shd w:val="clear" w:color="auto" w:fill="auto"/>
            <w:noWrap/>
            <w:hideMark/>
          </w:tcPr>
          <w:p w14:paraId="2C144638"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76</w:t>
            </w:r>
          </w:p>
        </w:tc>
      </w:tr>
      <w:tr w:rsidR="002D0DC6" w:rsidRPr="001710EC" w14:paraId="3B032327" w14:textId="77777777" w:rsidTr="001A6611">
        <w:trPr>
          <w:trHeight w:val="285"/>
        </w:trPr>
        <w:tc>
          <w:tcPr>
            <w:cnfStyle w:val="001000000000" w:firstRow="0" w:lastRow="0" w:firstColumn="1" w:lastColumn="0" w:oddVBand="0" w:evenVBand="0" w:oddHBand="0" w:evenHBand="0" w:firstRowFirstColumn="0" w:firstRowLastColumn="0" w:lastRowFirstColumn="0" w:lastRowLastColumn="0"/>
            <w:tcW w:w="794" w:type="dxa"/>
            <w:tcBorders>
              <w:left w:val="none" w:sz="0" w:space="0" w:color="auto"/>
            </w:tcBorders>
            <w:shd w:val="clear" w:color="auto" w:fill="auto"/>
            <w:noWrap/>
            <w:hideMark/>
          </w:tcPr>
          <w:p w14:paraId="61AA7185" w14:textId="77777777" w:rsidR="001C1D9B" w:rsidRPr="00734271" w:rsidRDefault="001C1D9B" w:rsidP="00734271">
            <w:pPr>
              <w:pStyle w:val="TableHeadingPlainCn"/>
              <w:rPr>
                <w:b w:val="0"/>
                <w:bCs w:val="0"/>
                <w:color w:val="auto"/>
              </w:rPr>
            </w:pPr>
            <w:r w:rsidRPr="00734271">
              <w:rPr>
                <w:b w:val="0"/>
                <w:bCs w:val="0"/>
                <w:color w:val="auto"/>
              </w:rPr>
              <w:t>QLD</w:t>
            </w:r>
          </w:p>
        </w:tc>
        <w:tc>
          <w:tcPr>
            <w:tcW w:w="680" w:type="dxa"/>
            <w:shd w:val="clear" w:color="auto" w:fill="auto"/>
            <w:noWrap/>
            <w:hideMark/>
          </w:tcPr>
          <w:p w14:paraId="62D1DAC6"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680" w:type="dxa"/>
            <w:shd w:val="clear" w:color="auto" w:fill="auto"/>
            <w:noWrap/>
            <w:hideMark/>
          </w:tcPr>
          <w:p w14:paraId="27C2C781"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737" w:type="dxa"/>
            <w:shd w:val="clear" w:color="auto" w:fill="auto"/>
            <w:noWrap/>
            <w:hideMark/>
          </w:tcPr>
          <w:p w14:paraId="766C7714"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0</w:t>
            </w:r>
          </w:p>
        </w:tc>
        <w:tc>
          <w:tcPr>
            <w:tcW w:w="850" w:type="dxa"/>
            <w:shd w:val="clear" w:color="auto" w:fill="auto"/>
            <w:noWrap/>
            <w:hideMark/>
          </w:tcPr>
          <w:p w14:paraId="3A212497"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2485851B"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1</w:t>
            </w:r>
          </w:p>
        </w:tc>
        <w:tc>
          <w:tcPr>
            <w:tcW w:w="850" w:type="dxa"/>
            <w:shd w:val="clear" w:color="auto" w:fill="auto"/>
            <w:noWrap/>
            <w:hideMark/>
          </w:tcPr>
          <w:p w14:paraId="315024E4"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1</w:t>
            </w:r>
          </w:p>
        </w:tc>
        <w:tc>
          <w:tcPr>
            <w:tcW w:w="907" w:type="dxa"/>
            <w:shd w:val="clear" w:color="auto" w:fill="auto"/>
            <w:noWrap/>
            <w:hideMark/>
          </w:tcPr>
          <w:p w14:paraId="6AA40EA0"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32D1FB20"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3C9BBCCA"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3DA653C5"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30E883DC"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631759D9"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11DECC40"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2B4E74BD"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7BE1470E"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624" w:type="dxa"/>
            <w:shd w:val="clear" w:color="auto" w:fill="auto"/>
            <w:noWrap/>
            <w:hideMark/>
          </w:tcPr>
          <w:p w14:paraId="0C6FE078"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1</w:t>
            </w:r>
          </w:p>
        </w:tc>
      </w:tr>
      <w:tr w:rsidR="002D0DC6" w:rsidRPr="001710EC" w14:paraId="1A4BB191" w14:textId="77777777" w:rsidTr="001A6611">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794" w:type="dxa"/>
            <w:tcBorders>
              <w:left w:val="none" w:sz="0" w:space="0" w:color="auto"/>
            </w:tcBorders>
            <w:shd w:val="clear" w:color="auto" w:fill="auto"/>
            <w:noWrap/>
            <w:hideMark/>
          </w:tcPr>
          <w:p w14:paraId="0268548E" w14:textId="77777777" w:rsidR="001C1D9B" w:rsidRPr="00734271" w:rsidRDefault="001C1D9B" w:rsidP="00734271">
            <w:pPr>
              <w:pStyle w:val="TableHeadingPlainCn"/>
              <w:rPr>
                <w:b w:val="0"/>
                <w:bCs w:val="0"/>
                <w:color w:val="auto"/>
              </w:rPr>
            </w:pPr>
            <w:r w:rsidRPr="00734271">
              <w:rPr>
                <w:b w:val="0"/>
                <w:bCs w:val="0"/>
                <w:color w:val="auto"/>
              </w:rPr>
              <w:t>SA</w:t>
            </w:r>
          </w:p>
        </w:tc>
        <w:tc>
          <w:tcPr>
            <w:tcW w:w="680" w:type="dxa"/>
            <w:shd w:val="clear" w:color="auto" w:fill="auto"/>
            <w:noWrap/>
            <w:hideMark/>
          </w:tcPr>
          <w:p w14:paraId="778086B4"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680" w:type="dxa"/>
            <w:shd w:val="clear" w:color="auto" w:fill="auto"/>
            <w:noWrap/>
            <w:hideMark/>
          </w:tcPr>
          <w:p w14:paraId="18BC8D4C"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1</w:t>
            </w:r>
          </w:p>
        </w:tc>
        <w:tc>
          <w:tcPr>
            <w:tcW w:w="737" w:type="dxa"/>
            <w:shd w:val="clear" w:color="auto" w:fill="auto"/>
            <w:noWrap/>
            <w:hideMark/>
          </w:tcPr>
          <w:p w14:paraId="1485685D"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1</w:t>
            </w:r>
          </w:p>
        </w:tc>
        <w:tc>
          <w:tcPr>
            <w:tcW w:w="850" w:type="dxa"/>
            <w:shd w:val="clear" w:color="auto" w:fill="auto"/>
            <w:noWrap/>
            <w:hideMark/>
          </w:tcPr>
          <w:p w14:paraId="5D0183C3"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1E28B0B9"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1A107DBB"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0</w:t>
            </w:r>
          </w:p>
        </w:tc>
        <w:tc>
          <w:tcPr>
            <w:tcW w:w="907" w:type="dxa"/>
            <w:shd w:val="clear" w:color="auto" w:fill="auto"/>
            <w:noWrap/>
            <w:hideMark/>
          </w:tcPr>
          <w:p w14:paraId="05B41E38"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69F7EF0E"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679AEC70"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3D6D644C"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28AD88C2"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24644974"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3662ABDA"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02679354"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5A8BBBC8"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624" w:type="dxa"/>
            <w:shd w:val="clear" w:color="auto" w:fill="auto"/>
            <w:noWrap/>
            <w:hideMark/>
          </w:tcPr>
          <w:p w14:paraId="3DAFBF53"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1</w:t>
            </w:r>
          </w:p>
        </w:tc>
      </w:tr>
      <w:tr w:rsidR="002D0DC6" w:rsidRPr="001710EC" w14:paraId="047D95A1" w14:textId="77777777" w:rsidTr="001A6611">
        <w:trPr>
          <w:trHeight w:val="285"/>
        </w:trPr>
        <w:tc>
          <w:tcPr>
            <w:cnfStyle w:val="001000000000" w:firstRow="0" w:lastRow="0" w:firstColumn="1" w:lastColumn="0" w:oddVBand="0" w:evenVBand="0" w:oddHBand="0" w:evenHBand="0" w:firstRowFirstColumn="0" w:firstRowLastColumn="0" w:lastRowFirstColumn="0" w:lastRowLastColumn="0"/>
            <w:tcW w:w="794" w:type="dxa"/>
            <w:tcBorders>
              <w:left w:val="none" w:sz="0" w:space="0" w:color="auto"/>
            </w:tcBorders>
            <w:shd w:val="clear" w:color="auto" w:fill="auto"/>
            <w:noWrap/>
            <w:hideMark/>
          </w:tcPr>
          <w:p w14:paraId="64E7B60E" w14:textId="77777777" w:rsidR="001C1D9B" w:rsidRPr="00734271" w:rsidRDefault="001C1D9B" w:rsidP="00734271">
            <w:pPr>
              <w:pStyle w:val="TableHeadingPlainCn"/>
              <w:rPr>
                <w:b w:val="0"/>
                <w:bCs w:val="0"/>
                <w:color w:val="auto"/>
              </w:rPr>
            </w:pPr>
            <w:r w:rsidRPr="00734271">
              <w:rPr>
                <w:b w:val="0"/>
                <w:bCs w:val="0"/>
                <w:color w:val="auto"/>
              </w:rPr>
              <w:t>TAS</w:t>
            </w:r>
          </w:p>
        </w:tc>
        <w:tc>
          <w:tcPr>
            <w:tcW w:w="680" w:type="dxa"/>
            <w:shd w:val="clear" w:color="auto" w:fill="auto"/>
            <w:noWrap/>
            <w:hideMark/>
          </w:tcPr>
          <w:p w14:paraId="284021A3"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680" w:type="dxa"/>
            <w:shd w:val="clear" w:color="auto" w:fill="auto"/>
            <w:noWrap/>
            <w:hideMark/>
          </w:tcPr>
          <w:p w14:paraId="3F5728EE"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737" w:type="dxa"/>
            <w:shd w:val="clear" w:color="auto" w:fill="auto"/>
            <w:noWrap/>
            <w:hideMark/>
          </w:tcPr>
          <w:p w14:paraId="0DCA0D94"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0</w:t>
            </w:r>
          </w:p>
        </w:tc>
        <w:tc>
          <w:tcPr>
            <w:tcW w:w="850" w:type="dxa"/>
            <w:shd w:val="clear" w:color="auto" w:fill="auto"/>
            <w:noWrap/>
            <w:hideMark/>
          </w:tcPr>
          <w:p w14:paraId="1B779573"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55AD1679"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6C43F48C"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0</w:t>
            </w:r>
          </w:p>
        </w:tc>
        <w:tc>
          <w:tcPr>
            <w:tcW w:w="907" w:type="dxa"/>
            <w:shd w:val="clear" w:color="auto" w:fill="auto"/>
            <w:noWrap/>
            <w:hideMark/>
          </w:tcPr>
          <w:p w14:paraId="0609A1D6"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3A9255B3"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1AEE8E65"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4CD96E6A"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4C6DBB6A"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28BBA25B"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41505686"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421427E0"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1A4A8402"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624" w:type="dxa"/>
            <w:shd w:val="clear" w:color="auto" w:fill="auto"/>
            <w:noWrap/>
            <w:hideMark/>
          </w:tcPr>
          <w:p w14:paraId="37B70D14"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0</w:t>
            </w:r>
          </w:p>
        </w:tc>
      </w:tr>
      <w:tr w:rsidR="002D0DC6" w:rsidRPr="001710EC" w14:paraId="0F9CF346" w14:textId="77777777" w:rsidTr="001A6611">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794" w:type="dxa"/>
            <w:tcBorders>
              <w:left w:val="none" w:sz="0" w:space="0" w:color="auto"/>
            </w:tcBorders>
            <w:shd w:val="clear" w:color="auto" w:fill="auto"/>
            <w:noWrap/>
            <w:hideMark/>
          </w:tcPr>
          <w:p w14:paraId="60E20167" w14:textId="77777777" w:rsidR="001C1D9B" w:rsidRPr="00734271" w:rsidRDefault="001C1D9B" w:rsidP="00734271">
            <w:pPr>
              <w:pStyle w:val="TableHeadingPlainCn"/>
              <w:rPr>
                <w:b w:val="0"/>
                <w:bCs w:val="0"/>
                <w:color w:val="auto"/>
              </w:rPr>
            </w:pPr>
            <w:r w:rsidRPr="00734271">
              <w:rPr>
                <w:b w:val="0"/>
                <w:bCs w:val="0"/>
                <w:color w:val="auto"/>
              </w:rPr>
              <w:t>VIC</w:t>
            </w:r>
          </w:p>
        </w:tc>
        <w:tc>
          <w:tcPr>
            <w:tcW w:w="680" w:type="dxa"/>
            <w:shd w:val="clear" w:color="auto" w:fill="auto"/>
            <w:noWrap/>
            <w:hideMark/>
          </w:tcPr>
          <w:p w14:paraId="595CA3EF"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1</w:t>
            </w:r>
          </w:p>
        </w:tc>
        <w:tc>
          <w:tcPr>
            <w:tcW w:w="680" w:type="dxa"/>
            <w:shd w:val="clear" w:color="auto" w:fill="auto"/>
            <w:noWrap/>
            <w:hideMark/>
          </w:tcPr>
          <w:p w14:paraId="5209E7A8"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737" w:type="dxa"/>
            <w:shd w:val="clear" w:color="auto" w:fill="auto"/>
            <w:noWrap/>
            <w:hideMark/>
          </w:tcPr>
          <w:p w14:paraId="6108FE15"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1</w:t>
            </w:r>
          </w:p>
        </w:tc>
        <w:tc>
          <w:tcPr>
            <w:tcW w:w="850" w:type="dxa"/>
            <w:shd w:val="clear" w:color="auto" w:fill="auto"/>
            <w:noWrap/>
            <w:hideMark/>
          </w:tcPr>
          <w:p w14:paraId="3108549B"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2</w:t>
            </w:r>
          </w:p>
        </w:tc>
        <w:tc>
          <w:tcPr>
            <w:tcW w:w="850" w:type="dxa"/>
            <w:shd w:val="clear" w:color="auto" w:fill="auto"/>
            <w:noWrap/>
            <w:hideMark/>
          </w:tcPr>
          <w:p w14:paraId="27A28425"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20B43E02"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2</w:t>
            </w:r>
          </w:p>
        </w:tc>
        <w:tc>
          <w:tcPr>
            <w:tcW w:w="907" w:type="dxa"/>
            <w:shd w:val="clear" w:color="auto" w:fill="auto"/>
            <w:noWrap/>
            <w:hideMark/>
          </w:tcPr>
          <w:p w14:paraId="3DBB9FE7"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61F23E34"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25493034"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03CAF02B"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1B6C5AB8"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26E1080E"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21FED84E"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48BCEC4C"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12C1EFC9"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624" w:type="dxa"/>
            <w:shd w:val="clear" w:color="auto" w:fill="auto"/>
            <w:noWrap/>
            <w:hideMark/>
          </w:tcPr>
          <w:p w14:paraId="3518B322"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3</w:t>
            </w:r>
          </w:p>
        </w:tc>
      </w:tr>
      <w:tr w:rsidR="002D0DC6" w:rsidRPr="001710EC" w14:paraId="648FF642" w14:textId="77777777" w:rsidTr="001A6611">
        <w:trPr>
          <w:trHeight w:val="285"/>
        </w:trPr>
        <w:tc>
          <w:tcPr>
            <w:cnfStyle w:val="001000000000" w:firstRow="0" w:lastRow="0" w:firstColumn="1" w:lastColumn="0" w:oddVBand="0" w:evenVBand="0" w:oddHBand="0" w:evenHBand="0" w:firstRowFirstColumn="0" w:firstRowLastColumn="0" w:lastRowFirstColumn="0" w:lastRowLastColumn="0"/>
            <w:tcW w:w="794" w:type="dxa"/>
            <w:tcBorders>
              <w:left w:val="none" w:sz="0" w:space="0" w:color="auto"/>
            </w:tcBorders>
            <w:shd w:val="clear" w:color="auto" w:fill="auto"/>
            <w:noWrap/>
            <w:hideMark/>
          </w:tcPr>
          <w:p w14:paraId="132D88B1" w14:textId="77777777" w:rsidR="001C1D9B" w:rsidRPr="00734271" w:rsidRDefault="001C1D9B" w:rsidP="00734271">
            <w:pPr>
              <w:pStyle w:val="TableHeadingPlainCn"/>
              <w:rPr>
                <w:b w:val="0"/>
                <w:bCs w:val="0"/>
                <w:color w:val="auto"/>
              </w:rPr>
            </w:pPr>
            <w:r w:rsidRPr="00734271">
              <w:rPr>
                <w:b w:val="0"/>
                <w:bCs w:val="0"/>
                <w:color w:val="auto"/>
              </w:rPr>
              <w:t>WA</w:t>
            </w:r>
          </w:p>
        </w:tc>
        <w:tc>
          <w:tcPr>
            <w:tcW w:w="680" w:type="dxa"/>
            <w:shd w:val="clear" w:color="auto" w:fill="auto"/>
            <w:noWrap/>
            <w:hideMark/>
          </w:tcPr>
          <w:p w14:paraId="54E1B3FC"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680" w:type="dxa"/>
            <w:shd w:val="clear" w:color="auto" w:fill="auto"/>
            <w:noWrap/>
            <w:hideMark/>
          </w:tcPr>
          <w:p w14:paraId="71C2A189"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737" w:type="dxa"/>
            <w:shd w:val="clear" w:color="auto" w:fill="auto"/>
            <w:noWrap/>
            <w:hideMark/>
          </w:tcPr>
          <w:p w14:paraId="52BC008D"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0</w:t>
            </w:r>
          </w:p>
        </w:tc>
        <w:tc>
          <w:tcPr>
            <w:tcW w:w="850" w:type="dxa"/>
            <w:shd w:val="clear" w:color="auto" w:fill="auto"/>
            <w:noWrap/>
            <w:hideMark/>
          </w:tcPr>
          <w:p w14:paraId="116DFDC3"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1</w:t>
            </w:r>
          </w:p>
        </w:tc>
        <w:tc>
          <w:tcPr>
            <w:tcW w:w="850" w:type="dxa"/>
            <w:shd w:val="clear" w:color="auto" w:fill="auto"/>
            <w:noWrap/>
            <w:hideMark/>
          </w:tcPr>
          <w:p w14:paraId="43ACE1D4"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5A606080"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1</w:t>
            </w:r>
          </w:p>
        </w:tc>
        <w:tc>
          <w:tcPr>
            <w:tcW w:w="907" w:type="dxa"/>
            <w:shd w:val="clear" w:color="auto" w:fill="auto"/>
            <w:noWrap/>
            <w:hideMark/>
          </w:tcPr>
          <w:p w14:paraId="3E62EA36"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73C0000B"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27CE8B73"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39C89285"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5EA9C6B1"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32384DFE"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3514CD02"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7A09A75B"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5F6641E5"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624" w:type="dxa"/>
            <w:shd w:val="clear" w:color="auto" w:fill="auto"/>
            <w:noWrap/>
            <w:hideMark/>
          </w:tcPr>
          <w:p w14:paraId="70FAE77F"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1</w:t>
            </w:r>
          </w:p>
        </w:tc>
      </w:tr>
      <w:tr w:rsidR="002D0DC6" w:rsidRPr="001710EC" w14:paraId="4B16B436" w14:textId="77777777" w:rsidTr="001A6611">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794" w:type="dxa"/>
            <w:tcBorders>
              <w:left w:val="none" w:sz="0" w:space="0" w:color="auto"/>
            </w:tcBorders>
            <w:shd w:val="clear" w:color="auto" w:fill="auto"/>
            <w:noWrap/>
            <w:hideMark/>
          </w:tcPr>
          <w:p w14:paraId="01E73D63" w14:textId="77777777" w:rsidR="001C1D9B" w:rsidRPr="00734271" w:rsidRDefault="001C1D9B" w:rsidP="00734271">
            <w:pPr>
              <w:pStyle w:val="TableHeadingPlainCn"/>
              <w:rPr>
                <w:b w:val="0"/>
                <w:bCs w:val="0"/>
                <w:color w:val="auto"/>
              </w:rPr>
            </w:pPr>
            <w:r w:rsidRPr="00734271">
              <w:rPr>
                <w:b w:val="0"/>
                <w:bCs w:val="0"/>
                <w:color w:val="auto"/>
              </w:rPr>
              <w:t>ACT</w:t>
            </w:r>
          </w:p>
        </w:tc>
        <w:tc>
          <w:tcPr>
            <w:tcW w:w="680" w:type="dxa"/>
            <w:shd w:val="clear" w:color="auto" w:fill="auto"/>
            <w:noWrap/>
            <w:hideMark/>
          </w:tcPr>
          <w:p w14:paraId="1F2AB8A9"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680" w:type="dxa"/>
            <w:shd w:val="clear" w:color="auto" w:fill="auto"/>
            <w:noWrap/>
            <w:hideMark/>
          </w:tcPr>
          <w:p w14:paraId="44FAFFFE"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737" w:type="dxa"/>
            <w:shd w:val="clear" w:color="auto" w:fill="auto"/>
            <w:noWrap/>
            <w:hideMark/>
          </w:tcPr>
          <w:p w14:paraId="6C3B8086"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0</w:t>
            </w:r>
          </w:p>
        </w:tc>
        <w:tc>
          <w:tcPr>
            <w:tcW w:w="850" w:type="dxa"/>
            <w:shd w:val="clear" w:color="auto" w:fill="auto"/>
            <w:noWrap/>
            <w:hideMark/>
          </w:tcPr>
          <w:p w14:paraId="41BE78EF"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1</w:t>
            </w:r>
          </w:p>
        </w:tc>
        <w:tc>
          <w:tcPr>
            <w:tcW w:w="850" w:type="dxa"/>
            <w:shd w:val="clear" w:color="auto" w:fill="auto"/>
            <w:noWrap/>
            <w:hideMark/>
          </w:tcPr>
          <w:p w14:paraId="43324429"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7A6DC2D7"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1</w:t>
            </w:r>
          </w:p>
        </w:tc>
        <w:tc>
          <w:tcPr>
            <w:tcW w:w="907" w:type="dxa"/>
            <w:shd w:val="clear" w:color="auto" w:fill="auto"/>
            <w:noWrap/>
            <w:hideMark/>
          </w:tcPr>
          <w:p w14:paraId="5FD8AC29"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16519D0E"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5402D4BD"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0BA82869"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4D22FE23"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527C752E"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0BA85834"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544C8B58"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178AA19D"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624" w:type="dxa"/>
            <w:shd w:val="clear" w:color="auto" w:fill="auto"/>
            <w:noWrap/>
            <w:hideMark/>
          </w:tcPr>
          <w:p w14:paraId="3C66B411"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1</w:t>
            </w:r>
          </w:p>
        </w:tc>
      </w:tr>
      <w:tr w:rsidR="002D0DC6" w:rsidRPr="001710EC" w14:paraId="2260A6AF" w14:textId="77777777" w:rsidTr="001A6611">
        <w:trPr>
          <w:trHeight w:val="285"/>
        </w:trPr>
        <w:tc>
          <w:tcPr>
            <w:cnfStyle w:val="001000000000" w:firstRow="0" w:lastRow="0" w:firstColumn="1" w:lastColumn="0" w:oddVBand="0" w:evenVBand="0" w:oddHBand="0" w:evenHBand="0" w:firstRowFirstColumn="0" w:firstRowLastColumn="0" w:lastRowFirstColumn="0" w:lastRowLastColumn="0"/>
            <w:tcW w:w="794" w:type="dxa"/>
            <w:tcBorders>
              <w:left w:val="none" w:sz="0" w:space="0" w:color="auto"/>
            </w:tcBorders>
            <w:shd w:val="clear" w:color="auto" w:fill="auto"/>
            <w:noWrap/>
            <w:hideMark/>
          </w:tcPr>
          <w:p w14:paraId="410C52C2" w14:textId="77777777" w:rsidR="001C1D9B" w:rsidRPr="00734271" w:rsidRDefault="001C1D9B" w:rsidP="00734271">
            <w:pPr>
              <w:pStyle w:val="TableHeadingPlainCn"/>
              <w:rPr>
                <w:b w:val="0"/>
                <w:bCs w:val="0"/>
                <w:color w:val="auto"/>
              </w:rPr>
            </w:pPr>
            <w:r w:rsidRPr="00734271">
              <w:rPr>
                <w:b w:val="0"/>
                <w:bCs w:val="0"/>
                <w:color w:val="auto"/>
              </w:rPr>
              <w:t>NT</w:t>
            </w:r>
          </w:p>
        </w:tc>
        <w:tc>
          <w:tcPr>
            <w:tcW w:w="680" w:type="dxa"/>
            <w:shd w:val="clear" w:color="auto" w:fill="auto"/>
            <w:noWrap/>
            <w:hideMark/>
          </w:tcPr>
          <w:p w14:paraId="10CFBFD6"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680" w:type="dxa"/>
            <w:shd w:val="clear" w:color="auto" w:fill="auto"/>
            <w:noWrap/>
            <w:hideMark/>
          </w:tcPr>
          <w:p w14:paraId="0CFF22AD"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737" w:type="dxa"/>
            <w:shd w:val="clear" w:color="auto" w:fill="auto"/>
            <w:noWrap/>
            <w:hideMark/>
          </w:tcPr>
          <w:p w14:paraId="32E20796"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0</w:t>
            </w:r>
          </w:p>
        </w:tc>
        <w:tc>
          <w:tcPr>
            <w:tcW w:w="850" w:type="dxa"/>
            <w:shd w:val="clear" w:color="auto" w:fill="auto"/>
            <w:noWrap/>
            <w:hideMark/>
          </w:tcPr>
          <w:p w14:paraId="2449DCEF"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40AD95B1"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5E546B1C"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0</w:t>
            </w:r>
          </w:p>
        </w:tc>
        <w:tc>
          <w:tcPr>
            <w:tcW w:w="907" w:type="dxa"/>
            <w:shd w:val="clear" w:color="auto" w:fill="auto"/>
            <w:noWrap/>
            <w:hideMark/>
          </w:tcPr>
          <w:p w14:paraId="679DF9C5"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3283EA49"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09BFC5B2"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1D0FE29B"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05751CD8"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78E03759"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4CB849F7"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54FA73A7"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2733AF3A"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624" w:type="dxa"/>
            <w:shd w:val="clear" w:color="auto" w:fill="auto"/>
            <w:noWrap/>
            <w:hideMark/>
          </w:tcPr>
          <w:p w14:paraId="04D60A95"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0</w:t>
            </w:r>
          </w:p>
        </w:tc>
      </w:tr>
      <w:tr w:rsidR="002D0DC6" w:rsidRPr="001710EC" w14:paraId="322534A4" w14:textId="77777777" w:rsidTr="001A6611">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794" w:type="dxa"/>
            <w:tcBorders>
              <w:left w:val="none" w:sz="0" w:space="0" w:color="auto"/>
            </w:tcBorders>
            <w:shd w:val="clear" w:color="auto" w:fill="auto"/>
            <w:noWrap/>
            <w:hideMark/>
          </w:tcPr>
          <w:p w14:paraId="70E75605" w14:textId="4130221C" w:rsidR="001C1D9B" w:rsidRPr="00734271" w:rsidRDefault="7A619F6E" w:rsidP="00734271">
            <w:pPr>
              <w:pStyle w:val="TableHeadingPlainCn"/>
              <w:rPr>
                <w:b w:val="0"/>
                <w:bCs w:val="0"/>
                <w:color w:val="auto"/>
              </w:rPr>
            </w:pPr>
            <w:r w:rsidRPr="00734271">
              <w:rPr>
                <w:b w:val="0"/>
                <w:bCs w:val="0"/>
                <w:color w:val="auto"/>
              </w:rPr>
              <w:t>External</w:t>
            </w:r>
          </w:p>
        </w:tc>
        <w:tc>
          <w:tcPr>
            <w:tcW w:w="680" w:type="dxa"/>
            <w:shd w:val="clear" w:color="auto" w:fill="auto"/>
            <w:noWrap/>
            <w:hideMark/>
          </w:tcPr>
          <w:p w14:paraId="75DC04D6"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680" w:type="dxa"/>
            <w:shd w:val="clear" w:color="auto" w:fill="auto"/>
            <w:noWrap/>
            <w:hideMark/>
          </w:tcPr>
          <w:p w14:paraId="14B26BDF"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737" w:type="dxa"/>
            <w:shd w:val="clear" w:color="auto" w:fill="auto"/>
            <w:noWrap/>
            <w:hideMark/>
          </w:tcPr>
          <w:p w14:paraId="1BE113AB"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0</w:t>
            </w:r>
          </w:p>
        </w:tc>
        <w:tc>
          <w:tcPr>
            <w:tcW w:w="850" w:type="dxa"/>
            <w:shd w:val="clear" w:color="auto" w:fill="auto"/>
            <w:noWrap/>
            <w:hideMark/>
          </w:tcPr>
          <w:p w14:paraId="24BC4FCE"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674E4CA7"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41DF9310"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0</w:t>
            </w:r>
          </w:p>
        </w:tc>
        <w:tc>
          <w:tcPr>
            <w:tcW w:w="907" w:type="dxa"/>
            <w:shd w:val="clear" w:color="auto" w:fill="auto"/>
            <w:noWrap/>
            <w:hideMark/>
          </w:tcPr>
          <w:p w14:paraId="391991F9"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2501CA09"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50B0872C"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1F3E7CE7"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3B4A5C32"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2EBFBF6F"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0D1FD3ED"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1911F355"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60B0BB40"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p>
        </w:tc>
        <w:tc>
          <w:tcPr>
            <w:tcW w:w="624" w:type="dxa"/>
            <w:shd w:val="clear" w:color="auto" w:fill="auto"/>
            <w:noWrap/>
            <w:hideMark/>
          </w:tcPr>
          <w:p w14:paraId="770C6901" w14:textId="77777777" w:rsidR="001C1D9B" w:rsidRPr="001710EC" w:rsidRDefault="001C1D9B" w:rsidP="001A6611">
            <w:pPr>
              <w:pStyle w:val="TableHeadingPlainCn"/>
              <w:jc w:val="right"/>
              <w:cnfStyle w:val="000000100000" w:firstRow="0" w:lastRow="0" w:firstColumn="0" w:lastColumn="0" w:oddVBand="0" w:evenVBand="0" w:oddHBand="1" w:evenHBand="0" w:firstRowFirstColumn="0" w:firstRowLastColumn="0" w:lastRowFirstColumn="0" w:lastRowLastColumn="0"/>
            </w:pPr>
            <w:r w:rsidRPr="001710EC">
              <w:t>0</w:t>
            </w:r>
          </w:p>
        </w:tc>
      </w:tr>
      <w:tr w:rsidR="002D0DC6" w:rsidRPr="001710EC" w14:paraId="7CF67CF8" w14:textId="77777777" w:rsidTr="001A6611">
        <w:trPr>
          <w:trHeight w:val="285"/>
        </w:trPr>
        <w:tc>
          <w:tcPr>
            <w:cnfStyle w:val="001000000000" w:firstRow="0" w:lastRow="0" w:firstColumn="1" w:lastColumn="0" w:oddVBand="0" w:evenVBand="0" w:oddHBand="0" w:evenHBand="0" w:firstRowFirstColumn="0" w:firstRowLastColumn="0" w:lastRowFirstColumn="0" w:lastRowLastColumn="0"/>
            <w:tcW w:w="794" w:type="dxa"/>
            <w:tcBorders>
              <w:left w:val="none" w:sz="0" w:space="0" w:color="auto"/>
            </w:tcBorders>
            <w:shd w:val="clear" w:color="auto" w:fill="auto"/>
            <w:noWrap/>
            <w:hideMark/>
          </w:tcPr>
          <w:p w14:paraId="586132FF" w14:textId="77777777" w:rsidR="001C1D9B" w:rsidRPr="00734271" w:rsidRDefault="001C1D9B" w:rsidP="00734271">
            <w:pPr>
              <w:pStyle w:val="TableHeadingPlainCn"/>
              <w:rPr>
                <w:b w:val="0"/>
                <w:bCs w:val="0"/>
                <w:color w:val="auto"/>
              </w:rPr>
            </w:pPr>
            <w:r w:rsidRPr="00734271">
              <w:rPr>
                <w:b w:val="0"/>
                <w:bCs w:val="0"/>
                <w:color w:val="auto"/>
              </w:rPr>
              <w:t>Overseas</w:t>
            </w:r>
          </w:p>
        </w:tc>
        <w:tc>
          <w:tcPr>
            <w:tcW w:w="680" w:type="dxa"/>
            <w:shd w:val="clear" w:color="auto" w:fill="auto"/>
            <w:noWrap/>
            <w:hideMark/>
          </w:tcPr>
          <w:p w14:paraId="23EE3C0D"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680" w:type="dxa"/>
            <w:shd w:val="clear" w:color="auto" w:fill="auto"/>
            <w:noWrap/>
            <w:hideMark/>
          </w:tcPr>
          <w:p w14:paraId="05828948"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737" w:type="dxa"/>
            <w:shd w:val="clear" w:color="auto" w:fill="auto"/>
            <w:noWrap/>
            <w:hideMark/>
          </w:tcPr>
          <w:p w14:paraId="7BD9385D"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0</w:t>
            </w:r>
          </w:p>
        </w:tc>
        <w:tc>
          <w:tcPr>
            <w:tcW w:w="850" w:type="dxa"/>
            <w:shd w:val="clear" w:color="auto" w:fill="auto"/>
            <w:noWrap/>
            <w:hideMark/>
          </w:tcPr>
          <w:p w14:paraId="5754443D"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56CACD1F"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3D2C0CDB"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0</w:t>
            </w:r>
          </w:p>
        </w:tc>
        <w:tc>
          <w:tcPr>
            <w:tcW w:w="907" w:type="dxa"/>
            <w:shd w:val="clear" w:color="auto" w:fill="auto"/>
            <w:noWrap/>
            <w:hideMark/>
          </w:tcPr>
          <w:p w14:paraId="5DF60B4B"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431C1F00"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850" w:type="dxa"/>
            <w:shd w:val="clear" w:color="auto" w:fill="auto"/>
            <w:noWrap/>
            <w:hideMark/>
          </w:tcPr>
          <w:p w14:paraId="28DE2C47"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6E555B22"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5B962228"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29A94DA5"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5F14891B"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31DCCCAB"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1020" w:type="dxa"/>
            <w:shd w:val="clear" w:color="auto" w:fill="auto"/>
            <w:noWrap/>
            <w:hideMark/>
          </w:tcPr>
          <w:p w14:paraId="7EA47942"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p>
        </w:tc>
        <w:tc>
          <w:tcPr>
            <w:tcW w:w="624" w:type="dxa"/>
            <w:shd w:val="clear" w:color="auto" w:fill="auto"/>
            <w:noWrap/>
            <w:hideMark/>
          </w:tcPr>
          <w:p w14:paraId="06CCE193" w14:textId="77777777" w:rsidR="001C1D9B" w:rsidRPr="001710EC" w:rsidRDefault="001C1D9B" w:rsidP="001A6611">
            <w:pPr>
              <w:pStyle w:val="TableHeadingPlainCn"/>
              <w:jc w:val="right"/>
              <w:cnfStyle w:val="000000000000" w:firstRow="0" w:lastRow="0" w:firstColumn="0" w:lastColumn="0" w:oddVBand="0" w:evenVBand="0" w:oddHBand="0" w:evenHBand="0" w:firstRowFirstColumn="0" w:firstRowLastColumn="0" w:lastRowFirstColumn="0" w:lastRowLastColumn="0"/>
            </w:pPr>
            <w:r w:rsidRPr="001710EC">
              <w:t>0</w:t>
            </w:r>
          </w:p>
        </w:tc>
      </w:tr>
      <w:tr w:rsidR="002D0DC6" w:rsidRPr="001710EC" w14:paraId="388F99E5" w14:textId="77777777" w:rsidTr="001A6611">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794" w:type="dxa"/>
            <w:tcBorders>
              <w:left w:val="none" w:sz="0" w:space="0" w:color="auto"/>
              <w:bottom w:val="none" w:sz="0" w:space="0" w:color="auto"/>
            </w:tcBorders>
            <w:shd w:val="clear" w:color="auto" w:fill="auto"/>
            <w:noWrap/>
            <w:hideMark/>
          </w:tcPr>
          <w:p w14:paraId="17253B9E" w14:textId="77777777" w:rsidR="001C1D9B" w:rsidRPr="00BE3601" w:rsidRDefault="001C1D9B" w:rsidP="00BE3601">
            <w:pPr>
              <w:pStyle w:val="TableHeadingBoldCn"/>
            </w:pPr>
            <w:r w:rsidRPr="00BE3601">
              <w:t>Total</w:t>
            </w:r>
          </w:p>
        </w:tc>
        <w:tc>
          <w:tcPr>
            <w:tcW w:w="680" w:type="dxa"/>
            <w:shd w:val="clear" w:color="auto" w:fill="auto"/>
            <w:noWrap/>
            <w:hideMark/>
          </w:tcPr>
          <w:p w14:paraId="0A6CEA41" w14:textId="77777777" w:rsidR="001C1D9B" w:rsidRPr="001710EC" w:rsidRDefault="001C1D9B" w:rsidP="001A6611">
            <w:pPr>
              <w:pStyle w:val="TableHeadingBoldCn"/>
              <w:jc w:val="right"/>
              <w:cnfStyle w:val="000000100000" w:firstRow="0" w:lastRow="0" w:firstColumn="0" w:lastColumn="0" w:oddVBand="0" w:evenVBand="0" w:oddHBand="1" w:evenHBand="0" w:firstRowFirstColumn="0" w:firstRowLastColumn="0" w:lastRowFirstColumn="0" w:lastRowLastColumn="0"/>
            </w:pPr>
            <w:r w:rsidRPr="001710EC">
              <w:t>17</w:t>
            </w:r>
          </w:p>
        </w:tc>
        <w:tc>
          <w:tcPr>
            <w:tcW w:w="680" w:type="dxa"/>
            <w:shd w:val="clear" w:color="auto" w:fill="auto"/>
            <w:noWrap/>
            <w:hideMark/>
          </w:tcPr>
          <w:p w14:paraId="0F636887" w14:textId="77777777" w:rsidR="001C1D9B" w:rsidRPr="001710EC" w:rsidRDefault="001C1D9B" w:rsidP="001A6611">
            <w:pPr>
              <w:pStyle w:val="TableHeadingBoldCn"/>
              <w:jc w:val="right"/>
              <w:cnfStyle w:val="000000100000" w:firstRow="0" w:lastRow="0" w:firstColumn="0" w:lastColumn="0" w:oddVBand="0" w:evenVBand="0" w:oddHBand="1" w:evenHBand="0" w:firstRowFirstColumn="0" w:firstRowLastColumn="0" w:lastRowFirstColumn="0" w:lastRowLastColumn="0"/>
            </w:pPr>
            <w:r w:rsidRPr="001710EC">
              <w:t>2</w:t>
            </w:r>
          </w:p>
        </w:tc>
        <w:tc>
          <w:tcPr>
            <w:tcW w:w="737" w:type="dxa"/>
            <w:shd w:val="clear" w:color="auto" w:fill="auto"/>
            <w:noWrap/>
            <w:hideMark/>
          </w:tcPr>
          <w:p w14:paraId="73ADBD42" w14:textId="77777777" w:rsidR="001C1D9B" w:rsidRPr="001710EC" w:rsidRDefault="001C1D9B" w:rsidP="001A6611">
            <w:pPr>
              <w:pStyle w:val="TableHeadingBoldCn"/>
              <w:jc w:val="right"/>
              <w:cnfStyle w:val="000000100000" w:firstRow="0" w:lastRow="0" w:firstColumn="0" w:lastColumn="0" w:oddVBand="0" w:evenVBand="0" w:oddHBand="1" w:evenHBand="0" w:firstRowFirstColumn="0" w:firstRowLastColumn="0" w:lastRowFirstColumn="0" w:lastRowLastColumn="0"/>
            </w:pPr>
            <w:r w:rsidRPr="001710EC">
              <w:t>19</w:t>
            </w:r>
          </w:p>
        </w:tc>
        <w:tc>
          <w:tcPr>
            <w:tcW w:w="850" w:type="dxa"/>
            <w:shd w:val="clear" w:color="auto" w:fill="auto"/>
            <w:noWrap/>
            <w:hideMark/>
          </w:tcPr>
          <w:p w14:paraId="6B429259" w14:textId="77777777" w:rsidR="001C1D9B" w:rsidRPr="001710EC" w:rsidRDefault="001C1D9B" w:rsidP="001A6611">
            <w:pPr>
              <w:pStyle w:val="TableHeadingBoldCn"/>
              <w:jc w:val="right"/>
              <w:cnfStyle w:val="000000100000" w:firstRow="0" w:lastRow="0" w:firstColumn="0" w:lastColumn="0" w:oddVBand="0" w:evenVBand="0" w:oddHBand="1" w:evenHBand="0" w:firstRowFirstColumn="0" w:firstRowLastColumn="0" w:lastRowFirstColumn="0" w:lastRowLastColumn="0"/>
            </w:pPr>
            <w:r w:rsidRPr="001710EC">
              <w:t>45</w:t>
            </w:r>
          </w:p>
        </w:tc>
        <w:tc>
          <w:tcPr>
            <w:tcW w:w="850" w:type="dxa"/>
            <w:shd w:val="clear" w:color="auto" w:fill="auto"/>
            <w:noWrap/>
            <w:hideMark/>
          </w:tcPr>
          <w:p w14:paraId="73F54675" w14:textId="77777777" w:rsidR="001C1D9B" w:rsidRPr="001710EC" w:rsidRDefault="001C1D9B" w:rsidP="001A6611">
            <w:pPr>
              <w:pStyle w:val="TableHeadingBoldCn"/>
              <w:jc w:val="right"/>
              <w:cnfStyle w:val="000000100000" w:firstRow="0" w:lastRow="0" w:firstColumn="0" w:lastColumn="0" w:oddVBand="0" w:evenVBand="0" w:oddHBand="1" w:evenHBand="0" w:firstRowFirstColumn="0" w:firstRowLastColumn="0" w:lastRowFirstColumn="0" w:lastRowLastColumn="0"/>
            </w:pPr>
            <w:r w:rsidRPr="001710EC">
              <w:t>19</w:t>
            </w:r>
          </w:p>
        </w:tc>
        <w:tc>
          <w:tcPr>
            <w:tcW w:w="850" w:type="dxa"/>
            <w:shd w:val="clear" w:color="auto" w:fill="auto"/>
            <w:noWrap/>
            <w:hideMark/>
          </w:tcPr>
          <w:p w14:paraId="239CE686" w14:textId="77777777" w:rsidR="001C1D9B" w:rsidRPr="001710EC" w:rsidRDefault="001C1D9B" w:rsidP="001A6611">
            <w:pPr>
              <w:pStyle w:val="TableHeadingBoldCn"/>
              <w:jc w:val="right"/>
              <w:cnfStyle w:val="000000100000" w:firstRow="0" w:lastRow="0" w:firstColumn="0" w:lastColumn="0" w:oddVBand="0" w:evenVBand="0" w:oddHBand="1" w:evenHBand="0" w:firstRowFirstColumn="0" w:firstRowLastColumn="0" w:lastRowFirstColumn="0" w:lastRowLastColumn="0"/>
            </w:pPr>
            <w:r w:rsidRPr="001710EC">
              <w:t>64</w:t>
            </w:r>
          </w:p>
        </w:tc>
        <w:tc>
          <w:tcPr>
            <w:tcW w:w="907" w:type="dxa"/>
            <w:shd w:val="clear" w:color="auto" w:fill="auto"/>
            <w:noWrap/>
            <w:hideMark/>
          </w:tcPr>
          <w:p w14:paraId="55446B6F" w14:textId="77777777" w:rsidR="001C1D9B" w:rsidRPr="001710EC" w:rsidRDefault="001C1D9B" w:rsidP="001A6611">
            <w:pPr>
              <w:pStyle w:val="TableHeadingBold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3CDA697A" w14:textId="77777777" w:rsidR="001C1D9B" w:rsidRPr="001710EC" w:rsidRDefault="001C1D9B" w:rsidP="001A6611">
            <w:pPr>
              <w:pStyle w:val="TableHeadingBoldCn"/>
              <w:jc w:val="right"/>
              <w:cnfStyle w:val="000000100000" w:firstRow="0" w:lastRow="0" w:firstColumn="0" w:lastColumn="0" w:oddVBand="0" w:evenVBand="0" w:oddHBand="1" w:evenHBand="0" w:firstRowFirstColumn="0" w:firstRowLastColumn="0" w:lastRowFirstColumn="0" w:lastRowLastColumn="0"/>
            </w:pPr>
          </w:p>
        </w:tc>
        <w:tc>
          <w:tcPr>
            <w:tcW w:w="850" w:type="dxa"/>
            <w:shd w:val="clear" w:color="auto" w:fill="auto"/>
            <w:noWrap/>
            <w:hideMark/>
          </w:tcPr>
          <w:p w14:paraId="220D333B" w14:textId="77777777" w:rsidR="001C1D9B" w:rsidRPr="001710EC" w:rsidRDefault="001C1D9B" w:rsidP="001A6611">
            <w:pPr>
              <w:pStyle w:val="TableHeadingBold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6F7323F7" w14:textId="77777777" w:rsidR="001C1D9B" w:rsidRPr="001710EC" w:rsidRDefault="001C1D9B" w:rsidP="001A6611">
            <w:pPr>
              <w:pStyle w:val="TableHeadingBold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2F37AA26" w14:textId="77777777" w:rsidR="001C1D9B" w:rsidRPr="001710EC" w:rsidRDefault="001C1D9B" w:rsidP="001A6611">
            <w:pPr>
              <w:pStyle w:val="TableHeadingBold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0587518B" w14:textId="77777777" w:rsidR="001C1D9B" w:rsidRPr="001710EC" w:rsidRDefault="001C1D9B" w:rsidP="001A6611">
            <w:pPr>
              <w:pStyle w:val="TableHeadingBold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334FFDE4" w14:textId="77777777" w:rsidR="001C1D9B" w:rsidRPr="001710EC" w:rsidRDefault="001C1D9B" w:rsidP="001A6611">
            <w:pPr>
              <w:pStyle w:val="TableHeadingBold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1ECBD6BE" w14:textId="77777777" w:rsidR="001C1D9B" w:rsidRPr="001710EC" w:rsidRDefault="001C1D9B" w:rsidP="001A6611">
            <w:pPr>
              <w:pStyle w:val="TableHeadingBoldCn"/>
              <w:jc w:val="right"/>
              <w:cnfStyle w:val="000000100000" w:firstRow="0" w:lastRow="0" w:firstColumn="0" w:lastColumn="0" w:oddVBand="0" w:evenVBand="0" w:oddHBand="1" w:evenHBand="0" w:firstRowFirstColumn="0" w:firstRowLastColumn="0" w:lastRowFirstColumn="0" w:lastRowLastColumn="0"/>
            </w:pPr>
          </w:p>
        </w:tc>
        <w:tc>
          <w:tcPr>
            <w:tcW w:w="1020" w:type="dxa"/>
            <w:shd w:val="clear" w:color="auto" w:fill="auto"/>
            <w:noWrap/>
            <w:hideMark/>
          </w:tcPr>
          <w:p w14:paraId="0CF9F25F" w14:textId="77777777" w:rsidR="001C1D9B" w:rsidRPr="001710EC" w:rsidRDefault="001C1D9B" w:rsidP="001A6611">
            <w:pPr>
              <w:pStyle w:val="TableHeadingBoldCn"/>
              <w:jc w:val="right"/>
              <w:cnfStyle w:val="000000100000" w:firstRow="0" w:lastRow="0" w:firstColumn="0" w:lastColumn="0" w:oddVBand="0" w:evenVBand="0" w:oddHBand="1" w:evenHBand="0" w:firstRowFirstColumn="0" w:firstRowLastColumn="0" w:lastRowFirstColumn="0" w:lastRowLastColumn="0"/>
            </w:pPr>
          </w:p>
        </w:tc>
        <w:tc>
          <w:tcPr>
            <w:tcW w:w="624" w:type="dxa"/>
            <w:shd w:val="clear" w:color="auto" w:fill="auto"/>
            <w:noWrap/>
            <w:hideMark/>
          </w:tcPr>
          <w:p w14:paraId="6BD3D497" w14:textId="77777777" w:rsidR="001C1D9B" w:rsidRPr="001710EC" w:rsidRDefault="001C1D9B" w:rsidP="001A6611">
            <w:pPr>
              <w:pStyle w:val="TableHeadingBoldCn"/>
              <w:jc w:val="right"/>
              <w:cnfStyle w:val="000000100000" w:firstRow="0" w:lastRow="0" w:firstColumn="0" w:lastColumn="0" w:oddVBand="0" w:evenVBand="0" w:oddHBand="1" w:evenHBand="0" w:firstRowFirstColumn="0" w:firstRowLastColumn="0" w:lastRowFirstColumn="0" w:lastRowLastColumn="0"/>
            </w:pPr>
            <w:r w:rsidRPr="001710EC">
              <w:t>83</w:t>
            </w:r>
          </w:p>
        </w:tc>
      </w:tr>
    </w:tbl>
    <w:p w14:paraId="2E7443BE" w14:textId="5701F756" w:rsidR="00802206" w:rsidRPr="00F037D1" w:rsidRDefault="00AB6973" w:rsidP="002F16FD">
      <w:pPr>
        <w:pStyle w:val="Heading5"/>
      </w:pPr>
      <w:r w:rsidRPr="00A47BBF">
        <w:t>Non-Ongoing</w:t>
      </w:r>
    </w:p>
    <w:tbl>
      <w:tblPr>
        <w:tblW w:w="4821" w:type="pct"/>
        <w:tblBorders>
          <w:top w:val="single" w:sz="4" w:space="0" w:color="000000"/>
          <w:bottom w:val="single" w:sz="4" w:space="0" w:color="000000"/>
          <w:insideH w:val="single" w:sz="4" w:space="0" w:color="000000"/>
        </w:tblBorders>
        <w:tblLayout w:type="fixed"/>
        <w:tblLook w:val="04A0" w:firstRow="1" w:lastRow="0" w:firstColumn="1" w:lastColumn="0" w:noHBand="0" w:noVBand="1"/>
      </w:tblPr>
      <w:tblGrid>
        <w:gridCol w:w="1137"/>
        <w:gridCol w:w="615"/>
        <w:gridCol w:w="618"/>
        <w:gridCol w:w="663"/>
        <w:gridCol w:w="781"/>
        <w:gridCol w:w="781"/>
        <w:gridCol w:w="781"/>
        <w:gridCol w:w="773"/>
        <w:gridCol w:w="773"/>
        <w:gridCol w:w="773"/>
        <w:gridCol w:w="880"/>
        <w:gridCol w:w="880"/>
        <w:gridCol w:w="880"/>
        <w:gridCol w:w="880"/>
        <w:gridCol w:w="882"/>
        <w:gridCol w:w="882"/>
        <w:gridCol w:w="1071"/>
      </w:tblGrid>
      <w:tr w:rsidR="00BE3601" w:rsidRPr="00BE3601" w14:paraId="08724E98" w14:textId="77777777" w:rsidTr="001A6611">
        <w:trPr>
          <w:trHeight w:val="285"/>
        </w:trPr>
        <w:tc>
          <w:tcPr>
            <w:tcW w:w="405" w:type="pct"/>
            <w:noWrap/>
            <w:vAlign w:val="bottom"/>
            <w:hideMark/>
          </w:tcPr>
          <w:p w14:paraId="289C95CF" w14:textId="77777777" w:rsidR="00AB6973" w:rsidRPr="00BE3601" w:rsidRDefault="00AB6973" w:rsidP="00BE3601">
            <w:pPr>
              <w:pStyle w:val="TableHeadingPlainCn"/>
            </w:pPr>
          </w:p>
        </w:tc>
        <w:tc>
          <w:tcPr>
            <w:tcW w:w="219" w:type="pct"/>
            <w:noWrap/>
            <w:vAlign w:val="bottom"/>
            <w:hideMark/>
          </w:tcPr>
          <w:p w14:paraId="1A2BEAE9" w14:textId="0F5B88B2" w:rsidR="00AB6973" w:rsidRPr="00BE3601" w:rsidRDefault="00AB6973" w:rsidP="001A6611">
            <w:pPr>
              <w:pStyle w:val="TableHeadingPlainCn"/>
              <w:jc w:val="right"/>
            </w:pPr>
            <w:r w:rsidRPr="00BE3601">
              <w:t xml:space="preserve">Man/Male </w:t>
            </w:r>
            <w:r w:rsidR="00BE3601">
              <w:t>–</w:t>
            </w:r>
            <w:r w:rsidRPr="00BE3601">
              <w:t xml:space="preserve"> Full time</w:t>
            </w:r>
          </w:p>
        </w:tc>
        <w:tc>
          <w:tcPr>
            <w:tcW w:w="220" w:type="pct"/>
            <w:noWrap/>
            <w:vAlign w:val="bottom"/>
            <w:hideMark/>
          </w:tcPr>
          <w:p w14:paraId="21DFB5C7" w14:textId="69678FF3" w:rsidR="00AB6973" w:rsidRPr="00BE3601" w:rsidRDefault="00AB6973" w:rsidP="001A6611">
            <w:pPr>
              <w:pStyle w:val="TableHeadingPlainCn"/>
              <w:jc w:val="right"/>
            </w:pPr>
            <w:r w:rsidRPr="00BE3601">
              <w:t xml:space="preserve">Man/Male </w:t>
            </w:r>
            <w:r w:rsidR="00BE3601">
              <w:t>–</w:t>
            </w:r>
            <w:r w:rsidRPr="00BE3601">
              <w:t xml:space="preserve"> Part time</w:t>
            </w:r>
          </w:p>
        </w:tc>
        <w:tc>
          <w:tcPr>
            <w:tcW w:w="236" w:type="pct"/>
            <w:noWrap/>
            <w:vAlign w:val="bottom"/>
            <w:hideMark/>
          </w:tcPr>
          <w:p w14:paraId="1E4D5190" w14:textId="5815D32D" w:rsidR="00AB6973" w:rsidRPr="00BE3601" w:rsidRDefault="00AB6973" w:rsidP="001A6611">
            <w:pPr>
              <w:pStyle w:val="TableHeadingPlainCn"/>
              <w:jc w:val="right"/>
            </w:pPr>
            <w:r w:rsidRPr="00BE3601">
              <w:t xml:space="preserve">Man/Male </w:t>
            </w:r>
            <w:r w:rsidR="001A6611">
              <w:br/>
            </w:r>
            <w:r w:rsidR="00BE3601">
              <w:t>–</w:t>
            </w:r>
            <w:r w:rsidRPr="00BE3601">
              <w:t xml:space="preserve"> Total</w:t>
            </w:r>
          </w:p>
        </w:tc>
        <w:tc>
          <w:tcPr>
            <w:tcW w:w="278" w:type="pct"/>
            <w:noWrap/>
            <w:vAlign w:val="bottom"/>
            <w:hideMark/>
          </w:tcPr>
          <w:p w14:paraId="173EB29E" w14:textId="153FDD07" w:rsidR="00AB6973" w:rsidRPr="00BE3601" w:rsidRDefault="00AB6973" w:rsidP="001A6611">
            <w:pPr>
              <w:pStyle w:val="TableHeadingPlainCn"/>
              <w:jc w:val="right"/>
            </w:pPr>
            <w:r w:rsidRPr="00BE3601">
              <w:t xml:space="preserve">Woman/Female </w:t>
            </w:r>
            <w:r w:rsidR="001A6611">
              <w:br/>
            </w:r>
            <w:r w:rsidR="00BE3601">
              <w:t>–</w:t>
            </w:r>
            <w:r w:rsidRPr="00BE3601">
              <w:t xml:space="preserve"> Full time</w:t>
            </w:r>
          </w:p>
        </w:tc>
        <w:tc>
          <w:tcPr>
            <w:tcW w:w="278" w:type="pct"/>
            <w:noWrap/>
            <w:vAlign w:val="bottom"/>
            <w:hideMark/>
          </w:tcPr>
          <w:p w14:paraId="5B571ECE" w14:textId="505CDAB9" w:rsidR="00AB6973" w:rsidRPr="00BE3601" w:rsidRDefault="00AB6973" w:rsidP="001A6611">
            <w:pPr>
              <w:pStyle w:val="TableHeadingPlainCn"/>
              <w:jc w:val="right"/>
            </w:pPr>
            <w:r w:rsidRPr="00BE3601">
              <w:t xml:space="preserve">Woman/Female </w:t>
            </w:r>
            <w:r w:rsidR="001A6611">
              <w:br/>
            </w:r>
            <w:r w:rsidR="00BE3601">
              <w:t>–</w:t>
            </w:r>
            <w:r w:rsidRPr="00BE3601">
              <w:t xml:space="preserve"> Part time</w:t>
            </w:r>
          </w:p>
        </w:tc>
        <w:tc>
          <w:tcPr>
            <w:tcW w:w="278" w:type="pct"/>
            <w:noWrap/>
            <w:vAlign w:val="bottom"/>
            <w:hideMark/>
          </w:tcPr>
          <w:p w14:paraId="3845A2A6" w14:textId="103EB2C5" w:rsidR="00AB6973" w:rsidRPr="00BE3601" w:rsidRDefault="00AB6973" w:rsidP="001A6611">
            <w:pPr>
              <w:pStyle w:val="TableHeadingPlainCn"/>
              <w:jc w:val="right"/>
            </w:pPr>
            <w:r w:rsidRPr="00BE3601">
              <w:t xml:space="preserve">Woman/Female </w:t>
            </w:r>
            <w:r w:rsidR="001A6611">
              <w:br/>
            </w:r>
            <w:r w:rsidR="00BE3601">
              <w:t>–</w:t>
            </w:r>
            <w:r w:rsidRPr="00BE3601">
              <w:t xml:space="preserve"> Total</w:t>
            </w:r>
          </w:p>
        </w:tc>
        <w:tc>
          <w:tcPr>
            <w:tcW w:w="275" w:type="pct"/>
            <w:noWrap/>
            <w:vAlign w:val="bottom"/>
            <w:hideMark/>
          </w:tcPr>
          <w:p w14:paraId="627D7DAA" w14:textId="69F251F2" w:rsidR="00AB6973" w:rsidRPr="00BE3601" w:rsidRDefault="00AB6973" w:rsidP="001A6611">
            <w:pPr>
              <w:pStyle w:val="TableHeadingPlainCn"/>
              <w:jc w:val="right"/>
            </w:pPr>
            <w:r w:rsidRPr="00BE3601">
              <w:t xml:space="preserve">Non-binary </w:t>
            </w:r>
            <w:r w:rsidR="001A6611">
              <w:br/>
            </w:r>
            <w:r w:rsidR="00BE3601">
              <w:t>–</w:t>
            </w:r>
            <w:r w:rsidRPr="00BE3601">
              <w:t xml:space="preserve"> Full time</w:t>
            </w:r>
          </w:p>
        </w:tc>
        <w:tc>
          <w:tcPr>
            <w:tcW w:w="275" w:type="pct"/>
            <w:noWrap/>
            <w:vAlign w:val="bottom"/>
            <w:hideMark/>
          </w:tcPr>
          <w:p w14:paraId="034AC7EA" w14:textId="3D5E6916" w:rsidR="00AB6973" w:rsidRPr="00BE3601" w:rsidRDefault="00AB6973" w:rsidP="001A6611">
            <w:pPr>
              <w:pStyle w:val="TableHeadingPlainCn"/>
              <w:jc w:val="right"/>
            </w:pPr>
            <w:r w:rsidRPr="00BE3601">
              <w:t xml:space="preserve">Non-binary </w:t>
            </w:r>
            <w:r w:rsidR="001A6611">
              <w:br/>
            </w:r>
            <w:r w:rsidR="00BE3601">
              <w:t>–</w:t>
            </w:r>
            <w:r w:rsidRPr="00BE3601">
              <w:t xml:space="preserve"> Part time</w:t>
            </w:r>
          </w:p>
        </w:tc>
        <w:tc>
          <w:tcPr>
            <w:tcW w:w="275" w:type="pct"/>
            <w:noWrap/>
            <w:vAlign w:val="bottom"/>
            <w:hideMark/>
          </w:tcPr>
          <w:p w14:paraId="66E417B9" w14:textId="198278BB" w:rsidR="00AB6973" w:rsidRPr="00BE3601" w:rsidRDefault="00AB6973" w:rsidP="001A6611">
            <w:pPr>
              <w:pStyle w:val="TableHeadingPlainCn"/>
              <w:jc w:val="right"/>
            </w:pPr>
            <w:r w:rsidRPr="00BE3601">
              <w:t xml:space="preserve">Non-binary </w:t>
            </w:r>
            <w:r w:rsidR="001A6611">
              <w:br/>
            </w:r>
            <w:r w:rsidR="00BE3601">
              <w:t>–</w:t>
            </w:r>
            <w:r w:rsidRPr="00BE3601">
              <w:t xml:space="preserve"> Total</w:t>
            </w:r>
          </w:p>
        </w:tc>
        <w:tc>
          <w:tcPr>
            <w:tcW w:w="313" w:type="pct"/>
            <w:noWrap/>
            <w:vAlign w:val="bottom"/>
            <w:hideMark/>
          </w:tcPr>
          <w:p w14:paraId="576F0B7E" w14:textId="441D91A5" w:rsidR="00AB6973" w:rsidRPr="00BE3601" w:rsidRDefault="00AB6973" w:rsidP="001A6611">
            <w:pPr>
              <w:pStyle w:val="TableHeadingPlainCn"/>
              <w:jc w:val="right"/>
            </w:pPr>
            <w:r w:rsidRPr="00BE3601">
              <w:t xml:space="preserve">Prefers not to answer </w:t>
            </w:r>
            <w:r w:rsidR="00BE3601">
              <w:t>–</w:t>
            </w:r>
            <w:r w:rsidRPr="00BE3601">
              <w:t xml:space="preserve"> Full time</w:t>
            </w:r>
          </w:p>
        </w:tc>
        <w:tc>
          <w:tcPr>
            <w:tcW w:w="313" w:type="pct"/>
            <w:noWrap/>
            <w:vAlign w:val="bottom"/>
            <w:hideMark/>
          </w:tcPr>
          <w:p w14:paraId="5A18D835" w14:textId="07D90200" w:rsidR="00AB6973" w:rsidRPr="00BE3601" w:rsidRDefault="00AB6973" w:rsidP="001A6611">
            <w:pPr>
              <w:pStyle w:val="TableHeadingPlainCn"/>
              <w:jc w:val="right"/>
            </w:pPr>
            <w:r w:rsidRPr="00BE3601">
              <w:t xml:space="preserve">Prefers not to answer </w:t>
            </w:r>
            <w:r w:rsidR="00BE3601">
              <w:t>–</w:t>
            </w:r>
            <w:r w:rsidRPr="00BE3601">
              <w:t xml:space="preserve"> Part time</w:t>
            </w:r>
          </w:p>
        </w:tc>
        <w:tc>
          <w:tcPr>
            <w:tcW w:w="313" w:type="pct"/>
            <w:noWrap/>
            <w:vAlign w:val="bottom"/>
            <w:hideMark/>
          </w:tcPr>
          <w:p w14:paraId="062B57A1" w14:textId="2D226A67" w:rsidR="00AB6973" w:rsidRPr="00BE3601" w:rsidRDefault="00AB6973" w:rsidP="001A6611">
            <w:pPr>
              <w:pStyle w:val="TableHeadingPlainCn"/>
              <w:jc w:val="right"/>
            </w:pPr>
            <w:r w:rsidRPr="00BE3601">
              <w:t xml:space="preserve">Prefers not to answer </w:t>
            </w:r>
            <w:r w:rsidR="00BE3601">
              <w:t>–</w:t>
            </w:r>
            <w:r w:rsidRPr="00BE3601">
              <w:t xml:space="preserve"> Total</w:t>
            </w:r>
          </w:p>
        </w:tc>
        <w:tc>
          <w:tcPr>
            <w:tcW w:w="313" w:type="pct"/>
            <w:noWrap/>
            <w:vAlign w:val="bottom"/>
            <w:hideMark/>
          </w:tcPr>
          <w:p w14:paraId="47CD5DF5" w14:textId="1235FA49" w:rsidR="00AB6973" w:rsidRPr="00BE3601" w:rsidRDefault="00AB6973" w:rsidP="001A6611">
            <w:pPr>
              <w:pStyle w:val="TableHeadingPlainCn"/>
              <w:jc w:val="right"/>
            </w:pPr>
            <w:r w:rsidRPr="00BE3601">
              <w:t xml:space="preserve">Uses a different term </w:t>
            </w:r>
            <w:r w:rsidR="00BE3601">
              <w:t>–</w:t>
            </w:r>
            <w:r w:rsidRPr="00BE3601">
              <w:t xml:space="preserve"> Full time</w:t>
            </w:r>
          </w:p>
        </w:tc>
        <w:tc>
          <w:tcPr>
            <w:tcW w:w="314" w:type="pct"/>
            <w:noWrap/>
            <w:vAlign w:val="bottom"/>
            <w:hideMark/>
          </w:tcPr>
          <w:p w14:paraId="2C9A48C3" w14:textId="1BEEB694" w:rsidR="00AB6973" w:rsidRPr="00BE3601" w:rsidRDefault="00AB6973" w:rsidP="001A6611">
            <w:pPr>
              <w:pStyle w:val="TableHeadingPlainCn"/>
              <w:jc w:val="right"/>
            </w:pPr>
            <w:r w:rsidRPr="00BE3601">
              <w:t xml:space="preserve">Uses a different term </w:t>
            </w:r>
            <w:r w:rsidR="001A6611">
              <w:br/>
            </w:r>
            <w:r w:rsidR="00BE3601">
              <w:t>–</w:t>
            </w:r>
            <w:r w:rsidRPr="00BE3601">
              <w:t xml:space="preserve"> Part time</w:t>
            </w:r>
          </w:p>
        </w:tc>
        <w:tc>
          <w:tcPr>
            <w:tcW w:w="314" w:type="pct"/>
            <w:noWrap/>
            <w:vAlign w:val="bottom"/>
            <w:hideMark/>
          </w:tcPr>
          <w:p w14:paraId="35E622A1" w14:textId="2FDF02FD" w:rsidR="00AB6973" w:rsidRPr="00BE3601" w:rsidRDefault="00AB6973" w:rsidP="001A6611">
            <w:pPr>
              <w:pStyle w:val="TableHeadingPlainCn"/>
              <w:jc w:val="right"/>
            </w:pPr>
            <w:r w:rsidRPr="00BE3601">
              <w:t xml:space="preserve">Uses a different term </w:t>
            </w:r>
            <w:r w:rsidR="001A6611">
              <w:br/>
            </w:r>
            <w:r w:rsidR="00BE3601">
              <w:t>–</w:t>
            </w:r>
            <w:r w:rsidRPr="00BE3601">
              <w:t xml:space="preserve"> Total</w:t>
            </w:r>
          </w:p>
        </w:tc>
        <w:tc>
          <w:tcPr>
            <w:tcW w:w="383" w:type="pct"/>
            <w:noWrap/>
            <w:vAlign w:val="bottom"/>
            <w:hideMark/>
          </w:tcPr>
          <w:p w14:paraId="58CB4065" w14:textId="77777777" w:rsidR="00AB6973" w:rsidRPr="00BE3601" w:rsidRDefault="00AB6973" w:rsidP="001A6611">
            <w:pPr>
              <w:pStyle w:val="TableHeadingPlainCn"/>
              <w:jc w:val="right"/>
            </w:pPr>
            <w:r w:rsidRPr="00BE3601">
              <w:t>Total</w:t>
            </w:r>
          </w:p>
        </w:tc>
      </w:tr>
      <w:tr w:rsidR="00BE3601" w:rsidRPr="00330FDA" w14:paraId="1F24CA35" w14:textId="77777777" w:rsidTr="001A6611">
        <w:trPr>
          <w:trHeight w:val="285"/>
        </w:trPr>
        <w:tc>
          <w:tcPr>
            <w:tcW w:w="405" w:type="pct"/>
            <w:noWrap/>
            <w:vAlign w:val="center"/>
            <w:hideMark/>
          </w:tcPr>
          <w:p w14:paraId="243DBFEA" w14:textId="77777777" w:rsidR="00AB6973" w:rsidRPr="00330FDA" w:rsidRDefault="00AB6973" w:rsidP="00BE3601">
            <w:pPr>
              <w:pStyle w:val="TableHeadingPlainCn"/>
            </w:pPr>
            <w:r w:rsidRPr="00330FDA">
              <w:t>NSW</w:t>
            </w:r>
          </w:p>
        </w:tc>
        <w:tc>
          <w:tcPr>
            <w:tcW w:w="219" w:type="pct"/>
            <w:noWrap/>
            <w:vAlign w:val="center"/>
            <w:hideMark/>
          </w:tcPr>
          <w:p w14:paraId="6FF82B4D" w14:textId="77777777" w:rsidR="00AB6973" w:rsidRPr="00330FDA" w:rsidRDefault="00AB6973" w:rsidP="001A6611">
            <w:pPr>
              <w:pStyle w:val="TableHeadingPlainCn"/>
              <w:jc w:val="right"/>
            </w:pPr>
            <w:r w:rsidRPr="00330FDA">
              <w:t>6</w:t>
            </w:r>
          </w:p>
        </w:tc>
        <w:tc>
          <w:tcPr>
            <w:tcW w:w="220" w:type="pct"/>
            <w:noWrap/>
            <w:vAlign w:val="center"/>
            <w:hideMark/>
          </w:tcPr>
          <w:p w14:paraId="1EA22B20" w14:textId="77777777" w:rsidR="00AB6973" w:rsidRPr="00330FDA" w:rsidRDefault="00AB6973" w:rsidP="001A6611">
            <w:pPr>
              <w:pStyle w:val="TableHeadingPlainCn"/>
              <w:jc w:val="right"/>
            </w:pPr>
            <w:r w:rsidRPr="00330FDA">
              <w:t>1</w:t>
            </w:r>
          </w:p>
        </w:tc>
        <w:tc>
          <w:tcPr>
            <w:tcW w:w="236" w:type="pct"/>
            <w:noWrap/>
            <w:vAlign w:val="center"/>
            <w:hideMark/>
          </w:tcPr>
          <w:p w14:paraId="4E5D31BB" w14:textId="77777777" w:rsidR="00AB6973" w:rsidRPr="00330FDA" w:rsidRDefault="00AB6973" w:rsidP="001A6611">
            <w:pPr>
              <w:pStyle w:val="TableHeadingPlainCn"/>
              <w:jc w:val="right"/>
            </w:pPr>
            <w:r w:rsidRPr="00330FDA">
              <w:t>7</w:t>
            </w:r>
          </w:p>
        </w:tc>
        <w:tc>
          <w:tcPr>
            <w:tcW w:w="278" w:type="pct"/>
            <w:noWrap/>
            <w:vAlign w:val="center"/>
            <w:hideMark/>
          </w:tcPr>
          <w:p w14:paraId="6849BB3B" w14:textId="77777777" w:rsidR="00AB6973" w:rsidRPr="00330FDA" w:rsidRDefault="00AB6973" w:rsidP="001A6611">
            <w:pPr>
              <w:pStyle w:val="TableHeadingPlainCn"/>
              <w:jc w:val="right"/>
            </w:pPr>
            <w:r w:rsidRPr="00330FDA">
              <w:t>57</w:t>
            </w:r>
          </w:p>
        </w:tc>
        <w:tc>
          <w:tcPr>
            <w:tcW w:w="278" w:type="pct"/>
            <w:noWrap/>
            <w:vAlign w:val="center"/>
            <w:hideMark/>
          </w:tcPr>
          <w:p w14:paraId="6FA0C0A4" w14:textId="77777777" w:rsidR="00AB6973" w:rsidRPr="00330FDA" w:rsidRDefault="00AB6973" w:rsidP="001A6611">
            <w:pPr>
              <w:pStyle w:val="TableHeadingPlainCn"/>
              <w:jc w:val="right"/>
            </w:pPr>
            <w:r w:rsidRPr="00330FDA">
              <w:t>29</w:t>
            </w:r>
          </w:p>
        </w:tc>
        <w:tc>
          <w:tcPr>
            <w:tcW w:w="278" w:type="pct"/>
            <w:noWrap/>
            <w:vAlign w:val="center"/>
            <w:hideMark/>
          </w:tcPr>
          <w:p w14:paraId="050B373D" w14:textId="77777777" w:rsidR="00AB6973" w:rsidRPr="00330FDA" w:rsidRDefault="00AB6973" w:rsidP="001A6611">
            <w:pPr>
              <w:pStyle w:val="TableHeadingPlainCn"/>
              <w:jc w:val="right"/>
            </w:pPr>
            <w:r w:rsidRPr="00330FDA">
              <w:t>86</w:t>
            </w:r>
          </w:p>
        </w:tc>
        <w:tc>
          <w:tcPr>
            <w:tcW w:w="275" w:type="pct"/>
            <w:noWrap/>
            <w:vAlign w:val="center"/>
            <w:hideMark/>
          </w:tcPr>
          <w:p w14:paraId="1A52C2C1" w14:textId="77777777" w:rsidR="00AB6973" w:rsidRPr="00330FDA" w:rsidRDefault="00AB6973" w:rsidP="001A6611">
            <w:pPr>
              <w:pStyle w:val="TableHeadingPlainCn"/>
              <w:jc w:val="right"/>
            </w:pPr>
            <w:r w:rsidRPr="00330FDA">
              <w:t>0</w:t>
            </w:r>
          </w:p>
        </w:tc>
        <w:tc>
          <w:tcPr>
            <w:tcW w:w="275" w:type="pct"/>
            <w:noWrap/>
            <w:vAlign w:val="center"/>
            <w:hideMark/>
          </w:tcPr>
          <w:p w14:paraId="7406244D" w14:textId="77777777" w:rsidR="00AB6973" w:rsidRPr="00330FDA" w:rsidRDefault="00AB6973" w:rsidP="001A6611">
            <w:pPr>
              <w:pStyle w:val="TableHeadingPlainCn"/>
              <w:jc w:val="right"/>
            </w:pPr>
            <w:r w:rsidRPr="00330FDA">
              <w:t>0</w:t>
            </w:r>
          </w:p>
        </w:tc>
        <w:tc>
          <w:tcPr>
            <w:tcW w:w="275" w:type="pct"/>
            <w:noWrap/>
            <w:vAlign w:val="center"/>
            <w:hideMark/>
          </w:tcPr>
          <w:p w14:paraId="2AAB9509" w14:textId="77777777" w:rsidR="00AB6973" w:rsidRPr="00330FDA" w:rsidRDefault="00AB6973" w:rsidP="001A6611">
            <w:pPr>
              <w:pStyle w:val="TableHeadingPlainCn"/>
              <w:jc w:val="right"/>
            </w:pPr>
            <w:r w:rsidRPr="00330FDA">
              <w:t>0</w:t>
            </w:r>
          </w:p>
        </w:tc>
        <w:tc>
          <w:tcPr>
            <w:tcW w:w="313" w:type="pct"/>
            <w:noWrap/>
            <w:vAlign w:val="center"/>
            <w:hideMark/>
          </w:tcPr>
          <w:p w14:paraId="138145E0" w14:textId="77777777" w:rsidR="00AB6973" w:rsidRPr="00330FDA" w:rsidRDefault="00AB6973" w:rsidP="001A6611">
            <w:pPr>
              <w:pStyle w:val="TableHeadingPlainCn"/>
              <w:jc w:val="right"/>
            </w:pPr>
            <w:r w:rsidRPr="00330FDA">
              <w:t>0</w:t>
            </w:r>
          </w:p>
        </w:tc>
        <w:tc>
          <w:tcPr>
            <w:tcW w:w="313" w:type="pct"/>
            <w:noWrap/>
            <w:vAlign w:val="center"/>
            <w:hideMark/>
          </w:tcPr>
          <w:p w14:paraId="6162606A" w14:textId="77777777" w:rsidR="00AB6973" w:rsidRPr="00330FDA" w:rsidRDefault="00AB6973" w:rsidP="001A6611">
            <w:pPr>
              <w:pStyle w:val="TableHeadingPlainCn"/>
              <w:jc w:val="right"/>
            </w:pPr>
            <w:r w:rsidRPr="00330FDA">
              <w:t>0</w:t>
            </w:r>
          </w:p>
        </w:tc>
        <w:tc>
          <w:tcPr>
            <w:tcW w:w="313" w:type="pct"/>
            <w:noWrap/>
            <w:vAlign w:val="center"/>
            <w:hideMark/>
          </w:tcPr>
          <w:p w14:paraId="1619ABA3" w14:textId="77777777" w:rsidR="00AB6973" w:rsidRPr="00330FDA" w:rsidRDefault="00AB6973" w:rsidP="001A6611">
            <w:pPr>
              <w:pStyle w:val="TableHeadingPlainCn"/>
              <w:jc w:val="right"/>
            </w:pPr>
            <w:r w:rsidRPr="00330FDA">
              <w:t>0</w:t>
            </w:r>
          </w:p>
        </w:tc>
        <w:tc>
          <w:tcPr>
            <w:tcW w:w="313" w:type="pct"/>
            <w:noWrap/>
            <w:vAlign w:val="center"/>
            <w:hideMark/>
          </w:tcPr>
          <w:p w14:paraId="71DA399E" w14:textId="77777777" w:rsidR="00AB6973" w:rsidRPr="00330FDA" w:rsidRDefault="00AB6973" w:rsidP="001A6611">
            <w:pPr>
              <w:pStyle w:val="TableHeadingPlainCn"/>
              <w:jc w:val="right"/>
            </w:pPr>
            <w:r w:rsidRPr="00330FDA">
              <w:t>0</w:t>
            </w:r>
          </w:p>
        </w:tc>
        <w:tc>
          <w:tcPr>
            <w:tcW w:w="314" w:type="pct"/>
            <w:noWrap/>
            <w:vAlign w:val="center"/>
            <w:hideMark/>
          </w:tcPr>
          <w:p w14:paraId="5BE16572" w14:textId="77777777" w:rsidR="00AB6973" w:rsidRPr="00330FDA" w:rsidRDefault="00AB6973" w:rsidP="001A6611">
            <w:pPr>
              <w:pStyle w:val="TableHeadingPlainCn"/>
              <w:jc w:val="right"/>
            </w:pPr>
            <w:r w:rsidRPr="00330FDA">
              <w:t>0</w:t>
            </w:r>
          </w:p>
        </w:tc>
        <w:tc>
          <w:tcPr>
            <w:tcW w:w="314" w:type="pct"/>
            <w:noWrap/>
            <w:vAlign w:val="center"/>
            <w:hideMark/>
          </w:tcPr>
          <w:p w14:paraId="70FDBAC6" w14:textId="77777777" w:rsidR="00AB6973" w:rsidRPr="00330FDA" w:rsidRDefault="00AB6973" w:rsidP="001A6611">
            <w:pPr>
              <w:pStyle w:val="TableHeadingPlainCn"/>
              <w:jc w:val="right"/>
            </w:pPr>
            <w:r w:rsidRPr="00330FDA">
              <w:t>0</w:t>
            </w:r>
          </w:p>
        </w:tc>
        <w:tc>
          <w:tcPr>
            <w:tcW w:w="383" w:type="pct"/>
            <w:noWrap/>
            <w:vAlign w:val="center"/>
            <w:hideMark/>
          </w:tcPr>
          <w:p w14:paraId="50F34181" w14:textId="77777777" w:rsidR="00AB6973" w:rsidRPr="00330FDA" w:rsidRDefault="00AB6973" w:rsidP="001A6611">
            <w:pPr>
              <w:pStyle w:val="TableHeadingPlainCn"/>
              <w:jc w:val="right"/>
            </w:pPr>
            <w:r w:rsidRPr="00330FDA">
              <w:t>93</w:t>
            </w:r>
          </w:p>
        </w:tc>
      </w:tr>
      <w:tr w:rsidR="00BE3601" w:rsidRPr="00330FDA" w14:paraId="2AB703F2" w14:textId="77777777" w:rsidTr="001A6611">
        <w:trPr>
          <w:trHeight w:val="285"/>
        </w:trPr>
        <w:tc>
          <w:tcPr>
            <w:tcW w:w="405" w:type="pct"/>
            <w:noWrap/>
            <w:vAlign w:val="center"/>
            <w:hideMark/>
          </w:tcPr>
          <w:p w14:paraId="616E0CA6" w14:textId="77777777" w:rsidR="00AB6973" w:rsidRPr="00330FDA" w:rsidRDefault="00AB6973" w:rsidP="00BE3601">
            <w:pPr>
              <w:pStyle w:val="TableHeadingPlainCn"/>
            </w:pPr>
            <w:r w:rsidRPr="00330FDA">
              <w:t>QLD</w:t>
            </w:r>
          </w:p>
        </w:tc>
        <w:tc>
          <w:tcPr>
            <w:tcW w:w="219" w:type="pct"/>
            <w:noWrap/>
            <w:vAlign w:val="center"/>
            <w:hideMark/>
          </w:tcPr>
          <w:p w14:paraId="55E81B63" w14:textId="77777777" w:rsidR="00AB6973" w:rsidRPr="00330FDA" w:rsidRDefault="00AB6973" w:rsidP="001A6611">
            <w:pPr>
              <w:pStyle w:val="TableHeadingPlainCn"/>
              <w:jc w:val="right"/>
            </w:pPr>
            <w:r w:rsidRPr="00330FDA">
              <w:t>0</w:t>
            </w:r>
          </w:p>
        </w:tc>
        <w:tc>
          <w:tcPr>
            <w:tcW w:w="220" w:type="pct"/>
            <w:noWrap/>
            <w:vAlign w:val="center"/>
            <w:hideMark/>
          </w:tcPr>
          <w:p w14:paraId="446F920F" w14:textId="77777777" w:rsidR="00AB6973" w:rsidRPr="00330FDA" w:rsidRDefault="00AB6973" w:rsidP="001A6611">
            <w:pPr>
              <w:pStyle w:val="TableHeadingPlainCn"/>
              <w:jc w:val="right"/>
            </w:pPr>
            <w:r w:rsidRPr="00330FDA">
              <w:t>0</w:t>
            </w:r>
          </w:p>
        </w:tc>
        <w:tc>
          <w:tcPr>
            <w:tcW w:w="236" w:type="pct"/>
            <w:noWrap/>
            <w:vAlign w:val="center"/>
            <w:hideMark/>
          </w:tcPr>
          <w:p w14:paraId="07433546" w14:textId="77777777" w:rsidR="00AB6973" w:rsidRPr="00330FDA" w:rsidRDefault="00AB6973" w:rsidP="001A6611">
            <w:pPr>
              <w:pStyle w:val="TableHeadingPlainCn"/>
              <w:jc w:val="right"/>
            </w:pPr>
            <w:r w:rsidRPr="00330FDA">
              <w:t>0</w:t>
            </w:r>
          </w:p>
        </w:tc>
        <w:tc>
          <w:tcPr>
            <w:tcW w:w="278" w:type="pct"/>
            <w:noWrap/>
            <w:vAlign w:val="center"/>
            <w:hideMark/>
          </w:tcPr>
          <w:p w14:paraId="385F8084" w14:textId="77777777" w:rsidR="00AB6973" w:rsidRPr="00330FDA" w:rsidRDefault="00AB6973" w:rsidP="001A6611">
            <w:pPr>
              <w:pStyle w:val="TableHeadingPlainCn"/>
              <w:jc w:val="right"/>
            </w:pPr>
            <w:r w:rsidRPr="00330FDA">
              <w:t>0</w:t>
            </w:r>
          </w:p>
        </w:tc>
        <w:tc>
          <w:tcPr>
            <w:tcW w:w="278" w:type="pct"/>
            <w:noWrap/>
            <w:vAlign w:val="center"/>
            <w:hideMark/>
          </w:tcPr>
          <w:p w14:paraId="42D229BC" w14:textId="77777777" w:rsidR="00AB6973" w:rsidRPr="00330FDA" w:rsidRDefault="00AB6973" w:rsidP="001A6611">
            <w:pPr>
              <w:pStyle w:val="TableHeadingPlainCn"/>
              <w:jc w:val="right"/>
            </w:pPr>
            <w:r w:rsidRPr="00330FDA">
              <w:t>1</w:t>
            </w:r>
          </w:p>
        </w:tc>
        <w:tc>
          <w:tcPr>
            <w:tcW w:w="278" w:type="pct"/>
            <w:noWrap/>
            <w:vAlign w:val="center"/>
            <w:hideMark/>
          </w:tcPr>
          <w:p w14:paraId="1397ECB6" w14:textId="77777777" w:rsidR="00AB6973" w:rsidRPr="00330FDA" w:rsidRDefault="00AB6973" w:rsidP="001A6611">
            <w:pPr>
              <w:pStyle w:val="TableHeadingPlainCn"/>
              <w:jc w:val="right"/>
            </w:pPr>
            <w:r w:rsidRPr="00330FDA">
              <w:t>1</w:t>
            </w:r>
          </w:p>
        </w:tc>
        <w:tc>
          <w:tcPr>
            <w:tcW w:w="275" w:type="pct"/>
            <w:noWrap/>
            <w:vAlign w:val="center"/>
            <w:hideMark/>
          </w:tcPr>
          <w:p w14:paraId="4660CCAC" w14:textId="77777777" w:rsidR="00AB6973" w:rsidRPr="00330FDA" w:rsidRDefault="00AB6973" w:rsidP="001A6611">
            <w:pPr>
              <w:pStyle w:val="TableHeadingPlainCn"/>
              <w:jc w:val="right"/>
            </w:pPr>
            <w:r w:rsidRPr="00330FDA">
              <w:t>0</w:t>
            </w:r>
          </w:p>
        </w:tc>
        <w:tc>
          <w:tcPr>
            <w:tcW w:w="275" w:type="pct"/>
            <w:noWrap/>
            <w:vAlign w:val="center"/>
            <w:hideMark/>
          </w:tcPr>
          <w:p w14:paraId="0A98B210" w14:textId="77777777" w:rsidR="00AB6973" w:rsidRPr="00330FDA" w:rsidRDefault="00AB6973" w:rsidP="001A6611">
            <w:pPr>
              <w:pStyle w:val="TableHeadingPlainCn"/>
              <w:jc w:val="right"/>
            </w:pPr>
            <w:r w:rsidRPr="00330FDA">
              <w:t>0</w:t>
            </w:r>
          </w:p>
        </w:tc>
        <w:tc>
          <w:tcPr>
            <w:tcW w:w="275" w:type="pct"/>
            <w:noWrap/>
            <w:vAlign w:val="center"/>
            <w:hideMark/>
          </w:tcPr>
          <w:p w14:paraId="1EF3BF8B" w14:textId="77777777" w:rsidR="00AB6973" w:rsidRPr="00330FDA" w:rsidRDefault="00AB6973" w:rsidP="001A6611">
            <w:pPr>
              <w:pStyle w:val="TableHeadingPlainCn"/>
              <w:jc w:val="right"/>
            </w:pPr>
            <w:r w:rsidRPr="00330FDA">
              <w:t>0</w:t>
            </w:r>
          </w:p>
        </w:tc>
        <w:tc>
          <w:tcPr>
            <w:tcW w:w="313" w:type="pct"/>
            <w:noWrap/>
            <w:vAlign w:val="center"/>
            <w:hideMark/>
          </w:tcPr>
          <w:p w14:paraId="08080606" w14:textId="77777777" w:rsidR="00AB6973" w:rsidRPr="00330FDA" w:rsidRDefault="00AB6973" w:rsidP="001A6611">
            <w:pPr>
              <w:pStyle w:val="TableHeadingPlainCn"/>
              <w:jc w:val="right"/>
            </w:pPr>
            <w:r w:rsidRPr="00330FDA">
              <w:t>0</w:t>
            </w:r>
          </w:p>
        </w:tc>
        <w:tc>
          <w:tcPr>
            <w:tcW w:w="313" w:type="pct"/>
            <w:noWrap/>
            <w:vAlign w:val="center"/>
            <w:hideMark/>
          </w:tcPr>
          <w:p w14:paraId="36DBD571" w14:textId="77777777" w:rsidR="00AB6973" w:rsidRPr="00330FDA" w:rsidRDefault="00AB6973" w:rsidP="001A6611">
            <w:pPr>
              <w:pStyle w:val="TableHeadingPlainCn"/>
              <w:jc w:val="right"/>
            </w:pPr>
            <w:r w:rsidRPr="00330FDA">
              <w:t>0</w:t>
            </w:r>
          </w:p>
        </w:tc>
        <w:tc>
          <w:tcPr>
            <w:tcW w:w="313" w:type="pct"/>
            <w:noWrap/>
            <w:vAlign w:val="center"/>
            <w:hideMark/>
          </w:tcPr>
          <w:p w14:paraId="2A9831E9" w14:textId="77777777" w:rsidR="00AB6973" w:rsidRPr="00330FDA" w:rsidRDefault="00AB6973" w:rsidP="001A6611">
            <w:pPr>
              <w:pStyle w:val="TableHeadingPlainCn"/>
              <w:jc w:val="right"/>
            </w:pPr>
            <w:r w:rsidRPr="00330FDA">
              <w:t>0</w:t>
            </w:r>
          </w:p>
        </w:tc>
        <w:tc>
          <w:tcPr>
            <w:tcW w:w="313" w:type="pct"/>
            <w:noWrap/>
            <w:vAlign w:val="center"/>
            <w:hideMark/>
          </w:tcPr>
          <w:p w14:paraId="2BBF73AA" w14:textId="77777777" w:rsidR="00AB6973" w:rsidRPr="00330FDA" w:rsidRDefault="00AB6973" w:rsidP="001A6611">
            <w:pPr>
              <w:pStyle w:val="TableHeadingPlainCn"/>
              <w:jc w:val="right"/>
            </w:pPr>
            <w:r w:rsidRPr="00330FDA">
              <w:t>0</w:t>
            </w:r>
          </w:p>
        </w:tc>
        <w:tc>
          <w:tcPr>
            <w:tcW w:w="314" w:type="pct"/>
            <w:noWrap/>
            <w:vAlign w:val="center"/>
            <w:hideMark/>
          </w:tcPr>
          <w:p w14:paraId="6AC50730" w14:textId="77777777" w:rsidR="00AB6973" w:rsidRPr="00330FDA" w:rsidRDefault="00AB6973" w:rsidP="001A6611">
            <w:pPr>
              <w:pStyle w:val="TableHeadingPlainCn"/>
              <w:jc w:val="right"/>
            </w:pPr>
            <w:r w:rsidRPr="00330FDA">
              <w:t>0</w:t>
            </w:r>
          </w:p>
        </w:tc>
        <w:tc>
          <w:tcPr>
            <w:tcW w:w="314" w:type="pct"/>
            <w:noWrap/>
            <w:vAlign w:val="center"/>
            <w:hideMark/>
          </w:tcPr>
          <w:p w14:paraId="23B1B2C0" w14:textId="77777777" w:rsidR="00AB6973" w:rsidRPr="00330FDA" w:rsidRDefault="00AB6973" w:rsidP="001A6611">
            <w:pPr>
              <w:pStyle w:val="TableHeadingPlainCn"/>
              <w:jc w:val="right"/>
            </w:pPr>
            <w:r w:rsidRPr="00330FDA">
              <w:t>0</w:t>
            </w:r>
          </w:p>
        </w:tc>
        <w:tc>
          <w:tcPr>
            <w:tcW w:w="383" w:type="pct"/>
            <w:noWrap/>
            <w:vAlign w:val="center"/>
            <w:hideMark/>
          </w:tcPr>
          <w:p w14:paraId="73234265" w14:textId="77777777" w:rsidR="00AB6973" w:rsidRPr="00330FDA" w:rsidRDefault="00AB6973" w:rsidP="001A6611">
            <w:pPr>
              <w:pStyle w:val="TableHeadingPlainCn"/>
              <w:jc w:val="right"/>
            </w:pPr>
            <w:r w:rsidRPr="00330FDA">
              <w:t>1</w:t>
            </w:r>
          </w:p>
        </w:tc>
      </w:tr>
      <w:tr w:rsidR="00BE3601" w:rsidRPr="00330FDA" w14:paraId="6CF61989" w14:textId="77777777" w:rsidTr="001A6611">
        <w:trPr>
          <w:trHeight w:val="285"/>
        </w:trPr>
        <w:tc>
          <w:tcPr>
            <w:tcW w:w="405" w:type="pct"/>
            <w:noWrap/>
            <w:vAlign w:val="center"/>
            <w:hideMark/>
          </w:tcPr>
          <w:p w14:paraId="4A1F1A14" w14:textId="77777777" w:rsidR="00AB6973" w:rsidRPr="00330FDA" w:rsidRDefault="00AB6973" w:rsidP="00BE3601">
            <w:pPr>
              <w:pStyle w:val="TableHeadingPlainCn"/>
            </w:pPr>
            <w:r w:rsidRPr="00330FDA">
              <w:t>SA</w:t>
            </w:r>
          </w:p>
        </w:tc>
        <w:tc>
          <w:tcPr>
            <w:tcW w:w="219" w:type="pct"/>
            <w:noWrap/>
            <w:vAlign w:val="center"/>
            <w:hideMark/>
          </w:tcPr>
          <w:p w14:paraId="26384FD4" w14:textId="77777777" w:rsidR="00AB6973" w:rsidRPr="00330FDA" w:rsidRDefault="00AB6973" w:rsidP="001A6611">
            <w:pPr>
              <w:pStyle w:val="TableHeadingPlainCn"/>
              <w:jc w:val="right"/>
            </w:pPr>
          </w:p>
        </w:tc>
        <w:tc>
          <w:tcPr>
            <w:tcW w:w="220" w:type="pct"/>
            <w:noWrap/>
            <w:vAlign w:val="center"/>
            <w:hideMark/>
          </w:tcPr>
          <w:p w14:paraId="595B3455" w14:textId="77777777" w:rsidR="00AB6973" w:rsidRPr="00330FDA" w:rsidRDefault="00AB6973" w:rsidP="001A6611">
            <w:pPr>
              <w:pStyle w:val="TableHeadingPlainCn"/>
              <w:jc w:val="right"/>
            </w:pPr>
          </w:p>
        </w:tc>
        <w:tc>
          <w:tcPr>
            <w:tcW w:w="236" w:type="pct"/>
            <w:noWrap/>
            <w:vAlign w:val="center"/>
            <w:hideMark/>
          </w:tcPr>
          <w:p w14:paraId="1AF38330" w14:textId="77777777" w:rsidR="00AB6973" w:rsidRPr="00330FDA" w:rsidRDefault="00AB6973" w:rsidP="001A6611">
            <w:pPr>
              <w:pStyle w:val="TableHeadingPlainCn"/>
              <w:jc w:val="right"/>
            </w:pPr>
            <w:r w:rsidRPr="00330FDA">
              <w:t>0</w:t>
            </w:r>
          </w:p>
        </w:tc>
        <w:tc>
          <w:tcPr>
            <w:tcW w:w="278" w:type="pct"/>
            <w:noWrap/>
            <w:vAlign w:val="center"/>
            <w:hideMark/>
          </w:tcPr>
          <w:p w14:paraId="0AFC87E8" w14:textId="77777777" w:rsidR="00AB6973" w:rsidRPr="00330FDA" w:rsidRDefault="00AB6973" w:rsidP="001A6611">
            <w:pPr>
              <w:pStyle w:val="TableHeadingPlainCn"/>
              <w:jc w:val="right"/>
            </w:pPr>
            <w:r w:rsidRPr="00330FDA">
              <w:t>1</w:t>
            </w:r>
          </w:p>
        </w:tc>
        <w:tc>
          <w:tcPr>
            <w:tcW w:w="278" w:type="pct"/>
            <w:noWrap/>
            <w:vAlign w:val="center"/>
            <w:hideMark/>
          </w:tcPr>
          <w:p w14:paraId="14F67CFE" w14:textId="77777777" w:rsidR="00AB6973" w:rsidRPr="00330FDA" w:rsidRDefault="00AB6973" w:rsidP="001A6611">
            <w:pPr>
              <w:pStyle w:val="TableHeadingPlainCn"/>
              <w:jc w:val="right"/>
            </w:pPr>
            <w:r w:rsidRPr="00330FDA">
              <w:t>2</w:t>
            </w:r>
          </w:p>
        </w:tc>
        <w:tc>
          <w:tcPr>
            <w:tcW w:w="278" w:type="pct"/>
            <w:noWrap/>
            <w:vAlign w:val="center"/>
            <w:hideMark/>
          </w:tcPr>
          <w:p w14:paraId="4F25C81B" w14:textId="77777777" w:rsidR="00AB6973" w:rsidRPr="00330FDA" w:rsidRDefault="00AB6973" w:rsidP="001A6611">
            <w:pPr>
              <w:pStyle w:val="TableHeadingPlainCn"/>
              <w:jc w:val="right"/>
            </w:pPr>
            <w:r w:rsidRPr="00330FDA">
              <w:t>3</w:t>
            </w:r>
          </w:p>
        </w:tc>
        <w:tc>
          <w:tcPr>
            <w:tcW w:w="275" w:type="pct"/>
            <w:noWrap/>
            <w:vAlign w:val="center"/>
            <w:hideMark/>
          </w:tcPr>
          <w:p w14:paraId="777A979C" w14:textId="77777777" w:rsidR="00AB6973" w:rsidRPr="00330FDA" w:rsidRDefault="00AB6973" w:rsidP="001A6611">
            <w:pPr>
              <w:pStyle w:val="TableHeadingPlainCn"/>
              <w:jc w:val="right"/>
            </w:pPr>
            <w:r w:rsidRPr="00330FDA">
              <w:t>0</w:t>
            </w:r>
          </w:p>
        </w:tc>
        <w:tc>
          <w:tcPr>
            <w:tcW w:w="275" w:type="pct"/>
            <w:noWrap/>
            <w:vAlign w:val="center"/>
            <w:hideMark/>
          </w:tcPr>
          <w:p w14:paraId="351739C7" w14:textId="77777777" w:rsidR="00AB6973" w:rsidRPr="00330FDA" w:rsidRDefault="00AB6973" w:rsidP="001A6611">
            <w:pPr>
              <w:pStyle w:val="TableHeadingPlainCn"/>
              <w:jc w:val="right"/>
            </w:pPr>
            <w:r w:rsidRPr="00330FDA">
              <w:t>0</w:t>
            </w:r>
          </w:p>
        </w:tc>
        <w:tc>
          <w:tcPr>
            <w:tcW w:w="275" w:type="pct"/>
            <w:noWrap/>
            <w:vAlign w:val="center"/>
            <w:hideMark/>
          </w:tcPr>
          <w:p w14:paraId="571055BE" w14:textId="77777777" w:rsidR="00AB6973" w:rsidRPr="00330FDA" w:rsidRDefault="00AB6973" w:rsidP="001A6611">
            <w:pPr>
              <w:pStyle w:val="TableHeadingPlainCn"/>
              <w:jc w:val="right"/>
            </w:pPr>
            <w:r w:rsidRPr="00330FDA">
              <w:t>0</w:t>
            </w:r>
          </w:p>
        </w:tc>
        <w:tc>
          <w:tcPr>
            <w:tcW w:w="313" w:type="pct"/>
            <w:noWrap/>
            <w:vAlign w:val="center"/>
            <w:hideMark/>
          </w:tcPr>
          <w:p w14:paraId="28B63AAF" w14:textId="77777777" w:rsidR="00AB6973" w:rsidRPr="00330FDA" w:rsidRDefault="00AB6973" w:rsidP="001A6611">
            <w:pPr>
              <w:pStyle w:val="TableHeadingPlainCn"/>
              <w:jc w:val="right"/>
            </w:pPr>
            <w:r w:rsidRPr="00330FDA">
              <w:t>0</w:t>
            </w:r>
          </w:p>
        </w:tc>
        <w:tc>
          <w:tcPr>
            <w:tcW w:w="313" w:type="pct"/>
            <w:noWrap/>
            <w:vAlign w:val="center"/>
            <w:hideMark/>
          </w:tcPr>
          <w:p w14:paraId="71F60B30" w14:textId="77777777" w:rsidR="00AB6973" w:rsidRPr="00330FDA" w:rsidRDefault="00AB6973" w:rsidP="001A6611">
            <w:pPr>
              <w:pStyle w:val="TableHeadingPlainCn"/>
              <w:jc w:val="right"/>
            </w:pPr>
            <w:r w:rsidRPr="00330FDA">
              <w:t>0</w:t>
            </w:r>
          </w:p>
        </w:tc>
        <w:tc>
          <w:tcPr>
            <w:tcW w:w="313" w:type="pct"/>
            <w:noWrap/>
            <w:vAlign w:val="center"/>
            <w:hideMark/>
          </w:tcPr>
          <w:p w14:paraId="07181273" w14:textId="77777777" w:rsidR="00AB6973" w:rsidRPr="00330FDA" w:rsidRDefault="00AB6973" w:rsidP="001A6611">
            <w:pPr>
              <w:pStyle w:val="TableHeadingPlainCn"/>
              <w:jc w:val="right"/>
            </w:pPr>
            <w:r w:rsidRPr="00330FDA">
              <w:t>0</w:t>
            </w:r>
          </w:p>
        </w:tc>
        <w:tc>
          <w:tcPr>
            <w:tcW w:w="313" w:type="pct"/>
            <w:noWrap/>
            <w:vAlign w:val="center"/>
            <w:hideMark/>
          </w:tcPr>
          <w:p w14:paraId="4188695E" w14:textId="77777777" w:rsidR="00AB6973" w:rsidRPr="00330FDA" w:rsidRDefault="00AB6973" w:rsidP="001A6611">
            <w:pPr>
              <w:pStyle w:val="TableHeadingPlainCn"/>
              <w:jc w:val="right"/>
            </w:pPr>
            <w:r w:rsidRPr="00330FDA">
              <w:t>0</w:t>
            </w:r>
          </w:p>
        </w:tc>
        <w:tc>
          <w:tcPr>
            <w:tcW w:w="314" w:type="pct"/>
            <w:noWrap/>
            <w:vAlign w:val="center"/>
            <w:hideMark/>
          </w:tcPr>
          <w:p w14:paraId="293F1FB4" w14:textId="77777777" w:rsidR="00AB6973" w:rsidRPr="00330FDA" w:rsidRDefault="00AB6973" w:rsidP="001A6611">
            <w:pPr>
              <w:pStyle w:val="TableHeadingPlainCn"/>
              <w:jc w:val="right"/>
            </w:pPr>
            <w:r w:rsidRPr="00330FDA">
              <w:t>0</w:t>
            </w:r>
          </w:p>
        </w:tc>
        <w:tc>
          <w:tcPr>
            <w:tcW w:w="314" w:type="pct"/>
            <w:noWrap/>
            <w:vAlign w:val="center"/>
            <w:hideMark/>
          </w:tcPr>
          <w:p w14:paraId="75B00D16" w14:textId="77777777" w:rsidR="00AB6973" w:rsidRPr="00330FDA" w:rsidRDefault="00AB6973" w:rsidP="001A6611">
            <w:pPr>
              <w:pStyle w:val="TableHeadingPlainCn"/>
              <w:jc w:val="right"/>
            </w:pPr>
            <w:r w:rsidRPr="00330FDA">
              <w:t>0</w:t>
            </w:r>
          </w:p>
        </w:tc>
        <w:tc>
          <w:tcPr>
            <w:tcW w:w="383" w:type="pct"/>
            <w:noWrap/>
            <w:vAlign w:val="center"/>
            <w:hideMark/>
          </w:tcPr>
          <w:p w14:paraId="7DF2F6E1" w14:textId="77777777" w:rsidR="00AB6973" w:rsidRPr="00330FDA" w:rsidRDefault="00AB6973" w:rsidP="001A6611">
            <w:pPr>
              <w:pStyle w:val="TableHeadingPlainCn"/>
              <w:jc w:val="right"/>
            </w:pPr>
            <w:r w:rsidRPr="00330FDA">
              <w:t>3</w:t>
            </w:r>
          </w:p>
        </w:tc>
      </w:tr>
      <w:tr w:rsidR="00BE3601" w:rsidRPr="00330FDA" w14:paraId="5F0961D8" w14:textId="77777777" w:rsidTr="001A6611">
        <w:trPr>
          <w:trHeight w:val="285"/>
        </w:trPr>
        <w:tc>
          <w:tcPr>
            <w:tcW w:w="405" w:type="pct"/>
            <w:noWrap/>
            <w:vAlign w:val="center"/>
            <w:hideMark/>
          </w:tcPr>
          <w:p w14:paraId="383E8A17" w14:textId="77777777" w:rsidR="00AB6973" w:rsidRPr="00330FDA" w:rsidRDefault="00AB6973" w:rsidP="00BE3601">
            <w:pPr>
              <w:pStyle w:val="TableHeadingPlainCn"/>
            </w:pPr>
            <w:r w:rsidRPr="00330FDA">
              <w:t>TAS</w:t>
            </w:r>
          </w:p>
        </w:tc>
        <w:tc>
          <w:tcPr>
            <w:tcW w:w="219" w:type="pct"/>
            <w:noWrap/>
            <w:vAlign w:val="center"/>
            <w:hideMark/>
          </w:tcPr>
          <w:p w14:paraId="52446ECB" w14:textId="77777777" w:rsidR="00AB6973" w:rsidRPr="00330FDA" w:rsidRDefault="00AB6973" w:rsidP="001A6611">
            <w:pPr>
              <w:pStyle w:val="TableHeadingPlainCn"/>
              <w:jc w:val="right"/>
            </w:pPr>
          </w:p>
        </w:tc>
        <w:tc>
          <w:tcPr>
            <w:tcW w:w="220" w:type="pct"/>
            <w:noWrap/>
            <w:vAlign w:val="center"/>
            <w:hideMark/>
          </w:tcPr>
          <w:p w14:paraId="265B44CE" w14:textId="77777777" w:rsidR="00AB6973" w:rsidRPr="00330FDA" w:rsidRDefault="00AB6973" w:rsidP="001A6611">
            <w:pPr>
              <w:pStyle w:val="TableHeadingPlainCn"/>
              <w:jc w:val="right"/>
            </w:pPr>
          </w:p>
        </w:tc>
        <w:tc>
          <w:tcPr>
            <w:tcW w:w="236" w:type="pct"/>
            <w:noWrap/>
            <w:vAlign w:val="center"/>
            <w:hideMark/>
          </w:tcPr>
          <w:p w14:paraId="166B4B43" w14:textId="77777777" w:rsidR="00AB6973" w:rsidRPr="00330FDA" w:rsidRDefault="00AB6973" w:rsidP="001A6611">
            <w:pPr>
              <w:pStyle w:val="TableHeadingPlainCn"/>
              <w:jc w:val="right"/>
            </w:pPr>
            <w:r w:rsidRPr="00330FDA">
              <w:t>0</w:t>
            </w:r>
          </w:p>
        </w:tc>
        <w:tc>
          <w:tcPr>
            <w:tcW w:w="278" w:type="pct"/>
            <w:noWrap/>
            <w:vAlign w:val="center"/>
            <w:hideMark/>
          </w:tcPr>
          <w:p w14:paraId="2D32F433" w14:textId="77777777" w:rsidR="00AB6973" w:rsidRPr="00330FDA" w:rsidRDefault="00AB6973" w:rsidP="001A6611">
            <w:pPr>
              <w:pStyle w:val="TableHeadingPlainCn"/>
              <w:jc w:val="right"/>
            </w:pPr>
          </w:p>
        </w:tc>
        <w:tc>
          <w:tcPr>
            <w:tcW w:w="278" w:type="pct"/>
            <w:noWrap/>
            <w:vAlign w:val="center"/>
            <w:hideMark/>
          </w:tcPr>
          <w:p w14:paraId="16CF1E79" w14:textId="77777777" w:rsidR="00AB6973" w:rsidRPr="00330FDA" w:rsidRDefault="00AB6973" w:rsidP="001A6611">
            <w:pPr>
              <w:pStyle w:val="TableHeadingPlainCn"/>
              <w:jc w:val="right"/>
            </w:pPr>
            <w:r w:rsidRPr="00330FDA">
              <w:t>1</w:t>
            </w:r>
          </w:p>
        </w:tc>
        <w:tc>
          <w:tcPr>
            <w:tcW w:w="278" w:type="pct"/>
            <w:noWrap/>
            <w:vAlign w:val="center"/>
            <w:hideMark/>
          </w:tcPr>
          <w:p w14:paraId="22D0C88C" w14:textId="77777777" w:rsidR="00AB6973" w:rsidRPr="00330FDA" w:rsidRDefault="00AB6973" w:rsidP="001A6611">
            <w:pPr>
              <w:pStyle w:val="TableHeadingPlainCn"/>
              <w:jc w:val="right"/>
            </w:pPr>
            <w:r w:rsidRPr="00330FDA">
              <w:t>1</w:t>
            </w:r>
          </w:p>
        </w:tc>
        <w:tc>
          <w:tcPr>
            <w:tcW w:w="275" w:type="pct"/>
            <w:noWrap/>
            <w:vAlign w:val="center"/>
            <w:hideMark/>
          </w:tcPr>
          <w:p w14:paraId="3EAA6C5D" w14:textId="77777777" w:rsidR="00AB6973" w:rsidRPr="00330FDA" w:rsidRDefault="00AB6973" w:rsidP="001A6611">
            <w:pPr>
              <w:pStyle w:val="TableHeadingPlainCn"/>
              <w:jc w:val="right"/>
            </w:pPr>
            <w:r w:rsidRPr="00330FDA">
              <w:t>0</w:t>
            </w:r>
          </w:p>
        </w:tc>
        <w:tc>
          <w:tcPr>
            <w:tcW w:w="275" w:type="pct"/>
            <w:noWrap/>
            <w:vAlign w:val="center"/>
            <w:hideMark/>
          </w:tcPr>
          <w:p w14:paraId="2B0C0CE5" w14:textId="77777777" w:rsidR="00AB6973" w:rsidRPr="00330FDA" w:rsidRDefault="00AB6973" w:rsidP="001A6611">
            <w:pPr>
              <w:pStyle w:val="TableHeadingPlainCn"/>
              <w:jc w:val="right"/>
            </w:pPr>
            <w:r w:rsidRPr="00330FDA">
              <w:t>0</w:t>
            </w:r>
          </w:p>
        </w:tc>
        <w:tc>
          <w:tcPr>
            <w:tcW w:w="275" w:type="pct"/>
            <w:noWrap/>
            <w:vAlign w:val="center"/>
            <w:hideMark/>
          </w:tcPr>
          <w:p w14:paraId="08577042" w14:textId="77777777" w:rsidR="00AB6973" w:rsidRPr="00330FDA" w:rsidRDefault="00AB6973" w:rsidP="001A6611">
            <w:pPr>
              <w:pStyle w:val="TableHeadingPlainCn"/>
              <w:jc w:val="right"/>
            </w:pPr>
            <w:r w:rsidRPr="00330FDA">
              <w:t>0</w:t>
            </w:r>
          </w:p>
        </w:tc>
        <w:tc>
          <w:tcPr>
            <w:tcW w:w="313" w:type="pct"/>
            <w:noWrap/>
            <w:vAlign w:val="center"/>
            <w:hideMark/>
          </w:tcPr>
          <w:p w14:paraId="1D7A36E5" w14:textId="77777777" w:rsidR="00AB6973" w:rsidRPr="00330FDA" w:rsidRDefault="00AB6973" w:rsidP="001A6611">
            <w:pPr>
              <w:pStyle w:val="TableHeadingPlainCn"/>
              <w:jc w:val="right"/>
            </w:pPr>
            <w:r w:rsidRPr="00330FDA">
              <w:t>0</w:t>
            </w:r>
          </w:p>
        </w:tc>
        <w:tc>
          <w:tcPr>
            <w:tcW w:w="313" w:type="pct"/>
            <w:noWrap/>
            <w:vAlign w:val="center"/>
            <w:hideMark/>
          </w:tcPr>
          <w:p w14:paraId="7498BB64" w14:textId="77777777" w:rsidR="00AB6973" w:rsidRPr="00330FDA" w:rsidRDefault="00AB6973" w:rsidP="001A6611">
            <w:pPr>
              <w:pStyle w:val="TableHeadingPlainCn"/>
              <w:jc w:val="right"/>
            </w:pPr>
            <w:r w:rsidRPr="00330FDA">
              <w:t>0</w:t>
            </w:r>
          </w:p>
        </w:tc>
        <w:tc>
          <w:tcPr>
            <w:tcW w:w="313" w:type="pct"/>
            <w:noWrap/>
            <w:vAlign w:val="center"/>
            <w:hideMark/>
          </w:tcPr>
          <w:p w14:paraId="2259E11E" w14:textId="77777777" w:rsidR="00AB6973" w:rsidRPr="00330FDA" w:rsidRDefault="00AB6973" w:rsidP="001A6611">
            <w:pPr>
              <w:pStyle w:val="TableHeadingPlainCn"/>
              <w:jc w:val="right"/>
            </w:pPr>
            <w:r w:rsidRPr="00330FDA">
              <w:t>0</w:t>
            </w:r>
          </w:p>
        </w:tc>
        <w:tc>
          <w:tcPr>
            <w:tcW w:w="313" w:type="pct"/>
            <w:noWrap/>
            <w:vAlign w:val="center"/>
            <w:hideMark/>
          </w:tcPr>
          <w:p w14:paraId="6D1E040D" w14:textId="77777777" w:rsidR="00AB6973" w:rsidRPr="00330FDA" w:rsidRDefault="00AB6973" w:rsidP="001A6611">
            <w:pPr>
              <w:pStyle w:val="TableHeadingPlainCn"/>
              <w:jc w:val="right"/>
            </w:pPr>
            <w:r w:rsidRPr="00330FDA">
              <w:t>0</w:t>
            </w:r>
          </w:p>
        </w:tc>
        <w:tc>
          <w:tcPr>
            <w:tcW w:w="314" w:type="pct"/>
            <w:noWrap/>
            <w:vAlign w:val="center"/>
            <w:hideMark/>
          </w:tcPr>
          <w:p w14:paraId="338E63DB" w14:textId="77777777" w:rsidR="00AB6973" w:rsidRPr="00330FDA" w:rsidRDefault="00AB6973" w:rsidP="001A6611">
            <w:pPr>
              <w:pStyle w:val="TableHeadingPlainCn"/>
              <w:jc w:val="right"/>
            </w:pPr>
            <w:r w:rsidRPr="00330FDA">
              <w:t>0</w:t>
            </w:r>
          </w:p>
        </w:tc>
        <w:tc>
          <w:tcPr>
            <w:tcW w:w="314" w:type="pct"/>
            <w:noWrap/>
            <w:vAlign w:val="center"/>
            <w:hideMark/>
          </w:tcPr>
          <w:p w14:paraId="78998938" w14:textId="77777777" w:rsidR="00AB6973" w:rsidRPr="00330FDA" w:rsidRDefault="00AB6973" w:rsidP="001A6611">
            <w:pPr>
              <w:pStyle w:val="TableHeadingPlainCn"/>
              <w:jc w:val="right"/>
            </w:pPr>
            <w:r w:rsidRPr="00330FDA">
              <w:t>0</w:t>
            </w:r>
          </w:p>
        </w:tc>
        <w:tc>
          <w:tcPr>
            <w:tcW w:w="383" w:type="pct"/>
            <w:noWrap/>
            <w:vAlign w:val="center"/>
            <w:hideMark/>
          </w:tcPr>
          <w:p w14:paraId="3532202E" w14:textId="77777777" w:rsidR="00AB6973" w:rsidRPr="00330FDA" w:rsidRDefault="00AB6973" w:rsidP="001A6611">
            <w:pPr>
              <w:pStyle w:val="TableHeadingPlainCn"/>
              <w:jc w:val="right"/>
            </w:pPr>
            <w:r w:rsidRPr="00330FDA">
              <w:t>1</w:t>
            </w:r>
          </w:p>
        </w:tc>
      </w:tr>
      <w:tr w:rsidR="00BE3601" w:rsidRPr="00330FDA" w14:paraId="78F42B13" w14:textId="77777777" w:rsidTr="001A6611">
        <w:trPr>
          <w:trHeight w:val="285"/>
        </w:trPr>
        <w:tc>
          <w:tcPr>
            <w:tcW w:w="405" w:type="pct"/>
            <w:noWrap/>
            <w:vAlign w:val="center"/>
            <w:hideMark/>
          </w:tcPr>
          <w:p w14:paraId="05FB9335" w14:textId="77777777" w:rsidR="00AB6973" w:rsidRPr="00330FDA" w:rsidRDefault="00AB6973" w:rsidP="00BE3601">
            <w:pPr>
              <w:pStyle w:val="TableHeadingPlainCn"/>
            </w:pPr>
            <w:r w:rsidRPr="00330FDA">
              <w:t>VIC</w:t>
            </w:r>
          </w:p>
        </w:tc>
        <w:tc>
          <w:tcPr>
            <w:tcW w:w="219" w:type="pct"/>
            <w:noWrap/>
            <w:vAlign w:val="center"/>
            <w:hideMark/>
          </w:tcPr>
          <w:p w14:paraId="1F4B15C6" w14:textId="77777777" w:rsidR="00AB6973" w:rsidRPr="00330FDA" w:rsidRDefault="00AB6973" w:rsidP="001A6611">
            <w:pPr>
              <w:pStyle w:val="TableHeadingPlainCn"/>
              <w:jc w:val="right"/>
            </w:pPr>
            <w:r w:rsidRPr="00330FDA">
              <w:t>1</w:t>
            </w:r>
          </w:p>
        </w:tc>
        <w:tc>
          <w:tcPr>
            <w:tcW w:w="220" w:type="pct"/>
            <w:noWrap/>
            <w:vAlign w:val="center"/>
            <w:hideMark/>
          </w:tcPr>
          <w:p w14:paraId="1E8F0547" w14:textId="77777777" w:rsidR="00AB6973" w:rsidRPr="00330FDA" w:rsidRDefault="00AB6973" w:rsidP="001A6611">
            <w:pPr>
              <w:pStyle w:val="TableHeadingPlainCn"/>
              <w:jc w:val="right"/>
            </w:pPr>
          </w:p>
        </w:tc>
        <w:tc>
          <w:tcPr>
            <w:tcW w:w="236" w:type="pct"/>
            <w:noWrap/>
            <w:vAlign w:val="center"/>
            <w:hideMark/>
          </w:tcPr>
          <w:p w14:paraId="6FCA3F0B" w14:textId="77777777" w:rsidR="00AB6973" w:rsidRPr="00330FDA" w:rsidRDefault="00AB6973" w:rsidP="001A6611">
            <w:pPr>
              <w:pStyle w:val="TableHeadingPlainCn"/>
              <w:jc w:val="right"/>
            </w:pPr>
            <w:r w:rsidRPr="00330FDA">
              <w:t>1</w:t>
            </w:r>
          </w:p>
        </w:tc>
        <w:tc>
          <w:tcPr>
            <w:tcW w:w="278" w:type="pct"/>
            <w:noWrap/>
            <w:vAlign w:val="center"/>
            <w:hideMark/>
          </w:tcPr>
          <w:p w14:paraId="3CE1896C" w14:textId="77777777" w:rsidR="00AB6973" w:rsidRPr="00330FDA" w:rsidRDefault="00AB6973" w:rsidP="001A6611">
            <w:pPr>
              <w:pStyle w:val="TableHeadingPlainCn"/>
              <w:jc w:val="right"/>
            </w:pPr>
            <w:r w:rsidRPr="00330FDA">
              <w:t>1</w:t>
            </w:r>
          </w:p>
        </w:tc>
        <w:tc>
          <w:tcPr>
            <w:tcW w:w="278" w:type="pct"/>
            <w:noWrap/>
            <w:vAlign w:val="center"/>
            <w:hideMark/>
          </w:tcPr>
          <w:p w14:paraId="3361DAF6" w14:textId="77777777" w:rsidR="00AB6973" w:rsidRPr="00330FDA" w:rsidRDefault="00AB6973" w:rsidP="001A6611">
            <w:pPr>
              <w:pStyle w:val="TableHeadingPlainCn"/>
              <w:jc w:val="right"/>
            </w:pPr>
            <w:r w:rsidRPr="00330FDA">
              <w:t>3</w:t>
            </w:r>
          </w:p>
        </w:tc>
        <w:tc>
          <w:tcPr>
            <w:tcW w:w="278" w:type="pct"/>
            <w:noWrap/>
            <w:vAlign w:val="center"/>
            <w:hideMark/>
          </w:tcPr>
          <w:p w14:paraId="4C19EA54" w14:textId="77777777" w:rsidR="00AB6973" w:rsidRPr="00330FDA" w:rsidRDefault="00AB6973" w:rsidP="001A6611">
            <w:pPr>
              <w:pStyle w:val="TableHeadingPlainCn"/>
              <w:jc w:val="right"/>
            </w:pPr>
            <w:r w:rsidRPr="00330FDA">
              <w:t>4</w:t>
            </w:r>
          </w:p>
        </w:tc>
        <w:tc>
          <w:tcPr>
            <w:tcW w:w="275" w:type="pct"/>
            <w:noWrap/>
            <w:vAlign w:val="center"/>
            <w:hideMark/>
          </w:tcPr>
          <w:p w14:paraId="193F85FD" w14:textId="77777777" w:rsidR="00AB6973" w:rsidRPr="00330FDA" w:rsidRDefault="00AB6973" w:rsidP="001A6611">
            <w:pPr>
              <w:pStyle w:val="TableHeadingPlainCn"/>
              <w:jc w:val="right"/>
            </w:pPr>
            <w:r w:rsidRPr="00330FDA">
              <w:t>0</w:t>
            </w:r>
          </w:p>
        </w:tc>
        <w:tc>
          <w:tcPr>
            <w:tcW w:w="275" w:type="pct"/>
            <w:noWrap/>
            <w:vAlign w:val="center"/>
            <w:hideMark/>
          </w:tcPr>
          <w:p w14:paraId="3503FCD9" w14:textId="77777777" w:rsidR="00AB6973" w:rsidRPr="00330FDA" w:rsidRDefault="00AB6973" w:rsidP="001A6611">
            <w:pPr>
              <w:pStyle w:val="TableHeadingPlainCn"/>
              <w:jc w:val="right"/>
            </w:pPr>
            <w:r w:rsidRPr="00330FDA">
              <w:t>0</w:t>
            </w:r>
          </w:p>
        </w:tc>
        <w:tc>
          <w:tcPr>
            <w:tcW w:w="275" w:type="pct"/>
            <w:noWrap/>
            <w:vAlign w:val="center"/>
            <w:hideMark/>
          </w:tcPr>
          <w:p w14:paraId="7507E4AD" w14:textId="77777777" w:rsidR="00AB6973" w:rsidRPr="00330FDA" w:rsidRDefault="00AB6973" w:rsidP="001A6611">
            <w:pPr>
              <w:pStyle w:val="TableHeadingPlainCn"/>
              <w:jc w:val="right"/>
            </w:pPr>
            <w:r w:rsidRPr="00330FDA">
              <w:t>0</w:t>
            </w:r>
          </w:p>
        </w:tc>
        <w:tc>
          <w:tcPr>
            <w:tcW w:w="313" w:type="pct"/>
            <w:noWrap/>
            <w:vAlign w:val="center"/>
            <w:hideMark/>
          </w:tcPr>
          <w:p w14:paraId="4ADCA481" w14:textId="77777777" w:rsidR="00AB6973" w:rsidRPr="00330FDA" w:rsidRDefault="00AB6973" w:rsidP="001A6611">
            <w:pPr>
              <w:pStyle w:val="TableHeadingPlainCn"/>
              <w:jc w:val="right"/>
            </w:pPr>
            <w:r w:rsidRPr="00330FDA">
              <w:t>0</w:t>
            </w:r>
          </w:p>
        </w:tc>
        <w:tc>
          <w:tcPr>
            <w:tcW w:w="313" w:type="pct"/>
            <w:noWrap/>
            <w:vAlign w:val="center"/>
            <w:hideMark/>
          </w:tcPr>
          <w:p w14:paraId="0D9FB2D2" w14:textId="77777777" w:rsidR="00AB6973" w:rsidRPr="00330FDA" w:rsidRDefault="00AB6973" w:rsidP="001A6611">
            <w:pPr>
              <w:pStyle w:val="TableHeadingPlainCn"/>
              <w:jc w:val="right"/>
            </w:pPr>
            <w:r w:rsidRPr="00330FDA">
              <w:t>0</w:t>
            </w:r>
          </w:p>
        </w:tc>
        <w:tc>
          <w:tcPr>
            <w:tcW w:w="313" w:type="pct"/>
            <w:noWrap/>
            <w:vAlign w:val="center"/>
            <w:hideMark/>
          </w:tcPr>
          <w:p w14:paraId="429BE07B" w14:textId="77777777" w:rsidR="00AB6973" w:rsidRPr="00330FDA" w:rsidRDefault="00AB6973" w:rsidP="001A6611">
            <w:pPr>
              <w:pStyle w:val="TableHeadingPlainCn"/>
              <w:jc w:val="right"/>
            </w:pPr>
            <w:r w:rsidRPr="00330FDA">
              <w:t>0</w:t>
            </w:r>
          </w:p>
        </w:tc>
        <w:tc>
          <w:tcPr>
            <w:tcW w:w="313" w:type="pct"/>
            <w:noWrap/>
            <w:vAlign w:val="center"/>
            <w:hideMark/>
          </w:tcPr>
          <w:p w14:paraId="70FF9F61" w14:textId="77777777" w:rsidR="00AB6973" w:rsidRPr="00330FDA" w:rsidRDefault="00AB6973" w:rsidP="001A6611">
            <w:pPr>
              <w:pStyle w:val="TableHeadingPlainCn"/>
              <w:jc w:val="right"/>
            </w:pPr>
            <w:r w:rsidRPr="00330FDA">
              <w:t>0</w:t>
            </w:r>
          </w:p>
        </w:tc>
        <w:tc>
          <w:tcPr>
            <w:tcW w:w="314" w:type="pct"/>
            <w:noWrap/>
            <w:vAlign w:val="center"/>
            <w:hideMark/>
          </w:tcPr>
          <w:p w14:paraId="19923E22" w14:textId="77777777" w:rsidR="00AB6973" w:rsidRPr="00330FDA" w:rsidRDefault="00AB6973" w:rsidP="001A6611">
            <w:pPr>
              <w:pStyle w:val="TableHeadingPlainCn"/>
              <w:jc w:val="right"/>
            </w:pPr>
            <w:r w:rsidRPr="00330FDA">
              <w:t>0</w:t>
            </w:r>
          </w:p>
        </w:tc>
        <w:tc>
          <w:tcPr>
            <w:tcW w:w="314" w:type="pct"/>
            <w:noWrap/>
            <w:vAlign w:val="center"/>
            <w:hideMark/>
          </w:tcPr>
          <w:p w14:paraId="1A66556D" w14:textId="77777777" w:rsidR="00AB6973" w:rsidRPr="00330FDA" w:rsidRDefault="00AB6973" w:rsidP="001A6611">
            <w:pPr>
              <w:pStyle w:val="TableHeadingPlainCn"/>
              <w:jc w:val="right"/>
            </w:pPr>
            <w:r w:rsidRPr="00330FDA">
              <w:t>0</w:t>
            </w:r>
          </w:p>
        </w:tc>
        <w:tc>
          <w:tcPr>
            <w:tcW w:w="383" w:type="pct"/>
            <w:noWrap/>
            <w:vAlign w:val="center"/>
            <w:hideMark/>
          </w:tcPr>
          <w:p w14:paraId="62E7FD7A" w14:textId="77777777" w:rsidR="00AB6973" w:rsidRPr="00330FDA" w:rsidRDefault="00AB6973" w:rsidP="001A6611">
            <w:pPr>
              <w:pStyle w:val="TableHeadingPlainCn"/>
              <w:jc w:val="right"/>
            </w:pPr>
            <w:r w:rsidRPr="00330FDA">
              <w:t>5</w:t>
            </w:r>
          </w:p>
        </w:tc>
      </w:tr>
      <w:tr w:rsidR="00BE3601" w:rsidRPr="00330FDA" w14:paraId="26C14EED" w14:textId="77777777" w:rsidTr="001A6611">
        <w:trPr>
          <w:trHeight w:val="285"/>
        </w:trPr>
        <w:tc>
          <w:tcPr>
            <w:tcW w:w="405" w:type="pct"/>
            <w:noWrap/>
            <w:vAlign w:val="center"/>
            <w:hideMark/>
          </w:tcPr>
          <w:p w14:paraId="4A257E79" w14:textId="77777777" w:rsidR="00AB6973" w:rsidRPr="00330FDA" w:rsidRDefault="00AB6973" w:rsidP="00BE3601">
            <w:pPr>
              <w:pStyle w:val="TableHeadingPlainCn"/>
            </w:pPr>
            <w:r w:rsidRPr="00330FDA">
              <w:t>WA</w:t>
            </w:r>
          </w:p>
        </w:tc>
        <w:tc>
          <w:tcPr>
            <w:tcW w:w="219" w:type="pct"/>
            <w:noWrap/>
            <w:vAlign w:val="center"/>
            <w:hideMark/>
          </w:tcPr>
          <w:p w14:paraId="1B71CA7E" w14:textId="77777777" w:rsidR="00AB6973" w:rsidRPr="00330FDA" w:rsidRDefault="00AB6973" w:rsidP="001A6611">
            <w:pPr>
              <w:pStyle w:val="TableHeadingPlainCn"/>
              <w:jc w:val="right"/>
            </w:pPr>
          </w:p>
        </w:tc>
        <w:tc>
          <w:tcPr>
            <w:tcW w:w="220" w:type="pct"/>
            <w:noWrap/>
            <w:vAlign w:val="center"/>
            <w:hideMark/>
          </w:tcPr>
          <w:p w14:paraId="7771F1C7" w14:textId="77777777" w:rsidR="00AB6973" w:rsidRPr="00330FDA" w:rsidRDefault="00AB6973" w:rsidP="001A6611">
            <w:pPr>
              <w:pStyle w:val="TableHeadingPlainCn"/>
              <w:jc w:val="right"/>
            </w:pPr>
          </w:p>
        </w:tc>
        <w:tc>
          <w:tcPr>
            <w:tcW w:w="236" w:type="pct"/>
            <w:noWrap/>
            <w:vAlign w:val="center"/>
            <w:hideMark/>
          </w:tcPr>
          <w:p w14:paraId="69554D5C" w14:textId="77777777" w:rsidR="00AB6973" w:rsidRPr="00330FDA" w:rsidRDefault="00AB6973" w:rsidP="001A6611">
            <w:pPr>
              <w:pStyle w:val="TableHeadingPlainCn"/>
              <w:jc w:val="right"/>
            </w:pPr>
            <w:r w:rsidRPr="00330FDA">
              <w:t>0</w:t>
            </w:r>
          </w:p>
        </w:tc>
        <w:tc>
          <w:tcPr>
            <w:tcW w:w="278" w:type="pct"/>
            <w:noWrap/>
            <w:vAlign w:val="center"/>
            <w:hideMark/>
          </w:tcPr>
          <w:p w14:paraId="0885BC2F" w14:textId="77777777" w:rsidR="00AB6973" w:rsidRPr="00330FDA" w:rsidRDefault="00AB6973" w:rsidP="001A6611">
            <w:pPr>
              <w:pStyle w:val="TableHeadingPlainCn"/>
              <w:jc w:val="right"/>
            </w:pPr>
            <w:r w:rsidRPr="00330FDA">
              <w:t>2</w:t>
            </w:r>
          </w:p>
        </w:tc>
        <w:tc>
          <w:tcPr>
            <w:tcW w:w="278" w:type="pct"/>
            <w:noWrap/>
            <w:vAlign w:val="center"/>
            <w:hideMark/>
          </w:tcPr>
          <w:p w14:paraId="0D9110EC" w14:textId="77777777" w:rsidR="00AB6973" w:rsidRPr="00330FDA" w:rsidRDefault="00AB6973" w:rsidP="001A6611">
            <w:pPr>
              <w:pStyle w:val="TableHeadingPlainCn"/>
              <w:jc w:val="right"/>
            </w:pPr>
          </w:p>
        </w:tc>
        <w:tc>
          <w:tcPr>
            <w:tcW w:w="278" w:type="pct"/>
            <w:noWrap/>
            <w:vAlign w:val="center"/>
            <w:hideMark/>
          </w:tcPr>
          <w:p w14:paraId="1142E9E8" w14:textId="77777777" w:rsidR="00AB6973" w:rsidRPr="00330FDA" w:rsidRDefault="00AB6973" w:rsidP="001A6611">
            <w:pPr>
              <w:pStyle w:val="TableHeadingPlainCn"/>
              <w:jc w:val="right"/>
            </w:pPr>
            <w:r w:rsidRPr="00330FDA">
              <w:t>2</w:t>
            </w:r>
          </w:p>
        </w:tc>
        <w:tc>
          <w:tcPr>
            <w:tcW w:w="275" w:type="pct"/>
            <w:noWrap/>
            <w:vAlign w:val="center"/>
            <w:hideMark/>
          </w:tcPr>
          <w:p w14:paraId="4F141749" w14:textId="77777777" w:rsidR="00AB6973" w:rsidRPr="00330FDA" w:rsidRDefault="00AB6973" w:rsidP="001A6611">
            <w:pPr>
              <w:pStyle w:val="TableHeadingPlainCn"/>
              <w:jc w:val="right"/>
            </w:pPr>
            <w:r w:rsidRPr="00330FDA">
              <w:t>0</w:t>
            </w:r>
          </w:p>
        </w:tc>
        <w:tc>
          <w:tcPr>
            <w:tcW w:w="275" w:type="pct"/>
            <w:noWrap/>
            <w:vAlign w:val="center"/>
            <w:hideMark/>
          </w:tcPr>
          <w:p w14:paraId="50CE3997" w14:textId="77777777" w:rsidR="00AB6973" w:rsidRPr="00330FDA" w:rsidRDefault="00AB6973" w:rsidP="001A6611">
            <w:pPr>
              <w:pStyle w:val="TableHeadingPlainCn"/>
              <w:jc w:val="right"/>
            </w:pPr>
            <w:r w:rsidRPr="00330FDA">
              <w:t>0</w:t>
            </w:r>
          </w:p>
        </w:tc>
        <w:tc>
          <w:tcPr>
            <w:tcW w:w="275" w:type="pct"/>
            <w:noWrap/>
            <w:vAlign w:val="center"/>
            <w:hideMark/>
          </w:tcPr>
          <w:p w14:paraId="1284292E" w14:textId="77777777" w:rsidR="00AB6973" w:rsidRPr="00330FDA" w:rsidRDefault="00AB6973" w:rsidP="001A6611">
            <w:pPr>
              <w:pStyle w:val="TableHeadingPlainCn"/>
              <w:jc w:val="right"/>
            </w:pPr>
            <w:r w:rsidRPr="00330FDA">
              <w:t>0</w:t>
            </w:r>
          </w:p>
        </w:tc>
        <w:tc>
          <w:tcPr>
            <w:tcW w:w="313" w:type="pct"/>
            <w:noWrap/>
            <w:vAlign w:val="center"/>
            <w:hideMark/>
          </w:tcPr>
          <w:p w14:paraId="732C7C96" w14:textId="77777777" w:rsidR="00AB6973" w:rsidRPr="00330FDA" w:rsidRDefault="00AB6973" w:rsidP="001A6611">
            <w:pPr>
              <w:pStyle w:val="TableHeadingPlainCn"/>
              <w:jc w:val="right"/>
            </w:pPr>
            <w:r w:rsidRPr="00330FDA">
              <w:t>0</w:t>
            </w:r>
          </w:p>
        </w:tc>
        <w:tc>
          <w:tcPr>
            <w:tcW w:w="313" w:type="pct"/>
            <w:noWrap/>
            <w:vAlign w:val="center"/>
            <w:hideMark/>
          </w:tcPr>
          <w:p w14:paraId="0CB46D26" w14:textId="77777777" w:rsidR="00AB6973" w:rsidRPr="00330FDA" w:rsidRDefault="00AB6973" w:rsidP="001A6611">
            <w:pPr>
              <w:pStyle w:val="TableHeadingPlainCn"/>
              <w:jc w:val="right"/>
            </w:pPr>
            <w:r w:rsidRPr="00330FDA">
              <w:t>0</w:t>
            </w:r>
          </w:p>
        </w:tc>
        <w:tc>
          <w:tcPr>
            <w:tcW w:w="313" w:type="pct"/>
            <w:noWrap/>
            <w:vAlign w:val="center"/>
            <w:hideMark/>
          </w:tcPr>
          <w:p w14:paraId="00CBF897" w14:textId="77777777" w:rsidR="00AB6973" w:rsidRPr="00330FDA" w:rsidRDefault="00AB6973" w:rsidP="001A6611">
            <w:pPr>
              <w:pStyle w:val="TableHeadingPlainCn"/>
              <w:jc w:val="right"/>
            </w:pPr>
            <w:r w:rsidRPr="00330FDA">
              <w:t>0</w:t>
            </w:r>
          </w:p>
        </w:tc>
        <w:tc>
          <w:tcPr>
            <w:tcW w:w="313" w:type="pct"/>
            <w:noWrap/>
            <w:vAlign w:val="center"/>
            <w:hideMark/>
          </w:tcPr>
          <w:p w14:paraId="2C0C6BA9" w14:textId="77777777" w:rsidR="00AB6973" w:rsidRPr="00330FDA" w:rsidRDefault="00AB6973" w:rsidP="001A6611">
            <w:pPr>
              <w:pStyle w:val="TableHeadingPlainCn"/>
              <w:jc w:val="right"/>
            </w:pPr>
            <w:r w:rsidRPr="00330FDA">
              <w:t>0</w:t>
            </w:r>
          </w:p>
        </w:tc>
        <w:tc>
          <w:tcPr>
            <w:tcW w:w="314" w:type="pct"/>
            <w:noWrap/>
            <w:vAlign w:val="center"/>
            <w:hideMark/>
          </w:tcPr>
          <w:p w14:paraId="738AEBB7" w14:textId="77777777" w:rsidR="00AB6973" w:rsidRPr="00330FDA" w:rsidRDefault="00AB6973" w:rsidP="001A6611">
            <w:pPr>
              <w:pStyle w:val="TableHeadingPlainCn"/>
              <w:jc w:val="right"/>
            </w:pPr>
            <w:r w:rsidRPr="00330FDA">
              <w:t>0</w:t>
            </w:r>
          </w:p>
        </w:tc>
        <w:tc>
          <w:tcPr>
            <w:tcW w:w="314" w:type="pct"/>
            <w:noWrap/>
            <w:vAlign w:val="center"/>
            <w:hideMark/>
          </w:tcPr>
          <w:p w14:paraId="3381AF19" w14:textId="77777777" w:rsidR="00AB6973" w:rsidRPr="00330FDA" w:rsidRDefault="00AB6973" w:rsidP="001A6611">
            <w:pPr>
              <w:pStyle w:val="TableHeadingPlainCn"/>
              <w:jc w:val="right"/>
            </w:pPr>
            <w:r w:rsidRPr="00330FDA">
              <w:t>0</w:t>
            </w:r>
          </w:p>
        </w:tc>
        <w:tc>
          <w:tcPr>
            <w:tcW w:w="383" w:type="pct"/>
            <w:noWrap/>
            <w:vAlign w:val="center"/>
            <w:hideMark/>
          </w:tcPr>
          <w:p w14:paraId="11272BA0" w14:textId="77777777" w:rsidR="00AB6973" w:rsidRPr="00330FDA" w:rsidRDefault="00AB6973" w:rsidP="001A6611">
            <w:pPr>
              <w:pStyle w:val="TableHeadingPlainCn"/>
              <w:jc w:val="right"/>
            </w:pPr>
            <w:r w:rsidRPr="00330FDA">
              <w:t>2</w:t>
            </w:r>
          </w:p>
        </w:tc>
      </w:tr>
      <w:tr w:rsidR="00BE3601" w:rsidRPr="00330FDA" w14:paraId="38CB6F65" w14:textId="77777777" w:rsidTr="001A6611">
        <w:trPr>
          <w:trHeight w:val="285"/>
        </w:trPr>
        <w:tc>
          <w:tcPr>
            <w:tcW w:w="405" w:type="pct"/>
            <w:noWrap/>
            <w:vAlign w:val="center"/>
            <w:hideMark/>
          </w:tcPr>
          <w:p w14:paraId="60FD9D9B" w14:textId="77777777" w:rsidR="00AB6973" w:rsidRPr="00330FDA" w:rsidRDefault="00AB6973" w:rsidP="00BE3601">
            <w:pPr>
              <w:pStyle w:val="TableHeadingPlainCn"/>
            </w:pPr>
            <w:r w:rsidRPr="00330FDA">
              <w:t>ACT</w:t>
            </w:r>
          </w:p>
        </w:tc>
        <w:tc>
          <w:tcPr>
            <w:tcW w:w="219" w:type="pct"/>
            <w:noWrap/>
            <w:vAlign w:val="center"/>
            <w:hideMark/>
          </w:tcPr>
          <w:p w14:paraId="7C943665" w14:textId="77777777" w:rsidR="00AB6973" w:rsidRPr="00330FDA" w:rsidRDefault="00AB6973" w:rsidP="001A6611">
            <w:pPr>
              <w:pStyle w:val="TableHeadingPlainCn"/>
              <w:jc w:val="right"/>
            </w:pPr>
          </w:p>
        </w:tc>
        <w:tc>
          <w:tcPr>
            <w:tcW w:w="220" w:type="pct"/>
            <w:noWrap/>
            <w:vAlign w:val="center"/>
            <w:hideMark/>
          </w:tcPr>
          <w:p w14:paraId="5CF7C0E4" w14:textId="77777777" w:rsidR="00AB6973" w:rsidRPr="00330FDA" w:rsidRDefault="00AB6973" w:rsidP="001A6611">
            <w:pPr>
              <w:pStyle w:val="TableHeadingPlainCn"/>
              <w:jc w:val="right"/>
            </w:pPr>
          </w:p>
        </w:tc>
        <w:tc>
          <w:tcPr>
            <w:tcW w:w="236" w:type="pct"/>
            <w:noWrap/>
            <w:vAlign w:val="center"/>
            <w:hideMark/>
          </w:tcPr>
          <w:p w14:paraId="27AFE2F1" w14:textId="77777777" w:rsidR="00AB6973" w:rsidRPr="00330FDA" w:rsidRDefault="00AB6973" w:rsidP="001A6611">
            <w:pPr>
              <w:pStyle w:val="TableHeadingPlainCn"/>
              <w:jc w:val="right"/>
            </w:pPr>
          </w:p>
        </w:tc>
        <w:tc>
          <w:tcPr>
            <w:tcW w:w="278" w:type="pct"/>
            <w:noWrap/>
            <w:vAlign w:val="center"/>
            <w:hideMark/>
          </w:tcPr>
          <w:p w14:paraId="21A1F18C" w14:textId="77777777" w:rsidR="00AB6973" w:rsidRPr="00330FDA" w:rsidRDefault="00AB6973" w:rsidP="001A6611">
            <w:pPr>
              <w:pStyle w:val="TableHeadingPlainCn"/>
              <w:jc w:val="right"/>
            </w:pPr>
            <w:r w:rsidRPr="00330FDA">
              <w:t>5</w:t>
            </w:r>
          </w:p>
        </w:tc>
        <w:tc>
          <w:tcPr>
            <w:tcW w:w="278" w:type="pct"/>
            <w:noWrap/>
            <w:vAlign w:val="center"/>
            <w:hideMark/>
          </w:tcPr>
          <w:p w14:paraId="5CBC51F6" w14:textId="77777777" w:rsidR="00AB6973" w:rsidRPr="00330FDA" w:rsidRDefault="00AB6973" w:rsidP="001A6611">
            <w:pPr>
              <w:pStyle w:val="TableHeadingPlainCn"/>
              <w:jc w:val="right"/>
            </w:pPr>
            <w:r w:rsidRPr="00330FDA">
              <w:t>3</w:t>
            </w:r>
          </w:p>
        </w:tc>
        <w:tc>
          <w:tcPr>
            <w:tcW w:w="278" w:type="pct"/>
            <w:noWrap/>
            <w:vAlign w:val="center"/>
            <w:hideMark/>
          </w:tcPr>
          <w:p w14:paraId="3FA13CDC" w14:textId="77777777" w:rsidR="00AB6973" w:rsidRPr="00330FDA" w:rsidRDefault="00AB6973" w:rsidP="001A6611">
            <w:pPr>
              <w:pStyle w:val="TableHeadingPlainCn"/>
              <w:jc w:val="right"/>
            </w:pPr>
            <w:r w:rsidRPr="00330FDA">
              <w:t>8</w:t>
            </w:r>
          </w:p>
        </w:tc>
        <w:tc>
          <w:tcPr>
            <w:tcW w:w="275" w:type="pct"/>
            <w:noWrap/>
            <w:vAlign w:val="center"/>
            <w:hideMark/>
          </w:tcPr>
          <w:p w14:paraId="27A88C61" w14:textId="77777777" w:rsidR="00AB6973" w:rsidRPr="00330FDA" w:rsidRDefault="00AB6973" w:rsidP="001A6611">
            <w:pPr>
              <w:pStyle w:val="TableHeadingPlainCn"/>
              <w:jc w:val="right"/>
            </w:pPr>
            <w:r w:rsidRPr="00330FDA">
              <w:t>0</w:t>
            </w:r>
          </w:p>
        </w:tc>
        <w:tc>
          <w:tcPr>
            <w:tcW w:w="275" w:type="pct"/>
            <w:noWrap/>
            <w:vAlign w:val="center"/>
            <w:hideMark/>
          </w:tcPr>
          <w:p w14:paraId="081E3185" w14:textId="77777777" w:rsidR="00AB6973" w:rsidRPr="00330FDA" w:rsidRDefault="00AB6973" w:rsidP="001A6611">
            <w:pPr>
              <w:pStyle w:val="TableHeadingPlainCn"/>
              <w:jc w:val="right"/>
            </w:pPr>
            <w:r w:rsidRPr="00330FDA">
              <w:t>0</w:t>
            </w:r>
          </w:p>
        </w:tc>
        <w:tc>
          <w:tcPr>
            <w:tcW w:w="275" w:type="pct"/>
            <w:noWrap/>
            <w:vAlign w:val="center"/>
            <w:hideMark/>
          </w:tcPr>
          <w:p w14:paraId="095E6B59" w14:textId="77777777" w:rsidR="00AB6973" w:rsidRPr="00330FDA" w:rsidRDefault="00AB6973" w:rsidP="001A6611">
            <w:pPr>
              <w:pStyle w:val="TableHeadingPlainCn"/>
              <w:jc w:val="right"/>
            </w:pPr>
            <w:r w:rsidRPr="00330FDA">
              <w:t>0</w:t>
            </w:r>
          </w:p>
        </w:tc>
        <w:tc>
          <w:tcPr>
            <w:tcW w:w="313" w:type="pct"/>
            <w:noWrap/>
            <w:vAlign w:val="center"/>
            <w:hideMark/>
          </w:tcPr>
          <w:p w14:paraId="0648F95F" w14:textId="77777777" w:rsidR="00AB6973" w:rsidRPr="00330FDA" w:rsidRDefault="00AB6973" w:rsidP="001A6611">
            <w:pPr>
              <w:pStyle w:val="TableHeadingPlainCn"/>
              <w:jc w:val="right"/>
            </w:pPr>
            <w:r w:rsidRPr="00330FDA">
              <w:t>0</w:t>
            </w:r>
          </w:p>
        </w:tc>
        <w:tc>
          <w:tcPr>
            <w:tcW w:w="313" w:type="pct"/>
            <w:noWrap/>
            <w:vAlign w:val="center"/>
            <w:hideMark/>
          </w:tcPr>
          <w:p w14:paraId="3893624A" w14:textId="77777777" w:rsidR="00AB6973" w:rsidRPr="00330FDA" w:rsidRDefault="00AB6973" w:rsidP="001A6611">
            <w:pPr>
              <w:pStyle w:val="TableHeadingPlainCn"/>
              <w:jc w:val="right"/>
            </w:pPr>
            <w:r w:rsidRPr="00330FDA">
              <w:t>0</w:t>
            </w:r>
          </w:p>
        </w:tc>
        <w:tc>
          <w:tcPr>
            <w:tcW w:w="313" w:type="pct"/>
            <w:noWrap/>
            <w:vAlign w:val="center"/>
            <w:hideMark/>
          </w:tcPr>
          <w:p w14:paraId="092E943E" w14:textId="77777777" w:rsidR="00AB6973" w:rsidRPr="00330FDA" w:rsidRDefault="00AB6973" w:rsidP="001A6611">
            <w:pPr>
              <w:pStyle w:val="TableHeadingPlainCn"/>
              <w:jc w:val="right"/>
            </w:pPr>
            <w:r w:rsidRPr="00330FDA">
              <w:t>0</w:t>
            </w:r>
          </w:p>
        </w:tc>
        <w:tc>
          <w:tcPr>
            <w:tcW w:w="313" w:type="pct"/>
            <w:noWrap/>
            <w:vAlign w:val="center"/>
            <w:hideMark/>
          </w:tcPr>
          <w:p w14:paraId="5AF9BC74" w14:textId="77777777" w:rsidR="00AB6973" w:rsidRPr="00330FDA" w:rsidRDefault="00AB6973" w:rsidP="001A6611">
            <w:pPr>
              <w:pStyle w:val="TableHeadingPlainCn"/>
              <w:jc w:val="right"/>
            </w:pPr>
            <w:r w:rsidRPr="00330FDA">
              <w:t>0</w:t>
            </w:r>
          </w:p>
        </w:tc>
        <w:tc>
          <w:tcPr>
            <w:tcW w:w="314" w:type="pct"/>
            <w:noWrap/>
            <w:vAlign w:val="center"/>
            <w:hideMark/>
          </w:tcPr>
          <w:p w14:paraId="39BF953E" w14:textId="77777777" w:rsidR="00AB6973" w:rsidRPr="00330FDA" w:rsidRDefault="00AB6973" w:rsidP="001A6611">
            <w:pPr>
              <w:pStyle w:val="TableHeadingPlainCn"/>
              <w:jc w:val="right"/>
            </w:pPr>
            <w:r w:rsidRPr="00330FDA">
              <w:t>0</w:t>
            </w:r>
          </w:p>
        </w:tc>
        <w:tc>
          <w:tcPr>
            <w:tcW w:w="314" w:type="pct"/>
            <w:noWrap/>
            <w:vAlign w:val="center"/>
            <w:hideMark/>
          </w:tcPr>
          <w:p w14:paraId="05CD42F8" w14:textId="77777777" w:rsidR="00AB6973" w:rsidRPr="00330FDA" w:rsidRDefault="00AB6973" w:rsidP="001A6611">
            <w:pPr>
              <w:pStyle w:val="TableHeadingPlainCn"/>
              <w:jc w:val="right"/>
            </w:pPr>
            <w:r w:rsidRPr="00330FDA">
              <w:t>0</w:t>
            </w:r>
          </w:p>
        </w:tc>
        <w:tc>
          <w:tcPr>
            <w:tcW w:w="383" w:type="pct"/>
            <w:noWrap/>
            <w:vAlign w:val="center"/>
            <w:hideMark/>
          </w:tcPr>
          <w:p w14:paraId="2E8ED699" w14:textId="77777777" w:rsidR="00AB6973" w:rsidRPr="00330FDA" w:rsidRDefault="00AB6973" w:rsidP="001A6611">
            <w:pPr>
              <w:pStyle w:val="TableHeadingPlainCn"/>
              <w:jc w:val="right"/>
            </w:pPr>
            <w:r w:rsidRPr="00330FDA">
              <w:t>8</w:t>
            </w:r>
          </w:p>
        </w:tc>
      </w:tr>
      <w:tr w:rsidR="00BE3601" w:rsidRPr="00330FDA" w14:paraId="405A290D" w14:textId="77777777" w:rsidTr="001A6611">
        <w:trPr>
          <w:trHeight w:val="285"/>
        </w:trPr>
        <w:tc>
          <w:tcPr>
            <w:tcW w:w="405" w:type="pct"/>
            <w:noWrap/>
            <w:vAlign w:val="center"/>
            <w:hideMark/>
          </w:tcPr>
          <w:p w14:paraId="6F7D37ED" w14:textId="77777777" w:rsidR="00AB6973" w:rsidRPr="00330FDA" w:rsidRDefault="00AB6973" w:rsidP="00BE3601">
            <w:pPr>
              <w:pStyle w:val="TableHeadingPlainCn"/>
            </w:pPr>
            <w:r w:rsidRPr="00330FDA">
              <w:t>NT</w:t>
            </w:r>
          </w:p>
        </w:tc>
        <w:tc>
          <w:tcPr>
            <w:tcW w:w="219" w:type="pct"/>
            <w:noWrap/>
            <w:vAlign w:val="center"/>
            <w:hideMark/>
          </w:tcPr>
          <w:p w14:paraId="31D76ED1" w14:textId="77777777" w:rsidR="00AB6973" w:rsidRPr="00330FDA" w:rsidRDefault="00AB6973" w:rsidP="001A6611">
            <w:pPr>
              <w:pStyle w:val="TableHeadingPlainCn"/>
              <w:jc w:val="right"/>
            </w:pPr>
          </w:p>
        </w:tc>
        <w:tc>
          <w:tcPr>
            <w:tcW w:w="220" w:type="pct"/>
            <w:noWrap/>
            <w:vAlign w:val="center"/>
            <w:hideMark/>
          </w:tcPr>
          <w:p w14:paraId="30C31B2C" w14:textId="77777777" w:rsidR="00AB6973" w:rsidRPr="00330FDA" w:rsidRDefault="00AB6973" w:rsidP="001A6611">
            <w:pPr>
              <w:pStyle w:val="TableHeadingPlainCn"/>
              <w:jc w:val="right"/>
            </w:pPr>
          </w:p>
        </w:tc>
        <w:tc>
          <w:tcPr>
            <w:tcW w:w="236" w:type="pct"/>
            <w:noWrap/>
            <w:vAlign w:val="center"/>
            <w:hideMark/>
          </w:tcPr>
          <w:p w14:paraId="47F63941" w14:textId="77777777" w:rsidR="00AB6973" w:rsidRPr="00330FDA" w:rsidRDefault="00AB6973" w:rsidP="001A6611">
            <w:pPr>
              <w:pStyle w:val="TableHeadingPlainCn"/>
              <w:jc w:val="right"/>
            </w:pPr>
          </w:p>
        </w:tc>
        <w:tc>
          <w:tcPr>
            <w:tcW w:w="278" w:type="pct"/>
            <w:noWrap/>
            <w:vAlign w:val="center"/>
            <w:hideMark/>
          </w:tcPr>
          <w:p w14:paraId="4BFF5D63" w14:textId="77777777" w:rsidR="00AB6973" w:rsidRPr="00330FDA" w:rsidRDefault="00AB6973" w:rsidP="001A6611">
            <w:pPr>
              <w:pStyle w:val="TableHeadingPlainCn"/>
              <w:jc w:val="right"/>
            </w:pPr>
            <w:r w:rsidRPr="00330FDA">
              <w:t>1</w:t>
            </w:r>
          </w:p>
        </w:tc>
        <w:tc>
          <w:tcPr>
            <w:tcW w:w="278" w:type="pct"/>
            <w:noWrap/>
            <w:vAlign w:val="center"/>
            <w:hideMark/>
          </w:tcPr>
          <w:p w14:paraId="1EAE7296" w14:textId="77777777" w:rsidR="00AB6973" w:rsidRPr="00330FDA" w:rsidRDefault="00AB6973" w:rsidP="001A6611">
            <w:pPr>
              <w:pStyle w:val="TableHeadingPlainCn"/>
              <w:jc w:val="right"/>
            </w:pPr>
          </w:p>
        </w:tc>
        <w:tc>
          <w:tcPr>
            <w:tcW w:w="278" w:type="pct"/>
            <w:noWrap/>
            <w:vAlign w:val="center"/>
            <w:hideMark/>
          </w:tcPr>
          <w:p w14:paraId="256EB33E" w14:textId="77777777" w:rsidR="00AB6973" w:rsidRPr="00330FDA" w:rsidRDefault="00AB6973" w:rsidP="001A6611">
            <w:pPr>
              <w:pStyle w:val="TableHeadingPlainCn"/>
              <w:jc w:val="right"/>
            </w:pPr>
            <w:r w:rsidRPr="00330FDA">
              <w:t>1</w:t>
            </w:r>
          </w:p>
        </w:tc>
        <w:tc>
          <w:tcPr>
            <w:tcW w:w="275" w:type="pct"/>
            <w:noWrap/>
            <w:vAlign w:val="center"/>
            <w:hideMark/>
          </w:tcPr>
          <w:p w14:paraId="22DF27B1" w14:textId="77777777" w:rsidR="00AB6973" w:rsidRPr="00330FDA" w:rsidRDefault="00AB6973" w:rsidP="001A6611">
            <w:pPr>
              <w:pStyle w:val="TableHeadingPlainCn"/>
              <w:jc w:val="right"/>
            </w:pPr>
            <w:r w:rsidRPr="00330FDA">
              <w:t>0</w:t>
            </w:r>
          </w:p>
        </w:tc>
        <w:tc>
          <w:tcPr>
            <w:tcW w:w="275" w:type="pct"/>
            <w:noWrap/>
            <w:vAlign w:val="center"/>
            <w:hideMark/>
          </w:tcPr>
          <w:p w14:paraId="660286CB" w14:textId="77777777" w:rsidR="00AB6973" w:rsidRPr="00330FDA" w:rsidRDefault="00AB6973" w:rsidP="001A6611">
            <w:pPr>
              <w:pStyle w:val="TableHeadingPlainCn"/>
              <w:jc w:val="right"/>
            </w:pPr>
            <w:r w:rsidRPr="00330FDA">
              <w:t>0</w:t>
            </w:r>
          </w:p>
        </w:tc>
        <w:tc>
          <w:tcPr>
            <w:tcW w:w="275" w:type="pct"/>
            <w:noWrap/>
            <w:vAlign w:val="center"/>
            <w:hideMark/>
          </w:tcPr>
          <w:p w14:paraId="09F9FD41" w14:textId="77777777" w:rsidR="00AB6973" w:rsidRPr="00330FDA" w:rsidRDefault="00AB6973" w:rsidP="001A6611">
            <w:pPr>
              <w:pStyle w:val="TableHeadingPlainCn"/>
              <w:jc w:val="right"/>
            </w:pPr>
            <w:r w:rsidRPr="00330FDA">
              <w:t>0</w:t>
            </w:r>
          </w:p>
        </w:tc>
        <w:tc>
          <w:tcPr>
            <w:tcW w:w="313" w:type="pct"/>
            <w:noWrap/>
            <w:vAlign w:val="center"/>
            <w:hideMark/>
          </w:tcPr>
          <w:p w14:paraId="5675627B" w14:textId="77777777" w:rsidR="00AB6973" w:rsidRPr="00330FDA" w:rsidRDefault="00AB6973" w:rsidP="001A6611">
            <w:pPr>
              <w:pStyle w:val="TableHeadingPlainCn"/>
              <w:jc w:val="right"/>
            </w:pPr>
            <w:r w:rsidRPr="00330FDA">
              <w:t>0</w:t>
            </w:r>
          </w:p>
        </w:tc>
        <w:tc>
          <w:tcPr>
            <w:tcW w:w="313" w:type="pct"/>
            <w:noWrap/>
            <w:vAlign w:val="center"/>
            <w:hideMark/>
          </w:tcPr>
          <w:p w14:paraId="704FE78A" w14:textId="77777777" w:rsidR="00AB6973" w:rsidRPr="00330FDA" w:rsidRDefault="00AB6973" w:rsidP="001A6611">
            <w:pPr>
              <w:pStyle w:val="TableHeadingPlainCn"/>
              <w:jc w:val="right"/>
            </w:pPr>
            <w:r w:rsidRPr="00330FDA">
              <w:t>0</w:t>
            </w:r>
          </w:p>
        </w:tc>
        <w:tc>
          <w:tcPr>
            <w:tcW w:w="313" w:type="pct"/>
            <w:noWrap/>
            <w:vAlign w:val="center"/>
            <w:hideMark/>
          </w:tcPr>
          <w:p w14:paraId="447297B0" w14:textId="77777777" w:rsidR="00AB6973" w:rsidRPr="00330FDA" w:rsidRDefault="00AB6973" w:rsidP="001A6611">
            <w:pPr>
              <w:pStyle w:val="TableHeadingPlainCn"/>
              <w:jc w:val="right"/>
            </w:pPr>
            <w:r w:rsidRPr="00330FDA">
              <w:t>0</w:t>
            </w:r>
          </w:p>
        </w:tc>
        <w:tc>
          <w:tcPr>
            <w:tcW w:w="313" w:type="pct"/>
            <w:noWrap/>
            <w:vAlign w:val="center"/>
            <w:hideMark/>
          </w:tcPr>
          <w:p w14:paraId="7B320CD5" w14:textId="77777777" w:rsidR="00AB6973" w:rsidRPr="00330FDA" w:rsidRDefault="00AB6973" w:rsidP="001A6611">
            <w:pPr>
              <w:pStyle w:val="TableHeadingPlainCn"/>
              <w:jc w:val="right"/>
            </w:pPr>
            <w:r w:rsidRPr="00330FDA">
              <w:t>0</w:t>
            </w:r>
          </w:p>
        </w:tc>
        <w:tc>
          <w:tcPr>
            <w:tcW w:w="314" w:type="pct"/>
            <w:noWrap/>
            <w:vAlign w:val="center"/>
            <w:hideMark/>
          </w:tcPr>
          <w:p w14:paraId="4A2335AC" w14:textId="77777777" w:rsidR="00AB6973" w:rsidRPr="00330FDA" w:rsidRDefault="00AB6973" w:rsidP="001A6611">
            <w:pPr>
              <w:pStyle w:val="TableHeadingPlainCn"/>
              <w:jc w:val="right"/>
            </w:pPr>
            <w:r w:rsidRPr="00330FDA">
              <w:t>0</w:t>
            </w:r>
          </w:p>
        </w:tc>
        <w:tc>
          <w:tcPr>
            <w:tcW w:w="314" w:type="pct"/>
            <w:noWrap/>
            <w:vAlign w:val="center"/>
            <w:hideMark/>
          </w:tcPr>
          <w:p w14:paraId="43CEEFB6" w14:textId="77777777" w:rsidR="00AB6973" w:rsidRPr="00330FDA" w:rsidRDefault="00AB6973" w:rsidP="001A6611">
            <w:pPr>
              <w:pStyle w:val="TableHeadingPlainCn"/>
              <w:jc w:val="right"/>
            </w:pPr>
            <w:r w:rsidRPr="00330FDA">
              <w:t>0</w:t>
            </w:r>
          </w:p>
        </w:tc>
        <w:tc>
          <w:tcPr>
            <w:tcW w:w="383" w:type="pct"/>
            <w:noWrap/>
            <w:vAlign w:val="center"/>
            <w:hideMark/>
          </w:tcPr>
          <w:p w14:paraId="74CEE5FE" w14:textId="77777777" w:rsidR="00AB6973" w:rsidRPr="00330FDA" w:rsidRDefault="00AB6973" w:rsidP="001A6611">
            <w:pPr>
              <w:pStyle w:val="TableHeadingPlainCn"/>
              <w:jc w:val="right"/>
            </w:pPr>
            <w:r w:rsidRPr="00330FDA">
              <w:t>1</w:t>
            </w:r>
          </w:p>
        </w:tc>
      </w:tr>
      <w:tr w:rsidR="00BE3601" w:rsidRPr="00330FDA" w14:paraId="725AC953" w14:textId="77777777" w:rsidTr="001A6611">
        <w:trPr>
          <w:trHeight w:val="285"/>
        </w:trPr>
        <w:tc>
          <w:tcPr>
            <w:tcW w:w="405" w:type="pct"/>
            <w:noWrap/>
            <w:vAlign w:val="center"/>
            <w:hideMark/>
          </w:tcPr>
          <w:p w14:paraId="5DE5A13A" w14:textId="47B0A5BD" w:rsidR="00AB6973" w:rsidRPr="00BE3601" w:rsidRDefault="00AB6973" w:rsidP="00BE3601">
            <w:pPr>
              <w:pStyle w:val="TableHeadingPlainCn"/>
            </w:pPr>
            <w:r w:rsidRPr="00BE3601">
              <w:t>External</w:t>
            </w:r>
          </w:p>
        </w:tc>
        <w:tc>
          <w:tcPr>
            <w:tcW w:w="219" w:type="pct"/>
            <w:noWrap/>
            <w:vAlign w:val="center"/>
            <w:hideMark/>
          </w:tcPr>
          <w:p w14:paraId="4D670F2D" w14:textId="77777777" w:rsidR="00AB6973" w:rsidRPr="00330FDA" w:rsidRDefault="00AB6973" w:rsidP="001A6611">
            <w:pPr>
              <w:pStyle w:val="TableHeadingPlainCn"/>
              <w:jc w:val="right"/>
            </w:pPr>
          </w:p>
        </w:tc>
        <w:tc>
          <w:tcPr>
            <w:tcW w:w="220" w:type="pct"/>
            <w:noWrap/>
            <w:vAlign w:val="center"/>
            <w:hideMark/>
          </w:tcPr>
          <w:p w14:paraId="05BE1AC7" w14:textId="77777777" w:rsidR="00AB6973" w:rsidRPr="00330FDA" w:rsidRDefault="00AB6973" w:rsidP="001A6611">
            <w:pPr>
              <w:pStyle w:val="TableHeadingPlainCn"/>
              <w:jc w:val="right"/>
            </w:pPr>
          </w:p>
        </w:tc>
        <w:tc>
          <w:tcPr>
            <w:tcW w:w="236" w:type="pct"/>
            <w:noWrap/>
            <w:vAlign w:val="center"/>
            <w:hideMark/>
          </w:tcPr>
          <w:p w14:paraId="6915E735" w14:textId="77777777" w:rsidR="00AB6973" w:rsidRPr="00330FDA" w:rsidRDefault="00AB6973" w:rsidP="001A6611">
            <w:pPr>
              <w:pStyle w:val="TableHeadingPlainCn"/>
              <w:jc w:val="right"/>
            </w:pPr>
          </w:p>
        </w:tc>
        <w:tc>
          <w:tcPr>
            <w:tcW w:w="278" w:type="pct"/>
            <w:noWrap/>
            <w:vAlign w:val="center"/>
            <w:hideMark/>
          </w:tcPr>
          <w:p w14:paraId="0853CED3" w14:textId="77777777" w:rsidR="00AB6973" w:rsidRPr="00330FDA" w:rsidRDefault="00AB6973" w:rsidP="001A6611">
            <w:pPr>
              <w:pStyle w:val="TableHeadingPlainCn"/>
              <w:jc w:val="right"/>
            </w:pPr>
          </w:p>
        </w:tc>
        <w:tc>
          <w:tcPr>
            <w:tcW w:w="278" w:type="pct"/>
            <w:noWrap/>
            <w:vAlign w:val="center"/>
            <w:hideMark/>
          </w:tcPr>
          <w:p w14:paraId="12321DB7" w14:textId="77777777" w:rsidR="00AB6973" w:rsidRPr="00330FDA" w:rsidRDefault="00AB6973" w:rsidP="001A6611">
            <w:pPr>
              <w:pStyle w:val="TableHeadingPlainCn"/>
              <w:jc w:val="right"/>
            </w:pPr>
          </w:p>
        </w:tc>
        <w:tc>
          <w:tcPr>
            <w:tcW w:w="278" w:type="pct"/>
            <w:noWrap/>
            <w:vAlign w:val="center"/>
            <w:hideMark/>
          </w:tcPr>
          <w:p w14:paraId="27AABDA3" w14:textId="77777777" w:rsidR="00AB6973" w:rsidRPr="00330FDA" w:rsidRDefault="00AB6973" w:rsidP="001A6611">
            <w:pPr>
              <w:pStyle w:val="TableHeadingPlainCn"/>
              <w:jc w:val="right"/>
            </w:pPr>
          </w:p>
        </w:tc>
        <w:tc>
          <w:tcPr>
            <w:tcW w:w="275" w:type="pct"/>
            <w:noWrap/>
            <w:vAlign w:val="center"/>
            <w:hideMark/>
          </w:tcPr>
          <w:p w14:paraId="5C39ECFB" w14:textId="77777777" w:rsidR="00AB6973" w:rsidRPr="00330FDA" w:rsidRDefault="00AB6973" w:rsidP="001A6611">
            <w:pPr>
              <w:pStyle w:val="TableHeadingPlainCn"/>
              <w:jc w:val="right"/>
            </w:pPr>
          </w:p>
        </w:tc>
        <w:tc>
          <w:tcPr>
            <w:tcW w:w="275" w:type="pct"/>
            <w:noWrap/>
            <w:vAlign w:val="center"/>
            <w:hideMark/>
          </w:tcPr>
          <w:p w14:paraId="35454010" w14:textId="77777777" w:rsidR="00AB6973" w:rsidRPr="00330FDA" w:rsidRDefault="00AB6973" w:rsidP="001A6611">
            <w:pPr>
              <w:pStyle w:val="TableHeadingPlainCn"/>
              <w:jc w:val="right"/>
            </w:pPr>
          </w:p>
        </w:tc>
        <w:tc>
          <w:tcPr>
            <w:tcW w:w="275" w:type="pct"/>
            <w:noWrap/>
            <w:vAlign w:val="center"/>
            <w:hideMark/>
          </w:tcPr>
          <w:p w14:paraId="3CB76859" w14:textId="77777777" w:rsidR="00AB6973" w:rsidRPr="00330FDA" w:rsidRDefault="00AB6973" w:rsidP="001A6611">
            <w:pPr>
              <w:pStyle w:val="TableHeadingPlainCn"/>
              <w:jc w:val="right"/>
            </w:pPr>
          </w:p>
        </w:tc>
        <w:tc>
          <w:tcPr>
            <w:tcW w:w="313" w:type="pct"/>
            <w:noWrap/>
            <w:vAlign w:val="center"/>
            <w:hideMark/>
          </w:tcPr>
          <w:p w14:paraId="632B038F" w14:textId="77777777" w:rsidR="00AB6973" w:rsidRPr="00330FDA" w:rsidRDefault="00AB6973" w:rsidP="001A6611">
            <w:pPr>
              <w:pStyle w:val="TableHeadingPlainCn"/>
              <w:jc w:val="right"/>
            </w:pPr>
          </w:p>
        </w:tc>
        <w:tc>
          <w:tcPr>
            <w:tcW w:w="313" w:type="pct"/>
            <w:noWrap/>
            <w:vAlign w:val="center"/>
            <w:hideMark/>
          </w:tcPr>
          <w:p w14:paraId="04346E01" w14:textId="77777777" w:rsidR="00AB6973" w:rsidRPr="00330FDA" w:rsidRDefault="00AB6973" w:rsidP="001A6611">
            <w:pPr>
              <w:pStyle w:val="TableHeadingPlainCn"/>
              <w:jc w:val="right"/>
            </w:pPr>
          </w:p>
        </w:tc>
        <w:tc>
          <w:tcPr>
            <w:tcW w:w="313" w:type="pct"/>
            <w:noWrap/>
            <w:vAlign w:val="center"/>
            <w:hideMark/>
          </w:tcPr>
          <w:p w14:paraId="6A6CC2CD" w14:textId="77777777" w:rsidR="00AB6973" w:rsidRPr="00330FDA" w:rsidRDefault="00AB6973" w:rsidP="001A6611">
            <w:pPr>
              <w:pStyle w:val="TableHeadingPlainCn"/>
              <w:jc w:val="right"/>
            </w:pPr>
          </w:p>
        </w:tc>
        <w:tc>
          <w:tcPr>
            <w:tcW w:w="313" w:type="pct"/>
            <w:noWrap/>
            <w:vAlign w:val="center"/>
            <w:hideMark/>
          </w:tcPr>
          <w:p w14:paraId="697A1347" w14:textId="77777777" w:rsidR="00AB6973" w:rsidRPr="00330FDA" w:rsidRDefault="00AB6973" w:rsidP="001A6611">
            <w:pPr>
              <w:pStyle w:val="TableHeadingPlainCn"/>
              <w:jc w:val="right"/>
            </w:pPr>
          </w:p>
        </w:tc>
        <w:tc>
          <w:tcPr>
            <w:tcW w:w="314" w:type="pct"/>
            <w:noWrap/>
            <w:vAlign w:val="center"/>
            <w:hideMark/>
          </w:tcPr>
          <w:p w14:paraId="0B427EB6" w14:textId="77777777" w:rsidR="00AB6973" w:rsidRPr="00330FDA" w:rsidRDefault="00AB6973" w:rsidP="001A6611">
            <w:pPr>
              <w:pStyle w:val="TableHeadingPlainCn"/>
              <w:jc w:val="right"/>
            </w:pPr>
          </w:p>
        </w:tc>
        <w:tc>
          <w:tcPr>
            <w:tcW w:w="314" w:type="pct"/>
            <w:noWrap/>
            <w:vAlign w:val="center"/>
            <w:hideMark/>
          </w:tcPr>
          <w:p w14:paraId="1103BF85" w14:textId="77777777" w:rsidR="00AB6973" w:rsidRPr="00330FDA" w:rsidRDefault="00AB6973" w:rsidP="001A6611">
            <w:pPr>
              <w:pStyle w:val="TableHeadingPlainCn"/>
              <w:jc w:val="right"/>
            </w:pPr>
          </w:p>
        </w:tc>
        <w:tc>
          <w:tcPr>
            <w:tcW w:w="383" w:type="pct"/>
            <w:noWrap/>
            <w:vAlign w:val="center"/>
            <w:hideMark/>
          </w:tcPr>
          <w:p w14:paraId="57D71C05" w14:textId="77777777" w:rsidR="00AB6973" w:rsidRPr="00330FDA" w:rsidRDefault="00AB6973" w:rsidP="001A6611">
            <w:pPr>
              <w:pStyle w:val="TableHeadingPlainCn"/>
              <w:jc w:val="right"/>
            </w:pPr>
          </w:p>
        </w:tc>
      </w:tr>
      <w:tr w:rsidR="00BE3601" w:rsidRPr="00330FDA" w14:paraId="72E1062D" w14:textId="77777777" w:rsidTr="001A6611">
        <w:trPr>
          <w:trHeight w:val="285"/>
        </w:trPr>
        <w:tc>
          <w:tcPr>
            <w:tcW w:w="405" w:type="pct"/>
            <w:noWrap/>
            <w:vAlign w:val="center"/>
            <w:hideMark/>
          </w:tcPr>
          <w:p w14:paraId="1FEA695E" w14:textId="77777777" w:rsidR="00AB6973" w:rsidRPr="00330FDA" w:rsidRDefault="00AB6973" w:rsidP="00BE3601">
            <w:pPr>
              <w:pStyle w:val="TableHeadingPlainCn"/>
            </w:pPr>
            <w:r w:rsidRPr="00330FDA">
              <w:t>Overseas</w:t>
            </w:r>
          </w:p>
        </w:tc>
        <w:tc>
          <w:tcPr>
            <w:tcW w:w="219" w:type="pct"/>
            <w:noWrap/>
            <w:vAlign w:val="center"/>
            <w:hideMark/>
          </w:tcPr>
          <w:p w14:paraId="7ED90A7E" w14:textId="77777777" w:rsidR="00AB6973" w:rsidRPr="00330FDA" w:rsidRDefault="00AB6973" w:rsidP="001A6611">
            <w:pPr>
              <w:pStyle w:val="TableHeadingPlainCn"/>
              <w:jc w:val="right"/>
            </w:pPr>
          </w:p>
        </w:tc>
        <w:tc>
          <w:tcPr>
            <w:tcW w:w="220" w:type="pct"/>
            <w:noWrap/>
            <w:vAlign w:val="center"/>
            <w:hideMark/>
          </w:tcPr>
          <w:p w14:paraId="677491B0" w14:textId="77777777" w:rsidR="00AB6973" w:rsidRPr="00330FDA" w:rsidRDefault="00AB6973" w:rsidP="001A6611">
            <w:pPr>
              <w:pStyle w:val="TableHeadingPlainCn"/>
              <w:jc w:val="right"/>
            </w:pPr>
          </w:p>
        </w:tc>
        <w:tc>
          <w:tcPr>
            <w:tcW w:w="236" w:type="pct"/>
            <w:noWrap/>
            <w:vAlign w:val="center"/>
            <w:hideMark/>
          </w:tcPr>
          <w:p w14:paraId="7E05E7F9" w14:textId="77777777" w:rsidR="00AB6973" w:rsidRPr="00330FDA" w:rsidRDefault="00AB6973" w:rsidP="001A6611">
            <w:pPr>
              <w:pStyle w:val="TableHeadingPlainCn"/>
              <w:jc w:val="right"/>
            </w:pPr>
          </w:p>
        </w:tc>
        <w:tc>
          <w:tcPr>
            <w:tcW w:w="278" w:type="pct"/>
            <w:noWrap/>
            <w:vAlign w:val="center"/>
            <w:hideMark/>
          </w:tcPr>
          <w:p w14:paraId="43A12FE5" w14:textId="77777777" w:rsidR="00AB6973" w:rsidRPr="00330FDA" w:rsidRDefault="00AB6973" w:rsidP="001A6611">
            <w:pPr>
              <w:pStyle w:val="TableHeadingPlainCn"/>
              <w:jc w:val="right"/>
            </w:pPr>
          </w:p>
        </w:tc>
        <w:tc>
          <w:tcPr>
            <w:tcW w:w="278" w:type="pct"/>
            <w:noWrap/>
            <w:vAlign w:val="center"/>
            <w:hideMark/>
          </w:tcPr>
          <w:p w14:paraId="19B74886" w14:textId="77777777" w:rsidR="00AB6973" w:rsidRPr="00330FDA" w:rsidRDefault="00AB6973" w:rsidP="001A6611">
            <w:pPr>
              <w:pStyle w:val="TableHeadingPlainCn"/>
              <w:jc w:val="right"/>
            </w:pPr>
          </w:p>
        </w:tc>
        <w:tc>
          <w:tcPr>
            <w:tcW w:w="278" w:type="pct"/>
            <w:noWrap/>
            <w:vAlign w:val="center"/>
            <w:hideMark/>
          </w:tcPr>
          <w:p w14:paraId="2765F879" w14:textId="77777777" w:rsidR="00AB6973" w:rsidRPr="00330FDA" w:rsidRDefault="00AB6973" w:rsidP="001A6611">
            <w:pPr>
              <w:pStyle w:val="TableHeadingPlainCn"/>
              <w:jc w:val="right"/>
            </w:pPr>
          </w:p>
        </w:tc>
        <w:tc>
          <w:tcPr>
            <w:tcW w:w="275" w:type="pct"/>
            <w:noWrap/>
            <w:vAlign w:val="center"/>
            <w:hideMark/>
          </w:tcPr>
          <w:p w14:paraId="0DFA11DA" w14:textId="77777777" w:rsidR="00AB6973" w:rsidRPr="00330FDA" w:rsidRDefault="00AB6973" w:rsidP="001A6611">
            <w:pPr>
              <w:pStyle w:val="TableHeadingPlainCn"/>
              <w:jc w:val="right"/>
            </w:pPr>
          </w:p>
        </w:tc>
        <w:tc>
          <w:tcPr>
            <w:tcW w:w="275" w:type="pct"/>
            <w:noWrap/>
            <w:vAlign w:val="center"/>
            <w:hideMark/>
          </w:tcPr>
          <w:p w14:paraId="4D8B8E25" w14:textId="77777777" w:rsidR="00AB6973" w:rsidRPr="00330FDA" w:rsidRDefault="00AB6973" w:rsidP="001A6611">
            <w:pPr>
              <w:pStyle w:val="TableHeadingPlainCn"/>
              <w:jc w:val="right"/>
            </w:pPr>
          </w:p>
        </w:tc>
        <w:tc>
          <w:tcPr>
            <w:tcW w:w="275" w:type="pct"/>
            <w:noWrap/>
            <w:vAlign w:val="center"/>
            <w:hideMark/>
          </w:tcPr>
          <w:p w14:paraId="7DD8F2E3" w14:textId="77777777" w:rsidR="00AB6973" w:rsidRPr="00330FDA" w:rsidRDefault="00AB6973" w:rsidP="001A6611">
            <w:pPr>
              <w:pStyle w:val="TableHeadingPlainCn"/>
              <w:jc w:val="right"/>
            </w:pPr>
          </w:p>
        </w:tc>
        <w:tc>
          <w:tcPr>
            <w:tcW w:w="313" w:type="pct"/>
            <w:noWrap/>
            <w:vAlign w:val="center"/>
            <w:hideMark/>
          </w:tcPr>
          <w:p w14:paraId="06EAD951" w14:textId="77777777" w:rsidR="00AB6973" w:rsidRPr="00330FDA" w:rsidRDefault="00AB6973" w:rsidP="001A6611">
            <w:pPr>
              <w:pStyle w:val="TableHeadingPlainCn"/>
              <w:jc w:val="right"/>
            </w:pPr>
          </w:p>
        </w:tc>
        <w:tc>
          <w:tcPr>
            <w:tcW w:w="313" w:type="pct"/>
            <w:noWrap/>
            <w:vAlign w:val="center"/>
            <w:hideMark/>
          </w:tcPr>
          <w:p w14:paraId="7A9FACCC" w14:textId="77777777" w:rsidR="00AB6973" w:rsidRPr="00330FDA" w:rsidRDefault="00AB6973" w:rsidP="001A6611">
            <w:pPr>
              <w:pStyle w:val="TableHeadingPlainCn"/>
              <w:jc w:val="right"/>
            </w:pPr>
          </w:p>
        </w:tc>
        <w:tc>
          <w:tcPr>
            <w:tcW w:w="313" w:type="pct"/>
            <w:noWrap/>
            <w:vAlign w:val="center"/>
            <w:hideMark/>
          </w:tcPr>
          <w:p w14:paraId="5AB50D09" w14:textId="77777777" w:rsidR="00AB6973" w:rsidRPr="00330FDA" w:rsidRDefault="00AB6973" w:rsidP="001A6611">
            <w:pPr>
              <w:pStyle w:val="TableHeadingPlainCn"/>
              <w:jc w:val="right"/>
            </w:pPr>
          </w:p>
        </w:tc>
        <w:tc>
          <w:tcPr>
            <w:tcW w:w="313" w:type="pct"/>
            <w:noWrap/>
            <w:vAlign w:val="center"/>
            <w:hideMark/>
          </w:tcPr>
          <w:p w14:paraId="6EC20715" w14:textId="77777777" w:rsidR="00AB6973" w:rsidRPr="00330FDA" w:rsidRDefault="00AB6973" w:rsidP="001A6611">
            <w:pPr>
              <w:pStyle w:val="TableHeadingPlainCn"/>
              <w:jc w:val="right"/>
            </w:pPr>
          </w:p>
        </w:tc>
        <w:tc>
          <w:tcPr>
            <w:tcW w:w="314" w:type="pct"/>
            <w:noWrap/>
            <w:vAlign w:val="center"/>
            <w:hideMark/>
          </w:tcPr>
          <w:p w14:paraId="2496914A" w14:textId="77777777" w:rsidR="00AB6973" w:rsidRPr="00330FDA" w:rsidRDefault="00AB6973" w:rsidP="001A6611">
            <w:pPr>
              <w:pStyle w:val="TableHeadingPlainCn"/>
              <w:jc w:val="right"/>
            </w:pPr>
          </w:p>
        </w:tc>
        <w:tc>
          <w:tcPr>
            <w:tcW w:w="314" w:type="pct"/>
            <w:noWrap/>
            <w:vAlign w:val="center"/>
            <w:hideMark/>
          </w:tcPr>
          <w:p w14:paraId="3F5083A6" w14:textId="77777777" w:rsidR="00AB6973" w:rsidRPr="00330FDA" w:rsidRDefault="00AB6973" w:rsidP="001A6611">
            <w:pPr>
              <w:pStyle w:val="TableHeadingPlainCn"/>
              <w:jc w:val="right"/>
            </w:pPr>
          </w:p>
        </w:tc>
        <w:tc>
          <w:tcPr>
            <w:tcW w:w="383" w:type="pct"/>
            <w:noWrap/>
            <w:vAlign w:val="center"/>
            <w:hideMark/>
          </w:tcPr>
          <w:p w14:paraId="0ED740E3" w14:textId="578D002B" w:rsidR="00AB6973" w:rsidRPr="00330FDA" w:rsidRDefault="00AB6973" w:rsidP="001A6611">
            <w:pPr>
              <w:pStyle w:val="TableHeadingPlainCn"/>
              <w:jc w:val="right"/>
            </w:pPr>
          </w:p>
        </w:tc>
      </w:tr>
      <w:tr w:rsidR="00E04867" w:rsidRPr="00330FDA" w14:paraId="02639215" w14:textId="77777777" w:rsidTr="001A6611">
        <w:trPr>
          <w:trHeight w:val="285"/>
        </w:trPr>
        <w:tc>
          <w:tcPr>
            <w:tcW w:w="405" w:type="pct"/>
            <w:noWrap/>
            <w:vAlign w:val="center"/>
          </w:tcPr>
          <w:p w14:paraId="258CFD9F" w14:textId="15CA4601" w:rsidR="00E04867" w:rsidRPr="00330FDA" w:rsidRDefault="00E04867" w:rsidP="00BE3601">
            <w:pPr>
              <w:pStyle w:val="TableHeadingPlainCn"/>
            </w:pPr>
            <w:r>
              <w:t>Total</w:t>
            </w:r>
          </w:p>
        </w:tc>
        <w:tc>
          <w:tcPr>
            <w:tcW w:w="219" w:type="pct"/>
            <w:noWrap/>
            <w:vAlign w:val="center"/>
          </w:tcPr>
          <w:p w14:paraId="2CEA77E2" w14:textId="0BEC619E" w:rsidR="00E04867" w:rsidRPr="00330FDA" w:rsidRDefault="00E04867" w:rsidP="001A6611">
            <w:pPr>
              <w:pStyle w:val="TableHeadingPlainCn"/>
              <w:jc w:val="right"/>
            </w:pPr>
            <w:r>
              <w:t>7</w:t>
            </w:r>
          </w:p>
        </w:tc>
        <w:tc>
          <w:tcPr>
            <w:tcW w:w="220" w:type="pct"/>
            <w:noWrap/>
            <w:vAlign w:val="center"/>
          </w:tcPr>
          <w:p w14:paraId="3A05D8A4" w14:textId="0669A84B" w:rsidR="00E04867" w:rsidRPr="00330FDA" w:rsidRDefault="00E04867" w:rsidP="001A6611">
            <w:pPr>
              <w:pStyle w:val="TableHeadingPlainCn"/>
              <w:jc w:val="right"/>
            </w:pPr>
            <w:r>
              <w:t>1</w:t>
            </w:r>
          </w:p>
        </w:tc>
        <w:tc>
          <w:tcPr>
            <w:tcW w:w="236" w:type="pct"/>
            <w:noWrap/>
            <w:vAlign w:val="center"/>
          </w:tcPr>
          <w:p w14:paraId="0D54E69F" w14:textId="1E69FA13" w:rsidR="00E04867" w:rsidRPr="00330FDA" w:rsidRDefault="00E04867" w:rsidP="001A6611">
            <w:pPr>
              <w:pStyle w:val="TableHeadingPlainCn"/>
              <w:jc w:val="right"/>
            </w:pPr>
            <w:r>
              <w:t>8</w:t>
            </w:r>
          </w:p>
        </w:tc>
        <w:tc>
          <w:tcPr>
            <w:tcW w:w="278" w:type="pct"/>
            <w:noWrap/>
            <w:vAlign w:val="center"/>
          </w:tcPr>
          <w:p w14:paraId="0D20097A" w14:textId="63A3DD28" w:rsidR="00E04867" w:rsidRPr="00330FDA" w:rsidRDefault="00E04867" w:rsidP="001A6611">
            <w:pPr>
              <w:pStyle w:val="TableHeadingPlainCn"/>
              <w:jc w:val="right"/>
            </w:pPr>
            <w:r>
              <w:t>67</w:t>
            </w:r>
          </w:p>
        </w:tc>
        <w:tc>
          <w:tcPr>
            <w:tcW w:w="278" w:type="pct"/>
            <w:noWrap/>
            <w:vAlign w:val="center"/>
          </w:tcPr>
          <w:p w14:paraId="21184B23" w14:textId="5AD9F160" w:rsidR="00E04867" w:rsidRPr="00330FDA" w:rsidRDefault="00E04867" w:rsidP="001A6611">
            <w:pPr>
              <w:pStyle w:val="TableHeadingPlainCn"/>
              <w:jc w:val="right"/>
            </w:pPr>
            <w:r>
              <w:t>39</w:t>
            </w:r>
          </w:p>
        </w:tc>
        <w:tc>
          <w:tcPr>
            <w:tcW w:w="278" w:type="pct"/>
            <w:noWrap/>
            <w:vAlign w:val="center"/>
          </w:tcPr>
          <w:p w14:paraId="3C0751EF" w14:textId="50FCD446" w:rsidR="00E04867" w:rsidRPr="00330FDA" w:rsidRDefault="00E04867" w:rsidP="001A6611">
            <w:pPr>
              <w:pStyle w:val="TableHeadingPlainCn"/>
              <w:jc w:val="right"/>
            </w:pPr>
            <w:r>
              <w:t>106</w:t>
            </w:r>
          </w:p>
        </w:tc>
        <w:tc>
          <w:tcPr>
            <w:tcW w:w="275" w:type="pct"/>
            <w:noWrap/>
            <w:vAlign w:val="center"/>
          </w:tcPr>
          <w:p w14:paraId="7FDF1DF4" w14:textId="77777777" w:rsidR="00E04867" w:rsidRPr="00330FDA" w:rsidRDefault="00E04867" w:rsidP="001A6611">
            <w:pPr>
              <w:pStyle w:val="TableHeadingPlainCn"/>
              <w:jc w:val="right"/>
            </w:pPr>
          </w:p>
        </w:tc>
        <w:tc>
          <w:tcPr>
            <w:tcW w:w="275" w:type="pct"/>
            <w:noWrap/>
            <w:vAlign w:val="center"/>
          </w:tcPr>
          <w:p w14:paraId="2D8D1B91" w14:textId="77777777" w:rsidR="00E04867" w:rsidRPr="00330FDA" w:rsidRDefault="00E04867" w:rsidP="001A6611">
            <w:pPr>
              <w:pStyle w:val="TableHeadingPlainCn"/>
              <w:jc w:val="right"/>
            </w:pPr>
          </w:p>
        </w:tc>
        <w:tc>
          <w:tcPr>
            <w:tcW w:w="275" w:type="pct"/>
            <w:noWrap/>
            <w:vAlign w:val="center"/>
          </w:tcPr>
          <w:p w14:paraId="1967622B" w14:textId="77777777" w:rsidR="00E04867" w:rsidRPr="00330FDA" w:rsidRDefault="00E04867" w:rsidP="001A6611">
            <w:pPr>
              <w:pStyle w:val="TableHeadingPlainCn"/>
              <w:jc w:val="right"/>
            </w:pPr>
          </w:p>
        </w:tc>
        <w:tc>
          <w:tcPr>
            <w:tcW w:w="313" w:type="pct"/>
            <w:noWrap/>
            <w:vAlign w:val="center"/>
          </w:tcPr>
          <w:p w14:paraId="2E2DD2F4" w14:textId="77777777" w:rsidR="00E04867" w:rsidRPr="00330FDA" w:rsidRDefault="00E04867" w:rsidP="001A6611">
            <w:pPr>
              <w:pStyle w:val="TableHeadingPlainCn"/>
              <w:jc w:val="right"/>
            </w:pPr>
          </w:p>
        </w:tc>
        <w:tc>
          <w:tcPr>
            <w:tcW w:w="313" w:type="pct"/>
            <w:noWrap/>
            <w:vAlign w:val="center"/>
          </w:tcPr>
          <w:p w14:paraId="2F02B17C" w14:textId="77777777" w:rsidR="00E04867" w:rsidRPr="00330FDA" w:rsidRDefault="00E04867" w:rsidP="001A6611">
            <w:pPr>
              <w:pStyle w:val="TableHeadingPlainCn"/>
              <w:jc w:val="right"/>
            </w:pPr>
          </w:p>
        </w:tc>
        <w:tc>
          <w:tcPr>
            <w:tcW w:w="313" w:type="pct"/>
            <w:noWrap/>
            <w:vAlign w:val="center"/>
          </w:tcPr>
          <w:p w14:paraId="155FA988" w14:textId="77777777" w:rsidR="00E04867" w:rsidRPr="00330FDA" w:rsidRDefault="00E04867" w:rsidP="001A6611">
            <w:pPr>
              <w:pStyle w:val="TableHeadingPlainCn"/>
              <w:jc w:val="right"/>
            </w:pPr>
          </w:p>
        </w:tc>
        <w:tc>
          <w:tcPr>
            <w:tcW w:w="313" w:type="pct"/>
            <w:noWrap/>
            <w:vAlign w:val="center"/>
          </w:tcPr>
          <w:p w14:paraId="11F784D3" w14:textId="77777777" w:rsidR="00E04867" w:rsidRPr="00330FDA" w:rsidRDefault="00E04867" w:rsidP="001A6611">
            <w:pPr>
              <w:pStyle w:val="TableHeadingPlainCn"/>
              <w:jc w:val="right"/>
            </w:pPr>
          </w:p>
        </w:tc>
        <w:tc>
          <w:tcPr>
            <w:tcW w:w="314" w:type="pct"/>
            <w:noWrap/>
            <w:vAlign w:val="center"/>
          </w:tcPr>
          <w:p w14:paraId="5FAF51E4" w14:textId="77777777" w:rsidR="00E04867" w:rsidRPr="00330FDA" w:rsidRDefault="00E04867" w:rsidP="001A6611">
            <w:pPr>
              <w:pStyle w:val="TableHeadingPlainCn"/>
              <w:jc w:val="right"/>
            </w:pPr>
          </w:p>
        </w:tc>
        <w:tc>
          <w:tcPr>
            <w:tcW w:w="314" w:type="pct"/>
            <w:noWrap/>
            <w:vAlign w:val="center"/>
          </w:tcPr>
          <w:p w14:paraId="63E57D5B" w14:textId="77777777" w:rsidR="00E04867" w:rsidRPr="00330FDA" w:rsidRDefault="00E04867" w:rsidP="001A6611">
            <w:pPr>
              <w:pStyle w:val="TableHeadingPlainCn"/>
              <w:jc w:val="right"/>
            </w:pPr>
          </w:p>
        </w:tc>
        <w:tc>
          <w:tcPr>
            <w:tcW w:w="383" w:type="pct"/>
            <w:noWrap/>
            <w:vAlign w:val="center"/>
          </w:tcPr>
          <w:p w14:paraId="7606EA9D" w14:textId="574C537A" w:rsidR="00E04867" w:rsidRPr="00330FDA" w:rsidRDefault="00E04867" w:rsidP="001A6611">
            <w:pPr>
              <w:pStyle w:val="TableHeadingPlainCn"/>
              <w:jc w:val="right"/>
            </w:pPr>
            <w:r w:rsidRPr="00330FDA">
              <w:t>114</w:t>
            </w:r>
          </w:p>
        </w:tc>
      </w:tr>
    </w:tbl>
    <w:p w14:paraId="6FEC1526" w14:textId="77777777" w:rsidR="00802206" w:rsidRPr="00855CD1" w:rsidRDefault="00802206" w:rsidP="00802206">
      <w:pPr>
        <w:pStyle w:val="paragraph"/>
        <w:spacing w:before="0" w:beforeAutospacing="0" w:after="0" w:afterAutospacing="0"/>
        <w:textAlignment w:val="baseline"/>
        <w:rPr>
          <w:rFonts w:cs="Open Sans"/>
          <w:b/>
          <w:bCs/>
          <w:color w:val="0070C0"/>
          <w:sz w:val="36"/>
          <w:szCs w:val="36"/>
        </w:rPr>
        <w:sectPr w:rsidR="00802206" w:rsidRPr="00855CD1" w:rsidSect="00BB4B94">
          <w:endnotePr>
            <w:numFmt w:val="decimal"/>
          </w:endnotePr>
          <w:pgSz w:w="16840" w:h="11879" w:orient="landscape" w:code="9"/>
          <w:pgMar w:top="833" w:right="1134" w:bottom="1077" w:left="1134" w:header="851" w:footer="851" w:gutter="0"/>
          <w:cols w:space="708"/>
          <w:docGrid w:linePitch="360"/>
        </w:sectPr>
      </w:pPr>
    </w:p>
    <w:p w14:paraId="372D3851" w14:textId="37612D78" w:rsidR="00802206" w:rsidRPr="00C66701" w:rsidRDefault="00802206" w:rsidP="00330FDA">
      <w:pPr>
        <w:pStyle w:val="Heading2"/>
        <w:numPr>
          <w:ilvl w:val="0"/>
          <w:numId w:val="0"/>
        </w:numPr>
      </w:pPr>
      <w:bookmarkStart w:id="63" w:name="_Toc146437067"/>
      <w:r w:rsidRPr="448905EB">
        <w:t xml:space="preserve">Appendix 3: </w:t>
      </w:r>
      <w:r w:rsidR="792699C3" w:rsidRPr="00330FDA">
        <w:t>Information</w:t>
      </w:r>
      <w:r w:rsidR="792699C3" w:rsidRPr="448905EB">
        <w:t xml:space="preserve"> on the</w:t>
      </w:r>
      <w:r w:rsidRPr="448905EB">
        <w:t xml:space="preserve"> Accountable Authority</w:t>
      </w:r>
      <w:bookmarkEnd w:id="63"/>
    </w:p>
    <w:tbl>
      <w:tblPr>
        <w:tblW w:w="5000" w:type="pct"/>
        <w:tblBorders>
          <w:top w:val="single" w:sz="6" w:space="0" w:color="F4DBC3"/>
          <w:bottom w:val="single" w:sz="4" w:space="0" w:color="auto"/>
          <w:insideH w:val="single" w:sz="6" w:space="0" w:color="F4DBC3"/>
        </w:tblBorders>
        <w:tblCellMar>
          <w:top w:w="113" w:type="dxa"/>
          <w:left w:w="113" w:type="dxa"/>
          <w:bottom w:w="113" w:type="dxa"/>
          <w:right w:w="113" w:type="dxa"/>
        </w:tblCellMar>
        <w:tblLook w:val="04A0" w:firstRow="1" w:lastRow="0" w:firstColumn="1" w:lastColumn="0" w:noHBand="0" w:noVBand="1"/>
      </w:tblPr>
      <w:tblGrid>
        <w:gridCol w:w="1073"/>
        <w:gridCol w:w="1561"/>
        <w:gridCol w:w="1793"/>
        <w:gridCol w:w="1201"/>
        <w:gridCol w:w="1805"/>
        <w:gridCol w:w="1141"/>
        <w:gridCol w:w="1395"/>
      </w:tblGrid>
      <w:tr w:rsidR="00C66701" w:rsidRPr="00330FDA" w14:paraId="22EC1CBA" w14:textId="77777777" w:rsidTr="00330FDA">
        <w:trPr>
          <w:trHeight w:val="410"/>
        </w:trPr>
        <w:tc>
          <w:tcPr>
            <w:tcW w:w="553" w:type="pct"/>
            <w:tcBorders>
              <w:top w:val="single" w:sz="4" w:space="0" w:color="000000"/>
              <w:bottom w:val="single" w:sz="4" w:space="0" w:color="auto"/>
            </w:tcBorders>
            <w:shd w:val="clear" w:color="auto" w:fill="F2F2F2" w:themeFill="background1" w:themeFillShade="F2"/>
            <w:vAlign w:val="bottom"/>
            <w:hideMark/>
          </w:tcPr>
          <w:p w14:paraId="5CD6509E" w14:textId="0184B637" w:rsidR="00802206" w:rsidRPr="00330FDA" w:rsidRDefault="00802206" w:rsidP="001A6611">
            <w:pPr>
              <w:pStyle w:val="TableHeading"/>
            </w:pPr>
            <w:r w:rsidRPr="00330FDA">
              <w:t>Name</w:t>
            </w:r>
          </w:p>
        </w:tc>
        <w:tc>
          <w:tcPr>
            <w:tcW w:w="798" w:type="pct"/>
            <w:tcBorders>
              <w:top w:val="single" w:sz="4" w:space="0" w:color="000000"/>
              <w:bottom w:val="single" w:sz="4" w:space="0" w:color="auto"/>
            </w:tcBorders>
            <w:shd w:val="clear" w:color="auto" w:fill="F2F2F2" w:themeFill="background1" w:themeFillShade="F2"/>
            <w:vAlign w:val="bottom"/>
            <w:hideMark/>
          </w:tcPr>
          <w:p w14:paraId="24DFAB65" w14:textId="6EADCD9F" w:rsidR="00802206" w:rsidRPr="00330FDA" w:rsidRDefault="00802206" w:rsidP="001A6611">
            <w:pPr>
              <w:pStyle w:val="TableHeading"/>
            </w:pPr>
            <w:r w:rsidRPr="00330FDA">
              <w:t>Qualifications of the Accountable Authority</w:t>
            </w:r>
          </w:p>
        </w:tc>
        <w:tc>
          <w:tcPr>
            <w:tcW w:w="914" w:type="pct"/>
            <w:tcBorders>
              <w:top w:val="single" w:sz="4" w:space="0" w:color="000000"/>
              <w:bottom w:val="single" w:sz="4" w:space="0" w:color="auto"/>
            </w:tcBorders>
            <w:shd w:val="clear" w:color="auto" w:fill="F2F2F2" w:themeFill="background1" w:themeFillShade="F2"/>
            <w:vAlign w:val="bottom"/>
            <w:hideMark/>
          </w:tcPr>
          <w:p w14:paraId="33BF0E0B" w14:textId="1CB646AC" w:rsidR="00802206" w:rsidRPr="00330FDA" w:rsidRDefault="00802206" w:rsidP="001A6611">
            <w:pPr>
              <w:pStyle w:val="TableHeading"/>
            </w:pPr>
            <w:r w:rsidRPr="00330FDA">
              <w:t>Experience of the Accountable Authority</w:t>
            </w:r>
          </w:p>
        </w:tc>
        <w:tc>
          <w:tcPr>
            <w:tcW w:w="514" w:type="pct"/>
            <w:tcBorders>
              <w:top w:val="single" w:sz="4" w:space="0" w:color="000000"/>
              <w:bottom w:val="single" w:sz="4" w:space="0" w:color="auto"/>
            </w:tcBorders>
            <w:shd w:val="clear" w:color="auto" w:fill="F2F2F2" w:themeFill="background1" w:themeFillShade="F2"/>
            <w:vAlign w:val="bottom"/>
            <w:hideMark/>
          </w:tcPr>
          <w:p w14:paraId="372A1E56" w14:textId="07FA76DE" w:rsidR="00802206" w:rsidRPr="00330FDA" w:rsidRDefault="00802206" w:rsidP="001A6611">
            <w:pPr>
              <w:pStyle w:val="TableHeading"/>
            </w:pPr>
            <w:r w:rsidRPr="00330FDA">
              <w:t>Position Title/ Position held</w:t>
            </w:r>
          </w:p>
        </w:tc>
        <w:tc>
          <w:tcPr>
            <w:tcW w:w="920" w:type="pct"/>
            <w:tcBorders>
              <w:top w:val="single" w:sz="4" w:space="0" w:color="000000"/>
              <w:bottom w:val="single" w:sz="4" w:space="0" w:color="auto"/>
            </w:tcBorders>
            <w:shd w:val="clear" w:color="auto" w:fill="F2F2F2" w:themeFill="background1" w:themeFillShade="F2"/>
            <w:vAlign w:val="bottom"/>
            <w:hideMark/>
          </w:tcPr>
          <w:p w14:paraId="65DAA0C2" w14:textId="4BBC9857" w:rsidR="00802206" w:rsidRPr="00330FDA" w:rsidRDefault="00802206" w:rsidP="001A6611">
            <w:pPr>
              <w:pStyle w:val="TableHeading"/>
            </w:pPr>
            <w:r w:rsidRPr="00330FDA">
              <w:t>Commencement</w:t>
            </w:r>
          </w:p>
        </w:tc>
        <w:tc>
          <w:tcPr>
            <w:tcW w:w="587" w:type="pct"/>
            <w:tcBorders>
              <w:top w:val="single" w:sz="4" w:space="0" w:color="000000"/>
              <w:bottom w:val="single" w:sz="4" w:space="0" w:color="auto"/>
            </w:tcBorders>
            <w:shd w:val="clear" w:color="auto" w:fill="F2F2F2" w:themeFill="background1" w:themeFillShade="F2"/>
            <w:vAlign w:val="bottom"/>
            <w:hideMark/>
          </w:tcPr>
          <w:p w14:paraId="0F561250" w14:textId="1D2D0E2F" w:rsidR="00802206" w:rsidRPr="00330FDA" w:rsidRDefault="00802206" w:rsidP="001A6611">
            <w:pPr>
              <w:pStyle w:val="TableHeading"/>
            </w:pPr>
            <w:r w:rsidRPr="00330FDA">
              <w:t>Cessation</w:t>
            </w:r>
          </w:p>
        </w:tc>
        <w:tc>
          <w:tcPr>
            <w:tcW w:w="714" w:type="pct"/>
            <w:tcBorders>
              <w:top w:val="single" w:sz="4" w:space="0" w:color="000000"/>
              <w:bottom w:val="single" w:sz="4" w:space="0" w:color="auto"/>
            </w:tcBorders>
            <w:shd w:val="clear" w:color="auto" w:fill="F2F2F2" w:themeFill="background1" w:themeFillShade="F2"/>
            <w:vAlign w:val="bottom"/>
            <w:hideMark/>
          </w:tcPr>
          <w:p w14:paraId="740946C0" w14:textId="2EAECD49" w:rsidR="00802206" w:rsidRPr="00330FDA" w:rsidRDefault="00802206" w:rsidP="001A6611">
            <w:pPr>
              <w:pStyle w:val="TableHeading"/>
            </w:pPr>
            <w:r w:rsidRPr="00330FDA">
              <w:t>Number of meetings of accountable authority attended</w:t>
            </w:r>
          </w:p>
        </w:tc>
      </w:tr>
      <w:tr w:rsidR="00C66701" w:rsidRPr="00330FDA" w14:paraId="109D09B7" w14:textId="77777777" w:rsidTr="00C66701">
        <w:trPr>
          <w:trHeight w:val="1011"/>
        </w:trPr>
        <w:tc>
          <w:tcPr>
            <w:tcW w:w="553" w:type="pct"/>
            <w:tcBorders>
              <w:top w:val="single" w:sz="4" w:space="0" w:color="auto"/>
            </w:tcBorders>
            <w:hideMark/>
          </w:tcPr>
          <w:p w14:paraId="5716D17A" w14:textId="5A3DAC75" w:rsidR="00802206" w:rsidRPr="00330FDA" w:rsidRDefault="00802206" w:rsidP="001A6611">
            <w:pPr>
              <w:pStyle w:val="TableText"/>
            </w:pPr>
            <w:r w:rsidRPr="00330FDA">
              <w:t>Emeritus Professor Rosalind Croucher AM</w:t>
            </w:r>
          </w:p>
        </w:tc>
        <w:tc>
          <w:tcPr>
            <w:tcW w:w="798" w:type="pct"/>
            <w:tcBorders>
              <w:top w:val="single" w:sz="4" w:space="0" w:color="auto"/>
            </w:tcBorders>
            <w:hideMark/>
          </w:tcPr>
          <w:p w14:paraId="3F5A2A66" w14:textId="13F8280E" w:rsidR="00802206" w:rsidRPr="00330FDA" w:rsidRDefault="00802206" w:rsidP="001A6611">
            <w:pPr>
              <w:pStyle w:val="TableText"/>
            </w:pPr>
            <w:r w:rsidRPr="00330FDA">
              <w:t>LLD (Honoris causa), Macquarie University, 2020</w:t>
            </w:r>
          </w:p>
          <w:p w14:paraId="46D31044" w14:textId="316893BB" w:rsidR="00802206" w:rsidRPr="00330FDA" w:rsidRDefault="00802206" w:rsidP="001A6611">
            <w:pPr>
              <w:pStyle w:val="TableText"/>
            </w:pPr>
            <w:r w:rsidRPr="00330FDA">
              <w:t>LLD (Honoris causa), University of New South Wales, 2018</w:t>
            </w:r>
          </w:p>
          <w:p w14:paraId="3F7221E1" w14:textId="635D38BC" w:rsidR="00802206" w:rsidRPr="00330FDA" w:rsidRDefault="00802206" w:rsidP="001A6611">
            <w:pPr>
              <w:pStyle w:val="TableText"/>
            </w:pPr>
            <w:r w:rsidRPr="00330FDA">
              <w:t>PhD, University of New South Wales, 1994</w:t>
            </w:r>
          </w:p>
          <w:p w14:paraId="15112683" w14:textId="01DFB206" w:rsidR="00802206" w:rsidRPr="00330FDA" w:rsidRDefault="00802206" w:rsidP="001A6611">
            <w:pPr>
              <w:pStyle w:val="TableText"/>
            </w:pPr>
            <w:r w:rsidRPr="00330FDA">
              <w:t>LLB University of Sydney, 1980</w:t>
            </w:r>
          </w:p>
          <w:p w14:paraId="50E849BA" w14:textId="23438B13" w:rsidR="00802206" w:rsidRPr="00330FDA" w:rsidRDefault="00802206" w:rsidP="001A6611">
            <w:pPr>
              <w:pStyle w:val="TableText"/>
            </w:pPr>
            <w:r w:rsidRPr="00330FDA">
              <w:t>BA (Hons) University of Sydney, 1977</w:t>
            </w:r>
          </w:p>
          <w:p w14:paraId="7A6134D1" w14:textId="48B7E4AB" w:rsidR="00802206" w:rsidRPr="00330FDA" w:rsidRDefault="00802206" w:rsidP="001A6611">
            <w:pPr>
              <w:pStyle w:val="TableText"/>
            </w:pPr>
            <w:r w:rsidRPr="00330FDA">
              <w:t>AMusA AMEB (Oboe), 1977</w:t>
            </w:r>
          </w:p>
        </w:tc>
        <w:tc>
          <w:tcPr>
            <w:tcW w:w="914" w:type="pct"/>
            <w:tcBorders>
              <w:top w:val="single" w:sz="4" w:space="0" w:color="auto"/>
            </w:tcBorders>
            <w:hideMark/>
          </w:tcPr>
          <w:p w14:paraId="0F3A6AB6" w14:textId="322560A0" w:rsidR="009315C6" w:rsidRPr="00330FDA" w:rsidRDefault="00E52CC2" w:rsidP="001A6611">
            <w:pPr>
              <w:pStyle w:val="TableText"/>
            </w:pPr>
            <w:r w:rsidRPr="00330FDA">
              <w:t xml:space="preserve">Member, </w:t>
            </w:r>
            <w:r w:rsidR="00DD5A90" w:rsidRPr="00330FDA">
              <w:t>AICD</w:t>
            </w:r>
          </w:p>
          <w:p w14:paraId="31642076" w14:textId="275A55A4" w:rsidR="00802206" w:rsidRPr="00330FDA" w:rsidRDefault="00802206" w:rsidP="001A6611">
            <w:pPr>
              <w:pStyle w:val="TableText"/>
            </w:pPr>
            <w:r w:rsidRPr="00330FDA">
              <w:t>Director, Australian Academy of Law, 2013–2018</w:t>
            </w:r>
          </w:p>
          <w:p w14:paraId="0F9885D8" w14:textId="05FEC2A7" w:rsidR="00802206" w:rsidRPr="00330FDA" w:rsidRDefault="00802206" w:rsidP="001A6611">
            <w:pPr>
              <w:pStyle w:val="TableText"/>
            </w:pPr>
            <w:r w:rsidRPr="00330FDA">
              <w:t>President, ALRC, August 2009–July 2017</w:t>
            </w:r>
          </w:p>
          <w:p w14:paraId="3791F1DD" w14:textId="197E3532" w:rsidR="00DD5A90" w:rsidRPr="00330FDA" w:rsidRDefault="00434496" w:rsidP="001A6611">
            <w:pPr>
              <w:pStyle w:val="TableText"/>
            </w:pPr>
            <w:r w:rsidRPr="00330FDA">
              <w:t xml:space="preserve">Governor, Ascham School, </w:t>
            </w:r>
            <w:r w:rsidR="00DD5A90" w:rsidRPr="00330FDA">
              <w:t>1996–2005</w:t>
            </w:r>
          </w:p>
          <w:p w14:paraId="2664AB7B" w14:textId="19CB7F4E" w:rsidR="007D2B13" w:rsidRPr="00330FDA" w:rsidRDefault="001F0307" w:rsidP="001A6611">
            <w:pPr>
              <w:pStyle w:val="TableText"/>
            </w:pPr>
            <w:r w:rsidRPr="00330FDA">
              <w:t>Governor, St Andrews College, University of Sydney</w:t>
            </w:r>
            <w:r w:rsidR="00060883" w:rsidRPr="00330FDA">
              <w:t>, 1999–2002</w:t>
            </w:r>
          </w:p>
          <w:p w14:paraId="0664B24B" w14:textId="2EDF9965" w:rsidR="00DD5A90" w:rsidRPr="00330FDA" w:rsidRDefault="00DD5A90" w:rsidP="001A6611">
            <w:pPr>
              <w:pStyle w:val="TableText"/>
            </w:pPr>
            <w:r w:rsidRPr="00330FDA">
              <w:t>Board member, Sydney Philharmonia, 1999–2000</w:t>
            </w:r>
          </w:p>
          <w:p w14:paraId="0718458F" w14:textId="593F5BB3" w:rsidR="00D634E0" w:rsidRPr="00330FDA" w:rsidRDefault="00802206" w:rsidP="001A6611">
            <w:pPr>
              <w:pStyle w:val="TableText"/>
            </w:pPr>
            <w:r w:rsidRPr="00330FDA">
              <w:t>Dean, Macquarie Law School, November 1999– February 2007</w:t>
            </w:r>
          </w:p>
          <w:p w14:paraId="163F0561" w14:textId="00A6D310" w:rsidR="00BE07BF" w:rsidRPr="00330FDA" w:rsidRDefault="00D634E0" w:rsidP="001A6611">
            <w:pPr>
              <w:pStyle w:val="TableText"/>
            </w:pPr>
            <w:r w:rsidRPr="00330FDA">
              <w:t>Dean, Sydney Law School</w:t>
            </w:r>
            <w:r w:rsidR="00BE07BF" w:rsidRPr="00330FDA">
              <w:t>, 1997–March 1998</w:t>
            </w:r>
          </w:p>
          <w:p w14:paraId="7B439A0A" w14:textId="1AFBBAAC" w:rsidR="00802206" w:rsidRPr="00330FDA" w:rsidRDefault="00802206" w:rsidP="001A6611">
            <w:pPr>
              <w:pStyle w:val="TableText"/>
            </w:pPr>
            <w:r w:rsidRPr="00330FDA">
              <w:t xml:space="preserve">Admitted as legal practitioner, </w:t>
            </w:r>
            <w:r w:rsidR="00BE07BF" w:rsidRPr="00330FDA">
              <w:t xml:space="preserve">December </w:t>
            </w:r>
            <w:r w:rsidRPr="00330FDA">
              <w:t>1980</w:t>
            </w:r>
          </w:p>
        </w:tc>
        <w:tc>
          <w:tcPr>
            <w:tcW w:w="514" w:type="pct"/>
            <w:tcBorders>
              <w:top w:val="single" w:sz="4" w:space="0" w:color="auto"/>
            </w:tcBorders>
            <w:hideMark/>
          </w:tcPr>
          <w:p w14:paraId="6B79798D" w14:textId="7304E2C7" w:rsidR="00802206" w:rsidRPr="00330FDA" w:rsidRDefault="00802206" w:rsidP="001A6611">
            <w:pPr>
              <w:pStyle w:val="TableText"/>
            </w:pPr>
            <w:r w:rsidRPr="00330FDA">
              <w:t>Australian Human Rights Commission President</w:t>
            </w:r>
          </w:p>
        </w:tc>
        <w:tc>
          <w:tcPr>
            <w:tcW w:w="920" w:type="pct"/>
            <w:tcBorders>
              <w:top w:val="single" w:sz="4" w:space="0" w:color="auto"/>
            </w:tcBorders>
            <w:hideMark/>
          </w:tcPr>
          <w:p w14:paraId="2E39033F" w14:textId="5EF8B529" w:rsidR="00802206" w:rsidRPr="00330FDA" w:rsidRDefault="00802206" w:rsidP="001A6611">
            <w:pPr>
              <w:pStyle w:val="TableText"/>
            </w:pPr>
            <w:r w:rsidRPr="00330FDA">
              <w:t>30 July 2017</w:t>
            </w:r>
          </w:p>
        </w:tc>
        <w:tc>
          <w:tcPr>
            <w:tcW w:w="587" w:type="pct"/>
            <w:tcBorders>
              <w:top w:val="single" w:sz="4" w:space="0" w:color="auto"/>
            </w:tcBorders>
            <w:hideMark/>
          </w:tcPr>
          <w:p w14:paraId="5C3E4673" w14:textId="15BC9312" w:rsidR="00802206" w:rsidRPr="00330FDA" w:rsidRDefault="00A47BBF" w:rsidP="001A6611">
            <w:pPr>
              <w:pStyle w:val="TableText"/>
            </w:pPr>
            <w:r w:rsidRPr="00330FDA">
              <w:t>–</w:t>
            </w:r>
          </w:p>
        </w:tc>
        <w:tc>
          <w:tcPr>
            <w:tcW w:w="714" w:type="pct"/>
            <w:tcBorders>
              <w:top w:val="single" w:sz="4" w:space="0" w:color="auto"/>
            </w:tcBorders>
            <w:hideMark/>
          </w:tcPr>
          <w:p w14:paraId="5C219D51" w14:textId="064ADA56" w:rsidR="00802206" w:rsidRPr="00330FDA" w:rsidRDefault="00802206" w:rsidP="001A6611">
            <w:pPr>
              <w:pStyle w:val="TableText"/>
            </w:pPr>
            <w:r w:rsidRPr="00330FDA">
              <w:t>N/A</w:t>
            </w:r>
          </w:p>
        </w:tc>
      </w:tr>
    </w:tbl>
    <w:p w14:paraId="205FC95C" w14:textId="77777777" w:rsidR="00C66701" w:rsidRDefault="00C66701" w:rsidP="00C66701">
      <w:bookmarkStart w:id="64" w:name="mdheading-doc-88"/>
      <w:bookmarkEnd w:id="64"/>
    </w:p>
    <w:p w14:paraId="7DA215B9" w14:textId="4E285D55" w:rsidR="00C5796B" w:rsidRDefault="00C5796B">
      <w:pPr>
        <w:spacing w:before="0" w:after="0" w:line="240" w:lineRule="auto"/>
      </w:pPr>
      <w:r>
        <w:br w:type="page"/>
      </w:r>
    </w:p>
    <w:p w14:paraId="0993ADE5" w14:textId="15BC93F5" w:rsidR="00760EF4" w:rsidRPr="00330FDA" w:rsidRDefault="00760EF4" w:rsidP="00330FDA">
      <w:pPr>
        <w:pStyle w:val="Heading2"/>
        <w:numPr>
          <w:ilvl w:val="0"/>
          <w:numId w:val="0"/>
        </w:numPr>
      </w:pPr>
      <w:bookmarkStart w:id="65" w:name="_Toc146437068"/>
      <w:r w:rsidRPr="00330FDA">
        <w:t>Appendix 4</w:t>
      </w:r>
      <w:bookmarkStart w:id="66" w:name="mdheading-399"/>
      <w:bookmarkEnd w:id="66"/>
      <w:r w:rsidRPr="00330FDA">
        <w:t>: Key activities, program areas and services 2022</w:t>
      </w:r>
      <w:r w:rsidR="000A3084" w:rsidRPr="00330FDA">
        <w:t>–</w:t>
      </w:r>
      <w:r w:rsidRPr="00330FDA">
        <w:t>2023</w:t>
      </w:r>
      <w:bookmarkEnd w:id="65"/>
    </w:p>
    <w:tbl>
      <w:tblPr>
        <w:tblStyle w:val="TableGrid"/>
        <w:tblW w:w="5000" w:type="pct"/>
        <w:tblBorders>
          <w:left w:val="none" w:sz="0" w:space="0" w:color="auto"/>
          <w:right w:val="none" w:sz="0" w:space="0" w:color="auto"/>
        </w:tblBorders>
        <w:tblLayout w:type="fixed"/>
        <w:tblLook w:val="0600" w:firstRow="0" w:lastRow="0" w:firstColumn="0" w:lastColumn="0" w:noHBand="1" w:noVBand="1"/>
      </w:tblPr>
      <w:tblGrid>
        <w:gridCol w:w="9969"/>
      </w:tblGrid>
      <w:tr w:rsidR="00760EF4" w:rsidRPr="009A3E00" w14:paraId="3B2571E0" w14:textId="77777777" w:rsidTr="002E539B">
        <w:tc>
          <w:tcPr>
            <w:tcW w:w="5000" w:type="pct"/>
            <w:shd w:val="clear" w:color="auto" w:fill="F2F2F2" w:themeFill="background1" w:themeFillShade="F2"/>
          </w:tcPr>
          <w:p w14:paraId="15A6CD7A" w14:textId="698505DB" w:rsidR="00760EF4" w:rsidRPr="00113F71" w:rsidRDefault="00760EF4" w:rsidP="00113F71">
            <w:pPr>
              <w:pStyle w:val="TableTextBullet9pt"/>
              <w:rPr>
                <w:rStyle w:val="Strong"/>
              </w:rPr>
            </w:pPr>
            <w:r w:rsidRPr="00113F71">
              <w:rPr>
                <w:rStyle w:val="Strong"/>
              </w:rPr>
              <w:t xml:space="preserve">President: </w:t>
            </w:r>
            <w:r w:rsidR="007E59AD" w:rsidRPr="00113F71">
              <w:rPr>
                <w:rStyle w:val="Strong"/>
              </w:rPr>
              <w:t xml:space="preserve">Emeritus Professor </w:t>
            </w:r>
            <w:r w:rsidRPr="00113F71">
              <w:rPr>
                <w:rStyle w:val="Strong"/>
              </w:rPr>
              <w:t>Rosalind Croucher</w:t>
            </w:r>
            <w:r w:rsidR="007E59AD" w:rsidRPr="00113F71">
              <w:rPr>
                <w:rStyle w:val="Strong"/>
              </w:rPr>
              <w:t xml:space="preserve"> AM</w:t>
            </w:r>
          </w:p>
        </w:tc>
      </w:tr>
      <w:tr w:rsidR="00760EF4" w:rsidRPr="009A3E00" w14:paraId="42AAF77F" w14:textId="77777777" w:rsidTr="002E539B">
        <w:tc>
          <w:tcPr>
            <w:tcW w:w="5000" w:type="pct"/>
          </w:tcPr>
          <w:p w14:paraId="268E7854" w14:textId="77777777" w:rsidR="00760EF4" w:rsidRPr="009A3E00" w:rsidRDefault="00760EF4" w:rsidP="00113F71">
            <w:pPr>
              <w:pStyle w:val="TableTextBullet9pt"/>
            </w:pPr>
            <w:r w:rsidRPr="009A3E00">
              <w:t>Free+Equal: A conversation on human rights.</w:t>
            </w:r>
          </w:p>
        </w:tc>
      </w:tr>
      <w:tr w:rsidR="00760EF4" w:rsidRPr="009A3E00" w14:paraId="0A4B39ED" w14:textId="77777777" w:rsidTr="002E539B">
        <w:tc>
          <w:tcPr>
            <w:tcW w:w="5000" w:type="pct"/>
          </w:tcPr>
          <w:p w14:paraId="33E599D4" w14:textId="77777777" w:rsidR="00760EF4" w:rsidRPr="009A3E00" w:rsidRDefault="00760EF4" w:rsidP="00113F71">
            <w:pPr>
              <w:pStyle w:val="TableTextBullet9pt"/>
            </w:pPr>
            <w:r w:rsidRPr="009A3E00">
              <w:t xml:space="preserve">Investigation and Conciliation and National Information Services </w:t>
            </w:r>
          </w:p>
        </w:tc>
      </w:tr>
      <w:tr w:rsidR="00760EF4" w:rsidRPr="009A3E00" w14:paraId="4BD573F7" w14:textId="77777777" w:rsidTr="002E539B">
        <w:tc>
          <w:tcPr>
            <w:tcW w:w="5000" w:type="pct"/>
          </w:tcPr>
          <w:p w14:paraId="02F9FFC2" w14:textId="77777777" w:rsidR="00760EF4" w:rsidRPr="009A3E00" w:rsidRDefault="00760EF4" w:rsidP="00113F71">
            <w:pPr>
              <w:pStyle w:val="TableTextBullet9pt"/>
            </w:pPr>
            <w:r w:rsidRPr="009A3E00">
              <w:t xml:space="preserve">Human Rights Education and Training </w:t>
            </w:r>
          </w:p>
        </w:tc>
      </w:tr>
      <w:tr w:rsidR="00760EF4" w:rsidRPr="009A3E00" w14:paraId="535AFD62" w14:textId="77777777" w:rsidTr="002E539B">
        <w:tc>
          <w:tcPr>
            <w:tcW w:w="5000" w:type="pct"/>
          </w:tcPr>
          <w:p w14:paraId="56CEB74E" w14:textId="77777777" w:rsidR="00760EF4" w:rsidRPr="009A3E00" w:rsidRDefault="00760EF4" w:rsidP="00113F71">
            <w:pPr>
              <w:pStyle w:val="TableTextBullet9pt"/>
            </w:pPr>
            <w:r w:rsidRPr="009A3E00">
              <w:t xml:space="preserve">Australia-Lao PDR Human Rights Technical co-operation </w:t>
            </w:r>
          </w:p>
        </w:tc>
      </w:tr>
      <w:tr w:rsidR="00760EF4" w:rsidRPr="009A3E00" w14:paraId="6C15D193" w14:textId="77777777" w:rsidTr="002E539B">
        <w:tc>
          <w:tcPr>
            <w:tcW w:w="5000" w:type="pct"/>
          </w:tcPr>
          <w:p w14:paraId="64B76E78" w14:textId="77777777" w:rsidR="00760EF4" w:rsidRPr="009A3E00" w:rsidRDefault="00760EF4" w:rsidP="00113F71">
            <w:pPr>
              <w:pStyle w:val="TableTextBullet9pt"/>
            </w:pPr>
            <w:r w:rsidRPr="009A3E00">
              <w:t xml:space="preserve">Australia-Vietnam Human Rights Technical Cooperation Program </w:t>
            </w:r>
          </w:p>
        </w:tc>
      </w:tr>
      <w:tr w:rsidR="00760EF4" w:rsidRPr="009A3E00" w14:paraId="0F812510" w14:textId="77777777" w:rsidTr="002E539B">
        <w:tc>
          <w:tcPr>
            <w:tcW w:w="5000" w:type="pct"/>
          </w:tcPr>
          <w:p w14:paraId="1C15E865" w14:textId="77777777" w:rsidR="00760EF4" w:rsidRPr="009A3E00" w:rsidRDefault="00760EF4" w:rsidP="00113F71">
            <w:pPr>
              <w:pStyle w:val="TableTextBullet9pt"/>
            </w:pPr>
            <w:r w:rsidRPr="009A3E00">
              <w:t xml:space="preserve">International Engagement </w:t>
            </w:r>
          </w:p>
        </w:tc>
      </w:tr>
      <w:tr w:rsidR="00760EF4" w:rsidRPr="009A3E00" w14:paraId="4FDE0993" w14:textId="77777777" w:rsidTr="002E539B">
        <w:tc>
          <w:tcPr>
            <w:tcW w:w="5000" w:type="pct"/>
          </w:tcPr>
          <w:p w14:paraId="68779D65" w14:textId="77777777" w:rsidR="00760EF4" w:rsidRPr="009A3E00" w:rsidRDefault="00760EF4" w:rsidP="00113F71">
            <w:pPr>
              <w:pStyle w:val="TableTextBullet9pt"/>
            </w:pPr>
            <w:r w:rsidRPr="009A3E00">
              <w:t xml:space="preserve">Human Rights Scrutiny </w:t>
            </w:r>
          </w:p>
        </w:tc>
      </w:tr>
      <w:tr w:rsidR="00760EF4" w:rsidRPr="009A3E00" w14:paraId="008EA2C1" w14:textId="77777777" w:rsidTr="002E539B">
        <w:tc>
          <w:tcPr>
            <w:tcW w:w="5000" w:type="pct"/>
            <w:shd w:val="clear" w:color="auto" w:fill="F2F2F2" w:themeFill="background1" w:themeFillShade="F2"/>
          </w:tcPr>
          <w:p w14:paraId="14223D19" w14:textId="630F861C" w:rsidR="00760EF4" w:rsidRPr="00113F71" w:rsidRDefault="00760EF4" w:rsidP="00113F71">
            <w:pPr>
              <w:pStyle w:val="TableTextBullet9pt"/>
              <w:rPr>
                <w:rStyle w:val="Strong"/>
              </w:rPr>
            </w:pPr>
            <w:r w:rsidRPr="00113F71">
              <w:rPr>
                <w:rStyle w:val="Strong"/>
              </w:rPr>
              <w:t>Aboriginal and Torres Strait Islander Social Justice Commissioner: June Oscar</w:t>
            </w:r>
            <w:r w:rsidR="007E59AD" w:rsidRPr="00113F71">
              <w:rPr>
                <w:rStyle w:val="Strong"/>
              </w:rPr>
              <w:t xml:space="preserve"> AO</w:t>
            </w:r>
          </w:p>
        </w:tc>
      </w:tr>
      <w:tr w:rsidR="00760EF4" w:rsidRPr="009A3E00" w14:paraId="43BDF8A8" w14:textId="77777777" w:rsidTr="002E539B">
        <w:tc>
          <w:tcPr>
            <w:tcW w:w="5000" w:type="pct"/>
          </w:tcPr>
          <w:p w14:paraId="7B068234" w14:textId="77777777" w:rsidR="00760EF4" w:rsidRPr="009A3E00" w:rsidRDefault="00760EF4" w:rsidP="00113F71">
            <w:pPr>
              <w:pStyle w:val="TableTextBullet9pt"/>
            </w:pPr>
            <w:r w:rsidRPr="009A3E00">
              <w:t xml:space="preserve">Wiyi Yani U Thangani (Women’s Voices) project stage 3 </w:t>
            </w:r>
          </w:p>
        </w:tc>
      </w:tr>
      <w:tr w:rsidR="00760EF4" w:rsidRPr="009A3E00" w14:paraId="14C626D3" w14:textId="77777777" w:rsidTr="002E539B">
        <w:tc>
          <w:tcPr>
            <w:tcW w:w="5000" w:type="pct"/>
          </w:tcPr>
          <w:p w14:paraId="69F91C78" w14:textId="77777777" w:rsidR="00760EF4" w:rsidRPr="009A3E00" w:rsidRDefault="00760EF4" w:rsidP="00113F71">
            <w:pPr>
              <w:pStyle w:val="TableTextBullet9pt"/>
            </w:pPr>
            <w:r w:rsidRPr="009A3E00">
              <w:t xml:space="preserve">Native Title Report </w:t>
            </w:r>
          </w:p>
        </w:tc>
      </w:tr>
      <w:tr w:rsidR="00760EF4" w:rsidRPr="009A3E00" w14:paraId="046C0779" w14:textId="77777777" w:rsidTr="002E539B">
        <w:tc>
          <w:tcPr>
            <w:tcW w:w="5000" w:type="pct"/>
            <w:shd w:val="clear" w:color="auto" w:fill="F2F2F2" w:themeFill="background1" w:themeFillShade="F2"/>
          </w:tcPr>
          <w:p w14:paraId="10CC3077" w14:textId="33C54CD8" w:rsidR="00760EF4" w:rsidRPr="00113F71" w:rsidRDefault="00760EF4" w:rsidP="00113F71">
            <w:pPr>
              <w:pStyle w:val="TableTextBullet9pt"/>
              <w:rPr>
                <w:rStyle w:val="Strong"/>
              </w:rPr>
            </w:pPr>
            <w:r w:rsidRPr="00113F71">
              <w:rPr>
                <w:rStyle w:val="Strong"/>
              </w:rPr>
              <w:t xml:space="preserve">Age Discrimination Commissioner: </w:t>
            </w:r>
            <w:r w:rsidR="00113F71">
              <w:rPr>
                <w:rStyle w:val="Strong"/>
              </w:rPr>
              <w:t>T</w:t>
            </w:r>
            <w:r w:rsidR="007E59AD" w:rsidRPr="00113F71">
              <w:rPr>
                <w:rStyle w:val="Strong"/>
              </w:rPr>
              <w:t xml:space="preserve">he Hon Dr </w:t>
            </w:r>
            <w:r w:rsidRPr="00113F71">
              <w:rPr>
                <w:rStyle w:val="Strong"/>
              </w:rPr>
              <w:t>Kay Patterson</w:t>
            </w:r>
            <w:r w:rsidR="007E59AD" w:rsidRPr="00113F71">
              <w:rPr>
                <w:rStyle w:val="Strong"/>
              </w:rPr>
              <w:t xml:space="preserve"> AO</w:t>
            </w:r>
          </w:p>
        </w:tc>
      </w:tr>
      <w:tr w:rsidR="00760EF4" w:rsidRPr="009A3E00" w14:paraId="7972F072" w14:textId="77777777" w:rsidTr="002E539B">
        <w:tc>
          <w:tcPr>
            <w:tcW w:w="5000" w:type="pct"/>
          </w:tcPr>
          <w:p w14:paraId="3F674FF3" w14:textId="3A5BE3BC" w:rsidR="00760EF4" w:rsidRPr="009A3E00" w:rsidRDefault="00760EF4" w:rsidP="00113F71">
            <w:pPr>
              <w:pStyle w:val="TableTextBullet9pt"/>
            </w:pPr>
            <w:r w:rsidRPr="009A3E00">
              <w:t xml:space="preserve">Older Australians and employment program </w:t>
            </w:r>
          </w:p>
        </w:tc>
      </w:tr>
      <w:tr w:rsidR="00760EF4" w:rsidRPr="009A3E00" w14:paraId="3070E93C" w14:textId="77777777" w:rsidTr="002E539B">
        <w:tc>
          <w:tcPr>
            <w:tcW w:w="5000" w:type="pct"/>
          </w:tcPr>
          <w:p w14:paraId="497F3714" w14:textId="77777777" w:rsidR="00760EF4" w:rsidRPr="009A3E00" w:rsidRDefault="00760EF4" w:rsidP="00113F71">
            <w:pPr>
              <w:pStyle w:val="TableTextBullet9pt"/>
            </w:pPr>
            <w:r w:rsidRPr="009A3E00">
              <w:t xml:space="preserve">Elder Abuse awareness program </w:t>
            </w:r>
          </w:p>
        </w:tc>
      </w:tr>
      <w:tr w:rsidR="00760EF4" w:rsidRPr="009A3E00" w14:paraId="6BB8AA3D" w14:textId="77777777" w:rsidTr="002E539B">
        <w:tc>
          <w:tcPr>
            <w:tcW w:w="5000" w:type="pct"/>
          </w:tcPr>
          <w:p w14:paraId="76B07D02" w14:textId="77777777" w:rsidR="00760EF4" w:rsidRPr="009A3E00" w:rsidRDefault="00760EF4" w:rsidP="00113F71">
            <w:pPr>
              <w:pStyle w:val="TableTextBullet9pt"/>
            </w:pPr>
            <w:r w:rsidRPr="009A3E00">
              <w:t xml:space="preserve">Older women risk of homelessness </w:t>
            </w:r>
          </w:p>
        </w:tc>
      </w:tr>
      <w:tr w:rsidR="00760EF4" w:rsidRPr="009A3E00" w14:paraId="77D873BD" w14:textId="77777777" w:rsidTr="002E539B">
        <w:tc>
          <w:tcPr>
            <w:tcW w:w="5000" w:type="pct"/>
          </w:tcPr>
          <w:p w14:paraId="2667D162" w14:textId="77777777" w:rsidR="00760EF4" w:rsidRPr="009A3E00" w:rsidRDefault="00760EF4" w:rsidP="00113F71">
            <w:pPr>
              <w:pStyle w:val="TableTextBullet9pt"/>
            </w:pPr>
            <w:r w:rsidRPr="009A3E00">
              <w:t>Supporting and promoting positive ageing</w:t>
            </w:r>
          </w:p>
        </w:tc>
      </w:tr>
      <w:tr w:rsidR="00760EF4" w:rsidRPr="009A3E00" w14:paraId="4FA314AF" w14:textId="77777777" w:rsidTr="002E539B">
        <w:tc>
          <w:tcPr>
            <w:tcW w:w="5000" w:type="pct"/>
          </w:tcPr>
          <w:p w14:paraId="45DD2361" w14:textId="77777777" w:rsidR="00760EF4" w:rsidRPr="009A3E00" w:rsidRDefault="00760EF4" w:rsidP="00113F71">
            <w:pPr>
              <w:pStyle w:val="TableTextBullet9pt"/>
            </w:pPr>
            <w:r w:rsidRPr="009A3E00">
              <w:t xml:space="preserve">Planning Ahead for later life Project </w:t>
            </w:r>
          </w:p>
        </w:tc>
      </w:tr>
      <w:tr w:rsidR="00760EF4" w:rsidRPr="009A3E00" w14:paraId="1C430274" w14:textId="77777777" w:rsidTr="002E539B">
        <w:tc>
          <w:tcPr>
            <w:tcW w:w="5000" w:type="pct"/>
            <w:shd w:val="clear" w:color="auto" w:fill="F2F2F2" w:themeFill="background1" w:themeFillShade="F2"/>
          </w:tcPr>
          <w:p w14:paraId="3E5D4C40" w14:textId="0A309BA4" w:rsidR="00760EF4" w:rsidRPr="00113F71" w:rsidRDefault="00760EF4" w:rsidP="00113F71">
            <w:pPr>
              <w:pStyle w:val="TableTextBullet9pt"/>
              <w:rPr>
                <w:rStyle w:val="Strong"/>
              </w:rPr>
            </w:pPr>
            <w:r w:rsidRPr="00113F71">
              <w:rPr>
                <w:rStyle w:val="Strong"/>
              </w:rPr>
              <w:t xml:space="preserve">Disability Discrimination Commissioner: </w:t>
            </w:r>
            <w:r w:rsidR="007E59AD" w:rsidRPr="00113F71">
              <w:rPr>
                <w:rStyle w:val="Strong"/>
              </w:rPr>
              <w:t xml:space="preserve">Dr </w:t>
            </w:r>
            <w:r w:rsidRPr="00113F71">
              <w:rPr>
                <w:rStyle w:val="Strong"/>
              </w:rPr>
              <w:t>Ben Gauntlett</w:t>
            </w:r>
          </w:p>
        </w:tc>
      </w:tr>
      <w:tr w:rsidR="00760EF4" w:rsidRPr="009A3E00" w14:paraId="133E1276" w14:textId="77777777" w:rsidTr="002E539B">
        <w:tc>
          <w:tcPr>
            <w:tcW w:w="5000" w:type="pct"/>
          </w:tcPr>
          <w:p w14:paraId="51C1CF64" w14:textId="77777777" w:rsidR="00760EF4" w:rsidRPr="009A3E00" w:rsidRDefault="00760EF4" w:rsidP="00113F71">
            <w:pPr>
              <w:pStyle w:val="TableTextBullet9pt"/>
            </w:pPr>
            <w:r w:rsidRPr="009A3E00">
              <w:t xml:space="preserve">IncludeAbility </w:t>
            </w:r>
          </w:p>
        </w:tc>
      </w:tr>
      <w:tr w:rsidR="00760EF4" w:rsidRPr="009A3E00" w14:paraId="567EC914" w14:textId="77777777" w:rsidTr="002E539B">
        <w:tc>
          <w:tcPr>
            <w:tcW w:w="5000" w:type="pct"/>
          </w:tcPr>
          <w:p w14:paraId="4F56F842" w14:textId="77777777" w:rsidR="00760EF4" w:rsidRPr="009A3E00" w:rsidRDefault="00760EF4" w:rsidP="00113F71">
            <w:pPr>
              <w:pStyle w:val="TableTextBullet9pt"/>
            </w:pPr>
            <w:r w:rsidRPr="009A3E00">
              <w:t xml:space="preserve">Accessible Housing Project </w:t>
            </w:r>
          </w:p>
        </w:tc>
      </w:tr>
      <w:tr w:rsidR="00760EF4" w:rsidRPr="009A3E00" w14:paraId="4472698F" w14:textId="77777777" w:rsidTr="002E539B">
        <w:tc>
          <w:tcPr>
            <w:tcW w:w="5000" w:type="pct"/>
          </w:tcPr>
          <w:p w14:paraId="58F4DA95" w14:textId="77777777" w:rsidR="00760EF4" w:rsidRPr="009A3E00" w:rsidRDefault="00760EF4" w:rsidP="00113F71">
            <w:pPr>
              <w:pStyle w:val="TableTextBullet9pt"/>
            </w:pPr>
            <w:r w:rsidRPr="009A3E00">
              <w:t xml:space="preserve">Partnership with the Australian Public Services Commission </w:t>
            </w:r>
          </w:p>
        </w:tc>
      </w:tr>
      <w:tr w:rsidR="00760EF4" w:rsidRPr="009A3E00" w14:paraId="19B8F09A" w14:textId="77777777" w:rsidTr="002E539B">
        <w:tc>
          <w:tcPr>
            <w:tcW w:w="5000" w:type="pct"/>
          </w:tcPr>
          <w:p w14:paraId="74486E36" w14:textId="77777777" w:rsidR="00760EF4" w:rsidRPr="009A3E00" w:rsidRDefault="00760EF4" w:rsidP="00113F71">
            <w:pPr>
              <w:pStyle w:val="TableTextBullet9pt"/>
            </w:pPr>
            <w:r w:rsidRPr="009A3E00">
              <w:t xml:space="preserve">Policy and law reform engagement </w:t>
            </w:r>
          </w:p>
        </w:tc>
      </w:tr>
      <w:tr w:rsidR="00760EF4" w:rsidRPr="009A3E00" w14:paraId="11BFFF46" w14:textId="77777777" w:rsidTr="002E539B">
        <w:tc>
          <w:tcPr>
            <w:tcW w:w="5000" w:type="pct"/>
          </w:tcPr>
          <w:p w14:paraId="66F2F579" w14:textId="77777777" w:rsidR="00760EF4" w:rsidRPr="009A3E00" w:rsidRDefault="00760EF4" w:rsidP="00113F71">
            <w:pPr>
              <w:pStyle w:val="TableTextBullet9pt"/>
            </w:pPr>
            <w:r w:rsidRPr="009A3E00">
              <w:t xml:space="preserve">Supporting people with disability and organisations to attend international human rights forum </w:t>
            </w:r>
          </w:p>
        </w:tc>
      </w:tr>
      <w:tr w:rsidR="00760EF4" w:rsidRPr="009A3E00" w14:paraId="527C4B70" w14:textId="77777777" w:rsidTr="002E539B">
        <w:tc>
          <w:tcPr>
            <w:tcW w:w="5000" w:type="pct"/>
            <w:shd w:val="clear" w:color="auto" w:fill="F2F2F2" w:themeFill="background1" w:themeFillShade="F2"/>
          </w:tcPr>
          <w:p w14:paraId="0DB0CB84" w14:textId="77777777" w:rsidR="00760EF4" w:rsidRPr="00113F71" w:rsidRDefault="00760EF4" w:rsidP="00113F71">
            <w:pPr>
              <w:pStyle w:val="TableTextBullet9pt"/>
              <w:rPr>
                <w:rStyle w:val="Strong"/>
              </w:rPr>
            </w:pPr>
            <w:r w:rsidRPr="00113F71">
              <w:rPr>
                <w:rStyle w:val="Strong"/>
              </w:rPr>
              <w:t xml:space="preserve">Human Rights Commissioner: Lorraine Finlay </w:t>
            </w:r>
          </w:p>
        </w:tc>
      </w:tr>
      <w:tr w:rsidR="00760EF4" w:rsidRPr="009A3E00" w14:paraId="5703886C" w14:textId="77777777" w:rsidTr="002E539B">
        <w:tc>
          <w:tcPr>
            <w:tcW w:w="5000" w:type="pct"/>
          </w:tcPr>
          <w:p w14:paraId="0566E248" w14:textId="77777777" w:rsidR="00760EF4" w:rsidRPr="009A3E00" w:rsidRDefault="00760EF4" w:rsidP="00113F71">
            <w:pPr>
              <w:pStyle w:val="TableTextBullet9pt"/>
            </w:pPr>
            <w:r w:rsidRPr="009A3E00">
              <w:t xml:space="preserve">Effective oversight of places of detention through implementation and operationalization of OPCAT </w:t>
            </w:r>
          </w:p>
        </w:tc>
      </w:tr>
      <w:tr w:rsidR="00760EF4" w:rsidRPr="009A3E00" w14:paraId="28A13D44" w14:textId="77777777" w:rsidTr="002E539B">
        <w:tc>
          <w:tcPr>
            <w:tcW w:w="5000" w:type="pct"/>
          </w:tcPr>
          <w:p w14:paraId="3D956DC7" w14:textId="77777777" w:rsidR="00760EF4" w:rsidRPr="009A3E00" w:rsidRDefault="00760EF4" w:rsidP="00113F71">
            <w:pPr>
              <w:pStyle w:val="TableTextBullet9pt"/>
            </w:pPr>
            <w:r w:rsidRPr="009A3E00">
              <w:t>Asylum seeker, refugee and immigration detention program</w:t>
            </w:r>
          </w:p>
        </w:tc>
      </w:tr>
      <w:tr w:rsidR="00760EF4" w:rsidRPr="009A3E00" w14:paraId="4FFA800D" w14:textId="77777777" w:rsidTr="002E539B">
        <w:tc>
          <w:tcPr>
            <w:tcW w:w="5000" w:type="pct"/>
          </w:tcPr>
          <w:p w14:paraId="4CB8289A" w14:textId="77777777" w:rsidR="00760EF4" w:rsidRPr="009A3E00" w:rsidRDefault="00760EF4" w:rsidP="00113F71">
            <w:pPr>
              <w:pStyle w:val="TableTextBullet9pt"/>
            </w:pPr>
            <w:r w:rsidRPr="009A3E00">
              <w:t xml:space="preserve">Business and Human Rights Program </w:t>
            </w:r>
          </w:p>
        </w:tc>
      </w:tr>
      <w:tr w:rsidR="00760EF4" w:rsidRPr="009A3E00" w14:paraId="5C1617B6" w14:textId="77777777" w:rsidTr="002E539B">
        <w:tc>
          <w:tcPr>
            <w:tcW w:w="5000" w:type="pct"/>
          </w:tcPr>
          <w:p w14:paraId="580F3FF9" w14:textId="77777777" w:rsidR="00760EF4" w:rsidRPr="009A3E00" w:rsidRDefault="00760EF4" w:rsidP="00113F71">
            <w:pPr>
              <w:pStyle w:val="TableTextBullet9pt"/>
            </w:pPr>
            <w:r w:rsidRPr="009A3E00">
              <w:t>Human Rights and Technology</w:t>
            </w:r>
          </w:p>
        </w:tc>
      </w:tr>
      <w:tr w:rsidR="00760EF4" w:rsidRPr="009A3E00" w14:paraId="32E59859" w14:textId="77777777" w:rsidTr="002E539B">
        <w:tc>
          <w:tcPr>
            <w:tcW w:w="5000" w:type="pct"/>
            <w:shd w:val="clear" w:color="auto" w:fill="F2F2F2" w:themeFill="background1" w:themeFillShade="F2"/>
          </w:tcPr>
          <w:p w14:paraId="56987C4E" w14:textId="77777777" w:rsidR="00760EF4" w:rsidRPr="00113F71" w:rsidRDefault="00760EF4" w:rsidP="00113F71">
            <w:pPr>
              <w:pStyle w:val="TableTextBullet9pt"/>
              <w:rPr>
                <w:rStyle w:val="Strong"/>
              </w:rPr>
            </w:pPr>
            <w:r w:rsidRPr="00113F71">
              <w:rPr>
                <w:rStyle w:val="Strong"/>
              </w:rPr>
              <w:t>National Children’s Commissioner: Anne Hollonds</w:t>
            </w:r>
          </w:p>
        </w:tc>
      </w:tr>
      <w:tr w:rsidR="00760EF4" w:rsidRPr="009A3E00" w14:paraId="3683AE09" w14:textId="77777777" w:rsidTr="002E539B">
        <w:tc>
          <w:tcPr>
            <w:tcW w:w="5000" w:type="pct"/>
          </w:tcPr>
          <w:p w14:paraId="2D126A45" w14:textId="1C3D7F9F" w:rsidR="00760EF4" w:rsidRPr="009A3E00" w:rsidRDefault="00760EF4" w:rsidP="00113F71">
            <w:pPr>
              <w:pStyle w:val="TableTextBullet9pt"/>
            </w:pPr>
            <w:r w:rsidRPr="009A3E00">
              <w:t>Child Rights Impact Assessment Tool</w:t>
            </w:r>
          </w:p>
        </w:tc>
      </w:tr>
      <w:tr w:rsidR="00760EF4" w:rsidRPr="009A3E00" w14:paraId="61886A23" w14:textId="77777777" w:rsidTr="002E539B">
        <w:tc>
          <w:tcPr>
            <w:tcW w:w="5000" w:type="pct"/>
          </w:tcPr>
          <w:p w14:paraId="74B8685B" w14:textId="09699F59" w:rsidR="00760EF4" w:rsidRPr="009A3E00" w:rsidRDefault="00760EF4" w:rsidP="00113F71">
            <w:pPr>
              <w:pStyle w:val="TableTextBullet9pt"/>
            </w:pPr>
            <w:r w:rsidRPr="009A3E00">
              <w:t>Transforming Approaches to Protecting Australia’s Children</w:t>
            </w:r>
          </w:p>
        </w:tc>
      </w:tr>
      <w:tr w:rsidR="00760EF4" w:rsidRPr="009A3E00" w14:paraId="00FE0720" w14:textId="77777777" w:rsidTr="002E539B">
        <w:tc>
          <w:tcPr>
            <w:tcW w:w="5000" w:type="pct"/>
          </w:tcPr>
          <w:p w14:paraId="495C9CF4" w14:textId="77777777" w:rsidR="00760EF4" w:rsidRPr="009A3E00" w:rsidRDefault="00760EF4" w:rsidP="00113F71">
            <w:pPr>
              <w:pStyle w:val="TableTextBullet9pt"/>
            </w:pPr>
            <w:r w:rsidRPr="009A3E00">
              <w:t xml:space="preserve">National Child and Family Investment Strategy </w:t>
            </w:r>
          </w:p>
        </w:tc>
      </w:tr>
      <w:tr w:rsidR="00760EF4" w:rsidRPr="009A3E00" w14:paraId="124F36DE" w14:textId="77777777" w:rsidTr="002E539B">
        <w:tc>
          <w:tcPr>
            <w:tcW w:w="5000" w:type="pct"/>
          </w:tcPr>
          <w:p w14:paraId="2C63F8DE" w14:textId="77777777" w:rsidR="00760EF4" w:rsidRPr="009A3E00" w:rsidRDefault="00760EF4" w:rsidP="00113F71">
            <w:pPr>
              <w:pStyle w:val="TableTextBullet9pt"/>
            </w:pPr>
            <w:r w:rsidRPr="009A3E00">
              <w:t xml:space="preserve">Supporting quality engagement for children and families </w:t>
            </w:r>
          </w:p>
        </w:tc>
      </w:tr>
      <w:tr w:rsidR="00760EF4" w:rsidRPr="009A3E00" w14:paraId="729CEB9E" w14:textId="77777777" w:rsidTr="002E539B">
        <w:tc>
          <w:tcPr>
            <w:tcW w:w="5000" w:type="pct"/>
          </w:tcPr>
          <w:p w14:paraId="03F895F1" w14:textId="723C7ABC" w:rsidR="00760EF4" w:rsidRPr="009A3E00" w:rsidRDefault="00760EF4" w:rsidP="00113F71">
            <w:pPr>
              <w:pStyle w:val="TableTextBullet9pt"/>
            </w:pPr>
            <w:r w:rsidRPr="009A3E00">
              <w:t>Statutory Reporting to Parliament on a human rights</w:t>
            </w:r>
            <w:r w:rsidR="00A23280" w:rsidRPr="009A3E00">
              <w:t>-</w:t>
            </w:r>
            <w:r w:rsidRPr="009A3E00">
              <w:t xml:space="preserve">based approach to youth justice </w:t>
            </w:r>
          </w:p>
        </w:tc>
      </w:tr>
      <w:tr w:rsidR="00760EF4" w:rsidRPr="009A3E00" w14:paraId="137261D5" w14:textId="77777777" w:rsidTr="002E539B">
        <w:tc>
          <w:tcPr>
            <w:tcW w:w="5000" w:type="pct"/>
          </w:tcPr>
          <w:p w14:paraId="09080347" w14:textId="77777777" w:rsidR="00760EF4" w:rsidRPr="009A3E00" w:rsidRDefault="00760EF4" w:rsidP="00113F71">
            <w:pPr>
              <w:pStyle w:val="TableTextBullet9pt"/>
            </w:pPr>
            <w:r w:rsidRPr="009A3E00">
              <w:t xml:space="preserve">National Survey of secondary students about their understanding and experiences of consent education </w:t>
            </w:r>
          </w:p>
        </w:tc>
      </w:tr>
      <w:tr w:rsidR="00760EF4" w:rsidRPr="009A3E00" w14:paraId="32E86833" w14:textId="77777777" w:rsidTr="002E539B">
        <w:tc>
          <w:tcPr>
            <w:tcW w:w="5000" w:type="pct"/>
            <w:shd w:val="clear" w:color="auto" w:fill="F2F2F2" w:themeFill="background1" w:themeFillShade="F2"/>
          </w:tcPr>
          <w:p w14:paraId="261FF435" w14:textId="77777777" w:rsidR="00760EF4" w:rsidRPr="00113F71" w:rsidRDefault="00760EF4" w:rsidP="00113F71">
            <w:pPr>
              <w:pStyle w:val="TableTextBullet9pt"/>
              <w:rPr>
                <w:rStyle w:val="Strong"/>
              </w:rPr>
            </w:pPr>
            <w:r w:rsidRPr="00113F71">
              <w:rPr>
                <w:rStyle w:val="Strong"/>
              </w:rPr>
              <w:t>Race Discrimination Commissioner: Chin Tan</w:t>
            </w:r>
          </w:p>
        </w:tc>
      </w:tr>
      <w:tr w:rsidR="00760EF4" w:rsidRPr="009A3E00" w14:paraId="21F270C7" w14:textId="77777777" w:rsidTr="002E539B">
        <w:tc>
          <w:tcPr>
            <w:tcW w:w="5000" w:type="pct"/>
          </w:tcPr>
          <w:p w14:paraId="18F2494B" w14:textId="77777777" w:rsidR="00760EF4" w:rsidRPr="009A3E00" w:rsidRDefault="00760EF4" w:rsidP="00113F71">
            <w:pPr>
              <w:pStyle w:val="TableTextBullet9pt"/>
            </w:pPr>
            <w:r w:rsidRPr="009A3E00">
              <w:t xml:space="preserve">National Anti-Racism Framework </w:t>
            </w:r>
          </w:p>
        </w:tc>
      </w:tr>
      <w:tr w:rsidR="00760EF4" w:rsidRPr="009A3E00" w14:paraId="01FC4359" w14:textId="77777777" w:rsidTr="002E539B">
        <w:tc>
          <w:tcPr>
            <w:tcW w:w="5000" w:type="pct"/>
          </w:tcPr>
          <w:p w14:paraId="6CDD5469" w14:textId="77777777" w:rsidR="00760EF4" w:rsidRPr="009A3E00" w:rsidRDefault="00760EF4" w:rsidP="00113F71">
            <w:pPr>
              <w:pStyle w:val="TableTextBullet9pt"/>
            </w:pPr>
            <w:r w:rsidRPr="009A3E00">
              <w:t>Racism. It Stops with Me Campaign</w:t>
            </w:r>
          </w:p>
        </w:tc>
      </w:tr>
      <w:tr w:rsidR="00760EF4" w:rsidRPr="009A3E00" w14:paraId="1ACF3341" w14:textId="77777777" w:rsidTr="002E539B">
        <w:tc>
          <w:tcPr>
            <w:tcW w:w="5000" w:type="pct"/>
          </w:tcPr>
          <w:p w14:paraId="45B062E8" w14:textId="77777777" w:rsidR="00760EF4" w:rsidRPr="009A3E00" w:rsidRDefault="00760EF4" w:rsidP="00113F71">
            <w:pPr>
              <w:pStyle w:val="TableTextBullet9pt"/>
            </w:pPr>
            <w:r w:rsidRPr="009A3E00">
              <w:t xml:space="preserve">International Student Principles </w:t>
            </w:r>
          </w:p>
        </w:tc>
      </w:tr>
      <w:tr w:rsidR="00760EF4" w:rsidRPr="009A3E00" w14:paraId="5CA9159E" w14:textId="77777777" w:rsidTr="002E539B">
        <w:tc>
          <w:tcPr>
            <w:tcW w:w="5000" w:type="pct"/>
          </w:tcPr>
          <w:p w14:paraId="19EE0E58" w14:textId="77777777" w:rsidR="00760EF4" w:rsidRPr="009A3E00" w:rsidRDefault="00760EF4" w:rsidP="00113F71">
            <w:pPr>
              <w:pStyle w:val="TableTextBullet9pt"/>
            </w:pPr>
            <w:r w:rsidRPr="009A3E00">
              <w:t xml:space="preserve">Spectator Racism Guidelines Project </w:t>
            </w:r>
          </w:p>
        </w:tc>
      </w:tr>
      <w:tr w:rsidR="00760EF4" w:rsidRPr="009A3E00" w14:paraId="24231846" w14:textId="77777777" w:rsidTr="002E539B">
        <w:tc>
          <w:tcPr>
            <w:tcW w:w="5000" w:type="pct"/>
            <w:shd w:val="clear" w:color="auto" w:fill="F2F2F2" w:themeFill="background1" w:themeFillShade="F2"/>
          </w:tcPr>
          <w:p w14:paraId="5DAF2B75" w14:textId="77777777" w:rsidR="00760EF4" w:rsidRPr="00113F71" w:rsidRDefault="00760EF4" w:rsidP="00113F71">
            <w:pPr>
              <w:pStyle w:val="TableTextBullet9pt"/>
              <w:rPr>
                <w:rStyle w:val="Strong"/>
              </w:rPr>
            </w:pPr>
            <w:r w:rsidRPr="00113F71">
              <w:rPr>
                <w:rStyle w:val="Strong"/>
              </w:rPr>
              <w:t>Sex Discrimination Commissioner: Kate Jenkins</w:t>
            </w:r>
          </w:p>
        </w:tc>
      </w:tr>
      <w:tr w:rsidR="00760EF4" w:rsidRPr="009A3E00" w14:paraId="16212583" w14:textId="77777777" w:rsidTr="002E539B">
        <w:tc>
          <w:tcPr>
            <w:tcW w:w="5000" w:type="pct"/>
          </w:tcPr>
          <w:p w14:paraId="7166F710" w14:textId="77777777" w:rsidR="00760EF4" w:rsidRPr="009A3E00" w:rsidRDefault="00760EF4" w:rsidP="00113F71">
            <w:pPr>
              <w:pStyle w:val="TableTextBullet9pt"/>
            </w:pPr>
            <w:r w:rsidRPr="009A3E00">
              <w:t xml:space="preserve">Respect@Work Implementation </w:t>
            </w:r>
          </w:p>
        </w:tc>
      </w:tr>
      <w:tr w:rsidR="00760EF4" w:rsidRPr="009A3E00" w14:paraId="39B71E53" w14:textId="77777777" w:rsidTr="002E539B">
        <w:tc>
          <w:tcPr>
            <w:tcW w:w="5000" w:type="pct"/>
          </w:tcPr>
          <w:p w14:paraId="10A8E072" w14:textId="1230704F" w:rsidR="00760EF4" w:rsidRPr="009A3E00" w:rsidRDefault="00966BC9" w:rsidP="00113F71">
            <w:pPr>
              <w:pStyle w:val="TableTextBullet9pt"/>
            </w:pPr>
            <w:r w:rsidRPr="009A3E00">
              <w:t>Defence</w:t>
            </w:r>
            <w:r w:rsidR="00760EF4" w:rsidRPr="009A3E00">
              <w:t xml:space="preserve"> Collaboration </w:t>
            </w:r>
          </w:p>
        </w:tc>
      </w:tr>
      <w:tr w:rsidR="00760EF4" w:rsidRPr="009A3E00" w14:paraId="1927A94F" w14:textId="77777777" w:rsidTr="002E539B">
        <w:tc>
          <w:tcPr>
            <w:tcW w:w="5000" w:type="pct"/>
          </w:tcPr>
          <w:p w14:paraId="411336BC" w14:textId="77777777" w:rsidR="00760EF4" w:rsidRPr="009A3E00" w:rsidRDefault="00760EF4" w:rsidP="00113F71">
            <w:pPr>
              <w:pStyle w:val="TableTextBullet9pt"/>
            </w:pPr>
            <w:r w:rsidRPr="009A3E00">
              <w:t xml:space="preserve">Australian Federal Police Partnerships </w:t>
            </w:r>
          </w:p>
        </w:tc>
      </w:tr>
      <w:tr w:rsidR="00760EF4" w:rsidRPr="009A3E00" w14:paraId="3839CDD0" w14:textId="77777777" w:rsidTr="002E539B">
        <w:tc>
          <w:tcPr>
            <w:tcW w:w="5000" w:type="pct"/>
          </w:tcPr>
          <w:p w14:paraId="2196FB77" w14:textId="4F96484B" w:rsidR="00760EF4" w:rsidRPr="009A3E00" w:rsidRDefault="00760EF4" w:rsidP="00113F71">
            <w:pPr>
              <w:pStyle w:val="TableTextBullet9pt"/>
            </w:pPr>
            <w:r w:rsidRPr="009A3E00">
              <w:t xml:space="preserve">Australian Border Force Partnership </w:t>
            </w:r>
          </w:p>
        </w:tc>
      </w:tr>
      <w:tr w:rsidR="00760EF4" w:rsidRPr="009A3E00" w14:paraId="43F570BC" w14:textId="77777777" w:rsidTr="002E539B">
        <w:tc>
          <w:tcPr>
            <w:tcW w:w="5000" w:type="pct"/>
            <w:shd w:val="clear" w:color="auto" w:fill="F2F2F2" w:themeFill="background1" w:themeFillShade="F2"/>
          </w:tcPr>
          <w:p w14:paraId="1C996647" w14:textId="77777777" w:rsidR="00760EF4" w:rsidRPr="00113F71" w:rsidRDefault="00760EF4" w:rsidP="00113F71">
            <w:pPr>
              <w:pStyle w:val="TableTextBullet9pt"/>
              <w:rPr>
                <w:rStyle w:val="Strong"/>
              </w:rPr>
            </w:pPr>
            <w:r w:rsidRPr="00113F71">
              <w:rPr>
                <w:rStyle w:val="Strong"/>
              </w:rPr>
              <w:t>Organisational</w:t>
            </w:r>
          </w:p>
        </w:tc>
      </w:tr>
      <w:tr w:rsidR="00760EF4" w:rsidRPr="009A3E00" w14:paraId="0D910CF9" w14:textId="77777777" w:rsidTr="002E539B">
        <w:trPr>
          <w:trHeight w:val="213"/>
        </w:trPr>
        <w:tc>
          <w:tcPr>
            <w:tcW w:w="5000" w:type="pct"/>
          </w:tcPr>
          <w:p w14:paraId="2CD54A53" w14:textId="5E7989C8" w:rsidR="00760EF4" w:rsidRPr="00D557A7" w:rsidRDefault="00760EF4" w:rsidP="00D557A7">
            <w:pPr>
              <w:pStyle w:val="TableTextBullet9pt"/>
            </w:pPr>
            <w:r w:rsidRPr="00D557A7">
              <w:t>Legal Services (incl. legal interventions)</w:t>
            </w:r>
          </w:p>
        </w:tc>
      </w:tr>
      <w:tr w:rsidR="00FB4F2C" w:rsidRPr="009A3E00" w14:paraId="7AA36C13" w14:textId="77777777" w:rsidTr="002E539B">
        <w:trPr>
          <w:trHeight w:val="398"/>
        </w:trPr>
        <w:tc>
          <w:tcPr>
            <w:tcW w:w="5000" w:type="pct"/>
          </w:tcPr>
          <w:p w14:paraId="4356F936" w14:textId="77777777" w:rsidR="00FB4F2C" w:rsidRPr="009A3E00" w:rsidRDefault="00FB4F2C" w:rsidP="00113F71">
            <w:pPr>
              <w:pStyle w:val="TableTextBullet9pt"/>
            </w:pPr>
            <w:r w:rsidRPr="009A3E00">
              <w:t>Public Engagement (including communications, media, digital engagement, major events and launches)</w:t>
            </w:r>
          </w:p>
        </w:tc>
      </w:tr>
    </w:tbl>
    <w:p w14:paraId="2A44C39C" w14:textId="1A5FC84A" w:rsidR="00436DED" w:rsidRPr="007450C3" w:rsidRDefault="00436DED" w:rsidP="00B03D74">
      <w:pPr>
        <w:pStyle w:val="Heading2"/>
        <w:numPr>
          <w:ilvl w:val="0"/>
          <w:numId w:val="0"/>
        </w:numPr>
      </w:pPr>
      <w:bookmarkStart w:id="67" w:name="mdheading-doc-70"/>
      <w:bookmarkStart w:id="68" w:name="_Toc146437069"/>
      <w:bookmarkEnd w:id="67"/>
      <w:r w:rsidRPr="1A89931A">
        <w:t>Appendix 5</w:t>
      </w:r>
      <w:bookmarkStart w:id="69" w:name="mdheading-592"/>
      <w:bookmarkEnd w:id="69"/>
      <w:r w:rsidRPr="1A89931A">
        <w:t>: Major events, reports, publications and resources</w:t>
      </w:r>
      <w:bookmarkEnd w:id="68"/>
    </w:p>
    <w:tbl>
      <w:tblPr>
        <w:tblStyle w:val="TableGrid"/>
        <w:tblW w:w="5000" w:type="pct"/>
        <w:tblBorders>
          <w:left w:val="none" w:sz="0" w:space="0" w:color="auto"/>
          <w:right w:val="none" w:sz="0" w:space="0" w:color="auto"/>
          <w:insideV w:val="none" w:sz="0" w:space="0" w:color="auto"/>
        </w:tblBorders>
        <w:tblLook w:val="0600" w:firstRow="0" w:lastRow="0" w:firstColumn="0" w:lastColumn="0" w:noHBand="1" w:noVBand="1"/>
      </w:tblPr>
      <w:tblGrid>
        <w:gridCol w:w="2692"/>
        <w:gridCol w:w="7277"/>
      </w:tblGrid>
      <w:tr w:rsidR="00436DED" w14:paraId="2F41B82C" w14:textId="77777777" w:rsidTr="00EC7DDD">
        <w:tc>
          <w:tcPr>
            <w:tcW w:w="1350" w:type="pct"/>
            <w:vMerge w:val="restart"/>
          </w:tcPr>
          <w:p w14:paraId="2B10F9E9" w14:textId="77777777" w:rsidR="00436DED" w:rsidRPr="00113F71" w:rsidRDefault="00436DED" w:rsidP="00113F71">
            <w:pPr>
              <w:pStyle w:val="TableHeading"/>
            </w:pPr>
            <w:r w:rsidRPr="00113F71">
              <w:t>Aboriginal and Torres Strait Islander Social Justice</w:t>
            </w:r>
          </w:p>
        </w:tc>
        <w:tc>
          <w:tcPr>
            <w:tcW w:w="3650" w:type="pct"/>
          </w:tcPr>
          <w:p w14:paraId="45502900" w14:textId="77777777" w:rsidR="00436DED" w:rsidRPr="00113F71" w:rsidRDefault="00436DED" w:rsidP="00113F71">
            <w:pPr>
              <w:pStyle w:val="TableTextBullet9pt"/>
            </w:pPr>
            <w:r w:rsidRPr="00113F71">
              <w:t>Wiyi Yani U Thangani First Nations women’s safety policy forum</w:t>
            </w:r>
          </w:p>
        </w:tc>
      </w:tr>
      <w:tr w:rsidR="00436DED" w14:paraId="593B0BC0" w14:textId="77777777" w:rsidTr="00EC7DDD">
        <w:tc>
          <w:tcPr>
            <w:tcW w:w="1350" w:type="pct"/>
            <w:vMerge/>
          </w:tcPr>
          <w:p w14:paraId="07433B4B" w14:textId="77777777" w:rsidR="00436DED" w:rsidRPr="00113F71" w:rsidRDefault="00436DED" w:rsidP="00113F71">
            <w:pPr>
              <w:pStyle w:val="TableHeading"/>
            </w:pPr>
          </w:p>
        </w:tc>
        <w:tc>
          <w:tcPr>
            <w:tcW w:w="3650" w:type="pct"/>
          </w:tcPr>
          <w:p w14:paraId="39464E6A" w14:textId="689393A2" w:rsidR="00436DED" w:rsidRPr="00113F71" w:rsidRDefault="00436DED" w:rsidP="00113F71">
            <w:pPr>
              <w:pStyle w:val="TableTextBullet9pt"/>
            </w:pPr>
            <w:r w:rsidRPr="00113F71">
              <w:t xml:space="preserve">Wiyi Yani U Thangani First Nations </w:t>
            </w:r>
            <w:r w:rsidR="00D767BA" w:rsidRPr="00113F71">
              <w:t>Women’s S</w:t>
            </w:r>
            <w:r w:rsidRPr="00113F71">
              <w:t xml:space="preserve">afety </w:t>
            </w:r>
            <w:r w:rsidR="0002049A" w:rsidRPr="00113F71">
              <w:t>Policy F</w:t>
            </w:r>
            <w:r w:rsidRPr="00113F71">
              <w:t xml:space="preserve">orum </w:t>
            </w:r>
            <w:r w:rsidR="0002049A" w:rsidRPr="00113F71">
              <w:t>O</w:t>
            </w:r>
            <w:r w:rsidRPr="00113F71">
              <w:t xml:space="preserve">utcomes </w:t>
            </w:r>
            <w:r w:rsidR="0002049A" w:rsidRPr="00113F71">
              <w:t>R</w:t>
            </w:r>
            <w:r w:rsidRPr="00113F71">
              <w:t>eport 2022</w:t>
            </w:r>
          </w:p>
        </w:tc>
      </w:tr>
      <w:tr w:rsidR="00436DED" w14:paraId="63C98D7E" w14:textId="77777777" w:rsidTr="00EC7DDD">
        <w:tc>
          <w:tcPr>
            <w:tcW w:w="1350" w:type="pct"/>
            <w:vMerge/>
          </w:tcPr>
          <w:p w14:paraId="493EBD62" w14:textId="77777777" w:rsidR="00436DED" w:rsidRPr="00113F71" w:rsidRDefault="00436DED" w:rsidP="00113F71">
            <w:pPr>
              <w:pStyle w:val="TableHeading"/>
            </w:pPr>
          </w:p>
        </w:tc>
        <w:tc>
          <w:tcPr>
            <w:tcW w:w="3650" w:type="pct"/>
          </w:tcPr>
          <w:p w14:paraId="06F44361" w14:textId="6C409DAB" w:rsidR="00436DED" w:rsidRPr="00113F71" w:rsidRDefault="00436DED" w:rsidP="00113F71">
            <w:pPr>
              <w:pStyle w:val="TableTextBullet9pt"/>
            </w:pPr>
            <w:r w:rsidRPr="00113F71">
              <w:t>Wiyi Yani U Thangani, Women</w:t>
            </w:r>
            <w:r w:rsidR="00443477" w:rsidRPr="00113F71">
              <w:t>’</w:t>
            </w:r>
            <w:r w:rsidRPr="00113F71">
              <w:t xml:space="preserve">s and Girls Voices Summit, 2023 </w:t>
            </w:r>
          </w:p>
        </w:tc>
      </w:tr>
      <w:tr w:rsidR="00436DED" w14:paraId="069B1559" w14:textId="77777777" w:rsidTr="00EC7DDD">
        <w:tc>
          <w:tcPr>
            <w:tcW w:w="1350" w:type="pct"/>
            <w:vMerge/>
          </w:tcPr>
          <w:p w14:paraId="46460FE3" w14:textId="77777777" w:rsidR="00436DED" w:rsidRPr="00113F71" w:rsidRDefault="00436DED" w:rsidP="00113F71">
            <w:pPr>
              <w:pStyle w:val="TableHeading"/>
            </w:pPr>
          </w:p>
        </w:tc>
        <w:tc>
          <w:tcPr>
            <w:tcW w:w="3650" w:type="pct"/>
          </w:tcPr>
          <w:p w14:paraId="08DC4DA3" w14:textId="153D7D87" w:rsidR="00436DED" w:rsidRPr="00113F71" w:rsidRDefault="00436DED" w:rsidP="00113F71">
            <w:pPr>
              <w:pStyle w:val="TableTextBullet9pt"/>
            </w:pPr>
            <w:r w:rsidRPr="00113F71">
              <w:t>Wiyi Yani U Thangani Summit Communiqu</w:t>
            </w:r>
            <w:r w:rsidR="00443477" w:rsidRPr="00113F71">
              <w:t>é</w:t>
            </w:r>
            <w:r w:rsidRPr="00113F71">
              <w:t xml:space="preserve">, 2023 </w:t>
            </w:r>
          </w:p>
        </w:tc>
      </w:tr>
      <w:tr w:rsidR="00436DED" w14:paraId="5CDFD84C" w14:textId="77777777" w:rsidTr="00EC7DDD">
        <w:tc>
          <w:tcPr>
            <w:tcW w:w="1350" w:type="pct"/>
            <w:vMerge/>
          </w:tcPr>
          <w:p w14:paraId="068EB47A" w14:textId="77777777" w:rsidR="00436DED" w:rsidRPr="00113F71" w:rsidRDefault="00436DED" w:rsidP="00113F71">
            <w:pPr>
              <w:pStyle w:val="TableHeading"/>
            </w:pPr>
          </w:p>
        </w:tc>
        <w:tc>
          <w:tcPr>
            <w:tcW w:w="3650" w:type="pct"/>
          </w:tcPr>
          <w:p w14:paraId="2BAE6831" w14:textId="77777777" w:rsidR="00436DED" w:rsidRPr="00113F71" w:rsidRDefault="00436DED" w:rsidP="00113F71">
            <w:pPr>
              <w:pStyle w:val="TableTextBullet9pt"/>
            </w:pPr>
            <w:r w:rsidRPr="00113F71">
              <w:t>Wiyi Yani U Thangani Youth Statement, 2023</w:t>
            </w:r>
          </w:p>
        </w:tc>
      </w:tr>
      <w:tr w:rsidR="00910D53" w14:paraId="5819D192" w14:textId="77777777" w:rsidTr="00EC7DDD">
        <w:tc>
          <w:tcPr>
            <w:tcW w:w="1350" w:type="pct"/>
            <w:vMerge w:val="restart"/>
          </w:tcPr>
          <w:p w14:paraId="1279B3CE" w14:textId="77777777" w:rsidR="00910D53" w:rsidRPr="00113F71" w:rsidRDefault="00910D53" w:rsidP="00113F71">
            <w:pPr>
              <w:pStyle w:val="TableHeading"/>
            </w:pPr>
            <w:r w:rsidRPr="00113F71">
              <w:t>Age</w:t>
            </w:r>
          </w:p>
        </w:tc>
        <w:tc>
          <w:tcPr>
            <w:tcW w:w="3650" w:type="pct"/>
          </w:tcPr>
          <w:p w14:paraId="61F3914B" w14:textId="77777777" w:rsidR="00910D53" w:rsidRPr="00113F71" w:rsidRDefault="00910D53" w:rsidP="00113F71">
            <w:pPr>
              <w:pStyle w:val="TableTextBullet9pt"/>
            </w:pPr>
            <w:r w:rsidRPr="00113F71">
              <w:t xml:space="preserve">Elder Abuse Awareness Video Campaign and Launch, 2022 </w:t>
            </w:r>
          </w:p>
        </w:tc>
      </w:tr>
      <w:tr w:rsidR="00910D53" w14:paraId="27A9A49B" w14:textId="77777777" w:rsidTr="00EC7DDD">
        <w:tc>
          <w:tcPr>
            <w:tcW w:w="1350" w:type="pct"/>
            <w:vMerge/>
          </w:tcPr>
          <w:p w14:paraId="7189BA62" w14:textId="77777777" w:rsidR="00910D53" w:rsidRPr="00113F71" w:rsidRDefault="00910D53" w:rsidP="00113F71">
            <w:pPr>
              <w:pStyle w:val="TableHeading"/>
            </w:pPr>
          </w:p>
        </w:tc>
        <w:tc>
          <w:tcPr>
            <w:tcW w:w="3650" w:type="pct"/>
          </w:tcPr>
          <w:p w14:paraId="4BC03477" w14:textId="77777777" w:rsidR="00910D53" w:rsidRPr="00113F71" w:rsidRDefault="00910D53" w:rsidP="00113F71">
            <w:pPr>
              <w:pStyle w:val="TableTextBullet9pt"/>
            </w:pPr>
            <w:r w:rsidRPr="00113F71">
              <w:t xml:space="preserve">Employing and Retaining Older Workers Report, 2023 </w:t>
            </w:r>
          </w:p>
        </w:tc>
      </w:tr>
      <w:tr w:rsidR="00910D53" w14:paraId="2AFA7A67" w14:textId="77777777" w:rsidTr="00EC7DDD">
        <w:tc>
          <w:tcPr>
            <w:tcW w:w="1350" w:type="pct"/>
            <w:vMerge/>
          </w:tcPr>
          <w:p w14:paraId="321C8CF3" w14:textId="77777777" w:rsidR="00910D53" w:rsidRPr="00113F71" w:rsidRDefault="00910D53" w:rsidP="00113F71">
            <w:pPr>
              <w:pStyle w:val="TableHeading"/>
            </w:pPr>
          </w:p>
        </w:tc>
        <w:tc>
          <w:tcPr>
            <w:tcW w:w="3650" w:type="pct"/>
          </w:tcPr>
          <w:p w14:paraId="0C581A6D" w14:textId="77777777" w:rsidR="00910D53" w:rsidRPr="00113F71" w:rsidRDefault="00910D53" w:rsidP="00113F71">
            <w:pPr>
              <w:pStyle w:val="TableTextBullet9pt"/>
            </w:pPr>
            <w:r w:rsidRPr="00113F71">
              <w:t xml:space="preserve">Changing perspectives: Testing and aging intervention </w:t>
            </w:r>
          </w:p>
        </w:tc>
      </w:tr>
      <w:tr w:rsidR="00910D53" w14:paraId="1432A926" w14:textId="77777777" w:rsidTr="00EC7DDD">
        <w:tc>
          <w:tcPr>
            <w:tcW w:w="1350" w:type="pct"/>
            <w:vMerge/>
          </w:tcPr>
          <w:p w14:paraId="66367ABC" w14:textId="77777777" w:rsidR="00910D53" w:rsidRPr="00113F71" w:rsidRDefault="00910D53" w:rsidP="00113F71">
            <w:pPr>
              <w:pStyle w:val="TableHeading"/>
            </w:pPr>
          </w:p>
        </w:tc>
        <w:tc>
          <w:tcPr>
            <w:tcW w:w="3650" w:type="pct"/>
          </w:tcPr>
          <w:p w14:paraId="530F7CC6" w14:textId="73056800" w:rsidR="00910D53" w:rsidRPr="00113F71" w:rsidRDefault="00910D53" w:rsidP="00113F71">
            <w:pPr>
              <w:pStyle w:val="TableTextBullet9pt"/>
            </w:pPr>
            <w:r w:rsidRPr="00113F71">
              <w:t>Talking About My Generation, 2023</w:t>
            </w:r>
          </w:p>
        </w:tc>
      </w:tr>
      <w:tr w:rsidR="00910D53" w14:paraId="236CBBCA" w14:textId="77777777" w:rsidTr="00EC7DDD">
        <w:tc>
          <w:tcPr>
            <w:tcW w:w="1350" w:type="pct"/>
            <w:vMerge/>
          </w:tcPr>
          <w:p w14:paraId="768FDBE3" w14:textId="77777777" w:rsidR="00910D53" w:rsidRPr="00113F71" w:rsidRDefault="00910D53" w:rsidP="00113F71">
            <w:pPr>
              <w:pStyle w:val="TableHeading"/>
            </w:pPr>
          </w:p>
        </w:tc>
        <w:tc>
          <w:tcPr>
            <w:tcW w:w="3650" w:type="pct"/>
          </w:tcPr>
          <w:p w14:paraId="07F37F71" w14:textId="27153893" w:rsidR="00910D53" w:rsidRPr="00113F71" w:rsidRDefault="00910D53" w:rsidP="00113F71">
            <w:pPr>
              <w:pStyle w:val="TableTextBullet9pt"/>
            </w:pPr>
            <w:r w:rsidRPr="00113F71">
              <w:t xml:space="preserve">Have you thought about later life? Campaign and education resources </w:t>
            </w:r>
          </w:p>
        </w:tc>
      </w:tr>
      <w:tr w:rsidR="00436DED" w14:paraId="7722D4E0" w14:textId="77777777" w:rsidTr="00EC7DDD">
        <w:tc>
          <w:tcPr>
            <w:tcW w:w="1350" w:type="pct"/>
            <w:vMerge w:val="restart"/>
          </w:tcPr>
          <w:p w14:paraId="1D6CEE88" w14:textId="3173BE8A" w:rsidR="00436DED" w:rsidRPr="00113F71" w:rsidRDefault="00436DED" w:rsidP="00113F71">
            <w:pPr>
              <w:pStyle w:val="TableHeading"/>
            </w:pPr>
            <w:r w:rsidRPr="00113F71">
              <w:t xml:space="preserve">Human </w:t>
            </w:r>
            <w:r w:rsidR="00C94485" w:rsidRPr="00113F71">
              <w:t xml:space="preserve">Rights </w:t>
            </w:r>
            <w:r w:rsidRPr="00113F71">
              <w:t xml:space="preserve">Reports </w:t>
            </w:r>
          </w:p>
        </w:tc>
        <w:tc>
          <w:tcPr>
            <w:tcW w:w="3650" w:type="pct"/>
          </w:tcPr>
          <w:p w14:paraId="77078915" w14:textId="77777777" w:rsidR="00436DED" w:rsidRPr="00113F71" w:rsidRDefault="00436DED" w:rsidP="00113F71">
            <w:pPr>
              <w:pStyle w:val="TableTextBullet9pt"/>
            </w:pPr>
            <w:r w:rsidRPr="00113F71">
              <w:t xml:space="preserve">Mr Vakhabov v Commonwealth of Australia (Department of Home Affairs), 2022 </w:t>
            </w:r>
          </w:p>
        </w:tc>
      </w:tr>
      <w:tr w:rsidR="00436DED" w14:paraId="11192201" w14:textId="77777777" w:rsidTr="00EC7DDD">
        <w:tc>
          <w:tcPr>
            <w:tcW w:w="1350" w:type="pct"/>
            <w:vMerge/>
          </w:tcPr>
          <w:p w14:paraId="0E4D8519" w14:textId="77777777" w:rsidR="00436DED" w:rsidRPr="00113F71" w:rsidRDefault="00436DED" w:rsidP="00113F71">
            <w:pPr>
              <w:pStyle w:val="TableHeading"/>
            </w:pPr>
          </w:p>
        </w:tc>
        <w:tc>
          <w:tcPr>
            <w:tcW w:w="3650" w:type="pct"/>
          </w:tcPr>
          <w:p w14:paraId="4EF7BCF7" w14:textId="77777777" w:rsidR="00436DED" w:rsidRPr="00113F71" w:rsidRDefault="00436DED" w:rsidP="00113F71">
            <w:pPr>
              <w:pStyle w:val="TableTextBullet9pt"/>
            </w:pPr>
            <w:r w:rsidRPr="00113F71">
              <w:t xml:space="preserve">Ms RC v Commonwealth (Department of Home Affairs), 2022 </w:t>
            </w:r>
          </w:p>
        </w:tc>
      </w:tr>
      <w:tr w:rsidR="00436DED" w14:paraId="225F76F9" w14:textId="77777777" w:rsidTr="00EC7DDD">
        <w:tc>
          <w:tcPr>
            <w:tcW w:w="1350" w:type="pct"/>
            <w:vMerge/>
          </w:tcPr>
          <w:p w14:paraId="0C3A44C7" w14:textId="77777777" w:rsidR="00436DED" w:rsidRPr="00113F71" w:rsidRDefault="00436DED" w:rsidP="00113F71">
            <w:pPr>
              <w:pStyle w:val="TableHeading"/>
            </w:pPr>
          </w:p>
        </w:tc>
        <w:tc>
          <w:tcPr>
            <w:tcW w:w="3650" w:type="pct"/>
          </w:tcPr>
          <w:p w14:paraId="326D338D" w14:textId="77777777" w:rsidR="00436DED" w:rsidRPr="00113F71" w:rsidRDefault="00436DED" w:rsidP="00113F71">
            <w:pPr>
              <w:pStyle w:val="TableTextBullet9pt"/>
            </w:pPr>
            <w:r w:rsidRPr="00113F71">
              <w:t xml:space="preserve">Mr Andrwas v The Commonwealth of Australia (Department of Home Affairs), 2023 </w:t>
            </w:r>
          </w:p>
        </w:tc>
      </w:tr>
      <w:tr w:rsidR="00436DED" w14:paraId="2AB8E7E8" w14:textId="77777777" w:rsidTr="00EC7DDD">
        <w:tc>
          <w:tcPr>
            <w:tcW w:w="1350" w:type="pct"/>
            <w:vMerge w:val="restart"/>
          </w:tcPr>
          <w:p w14:paraId="436404A0" w14:textId="77777777" w:rsidR="00436DED" w:rsidRPr="00113F71" w:rsidRDefault="00436DED" w:rsidP="00113F71">
            <w:pPr>
              <w:pStyle w:val="TableHeading"/>
            </w:pPr>
            <w:r w:rsidRPr="00113F71">
              <w:t>Business and Human Rights</w:t>
            </w:r>
          </w:p>
        </w:tc>
        <w:tc>
          <w:tcPr>
            <w:tcW w:w="3650" w:type="pct"/>
          </w:tcPr>
          <w:p w14:paraId="6F12439E" w14:textId="40617565" w:rsidR="00436DED" w:rsidRPr="00113F71" w:rsidRDefault="00436DED" w:rsidP="00113F71">
            <w:pPr>
              <w:pStyle w:val="TableTextBullet9pt"/>
            </w:pPr>
            <w:r w:rsidRPr="00113F71">
              <w:t xml:space="preserve">Migrant </w:t>
            </w:r>
            <w:r w:rsidR="00CC67EE" w:rsidRPr="00113F71">
              <w:t xml:space="preserve">Workers </w:t>
            </w:r>
            <w:r w:rsidRPr="00113F71">
              <w:t xml:space="preserve">and </w:t>
            </w:r>
            <w:r w:rsidR="001D1C6A" w:rsidRPr="00113F71">
              <w:t>T</w:t>
            </w:r>
            <w:r w:rsidRPr="00113F71">
              <w:t xml:space="preserve">heir </w:t>
            </w:r>
            <w:r w:rsidR="001D1C6A" w:rsidRPr="00113F71">
              <w:t>R</w:t>
            </w:r>
            <w:r w:rsidRPr="00113F71">
              <w:t xml:space="preserve">ights in Australia 2022 </w:t>
            </w:r>
          </w:p>
        </w:tc>
      </w:tr>
      <w:tr w:rsidR="00436DED" w14:paraId="4B24A4F3" w14:textId="77777777" w:rsidTr="00EC7DDD">
        <w:tc>
          <w:tcPr>
            <w:tcW w:w="1350" w:type="pct"/>
            <w:vMerge/>
          </w:tcPr>
          <w:p w14:paraId="12A56B27" w14:textId="77777777" w:rsidR="00436DED" w:rsidRPr="00113F71" w:rsidRDefault="00436DED" w:rsidP="00113F71">
            <w:pPr>
              <w:pStyle w:val="TableHeading"/>
            </w:pPr>
          </w:p>
        </w:tc>
        <w:tc>
          <w:tcPr>
            <w:tcW w:w="3650" w:type="pct"/>
          </w:tcPr>
          <w:p w14:paraId="6F0C6FA9" w14:textId="77777777" w:rsidR="00436DED" w:rsidRPr="00113F71" w:rsidRDefault="00436DED" w:rsidP="00113F71">
            <w:pPr>
              <w:pStyle w:val="TableTextBullet9pt"/>
            </w:pPr>
            <w:r w:rsidRPr="00113F71">
              <w:t xml:space="preserve">Modern Slavery Review consultations </w:t>
            </w:r>
          </w:p>
        </w:tc>
      </w:tr>
      <w:tr w:rsidR="00436DED" w14:paraId="11DE8A05" w14:textId="77777777" w:rsidTr="00EC7DDD">
        <w:tc>
          <w:tcPr>
            <w:tcW w:w="1350" w:type="pct"/>
            <w:vMerge/>
          </w:tcPr>
          <w:p w14:paraId="57D8D02C" w14:textId="77777777" w:rsidR="00436DED" w:rsidRPr="00113F71" w:rsidRDefault="00436DED" w:rsidP="00113F71">
            <w:pPr>
              <w:pStyle w:val="TableHeading"/>
            </w:pPr>
          </w:p>
        </w:tc>
        <w:tc>
          <w:tcPr>
            <w:tcW w:w="3650" w:type="pct"/>
          </w:tcPr>
          <w:p w14:paraId="33B71648" w14:textId="75E1858B" w:rsidR="00436DED" w:rsidRPr="00113F71" w:rsidRDefault="00436DED" w:rsidP="00113F71">
            <w:pPr>
              <w:pStyle w:val="TableTextBullet9pt"/>
            </w:pPr>
            <w:r w:rsidRPr="00113F71">
              <w:t xml:space="preserve">Responsible </w:t>
            </w:r>
            <w:r w:rsidR="007B020E" w:rsidRPr="00113F71">
              <w:t>B</w:t>
            </w:r>
            <w:r w:rsidRPr="00113F71">
              <w:t xml:space="preserve">usiness </w:t>
            </w:r>
            <w:r w:rsidR="007B020E" w:rsidRPr="00113F71">
              <w:t>C</w:t>
            </w:r>
            <w:r w:rsidRPr="00113F71">
              <w:t xml:space="preserve">onduct and the </w:t>
            </w:r>
            <w:r w:rsidR="007B020E" w:rsidRPr="00113F71">
              <w:t>T</w:t>
            </w:r>
            <w:r w:rsidRPr="00113F71">
              <w:t xml:space="preserve">ourism </w:t>
            </w:r>
            <w:r w:rsidR="007B020E" w:rsidRPr="00113F71">
              <w:t>I</w:t>
            </w:r>
            <w:r w:rsidRPr="00113F71">
              <w:t xml:space="preserve">ndustry in Vietnam: Guidance for </w:t>
            </w:r>
            <w:r w:rsidR="007B020E" w:rsidRPr="00113F71">
              <w:t>C</w:t>
            </w:r>
            <w:r w:rsidRPr="00113F71">
              <w:t>ompanies, 2022</w:t>
            </w:r>
          </w:p>
        </w:tc>
      </w:tr>
      <w:tr w:rsidR="00436DED" w14:paraId="77DE5CB1" w14:textId="77777777" w:rsidTr="00EC7DDD">
        <w:tc>
          <w:tcPr>
            <w:tcW w:w="1350" w:type="pct"/>
          </w:tcPr>
          <w:p w14:paraId="2161AEB2" w14:textId="77777777" w:rsidR="00436DED" w:rsidRPr="00113F71" w:rsidRDefault="00436DED" w:rsidP="00113F71">
            <w:pPr>
              <w:pStyle w:val="TableHeading"/>
            </w:pPr>
            <w:r w:rsidRPr="00113F71">
              <w:t>Technology and Human Rights</w:t>
            </w:r>
          </w:p>
        </w:tc>
        <w:tc>
          <w:tcPr>
            <w:tcW w:w="3650" w:type="pct"/>
          </w:tcPr>
          <w:p w14:paraId="3B77A414" w14:textId="7C18DEE8" w:rsidR="00436DED" w:rsidRPr="00113F71" w:rsidRDefault="00436DED" w:rsidP="00113F71">
            <w:pPr>
              <w:pStyle w:val="TableTextBullet9pt"/>
            </w:pPr>
            <w:r w:rsidRPr="00113F71">
              <w:t xml:space="preserve">Guidance Resource: Artificial </w:t>
            </w:r>
            <w:r w:rsidR="007B020E" w:rsidRPr="00113F71">
              <w:t>I</w:t>
            </w:r>
            <w:r w:rsidRPr="00113F71">
              <w:t xml:space="preserve">ntelligence and </w:t>
            </w:r>
            <w:r w:rsidR="009F6D7A" w:rsidRPr="00113F71">
              <w:t>Discrimination</w:t>
            </w:r>
            <w:r w:rsidRPr="00113F71">
              <w:t xml:space="preserve"> in </w:t>
            </w:r>
            <w:r w:rsidR="009F6D7A" w:rsidRPr="00113F71">
              <w:t>I</w:t>
            </w:r>
            <w:r w:rsidRPr="00113F71">
              <w:t xml:space="preserve">nsurance, 2022 </w:t>
            </w:r>
          </w:p>
        </w:tc>
      </w:tr>
      <w:tr w:rsidR="00436DED" w14:paraId="51BDB897" w14:textId="77777777" w:rsidTr="00EC7DDD">
        <w:tc>
          <w:tcPr>
            <w:tcW w:w="1350" w:type="pct"/>
          </w:tcPr>
          <w:p w14:paraId="2896F2CE" w14:textId="77777777" w:rsidR="00436DED" w:rsidRPr="00113F71" w:rsidRDefault="00436DED" w:rsidP="00113F71">
            <w:pPr>
              <w:pStyle w:val="TableHeading"/>
            </w:pPr>
            <w:r w:rsidRPr="00113F71">
              <w:t>Children</w:t>
            </w:r>
          </w:p>
        </w:tc>
        <w:tc>
          <w:tcPr>
            <w:tcW w:w="3650" w:type="pct"/>
          </w:tcPr>
          <w:p w14:paraId="41ED9018" w14:textId="4AE39C33" w:rsidR="00436DED" w:rsidRPr="00113F71" w:rsidRDefault="00436DED" w:rsidP="00113F71">
            <w:pPr>
              <w:pStyle w:val="TableTextBullet9pt"/>
            </w:pPr>
            <w:r w:rsidRPr="00113F71">
              <w:t xml:space="preserve">‘Mental health shapes my life’: COVID-19 &amp; </w:t>
            </w:r>
            <w:r w:rsidR="00235ABF" w:rsidRPr="00113F71">
              <w:t>K</w:t>
            </w:r>
            <w:r w:rsidRPr="00113F71">
              <w:t xml:space="preserve">ids’ </w:t>
            </w:r>
            <w:r w:rsidR="00235ABF" w:rsidRPr="00113F71">
              <w:t>W</w:t>
            </w:r>
            <w:r w:rsidRPr="00113F71">
              <w:t>ellbeing, 2022</w:t>
            </w:r>
          </w:p>
        </w:tc>
      </w:tr>
      <w:tr w:rsidR="00113F71" w14:paraId="0819156E" w14:textId="77777777" w:rsidTr="00EC7DDD">
        <w:tc>
          <w:tcPr>
            <w:tcW w:w="1350" w:type="pct"/>
            <w:vMerge w:val="restart"/>
          </w:tcPr>
          <w:p w14:paraId="765F6AD2" w14:textId="77777777" w:rsidR="00113F71" w:rsidRPr="00113F71" w:rsidRDefault="00113F71" w:rsidP="00113F71">
            <w:pPr>
              <w:pStyle w:val="TableHeading"/>
            </w:pPr>
            <w:r w:rsidRPr="00113F71">
              <w:t>Corporate</w:t>
            </w:r>
          </w:p>
        </w:tc>
        <w:tc>
          <w:tcPr>
            <w:tcW w:w="3650" w:type="pct"/>
          </w:tcPr>
          <w:p w14:paraId="4591DEB1" w14:textId="10E8676E" w:rsidR="00113F71" w:rsidRPr="00113F71" w:rsidRDefault="00113F71" w:rsidP="00113F71">
            <w:pPr>
              <w:pStyle w:val="TableTextBullet9pt"/>
            </w:pPr>
            <w:r w:rsidRPr="00113F71">
              <w:t xml:space="preserve">Corporate Plan 2022–23 </w:t>
            </w:r>
          </w:p>
        </w:tc>
      </w:tr>
      <w:tr w:rsidR="00113F71" w14:paraId="6BF263AA" w14:textId="77777777" w:rsidTr="00EC7DDD">
        <w:tc>
          <w:tcPr>
            <w:tcW w:w="1350" w:type="pct"/>
            <w:vMerge/>
          </w:tcPr>
          <w:p w14:paraId="4557CA5E" w14:textId="77777777" w:rsidR="00113F71" w:rsidRPr="00113F71" w:rsidRDefault="00113F71" w:rsidP="00113F71">
            <w:pPr>
              <w:pStyle w:val="TableHeading"/>
            </w:pPr>
          </w:p>
        </w:tc>
        <w:tc>
          <w:tcPr>
            <w:tcW w:w="3650" w:type="pct"/>
          </w:tcPr>
          <w:p w14:paraId="53FB54D5" w14:textId="0099A54F" w:rsidR="00113F71" w:rsidRPr="00113F71" w:rsidRDefault="00113F71" w:rsidP="00113F71">
            <w:pPr>
              <w:pStyle w:val="TableTextBullet9pt"/>
            </w:pPr>
            <w:r w:rsidRPr="00113F71">
              <w:t>Annual Report 2021–22</w:t>
            </w:r>
          </w:p>
        </w:tc>
      </w:tr>
      <w:tr w:rsidR="00113F71" w14:paraId="4081E124" w14:textId="77777777" w:rsidTr="00EC7DDD">
        <w:tc>
          <w:tcPr>
            <w:tcW w:w="1350" w:type="pct"/>
            <w:vMerge/>
          </w:tcPr>
          <w:p w14:paraId="4CE66D5D" w14:textId="77777777" w:rsidR="00113F71" w:rsidRPr="00113F71" w:rsidRDefault="00113F71" w:rsidP="00113F71">
            <w:pPr>
              <w:pStyle w:val="TableHeading"/>
            </w:pPr>
          </w:p>
        </w:tc>
        <w:tc>
          <w:tcPr>
            <w:tcW w:w="3650" w:type="pct"/>
          </w:tcPr>
          <w:p w14:paraId="3EFE6552" w14:textId="17525D07" w:rsidR="00113F71" w:rsidRPr="00113F71" w:rsidRDefault="00113F71" w:rsidP="00113F71">
            <w:pPr>
              <w:pStyle w:val="TableTextBullet9pt"/>
            </w:pPr>
            <w:r w:rsidRPr="00113F71">
              <w:t xml:space="preserve">Strategic Plan 2022–25 </w:t>
            </w:r>
          </w:p>
        </w:tc>
      </w:tr>
      <w:tr w:rsidR="00436DED" w14:paraId="7A4F7C9A" w14:textId="77777777" w:rsidTr="00EC7DDD">
        <w:tc>
          <w:tcPr>
            <w:tcW w:w="1350" w:type="pct"/>
            <w:vMerge w:val="restart"/>
          </w:tcPr>
          <w:p w14:paraId="51A70090" w14:textId="77777777" w:rsidR="00436DED" w:rsidRPr="00113F71" w:rsidRDefault="00436DED" w:rsidP="00113F71">
            <w:pPr>
              <w:pStyle w:val="TableHeading"/>
            </w:pPr>
            <w:r w:rsidRPr="00113F71">
              <w:t>Disability Rights</w:t>
            </w:r>
          </w:p>
        </w:tc>
        <w:tc>
          <w:tcPr>
            <w:tcW w:w="3650" w:type="pct"/>
          </w:tcPr>
          <w:p w14:paraId="0ECD7007" w14:textId="2EFE6614" w:rsidR="00436DED" w:rsidRPr="00113F71" w:rsidRDefault="00436DED" w:rsidP="00113F71">
            <w:pPr>
              <w:pStyle w:val="TableTextBullet9pt"/>
            </w:pPr>
            <w:r w:rsidRPr="00113F71">
              <w:t xml:space="preserve">Guidelines for the </w:t>
            </w:r>
            <w:r w:rsidR="00235ABF" w:rsidRPr="00113F71">
              <w:t>Targeted R</w:t>
            </w:r>
            <w:r w:rsidRPr="00113F71">
              <w:t xml:space="preserve">ecruitment of people with </w:t>
            </w:r>
            <w:r w:rsidR="00235ABF" w:rsidRPr="00113F71">
              <w:t>D</w:t>
            </w:r>
            <w:r w:rsidRPr="00113F71">
              <w:t xml:space="preserve">isability, 2022 </w:t>
            </w:r>
          </w:p>
        </w:tc>
      </w:tr>
      <w:tr w:rsidR="00436DED" w14:paraId="0377B582" w14:textId="77777777" w:rsidTr="00EC7DDD">
        <w:tc>
          <w:tcPr>
            <w:tcW w:w="1350" w:type="pct"/>
            <w:vMerge/>
          </w:tcPr>
          <w:p w14:paraId="566C2BC3" w14:textId="77777777" w:rsidR="00436DED" w:rsidRPr="00113F71" w:rsidRDefault="00436DED" w:rsidP="00113F71">
            <w:pPr>
              <w:pStyle w:val="TableHeading"/>
            </w:pPr>
          </w:p>
        </w:tc>
        <w:tc>
          <w:tcPr>
            <w:tcW w:w="3650" w:type="pct"/>
          </w:tcPr>
          <w:p w14:paraId="0ED7AF96" w14:textId="77777777" w:rsidR="00436DED" w:rsidRPr="00113F71" w:rsidRDefault="00436DED" w:rsidP="00113F71">
            <w:pPr>
              <w:pStyle w:val="TableTextBullet9pt"/>
            </w:pPr>
            <w:r w:rsidRPr="00113F71">
              <w:t xml:space="preserve">IncludeAbility Illawarra Disability Trust Employer Pilot Program Launch </w:t>
            </w:r>
          </w:p>
        </w:tc>
      </w:tr>
      <w:tr w:rsidR="00436DED" w14:paraId="2A11D16C" w14:textId="77777777" w:rsidTr="00EC7DDD">
        <w:tc>
          <w:tcPr>
            <w:tcW w:w="1350" w:type="pct"/>
            <w:vMerge/>
          </w:tcPr>
          <w:p w14:paraId="227AEF8E" w14:textId="77777777" w:rsidR="00436DED" w:rsidRPr="00113F71" w:rsidRDefault="00436DED" w:rsidP="00113F71">
            <w:pPr>
              <w:pStyle w:val="TableHeading"/>
            </w:pPr>
          </w:p>
        </w:tc>
        <w:tc>
          <w:tcPr>
            <w:tcW w:w="3650" w:type="pct"/>
          </w:tcPr>
          <w:p w14:paraId="6144DE52" w14:textId="77777777" w:rsidR="00436DED" w:rsidRPr="00113F71" w:rsidRDefault="00436DED" w:rsidP="00113F71">
            <w:pPr>
              <w:pStyle w:val="TableTextBullet9pt"/>
            </w:pPr>
            <w:r w:rsidRPr="00113F71">
              <w:t xml:space="preserve">IncludeAbility Senior Leadership Forum </w:t>
            </w:r>
          </w:p>
        </w:tc>
      </w:tr>
      <w:tr w:rsidR="00B03D74" w14:paraId="1D170E57" w14:textId="77777777" w:rsidTr="00EC7DDD">
        <w:tc>
          <w:tcPr>
            <w:tcW w:w="1350" w:type="pct"/>
            <w:vMerge w:val="restart"/>
          </w:tcPr>
          <w:p w14:paraId="3B6DCD05" w14:textId="3E389C6B" w:rsidR="00B03D74" w:rsidRPr="00113F71" w:rsidRDefault="00B03D74" w:rsidP="00113F71">
            <w:pPr>
              <w:pStyle w:val="TableHeading"/>
            </w:pPr>
            <w:r w:rsidRPr="00113F71">
              <w:t>Education and Training</w:t>
            </w:r>
          </w:p>
        </w:tc>
        <w:tc>
          <w:tcPr>
            <w:tcW w:w="3650" w:type="pct"/>
          </w:tcPr>
          <w:p w14:paraId="7E5EFCD9" w14:textId="3A51DCF7" w:rsidR="00B03D74" w:rsidRPr="00113F71" w:rsidRDefault="00B03D74" w:rsidP="00113F71">
            <w:pPr>
              <w:pStyle w:val="TableTextBullet9pt"/>
            </w:pPr>
            <w:r w:rsidRPr="00113F71">
              <w:t>Understanding Workplace Sexual Harassment e-learning update</w:t>
            </w:r>
          </w:p>
        </w:tc>
      </w:tr>
      <w:tr w:rsidR="00B03D74" w14:paraId="7DD8A531" w14:textId="77777777" w:rsidTr="00EC7DDD">
        <w:tc>
          <w:tcPr>
            <w:tcW w:w="1350" w:type="pct"/>
            <w:vMerge/>
          </w:tcPr>
          <w:p w14:paraId="5D11ADDC" w14:textId="77777777" w:rsidR="00B03D74" w:rsidRPr="00113F71" w:rsidRDefault="00B03D74" w:rsidP="00113F71">
            <w:pPr>
              <w:pStyle w:val="TableHeading"/>
            </w:pPr>
          </w:p>
        </w:tc>
        <w:tc>
          <w:tcPr>
            <w:tcW w:w="3650" w:type="pct"/>
          </w:tcPr>
          <w:p w14:paraId="0A47C18B" w14:textId="110C6F4A" w:rsidR="00B03D74" w:rsidRPr="00113F71" w:rsidRDefault="00B03D74" w:rsidP="00113F71">
            <w:pPr>
              <w:pStyle w:val="TableTextBullet9pt"/>
            </w:pPr>
            <w:r w:rsidRPr="00113F71">
              <w:t>Appropriate Workplace Behaviour</w:t>
            </w:r>
          </w:p>
        </w:tc>
      </w:tr>
      <w:tr w:rsidR="00B03D74" w14:paraId="2CD339F7" w14:textId="77777777" w:rsidTr="00EC7DDD">
        <w:tc>
          <w:tcPr>
            <w:tcW w:w="1350" w:type="pct"/>
            <w:vMerge/>
          </w:tcPr>
          <w:p w14:paraId="5B9C3944" w14:textId="77777777" w:rsidR="00B03D74" w:rsidRPr="00113F71" w:rsidRDefault="00B03D74" w:rsidP="00113F71">
            <w:pPr>
              <w:pStyle w:val="TableHeading"/>
            </w:pPr>
          </w:p>
        </w:tc>
        <w:tc>
          <w:tcPr>
            <w:tcW w:w="3650" w:type="pct"/>
          </w:tcPr>
          <w:p w14:paraId="134DDAE5" w14:textId="46D63CFF" w:rsidR="00B03D74" w:rsidRPr="00113F71" w:rsidRDefault="00B03D74" w:rsidP="00113F71">
            <w:pPr>
              <w:pStyle w:val="TableTextBullet9pt"/>
            </w:pPr>
            <w:r w:rsidRPr="00113F71">
              <w:t>National Anti-Racism Scoping Report Community Guide</w:t>
            </w:r>
          </w:p>
        </w:tc>
      </w:tr>
      <w:tr w:rsidR="00B03D74" w14:paraId="4908A840" w14:textId="77777777" w:rsidTr="00EC7DDD">
        <w:tc>
          <w:tcPr>
            <w:tcW w:w="1350" w:type="pct"/>
            <w:vMerge/>
          </w:tcPr>
          <w:p w14:paraId="3F9D996F" w14:textId="77777777" w:rsidR="00B03D74" w:rsidRPr="00113F71" w:rsidRDefault="00B03D74" w:rsidP="00113F71">
            <w:pPr>
              <w:pStyle w:val="TableHeading"/>
            </w:pPr>
          </w:p>
        </w:tc>
        <w:tc>
          <w:tcPr>
            <w:tcW w:w="3650" w:type="pct"/>
          </w:tcPr>
          <w:p w14:paraId="1C141224" w14:textId="77777777" w:rsidR="00B03D74" w:rsidRPr="00113F71" w:rsidRDefault="00B03D74" w:rsidP="00113F71">
            <w:pPr>
              <w:pStyle w:val="TableTextBullet9pt"/>
            </w:pPr>
            <w:r w:rsidRPr="00113F71">
              <w:t>2-page resource on A Human Rights Act for Australia</w:t>
            </w:r>
          </w:p>
        </w:tc>
      </w:tr>
      <w:tr w:rsidR="00B03D74" w14:paraId="200927DC" w14:textId="77777777" w:rsidTr="00EC7DDD">
        <w:tc>
          <w:tcPr>
            <w:tcW w:w="1350" w:type="pct"/>
            <w:vMerge/>
          </w:tcPr>
          <w:p w14:paraId="6C2B696D" w14:textId="77777777" w:rsidR="00B03D74" w:rsidRPr="00113F71" w:rsidRDefault="00B03D74" w:rsidP="00113F71">
            <w:pPr>
              <w:pStyle w:val="TableHeading"/>
            </w:pPr>
          </w:p>
        </w:tc>
        <w:tc>
          <w:tcPr>
            <w:tcW w:w="3650" w:type="pct"/>
          </w:tcPr>
          <w:p w14:paraId="5878740E" w14:textId="77777777" w:rsidR="00B03D74" w:rsidRPr="00113F71" w:rsidRDefault="00B03D74" w:rsidP="00113F71">
            <w:pPr>
              <w:pStyle w:val="TableTextBullet9pt"/>
            </w:pPr>
            <w:r w:rsidRPr="00113F71">
              <w:t>Let’s Talk About… clickview guides (Let’s Talk about Racism, Let’s talk about bodies, identity and sexuality, Let’s talk about disability, Let’s talk about equality and equity, Let’s talk about refugees, Let’s talk about education)</w:t>
            </w:r>
          </w:p>
        </w:tc>
      </w:tr>
      <w:tr w:rsidR="00910D53" w14:paraId="7AF9A40D" w14:textId="77777777" w:rsidTr="00EC7DDD">
        <w:tc>
          <w:tcPr>
            <w:tcW w:w="1350" w:type="pct"/>
            <w:vMerge w:val="restart"/>
          </w:tcPr>
          <w:p w14:paraId="1A4AF68B" w14:textId="77777777" w:rsidR="00910D53" w:rsidRPr="00113F71" w:rsidRDefault="00910D53" w:rsidP="00113F71">
            <w:pPr>
              <w:pStyle w:val="TableHeading"/>
            </w:pPr>
            <w:r w:rsidRPr="00113F71">
              <w:t>Human Rights</w:t>
            </w:r>
          </w:p>
        </w:tc>
        <w:tc>
          <w:tcPr>
            <w:tcW w:w="3650" w:type="pct"/>
          </w:tcPr>
          <w:p w14:paraId="48E1013F" w14:textId="77777777" w:rsidR="00910D53" w:rsidRPr="00113F71" w:rsidRDefault="00910D53" w:rsidP="00113F71">
            <w:pPr>
              <w:pStyle w:val="TableTextBullet9pt"/>
            </w:pPr>
            <w:r w:rsidRPr="00113F71">
              <w:t xml:space="preserve">A National Human Rights Act for Australia (report and launch), 2023 </w:t>
            </w:r>
          </w:p>
        </w:tc>
      </w:tr>
      <w:tr w:rsidR="00910D53" w14:paraId="1CCC582C" w14:textId="77777777" w:rsidTr="00EC7DDD">
        <w:tc>
          <w:tcPr>
            <w:tcW w:w="1350" w:type="pct"/>
            <w:vMerge/>
          </w:tcPr>
          <w:p w14:paraId="56178294" w14:textId="77777777" w:rsidR="00910D53" w:rsidRPr="00113F71" w:rsidRDefault="00910D53" w:rsidP="00113F71">
            <w:pPr>
              <w:pStyle w:val="TableHeading"/>
            </w:pPr>
          </w:p>
        </w:tc>
        <w:tc>
          <w:tcPr>
            <w:tcW w:w="3650" w:type="pct"/>
          </w:tcPr>
          <w:p w14:paraId="5EF94B58" w14:textId="77777777" w:rsidR="00910D53" w:rsidRPr="00113F71" w:rsidRDefault="00910D53" w:rsidP="00113F71">
            <w:pPr>
              <w:pStyle w:val="TableTextBullet9pt"/>
            </w:pPr>
            <w:r w:rsidRPr="00113F71">
              <w:t xml:space="preserve">National OPCAT Symposium, 2022 </w:t>
            </w:r>
          </w:p>
        </w:tc>
      </w:tr>
      <w:tr w:rsidR="00910D53" w14:paraId="59C59935" w14:textId="77777777" w:rsidTr="00EC7DDD">
        <w:tc>
          <w:tcPr>
            <w:tcW w:w="1350" w:type="pct"/>
            <w:vMerge/>
          </w:tcPr>
          <w:p w14:paraId="665F445B" w14:textId="77777777" w:rsidR="00910D53" w:rsidRPr="00113F71" w:rsidRDefault="00910D53" w:rsidP="00113F71">
            <w:pPr>
              <w:pStyle w:val="TableHeading"/>
            </w:pPr>
          </w:p>
        </w:tc>
        <w:tc>
          <w:tcPr>
            <w:tcW w:w="3650" w:type="pct"/>
          </w:tcPr>
          <w:p w14:paraId="6FCE55FC" w14:textId="77777777" w:rsidR="00910D53" w:rsidRPr="00113F71" w:rsidRDefault="00910D53" w:rsidP="00113F71">
            <w:pPr>
              <w:pStyle w:val="TableTextBullet9pt"/>
            </w:pPr>
            <w:r w:rsidRPr="00113F71">
              <w:t>Roadmap to OPCAT Compliance</w:t>
            </w:r>
          </w:p>
        </w:tc>
      </w:tr>
      <w:tr w:rsidR="00910D53" w14:paraId="3C5D9E04" w14:textId="77777777" w:rsidTr="00EC7DDD">
        <w:tc>
          <w:tcPr>
            <w:tcW w:w="1350" w:type="pct"/>
            <w:vMerge/>
          </w:tcPr>
          <w:p w14:paraId="0C937F6B" w14:textId="77777777" w:rsidR="00910D53" w:rsidRPr="00113F71" w:rsidRDefault="00910D53" w:rsidP="00113F71">
            <w:pPr>
              <w:pStyle w:val="TableHeading"/>
            </w:pPr>
          </w:p>
        </w:tc>
        <w:tc>
          <w:tcPr>
            <w:tcW w:w="3650" w:type="pct"/>
          </w:tcPr>
          <w:p w14:paraId="118BD456" w14:textId="77777777" w:rsidR="00910D53" w:rsidRPr="00113F71" w:rsidRDefault="00910D53" w:rsidP="00113F71">
            <w:pPr>
              <w:pStyle w:val="TableTextBullet9pt"/>
            </w:pPr>
            <w:r w:rsidRPr="00113F71">
              <w:t xml:space="preserve">Australian Human Rights Awards </w:t>
            </w:r>
          </w:p>
        </w:tc>
      </w:tr>
      <w:tr w:rsidR="00436DED" w14:paraId="5BA6CA30" w14:textId="77777777" w:rsidTr="00EC7DDD">
        <w:tc>
          <w:tcPr>
            <w:tcW w:w="1350" w:type="pct"/>
          </w:tcPr>
          <w:p w14:paraId="6E83D0D3" w14:textId="77777777" w:rsidR="00436DED" w:rsidRPr="00113F71" w:rsidRDefault="00436DED" w:rsidP="00113F71">
            <w:pPr>
              <w:pStyle w:val="TableHeading"/>
            </w:pPr>
            <w:r w:rsidRPr="00113F71">
              <w:t>Immigration Detention and Asylum Seekers</w:t>
            </w:r>
          </w:p>
        </w:tc>
        <w:tc>
          <w:tcPr>
            <w:tcW w:w="3650" w:type="pct"/>
          </w:tcPr>
          <w:p w14:paraId="51EF1288" w14:textId="77777777" w:rsidR="00436DED" w:rsidRPr="00113F71" w:rsidRDefault="00436DED" w:rsidP="00113F71">
            <w:pPr>
              <w:pStyle w:val="TableTextBullet9pt"/>
            </w:pPr>
            <w:r w:rsidRPr="00113F71">
              <w:t xml:space="preserve">The Use of Hotels as Alternative Places of Detention Report, 2023 </w:t>
            </w:r>
          </w:p>
        </w:tc>
      </w:tr>
      <w:tr w:rsidR="00436DED" w14:paraId="4B21FB36" w14:textId="77777777" w:rsidTr="00EC7DDD">
        <w:tc>
          <w:tcPr>
            <w:tcW w:w="1350" w:type="pct"/>
            <w:vMerge w:val="restart"/>
          </w:tcPr>
          <w:p w14:paraId="28A78B06" w14:textId="77777777" w:rsidR="00436DED" w:rsidRPr="00113F71" w:rsidRDefault="00436DED" w:rsidP="00113F71">
            <w:pPr>
              <w:pStyle w:val="TableHeading"/>
            </w:pPr>
            <w:r w:rsidRPr="00113F71">
              <w:t>Race</w:t>
            </w:r>
          </w:p>
        </w:tc>
        <w:tc>
          <w:tcPr>
            <w:tcW w:w="3650" w:type="pct"/>
          </w:tcPr>
          <w:p w14:paraId="3E8D3B1F" w14:textId="77777777" w:rsidR="00436DED" w:rsidRPr="00113F71" w:rsidRDefault="00436DED" w:rsidP="00113F71">
            <w:pPr>
              <w:pStyle w:val="TableTextBullet9pt"/>
            </w:pPr>
            <w:r w:rsidRPr="00113F71">
              <w:t xml:space="preserve">National Anti-Racism Framework Scoping Report, 2022 </w:t>
            </w:r>
          </w:p>
        </w:tc>
      </w:tr>
      <w:tr w:rsidR="00436DED" w14:paraId="08740599" w14:textId="77777777" w:rsidTr="00EC7DDD">
        <w:tc>
          <w:tcPr>
            <w:tcW w:w="1350" w:type="pct"/>
            <w:vMerge/>
          </w:tcPr>
          <w:p w14:paraId="71AF367B" w14:textId="77777777" w:rsidR="00436DED" w:rsidRPr="00113F71" w:rsidRDefault="00436DED" w:rsidP="00113F71">
            <w:pPr>
              <w:pStyle w:val="TableHeading"/>
            </w:pPr>
          </w:p>
        </w:tc>
        <w:tc>
          <w:tcPr>
            <w:tcW w:w="3650" w:type="pct"/>
          </w:tcPr>
          <w:p w14:paraId="69CA1427" w14:textId="77777777" w:rsidR="00436DED" w:rsidRPr="00113F71" w:rsidRDefault="00436DED" w:rsidP="00113F71">
            <w:pPr>
              <w:pStyle w:val="TableTextBullet9pt"/>
            </w:pPr>
            <w:r w:rsidRPr="00113F71">
              <w:t xml:space="preserve">Kep Enderby Memorial Lecture </w:t>
            </w:r>
          </w:p>
        </w:tc>
      </w:tr>
      <w:tr w:rsidR="00436DED" w14:paraId="2249C3D1" w14:textId="77777777" w:rsidTr="00EC7DDD">
        <w:tc>
          <w:tcPr>
            <w:tcW w:w="1350" w:type="pct"/>
            <w:vMerge/>
          </w:tcPr>
          <w:p w14:paraId="6607617F" w14:textId="77777777" w:rsidR="00436DED" w:rsidRPr="00113F71" w:rsidRDefault="00436DED" w:rsidP="00113F71">
            <w:pPr>
              <w:pStyle w:val="TableHeading"/>
            </w:pPr>
          </w:p>
        </w:tc>
        <w:tc>
          <w:tcPr>
            <w:tcW w:w="3650" w:type="pct"/>
          </w:tcPr>
          <w:p w14:paraId="443437B4" w14:textId="77777777" w:rsidR="00436DED" w:rsidRPr="00113F71" w:rsidRDefault="00436DED" w:rsidP="00113F71">
            <w:pPr>
              <w:pStyle w:val="TableTextBullet9pt"/>
            </w:pPr>
            <w:r w:rsidRPr="00113F71">
              <w:t xml:space="preserve">Fact Sheet – International Day for the Elimination of Racial Discrimination </w:t>
            </w:r>
          </w:p>
        </w:tc>
      </w:tr>
      <w:tr w:rsidR="00436DED" w14:paraId="1EEDCE93" w14:textId="77777777" w:rsidTr="00EC7DDD">
        <w:tc>
          <w:tcPr>
            <w:tcW w:w="1350" w:type="pct"/>
            <w:vMerge/>
          </w:tcPr>
          <w:p w14:paraId="02E9F116" w14:textId="77777777" w:rsidR="00436DED" w:rsidRPr="00113F71" w:rsidRDefault="00436DED" w:rsidP="00113F71">
            <w:pPr>
              <w:pStyle w:val="TableHeading"/>
            </w:pPr>
          </w:p>
        </w:tc>
        <w:tc>
          <w:tcPr>
            <w:tcW w:w="3650" w:type="pct"/>
          </w:tcPr>
          <w:p w14:paraId="63D28965" w14:textId="472F9072" w:rsidR="00436DED" w:rsidRPr="00113F71" w:rsidRDefault="00436DED" w:rsidP="00113F71">
            <w:pPr>
              <w:pStyle w:val="TableTextBullet9pt"/>
            </w:pPr>
            <w:r w:rsidRPr="00113F71">
              <w:rPr>
                <w:rStyle w:val="Emphasis"/>
              </w:rPr>
              <w:t xml:space="preserve">Racism. It Stops with </w:t>
            </w:r>
            <w:r w:rsidR="00A4568C" w:rsidRPr="00113F71">
              <w:rPr>
                <w:rStyle w:val="Emphasis"/>
              </w:rPr>
              <w:t>M</w:t>
            </w:r>
            <w:r w:rsidRPr="00113F71">
              <w:rPr>
                <w:rStyle w:val="Emphasis"/>
              </w:rPr>
              <w:t>e</w:t>
            </w:r>
            <w:r w:rsidRPr="00113F71">
              <w:t xml:space="preserve"> Campaign</w:t>
            </w:r>
            <w:r w:rsidR="002A3918" w:rsidRPr="00113F71">
              <w:t xml:space="preserve"> Refresh</w:t>
            </w:r>
          </w:p>
        </w:tc>
      </w:tr>
      <w:tr w:rsidR="00436DED" w14:paraId="0F6BC2FA" w14:textId="77777777" w:rsidTr="00EC7DDD">
        <w:tc>
          <w:tcPr>
            <w:tcW w:w="1350" w:type="pct"/>
            <w:vMerge w:val="restart"/>
          </w:tcPr>
          <w:p w14:paraId="241A9095" w14:textId="40E6E471" w:rsidR="00436DED" w:rsidRPr="00113F71" w:rsidRDefault="00436DED" w:rsidP="00113F71">
            <w:pPr>
              <w:pStyle w:val="TableHeading"/>
            </w:pPr>
            <w:r w:rsidRPr="00113F71">
              <w:t xml:space="preserve">Sex and </w:t>
            </w:r>
            <w:r w:rsidR="7EDD34A6" w:rsidRPr="00113F71">
              <w:t>G</w:t>
            </w:r>
            <w:r w:rsidRPr="00113F71">
              <w:t>ender</w:t>
            </w:r>
          </w:p>
        </w:tc>
        <w:tc>
          <w:tcPr>
            <w:tcW w:w="3650" w:type="pct"/>
          </w:tcPr>
          <w:p w14:paraId="2A2959EE" w14:textId="78E580B4" w:rsidR="00436DED" w:rsidRPr="00113F71" w:rsidRDefault="00436DED" w:rsidP="00113F71">
            <w:pPr>
              <w:pStyle w:val="TableTextBullet9pt"/>
            </w:pPr>
            <w:r w:rsidRPr="00113F71">
              <w:t xml:space="preserve">Time for </w:t>
            </w:r>
            <w:r w:rsidR="008842FD" w:rsidRPr="00113F71">
              <w:t>R</w:t>
            </w:r>
            <w:r w:rsidRPr="00113F71">
              <w:t xml:space="preserve">espect: Fifth </w:t>
            </w:r>
            <w:r w:rsidR="008842FD" w:rsidRPr="00113F71">
              <w:t>National S</w:t>
            </w:r>
            <w:r w:rsidRPr="00113F71">
              <w:t xml:space="preserve">urvey on </w:t>
            </w:r>
            <w:r w:rsidR="009527E0" w:rsidRPr="00113F71">
              <w:t>Sexual Harassment</w:t>
            </w:r>
            <w:r w:rsidRPr="00113F71">
              <w:t xml:space="preserve"> in Australian </w:t>
            </w:r>
            <w:r w:rsidR="009527E0" w:rsidRPr="00113F71">
              <w:t>Workplaces</w:t>
            </w:r>
            <w:r w:rsidRPr="00113F71">
              <w:t xml:space="preserve"> </w:t>
            </w:r>
          </w:p>
        </w:tc>
      </w:tr>
      <w:tr w:rsidR="00436DED" w14:paraId="44AE45AE" w14:textId="77777777" w:rsidTr="00EC7DDD">
        <w:tc>
          <w:tcPr>
            <w:tcW w:w="1350" w:type="pct"/>
            <w:vMerge/>
          </w:tcPr>
          <w:p w14:paraId="3423972F" w14:textId="77777777" w:rsidR="00436DED" w:rsidRPr="00113F71" w:rsidRDefault="00436DED" w:rsidP="00113F71">
            <w:pPr>
              <w:pStyle w:val="TableHeading"/>
            </w:pPr>
          </w:p>
        </w:tc>
        <w:tc>
          <w:tcPr>
            <w:tcW w:w="3650" w:type="pct"/>
          </w:tcPr>
          <w:p w14:paraId="546BBFEA" w14:textId="77777777" w:rsidR="00436DED" w:rsidRPr="00113F71" w:rsidRDefault="00436DED" w:rsidP="00113F71">
            <w:pPr>
              <w:pStyle w:val="TableTextBullet9pt"/>
            </w:pPr>
            <w:r w:rsidRPr="00113F71">
              <w:t>Respect@Work Portal and Website Launch</w:t>
            </w:r>
          </w:p>
        </w:tc>
      </w:tr>
    </w:tbl>
    <w:p w14:paraId="4BD47D7D" w14:textId="77777777" w:rsidR="00113F71" w:rsidRPr="00113F71" w:rsidRDefault="00113F71" w:rsidP="00113F71">
      <w:bookmarkStart w:id="70" w:name="mdheading-doc-86"/>
      <w:bookmarkStart w:id="71" w:name="_Toc96087238"/>
      <w:bookmarkStart w:id="72" w:name="_Toc96087249"/>
      <w:bookmarkStart w:id="73" w:name="_Toc96445863"/>
      <w:bookmarkEnd w:id="70"/>
    </w:p>
    <w:p w14:paraId="51B37EFA" w14:textId="6E1B2EC9" w:rsidR="00113F71" w:rsidRPr="00113F71" w:rsidRDefault="00113F71" w:rsidP="00113F71">
      <w:pPr>
        <w:spacing w:before="0" w:after="0" w:line="240" w:lineRule="auto"/>
        <w:rPr>
          <w:lang w:eastAsia="en-US"/>
        </w:rPr>
      </w:pPr>
      <w:r>
        <w:rPr>
          <w:lang w:eastAsia="en-US"/>
        </w:rPr>
        <w:br w:type="page"/>
      </w:r>
    </w:p>
    <w:p w14:paraId="7EDE1110" w14:textId="31094623" w:rsidR="00102915" w:rsidRPr="00EE329A" w:rsidRDefault="00102915" w:rsidP="00B03D74">
      <w:pPr>
        <w:pStyle w:val="Heading1"/>
        <w:numPr>
          <w:ilvl w:val="0"/>
          <w:numId w:val="0"/>
        </w:numPr>
        <w:rPr>
          <w:lang w:eastAsia="en-US"/>
        </w:rPr>
      </w:pPr>
      <w:bookmarkStart w:id="74" w:name="_Toc146437070"/>
      <w:r w:rsidRPr="00EE329A">
        <w:rPr>
          <w:lang w:eastAsia="en-US"/>
        </w:rPr>
        <w:t>List of Annual Report requirements</w:t>
      </w:r>
      <w:bookmarkEnd w:id="71"/>
      <w:bookmarkEnd w:id="72"/>
      <w:bookmarkEnd w:id="73"/>
      <w:bookmarkEnd w:id="74"/>
    </w:p>
    <w:p w14:paraId="4A2EB105" w14:textId="2A7E3A04" w:rsidR="004F5C03" w:rsidRPr="00113F71" w:rsidRDefault="004F5C03" w:rsidP="00113F71">
      <w:pPr>
        <w:rPr>
          <w:lang w:val="en-US" w:eastAsia="en-US"/>
        </w:rPr>
      </w:pPr>
      <w:r w:rsidRPr="00113F71">
        <w:t>Below is the table set out in Schedule 2A of the PGPA Rule. Section 17BE(u) requires this table be included in entities’ annual reports.</w:t>
      </w:r>
    </w:p>
    <w:tbl>
      <w:tblPr>
        <w:tblW w:w="0" w:type="auto"/>
        <w:tblInd w:w="134" w:type="dxa"/>
        <w:tblBorders>
          <w:top w:val="single" w:sz="4" w:space="0" w:color="000000"/>
          <w:bottom w:val="single" w:sz="4" w:space="0" w:color="000000"/>
          <w:insideH w:val="single" w:sz="4" w:space="0" w:color="000000"/>
        </w:tblBorders>
        <w:tblLayout w:type="fixed"/>
        <w:tblCellMar>
          <w:top w:w="113" w:type="dxa"/>
          <w:left w:w="113" w:type="dxa"/>
          <w:bottom w:w="113" w:type="dxa"/>
          <w:right w:w="113" w:type="dxa"/>
        </w:tblCellMar>
        <w:tblLook w:val="01E0" w:firstRow="1" w:lastRow="1" w:firstColumn="1" w:lastColumn="1" w:noHBand="0" w:noVBand="0"/>
      </w:tblPr>
      <w:tblGrid>
        <w:gridCol w:w="1405"/>
        <w:gridCol w:w="1430"/>
        <w:gridCol w:w="4868"/>
        <w:gridCol w:w="1438"/>
      </w:tblGrid>
      <w:tr w:rsidR="004F5C03" w:rsidRPr="004F5C03" w14:paraId="3A9E8712" w14:textId="77777777" w:rsidTr="00EC7DDD">
        <w:trPr>
          <w:trHeight w:val="539"/>
          <w:tblHeader/>
        </w:trPr>
        <w:tc>
          <w:tcPr>
            <w:tcW w:w="1405" w:type="dxa"/>
            <w:shd w:val="clear" w:color="auto" w:fill="F2F2F2" w:themeFill="background1" w:themeFillShade="F2"/>
            <w:vAlign w:val="bottom"/>
          </w:tcPr>
          <w:p w14:paraId="7C49E108" w14:textId="77777777" w:rsidR="004F5C03" w:rsidRPr="004F5C03" w:rsidRDefault="004F5C03" w:rsidP="00EC7DDD">
            <w:pPr>
              <w:pStyle w:val="TableHeading"/>
              <w:rPr>
                <w:lang w:val="en-US" w:eastAsia="en-US"/>
              </w:rPr>
            </w:pPr>
            <w:r w:rsidRPr="004F5C03">
              <w:rPr>
                <w:lang w:val="en-US" w:eastAsia="en-US"/>
              </w:rPr>
              <w:t>PGPA Rule</w:t>
            </w:r>
            <w:r w:rsidRPr="004F5C03">
              <w:rPr>
                <w:spacing w:val="-53"/>
                <w:lang w:val="en-US" w:eastAsia="en-US"/>
              </w:rPr>
              <w:t xml:space="preserve"> </w:t>
            </w:r>
            <w:r w:rsidRPr="004F5C03">
              <w:rPr>
                <w:lang w:val="en-US" w:eastAsia="en-US"/>
              </w:rPr>
              <w:t>Reference</w:t>
            </w:r>
          </w:p>
        </w:tc>
        <w:tc>
          <w:tcPr>
            <w:tcW w:w="1430" w:type="dxa"/>
            <w:shd w:val="clear" w:color="auto" w:fill="F2F2F2" w:themeFill="background1" w:themeFillShade="F2"/>
            <w:vAlign w:val="bottom"/>
          </w:tcPr>
          <w:p w14:paraId="394AF667" w14:textId="77777777" w:rsidR="004F5C03" w:rsidRPr="004F5C03" w:rsidRDefault="004F5C03" w:rsidP="00EC7DDD">
            <w:pPr>
              <w:pStyle w:val="TableHeading"/>
              <w:rPr>
                <w:lang w:val="en-US" w:eastAsia="en-US"/>
              </w:rPr>
            </w:pPr>
            <w:r w:rsidRPr="004F5C03">
              <w:rPr>
                <w:lang w:val="en-US" w:eastAsia="en-US"/>
              </w:rPr>
              <w:t>Part of</w:t>
            </w:r>
            <w:r w:rsidRPr="004F5C03">
              <w:rPr>
                <w:spacing w:val="-53"/>
                <w:lang w:val="en-US" w:eastAsia="en-US"/>
              </w:rPr>
              <w:t xml:space="preserve"> </w:t>
            </w:r>
            <w:r w:rsidRPr="004F5C03">
              <w:rPr>
                <w:lang w:val="en-US" w:eastAsia="en-US"/>
              </w:rPr>
              <w:t>Report</w:t>
            </w:r>
          </w:p>
        </w:tc>
        <w:tc>
          <w:tcPr>
            <w:tcW w:w="4868" w:type="dxa"/>
            <w:shd w:val="clear" w:color="auto" w:fill="F2F2F2" w:themeFill="background1" w:themeFillShade="F2"/>
            <w:vAlign w:val="bottom"/>
          </w:tcPr>
          <w:p w14:paraId="0BDBA90F" w14:textId="77777777" w:rsidR="004F5C03" w:rsidRPr="004F5C03" w:rsidRDefault="004F5C03" w:rsidP="00EC7DDD">
            <w:pPr>
              <w:pStyle w:val="TableHeading"/>
              <w:rPr>
                <w:lang w:val="en-US" w:eastAsia="en-US"/>
              </w:rPr>
            </w:pPr>
            <w:r w:rsidRPr="004F5C03">
              <w:rPr>
                <w:lang w:val="en-US" w:eastAsia="en-US"/>
              </w:rPr>
              <w:t>Description</w:t>
            </w:r>
          </w:p>
        </w:tc>
        <w:tc>
          <w:tcPr>
            <w:tcW w:w="1438" w:type="dxa"/>
            <w:shd w:val="clear" w:color="auto" w:fill="F2F2F2" w:themeFill="background1" w:themeFillShade="F2"/>
            <w:vAlign w:val="bottom"/>
          </w:tcPr>
          <w:p w14:paraId="04F15D8C" w14:textId="77777777" w:rsidR="004F5C03" w:rsidRPr="004F5C03" w:rsidRDefault="004F5C03" w:rsidP="00EC7DDD">
            <w:pPr>
              <w:pStyle w:val="TableHeading"/>
              <w:rPr>
                <w:lang w:val="en-US" w:eastAsia="en-US"/>
              </w:rPr>
            </w:pPr>
            <w:r w:rsidRPr="004F5C03">
              <w:rPr>
                <w:lang w:val="en-US" w:eastAsia="en-US"/>
              </w:rPr>
              <w:t>Requirement</w:t>
            </w:r>
          </w:p>
        </w:tc>
      </w:tr>
      <w:tr w:rsidR="004F5C03" w:rsidRPr="005B2504" w14:paraId="536AE145" w14:textId="77777777" w:rsidTr="00EC7DDD">
        <w:trPr>
          <w:trHeight w:val="300"/>
          <w:tblHeader/>
        </w:trPr>
        <w:tc>
          <w:tcPr>
            <w:tcW w:w="1405" w:type="dxa"/>
            <w:shd w:val="clear" w:color="auto" w:fill="auto"/>
          </w:tcPr>
          <w:p w14:paraId="6EB094C1" w14:textId="77777777" w:rsidR="004F5C03" w:rsidRPr="005B2504" w:rsidRDefault="004F5C03" w:rsidP="005B2504">
            <w:pPr>
              <w:pStyle w:val="TableHeading"/>
            </w:pPr>
            <w:r w:rsidRPr="005B2504">
              <w:t>17BE</w:t>
            </w:r>
          </w:p>
        </w:tc>
        <w:tc>
          <w:tcPr>
            <w:tcW w:w="6298" w:type="dxa"/>
            <w:gridSpan w:val="2"/>
            <w:shd w:val="clear" w:color="auto" w:fill="auto"/>
          </w:tcPr>
          <w:p w14:paraId="07479A71" w14:textId="77777777" w:rsidR="004F5C03" w:rsidRPr="00113F71" w:rsidRDefault="004F5C03" w:rsidP="00113F71">
            <w:pPr>
              <w:pStyle w:val="TableHeadingCorsivo"/>
            </w:pPr>
            <w:r w:rsidRPr="00113F71">
              <w:t>Contents of annual report</w:t>
            </w:r>
          </w:p>
        </w:tc>
        <w:tc>
          <w:tcPr>
            <w:tcW w:w="1438" w:type="dxa"/>
            <w:shd w:val="clear" w:color="auto" w:fill="auto"/>
          </w:tcPr>
          <w:p w14:paraId="60FC8AEF" w14:textId="77777777" w:rsidR="004F5C03" w:rsidRPr="005B2504" w:rsidRDefault="004F5C03" w:rsidP="005B2504">
            <w:pPr>
              <w:pStyle w:val="TableHeading"/>
            </w:pPr>
          </w:p>
        </w:tc>
      </w:tr>
      <w:tr w:rsidR="004F5C03" w:rsidRPr="004F5C03" w14:paraId="10EE25A9" w14:textId="77777777" w:rsidTr="00EC7DDD">
        <w:trPr>
          <w:trHeight w:val="299"/>
        </w:trPr>
        <w:tc>
          <w:tcPr>
            <w:tcW w:w="1405" w:type="dxa"/>
          </w:tcPr>
          <w:p w14:paraId="4650E3DD" w14:textId="77777777" w:rsidR="004F5C03" w:rsidRPr="004F5C03" w:rsidRDefault="004F5C03" w:rsidP="005B2504">
            <w:pPr>
              <w:pStyle w:val="TableText"/>
              <w:rPr>
                <w:lang w:val="en-US" w:eastAsia="en-US"/>
              </w:rPr>
            </w:pPr>
            <w:r w:rsidRPr="004F5C03">
              <w:rPr>
                <w:lang w:val="en-US" w:eastAsia="en-US"/>
              </w:rPr>
              <w:t>17BE(a)</w:t>
            </w:r>
          </w:p>
        </w:tc>
        <w:tc>
          <w:tcPr>
            <w:tcW w:w="1430" w:type="dxa"/>
          </w:tcPr>
          <w:p w14:paraId="28428049" w14:textId="178AAD68" w:rsidR="004F5C03" w:rsidRPr="004F5C03" w:rsidRDefault="7814ACC7" w:rsidP="005B2504">
            <w:pPr>
              <w:pStyle w:val="TableText"/>
              <w:rPr>
                <w:lang w:val="en-US" w:eastAsia="en-US"/>
              </w:rPr>
            </w:pPr>
            <w:r w:rsidRPr="448905EB">
              <w:rPr>
                <w:lang w:val="en-US" w:eastAsia="en-US"/>
              </w:rPr>
              <w:t>3.1</w:t>
            </w:r>
          </w:p>
        </w:tc>
        <w:tc>
          <w:tcPr>
            <w:tcW w:w="4868" w:type="dxa"/>
          </w:tcPr>
          <w:p w14:paraId="1A4032AF" w14:textId="77777777" w:rsidR="004F5C03" w:rsidRPr="00113F71" w:rsidRDefault="004F5C03" w:rsidP="00113F71">
            <w:pPr>
              <w:pStyle w:val="TableText"/>
            </w:pPr>
            <w:r w:rsidRPr="00113F71">
              <w:t>Details of the legislation establishing the body</w:t>
            </w:r>
          </w:p>
        </w:tc>
        <w:tc>
          <w:tcPr>
            <w:tcW w:w="1438" w:type="dxa"/>
          </w:tcPr>
          <w:p w14:paraId="2BE525F6" w14:textId="77777777" w:rsidR="004F5C03" w:rsidRPr="004F5C03" w:rsidRDefault="004F5C03" w:rsidP="005B2504">
            <w:pPr>
              <w:pStyle w:val="TableText"/>
              <w:rPr>
                <w:lang w:val="en-US" w:eastAsia="en-US"/>
              </w:rPr>
            </w:pPr>
            <w:r w:rsidRPr="004F5C03">
              <w:rPr>
                <w:lang w:val="en-US" w:eastAsia="en-US"/>
              </w:rPr>
              <w:t>Mandatory</w:t>
            </w:r>
          </w:p>
        </w:tc>
      </w:tr>
      <w:tr w:rsidR="004F5C03" w:rsidRPr="004F5C03" w14:paraId="1ACF3741" w14:textId="77777777" w:rsidTr="00EC7DDD">
        <w:trPr>
          <w:trHeight w:val="540"/>
        </w:trPr>
        <w:tc>
          <w:tcPr>
            <w:tcW w:w="1405" w:type="dxa"/>
          </w:tcPr>
          <w:p w14:paraId="1B278F53" w14:textId="77777777" w:rsidR="004F5C03" w:rsidRPr="004F5C03" w:rsidRDefault="004F5C03" w:rsidP="005B2504">
            <w:pPr>
              <w:pStyle w:val="TableText"/>
              <w:rPr>
                <w:lang w:val="en-US" w:eastAsia="en-US"/>
              </w:rPr>
            </w:pPr>
            <w:r w:rsidRPr="004F5C03">
              <w:rPr>
                <w:lang w:val="en-US" w:eastAsia="en-US"/>
              </w:rPr>
              <w:t>17BE(b)(i)</w:t>
            </w:r>
          </w:p>
        </w:tc>
        <w:tc>
          <w:tcPr>
            <w:tcW w:w="1430" w:type="dxa"/>
          </w:tcPr>
          <w:p w14:paraId="57B22F34" w14:textId="3697C646" w:rsidR="004F5C03" w:rsidRPr="004F5C03" w:rsidRDefault="7814ACC7" w:rsidP="005B2504">
            <w:pPr>
              <w:pStyle w:val="TableText"/>
              <w:rPr>
                <w:lang w:val="en-US" w:eastAsia="en-US"/>
              </w:rPr>
            </w:pPr>
            <w:r w:rsidRPr="448905EB">
              <w:rPr>
                <w:lang w:val="en-US" w:eastAsia="en-US"/>
              </w:rPr>
              <w:t>3.2</w:t>
            </w:r>
          </w:p>
        </w:tc>
        <w:tc>
          <w:tcPr>
            <w:tcW w:w="4868" w:type="dxa"/>
          </w:tcPr>
          <w:p w14:paraId="69C9C5BD" w14:textId="272E56B3" w:rsidR="004F5C03" w:rsidRPr="00113F71" w:rsidRDefault="004F5C03" w:rsidP="00113F71">
            <w:pPr>
              <w:pStyle w:val="TableText"/>
            </w:pPr>
            <w:r w:rsidRPr="00113F71">
              <w:t>A summary of the objects and functions of the entity as</w:t>
            </w:r>
            <w:r w:rsidR="20D44512" w:rsidRPr="00113F71">
              <w:t xml:space="preserve"> </w:t>
            </w:r>
            <w:r w:rsidRPr="00113F71">
              <w:t>set out in legislation</w:t>
            </w:r>
          </w:p>
        </w:tc>
        <w:tc>
          <w:tcPr>
            <w:tcW w:w="1438" w:type="dxa"/>
          </w:tcPr>
          <w:p w14:paraId="7CB3DA6B" w14:textId="77777777" w:rsidR="004F5C03" w:rsidRPr="004F5C03" w:rsidRDefault="004F5C03" w:rsidP="005B2504">
            <w:pPr>
              <w:pStyle w:val="TableText"/>
              <w:rPr>
                <w:lang w:val="en-US" w:eastAsia="en-US"/>
              </w:rPr>
            </w:pPr>
            <w:r w:rsidRPr="004F5C03">
              <w:rPr>
                <w:lang w:val="en-US" w:eastAsia="en-US"/>
              </w:rPr>
              <w:t>Mandatory</w:t>
            </w:r>
          </w:p>
        </w:tc>
      </w:tr>
      <w:tr w:rsidR="004F5C03" w:rsidRPr="004F5C03" w14:paraId="6C22455D" w14:textId="77777777" w:rsidTr="00EC7DDD">
        <w:trPr>
          <w:trHeight w:val="539"/>
        </w:trPr>
        <w:tc>
          <w:tcPr>
            <w:tcW w:w="1405" w:type="dxa"/>
          </w:tcPr>
          <w:p w14:paraId="1A87802C" w14:textId="77777777" w:rsidR="004F5C03" w:rsidRPr="004F5C03" w:rsidRDefault="004F5C03" w:rsidP="005B2504">
            <w:pPr>
              <w:pStyle w:val="TableText"/>
              <w:rPr>
                <w:lang w:val="en-US" w:eastAsia="en-US"/>
              </w:rPr>
            </w:pPr>
            <w:r w:rsidRPr="004F5C03">
              <w:rPr>
                <w:lang w:val="en-US" w:eastAsia="en-US"/>
              </w:rPr>
              <w:t>17BE(b)(ii)</w:t>
            </w:r>
          </w:p>
        </w:tc>
        <w:tc>
          <w:tcPr>
            <w:tcW w:w="1430" w:type="dxa"/>
          </w:tcPr>
          <w:p w14:paraId="5B4CDD5E" w14:textId="09D1E641" w:rsidR="004F5C03" w:rsidRPr="004F5C03" w:rsidRDefault="00E809C3" w:rsidP="005B2504">
            <w:pPr>
              <w:pStyle w:val="TableText"/>
              <w:rPr>
                <w:lang w:val="en-US" w:eastAsia="en-US"/>
              </w:rPr>
            </w:pPr>
            <w:r>
              <w:rPr>
                <w:lang w:val="en-US" w:eastAsia="en-US"/>
              </w:rPr>
              <w:t>1.1</w:t>
            </w:r>
          </w:p>
        </w:tc>
        <w:tc>
          <w:tcPr>
            <w:tcW w:w="4868" w:type="dxa"/>
          </w:tcPr>
          <w:p w14:paraId="2ED540A2" w14:textId="0254F0D1" w:rsidR="004F5C03" w:rsidRPr="00113F71" w:rsidRDefault="004F5C03" w:rsidP="00113F71">
            <w:pPr>
              <w:pStyle w:val="TableText"/>
            </w:pPr>
            <w:r w:rsidRPr="00113F71">
              <w:t>The purposes of the entity as included in the entity’s</w:t>
            </w:r>
            <w:r w:rsidR="00E809C3" w:rsidRPr="00113F71">
              <w:t xml:space="preserve"> </w:t>
            </w:r>
            <w:r w:rsidRPr="00113F71">
              <w:t>corporate plan for the reporting period</w:t>
            </w:r>
          </w:p>
        </w:tc>
        <w:tc>
          <w:tcPr>
            <w:tcW w:w="1438" w:type="dxa"/>
          </w:tcPr>
          <w:p w14:paraId="461D4664" w14:textId="77777777" w:rsidR="004F5C03" w:rsidRPr="004F5C03" w:rsidRDefault="004F5C03" w:rsidP="005B2504">
            <w:pPr>
              <w:pStyle w:val="TableText"/>
              <w:rPr>
                <w:lang w:val="en-US" w:eastAsia="en-US"/>
              </w:rPr>
            </w:pPr>
            <w:r w:rsidRPr="004F5C03">
              <w:rPr>
                <w:lang w:val="en-US" w:eastAsia="en-US"/>
              </w:rPr>
              <w:t>Mandatory</w:t>
            </w:r>
          </w:p>
        </w:tc>
      </w:tr>
      <w:tr w:rsidR="004F5C03" w:rsidRPr="004F5C03" w14:paraId="5EA1DD9C" w14:textId="77777777" w:rsidTr="00EC7DDD">
        <w:trPr>
          <w:trHeight w:val="1020"/>
        </w:trPr>
        <w:tc>
          <w:tcPr>
            <w:tcW w:w="1405" w:type="dxa"/>
          </w:tcPr>
          <w:p w14:paraId="79CBF538" w14:textId="77777777" w:rsidR="004F5C03" w:rsidRPr="004F5C03" w:rsidRDefault="004F5C03" w:rsidP="005B2504">
            <w:pPr>
              <w:pStyle w:val="TableText"/>
              <w:rPr>
                <w:lang w:val="en-US" w:eastAsia="en-US"/>
              </w:rPr>
            </w:pPr>
            <w:r w:rsidRPr="004F5C03">
              <w:rPr>
                <w:lang w:val="en-US" w:eastAsia="en-US"/>
              </w:rPr>
              <w:t>17BE(c)</w:t>
            </w:r>
          </w:p>
        </w:tc>
        <w:tc>
          <w:tcPr>
            <w:tcW w:w="1430" w:type="dxa"/>
          </w:tcPr>
          <w:p w14:paraId="208B700A" w14:textId="43685EF2" w:rsidR="004F5C03" w:rsidRPr="004F5C03" w:rsidRDefault="00E809C3" w:rsidP="005B2504">
            <w:pPr>
              <w:pStyle w:val="TableText"/>
              <w:rPr>
                <w:lang w:val="en-US" w:eastAsia="en-US"/>
              </w:rPr>
            </w:pPr>
            <w:r>
              <w:rPr>
                <w:lang w:val="en-US" w:eastAsia="en-US"/>
              </w:rPr>
              <w:t>3.</w:t>
            </w:r>
            <w:r w:rsidR="00BB14C3">
              <w:rPr>
                <w:lang w:val="en-US" w:eastAsia="en-US"/>
              </w:rPr>
              <w:t>4</w:t>
            </w:r>
          </w:p>
        </w:tc>
        <w:tc>
          <w:tcPr>
            <w:tcW w:w="4868" w:type="dxa"/>
          </w:tcPr>
          <w:p w14:paraId="2055EB81" w14:textId="77777777" w:rsidR="004F5C03" w:rsidRPr="00113F71" w:rsidRDefault="004F5C03" w:rsidP="00113F71">
            <w:pPr>
              <w:pStyle w:val="TableText"/>
            </w:pPr>
            <w:r w:rsidRPr="00113F71">
              <w:t>The names of the persons holding the position of responsible Minister or responsible Ministers during the reporting period, and the titles of those responsible Ministers</w:t>
            </w:r>
          </w:p>
        </w:tc>
        <w:tc>
          <w:tcPr>
            <w:tcW w:w="1438" w:type="dxa"/>
          </w:tcPr>
          <w:p w14:paraId="1B386C5D" w14:textId="77777777" w:rsidR="004F5C03" w:rsidRPr="004F5C03" w:rsidRDefault="004F5C03" w:rsidP="005B2504">
            <w:pPr>
              <w:pStyle w:val="TableText"/>
              <w:rPr>
                <w:lang w:val="en-US" w:eastAsia="en-US"/>
              </w:rPr>
            </w:pPr>
            <w:r w:rsidRPr="004F5C03">
              <w:rPr>
                <w:lang w:val="en-US" w:eastAsia="en-US"/>
              </w:rPr>
              <w:t>Mandatory</w:t>
            </w:r>
          </w:p>
        </w:tc>
      </w:tr>
      <w:tr w:rsidR="004F5C03" w:rsidRPr="004F5C03" w14:paraId="665F3667" w14:textId="77777777" w:rsidTr="00EC7DDD">
        <w:trPr>
          <w:trHeight w:val="539"/>
        </w:trPr>
        <w:tc>
          <w:tcPr>
            <w:tcW w:w="1405" w:type="dxa"/>
          </w:tcPr>
          <w:p w14:paraId="02BFA1DC" w14:textId="77777777" w:rsidR="004F5C03" w:rsidRPr="00C16584" w:rsidRDefault="004F5C03" w:rsidP="005B2504">
            <w:pPr>
              <w:pStyle w:val="TableText"/>
              <w:rPr>
                <w:lang w:val="en-US" w:eastAsia="en-US"/>
              </w:rPr>
            </w:pPr>
            <w:r w:rsidRPr="00C16584">
              <w:rPr>
                <w:lang w:val="en-US" w:eastAsia="en-US"/>
              </w:rPr>
              <w:t>17BE(d)</w:t>
            </w:r>
          </w:p>
        </w:tc>
        <w:tc>
          <w:tcPr>
            <w:tcW w:w="1430" w:type="dxa"/>
          </w:tcPr>
          <w:p w14:paraId="0CB135E3" w14:textId="79469EA6" w:rsidR="004F5C03" w:rsidRPr="00C005B4" w:rsidRDefault="76C19C8B" w:rsidP="005B2504">
            <w:pPr>
              <w:pStyle w:val="TableText"/>
              <w:rPr>
                <w:lang w:val="en-US" w:eastAsia="en-US"/>
              </w:rPr>
            </w:pPr>
            <w:r w:rsidRPr="00C005B4">
              <w:rPr>
                <w:lang w:val="en-US" w:eastAsia="en-US"/>
              </w:rPr>
              <w:t>N</w:t>
            </w:r>
            <w:r w:rsidR="00BB14C3">
              <w:rPr>
                <w:lang w:val="en-US" w:eastAsia="en-US"/>
              </w:rPr>
              <w:t>ot applicable</w:t>
            </w:r>
          </w:p>
        </w:tc>
        <w:tc>
          <w:tcPr>
            <w:tcW w:w="4868" w:type="dxa"/>
          </w:tcPr>
          <w:p w14:paraId="056D0B74" w14:textId="77777777" w:rsidR="004F5C03" w:rsidRPr="00113F71" w:rsidRDefault="004F5C03" w:rsidP="00113F71">
            <w:pPr>
              <w:pStyle w:val="TableText"/>
            </w:pPr>
            <w:r w:rsidRPr="00113F71">
              <w:t>Directions given to the entity by the Minister under an Act or instrument during the reporting period</w:t>
            </w:r>
          </w:p>
        </w:tc>
        <w:tc>
          <w:tcPr>
            <w:tcW w:w="1438" w:type="dxa"/>
          </w:tcPr>
          <w:p w14:paraId="435D1E46" w14:textId="77777777" w:rsidR="004F5C03" w:rsidRPr="004F5C03" w:rsidRDefault="004F5C03" w:rsidP="005B2504">
            <w:pPr>
              <w:pStyle w:val="TableText"/>
              <w:rPr>
                <w:lang w:val="en-US" w:eastAsia="en-US"/>
              </w:rPr>
            </w:pPr>
            <w:r w:rsidRPr="004F5C03">
              <w:rPr>
                <w:lang w:val="en-US" w:eastAsia="en-US"/>
              </w:rPr>
              <w:t>If applicable,</w:t>
            </w:r>
            <w:r w:rsidRPr="004F5C03">
              <w:rPr>
                <w:spacing w:val="-53"/>
                <w:lang w:val="en-US" w:eastAsia="en-US"/>
              </w:rPr>
              <w:t xml:space="preserve"> </w:t>
            </w:r>
            <w:r w:rsidRPr="004F5C03">
              <w:rPr>
                <w:lang w:val="en-US" w:eastAsia="en-US"/>
              </w:rPr>
              <w:t>mandatory</w:t>
            </w:r>
          </w:p>
        </w:tc>
      </w:tr>
      <w:tr w:rsidR="004F5C03" w:rsidRPr="004F5C03" w14:paraId="15A6C281" w14:textId="77777777" w:rsidTr="00EC7DDD">
        <w:trPr>
          <w:trHeight w:val="780"/>
        </w:trPr>
        <w:tc>
          <w:tcPr>
            <w:tcW w:w="1405" w:type="dxa"/>
          </w:tcPr>
          <w:p w14:paraId="6DB6F198" w14:textId="77777777" w:rsidR="004F5C03" w:rsidRPr="00C16584" w:rsidRDefault="004F5C03" w:rsidP="005B2504">
            <w:pPr>
              <w:pStyle w:val="TableText"/>
              <w:rPr>
                <w:lang w:val="en-US" w:eastAsia="en-US"/>
              </w:rPr>
            </w:pPr>
            <w:r w:rsidRPr="00C16584">
              <w:rPr>
                <w:lang w:val="en-US" w:eastAsia="en-US"/>
              </w:rPr>
              <w:t>17BE(e)</w:t>
            </w:r>
          </w:p>
        </w:tc>
        <w:tc>
          <w:tcPr>
            <w:tcW w:w="1430" w:type="dxa"/>
          </w:tcPr>
          <w:p w14:paraId="1E5F4ECE" w14:textId="174E39E0" w:rsidR="004F5C03" w:rsidRPr="00C005B4" w:rsidRDefault="00BB14C3" w:rsidP="005B2504">
            <w:pPr>
              <w:pStyle w:val="TableText"/>
              <w:rPr>
                <w:lang w:val="en-US" w:eastAsia="en-US"/>
              </w:rPr>
            </w:pPr>
            <w:r w:rsidRPr="00C005B4">
              <w:rPr>
                <w:lang w:val="en-US" w:eastAsia="en-US"/>
              </w:rPr>
              <w:t>N</w:t>
            </w:r>
            <w:r>
              <w:rPr>
                <w:lang w:val="en-US" w:eastAsia="en-US"/>
              </w:rPr>
              <w:t>ot applicable</w:t>
            </w:r>
          </w:p>
        </w:tc>
        <w:tc>
          <w:tcPr>
            <w:tcW w:w="4868" w:type="dxa"/>
          </w:tcPr>
          <w:p w14:paraId="495EEE9B" w14:textId="77777777" w:rsidR="004F5C03" w:rsidRPr="00113F71" w:rsidRDefault="004F5C03" w:rsidP="00113F71">
            <w:pPr>
              <w:pStyle w:val="TableText"/>
            </w:pPr>
            <w:r w:rsidRPr="00113F71">
              <w:t>Any government policy order that applied in relation to the entity during the reporting period under section 22 of the Act</w:t>
            </w:r>
          </w:p>
        </w:tc>
        <w:tc>
          <w:tcPr>
            <w:tcW w:w="1438" w:type="dxa"/>
          </w:tcPr>
          <w:p w14:paraId="59F48BDF" w14:textId="77777777" w:rsidR="004F5C03" w:rsidRPr="004F5C03" w:rsidRDefault="004F5C03" w:rsidP="005B2504">
            <w:pPr>
              <w:pStyle w:val="TableText"/>
              <w:rPr>
                <w:lang w:val="en-US" w:eastAsia="en-US"/>
              </w:rPr>
            </w:pPr>
            <w:r w:rsidRPr="004F5C03">
              <w:rPr>
                <w:lang w:val="en-US" w:eastAsia="en-US"/>
              </w:rPr>
              <w:t>If applicable,</w:t>
            </w:r>
            <w:r w:rsidRPr="004F5C03">
              <w:rPr>
                <w:spacing w:val="-53"/>
                <w:lang w:val="en-US" w:eastAsia="en-US"/>
              </w:rPr>
              <w:t xml:space="preserve"> </w:t>
            </w:r>
            <w:r w:rsidRPr="004F5C03">
              <w:rPr>
                <w:lang w:val="en-US" w:eastAsia="en-US"/>
              </w:rPr>
              <w:t>mandatory</w:t>
            </w:r>
          </w:p>
        </w:tc>
      </w:tr>
      <w:tr w:rsidR="004F5C03" w:rsidRPr="004F5C03" w14:paraId="153AC591" w14:textId="77777777" w:rsidTr="00EC7DDD">
        <w:trPr>
          <w:trHeight w:val="1570"/>
        </w:trPr>
        <w:tc>
          <w:tcPr>
            <w:tcW w:w="1405" w:type="dxa"/>
          </w:tcPr>
          <w:p w14:paraId="39809632" w14:textId="77777777" w:rsidR="004F5C03" w:rsidRPr="004F5C03" w:rsidRDefault="004F5C03" w:rsidP="005B2504">
            <w:pPr>
              <w:pStyle w:val="TableText"/>
              <w:rPr>
                <w:lang w:val="en-US" w:eastAsia="en-US"/>
              </w:rPr>
            </w:pPr>
            <w:r w:rsidRPr="004F5C03">
              <w:rPr>
                <w:lang w:val="en-US" w:eastAsia="en-US"/>
              </w:rPr>
              <w:t>17BE(f)</w:t>
            </w:r>
          </w:p>
        </w:tc>
        <w:tc>
          <w:tcPr>
            <w:tcW w:w="1430" w:type="dxa"/>
          </w:tcPr>
          <w:p w14:paraId="150ED302" w14:textId="6D6B882A" w:rsidR="004F5C03" w:rsidRPr="00DB33F3" w:rsidRDefault="00BB14C3" w:rsidP="005B2504">
            <w:pPr>
              <w:pStyle w:val="TableText"/>
              <w:rPr>
                <w:highlight w:val="yellow"/>
                <w:lang w:val="en-US" w:eastAsia="en-US"/>
              </w:rPr>
            </w:pPr>
            <w:r w:rsidRPr="00C005B4">
              <w:rPr>
                <w:lang w:val="en-US" w:eastAsia="en-US"/>
              </w:rPr>
              <w:t>N</w:t>
            </w:r>
            <w:r>
              <w:rPr>
                <w:lang w:val="en-US" w:eastAsia="en-US"/>
              </w:rPr>
              <w:t>ot applicable</w:t>
            </w:r>
          </w:p>
        </w:tc>
        <w:tc>
          <w:tcPr>
            <w:tcW w:w="4868" w:type="dxa"/>
          </w:tcPr>
          <w:p w14:paraId="74C1BB35" w14:textId="77777777" w:rsidR="004F5C03" w:rsidRPr="00113F71" w:rsidRDefault="004F5C03" w:rsidP="00113F71">
            <w:pPr>
              <w:pStyle w:val="TableText"/>
            </w:pPr>
            <w:r w:rsidRPr="00113F71">
              <w:t>Particulars of non-compliance with:</w:t>
            </w:r>
          </w:p>
          <w:p w14:paraId="4737C508" w14:textId="1BFAF124" w:rsidR="004F5C03" w:rsidRPr="005B2504" w:rsidRDefault="004F5C03" w:rsidP="005B2504">
            <w:pPr>
              <w:pStyle w:val="NumberedBulleta"/>
            </w:pPr>
            <w:r w:rsidRPr="005B2504">
              <w:t>a direction given to the entity by the Minister under an Act or instrument during the reporting period; or</w:t>
            </w:r>
          </w:p>
          <w:p w14:paraId="418EA996" w14:textId="77777777" w:rsidR="004F5C03" w:rsidRPr="00113F71" w:rsidRDefault="004F5C03" w:rsidP="00113F71">
            <w:pPr>
              <w:pStyle w:val="NumberedBulleta"/>
            </w:pPr>
            <w:r w:rsidRPr="00113F71">
              <w:t>a government policy order that applied in relation to the entity during the reporting period under section 22 of the Act</w:t>
            </w:r>
          </w:p>
        </w:tc>
        <w:tc>
          <w:tcPr>
            <w:tcW w:w="1438" w:type="dxa"/>
          </w:tcPr>
          <w:p w14:paraId="190CA5A1" w14:textId="77777777" w:rsidR="004F5C03" w:rsidRPr="004F5C03" w:rsidRDefault="004F5C03" w:rsidP="005B2504">
            <w:pPr>
              <w:pStyle w:val="TableText"/>
              <w:rPr>
                <w:lang w:val="en-US" w:eastAsia="en-US"/>
              </w:rPr>
            </w:pPr>
            <w:r w:rsidRPr="004F5C03">
              <w:rPr>
                <w:lang w:val="en-US" w:eastAsia="en-US"/>
              </w:rPr>
              <w:t>If applicable,</w:t>
            </w:r>
            <w:r w:rsidRPr="004F5C03">
              <w:rPr>
                <w:spacing w:val="-53"/>
                <w:lang w:val="en-US" w:eastAsia="en-US"/>
              </w:rPr>
              <w:t xml:space="preserve"> </w:t>
            </w:r>
            <w:r w:rsidRPr="004F5C03">
              <w:rPr>
                <w:lang w:val="en-US" w:eastAsia="en-US"/>
              </w:rPr>
              <w:t>mandatory</w:t>
            </w:r>
          </w:p>
        </w:tc>
      </w:tr>
      <w:tr w:rsidR="004F5C03" w:rsidRPr="004F5C03" w14:paraId="077DC8EE" w14:textId="77777777" w:rsidTr="00EC7DDD">
        <w:trPr>
          <w:trHeight w:val="539"/>
        </w:trPr>
        <w:tc>
          <w:tcPr>
            <w:tcW w:w="1405" w:type="dxa"/>
          </w:tcPr>
          <w:p w14:paraId="0ABA085F" w14:textId="77777777" w:rsidR="004F5C03" w:rsidRPr="004F5C03" w:rsidRDefault="004F5C03" w:rsidP="00910D53">
            <w:pPr>
              <w:pStyle w:val="TableText"/>
              <w:rPr>
                <w:lang w:val="en-US" w:eastAsia="en-US"/>
              </w:rPr>
            </w:pPr>
            <w:r w:rsidRPr="004F5C03">
              <w:rPr>
                <w:lang w:val="en-US" w:eastAsia="en-US"/>
              </w:rPr>
              <w:t>17BE(g)</w:t>
            </w:r>
          </w:p>
        </w:tc>
        <w:tc>
          <w:tcPr>
            <w:tcW w:w="1430" w:type="dxa"/>
          </w:tcPr>
          <w:p w14:paraId="1DDFDCEF" w14:textId="4FD6F5CF" w:rsidR="004F5C03" w:rsidRPr="004F5C03" w:rsidRDefault="006A5743" w:rsidP="00910D53">
            <w:pPr>
              <w:pStyle w:val="TableText"/>
              <w:rPr>
                <w:lang w:val="en-US" w:eastAsia="en-US"/>
              </w:rPr>
            </w:pPr>
            <w:r>
              <w:rPr>
                <w:lang w:val="en-US" w:eastAsia="en-US"/>
              </w:rPr>
              <w:t>5</w:t>
            </w:r>
            <w:r w:rsidR="00093CE1">
              <w:rPr>
                <w:lang w:val="en-US" w:eastAsia="en-US"/>
              </w:rPr>
              <w:t xml:space="preserve">, </w:t>
            </w:r>
            <w:r w:rsidR="00BB14C3">
              <w:rPr>
                <w:lang w:val="en-US" w:eastAsia="en-US"/>
              </w:rPr>
              <w:t xml:space="preserve">5.2 </w:t>
            </w:r>
            <w:r w:rsidR="00093CE1">
              <w:rPr>
                <w:lang w:val="en-US" w:eastAsia="en-US"/>
              </w:rPr>
              <w:t xml:space="preserve">Appendix 1 </w:t>
            </w:r>
          </w:p>
        </w:tc>
        <w:tc>
          <w:tcPr>
            <w:tcW w:w="4868" w:type="dxa"/>
          </w:tcPr>
          <w:p w14:paraId="302B8E0C" w14:textId="77777777" w:rsidR="004F5C03" w:rsidRPr="00113F71" w:rsidRDefault="004F5C03" w:rsidP="00113F71">
            <w:pPr>
              <w:pStyle w:val="TableText"/>
            </w:pPr>
            <w:r w:rsidRPr="00113F71">
              <w:t>Annual performance statements in accordance with paragraph 39(1)(b) of the Act and section 16F of the rule</w:t>
            </w:r>
          </w:p>
        </w:tc>
        <w:tc>
          <w:tcPr>
            <w:tcW w:w="1438" w:type="dxa"/>
          </w:tcPr>
          <w:p w14:paraId="11F5384E" w14:textId="77777777" w:rsidR="004F5C03" w:rsidRPr="004F5C03" w:rsidRDefault="004F5C03" w:rsidP="00910D53">
            <w:pPr>
              <w:pStyle w:val="TableText"/>
              <w:rPr>
                <w:lang w:val="en-US" w:eastAsia="en-US"/>
              </w:rPr>
            </w:pPr>
            <w:r w:rsidRPr="004F5C03">
              <w:rPr>
                <w:lang w:val="en-US" w:eastAsia="en-US"/>
              </w:rPr>
              <w:t>Mandatory</w:t>
            </w:r>
          </w:p>
        </w:tc>
      </w:tr>
      <w:tr w:rsidR="004F5C03" w:rsidRPr="004F5C03" w14:paraId="5D6678DB" w14:textId="77777777" w:rsidTr="00EC7DDD">
        <w:trPr>
          <w:trHeight w:val="1020"/>
        </w:trPr>
        <w:tc>
          <w:tcPr>
            <w:tcW w:w="1405" w:type="dxa"/>
          </w:tcPr>
          <w:p w14:paraId="7F91F599" w14:textId="77777777" w:rsidR="004F5C03" w:rsidRPr="004F5C03" w:rsidRDefault="004F5C03" w:rsidP="00910D53">
            <w:pPr>
              <w:pStyle w:val="TableText"/>
              <w:rPr>
                <w:lang w:val="en-US" w:eastAsia="en-US"/>
              </w:rPr>
            </w:pPr>
            <w:r w:rsidRPr="004F5C03">
              <w:rPr>
                <w:lang w:val="en-US" w:eastAsia="en-US"/>
              </w:rPr>
              <w:t>17BE(h),</w:t>
            </w:r>
          </w:p>
          <w:p w14:paraId="1D87F60E" w14:textId="77777777" w:rsidR="004F5C03" w:rsidRPr="004F5C03" w:rsidRDefault="004F5C03" w:rsidP="00910D53">
            <w:pPr>
              <w:pStyle w:val="TableText"/>
              <w:rPr>
                <w:lang w:val="en-US" w:eastAsia="en-US"/>
              </w:rPr>
            </w:pPr>
            <w:r w:rsidRPr="004F5C03">
              <w:rPr>
                <w:lang w:val="en-US" w:eastAsia="en-US"/>
              </w:rPr>
              <w:t>17BE(i)</w:t>
            </w:r>
          </w:p>
        </w:tc>
        <w:tc>
          <w:tcPr>
            <w:tcW w:w="1430" w:type="dxa"/>
          </w:tcPr>
          <w:p w14:paraId="03F73A27" w14:textId="29DC9B86" w:rsidR="004F5C03" w:rsidRPr="004F5C03" w:rsidRDefault="00BB14C3" w:rsidP="00910D53">
            <w:pPr>
              <w:pStyle w:val="TableText"/>
              <w:rPr>
                <w:highlight w:val="yellow"/>
                <w:lang w:val="en-US" w:eastAsia="en-US"/>
              </w:rPr>
            </w:pPr>
            <w:r w:rsidRPr="00C005B4">
              <w:rPr>
                <w:lang w:val="en-US" w:eastAsia="en-US"/>
              </w:rPr>
              <w:t>N</w:t>
            </w:r>
            <w:r>
              <w:rPr>
                <w:lang w:val="en-US" w:eastAsia="en-US"/>
              </w:rPr>
              <w:t>ot applicable</w:t>
            </w:r>
          </w:p>
        </w:tc>
        <w:tc>
          <w:tcPr>
            <w:tcW w:w="4868" w:type="dxa"/>
          </w:tcPr>
          <w:p w14:paraId="3E7E8D16" w14:textId="3E0B4E52" w:rsidR="004F5C03" w:rsidRPr="00113F71" w:rsidRDefault="004F5C03" w:rsidP="00113F71">
            <w:pPr>
              <w:pStyle w:val="TableText"/>
            </w:pPr>
            <w:r w:rsidRPr="00113F71">
              <w:t>A statement of significant issues reported to the Minister under paragraph 19(1)(e) of the Act that relates to</w:t>
            </w:r>
          </w:p>
          <w:p w14:paraId="17F75132" w14:textId="77777777" w:rsidR="004F5C03" w:rsidRPr="00910D53" w:rsidRDefault="004F5C03" w:rsidP="00BD681F">
            <w:pPr>
              <w:pStyle w:val="NumberedBulleta"/>
              <w:numPr>
                <w:ilvl w:val="0"/>
                <w:numId w:val="32"/>
              </w:numPr>
            </w:pPr>
            <w:r w:rsidRPr="00910D53">
              <w:rPr>
                <w:lang w:val="en-US"/>
              </w:rPr>
              <w:t>non-</w:t>
            </w:r>
            <w:r w:rsidRPr="00910D53">
              <w:t>compliance with finance law and action taken to</w:t>
            </w:r>
          </w:p>
          <w:p w14:paraId="05F2BA98" w14:textId="77777777" w:rsidR="004F5C03" w:rsidRPr="004F5C03" w:rsidRDefault="004F5C03" w:rsidP="00910D53">
            <w:pPr>
              <w:pStyle w:val="NumberedBulleta"/>
              <w:rPr>
                <w:lang w:val="en-US"/>
              </w:rPr>
            </w:pPr>
            <w:r w:rsidRPr="00910D53">
              <w:t>remedy non</w:t>
            </w:r>
            <w:r w:rsidRPr="004F5C03">
              <w:rPr>
                <w:lang w:val="en-US"/>
              </w:rPr>
              <w:t>-compliance</w:t>
            </w:r>
          </w:p>
        </w:tc>
        <w:tc>
          <w:tcPr>
            <w:tcW w:w="1438" w:type="dxa"/>
          </w:tcPr>
          <w:p w14:paraId="4BECFB03" w14:textId="77777777" w:rsidR="004F5C03" w:rsidRPr="004F5C03" w:rsidRDefault="004F5C03" w:rsidP="00910D53">
            <w:pPr>
              <w:pStyle w:val="TableText"/>
              <w:rPr>
                <w:lang w:val="en-US" w:eastAsia="en-US"/>
              </w:rPr>
            </w:pPr>
            <w:r w:rsidRPr="004F5C03">
              <w:rPr>
                <w:lang w:val="en-US" w:eastAsia="en-US"/>
              </w:rPr>
              <w:t>If applicable,</w:t>
            </w:r>
            <w:r w:rsidRPr="004F5C03">
              <w:rPr>
                <w:spacing w:val="-53"/>
                <w:lang w:val="en-US" w:eastAsia="en-US"/>
              </w:rPr>
              <w:t xml:space="preserve"> </w:t>
            </w:r>
            <w:r w:rsidRPr="004F5C03">
              <w:rPr>
                <w:lang w:val="en-US" w:eastAsia="en-US"/>
              </w:rPr>
              <w:t>mandatory</w:t>
            </w:r>
          </w:p>
        </w:tc>
      </w:tr>
      <w:tr w:rsidR="004F5C03" w:rsidRPr="00910D53" w14:paraId="29A2C154" w14:textId="77777777" w:rsidTr="00EC7DDD">
        <w:trPr>
          <w:trHeight w:val="779"/>
        </w:trPr>
        <w:tc>
          <w:tcPr>
            <w:tcW w:w="1405" w:type="dxa"/>
          </w:tcPr>
          <w:p w14:paraId="3F37506F" w14:textId="77777777" w:rsidR="004F5C03" w:rsidRPr="00910D53" w:rsidRDefault="004F5C03" w:rsidP="00910D53">
            <w:pPr>
              <w:pStyle w:val="TableText"/>
            </w:pPr>
            <w:r w:rsidRPr="00910D53">
              <w:t>17BE(j)</w:t>
            </w:r>
          </w:p>
        </w:tc>
        <w:tc>
          <w:tcPr>
            <w:tcW w:w="1430" w:type="dxa"/>
          </w:tcPr>
          <w:p w14:paraId="48159B39" w14:textId="0F47295E" w:rsidR="004F5C03" w:rsidRPr="00910D53" w:rsidRDefault="0099220C" w:rsidP="00910D53">
            <w:pPr>
              <w:pStyle w:val="TableText"/>
            </w:pPr>
            <w:r w:rsidRPr="00910D53">
              <w:t>Appendix 3</w:t>
            </w:r>
          </w:p>
        </w:tc>
        <w:tc>
          <w:tcPr>
            <w:tcW w:w="4868" w:type="dxa"/>
          </w:tcPr>
          <w:p w14:paraId="7FF0BEEE" w14:textId="77777777" w:rsidR="004F5C03" w:rsidRPr="00910D53" w:rsidRDefault="004F5C03" w:rsidP="00910D53">
            <w:pPr>
              <w:pStyle w:val="TableText"/>
            </w:pPr>
            <w:r w:rsidRPr="00910D53">
              <w:t>Information on the accountable authority, or each member of the accountable authority, of the entity during the reporting period</w:t>
            </w:r>
          </w:p>
        </w:tc>
        <w:tc>
          <w:tcPr>
            <w:tcW w:w="1438" w:type="dxa"/>
          </w:tcPr>
          <w:p w14:paraId="51D9BFDF" w14:textId="77777777" w:rsidR="004F5C03" w:rsidRPr="00910D53" w:rsidRDefault="004F5C03" w:rsidP="00910D53">
            <w:pPr>
              <w:pStyle w:val="TableText"/>
            </w:pPr>
            <w:r w:rsidRPr="00910D53">
              <w:t>Mandatory</w:t>
            </w:r>
          </w:p>
        </w:tc>
      </w:tr>
      <w:tr w:rsidR="004F5C03" w:rsidRPr="00910D53" w14:paraId="74324E03" w14:textId="77777777" w:rsidTr="00EC7DDD">
        <w:trPr>
          <w:trHeight w:val="540"/>
        </w:trPr>
        <w:tc>
          <w:tcPr>
            <w:tcW w:w="1405" w:type="dxa"/>
          </w:tcPr>
          <w:p w14:paraId="63DF7BE5" w14:textId="77777777" w:rsidR="004F5C03" w:rsidRPr="00910D53" w:rsidRDefault="004F5C03" w:rsidP="00910D53">
            <w:pPr>
              <w:pStyle w:val="TableText"/>
            </w:pPr>
            <w:r w:rsidRPr="00910D53">
              <w:t>17BE(k)</w:t>
            </w:r>
          </w:p>
        </w:tc>
        <w:tc>
          <w:tcPr>
            <w:tcW w:w="1430" w:type="dxa"/>
          </w:tcPr>
          <w:p w14:paraId="0FA0EBDE" w14:textId="441010A7" w:rsidR="004F5C03" w:rsidRPr="00910D53" w:rsidRDefault="0099220C" w:rsidP="00910D53">
            <w:pPr>
              <w:pStyle w:val="TableText"/>
            </w:pPr>
            <w:r w:rsidRPr="00910D53">
              <w:t>2.1</w:t>
            </w:r>
            <w:r w:rsidR="00BB14C3">
              <w:t>,</w:t>
            </w:r>
            <w:r w:rsidRPr="00910D53">
              <w:t xml:space="preserve"> 2.2</w:t>
            </w:r>
          </w:p>
        </w:tc>
        <w:tc>
          <w:tcPr>
            <w:tcW w:w="4868" w:type="dxa"/>
          </w:tcPr>
          <w:p w14:paraId="2B8557CD" w14:textId="77777777" w:rsidR="004F5C03" w:rsidRPr="00910D53" w:rsidRDefault="004F5C03" w:rsidP="00910D53">
            <w:pPr>
              <w:pStyle w:val="TableText"/>
            </w:pPr>
            <w:r w:rsidRPr="00910D53">
              <w:t>Outline of the organisational structure of the entity (including any subsidiaries of the entity)</w:t>
            </w:r>
          </w:p>
        </w:tc>
        <w:tc>
          <w:tcPr>
            <w:tcW w:w="1438" w:type="dxa"/>
          </w:tcPr>
          <w:p w14:paraId="35861722" w14:textId="77777777" w:rsidR="004F5C03" w:rsidRPr="00910D53" w:rsidRDefault="004F5C03" w:rsidP="00910D53">
            <w:pPr>
              <w:pStyle w:val="TableText"/>
            </w:pPr>
            <w:r w:rsidRPr="00910D53">
              <w:t>Mandatory</w:t>
            </w:r>
          </w:p>
        </w:tc>
      </w:tr>
      <w:tr w:rsidR="004F5C03" w:rsidRPr="00910D53" w14:paraId="43806B20" w14:textId="77777777" w:rsidTr="00EC7DDD">
        <w:trPr>
          <w:trHeight w:val="1699"/>
        </w:trPr>
        <w:tc>
          <w:tcPr>
            <w:tcW w:w="1405" w:type="dxa"/>
          </w:tcPr>
          <w:p w14:paraId="48E7C10D" w14:textId="77777777" w:rsidR="004F5C03" w:rsidRPr="00910D53" w:rsidRDefault="004F5C03" w:rsidP="00910D53">
            <w:pPr>
              <w:pStyle w:val="TableText"/>
            </w:pPr>
            <w:r w:rsidRPr="00910D53">
              <w:t>17BE(ka)</w:t>
            </w:r>
          </w:p>
        </w:tc>
        <w:tc>
          <w:tcPr>
            <w:tcW w:w="1430" w:type="dxa"/>
          </w:tcPr>
          <w:p w14:paraId="7DE5E237" w14:textId="45CD5CD9" w:rsidR="004F5C03" w:rsidRPr="00910D53" w:rsidRDefault="003D1297" w:rsidP="00910D53">
            <w:pPr>
              <w:pStyle w:val="TableText"/>
            </w:pPr>
            <w:r w:rsidRPr="00C005B4">
              <w:t>Appendix 2</w:t>
            </w:r>
            <w:r w:rsidR="003243D0" w:rsidRPr="00C005B4">
              <w:t xml:space="preserve"> </w:t>
            </w:r>
          </w:p>
        </w:tc>
        <w:tc>
          <w:tcPr>
            <w:tcW w:w="4868" w:type="dxa"/>
          </w:tcPr>
          <w:p w14:paraId="772457A8" w14:textId="77777777" w:rsidR="004F5C03" w:rsidRPr="00910D53" w:rsidRDefault="004F5C03" w:rsidP="00910D53">
            <w:pPr>
              <w:pStyle w:val="TableText"/>
            </w:pPr>
            <w:r w:rsidRPr="00910D53">
              <w:t>Statistics on the entity’s employees on an ongoing and non-ongoing basis, including the following:</w:t>
            </w:r>
          </w:p>
          <w:p w14:paraId="4843B5A7" w14:textId="47A66109" w:rsidR="004F5C03" w:rsidRPr="00910D53" w:rsidRDefault="004F5C03" w:rsidP="00BD681F">
            <w:pPr>
              <w:pStyle w:val="NumberedBulleta"/>
              <w:numPr>
                <w:ilvl w:val="0"/>
                <w:numId w:val="33"/>
              </w:numPr>
            </w:pPr>
            <w:r w:rsidRPr="00910D53">
              <w:t>statistics on full-time employees</w:t>
            </w:r>
          </w:p>
          <w:p w14:paraId="689C979D" w14:textId="54E571E8" w:rsidR="004F5C03" w:rsidRPr="00910D53" w:rsidRDefault="004F5C03" w:rsidP="00910D53">
            <w:pPr>
              <w:pStyle w:val="NumberedBulleta"/>
            </w:pPr>
            <w:r w:rsidRPr="00910D53">
              <w:t>statistics on part-time employees</w:t>
            </w:r>
          </w:p>
          <w:p w14:paraId="5A715AF8" w14:textId="014FB0BE" w:rsidR="004F5C03" w:rsidRPr="00910D53" w:rsidRDefault="004F5C03" w:rsidP="00910D53">
            <w:pPr>
              <w:pStyle w:val="NumberedBulleta"/>
            </w:pPr>
            <w:r w:rsidRPr="00910D53">
              <w:t>statistics on gender</w:t>
            </w:r>
          </w:p>
          <w:p w14:paraId="49BBBC60" w14:textId="693C2C3B" w:rsidR="004F5C03" w:rsidRPr="00910D53" w:rsidRDefault="004F5C03" w:rsidP="00910D53">
            <w:pPr>
              <w:pStyle w:val="NumberedBulleta"/>
            </w:pPr>
            <w:r w:rsidRPr="00910D53">
              <w:t>statistics on staff location</w:t>
            </w:r>
            <w:r w:rsidR="00C5796B">
              <w:t>.</w:t>
            </w:r>
          </w:p>
        </w:tc>
        <w:tc>
          <w:tcPr>
            <w:tcW w:w="1438" w:type="dxa"/>
          </w:tcPr>
          <w:p w14:paraId="42369860" w14:textId="77777777" w:rsidR="004F5C03" w:rsidRPr="00910D53" w:rsidRDefault="004F5C03" w:rsidP="00910D53">
            <w:pPr>
              <w:pStyle w:val="TableText"/>
            </w:pPr>
            <w:r w:rsidRPr="00910D53">
              <w:t>Mandatory</w:t>
            </w:r>
          </w:p>
        </w:tc>
      </w:tr>
      <w:tr w:rsidR="004F5C03" w:rsidRPr="00910D53" w14:paraId="64DF2E30" w14:textId="77777777" w:rsidTr="00EC7DDD">
        <w:trPr>
          <w:trHeight w:val="673"/>
        </w:trPr>
        <w:tc>
          <w:tcPr>
            <w:tcW w:w="1405" w:type="dxa"/>
          </w:tcPr>
          <w:p w14:paraId="309A72B5" w14:textId="77777777" w:rsidR="004F5C03" w:rsidRPr="00910D53" w:rsidRDefault="004F5C03" w:rsidP="00910D53">
            <w:pPr>
              <w:pStyle w:val="TableText"/>
            </w:pPr>
            <w:r w:rsidRPr="00910D53">
              <w:t>17BE(l)</w:t>
            </w:r>
          </w:p>
        </w:tc>
        <w:tc>
          <w:tcPr>
            <w:tcW w:w="1430" w:type="dxa"/>
          </w:tcPr>
          <w:p w14:paraId="302F598E" w14:textId="24C259EA" w:rsidR="004F5C03" w:rsidRPr="00910D53" w:rsidRDefault="006378EB" w:rsidP="00910D53">
            <w:pPr>
              <w:pStyle w:val="TableText"/>
            </w:pPr>
            <w:r w:rsidRPr="00910D53">
              <w:t>2.3</w:t>
            </w:r>
          </w:p>
        </w:tc>
        <w:tc>
          <w:tcPr>
            <w:tcW w:w="4868" w:type="dxa"/>
          </w:tcPr>
          <w:p w14:paraId="238B6139" w14:textId="4479D104" w:rsidR="004F5C03" w:rsidRPr="00910D53" w:rsidRDefault="004F5C03" w:rsidP="00910D53">
            <w:pPr>
              <w:pStyle w:val="TableText"/>
            </w:pPr>
            <w:r w:rsidRPr="00910D53">
              <w:t>Outline of the location (whether or not in Australia) of major activities or facilities of the entity</w:t>
            </w:r>
          </w:p>
        </w:tc>
        <w:tc>
          <w:tcPr>
            <w:tcW w:w="1438" w:type="dxa"/>
          </w:tcPr>
          <w:p w14:paraId="7F185E1B" w14:textId="5D15D57D" w:rsidR="004F5C03" w:rsidRPr="00910D53" w:rsidRDefault="004F5C03" w:rsidP="00910D53">
            <w:pPr>
              <w:pStyle w:val="TableText"/>
            </w:pPr>
            <w:r w:rsidRPr="00910D53">
              <w:t>Mandatory</w:t>
            </w:r>
          </w:p>
        </w:tc>
      </w:tr>
    </w:tbl>
    <w:p w14:paraId="7BEF7285" w14:textId="77777777" w:rsidR="00C5796B" w:rsidRPr="00113F71" w:rsidRDefault="00C5796B" w:rsidP="00113F71"/>
    <w:p w14:paraId="0660B903" w14:textId="77777777" w:rsidR="00C5796B" w:rsidRPr="00113F71" w:rsidRDefault="00C5796B" w:rsidP="00113F71"/>
    <w:p w14:paraId="417905BD" w14:textId="104D54F2" w:rsidR="00910D53" w:rsidRPr="00113F71" w:rsidRDefault="00910D53" w:rsidP="00113F71"/>
    <w:p w14:paraId="60FBD55B" w14:textId="77777777" w:rsidR="002F16FD" w:rsidRPr="00113F71" w:rsidRDefault="002F16FD" w:rsidP="00113F71">
      <w:pPr>
        <w:sectPr w:rsidR="002F16FD" w:rsidRPr="00113F71" w:rsidSect="00B0477E">
          <w:headerReference w:type="default" r:id="rId75"/>
          <w:pgSz w:w="11879" w:h="16840" w:code="9"/>
          <w:pgMar w:top="1134" w:right="833" w:bottom="1134" w:left="1077" w:header="851" w:footer="851" w:gutter="0"/>
          <w:cols w:space="720"/>
          <w:docGrid w:linePitch="326"/>
        </w:sectPr>
      </w:pPr>
    </w:p>
    <w:tbl>
      <w:tblPr>
        <w:tblW w:w="0" w:type="auto"/>
        <w:tblInd w:w="134" w:type="dxa"/>
        <w:tblBorders>
          <w:top w:val="single" w:sz="4" w:space="0" w:color="000000"/>
          <w:bottom w:val="single" w:sz="4" w:space="0" w:color="000000"/>
          <w:insideH w:val="single" w:sz="4" w:space="0" w:color="000000"/>
        </w:tblBorders>
        <w:tblLayout w:type="fixed"/>
        <w:tblCellMar>
          <w:top w:w="113" w:type="dxa"/>
          <w:left w:w="113" w:type="dxa"/>
          <w:bottom w:w="113" w:type="dxa"/>
          <w:right w:w="113" w:type="dxa"/>
        </w:tblCellMar>
        <w:tblLook w:val="01E0" w:firstRow="1" w:lastRow="1" w:firstColumn="1" w:lastColumn="1" w:noHBand="0" w:noVBand="0"/>
      </w:tblPr>
      <w:tblGrid>
        <w:gridCol w:w="1405"/>
        <w:gridCol w:w="1147"/>
        <w:gridCol w:w="4977"/>
        <w:gridCol w:w="1612"/>
      </w:tblGrid>
      <w:tr w:rsidR="004F5C03" w:rsidRPr="00113F71" w14:paraId="38AE12BD" w14:textId="77777777" w:rsidTr="00EC7DDD">
        <w:trPr>
          <w:trHeight w:val="540"/>
          <w:tblHeader/>
        </w:trPr>
        <w:tc>
          <w:tcPr>
            <w:tcW w:w="1405" w:type="dxa"/>
            <w:shd w:val="clear" w:color="auto" w:fill="F2F2F2" w:themeFill="background1" w:themeFillShade="F2"/>
          </w:tcPr>
          <w:p w14:paraId="3834EFCE" w14:textId="77777777" w:rsidR="004F5C03" w:rsidRPr="00113F71" w:rsidRDefault="004F5C03" w:rsidP="00113F71">
            <w:pPr>
              <w:pStyle w:val="TableHeading"/>
            </w:pPr>
            <w:r w:rsidRPr="00113F71">
              <w:t>PGPA Rule Reference</w:t>
            </w:r>
          </w:p>
        </w:tc>
        <w:tc>
          <w:tcPr>
            <w:tcW w:w="1147" w:type="dxa"/>
            <w:shd w:val="clear" w:color="auto" w:fill="F2F2F2" w:themeFill="background1" w:themeFillShade="F2"/>
          </w:tcPr>
          <w:p w14:paraId="61E09351" w14:textId="77777777" w:rsidR="004F5C03" w:rsidRPr="00113F71" w:rsidRDefault="004F5C03" w:rsidP="00113F71">
            <w:pPr>
              <w:pStyle w:val="TableHeading"/>
            </w:pPr>
            <w:r w:rsidRPr="00113F71">
              <w:t>Part of Report</w:t>
            </w:r>
          </w:p>
        </w:tc>
        <w:tc>
          <w:tcPr>
            <w:tcW w:w="4977" w:type="dxa"/>
            <w:shd w:val="clear" w:color="auto" w:fill="F2F2F2" w:themeFill="background1" w:themeFillShade="F2"/>
          </w:tcPr>
          <w:p w14:paraId="7F807053" w14:textId="77777777" w:rsidR="004F5C03" w:rsidRPr="00113F71" w:rsidRDefault="004F5C03" w:rsidP="00113F71">
            <w:pPr>
              <w:pStyle w:val="TableHeading"/>
            </w:pPr>
            <w:r w:rsidRPr="00113F71">
              <w:t>Description</w:t>
            </w:r>
          </w:p>
        </w:tc>
        <w:tc>
          <w:tcPr>
            <w:tcW w:w="1612" w:type="dxa"/>
            <w:shd w:val="clear" w:color="auto" w:fill="F2F2F2" w:themeFill="background1" w:themeFillShade="F2"/>
          </w:tcPr>
          <w:p w14:paraId="7D62218D" w14:textId="77777777" w:rsidR="004F5C03" w:rsidRPr="00113F71" w:rsidRDefault="004F5C03" w:rsidP="00113F71">
            <w:pPr>
              <w:pStyle w:val="TableHeading"/>
            </w:pPr>
            <w:r w:rsidRPr="00113F71">
              <w:t>Requirement</w:t>
            </w:r>
          </w:p>
        </w:tc>
      </w:tr>
      <w:tr w:rsidR="004F5C03" w:rsidRPr="004F5C03" w14:paraId="784C3DE0" w14:textId="77777777" w:rsidTr="00EC7DDD">
        <w:trPr>
          <w:trHeight w:val="539"/>
        </w:trPr>
        <w:tc>
          <w:tcPr>
            <w:tcW w:w="1405" w:type="dxa"/>
          </w:tcPr>
          <w:p w14:paraId="0911A186" w14:textId="77777777" w:rsidR="004F5C03" w:rsidRPr="004F5C03" w:rsidRDefault="004F5C03" w:rsidP="00910D53">
            <w:pPr>
              <w:pStyle w:val="TableText"/>
              <w:rPr>
                <w:lang w:val="en-US" w:eastAsia="en-US"/>
              </w:rPr>
            </w:pPr>
            <w:r w:rsidRPr="004F5C03">
              <w:rPr>
                <w:lang w:val="en-US" w:eastAsia="en-US"/>
              </w:rPr>
              <w:t>17BE(m)</w:t>
            </w:r>
          </w:p>
        </w:tc>
        <w:tc>
          <w:tcPr>
            <w:tcW w:w="1147" w:type="dxa"/>
          </w:tcPr>
          <w:p w14:paraId="046E4263" w14:textId="058627BC" w:rsidR="004F5C03" w:rsidRPr="004F5C03" w:rsidRDefault="00D44DD3" w:rsidP="00910D53">
            <w:pPr>
              <w:pStyle w:val="TableText"/>
              <w:rPr>
                <w:lang w:val="en-US" w:eastAsia="en-US"/>
              </w:rPr>
            </w:pPr>
            <w:r>
              <w:rPr>
                <w:lang w:val="en-US" w:eastAsia="en-US"/>
              </w:rPr>
              <w:t xml:space="preserve">2.4 </w:t>
            </w:r>
          </w:p>
        </w:tc>
        <w:tc>
          <w:tcPr>
            <w:tcW w:w="4977" w:type="dxa"/>
          </w:tcPr>
          <w:p w14:paraId="14F585FE" w14:textId="77777777" w:rsidR="004F5C03" w:rsidRPr="00113F71" w:rsidRDefault="004F5C03" w:rsidP="00113F71">
            <w:pPr>
              <w:pStyle w:val="TableText"/>
            </w:pPr>
            <w:r w:rsidRPr="00113F71">
              <w:t>Information relating to the main corporate governance practices used by the entity during the reporting period</w:t>
            </w:r>
          </w:p>
        </w:tc>
        <w:tc>
          <w:tcPr>
            <w:tcW w:w="1612" w:type="dxa"/>
          </w:tcPr>
          <w:p w14:paraId="2A221354" w14:textId="77777777" w:rsidR="004F5C03" w:rsidRPr="004F5C03" w:rsidRDefault="004F5C03" w:rsidP="00910D53">
            <w:pPr>
              <w:pStyle w:val="TableText"/>
              <w:rPr>
                <w:lang w:val="en-US" w:eastAsia="en-US"/>
              </w:rPr>
            </w:pPr>
            <w:r w:rsidRPr="004F5C03">
              <w:rPr>
                <w:lang w:val="en-US" w:eastAsia="en-US"/>
              </w:rPr>
              <w:t>Mandatory</w:t>
            </w:r>
          </w:p>
        </w:tc>
      </w:tr>
      <w:tr w:rsidR="004F5C03" w:rsidRPr="004F5C03" w14:paraId="3DA58C0F" w14:textId="77777777" w:rsidTr="00EC7DDD">
        <w:trPr>
          <w:trHeight w:val="2989"/>
        </w:trPr>
        <w:tc>
          <w:tcPr>
            <w:tcW w:w="1405" w:type="dxa"/>
          </w:tcPr>
          <w:p w14:paraId="1FEEBBB4" w14:textId="77777777" w:rsidR="004F5C03" w:rsidRPr="004F5C03" w:rsidRDefault="004F5C03" w:rsidP="00910D53">
            <w:pPr>
              <w:pStyle w:val="TableText"/>
              <w:rPr>
                <w:lang w:val="en-US" w:eastAsia="en-US"/>
              </w:rPr>
            </w:pPr>
            <w:r w:rsidRPr="004F5C03">
              <w:rPr>
                <w:lang w:val="en-US" w:eastAsia="en-US"/>
              </w:rPr>
              <w:t>17BE(n),</w:t>
            </w:r>
          </w:p>
          <w:p w14:paraId="24A3AFA6" w14:textId="77777777" w:rsidR="004F5C03" w:rsidRPr="004F5C03" w:rsidRDefault="004F5C03" w:rsidP="00910D53">
            <w:pPr>
              <w:pStyle w:val="TableText"/>
              <w:rPr>
                <w:lang w:val="en-US" w:eastAsia="en-US"/>
              </w:rPr>
            </w:pPr>
            <w:r w:rsidRPr="004F5C03">
              <w:rPr>
                <w:lang w:val="en-US" w:eastAsia="en-US"/>
              </w:rPr>
              <w:t>17BE(o)</w:t>
            </w:r>
          </w:p>
        </w:tc>
        <w:tc>
          <w:tcPr>
            <w:tcW w:w="1147" w:type="dxa"/>
          </w:tcPr>
          <w:p w14:paraId="3696432E" w14:textId="726FDA07" w:rsidR="004F5C03" w:rsidRPr="004F5C03" w:rsidRDefault="007232B2" w:rsidP="00910D53">
            <w:pPr>
              <w:pStyle w:val="TableText"/>
              <w:rPr>
                <w:lang w:val="en-US" w:eastAsia="en-US"/>
              </w:rPr>
            </w:pPr>
            <w:r>
              <w:rPr>
                <w:lang w:val="en-US" w:eastAsia="en-US"/>
              </w:rPr>
              <w:t>Not applicable</w:t>
            </w:r>
          </w:p>
        </w:tc>
        <w:tc>
          <w:tcPr>
            <w:tcW w:w="4977" w:type="dxa"/>
          </w:tcPr>
          <w:p w14:paraId="3D9C0750" w14:textId="77777777" w:rsidR="004F5C03" w:rsidRPr="00113F71" w:rsidRDefault="004F5C03" w:rsidP="00113F71">
            <w:pPr>
              <w:pStyle w:val="TableText"/>
            </w:pPr>
            <w:r w:rsidRPr="00113F71">
              <w:t>For transactions with a related Commonwealth entity or related company where the value of the transaction, or if there is more than one transaction, the aggregate of those transactions, is more than $10,000 (inclusive of GST):</w:t>
            </w:r>
          </w:p>
          <w:p w14:paraId="25D16C78" w14:textId="77777777" w:rsidR="004F5C03" w:rsidRPr="00113F71" w:rsidRDefault="004F5C03" w:rsidP="00BD681F">
            <w:pPr>
              <w:pStyle w:val="NumberedBulleta"/>
              <w:numPr>
                <w:ilvl w:val="0"/>
                <w:numId w:val="34"/>
              </w:numPr>
            </w:pPr>
            <w:r w:rsidRPr="00113F71">
              <w:t>the decision-making process undertaken by the accountable authority to approve the entity paying for a good or service from, or providing a grant to, the related Commonwealth entity or related company; and</w:t>
            </w:r>
          </w:p>
          <w:p w14:paraId="6E3AFA5A" w14:textId="77777777" w:rsidR="004F5C03" w:rsidRPr="00113F71" w:rsidRDefault="004F5C03" w:rsidP="00113F71">
            <w:pPr>
              <w:pStyle w:val="NumberedBulleta"/>
            </w:pPr>
            <w:r w:rsidRPr="00113F71">
              <w:t>the value of the transaction, or if there is more than one transaction, the number of transactions and the</w:t>
            </w:r>
          </w:p>
          <w:p w14:paraId="67A348D4" w14:textId="21E3DAA4" w:rsidR="004F5C03" w:rsidRPr="004F5C03" w:rsidRDefault="004F5C03" w:rsidP="00113F71">
            <w:pPr>
              <w:pStyle w:val="NumberedBulleta"/>
              <w:rPr>
                <w:lang w:val="en-US"/>
              </w:rPr>
            </w:pPr>
            <w:r w:rsidRPr="00113F71">
              <w:t>aggregate of value of the transactions</w:t>
            </w:r>
            <w:r w:rsidR="00C5796B" w:rsidRPr="00113F71">
              <w:t>.</w:t>
            </w:r>
          </w:p>
        </w:tc>
        <w:tc>
          <w:tcPr>
            <w:tcW w:w="1612" w:type="dxa"/>
          </w:tcPr>
          <w:p w14:paraId="7E2DC9D9" w14:textId="77777777" w:rsidR="004F5C03" w:rsidRPr="004F5C03" w:rsidRDefault="004F5C03" w:rsidP="00910D53">
            <w:pPr>
              <w:pStyle w:val="TableText"/>
              <w:rPr>
                <w:lang w:val="en-US" w:eastAsia="en-US"/>
              </w:rPr>
            </w:pPr>
            <w:r w:rsidRPr="004F5C03">
              <w:rPr>
                <w:lang w:val="en-US" w:eastAsia="en-US"/>
              </w:rPr>
              <w:t>If applicable,</w:t>
            </w:r>
            <w:r w:rsidRPr="004F5C03">
              <w:rPr>
                <w:spacing w:val="-53"/>
                <w:lang w:val="en-US" w:eastAsia="en-US"/>
              </w:rPr>
              <w:t xml:space="preserve"> </w:t>
            </w:r>
            <w:r w:rsidRPr="004F5C03">
              <w:rPr>
                <w:lang w:val="en-US" w:eastAsia="en-US"/>
              </w:rPr>
              <w:t>mandatory</w:t>
            </w:r>
          </w:p>
        </w:tc>
      </w:tr>
      <w:tr w:rsidR="004F5C03" w:rsidRPr="004F5C03" w14:paraId="4C24188C" w14:textId="77777777" w:rsidTr="00EC7DDD">
        <w:trPr>
          <w:trHeight w:val="780"/>
        </w:trPr>
        <w:tc>
          <w:tcPr>
            <w:tcW w:w="1405" w:type="dxa"/>
          </w:tcPr>
          <w:p w14:paraId="12FAE99A" w14:textId="77777777" w:rsidR="004F5C03" w:rsidRPr="004F5C03" w:rsidRDefault="004F5C03" w:rsidP="00910D53">
            <w:pPr>
              <w:pStyle w:val="TableText"/>
              <w:rPr>
                <w:lang w:val="en-US" w:eastAsia="en-US"/>
              </w:rPr>
            </w:pPr>
            <w:r w:rsidRPr="004F5C03">
              <w:rPr>
                <w:lang w:val="en-US" w:eastAsia="en-US"/>
              </w:rPr>
              <w:t>17BE(p)</w:t>
            </w:r>
          </w:p>
        </w:tc>
        <w:tc>
          <w:tcPr>
            <w:tcW w:w="1147" w:type="dxa"/>
          </w:tcPr>
          <w:p w14:paraId="3EE07DBB" w14:textId="59115D30" w:rsidR="004F5C03" w:rsidRPr="004F5C03" w:rsidRDefault="00D44DD3" w:rsidP="00910D53">
            <w:pPr>
              <w:pStyle w:val="TableText"/>
              <w:rPr>
                <w:lang w:val="en-US" w:eastAsia="en-US"/>
              </w:rPr>
            </w:pPr>
            <w:r>
              <w:rPr>
                <w:lang w:val="en-US" w:eastAsia="en-US"/>
              </w:rPr>
              <w:t>4.1</w:t>
            </w:r>
          </w:p>
        </w:tc>
        <w:tc>
          <w:tcPr>
            <w:tcW w:w="4977" w:type="dxa"/>
          </w:tcPr>
          <w:p w14:paraId="45443F08" w14:textId="77777777" w:rsidR="004F5C03" w:rsidRPr="004F5C03" w:rsidRDefault="004F5C03" w:rsidP="00910D53">
            <w:pPr>
              <w:pStyle w:val="TableText"/>
              <w:rPr>
                <w:lang w:val="en-US" w:eastAsia="en-US"/>
              </w:rPr>
            </w:pPr>
            <w:r w:rsidRPr="004F5C03">
              <w:rPr>
                <w:lang w:val="en-US" w:eastAsia="en-US"/>
              </w:rPr>
              <w:t>Any significant activities and changes that affected the</w:t>
            </w:r>
            <w:r w:rsidRPr="004F5C03">
              <w:rPr>
                <w:spacing w:val="-54"/>
                <w:lang w:val="en-US" w:eastAsia="en-US"/>
              </w:rPr>
              <w:t xml:space="preserve"> </w:t>
            </w:r>
            <w:r w:rsidRPr="004F5C03">
              <w:rPr>
                <w:lang w:val="en-US" w:eastAsia="en-US"/>
              </w:rPr>
              <w:t>operation or structure of the entity during the reporting</w:t>
            </w:r>
            <w:r w:rsidRPr="004F5C03">
              <w:rPr>
                <w:spacing w:val="-53"/>
                <w:lang w:val="en-US" w:eastAsia="en-US"/>
              </w:rPr>
              <w:t xml:space="preserve"> </w:t>
            </w:r>
            <w:r w:rsidRPr="004F5C03">
              <w:rPr>
                <w:lang w:val="en-US" w:eastAsia="en-US"/>
              </w:rPr>
              <w:t>period</w:t>
            </w:r>
          </w:p>
        </w:tc>
        <w:tc>
          <w:tcPr>
            <w:tcW w:w="1612" w:type="dxa"/>
          </w:tcPr>
          <w:p w14:paraId="6632F669" w14:textId="77777777" w:rsidR="004F5C03" w:rsidRPr="004F5C03" w:rsidRDefault="004F5C03" w:rsidP="00910D53">
            <w:pPr>
              <w:pStyle w:val="TableText"/>
              <w:rPr>
                <w:lang w:val="en-US" w:eastAsia="en-US"/>
              </w:rPr>
            </w:pPr>
            <w:r w:rsidRPr="004F5C03">
              <w:rPr>
                <w:lang w:val="en-US" w:eastAsia="en-US"/>
              </w:rPr>
              <w:t>If applicable,</w:t>
            </w:r>
            <w:r w:rsidRPr="004F5C03">
              <w:rPr>
                <w:spacing w:val="-53"/>
                <w:lang w:val="en-US" w:eastAsia="en-US"/>
              </w:rPr>
              <w:t xml:space="preserve"> </w:t>
            </w:r>
            <w:r w:rsidRPr="004F5C03">
              <w:rPr>
                <w:lang w:val="en-US" w:eastAsia="en-US"/>
              </w:rPr>
              <w:t>mandatory</w:t>
            </w:r>
          </w:p>
        </w:tc>
      </w:tr>
      <w:tr w:rsidR="004F5C03" w:rsidRPr="004F5C03" w14:paraId="16096FA6" w14:textId="77777777" w:rsidTr="00EC7DDD">
        <w:trPr>
          <w:trHeight w:val="779"/>
        </w:trPr>
        <w:tc>
          <w:tcPr>
            <w:tcW w:w="1405" w:type="dxa"/>
          </w:tcPr>
          <w:p w14:paraId="1FCE9D1C" w14:textId="77777777" w:rsidR="004F5C03" w:rsidRPr="004F5C03" w:rsidRDefault="004F5C03" w:rsidP="00910D53">
            <w:pPr>
              <w:pStyle w:val="TableText"/>
              <w:rPr>
                <w:lang w:val="en-US" w:eastAsia="en-US"/>
              </w:rPr>
            </w:pPr>
            <w:r w:rsidRPr="004F5C03">
              <w:rPr>
                <w:lang w:val="en-US" w:eastAsia="en-US"/>
              </w:rPr>
              <w:t>17BE(q)</w:t>
            </w:r>
          </w:p>
        </w:tc>
        <w:tc>
          <w:tcPr>
            <w:tcW w:w="1147" w:type="dxa"/>
          </w:tcPr>
          <w:p w14:paraId="546E0460" w14:textId="78B9CD8D" w:rsidR="004F5C03" w:rsidRPr="004F5C03" w:rsidRDefault="00D44DD3" w:rsidP="00910D53">
            <w:pPr>
              <w:pStyle w:val="TableText"/>
              <w:rPr>
                <w:lang w:val="en-US" w:eastAsia="en-US"/>
              </w:rPr>
            </w:pPr>
            <w:r>
              <w:rPr>
                <w:lang w:val="en-US" w:eastAsia="en-US"/>
              </w:rPr>
              <w:t>Not applicable</w:t>
            </w:r>
          </w:p>
        </w:tc>
        <w:tc>
          <w:tcPr>
            <w:tcW w:w="4977" w:type="dxa"/>
          </w:tcPr>
          <w:p w14:paraId="1BAAC279" w14:textId="77777777" w:rsidR="004F5C03" w:rsidRPr="00113F71" w:rsidRDefault="004F5C03" w:rsidP="00113F71">
            <w:pPr>
              <w:pStyle w:val="TableText"/>
            </w:pPr>
            <w:r w:rsidRPr="00113F71">
              <w:t>Particulars of judicial decisions or decisions of administrative tribunals that may have a significant effect on the operations of the entity</w:t>
            </w:r>
          </w:p>
        </w:tc>
        <w:tc>
          <w:tcPr>
            <w:tcW w:w="1612" w:type="dxa"/>
          </w:tcPr>
          <w:p w14:paraId="00F36F82" w14:textId="77777777" w:rsidR="004F5C03" w:rsidRPr="004F5C03" w:rsidRDefault="004F5C03" w:rsidP="00910D53">
            <w:pPr>
              <w:pStyle w:val="TableText"/>
              <w:rPr>
                <w:lang w:val="en-US" w:eastAsia="en-US"/>
              </w:rPr>
            </w:pPr>
            <w:r w:rsidRPr="004F5C03">
              <w:rPr>
                <w:lang w:val="en-US" w:eastAsia="en-US"/>
              </w:rPr>
              <w:t>If applicable,</w:t>
            </w:r>
            <w:r w:rsidRPr="004F5C03">
              <w:rPr>
                <w:spacing w:val="-53"/>
                <w:lang w:val="en-US" w:eastAsia="en-US"/>
              </w:rPr>
              <w:t xml:space="preserve"> </w:t>
            </w:r>
            <w:r w:rsidRPr="004F5C03">
              <w:rPr>
                <w:lang w:val="en-US" w:eastAsia="en-US"/>
              </w:rPr>
              <w:t>mandatory</w:t>
            </w:r>
          </w:p>
        </w:tc>
      </w:tr>
      <w:tr w:rsidR="004F5C03" w:rsidRPr="004F5C03" w14:paraId="600FBA05" w14:textId="77777777" w:rsidTr="00EC7DDD">
        <w:trPr>
          <w:trHeight w:val="1690"/>
        </w:trPr>
        <w:tc>
          <w:tcPr>
            <w:tcW w:w="1405" w:type="dxa"/>
          </w:tcPr>
          <w:p w14:paraId="030CE73C" w14:textId="77777777" w:rsidR="004F5C03" w:rsidRPr="004F5C03" w:rsidRDefault="004F5C03" w:rsidP="00910D53">
            <w:pPr>
              <w:pStyle w:val="TableText"/>
              <w:rPr>
                <w:lang w:val="en-US" w:eastAsia="en-US"/>
              </w:rPr>
            </w:pPr>
            <w:r w:rsidRPr="004F5C03">
              <w:rPr>
                <w:lang w:val="en-US" w:eastAsia="en-US"/>
              </w:rPr>
              <w:t>17BE(r)</w:t>
            </w:r>
          </w:p>
        </w:tc>
        <w:tc>
          <w:tcPr>
            <w:tcW w:w="1147" w:type="dxa"/>
          </w:tcPr>
          <w:p w14:paraId="210FA30E" w14:textId="0B0F8107" w:rsidR="004F5C03" w:rsidRPr="004F5C03" w:rsidRDefault="7797FC61" w:rsidP="00910D53">
            <w:pPr>
              <w:pStyle w:val="TableText"/>
              <w:rPr>
                <w:lang w:val="en-US" w:eastAsia="en-US"/>
              </w:rPr>
            </w:pPr>
            <w:r w:rsidRPr="2832F822">
              <w:rPr>
                <w:lang w:val="en-US" w:eastAsia="en-US"/>
              </w:rPr>
              <w:t>Not applicable</w:t>
            </w:r>
          </w:p>
        </w:tc>
        <w:tc>
          <w:tcPr>
            <w:tcW w:w="4977" w:type="dxa"/>
          </w:tcPr>
          <w:p w14:paraId="6FEF1F66" w14:textId="77777777" w:rsidR="004F5C03" w:rsidRPr="00113F71" w:rsidRDefault="004F5C03" w:rsidP="00113F71">
            <w:pPr>
              <w:pStyle w:val="TableText"/>
            </w:pPr>
            <w:r w:rsidRPr="00113F71">
              <w:t>Particulars of any reports on the entity given by:</w:t>
            </w:r>
          </w:p>
          <w:p w14:paraId="439473F1" w14:textId="77777777" w:rsidR="004F5C03" w:rsidRPr="00113F71" w:rsidRDefault="004F5C03" w:rsidP="00BD681F">
            <w:pPr>
              <w:pStyle w:val="NumberedBulleta"/>
              <w:numPr>
                <w:ilvl w:val="0"/>
                <w:numId w:val="35"/>
              </w:numPr>
            </w:pPr>
            <w:r w:rsidRPr="00113F71">
              <w:t>the Auditor-General (other than a report under section 43 of the Act); or</w:t>
            </w:r>
          </w:p>
          <w:p w14:paraId="3130CBBA" w14:textId="77777777" w:rsidR="004F5C03" w:rsidRPr="00113F71" w:rsidRDefault="004F5C03" w:rsidP="00113F71">
            <w:pPr>
              <w:pStyle w:val="NumberedBulleta"/>
            </w:pPr>
            <w:r w:rsidRPr="00113F71">
              <w:t>a Parliamentary Committee; or</w:t>
            </w:r>
          </w:p>
          <w:p w14:paraId="38047CFB" w14:textId="77777777" w:rsidR="004F5C03" w:rsidRPr="00113F71" w:rsidRDefault="004F5C03" w:rsidP="00113F71">
            <w:pPr>
              <w:pStyle w:val="NumberedBulleta"/>
            </w:pPr>
            <w:r w:rsidRPr="00113F71">
              <w:t>the Commonwealth Ombudsman; or</w:t>
            </w:r>
          </w:p>
          <w:p w14:paraId="1F3B7DEE" w14:textId="1BDA5461" w:rsidR="004F5C03" w:rsidRPr="004F5C03" w:rsidRDefault="004F5C03" w:rsidP="00113F71">
            <w:pPr>
              <w:pStyle w:val="NumberedBulleta"/>
              <w:rPr>
                <w:lang w:val="en-US"/>
              </w:rPr>
            </w:pPr>
            <w:r w:rsidRPr="00113F71">
              <w:t>the Office of the Australian Information Commissioner</w:t>
            </w:r>
            <w:r w:rsidR="00C5796B" w:rsidRPr="00113F71">
              <w:t>.</w:t>
            </w:r>
          </w:p>
        </w:tc>
        <w:tc>
          <w:tcPr>
            <w:tcW w:w="1612" w:type="dxa"/>
          </w:tcPr>
          <w:p w14:paraId="485AD7A5" w14:textId="77777777" w:rsidR="004F5C03" w:rsidRPr="004F5C03" w:rsidRDefault="004F5C03" w:rsidP="00910D53">
            <w:pPr>
              <w:pStyle w:val="TableText"/>
              <w:rPr>
                <w:lang w:val="en-US" w:eastAsia="en-US"/>
              </w:rPr>
            </w:pPr>
            <w:r w:rsidRPr="004F5C03">
              <w:rPr>
                <w:lang w:val="en-US" w:eastAsia="en-US"/>
              </w:rPr>
              <w:t>If applicable,</w:t>
            </w:r>
            <w:r w:rsidRPr="004F5C03">
              <w:rPr>
                <w:spacing w:val="-53"/>
                <w:lang w:val="en-US" w:eastAsia="en-US"/>
              </w:rPr>
              <w:t xml:space="preserve"> </w:t>
            </w:r>
            <w:r w:rsidRPr="004F5C03">
              <w:rPr>
                <w:lang w:val="en-US" w:eastAsia="en-US"/>
              </w:rPr>
              <w:t>mandatory</w:t>
            </w:r>
          </w:p>
        </w:tc>
      </w:tr>
      <w:tr w:rsidR="004F5C03" w:rsidRPr="004F5C03" w14:paraId="5016D820" w14:textId="77777777" w:rsidTr="00EC7DDD">
        <w:trPr>
          <w:trHeight w:val="779"/>
        </w:trPr>
        <w:tc>
          <w:tcPr>
            <w:tcW w:w="1405" w:type="dxa"/>
          </w:tcPr>
          <w:p w14:paraId="56602CEE" w14:textId="77777777" w:rsidR="004F5C03" w:rsidRPr="004F5C03" w:rsidRDefault="004F5C03" w:rsidP="00910D53">
            <w:pPr>
              <w:pStyle w:val="TableText"/>
              <w:rPr>
                <w:lang w:val="en-US" w:eastAsia="en-US"/>
              </w:rPr>
            </w:pPr>
            <w:r w:rsidRPr="004F5C03">
              <w:rPr>
                <w:lang w:val="en-US" w:eastAsia="en-US"/>
              </w:rPr>
              <w:t>17BE(s)</w:t>
            </w:r>
          </w:p>
        </w:tc>
        <w:tc>
          <w:tcPr>
            <w:tcW w:w="1147" w:type="dxa"/>
          </w:tcPr>
          <w:p w14:paraId="42A87B81" w14:textId="63BF717C" w:rsidR="004F5C03" w:rsidRPr="004F5C03" w:rsidRDefault="00583A21" w:rsidP="00910D53">
            <w:pPr>
              <w:pStyle w:val="TableText"/>
              <w:rPr>
                <w:lang w:val="en-US" w:eastAsia="en-US"/>
              </w:rPr>
            </w:pPr>
            <w:r>
              <w:rPr>
                <w:lang w:val="en-US" w:eastAsia="en-US"/>
              </w:rPr>
              <w:t>Not applicable</w:t>
            </w:r>
          </w:p>
        </w:tc>
        <w:tc>
          <w:tcPr>
            <w:tcW w:w="4977" w:type="dxa"/>
          </w:tcPr>
          <w:p w14:paraId="5496E3EC" w14:textId="77777777" w:rsidR="004F5C03" w:rsidRPr="00113F71" w:rsidRDefault="004F5C03" w:rsidP="00113F71">
            <w:pPr>
              <w:pStyle w:val="TableText"/>
            </w:pPr>
            <w:r w:rsidRPr="00113F71">
              <w:t>An explanation of information not obtained from a subsidiary of the entity and the effect of not having the information on the annual report</w:t>
            </w:r>
          </w:p>
        </w:tc>
        <w:tc>
          <w:tcPr>
            <w:tcW w:w="1612" w:type="dxa"/>
          </w:tcPr>
          <w:p w14:paraId="3BB2A954" w14:textId="77777777" w:rsidR="004F5C03" w:rsidRPr="004F5C03" w:rsidRDefault="004F5C03" w:rsidP="00910D53">
            <w:pPr>
              <w:pStyle w:val="TableText"/>
              <w:rPr>
                <w:lang w:val="en-US" w:eastAsia="en-US"/>
              </w:rPr>
            </w:pPr>
            <w:r w:rsidRPr="004F5C03">
              <w:rPr>
                <w:lang w:val="en-US" w:eastAsia="en-US"/>
              </w:rPr>
              <w:t>If applicable,</w:t>
            </w:r>
            <w:r w:rsidRPr="004F5C03">
              <w:rPr>
                <w:spacing w:val="-53"/>
                <w:lang w:val="en-US" w:eastAsia="en-US"/>
              </w:rPr>
              <w:t xml:space="preserve"> </w:t>
            </w:r>
            <w:r w:rsidRPr="004F5C03">
              <w:rPr>
                <w:lang w:val="en-US" w:eastAsia="en-US"/>
              </w:rPr>
              <w:t>mandatory</w:t>
            </w:r>
          </w:p>
        </w:tc>
      </w:tr>
      <w:tr w:rsidR="004F5C03" w:rsidRPr="004F5C03" w14:paraId="5CD2D9A9" w14:textId="77777777" w:rsidTr="00EC7DDD">
        <w:trPr>
          <w:trHeight w:val="1500"/>
        </w:trPr>
        <w:tc>
          <w:tcPr>
            <w:tcW w:w="1405" w:type="dxa"/>
          </w:tcPr>
          <w:p w14:paraId="176E30F3" w14:textId="77777777" w:rsidR="004F5C03" w:rsidRPr="004F5C03" w:rsidRDefault="004F5C03" w:rsidP="00910D53">
            <w:pPr>
              <w:pStyle w:val="TableText"/>
              <w:rPr>
                <w:lang w:val="en-US" w:eastAsia="en-US"/>
              </w:rPr>
            </w:pPr>
            <w:r w:rsidRPr="004F5C03">
              <w:rPr>
                <w:lang w:val="en-US" w:eastAsia="en-US"/>
              </w:rPr>
              <w:t>17BE(t)</w:t>
            </w:r>
          </w:p>
        </w:tc>
        <w:tc>
          <w:tcPr>
            <w:tcW w:w="1147" w:type="dxa"/>
          </w:tcPr>
          <w:p w14:paraId="79588E46" w14:textId="6CD5A51C" w:rsidR="004F5C03" w:rsidRPr="00DB33F3" w:rsidRDefault="13EE8691" w:rsidP="2832F822">
            <w:pPr>
              <w:pStyle w:val="TableText"/>
              <w:rPr>
                <w:lang w:val="en-US" w:eastAsia="en-US"/>
              </w:rPr>
            </w:pPr>
            <w:r w:rsidRPr="2832F822">
              <w:rPr>
                <w:lang w:val="en-US" w:eastAsia="en-US"/>
              </w:rPr>
              <w:t>Not applicable</w:t>
            </w:r>
          </w:p>
        </w:tc>
        <w:tc>
          <w:tcPr>
            <w:tcW w:w="4977" w:type="dxa"/>
          </w:tcPr>
          <w:p w14:paraId="555715E1" w14:textId="77777777" w:rsidR="004F5C03" w:rsidRPr="00113F71" w:rsidRDefault="004F5C03" w:rsidP="00113F71">
            <w:pPr>
              <w:pStyle w:val="TableText"/>
            </w:pPr>
            <w:r w:rsidRPr="00113F71">
              <w:t>Details of any indemnity that applied during the reporting period to the accountable authority, any member of the accountable authority or officer of the entity against a liability (including premiums paid, or agreed to be paid, for insurance against the authority, member or officer’s liability for legal costs)</w:t>
            </w:r>
          </w:p>
        </w:tc>
        <w:tc>
          <w:tcPr>
            <w:tcW w:w="1612" w:type="dxa"/>
          </w:tcPr>
          <w:p w14:paraId="08EF3BB9" w14:textId="77777777" w:rsidR="004F5C03" w:rsidRPr="004F5C03" w:rsidRDefault="004F5C03" w:rsidP="00910D53">
            <w:pPr>
              <w:pStyle w:val="TableText"/>
              <w:rPr>
                <w:lang w:val="en-US" w:eastAsia="en-US"/>
              </w:rPr>
            </w:pPr>
            <w:r w:rsidRPr="004F5C03">
              <w:rPr>
                <w:lang w:val="en-US" w:eastAsia="en-US"/>
              </w:rPr>
              <w:t>If applicable,</w:t>
            </w:r>
            <w:r w:rsidRPr="004F5C03">
              <w:rPr>
                <w:spacing w:val="-53"/>
                <w:lang w:val="en-US" w:eastAsia="en-US"/>
              </w:rPr>
              <w:t xml:space="preserve"> </w:t>
            </w:r>
            <w:r w:rsidRPr="004F5C03">
              <w:rPr>
                <w:lang w:val="en-US" w:eastAsia="en-US"/>
              </w:rPr>
              <w:t>mandatory</w:t>
            </w:r>
          </w:p>
        </w:tc>
      </w:tr>
      <w:tr w:rsidR="004F5C03" w:rsidRPr="004F5C03" w14:paraId="7C241F72" w14:textId="77777777" w:rsidTr="00EC7DDD">
        <w:trPr>
          <w:trHeight w:val="2929"/>
        </w:trPr>
        <w:tc>
          <w:tcPr>
            <w:tcW w:w="1405" w:type="dxa"/>
          </w:tcPr>
          <w:p w14:paraId="1FF4FDBD" w14:textId="77777777" w:rsidR="004F5C03" w:rsidRPr="004F5C03" w:rsidRDefault="004F5C03" w:rsidP="00910D53">
            <w:pPr>
              <w:pStyle w:val="TableText"/>
              <w:rPr>
                <w:lang w:val="en-US" w:eastAsia="en-US"/>
              </w:rPr>
            </w:pPr>
            <w:r w:rsidRPr="004F5C03">
              <w:rPr>
                <w:lang w:val="en-US" w:eastAsia="en-US"/>
              </w:rPr>
              <w:t>17BE(taa)</w:t>
            </w:r>
          </w:p>
        </w:tc>
        <w:tc>
          <w:tcPr>
            <w:tcW w:w="1147" w:type="dxa"/>
          </w:tcPr>
          <w:p w14:paraId="14B7113B" w14:textId="1186B307" w:rsidR="004F5C03" w:rsidRPr="004F5C03" w:rsidRDefault="00D81CF7" w:rsidP="00910D53">
            <w:pPr>
              <w:pStyle w:val="TableText"/>
              <w:rPr>
                <w:lang w:val="en-US" w:eastAsia="en-US"/>
              </w:rPr>
            </w:pPr>
            <w:r>
              <w:rPr>
                <w:lang w:val="en-US" w:eastAsia="en-US"/>
              </w:rPr>
              <w:t>2.5</w:t>
            </w:r>
          </w:p>
        </w:tc>
        <w:tc>
          <w:tcPr>
            <w:tcW w:w="4977" w:type="dxa"/>
          </w:tcPr>
          <w:p w14:paraId="4E1CC88B" w14:textId="77777777" w:rsidR="004F5C03" w:rsidRPr="00113F71" w:rsidRDefault="004F5C03" w:rsidP="00113F71">
            <w:pPr>
              <w:pStyle w:val="TableText"/>
            </w:pPr>
            <w:r w:rsidRPr="00113F71">
              <w:t>The following information about the audit committee for the entity:</w:t>
            </w:r>
          </w:p>
          <w:p w14:paraId="41465A9B" w14:textId="2598266C" w:rsidR="004F5C03" w:rsidRPr="00113F71" w:rsidRDefault="004F5C03" w:rsidP="00BD681F">
            <w:pPr>
              <w:pStyle w:val="NumberedBulleta"/>
              <w:numPr>
                <w:ilvl w:val="0"/>
                <w:numId w:val="36"/>
              </w:numPr>
            </w:pPr>
            <w:r w:rsidRPr="00113F71">
              <w:t>a direct electronic address of the charter determining the functions of the audit committee</w:t>
            </w:r>
          </w:p>
          <w:p w14:paraId="430ECB8B" w14:textId="5906C3D1" w:rsidR="004F5C03" w:rsidRPr="00113F71" w:rsidRDefault="004F5C03" w:rsidP="00113F71">
            <w:pPr>
              <w:pStyle w:val="NumberedBulleta"/>
            </w:pPr>
            <w:r w:rsidRPr="00113F71">
              <w:t>the name of each member of the audit committee</w:t>
            </w:r>
          </w:p>
          <w:p w14:paraId="29A3682B" w14:textId="739306CF" w:rsidR="004F5C03" w:rsidRPr="00113F71" w:rsidRDefault="004F5C03" w:rsidP="00113F71">
            <w:pPr>
              <w:pStyle w:val="NumberedBulleta"/>
            </w:pPr>
            <w:r w:rsidRPr="00113F71">
              <w:t>the qualifications, knowledge, skills or experience of each member of the audit committee</w:t>
            </w:r>
          </w:p>
          <w:p w14:paraId="7CDFF6D6" w14:textId="6A7923E4" w:rsidR="004F5C03" w:rsidRPr="00113F71" w:rsidRDefault="004F5C03" w:rsidP="00113F71">
            <w:pPr>
              <w:pStyle w:val="NumberedBulleta"/>
            </w:pPr>
            <w:r w:rsidRPr="00113F71">
              <w:t>information about each member’s attendance at meetings of the audit committee</w:t>
            </w:r>
          </w:p>
          <w:p w14:paraId="370D58F1" w14:textId="4462C2DC" w:rsidR="004F5C03" w:rsidRPr="004F5C03" w:rsidRDefault="004F5C03" w:rsidP="00113F71">
            <w:pPr>
              <w:pStyle w:val="NumberedBulleta"/>
              <w:rPr>
                <w:lang w:val="en-US"/>
              </w:rPr>
            </w:pPr>
            <w:r w:rsidRPr="00113F71">
              <w:t>the remuneration of each member of the audit committee</w:t>
            </w:r>
            <w:r w:rsidR="00C5796B" w:rsidRPr="00113F71">
              <w:t>.</w:t>
            </w:r>
          </w:p>
        </w:tc>
        <w:tc>
          <w:tcPr>
            <w:tcW w:w="1612" w:type="dxa"/>
          </w:tcPr>
          <w:p w14:paraId="1619F04B" w14:textId="77777777" w:rsidR="004F5C03" w:rsidRPr="004F5C03" w:rsidRDefault="004F5C03" w:rsidP="00910D53">
            <w:pPr>
              <w:pStyle w:val="TableText"/>
              <w:rPr>
                <w:lang w:val="en-US" w:eastAsia="en-US"/>
              </w:rPr>
            </w:pPr>
            <w:r w:rsidRPr="004F5C03">
              <w:rPr>
                <w:lang w:val="en-US" w:eastAsia="en-US"/>
              </w:rPr>
              <w:t>Mandatory</w:t>
            </w:r>
          </w:p>
        </w:tc>
      </w:tr>
      <w:tr w:rsidR="004F5C03" w:rsidRPr="004F5C03" w14:paraId="3E15FB11" w14:textId="77777777" w:rsidTr="00595FD5">
        <w:trPr>
          <w:trHeight w:val="299"/>
        </w:trPr>
        <w:tc>
          <w:tcPr>
            <w:tcW w:w="1405" w:type="dxa"/>
          </w:tcPr>
          <w:p w14:paraId="10D74D15" w14:textId="77777777" w:rsidR="004F5C03" w:rsidRPr="004F5C03" w:rsidRDefault="004F5C03" w:rsidP="00910D53">
            <w:pPr>
              <w:pStyle w:val="TableText"/>
              <w:rPr>
                <w:lang w:val="en-US" w:eastAsia="en-US"/>
              </w:rPr>
            </w:pPr>
            <w:r w:rsidRPr="004F5C03">
              <w:rPr>
                <w:lang w:val="en-US" w:eastAsia="en-US"/>
              </w:rPr>
              <w:t>17BE(ta)</w:t>
            </w:r>
          </w:p>
        </w:tc>
        <w:tc>
          <w:tcPr>
            <w:tcW w:w="1147" w:type="dxa"/>
            <w:shd w:val="clear" w:color="auto" w:fill="auto"/>
          </w:tcPr>
          <w:p w14:paraId="2EB4CB10" w14:textId="6A782ABE" w:rsidR="004F5C03" w:rsidRPr="004F5C03" w:rsidRDefault="465795AE" w:rsidP="00910D53">
            <w:pPr>
              <w:pStyle w:val="TableText"/>
              <w:rPr>
                <w:lang w:val="en-US" w:eastAsia="en-US"/>
              </w:rPr>
            </w:pPr>
            <w:r w:rsidRPr="2832F822">
              <w:rPr>
                <w:lang w:val="en-US" w:eastAsia="en-US"/>
              </w:rPr>
              <w:t>7.</w:t>
            </w:r>
            <w:r w:rsidRPr="001A6611">
              <w:rPr>
                <w:lang w:val="en-US" w:eastAsia="en-US"/>
              </w:rPr>
              <w:t>2</w:t>
            </w:r>
            <w:r w:rsidRPr="2832F822">
              <w:rPr>
                <w:lang w:val="en-US" w:eastAsia="en-US"/>
              </w:rPr>
              <w:t xml:space="preserve"> </w:t>
            </w:r>
          </w:p>
        </w:tc>
        <w:tc>
          <w:tcPr>
            <w:tcW w:w="4977" w:type="dxa"/>
          </w:tcPr>
          <w:p w14:paraId="68DEF3A3" w14:textId="77777777" w:rsidR="004F5C03" w:rsidRPr="00113F71" w:rsidRDefault="004F5C03" w:rsidP="00113F71">
            <w:pPr>
              <w:pStyle w:val="TableText"/>
            </w:pPr>
            <w:r w:rsidRPr="00113F71">
              <w:t>Information about executive remuneration</w:t>
            </w:r>
          </w:p>
        </w:tc>
        <w:tc>
          <w:tcPr>
            <w:tcW w:w="1612" w:type="dxa"/>
          </w:tcPr>
          <w:p w14:paraId="4C35915A" w14:textId="77777777" w:rsidR="004F5C03" w:rsidRPr="004F5C03" w:rsidRDefault="004F5C03" w:rsidP="00910D53">
            <w:pPr>
              <w:pStyle w:val="TableText"/>
              <w:rPr>
                <w:lang w:val="en-US" w:eastAsia="en-US"/>
              </w:rPr>
            </w:pPr>
            <w:r w:rsidRPr="004F5C03">
              <w:rPr>
                <w:lang w:val="en-US" w:eastAsia="en-US"/>
              </w:rPr>
              <w:t>Mandatory</w:t>
            </w:r>
          </w:p>
        </w:tc>
      </w:tr>
    </w:tbl>
    <w:p w14:paraId="167E1453" w14:textId="77777777" w:rsidR="004F5C03" w:rsidRDefault="004F5C03" w:rsidP="004F5C03">
      <w:pPr>
        <w:widowControl w:val="0"/>
        <w:autoSpaceDE w:val="0"/>
        <w:autoSpaceDN w:val="0"/>
        <w:spacing w:line="212" w:lineRule="exact"/>
        <w:rPr>
          <w:rFonts w:cs="Open Sans"/>
          <w:sz w:val="20"/>
          <w:szCs w:val="22"/>
          <w:lang w:val="en-US" w:eastAsia="en-US"/>
        </w:rPr>
      </w:pPr>
    </w:p>
    <w:p w14:paraId="5C5F0D70" w14:textId="77777777" w:rsidR="00910D53" w:rsidRDefault="00910D53" w:rsidP="004F5C03">
      <w:pPr>
        <w:widowControl w:val="0"/>
        <w:autoSpaceDE w:val="0"/>
        <w:autoSpaceDN w:val="0"/>
        <w:spacing w:line="212" w:lineRule="exact"/>
        <w:rPr>
          <w:rFonts w:cs="Open Sans"/>
          <w:sz w:val="20"/>
          <w:szCs w:val="22"/>
          <w:lang w:val="en-US" w:eastAsia="en-US"/>
        </w:rPr>
      </w:pPr>
    </w:p>
    <w:p w14:paraId="43308470" w14:textId="77777777" w:rsidR="00910D53" w:rsidRDefault="00910D53" w:rsidP="004F5C03">
      <w:pPr>
        <w:widowControl w:val="0"/>
        <w:autoSpaceDE w:val="0"/>
        <w:autoSpaceDN w:val="0"/>
        <w:spacing w:line="212" w:lineRule="exact"/>
        <w:rPr>
          <w:rFonts w:cs="Open Sans"/>
          <w:sz w:val="20"/>
          <w:szCs w:val="22"/>
          <w:lang w:val="en-US" w:eastAsia="en-US"/>
        </w:rPr>
      </w:pPr>
    </w:p>
    <w:p w14:paraId="6C4D9F0E" w14:textId="77777777" w:rsidR="00910D53" w:rsidRPr="004F5C03" w:rsidRDefault="00910D53" w:rsidP="004F5C03">
      <w:pPr>
        <w:widowControl w:val="0"/>
        <w:autoSpaceDE w:val="0"/>
        <w:autoSpaceDN w:val="0"/>
        <w:spacing w:line="212" w:lineRule="exact"/>
        <w:rPr>
          <w:rFonts w:cs="Open Sans"/>
          <w:sz w:val="20"/>
          <w:szCs w:val="22"/>
          <w:lang w:val="en-US" w:eastAsia="en-US"/>
        </w:rPr>
        <w:sectPr w:rsidR="00910D53" w:rsidRPr="004F5C03" w:rsidSect="00B0477E">
          <w:pgSz w:w="11879" w:h="16840" w:code="9"/>
          <w:pgMar w:top="1134" w:right="833" w:bottom="1134" w:left="1077" w:header="851" w:footer="851" w:gutter="0"/>
          <w:cols w:space="720"/>
          <w:docGrid w:linePitch="326"/>
        </w:sectPr>
      </w:pPr>
    </w:p>
    <w:tbl>
      <w:tblPr>
        <w:tblW w:w="0" w:type="auto"/>
        <w:tblInd w:w="134" w:type="dxa"/>
        <w:tblBorders>
          <w:top w:val="single" w:sz="4" w:space="0" w:color="000000"/>
          <w:bottom w:val="single" w:sz="4" w:space="0" w:color="000000"/>
          <w:insideH w:val="single" w:sz="4" w:space="0" w:color="000000"/>
        </w:tblBorders>
        <w:tblLayout w:type="fixed"/>
        <w:tblCellMar>
          <w:top w:w="113" w:type="dxa"/>
          <w:left w:w="113" w:type="dxa"/>
          <w:bottom w:w="113" w:type="dxa"/>
          <w:right w:w="113" w:type="dxa"/>
        </w:tblCellMar>
        <w:tblLook w:val="01E0" w:firstRow="1" w:lastRow="1" w:firstColumn="1" w:lastColumn="1" w:noHBand="0" w:noVBand="0"/>
      </w:tblPr>
      <w:tblGrid>
        <w:gridCol w:w="1405"/>
        <w:gridCol w:w="1147"/>
        <w:gridCol w:w="5151"/>
        <w:gridCol w:w="1438"/>
      </w:tblGrid>
      <w:tr w:rsidR="004F5C03" w:rsidRPr="00B0477E" w14:paraId="3B234910" w14:textId="77777777" w:rsidTr="00EC7DDD">
        <w:trPr>
          <w:trHeight w:val="540"/>
        </w:trPr>
        <w:tc>
          <w:tcPr>
            <w:tcW w:w="1405" w:type="dxa"/>
            <w:shd w:val="clear" w:color="auto" w:fill="F2F2F2" w:themeFill="background1" w:themeFillShade="F2"/>
          </w:tcPr>
          <w:p w14:paraId="78DBBACB" w14:textId="77777777" w:rsidR="004F5C03" w:rsidRPr="00B0477E" w:rsidRDefault="004F5C03" w:rsidP="00B0477E">
            <w:pPr>
              <w:pStyle w:val="TableHeading"/>
            </w:pPr>
            <w:r w:rsidRPr="00B0477E">
              <w:t>PGPA Rule Reference</w:t>
            </w:r>
          </w:p>
        </w:tc>
        <w:tc>
          <w:tcPr>
            <w:tcW w:w="1147" w:type="dxa"/>
            <w:shd w:val="clear" w:color="auto" w:fill="F2F2F2" w:themeFill="background1" w:themeFillShade="F2"/>
          </w:tcPr>
          <w:p w14:paraId="2099EE5E" w14:textId="77777777" w:rsidR="004F5C03" w:rsidRPr="00B0477E" w:rsidRDefault="004F5C03" w:rsidP="00B0477E">
            <w:pPr>
              <w:pStyle w:val="TableHeading"/>
            </w:pPr>
            <w:r w:rsidRPr="00B0477E">
              <w:t>Part of Report</w:t>
            </w:r>
          </w:p>
        </w:tc>
        <w:tc>
          <w:tcPr>
            <w:tcW w:w="5151" w:type="dxa"/>
            <w:shd w:val="clear" w:color="auto" w:fill="F2F2F2" w:themeFill="background1" w:themeFillShade="F2"/>
          </w:tcPr>
          <w:p w14:paraId="4C5A3FEC" w14:textId="77777777" w:rsidR="004F5C03" w:rsidRPr="00B0477E" w:rsidRDefault="004F5C03" w:rsidP="00B0477E">
            <w:pPr>
              <w:pStyle w:val="TableHeading"/>
            </w:pPr>
            <w:r w:rsidRPr="00B0477E">
              <w:t>Description</w:t>
            </w:r>
          </w:p>
        </w:tc>
        <w:tc>
          <w:tcPr>
            <w:tcW w:w="1438" w:type="dxa"/>
            <w:shd w:val="clear" w:color="auto" w:fill="F2F2F2" w:themeFill="background1" w:themeFillShade="F2"/>
          </w:tcPr>
          <w:p w14:paraId="3D532E48" w14:textId="77777777" w:rsidR="004F5C03" w:rsidRPr="00B0477E" w:rsidRDefault="004F5C03" w:rsidP="00B0477E">
            <w:pPr>
              <w:pStyle w:val="TableHeading"/>
            </w:pPr>
            <w:r w:rsidRPr="00B0477E">
              <w:t>Requirement</w:t>
            </w:r>
          </w:p>
        </w:tc>
      </w:tr>
      <w:tr w:rsidR="004F5C03" w:rsidRPr="00B0477E" w14:paraId="6EC83F7C" w14:textId="77777777" w:rsidTr="00EC7DDD">
        <w:trPr>
          <w:trHeight w:val="299"/>
        </w:trPr>
        <w:tc>
          <w:tcPr>
            <w:tcW w:w="1405" w:type="dxa"/>
          </w:tcPr>
          <w:p w14:paraId="53B6BA89" w14:textId="77777777" w:rsidR="004F5C03" w:rsidRPr="00B0477E" w:rsidRDefault="004F5C03" w:rsidP="00B0477E">
            <w:pPr>
              <w:pStyle w:val="TableHeading"/>
            </w:pPr>
            <w:r w:rsidRPr="00B0477E">
              <w:t>17BF</w:t>
            </w:r>
          </w:p>
        </w:tc>
        <w:tc>
          <w:tcPr>
            <w:tcW w:w="6298" w:type="dxa"/>
            <w:gridSpan w:val="2"/>
          </w:tcPr>
          <w:p w14:paraId="241EFDCD" w14:textId="77777777" w:rsidR="004F5C03" w:rsidRPr="00113F71" w:rsidRDefault="004F5C03" w:rsidP="00113F71">
            <w:pPr>
              <w:pStyle w:val="TableHeadingCorsivo"/>
            </w:pPr>
            <w:r w:rsidRPr="00113F71">
              <w:t>Disclosure requirements for government business enterprises</w:t>
            </w:r>
          </w:p>
        </w:tc>
        <w:tc>
          <w:tcPr>
            <w:tcW w:w="1438" w:type="dxa"/>
          </w:tcPr>
          <w:p w14:paraId="53FB67C1" w14:textId="77777777" w:rsidR="004F5C03" w:rsidRPr="00B0477E" w:rsidRDefault="004F5C03" w:rsidP="00B0477E">
            <w:pPr>
              <w:pStyle w:val="TableHeading"/>
            </w:pPr>
          </w:p>
        </w:tc>
      </w:tr>
      <w:tr w:rsidR="004F5C03" w:rsidRPr="004F5C03" w14:paraId="0800EA7D" w14:textId="77777777" w:rsidTr="00EC7DDD">
        <w:trPr>
          <w:trHeight w:val="540"/>
        </w:trPr>
        <w:tc>
          <w:tcPr>
            <w:tcW w:w="1405" w:type="dxa"/>
          </w:tcPr>
          <w:p w14:paraId="1338793A" w14:textId="77777777" w:rsidR="004F5C03" w:rsidRPr="004F5C03" w:rsidRDefault="004F5C03" w:rsidP="00910D53">
            <w:pPr>
              <w:pStyle w:val="TableText"/>
              <w:rPr>
                <w:lang w:val="en-US" w:eastAsia="en-US"/>
              </w:rPr>
            </w:pPr>
            <w:r w:rsidRPr="004F5C03">
              <w:rPr>
                <w:lang w:val="en-US" w:eastAsia="en-US"/>
              </w:rPr>
              <w:t>17BF(1)(a)(i)</w:t>
            </w:r>
          </w:p>
        </w:tc>
        <w:tc>
          <w:tcPr>
            <w:tcW w:w="1147" w:type="dxa"/>
          </w:tcPr>
          <w:p w14:paraId="788F5F3D" w14:textId="67A290E7" w:rsidR="004F5C03" w:rsidRPr="004F5C03" w:rsidRDefault="00FC10D2" w:rsidP="00910D53">
            <w:pPr>
              <w:pStyle w:val="TableText"/>
              <w:rPr>
                <w:lang w:val="en-US" w:eastAsia="en-US"/>
              </w:rPr>
            </w:pPr>
            <w:r>
              <w:rPr>
                <w:lang w:val="en-US" w:eastAsia="en-US"/>
              </w:rPr>
              <w:t>Not applicable</w:t>
            </w:r>
          </w:p>
        </w:tc>
        <w:tc>
          <w:tcPr>
            <w:tcW w:w="5151" w:type="dxa"/>
          </w:tcPr>
          <w:p w14:paraId="2F4597B4" w14:textId="77777777" w:rsidR="004F5C03" w:rsidRPr="00B0477E" w:rsidRDefault="004F5C03" w:rsidP="00B0477E">
            <w:pPr>
              <w:pStyle w:val="TableText"/>
            </w:pPr>
            <w:r w:rsidRPr="00B0477E">
              <w:t>An assessment of significant changes in the entity’s overall financial structure and financial conditions</w:t>
            </w:r>
          </w:p>
        </w:tc>
        <w:tc>
          <w:tcPr>
            <w:tcW w:w="1438" w:type="dxa"/>
          </w:tcPr>
          <w:p w14:paraId="1BD9A7A3" w14:textId="77777777" w:rsidR="004F5C03" w:rsidRPr="004F5C03" w:rsidRDefault="004F5C03" w:rsidP="00910D53">
            <w:pPr>
              <w:pStyle w:val="TableText"/>
              <w:rPr>
                <w:lang w:val="en-US" w:eastAsia="en-US"/>
              </w:rPr>
            </w:pPr>
            <w:r w:rsidRPr="004F5C03">
              <w:rPr>
                <w:lang w:val="en-US" w:eastAsia="en-US"/>
              </w:rPr>
              <w:t>If applicable,</w:t>
            </w:r>
            <w:r w:rsidRPr="004F5C03">
              <w:rPr>
                <w:spacing w:val="-53"/>
                <w:lang w:val="en-US" w:eastAsia="en-US"/>
              </w:rPr>
              <w:t xml:space="preserve"> </w:t>
            </w:r>
            <w:r w:rsidRPr="004F5C03">
              <w:rPr>
                <w:lang w:val="en-US" w:eastAsia="en-US"/>
              </w:rPr>
              <w:t>mandatory</w:t>
            </w:r>
          </w:p>
        </w:tc>
      </w:tr>
      <w:tr w:rsidR="004F5C03" w:rsidRPr="004F5C03" w14:paraId="7B29EE69" w14:textId="77777777" w:rsidTr="00EC7DDD">
        <w:trPr>
          <w:trHeight w:val="779"/>
        </w:trPr>
        <w:tc>
          <w:tcPr>
            <w:tcW w:w="1405" w:type="dxa"/>
          </w:tcPr>
          <w:p w14:paraId="263081D2" w14:textId="77777777" w:rsidR="004F5C03" w:rsidRPr="004F5C03" w:rsidRDefault="004F5C03" w:rsidP="00910D53">
            <w:pPr>
              <w:pStyle w:val="TableText"/>
              <w:rPr>
                <w:lang w:val="en-US" w:eastAsia="en-US"/>
              </w:rPr>
            </w:pPr>
            <w:r w:rsidRPr="004F5C03">
              <w:rPr>
                <w:lang w:val="en-US" w:eastAsia="en-US"/>
              </w:rPr>
              <w:t>17BF(1)(a)(ii)</w:t>
            </w:r>
          </w:p>
        </w:tc>
        <w:tc>
          <w:tcPr>
            <w:tcW w:w="1147" w:type="dxa"/>
          </w:tcPr>
          <w:p w14:paraId="2DF128E9" w14:textId="591A5566" w:rsidR="004F5C03" w:rsidRPr="004F5C03" w:rsidRDefault="00FC10D2" w:rsidP="00910D53">
            <w:pPr>
              <w:pStyle w:val="TableText"/>
              <w:rPr>
                <w:lang w:val="en-US" w:eastAsia="en-US"/>
              </w:rPr>
            </w:pPr>
            <w:r>
              <w:rPr>
                <w:lang w:val="en-US" w:eastAsia="en-US"/>
              </w:rPr>
              <w:t>Not applicable</w:t>
            </w:r>
          </w:p>
        </w:tc>
        <w:tc>
          <w:tcPr>
            <w:tcW w:w="5151" w:type="dxa"/>
          </w:tcPr>
          <w:p w14:paraId="17BB4166" w14:textId="77777777" w:rsidR="004F5C03" w:rsidRPr="00B0477E" w:rsidRDefault="004F5C03" w:rsidP="00B0477E">
            <w:pPr>
              <w:pStyle w:val="TableText"/>
            </w:pPr>
            <w:r w:rsidRPr="00B0477E">
              <w:t>An assessment of any events or risks that could cause financial information that is reported not to be indicative of future operations or financial conditions</w:t>
            </w:r>
          </w:p>
        </w:tc>
        <w:tc>
          <w:tcPr>
            <w:tcW w:w="1438" w:type="dxa"/>
          </w:tcPr>
          <w:p w14:paraId="05C895DD" w14:textId="77777777" w:rsidR="004F5C03" w:rsidRPr="004F5C03" w:rsidRDefault="004F5C03" w:rsidP="00910D53">
            <w:pPr>
              <w:pStyle w:val="TableText"/>
              <w:rPr>
                <w:lang w:val="en-US" w:eastAsia="en-US"/>
              </w:rPr>
            </w:pPr>
            <w:r w:rsidRPr="004F5C03">
              <w:rPr>
                <w:lang w:val="en-US" w:eastAsia="en-US"/>
              </w:rPr>
              <w:t>If applicable,</w:t>
            </w:r>
            <w:r w:rsidRPr="004F5C03">
              <w:rPr>
                <w:spacing w:val="-53"/>
                <w:lang w:val="en-US" w:eastAsia="en-US"/>
              </w:rPr>
              <w:t xml:space="preserve"> </w:t>
            </w:r>
            <w:r w:rsidRPr="004F5C03">
              <w:rPr>
                <w:lang w:val="en-US" w:eastAsia="en-US"/>
              </w:rPr>
              <w:t>mandatory</w:t>
            </w:r>
          </w:p>
        </w:tc>
      </w:tr>
      <w:tr w:rsidR="004F5C03" w:rsidRPr="004F5C03" w14:paraId="4DDD7EC6" w14:textId="77777777" w:rsidTr="00EC7DDD">
        <w:trPr>
          <w:trHeight w:val="540"/>
        </w:trPr>
        <w:tc>
          <w:tcPr>
            <w:tcW w:w="1405" w:type="dxa"/>
          </w:tcPr>
          <w:p w14:paraId="12AC3C04" w14:textId="77777777" w:rsidR="004F5C03" w:rsidRPr="004F5C03" w:rsidRDefault="004F5C03" w:rsidP="00910D53">
            <w:pPr>
              <w:pStyle w:val="TableText"/>
              <w:rPr>
                <w:lang w:val="en-US" w:eastAsia="en-US"/>
              </w:rPr>
            </w:pPr>
            <w:r w:rsidRPr="004F5C03">
              <w:rPr>
                <w:lang w:val="en-US" w:eastAsia="en-US"/>
              </w:rPr>
              <w:t>17BF(1)(b)</w:t>
            </w:r>
          </w:p>
        </w:tc>
        <w:tc>
          <w:tcPr>
            <w:tcW w:w="1147" w:type="dxa"/>
          </w:tcPr>
          <w:p w14:paraId="74872151" w14:textId="50C3F735" w:rsidR="004F5C03" w:rsidRPr="004F5C03" w:rsidRDefault="00FC10D2" w:rsidP="00910D53">
            <w:pPr>
              <w:pStyle w:val="TableText"/>
              <w:rPr>
                <w:lang w:val="en-US" w:eastAsia="en-US"/>
              </w:rPr>
            </w:pPr>
            <w:r>
              <w:rPr>
                <w:lang w:val="en-US" w:eastAsia="en-US"/>
              </w:rPr>
              <w:t>Not applicable</w:t>
            </w:r>
          </w:p>
        </w:tc>
        <w:tc>
          <w:tcPr>
            <w:tcW w:w="5151" w:type="dxa"/>
          </w:tcPr>
          <w:p w14:paraId="7F1625A5" w14:textId="77777777" w:rsidR="004F5C03" w:rsidRPr="004F5C03" w:rsidRDefault="004F5C03" w:rsidP="00910D53">
            <w:pPr>
              <w:pStyle w:val="TableText"/>
              <w:rPr>
                <w:lang w:val="en-US" w:eastAsia="en-US"/>
              </w:rPr>
            </w:pPr>
            <w:r w:rsidRPr="004F5C03">
              <w:rPr>
                <w:lang w:val="en-US" w:eastAsia="en-US"/>
              </w:rPr>
              <w:t>Information</w:t>
            </w:r>
            <w:r w:rsidRPr="00B0477E">
              <w:t xml:space="preserve"> </w:t>
            </w:r>
            <w:r w:rsidRPr="004F5C03">
              <w:rPr>
                <w:lang w:val="en-US" w:eastAsia="en-US"/>
              </w:rPr>
              <w:t>on</w:t>
            </w:r>
            <w:r w:rsidRPr="00B0477E">
              <w:t xml:space="preserve"> </w:t>
            </w:r>
            <w:r w:rsidRPr="004F5C03">
              <w:rPr>
                <w:lang w:val="en-US" w:eastAsia="en-US"/>
              </w:rPr>
              <w:t>dividends</w:t>
            </w:r>
            <w:r w:rsidRPr="00B0477E">
              <w:t xml:space="preserve"> </w:t>
            </w:r>
            <w:r w:rsidRPr="004F5C03">
              <w:rPr>
                <w:lang w:val="en-US" w:eastAsia="en-US"/>
              </w:rPr>
              <w:t>paid</w:t>
            </w:r>
            <w:r w:rsidRPr="00B0477E">
              <w:t xml:space="preserve"> </w:t>
            </w:r>
            <w:r w:rsidRPr="004F5C03">
              <w:rPr>
                <w:lang w:val="en-US" w:eastAsia="en-US"/>
              </w:rPr>
              <w:t>or</w:t>
            </w:r>
            <w:r w:rsidRPr="00B0477E">
              <w:t xml:space="preserve"> </w:t>
            </w:r>
            <w:r w:rsidRPr="004F5C03">
              <w:rPr>
                <w:lang w:val="en-US" w:eastAsia="en-US"/>
              </w:rPr>
              <w:t>recommended</w:t>
            </w:r>
          </w:p>
        </w:tc>
        <w:tc>
          <w:tcPr>
            <w:tcW w:w="1438" w:type="dxa"/>
          </w:tcPr>
          <w:p w14:paraId="0FAF29A6" w14:textId="77777777" w:rsidR="004F5C03" w:rsidRPr="004F5C03" w:rsidRDefault="004F5C03" w:rsidP="00910D53">
            <w:pPr>
              <w:pStyle w:val="TableText"/>
              <w:rPr>
                <w:lang w:val="en-US" w:eastAsia="en-US"/>
              </w:rPr>
            </w:pPr>
            <w:r w:rsidRPr="004F5C03">
              <w:rPr>
                <w:lang w:val="en-US" w:eastAsia="en-US"/>
              </w:rPr>
              <w:t>If applicable,</w:t>
            </w:r>
            <w:r w:rsidRPr="004F5C03">
              <w:rPr>
                <w:spacing w:val="-53"/>
                <w:lang w:val="en-US" w:eastAsia="en-US"/>
              </w:rPr>
              <w:t xml:space="preserve"> </w:t>
            </w:r>
            <w:r w:rsidRPr="004F5C03">
              <w:rPr>
                <w:lang w:val="en-US" w:eastAsia="en-US"/>
              </w:rPr>
              <w:t>mandatory</w:t>
            </w:r>
          </w:p>
        </w:tc>
      </w:tr>
      <w:tr w:rsidR="004F5C03" w:rsidRPr="004F5C03" w14:paraId="7646D7A8" w14:textId="77777777" w:rsidTr="00EC7DDD">
        <w:trPr>
          <w:trHeight w:val="1349"/>
        </w:trPr>
        <w:tc>
          <w:tcPr>
            <w:tcW w:w="1405" w:type="dxa"/>
          </w:tcPr>
          <w:p w14:paraId="455557FB" w14:textId="77777777" w:rsidR="004F5C03" w:rsidRPr="004F5C03" w:rsidRDefault="004F5C03" w:rsidP="00910D53">
            <w:pPr>
              <w:pStyle w:val="TableText"/>
              <w:rPr>
                <w:lang w:val="en-US" w:eastAsia="en-US"/>
              </w:rPr>
            </w:pPr>
            <w:r w:rsidRPr="004F5C03">
              <w:rPr>
                <w:lang w:val="en-US" w:eastAsia="en-US"/>
              </w:rPr>
              <w:t>17BF(1)(c)</w:t>
            </w:r>
          </w:p>
        </w:tc>
        <w:tc>
          <w:tcPr>
            <w:tcW w:w="1147" w:type="dxa"/>
          </w:tcPr>
          <w:p w14:paraId="761D2128" w14:textId="5A012D9A" w:rsidR="004F5C03" w:rsidRPr="004F5C03" w:rsidRDefault="00FC10D2" w:rsidP="00910D53">
            <w:pPr>
              <w:pStyle w:val="TableText"/>
              <w:rPr>
                <w:lang w:val="en-US" w:eastAsia="en-US"/>
              </w:rPr>
            </w:pPr>
            <w:r>
              <w:rPr>
                <w:lang w:val="en-US" w:eastAsia="en-US"/>
              </w:rPr>
              <w:t>Not applicable</w:t>
            </w:r>
          </w:p>
        </w:tc>
        <w:tc>
          <w:tcPr>
            <w:tcW w:w="5151" w:type="dxa"/>
          </w:tcPr>
          <w:p w14:paraId="568DE7BA" w14:textId="77777777" w:rsidR="004F5C03" w:rsidRPr="00B0477E" w:rsidRDefault="004F5C03" w:rsidP="00B0477E">
            <w:pPr>
              <w:pStyle w:val="TableText"/>
            </w:pPr>
            <w:r w:rsidRPr="00B0477E">
              <w:t>Details of any community service obligations the government business enterprise has including:</w:t>
            </w:r>
          </w:p>
          <w:p w14:paraId="1CFFAF80" w14:textId="77777777" w:rsidR="004F5C03" w:rsidRPr="00B0477E" w:rsidRDefault="004F5C03" w:rsidP="00BD681F">
            <w:pPr>
              <w:pStyle w:val="NumberedBulleta"/>
              <w:numPr>
                <w:ilvl w:val="0"/>
                <w:numId w:val="40"/>
              </w:numPr>
            </w:pPr>
            <w:r w:rsidRPr="00B0477E">
              <w:t>an outline of actions taken to fulfil those obligations; and</w:t>
            </w:r>
          </w:p>
          <w:p w14:paraId="17FC8EAE" w14:textId="77777777" w:rsidR="004F5C03" w:rsidRPr="004F5C03" w:rsidRDefault="004F5C03" w:rsidP="00B0477E">
            <w:pPr>
              <w:pStyle w:val="NumberedBulleta"/>
              <w:rPr>
                <w:lang w:val="en-US"/>
              </w:rPr>
            </w:pPr>
            <w:r w:rsidRPr="00B0477E">
              <w:t>an assessment of the cost of fulfilling those obligations</w:t>
            </w:r>
          </w:p>
        </w:tc>
        <w:tc>
          <w:tcPr>
            <w:tcW w:w="1438" w:type="dxa"/>
          </w:tcPr>
          <w:p w14:paraId="4EFA6022" w14:textId="77777777" w:rsidR="004F5C03" w:rsidRPr="004F5C03" w:rsidRDefault="004F5C03" w:rsidP="00910D53">
            <w:pPr>
              <w:pStyle w:val="TableText"/>
              <w:rPr>
                <w:lang w:val="en-US" w:eastAsia="en-US"/>
              </w:rPr>
            </w:pPr>
            <w:r w:rsidRPr="004F5C03">
              <w:rPr>
                <w:lang w:val="en-US" w:eastAsia="en-US"/>
              </w:rPr>
              <w:t>If applicable,</w:t>
            </w:r>
            <w:r w:rsidRPr="004F5C03">
              <w:rPr>
                <w:spacing w:val="-53"/>
                <w:lang w:val="en-US" w:eastAsia="en-US"/>
              </w:rPr>
              <w:t xml:space="preserve"> </w:t>
            </w:r>
            <w:r w:rsidRPr="004F5C03">
              <w:rPr>
                <w:lang w:val="en-US" w:eastAsia="en-US"/>
              </w:rPr>
              <w:t>mandatory</w:t>
            </w:r>
          </w:p>
        </w:tc>
      </w:tr>
      <w:tr w:rsidR="004F5C03" w:rsidRPr="004F5C03" w14:paraId="560BECD1" w14:textId="77777777" w:rsidTr="00EC7DDD">
        <w:trPr>
          <w:trHeight w:val="1019"/>
        </w:trPr>
        <w:tc>
          <w:tcPr>
            <w:tcW w:w="1405" w:type="dxa"/>
          </w:tcPr>
          <w:p w14:paraId="16CC4A09" w14:textId="77777777" w:rsidR="004F5C03" w:rsidRPr="004F5C03" w:rsidRDefault="004F5C03" w:rsidP="00910D53">
            <w:pPr>
              <w:pStyle w:val="TableText"/>
              <w:rPr>
                <w:lang w:val="en-US" w:eastAsia="en-US"/>
              </w:rPr>
            </w:pPr>
            <w:r w:rsidRPr="004F5C03">
              <w:rPr>
                <w:lang w:val="en-US" w:eastAsia="en-US"/>
              </w:rPr>
              <w:t>17BF(2)</w:t>
            </w:r>
          </w:p>
        </w:tc>
        <w:tc>
          <w:tcPr>
            <w:tcW w:w="1147" w:type="dxa"/>
          </w:tcPr>
          <w:p w14:paraId="3640F471" w14:textId="527124C0" w:rsidR="004F5C03" w:rsidRPr="004F5C03" w:rsidRDefault="00FC10D2" w:rsidP="00910D53">
            <w:pPr>
              <w:pStyle w:val="TableText"/>
              <w:rPr>
                <w:lang w:val="en-US" w:eastAsia="en-US"/>
              </w:rPr>
            </w:pPr>
            <w:r>
              <w:rPr>
                <w:lang w:val="en-US" w:eastAsia="en-US"/>
              </w:rPr>
              <w:t>Not applicable</w:t>
            </w:r>
          </w:p>
        </w:tc>
        <w:tc>
          <w:tcPr>
            <w:tcW w:w="5151" w:type="dxa"/>
          </w:tcPr>
          <w:p w14:paraId="74EE5D3A" w14:textId="77777777" w:rsidR="004F5C03" w:rsidRPr="00B0477E" w:rsidRDefault="004F5C03" w:rsidP="00B0477E">
            <w:pPr>
              <w:pStyle w:val="TableText"/>
            </w:pPr>
            <w:r w:rsidRPr="00B0477E">
              <w:t>A statement regarding the exclusion of information on the grounds that the information is commercially sensitive and would be likely to result in unreasonable commercial prejudice to the government business enterprise</w:t>
            </w:r>
          </w:p>
        </w:tc>
        <w:tc>
          <w:tcPr>
            <w:tcW w:w="1438" w:type="dxa"/>
          </w:tcPr>
          <w:p w14:paraId="777B7387" w14:textId="77777777" w:rsidR="004F5C03" w:rsidRPr="004F5C03" w:rsidRDefault="004F5C03" w:rsidP="00910D53">
            <w:pPr>
              <w:pStyle w:val="TableText"/>
              <w:rPr>
                <w:lang w:val="en-US" w:eastAsia="en-US"/>
              </w:rPr>
            </w:pPr>
            <w:r w:rsidRPr="004F5C03">
              <w:rPr>
                <w:lang w:val="en-US" w:eastAsia="en-US"/>
              </w:rPr>
              <w:t>If applicable,</w:t>
            </w:r>
            <w:r w:rsidRPr="004F5C03">
              <w:rPr>
                <w:spacing w:val="-53"/>
                <w:lang w:val="en-US" w:eastAsia="en-US"/>
              </w:rPr>
              <w:t xml:space="preserve"> </w:t>
            </w:r>
            <w:r w:rsidRPr="004F5C03">
              <w:rPr>
                <w:lang w:val="en-US" w:eastAsia="en-US"/>
              </w:rPr>
              <w:t>mandatory</w:t>
            </w:r>
          </w:p>
        </w:tc>
      </w:tr>
    </w:tbl>
    <w:p w14:paraId="1A89F525" w14:textId="77777777" w:rsidR="00C5796B" w:rsidRDefault="00C5796B" w:rsidP="0060535D"/>
    <w:sectPr w:rsidR="00C5796B" w:rsidSect="00BB4B94">
      <w:endnotePr>
        <w:numFmt w:val="decimal"/>
      </w:endnotePr>
      <w:pgSz w:w="11879" w:h="16840" w:code="9"/>
      <w:pgMar w:top="1134" w:right="833" w:bottom="1134" w:left="1077" w:header="851"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1F8AA8" w14:textId="77777777" w:rsidR="00B7010F" w:rsidRDefault="00B7010F" w:rsidP="00F14C6D">
      <w:r>
        <w:separator/>
      </w:r>
    </w:p>
  </w:endnote>
  <w:endnote w:type="continuationSeparator" w:id="0">
    <w:p w14:paraId="36D58CB4" w14:textId="77777777" w:rsidR="00B7010F" w:rsidRDefault="00B7010F" w:rsidP="00F14C6D">
      <w:r>
        <w:continuationSeparator/>
      </w:r>
    </w:p>
  </w:endnote>
  <w:endnote w:type="continuationNotice" w:id="1">
    <w:p w14:paraId="09E0D363" w14:textId="77777777" w:rsidR="00B7010F" w:rsidRDefault="00B7010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 Sans">
    <w:altName w:val="Segoe UI"/>
    <w:charset w:val="00"/>
    <w:family w:val="swiss"/>
    <w:pitch w:val="variable"/>
    <w:sig w:usb0="E00002EF" w:usb1="4000205B" w:usb2="00000028"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Open Sans Semibold">
    <w:altName w:val="Segoe UI Semibold"/>
    <w:charset w:val="00"/>
    <w:family w:val="swiss"/>
    <w:pitch w:val="variable"/>
    <w:sig w:usb0="00000001" w:usb1="4000205B" w:usb2="00000028"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ArialMT">
    <w:altName w:val="Arial"/>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altName w:val="游明朝"/>
    <w:panose1 w:val="00000000000000000000"/>
    <w:charset w:val="8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Avenir Next Condensed Demi Bold">
    <w:altName w:val="Franklin Gothic Demi Cond"/>
    <w:charset w:val="00"/>
    <w:family w:val="swiss"/>
    <w:pitch w:val="variable"/>
    <w:sig w:usb0="00000001" w:usb1="5000204A" w:usb2="00000000" w:usb3="00000000" w:csb0="0000009B" w:csb1="00000000"/>
  </w:font>
  <w:font w:name="Open Sans Condensed Light">
    <w:altName w:val="Corbel Light"/>
    <w:charset w:val="00"/>
    <w:family w:val="swiss"/>
    <w:pitch w:val="variable"/>
    <w:sig w:usb0="00000001" w:usb1="4000205B" w:usb2="00000028" w:usb3="00000000" w:csb0="0000019F" w:csb1="00000000"/>
  </w:font>
  <w:font w:name="Open Sans Condensed">
    <w:altName w:val="Segoe UI Semibold"/>
    <w:charset w:val="00"/>
    <w:family w:val="swiss"/>
    <w:pitch w:val="variable"/>
    <w:sig w:usb0="00000001" w:usb1="4000205B" w:usb2="00000028" w:usb3="00000000" w:csb0="0000019F" w:csb1="00000000"/>
  </w:font>
  <w:font w:name="Times-Roman">
    <w:altName w:val="Times New Roman"/>
    <w:charset w:val="4D"/>
    <w:family w:val="auto"/>
    <w:pitch w:val="default"/>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5D8CEE" w14:textId="6AD3BA67" w:rsidR="004213B9" w:rsidRDefault="004213B9" w:rsidP="00B047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p w14:paraId="210DD39F" w14:textId="0D09A722" w:rsidR="004213B9" w:rsidRDefault="004213B9" w:rsidP="001710EC">
    <w:pPr>
      <w:pStyle w:val="Footer"/>
      <w:ind w:right="360"/>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50BA6D" w14:textId="77777777" w:rsidR="004213B9" w:rsidRDefault="004213B9" w:rsidP="00E53546">
    <w:pPr>
      <w:pStyle w:val="FooterOddPageNumber"/>
    </w:pPr>
    <w:r w:rsidRPr="00AB7C8F">
      <w:fldChar w:fldCharType="begin"/>
    </w:r>
    <w:r>
      <w:instrText xml:space="preserve"> PAGE   \* MERGEFORMAT </w:instrText>
    </w:r>
    <w:r w:rsidRPr="00AB7C8F">
      <w:fldChar w:fldCharType="separate"/>
    </w:r>
    <w:r w:rsidR="00093525">
      <w:rPr>
        <w:noProof/>
      </w:rPr>
      <w:t>9</w:t>
    </w:r>
    <w:r w:rsidRPr="00AB7C8F">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F59B3D" w14:textId="2804A6C5" w:rsidR="004213B9" w:rsidRDefault="004213B9" w:rsidP="00A738A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093525">
      <w:rPr>
        <w:rStyle w:val="PageNumber"/>
        <w:noProof/>
      </w:rPr>
      <w:t>1</w:t>
    </w:r>
    <w:r>
      <w:rPr>
        <w:rStyle w:val="PageNumber"/>
      </w:rPr>
      <w:fldChar w:fldCharType="end"/>
    </w:r>
  </w:p>
  <w:p w14:paraId="13E9AB68" w14:textId="3FB04F17" w:rsidR="004213B9" w:rsidRDefault="004213B9" w:rsidP="009A3E00">
    <w:pPr>
      <w:pStyle w:val="Footer"/>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7212CB" w14:textId="77777777" w:rsidR="00B7010F" w:rsidRDefault="00B7010F" w:rsidP="00F14C6D">
      <w:r>
        <w:separator/>
      </w:r>
    </w:p>
  </w:footnote>
  <w:footnote w:type="continuationSeparator" w:id="0">
    <w:p w14:paraId="1118BD71" w14:textId="77777777" w:rsidR="00B7010F" w:rsidRDefault="00B7010F" w:rsidP="00F14C6D">
      <w:r>
        <w:continuationSeparator/>
      </w:r>
    </w:p>
  </w:footnote>
  <w:footnote w:type="continuationNotice" w:id="1">
    <w:p w14:paraId="0CE0B77D" w14:textId="77777777" w:rsidR="00B7010F" w:rsidRDefault="00B7010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3356D9" w14:textId="189790AF" w:rsidR="004213B9" w:rsidRPr="000465F1" w:rsidRDefault="004213B9" w:rsidP="007A6A69">
    <w:pPr>
      <w:pStyle w:val="Header"/>
    </w:pPr>
    <w:r w:rsidRPr="00902EC3">
      <w:t>Australian Human Rights Commission</w:t>
    </w:r>
    <w:r>
      <w:br/>
    </w:r>
    <w:r>
      <w:rPr>
        <w:rStyle w:val="Reporttitleinheader"/>
      </w:rPr>
      <w:t xml:space="preserve">Annual Report </w:t>
    </w:r>
    <w:r>
      <w:t xml:space="preserve"> </w:t>
    </w:r>
    <w:r>
      <w:fldChar w:fldCharType="begin"/>
    </w:r>
    <w:r>
      <w:instrText xml:space="preserve"> CREATEDATE  \@ "MMMM yyyy"  \* MERGEFORMAT </w:instrText>
    </w:r>
    <w:r>
      <w:fldChar w:fldCharType="separate"/>
    </w:r>
    <w:r>
      <w:rPr>
        <w:noProof/>
      </w:rPr>
      <w:t>September 2023</w:t>
    </w:r>
    <w:r>
      <w:fldChar w:fldCharType="end"/>
    </w:r>
  </w:p>
  <w:p w14:paraId="5D573F61" w14:textId="77777777" w:rsidR="004213B9" w:rsidRDefault="004213B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922176" w14:textId="35AF4262" w:rsidR="004213B9" w:rsidRPr="000465F1" w:rsidRDefault="004213B9" w:rsidP="00103000">
    <w:pPr>
      <w:pStyle w:val="Header"/>
    </w:pPr>
    <w:bookmarkStart w:id="32" w:name="_Hlk514672172"/>
    <w:bookmarkStart w:id="33" w:name="_Hlk514672173"/>
    <w:r w:rsidRPr="00902EC3">
      <w:t>Australian Human Rights Commission</w:t>
    </w:r>
    <w:r>
      <w:br/>
    </w:r>
    <w:bookmarkEnd w:id="32"/>
    <w:bookmarkEnd w:id="33"/>
    <w:r>
      <w:rPr>
        <w:rStyle w:val="Reporttitleinheader"/>
      </w:rPr>
      <w:t>Annual Report</w:t>
    </w:r>
    <w:r>
      <w:t xml:space="preserve"> </w:t>
    </w:r>
    <w:r>
      <w:fldChar w:fldCharType="begin"/>
    </w:r>
    <w:r>
      <w:instrText xml:space="preserve"> CREATEDATE  \@ "MMMM yyyy"  \* MERGEFORMAT </w:instrText>
    </w:r>
    <w:r>
      <w:fldChar w:fldCharType="separate"/>
    </w:r>
    <w:r>
      <w:rPr>
        <w:noProof/>
      </w:rPr>
      <w:t>2022–2023</w:t>
    </w:r>
    <w: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4D853" w14:textId="1F9272E2" w:rsidR="004213B9" w:rsidRPr="000465F1" w:rsidRDefault="004213B9" w:rsidP="003C7007">
    <w:pPr>
      <w:pStyle w:val="Header"/>
    </w:pPr>
    <w:r w:rsidRPr="00902EC3">
      <w:t>Australian Human Rights Commission</w:t>
    </w:r>
    <w:r>
      <w:br/>
    </w:r>
    <w:r>
      <w:rPr>
        <w:rStyle w:val="Reporttitleinheader"/>
      </w:rPr>
      <w:t>Annual Report</w:t>
    </w:r>
    <w:r>
      <w:t xml:space="preserve"> </w:t>
    </w:r>
    <w:r>
      <w:fldChar w:fldCharType="begin"/>
    </w:r>
    <w:r>
      <w:instrText xml:space="preserve"> CREATEDATE  \@ "MMMM yyyy"  \* MERGEFORMAT </w:instrText>
    </w:r>
    <w:r>
      <w:fldChar w:fldCharType="separate"/>
    </w:r>
    <w:r>
      <w:rPr>
        <w:noProof/>
      </w:rPr>
      <w:t>2022–2023</w:t>
    </w:r>
    <w: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E43943" w14:textId="77F21CAB" w:rsidR="00E53F30" w:rsidRPr="000465F1" w:rsidRDefault="00E53F30" w:rsidP="00103000">
    <w:pPr>
      <w:pStyle w:val="Header"/>
    </w:pPr>
    <w:r w:rsidRPr="00902EC3">
      <w:t>Australian Human Rights Commission</w:t>
    </w:r>
    <w:r>
      <w:br/>
    </w:r>
    <w:r w:rsidR="002320D7">
      <w:rPr>
        <w:rStyle w:val="Reporttitleinheader"/>
      </w:rPr>
      <w:t>Annual Report</w:t>
    </w:r>
    <w:r w:rsidR="005A2017">
      <w:t xml:space="preserve"> </w:t>
    </w:r>
    <w:r w:rsidR="002320D7">
      <w:t>2022–</w:t>
    </w:r>
    <w:r w:rsidR="005A2017" w:rsidRPr="00E53F30">
      <w:t>2023</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43726E" w14:textId="19D39BA0" w:rsidR="00E53F30" w:rsidRPr="000465F1" w:rsidRDefault="00E53F30" w:rsidP="003C7007">
    <w:pPr>
      <w:pStyle w:val="Header"/>
    </w:pPr>
    <w:r w:rsidRPr="00902EC3">
      <w:t>Australian Human Rights Commission</w:t>
    </w:r>
    <w:r>
      <w:br/>
    </w:r>
    <w:r w:rsidR="002B442E">
      <w:rPr>
        <w:rStyle w:val="Reporttitleinheader"/>
      </w:rPr>
      <w:t>Annual Report</w:t>
    </w:r>
    <w:r w:rsidR="002B442E">
      <w:t xml:space="preserve"> </w:t>
    </w:r>
    <w:r w:rsidR="002B442E">
      <w:fldChar w:fldCharType="begin"/>
    </w:r>
    <w:r w:rsidR="002B442E">
      <w:instrText xml:space="preserve"> CREATEDATE  \@ "MMMM yyyy"  \* MERGEFORMAT </w:instrText>
    </w:r>
    <w:r w:rsidR="002B442E">
      <w:fldChar w:fldCharType="separate"/>
    </w:r>
    <w:r w:rsidR="002B442E">
      <w:rPr>
        <w:noProof/>
      </w:rPr>
      <w:t>2022–2023</w:t>
    </w:r>
    <w:r w:rsidR="002B442E">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878D06" w14:textId="58D4D400" w:rsidR="005A2017" w:rsidRPr="000465F1" w:rsidRDefault="005A2017" w:rsidP="003C7007">
    <w:pPr>
      <w:pStyle w:val="Header"/>
    </w:pPr>
    <w:r w:rsidRPr="00902EC3">
      <w:t>Australian Human Rights Commission</w:t>
    </w:r>
    <w:r>
      <w:br/>
    </w:r>
    <w:r>
      <w:rPr>
        <w:rStyle w:val="Reporttitleinheader"/>
      </w:rPr>
      <w:t>Annual Report</w:t>
    </w:r>
    <w:r>
      <w:t xml:space="preserve"> 2022–2</w:t>
    </w:r>
    <w:r w:rsidRPr="00E53F30">
      <w:t>023</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5B5092" w14:textId="2A459D19" w:rsidR="004213B9" w:rsidRDefault="004213B9" w:rsidP="00C5796B">
    <w:pPr>
      <w:pStyle w:val="Header"/>
    </w:pPr>
    <w:r w:rsidRPr="00902EC3">
      <w:t>Australian Human Rights Commission</w:t>
    </w:r>
    <w:r>
      <w:br/>
    </w:r>
    <w:r>
      <w:rPr>
        <w:rStyle w:val="Reporttitleinheader"/>
      </w:rPr>
      <w:t>Annual Report</w:t>
    </w:r>
    <w:r>
      <w:t xml:space="preserve"> </w:t>
    </w:r>
    <w:r>
      <w:fldChar w:fldCharType="begin"/>
    </w:r>
    <w:r>
      <w:instrText xml:space="preserve"> CREATEDATE  \@ "MMMM yyyy"  \* MERGEFORMAT </w:instrText>
    </w:r>
    <w:r>
      <w:fldChar w:fldCharType="separate"/>
    </w:r>
    <w:r>
      <w:rPr>
        <w:noProof/>
      </w:rPr>
      <w:t>2022–2023</w:t>
    </w:r>
    <w:r>
      <w:fldChar w:fldCharType="end"/>
    </w:r>
  </w:p>
  <w:p w14:paraId="654217D1" w14:textId="40F98C0F" w:rsidR="004213B9" w:rsidRDefault="004213B9">
    <w:pPr>
      <w:pStyle w:val="BodyText"/>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F36045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58AC8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1EC8FA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104E1E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2C21C3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56989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F9C86F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3FEF41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C4E9088"/>
    <w:lvl w:ilvl="0">
      <w:start w:val="1"/>
      <w:numFmt w:val="bullet"/>
      <w:pStyle w:val="ListBullet"/>
      <w:lvlText w:val=""/>
      <w:lvlJc w:val="left"/>
      <w:pPr>
        <w:tabs>
          <w:tab w:val="num" w:pos="851"/>
        </w:tabs>
        <w:ind w:left="851" w:hanging="284"/>
      </w:pPr>
      <w:rPr>
        <w:rFonts w:ascii="Symbol" w:hAnsi="Symbol" w:hint="default"/>
      </w:rPr>
    </w:lvl>
  </w:abstractNum>
  <w:abstractNum w:abstractNumId="10" w15:restartNumberingAfterBreak="0">
    <w:nsid w:val="00E456E5"/>
    <w:multiLevelType w:val="multilevel"/>
    <w:tmpl w:val="176E4282"/>
    <w:styleLink w:val="Elencocorrente8"/>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tabs>
          <w:tab w:val="num" w:pos="851"/>
        </w:tabs>
        <w:ind w:left="851" w:hanging="851"/>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1" w15:restartNumberingAfterBreak="0">
    <w:nsid w:val="01555698"/>
    <w:multiLevelType w:val="multilevel"/>
    <w:tmpl w:val="176E4282"/>
    <w:styleLink w:val="Elencocorrente9"/>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tabs>
          <w:tab w:val="num" w:pos="851"/>
        </w:tabs>
        <w:ind w:left="851" w:hanging="851"/>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2" w15:restartNumberingAfterBreak="0">
    <w:nsid w:val="099F39D2"/>
    <w:multiLevelType w:val="multilevel"/>
    <w:tmpl w:val="1376D2A8"/>
    <w:styleLink w:val="Style1"/>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3.1.1"/>
      <w:lvlJc w:val="left"/>
      <w:pPr>
        <w:tabs>
          <w:tab w:val="num" w:pos="851"/>
        </w:tabs>
        <w:ind w:left="851" w:hanging="851"/>
      </w:pPr>
      <w:rPr>
        <w:rFonts w:ascii="Times New Roman" w:hAnsi="Times New Roman" w:hint="default"/>
        <w:color w:val="auto"/>
      </w:rPr>
    </w:lvl>
    <w:lvl w:ilvl="3">
      <w:start w:val="1"/>
      <w:numFmt w:val="lowerLetter"/>
      <w:lvlText w:val="(%4)"/>
      <w:lvlJc w:val="left"/>
      <w:pPr>
        <w:tabs>
          <w:tab w:val="num" w:pos="851"/>
        </w:tabs>
        <w:ind w:left="851" w:hanging="851"/>
      </w:pPr>
      <w:rPr>
        <w:rFonts w:hint="default"/>
      </w:rPr>
    </w:lvl>
    <w:lvl w:ilvl="4">
      <w:start w:val="1"/>
      <w:numFmt w:val="lowerRoman"/>
      <w:lvlText w:val="%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3" w15:restartNumberingAfterBreak="0">
    <w:nsid w:val="0ACF578D"/>
    <w:multiLevelType w:val="multilevel"/>
    <w:tmpl w:val="176E4282"/>
    <w:styleLink w:val="Elencocorrente2"/>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tabs>
          <w:tab w:val="num" w:pos="851"/>
        </w:tabs>
        <w:ind w:left="851" w:hanging="851"/>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4" w15:restartNumberingAfterBreak="0">
    <w:nsid w:val="0B8D5499"/>
    <w:multiLevelType w:val="multilevel"/>
    <w:tmpl w:val="8BE444DC"/>
    <w:styleLink w:val="AHRCReportHeadings"/>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none"/>
      <w:pStyle w:val="AHRCheading5"/>
      <w:lvlText w:val="-"/>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5" w15:restartNumberingAfterBreak="0">
    <w:nsid w:val="1B00011F"/>
    <w:multiLevelType w:val="multilevel"/>
    <w:tmpl w:val="176E4282"/>
    <w:styleLink w:val="Elencocorrente7"/>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tabs>
          <w:tab w:val="num" w:pos="851"/>
        </w:tabs>
        <w:ind w:left="851" w:hanging="851"/>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6" w15:restartNumberingAfterBreak="0">
    <w:nsid w:val="1DCB237C"/>
    <w:multiLevelType w:val="hybridMultilevel"/>
    <w:tmpl w:val="F6E2FC0A"/>
    <w:lvl w:ilvl="0" w:tplc="A32EC982">
      <w:start w:val="1"/>
      <w:numFmt w:val="decimal"/>
      <w:pStyle w:val="SubmissionNormal"/>
      <w:lvlText w:val="%1."/>
      <w:lvlJc w:val="left"/>
      <w:pPr>
        <w:tabs>
          <w:tab w:val="num" w:pos="720"/>
        </w:tabs>
        <w:ind w:left="720" w:hanging="36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7" w15:restartNumberingAfterBreak="0">
    <w:nsid w:val="1E212163"/>
    <w:multiLevelType w:val="hybridMultilevel"/>
    <w:tmpl w:val="1C00AD56"/>
    <w:lvl w:ilvl="0" w:tplc="240C281C">
      <w:start w:val="46"/>
      <w:numFmt w:val="bullet"/>
      <w:lvlText w:val="-"/>
      <w:lvlJc w:val="left"/>
      <w:pPr>
        <w:ind w:left="400" w:hanging="360"/>
      </w:pPr>
      <w:rPr>
        <w:rFonts w:ascii="Open Sans" w:eastAsia="Times New Roman" w:hAnsi="Open Sans" w:cs="Open Sans" w:hint="default"/>
      </w:rPr>
    </w:lvl>
    <w:lvl w:ilvl="1" w:tplc="04100003" w:tentative="1">
      <w:start w:val="1"/>
      <w:numFmt w:val="bullet"/>
      <w:lvlText w:val="o"/>
      <w:lvlJc w:val="left"/>
      <w:pPr>
        <w:ind w:left="1120" w:hanging="360"/>
      </w:pPr>
      <w:rPr>
        <w:rFonts w:ascii="Courier New" w:hAnsi="Courier New" w:cs="Courier New" w:hint="default"/>
      </w:rPr>
    </w:lvl>
    <w:lvl w:ilvl="2" w:tplc="04100005" w:tentative="1">
      <w:start w:val="1"/>
      <w:numFmt w:val="bullet"/>
      <w:lvlText w:val=""/>
      <w:lvlJc w:val="left"/>
      <w:pPr>
        <w:ind w:left="1840" w:hanging="360"/>
      </w:pPr>
      <w:rPr>
        <w:rFonts w:ascii="Wingdings" w:hAnsi="Wingdings" w:hint="default"/>
      </w:rPr>
    </w:lvl>
    <w:lvl w:ilvl="3" w:tplc="04100001" w:tentative="1">
      <w:start w:val="1"/>
      <w:numFmt w:val="bullet"/>
      <w:lvlText w:val=""/>
      <w:lvlJc w:val="left"/>
      <w:pPr>
        <w:ind w:left="2560" w:hanging="360"/>
      </w:pPr>
      <w:rPr>
        <w:rFonts w:ascii="Symbol" w:hAnsi="Symbol" w:hint="default"/>
      </w:rPr>
    </w:lvl>
    <w:lvl w:ilvl="4" w:tplc="04100003" w:tentative="1">
      <w:start w:val="1"/>
      <w:numFmt w:val="bullet"/>
      <w:lvlText w:val="o"/>
      <w:lvlJc w:val="left"/>
      <w:pPr>
        <w:ind w:left="3280" w:hanging="360"/>
      </w:pPr>
      <w:rPr>
        <w:rFonts w:ascii="Courier New" w:hAnsi="Courier New" w:cs="Courier New" w:hint="default"/>
      </w:rPr>
    </w:lvl>
    <w:lvl w:ilvl="5" w:tplc="04100005" w:tentative="1">
      <w:start w:val="1"/>
      <w:numFmt w:val="bullet"/>
      <w:lvlText w:val=""/>
      <w:lvlJc w:val="left"/>
      <w:pPr>
        <w:ind w:left="4000" w:hanging="360"/>
      </w:pPr>
      <w:rPr>
        <w:rFonts w:ascii="Wingdings" w:hAnsi="Wingdings" w:hint="default"/>
      </w:rPr>
    </w:lvl>
    <w:lvl w:ilvl="6" w:tplc="04100001" w:tentative="1">
      <w:start w:val="1"/>
      <w:numFmt w:val="bullet"/>
      <w:lvlText w:val=""/>
      <w:lvlJc w:val="left"/>
      <w:pPr>
        <w:ind w:left="4720" w:hanging="360"/>
      </w:pPr>
      <w:rPr>
        <w:rFonts w:ascii="Symbol" w:hAnsi="Symbol" w:hint="default"/>
      </w:rPr>
    </w:lvl>
    <w:lvl w:ilvl="7" w:tplc="04100003" w:tentative="1">
      <w:start w:val="1"/>
      <w:numFmt w:val="bullet"/>
      <w:lvlText w:val="o"/>
      <w:lvlJc w:val="left"/>
      <w:pPr>
        <w:ind w:left="5440" w:hanging="360"/>
      </w:pPr>
      <w:rPr>
        <w:rFonts w:ascii="Courier New" w:hAnsi="Courier New" w:cs="Courier New" w:hint="default"/>
      </w:rPr>
    </w:lvl>
    <w:lvl w:ilvl="8" w:tplc="04100005" w:tentative="1">
      <w:start w:val="1"/>
      <w:numFmt w:val="bullet"/>
      <w:lvlText w:val=""/>
      <w:lvlJc w:val="left"/>
      <w:pPr>
        <w:ind w:left="6160" w:hanging="360"/>
      </w:pPr>
      <w:rPr>
        <w:rFonts w:ascii="Wingdings" w:hAnsi="Wingdings" w:hint="default"/>
      </w:rPr>
    </w:lvl>
  </w:abstractNum>
  <w:abstractNum w:abstractNumId="18" w15:restartNumberingAfterBreak="0">
    <w:nsid w:val="2056496B"/>
    <w:multiLevelType w:val="hybridMultilevel"/>
    <w:tmpl w:val="8DA0BB02"/>
    <w:lvl w:ilvl="0" w:tplc="28A00622">
      <w:start w:val="46"/>
      <w:numFmt w:val="bullet"/>
      <w:lvlText w:val="-"/>
      <w:lvlJc w:val="left"/>
      <w:pPr>
        <w:ind w:left="760" w:hanging="360"/>
      </w:pPr>
      <w:rPr>
        <w:rFonts w:ascii="Open Sans" w:eastAsia="Times New Roman" w:hAnsi="Open Sans" w:cs="Open Sans" w:hint="default"/>
      </w:rPr>
    </w:lvl>
    <w:lvl w:ilvl="1" w:tplc="04100003" w:tentative="1">
      <w:start w:val="1"/>
      <w:numFmt w:val="bullet"/>
      <w:lvlText w:val="o"/>
      <w:lvlJc w:val="left"/>
      <w:pPr>
        <w:ind w:left="1480" w:hanging="360"/>
      </w:pPr>
      <w:rPr>
        <w:rFonts w:ascii="Courier New" w:hAnsi="Courier New" w:cs="Courier New" w:hint="default"/>
      </w:rPr>
    </w:lvl>
    <w:lvl w:ilvl="2" w:tplc="04100005" w:tentative="1">
      <w:start w:val="1"/>
      <w:numFmt w:val="bullet"/>
      <w:lvlText w:val=""/>
      <w:lvlJc w:val="left"/>
      <w:pPr>
        <w:ind w:left="2200" w:hanging="360"/>
      </w:pPr>
      <w:rPr>
        <w:rFonts w:ascii="Wingdings" w:hAnsi="Wingdings" w:hint="default"/>
      </w:rPr>
    </w:lvl>
    <w:lvl w:ilvl="3" w:tplc="04100001" w:tentative="1">
      <w:start w:val="1"/>
      <w:numFmt w:val="bullet"/>
      <w:lvlText w:val=""/>
      <w:lvlJc w:val="left"/>
      <w:pPr>
        <w:ind w:left="2920" w:hanging="360"/>
      </w:pPr>
      <w:rPr>
        <w:rFonts w:ascii="Symbol" w:hAnsi="Symbol" w:hint="default"/>
      </w:rPr>
    </w:lvl>
    <w:lvl w:ilvl="4" w:tplc="04100003" w:tentative="1">
      <w:start w:val="1"/>
      <w:numFmt w:val="bullet"/>
      <w:lvlText w:val="o"/>
      <w:lvlJc w:val="left"/>
      <w:pPr>
        <w:ind w:left="3640" w:hanging="360"/>
      </w:pPr>
      <w:rPr>
        <w:rFonts w:ascii="Courier New" w:hAnsi="Courier New" w:cs="Courier New" w:hint="default"/>
      </w:rPr>
    </w:lvl>
    <w:lvl w:ilvl="5" w:tplc="04100005" w:tentative="1">
      <w:start w:val="1"/>
      <w:numFmt w:val="bullet"/>
      <w:lvlText w:val=""/>
      <w:lvlJc w:val="left"/>
      <w:pPr>
        <w:ind w:left="4360" w:hanging="360"/>
      </w:pPr>
      <w:rPr>
        <w:rFonts w:ascii="Wingdings" w:hAnsi="Wingdings" w:hint="default"/>
      </w:rPr>
    </w:lvl>
    <w:lvl w:ilvl="6" w:tplc="04100001" w:tentative="1">
      <w:start w:val="1"/>
      <w:numFmt w:val="bullet"/>
      <w:lvlText w:val=""/>
      <w:lvlJc w:val="left"/>
      <w:pPr>
        <w:ind w:left="5080" w:hanging="360"/>
      </w:pPr>
      <w:rPr>
        <w:rFonts w:ascii="Symbol" w:hAnsi="Symbol" w:hint="default"/>
      </w:rPr>
    </w:lvl>
    <w:lvl w:ilvl="7" w:tplc="04100003" w:tentative="1">
      <w:start w:val="1"/>
      <w:numFmt w:val="bullet"/>
      <w:lvlText w:val="o"/>
      <w:lvlJc w:val="left"/>
      <w:pPr>
        <w:ind w:left="5800" w:hanging="360"/>
      </w:pPr>
      <w:rPr>
        <w:rFonts w:ascii="Courier New" w:hAnsi="Courier New" w:cs="Courier New" w:hint="default"/>
      </w:rPr>
    </w:lvl>
    <w:lvl w:ilvl="8" w:tplc="04100005" w:tentative="1">
      <w:start w:val="1"/>
      <w:numFmt w:val="bullet"/>
      <w:lvlText w:val=""/>
      <w:lvlJc w:val="left"/>
      <w:pPr>
        <w:ind w:left="6520" w:hanging="360"/>
      </w:pPr>
      <w:rPr>
        <w:rFonts w:ascii="Wingdings" w:hAnsi="Wingdings" w:hint="default"/>
      </w:rPr>
    </w:lvl>
  </w:abstractNum>
  <w:abstractNum w:abstractNumId="19" w15:restartNumberingAfterBreak="0">
    <w:nsid w:val="21B71560"/>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0" w15:restartNumberingAfterBreak="0">
    <w:nsid w:val="236A5600"/>
    <w:multiLevelType w:val="hybridMultilevel"/>
    <w:tmpl w:val="AB123EEE"/>
    <w:lvl w:ilvl="0" w:tplc="A9B8A952">
      <w:start w:val="1"/>
      <w:numFmt w:val="decimal"/>
      <w:pStyle w:val="AHRCEndnote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7274A7E"/>
    <w:multiLevelType w:val="hybridMultilevel"/>
    <w:tmpl w:val="2AC07C0A"/>
    <w:lvl w:ilvl="0" w:tplc="368C20D0">
      <w:start w:val="46"/>
      <w:numFmt w:val="bullet"/>
      <w:lvlText w:val="-"/>
      <w:lvlJc w:val="left"/>
      <w:pPr>
        <w:ind w:left="1120" w:hanging="360"/>
      </w:pPr>
      <w:rPr>
        <w:rFonts w:ascii="Open Sans" w:eastAsia="Times New Roman" w:hAnsi="Open Sans" w:cs="Open Sans" w:hint="default"/>
      </w:rPr>
    </w:lvl>
    <w:lvl w:ilvl="1" w:tplc="04100003" w:tentative="1">
      <w:start w:val="1"/>
      <w:numFmt w:val="bullet"/>
      <w:lvlText w:val="o"/>
      <w:lvlJc w:val="left"/>
      <w:pPr>
        <w:ind w:left="1840" w:hanging="360"/>
      </w:pPr>
      <w:rPr>
        <w:rFonts w:ascii="Courier New" w:hAnsi="Courier New" w:cs="Courier New" w:hint="default"/>
      </w:rPr>
    </w:lvl>
    <w:lvl w:ilvl="2" w:tplc="04100005" w:tentative="1">
      <w:start w:val="1"/>
      <w:numFmt w:val="bullet"/>
      <w:lvlText w:val=""/>
      <w:lvlJc w:val="left"/>
      <w:pPr>
        <w:ind w:left="2560" w:hanging="360"/>
      </w:pPr>
      <w:rPr>
        <w:rFonts w:ascii="Wingdings" w:hAnsi="Wingdings" w:hint="default"/>
      </w:rPr>
    </w:lvl>
    <w:lvl w:ilvl="3" w:tplc="04100001" w:tentative="1">
      <w:start w:val="1"/>
      <w:numFmt w:val="bullet"/>
      <w:lvlText w:val=""/>
      <w:lvlJc w:val="left"/>
      <w:pPr>
        <w:ind w:left="3280" w:hanging="360"/>
      </w:pPr>
      <w:rPr>
        <w:rFonts w:ascii="Symbol" w:hAnsi="Symbol" w:hint="default"/>
      </w:rPr>
    </w:lvl>
    <w:lvl w:ilvl="4" w:tplc="04100003" w:tentative="1">
      <w:start w:val="1"/>
      <w:numFmt w:val="bullet"/>
      <w:lvlText w:val="o"/>
      <w:lvlJc w:val="left"/>
      <w:pPr>
        <w:ind w:left="4000" w:hanging="360"/>
      </w:pPr>
      <w:rPr>
        <w:rFonts w:ascii="Courier New" w:hAnsi="Courier New" w:cs="Courier New" w:hint="default"/>
      </w:rPr>
    </w:lvl>
    <w:lvl w:ilvl="5" w:tplc="04100005" w:tentative="1">
      <w:start w:val="1"/>
      <w:numFmt w:val="bullet"/>
      <w:lvlText w:val=""/>
      <w:lvlJc w:val="left"/>
      <w:pPr>
        <w:ind w:left="4720" w:hanging="360"/>
      </w:pPr>
      <w:rPr>
        <w:rFonts w:ascii="Wingdings" w:hAnsi="Wingdings" w:hint="default"/>
      </w:rPr>
    </w:lvl>
    <w:lvl w:ilvl="6" w:tplc="04100001" w:tentative="1">
      <w:start w:val="1"/>
      <w:numFmt w:val="bullet"/>
      <w:lvlText w:val=""/>
      <w:lvlJc w:val="left"/>
      <w:pPr>
        <w:ind w:left="5440" w:hanging="360"/>
      </w:pPr>
      <w:rPr>
        <w:rFonts w:ascii="Symbol" w:hAnsi="Symbol" w:hint="default"/>
      </w:rPr>
    </w:lvl>
    <w:lvl w:ilvl="7" w:tplc="04100003" w:tentative="1">
      <w:start w:val="1"/>
      <w:numFmt w:val="bullet"/>
      <w:lvlText w:val="o"/>
      <w:lvlJc w:val="left"/>
      <w:pPr>
        <w:ind w:left="6160" w:hanging="360"/>
      </w:pPr>
      <w:rPr>
        <w:rFonts w:ascii="Courier New" w:hAnsi="Courier New" w:cs="Courier New" w:hint="default"/>
      </w:rPr>
    </w:lvl>
    <w:lvl w:ilvl="8" w:tplc="04100005" w:tentative="1">
      <w:start w:val="1"/>
      <w:numFmt w:val="bullet"/>
      <w:lvlText w:val=""/>
      <w:lvlJc w:val="left"/>
      <w:pPr>
        <w:ind w:left="6880" w:hanging="360"/>
      </w:pPr>
      <w:rPr>
        <w:rFonts w:ascii="Wingdings" w:hAnsi="Wingdings" w:hint="default"/>
      </w:rPr>
    </w:lvl>
  </w:abstractNum>
  <w:abstractNum w:abstractNumId="22" w15:restartNumberingAfterBreak="0">
    <w:nsid w:val="330E6325"/>
    <w:multiLevelType w:val="singleLevel"/>
    <w:tmpl w:val="25C446B4"/>
    <w:lvl w:ilvl="0">
      <w:start w:val="1"/>
      <w:numFmt w:val="lowerLetter"/>
      <w:pStyle w:val="NumberedBulleta"/>
      <w:lvlText w:val="(%1)"/>
      <w:lvlJc w:val="left"/>
      <w:pPr>
        <w:ind w:left="454" w:hanging="454"/>
      </w:pPr>
      <w:rPr>
        <w:rFonts w:hint="default"/>
        <w:sz w:val="18"/>
        <w:szCs w:val="20"/>
      </w:rPr>
    </w:lvl>
  </w:abstractNum>
  <w:abstractNum w:abstractNumId="23" w15:restartNumberingAfterBreak="0">
    <w:nsid w:val="36965709"/>
    <w:multiLevelType w:val="hybridMultilevel"/>
    <w:tmpl w:val="53346DF4"/>
    <w:lvl w:ilvl="0" w:tplc="DAB86744">
      <w:start w:val="1"/>
      <w:numFmt w:val="bullet"/>
      <w:pStyle w:val="CopyrightTextBullets"/>
      <w:lvlText w:val=""/>
      <w:lvlJc w:val="left"/>
      <w:pPr>
        <w:ind w:left="737" w:hanging="17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37515204"/>
    <w:multiLevelType w:val="multilevel"/>
    <w:tmpl w:val="C284FC9A"/>
    <w:styleLink w:val="ShorterBullet"/>
    <w:lvl w:ilvl="0">
      <w:start w:val="1"/>
      <w:numFmt w:val="decimal"/>
      <w:lvlText w:val="%1."/>
      <w:lvlJc w:val="left"/>
      <w:pPr>
        <w:tabs>
          <w:tab w:val="num" w:pos="1060"/>
        </w:tabs>
        <w:ind w:left="1060" w:hanging="368"/>
      </w:pPr>
      <w:rPr>
        <w:rFonts w:ascii="Tahoma" w:hAnsi="Tahoma" w:cs="Times New Roman" w:hint="default"/>
        <w:sz w:val="24"/>
        <w:szCs w:val="24"/>
      </w:rPr>
    </w:lvl>
    <w:lvl w:ilvl="1">
      <w:start w:val="1"/>
      <w:numFmt w:val="bullet"/>
      <w:lvlText w:val=""/>
      <w:lvlJc w:val="left"/>
      <w:pPr>
        <w:tabs>
          <w:tab w:val="num" w:pos="1401"/>
        </w:tabs>
        <w:ind w:left="1401" w:firstLine="229"/>
      </w:pPr>
      <w:rPr>
        <w:rFonts w:ascii="Symbol" w:hAnsi="Symbol" w:hint="default"/>
        <w:sz w:val="24"/>
      </w:rPr>
    </w:lvl>
    <w:lvl w:ilvl="2">
      <w:start w:val="1"/>
      <w:numFmt w:val="lowerRoman"/>
      <w:lvlText w:val="%3."/>
      <w:lvlJc w:val="right"/>
      <w:pPr>
        <w:tabs>
          <w:tab w:val="num" w:pos="2710"/>
        </w:tabs>
        <w:ind w:left="2710" w:hanging="180"/>
      </w:pPr>
      <w:rPr>
        <w:rFonts w:cs="Times New Roman" w:hint="default"/>
      </w:rPr>
    </w:lvl>
    <w:lvl w:ilvl="3">
      <w:start w:val="1"/>
      <w:numFmt w:val="decimal"/>
      <w:lvlText w:val="%4."/>
      <w:lvlJc w:val="left"/>
      <w:pPr>
        <w:tabs>
          <w:tab w:val="num" w:pos="3430"/>
        </w:tabs>
        <w:ind w:left="3430" w:hanging="360"/>
      </w:pPr>
      <w:rPr>
        <w:rFonts w:cs="Times New Roman" w:hint="default"/>
      </w:rPr>
    </w:lvl>
    <w:lvl w:ilvl="4">
      <w:start w:val="1"/>
      <w:numFmt w:val="lowerLetter"/>
      <w:lvlText w:val="%5."/>
      <w:lvlJc w:val="left"/>
      <w:pPr>
        <w:tabs>
          <w:tab w:val="num" w:pos="4150"/>
        </w:tabs>
        <w:ind w:left="4150" w:hanging="360"/>
      </w:pPr>
      <w:rPr>
        <w:rFonts w:cs="Times New Roman" w:hint="default"/>
      </w:rPr>
    </w:lvl>
    <w:lvl w:ilvl="5">
      <w:start w:val="1"/>
      <w:numFmt w:val="lowerRoman"/>
      <w:lvlText w:val="%6."/>
      <w:lvlJc w:val="right"/>
      <w:pPr>
        <w:tabs>
          <w:tab w:val="num" w:pos="4870"/>
        </w:tabs>
        <w:ind w:left="4870" w:hanging="180"/>
      </w:pPr>
      <w:rPr>
        <w:rFonts w:cs="Times New Roman" w:hint="default"/>
      </w:rPr>
    </w:lvl>
    <w:lvl w:ilvl="6">
      <w:start w:val="1"/>
      <w:numFmt w:val="decimal"/>
      <w:lvlText w:val="%7."/>
      <w:lvlJc w:val="left"/>
      <w:pPr>
        <w:tabs>
          <w:tab w:val="num" w:pos="5590"/>
        </w:tabs>
        <w:ind w:left="5590" w:hanging="360"/>
      </w:pPr>
      <w:rPr>
        <w:rFonts w:cs="Times New Roman" w:hint="default"/>
      </w:rPr>
    </w:lvl>
    <w:lvl w:ilvl="7">
      <w:start w:val="1"/>
      <w:numFmt w:val="lowerLetter"/>
      <w:lvlText w:val="%8."/>
      <w:lvlJc w:val="left"/>
      <w:pPr>
        <w:tabs>
          <w:tab w:val="num" w:pos="6310"/>
        </w:tabs>
        <w:ind w:left="6310" w:hanging="360"/>
      </w:pPr>
      <w:rPr>
        <w:rFonts w:cs="Times New Roman" w:hint="default"/>
      </w:rPr>
    </w:lvl>
    <w:lvl w:ilvl="8">
      <w:start w:val="1"/>
      <w:numFmt w:val="lowerRoman"/>
      <w:lvlText w:val="%9."/>
      <w:lvlJc w:val="right"/>
      <w:pPr>
        <w:tabs>
          <w:tab w:val="num" w:pos="7030"/>
        </w:tabs>
        <w:ind w:left="7030" w:hanging="180"/>
      </w:pPr>
      <w:rPr>
        <w:rFonts w:cs="Times New Roman" w:hint="default"/>
      </w:rPr>
    </w:lvl>
  </w:abstractNum>
  <w:abstractNum w:abstractNumId="25" w15:restartNumberingAfterBreak="0">
    <w:nsid w:val="3EC42FE8"/>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41940343"/>
    <w:multiLevelType w:val="multilevel"/>
    <w:tmpl w:val="B7B64678"/>
    <w:styleLink w:val="Elencocorrente1"/>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27" w15:restartNumberingAfterBreak="0">
    <w:nsid w:val="46E03A58"/>
    <w:multiLevelType w:val="multilevel"/>
    <w:tmpl w:val="176E4282"/>
    <w:styleLink w:val="Elencocorrente6"/>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tabs>
          <w:tab w:val="num" w:pos="851"/>
        </w:tabs>
        <w:ind w:left="851" w:hanging="851"/>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28" w15:restartNumberingAfterBreak="0">
    <w:nsid w:val="48FF1B3F"/>
    <w:multiLevelType w:val="multilevel"/>
    <w:tmpl w:val="176E4282"/>
    <w:styleLink w:val="Elencocorrente5"/>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tabs>
          <w:tab w:val="num" w:pos="851"/>
        </w:tabs>
        <w:ind w:left="851" w:hanging="851"/>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29" w15:restartNumberingAfterBreak="0">
    <w:nsid w:val="49FF7A73"/>
    <w:multiLevelType w:val="multilevel"/>
    <w:tmpl w:val="176E4282"/>
    <w:lvl w:ilvl="0">
      <w:start w:val="1"/>
      <w:numFmt w:val="decimal"/>
      <w:pStyle w:val="Heading1"/>
      <w:lvlText w:val="%1"/>
      <w:lvlJc w:val="left"/>
      <w:pPr>
        <w:tabs>
          <w:tab w:val="num" w:pos="851"/>
        </w:tabs>
        <w:ind w:left="851" w:hanging="851"/>
      </w:pPr>
      <w:rPr>
        <w:rFonts w:hint="default"/>
      </w:rPr>
    </w:lvl>
    <w:lvl w:ilvl="1">
      <w:start w:val="1"/>
      <w:numFmt w:val="decimal"/>
      <w:pStyle w:val="Heading2"/>
      <w:lvlText w:val="%1.%2"/>
      <w:lvlJc w:val="left"/>
      <w:pPr>
        <w:tabs>
          <w:tab w:val="num" w:pos="851"/>
        </w:tabs>
        <w:ind w:left="851" w:hanging="851"/>
      </w:pPr>
      <w:rPr>
        <w:rFonts w:hint="default"/>
      </w:rPr>
    </w:lvl>
    <w:lvl w:ilvl="2">
      <w:start w:val="1"/>
      <w:numFmt w:val="lowerLetter"/>
      <w:pStyle w:val="Heading3"/>
      <w:lvlText w:val="(%3)"/>
      <w:lvlJc w:val="left"/>
      <w:pPr>
        <w:ind w:left="454" w:hanging="454"/>
      </w:pPr>
      <w:rPr>
        <w:rFonts w:hint="default"/>
      </w:rPr>
    </w:lvl>
    <w:lvl w:ilvl="3">
      <w:start w:val="1"/>
      <w:numFmt w:val="lowerRoman"/>
      <w:lvlText w:val="(%4)"/>
      <w:lvlJc w:val="left"/>
      <w:pPr>
        <w:tabs>
          <w:tab w:val="num" w:pos="851"/>
        </w:tabs>
        <w:ind w:left="851" w:hanging="851"/>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pStyle w:val="Heading8"/>
      <w:lvlText w:val="%1.%2.%3.%4.%5.%6.%7.%8"/>
      <w:lvlJc w:val="left"/>
      <w:pPr>
        <w:tabs>
          <w:tab w:val="num" w:pos="0"/>
        </w:tabs>
        <w:ind w:left="1440" w:hanging="1440"/>
      </w:pPr>
      <w:rPr>
        <w:rFonts w:hint="default"/>
      </w:rPr>
    </w:lvl>
    <w:lvl w:ilvl="8">
      <w:start w:val="1"/>
      <w:numFmt w:val="decimal"/>
      <w:pStyle w:val="Heading9"/>
      <w:lvlText w:val="%1.%2.%3.%4.%5.%6.%7.%8.%9"/>
      <w:lvlJc w:val="left"/>
      <w:pPr>
        <w:tabs>
          <w:tab w:val="num" w:pos="0"/>
        </w:tabs>
        <w:ind w:left="1584" w:hanging="1584"/>
      </w:pPr>
      <w:rPr>
        <w:rFonts w:hint="default"/>
      </w:rPr>
    </w:lvl>
  </w:abstractNum>
  <w:abstractNum w:abstractNumId="30" w15:restartNumberingAfterBreak="0">
    <w:nsid w:val="4E4322A8"/>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1" w15:restartNumberingAfterBreak="0">
    <w:nsid w:val="55DE736B"/>
    <w:multiLevelType w:val="multilevel"/>
    <w:tmpl w:val="176E4282"/>
    <w:styleLink w:val="Elencocorrente4"/>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tabs>
          <w:tab w:val="num" w:pos="851"/>
        </w:tabs>
        <w:ind w:left="851" w:hanging="851"/>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32" w15:restartNumberingAfterBreak="0">
    <w:nsid w:val="5A07168F"/>
    <w:multiLevelType w:val="multilevel"/>
    <w:tmpl w:val="176E4282"/>
    <w:styleLink w:val="Elencocorrente11"/>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tabs>
          <w:tab w:val="num" w:pos="851"/>
        </w:tabs>
        <w:ind w:left="851" w:hanging="851"/>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33" w15:restartNumberingAfterBreak="0">
    <w:nsid w:val="5C237BC4"/>
    <w:multiLevelType w:val="hybridMultilevel"/>
    <w:tmpl w:val="27D43568"/>
    <w:lvl w:ilvl="0" w:tplc="52E478CE">
      <w:start w:val="1"/>
      <w:numFmt w:val="bullet"/>
      <w:pStyle w:val="TableTextBullet"/>
      <w:lvlText w:val=""/>
      <w:lvlJc w:val="left"/>
      <w:pPr>
        <w:tabs>
          <w:tab w:val="num" w:pos="170"/>
        </w:tabs>
        <w:ind w:left="170" w:hanging="17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663A1472"/>
    <w:multiLevelType w:val="multilevel"/>
    <w:tmpl w:val="176E4282"/>
    <w:styleLink w:val="Elencocorrente12"/>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tabs>
          <w:tab w:val="num" w:pos="851"/>
        </w:tabs>
        <w:ind w:left="851" w:hanging="851"/>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35" w15:restartNumberingAfterBreak="0">
    <w:nsid w:val="66AE7AAC"/>
    <w:multiLevelType w:val="hybridMultilevel"/>
    <w:tmpl w:val="9BA8F6EC"/>
    <w:lvl w:ilvl="0" w:tplc="DB96A176">
      <w:start w:val="1"/>
      <w:numFmt w:val="lowerLetter"/>
      <w:lvlText w:val="%1)"/>
      <w:lvlJc w:val="left"/>
      <w:pPr>
        <w:ind w:left="927" w:hanging="360"/>
      </w:pPr>
      <w:rPr>
        <w:rFonts w:hint="default"/>
      </w:rPr>
    </w:lvl>
    <w:lvl w:ilvl="1" w:tplc="04100019" w:tentative="1">
      <w:start w:val="1"/>
      <w:numFmt w:val="lowerLetter"/>
      <w:lvlText w:val="%2."/>
      <w:lvlJc w:val="left"/>
      <w:pPr>
        <w:ind w:left="1647" w:hanging="360"/>
      </w:pPr>
    </w:lvl>
    <w:lvl w:ilvl="2" w:tplc="0410001B" w:tentative="1">
      <w:start w:val="1"/>
      <w:numFmt w:val="lowerRoman"/>
      <w:lvlText w:val="%3."/>
      <w:lvlJc w:val="right"/>
      <w:pPr>
        <w:ind w:left="2367" w:hanging="180"/>
      </w:pPr>
    </w:lvl>
    <w:lvl w:ilvl="3" w:tplc="0410000F" w:tentative="1">
      <w:start w:val="1"/>
      <w:numFmt w:val="decimal"/>
      <w:lvlText w:val="%4."/>
      <w:lvlJc w:val="left"/>
      <w:pPr>
        <w:ind w:left="3087" w:hanging="360"/>
      </w:pPr>
    </w:lvl>
    <w:lvl w:ilvl="4" w:tplc="04100019" w:tentative="1">
      <w:start w:val="1"/>
      <w:numFmt w:val="lowerLetter"/>
      <w:lvlText w:val="%5."/>
      <w:lvlJc w:val="left"/>
      <w:pPr>
        <w:ind w:left="3807" w:hanging="360"/>
      </w:pPr>
    </w:lvl>
    <w:lvl w:ilvl="5" w:tplc="0410001B" w:tentative="1">
      <w:start w:val="1"/>
      <w:numFmt w:val="lowerRoman"/>
      <w:lvlText w:val="%6."/>
      <w:lvlJc w:val="right"/>
      <w:pPr>
        <w:ind w:left="4527" w:hanging="180"/>
      </w:pPr>
    </w:lvl>
    <w:lvl w:ilvl="6" w:tplc="0410000F" w:tentative="1">
      <w:start w:val="1"/>
      <w:numFmt w:val="decimal"/>
      <w:lvlText w:val="%7."/>
      <w:lvlJc w:val="left"/>
      <w:pPr>
        <w:ind w:left="5247" w:hanging="360"/>
      </w:pPr>
    </w:lvl>
    <w:lvl w:ilvl="7" w:tplc="04100019" w:tentative="1">
      <w:start w:val="1"/>
      <w:numFmt w:val="lowerLetter"/>
      <w:lvlText w:val="%8."/>
      <w:lvlJc w:val="left"/>
      <w:pPr>
        <w:ind w:left="5967" w:hanging="360"/>
      </w:pPr>
    </w:lvl>
    <w:lvl w:ilvl="8" w:tplc="0410001B" w:tentative="1">
      <w:start w:val="1"/>
      <w:numFmt w:val="lowerRoman"/>
      <w:lvlText w:val="%9."/>
      <w:lvlJc w:val="right"/>
      <w:pPr>
        <w:ind w:left="6687" w:hanging="180"/>
      </w:pPr>
    </w:lvl>
  </w:abstractNum>
  <w:abstractNum w:abstractNumId="36" w15:restartNumberingAfterBreak="0">
    <w:nsid w:val="6FB2540F"/>
    <w:multiLevelType w:val="multilevel"/>
    <w:tmpl w:val="176E4282"/>
    <w:styleLink w:val="Elencocorrente10"/>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tabs>
          <w:tab w:val="num" w:pos="851"/>
        </w:tabs>
        <w:ind w:left="851" w:hanging="851"/>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37" w15:restartNumberingAfterBreak="0">
    <w:nsid w:val="71CC72D9"/>
    <w:multiLevelType w:val="multilevel"/>
    <w:tmpl w:val="176E4282"/>
    <w:styleLink w:val="Elencocorrente3"/>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tabs>
          <w:tab w:val="num" w:pos="851"/>
        </w:tabs>
        <w:ind w:left="851" w:hanging="851"/>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38" w15:restartNumberingAfterBreak="0">
    <w:nsid w:val="7E6B2A3E"/>
    <w:multiLevelType w:val="multilevel"/>
    <w:tmpl w:val="8BE444DC"/>
    <w:numStyleLink w:val="AHRCReportHeadings"/>
  </w:abstractNum>
  <w:num w:numId="1">
    <w:abstractNumId w:val="29"/>
  </w:num>
  <w:num w:numId="2">
    <w:abstractNumId w:val="9"/>
  </w:num>
  <w:num w:numId="3">
    <w:abstractNumId w:val="7"/>
  </w:num>
  <w:num w:numId="4">
    <w:abstractNumId w:val="6"/>
  </w:num>
  <w:num w:numId="5">
    <w:abstractNumId w:val="5"/>
  </w:num>
  <w:num w:numId="6">
    <w:abstractNumId w:val="4"/>
  </w:num>
  <w:num w:numId="7">
    <w:abstractNumId w:val="8"/>
  </w:num>
  <w:num w:numId="8">
    <w:abstractNumId w:val="1"/>
  </w:num>
  <w:num w:numId="9">
    <w:abstractNumId w:val="0"/>
  </w:num>
  <w:num w:numId="10">
    <w:abstractNumId w:val="3"/>
  </w:num>
  <w:num w:numId="11">
    <w:abstractNumId w:val="2"/>
  </w:num>
  <w:num w:numId="12">
    <w:abstractNumId w:val="30"/>
  </w:num>
  <w:num w:numId="13">
    <w:abstractNumId w:val="25"/>
  </w:num>
  <w:num w:numId="14">
    <w:abstractNumId w:val="19"/>
  </w:num>
  <w:num w:numId="15">
    <w:abstractNumId w:val="16"/>
  </w:num>
  <w:num w:numId="16">
    <w:abstractNumId w:val="12"/>
  </w:num>
  <w:num w:numId="17">
    <w:abstractNumId w:val="14"/>
  </w:num>
  <w:num w:numId="18">
    <w:abstractNumId w:val="38"/>
  </w:num>
  <w:num w:numId="19">
    <w:abstractNumId w:val="20"/>
  </w:num>
  <w:num w:numId="20">
    <w:abstractNumId w:val="24"/>
  </w:num>
  <w:num w:numId="21">
    <w:abstractNumId w:val="26"/>
  </w:num>
  <w:num w:numId="22">
    <w:abstractNumId w:val="13"/>
  </w:num>
  <w:num w:numId="23">
    <w:abstractNumId w:val="37"/>
  </w:num>
  <w:num w:numId="24">
    <w:abstractNumId w:val="31"/>
  </w:num>
  <w:num w:numId="25">
    <w:abstractNumId w:val="28"/>
  </w:num>
  <w:num w:numId="26">
    <w:abstractNumId w:val="27"/>
  </w:num>
  <w:num w:numId="27">
    <w:abstractNumId w:val="15"/>
  </w:num>
  <w:num w:numId="28">
    <w:abstractNumId w:val="10"/>
  </w:num>
  <w:num w:numId="29">
    <w:abstractNumId w:val="33"/>
  </w:num>
  <w:num w:numId="30">
    <w:abstractNumId w:val="11"/>
  </w:num>
  <w:num w:numId="31">
    <w:abstractNumId w:val="22"/>
  </w:num>
  <w:num w:numId="32">
    <w:abstractNumId w:val="22"/>
    <w:lvlOverride w:ilvl="0">
      <w:startOverride w:val="1"/>
    </w:lvlOverride>
  </w:num>
  <w:num w:numId="33">
    <w:abstractNumId w:val="22"/>
    <w:lvlOverride w:ilvl="0">
      <w:startOverride w:val="1"/>
    </w:lvlOverride>
  </w:num>
  <w:num w:numId="34">
    <w:abstractNumId w:val="22"/>
    <w:lvlOverride w:ilvl="0">
      <w:startOverride w:val="1"/>
    </w:lvlOverride>
  </w:num>
  <w:num w:numId="35">
    <w:abstractNumId w:val="22"/>
    <w:lvlOverride w:ilvl="0">
      <w:startOverride w:val="1"/>
    </w:lvlOverride>
  </w:num>
  <w:num w:numId="36">
    <w:abstractNumId w:val="22"/>
    <w:lvlOverride w:ilvl="0">
      <w:startOverride w:val="1"/>
    </w:lvlOverride>
  </w:num>
  <w:num w:numId="37">
    <w:abstractNumId w:val="36"/>
  </w:num>
  <w:num w:numId="38">
    <w:abstractNumId w:val="32"/>
  </w:num>
  <w:num w:numId="39">
    <w:abstractNumId w:val="34"/>
  </w:num>
  <w:num w:numId="40">
    <w:abstractNumId w:val="22"/>
    <w:lvlOverride w:ilvl="0">
      <w:startOverride w:val="1"/>
    </w:lvlOverride>
  </w:num>
  <w:num w:numId="41">
    <w:abstractNumId w:val="23"/>
  </w:num>
  <w:num w:numId="42">
    <w:abstractNumId w:val="35"/>
  </w:num>
  <w:num w:numId="43">
    <w:abstractNumId w:val="17"/>
  </w:num>
  <w:num w:numId="44">
    <w:abstractNumId w:val="18"/>
  </w:num>
  <w:num w:numId="45">
    <w:abstractNumId w:val="2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edit="trackedChanges" w:formatting="1" w:enforcement="0"/>
  <w:defaultTabStop w:val="720"/>
  <w:hyphenationZone w:val="283"/>
  <w:characterSpacingControl w:val="doNotCompress"/>
  <w:hdrShapeDefaults>
    <o:shapedefaults v:ext="edit" spidmax="204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01A"/>
    <w:rsid w:val="000007C3"/>
    <w:rsid w:val="000015EC"/>
    <w:rsid w:val="00001C62"/>
    <w:rsid w:val="00002D6C"/>
    <w:rsid w:val="00003DCD"/>
    <w:rsid w:val="00003EA5"/>
    <w:rsid w:val="00005D44"/>
    <w:rsid w:val="00007BB3"/>
    <w:rsid w:val="000106B0"/>
    <w:rsid w:val="00010DB4"/>
    <w:rsid w:val="0001140E"/>
    <w:rsid w:val="0001291B"/>
    <w:rsid w:val="000129E2"/>
    <w:rsid w:val="00012FE1"/>
    <w:rsid w:val="0001339D"/>
    <w:rsid w:val="00014428"/>
    <w:rsid w:val="00015C23"/>
    <w:rsid w:val="000161C2"/>
    <w:rsid w:val="000176B5"/>
    <w:rsid w:val="0002049A"/>
    <w:rsid w:val="00020750"/>
    <w:rsid w:val="00020771"/>
    <w:rsid w:val="000208F4"/>
    <w:rsid w:val="00020B62"/>
    <w:rsid w:val="00021641"/>
    <w:rsid w:val="000216D4"/>
    <w:rsid w:val="00021816"/>
    <w:rsid w:val="00021F9B"/>
    <w:rsid w:val="00024485"/>
    <w:rsid w:val="0002476A"/>
    <w:rsid w:val="00024F58"/>
    <w:rsid w:val="00025847"/>
    <w:rsid w:val="00025B16"/>
    <w:rsid w:val="00025F6D"/>
    <w:rsid w:val="00026EE5"/>
    <w:rsid w:val="00027AF4"/>
    <w:rsid w:val="00027DE5"/>
    <w:rsid w:val="000308E1"/>
    <w:rsid w:val="00030928"/>
    <w:rsid w:val="00030EC4"/>
    <w:rsid w:val="00030F0D"/>
    <w:rsid w:val="00030FC4"/>
    <w:rsid w:val="00031454"/>
    <w:rsid w:val="00032101"/>
    <w:rsid w:val="00033A0E"/>
    <w:rsid w:val="000350A7"/>
    <w:rsid w:val="0003536D"/>
    <w:rsid w:val="0003656E"/>
    <w:rsid w:val="00036BE4"/>
    <w:rsid w:val="00037A45"/>
    <w:rsid w:val="00041C13"/>
    <w:rsid w:val="00042157"/>
    <w:rsid w:val="0004258A"/>
    <w:rsid w:val="000430B8"/>
    <w:rsid w:val="000433A2"/>
    <w:rsid w:val="000436DE"/>
    <w:rsid w:val="00045712"/>
    <w:rsid w:val="00045BCA"/>
    <w:rsid w:val="00045C4B"/>
    <w:rsid w:val="000465B3"/>
    <w:rsid w:val="000465F1"/>
    <w:rsid w:val="0004718A"/>
    <w:rsid w:val="00047D00"/>
    <w:rsid w:val="000504C2"/>
    <w:rsid w:val="00051058"/>
    <w:rsid w:val="00052211"/>
    <w:rsid w:val="00052C64"/>
    <w:rsid w:val="000534AC"/>
    <w:rsid w:val="000539B8"/>
    <w:rsid w:val="0005402C"/>
    <w:rsid w:val="00056060"/>
    <w:rsid w:val="0005645E"/>
    <w:rsid w:val="000578CE"/>
    <w:rsid w:val="000579B1"/>
    <w:rsid w:val="00060390"/>
    <w:rsid w:val="00060883"/>
    <w:rsid w:val="00060C13"/>
    <w:rsid w:val="00061C6C"/>
    <w:rsid w:val="00063559"/>
    <w:rsid w:val="00063B40"/>
    <w:rsid w:val="00065381"/>
    <w:rsid w:val="00065758"/>
    <w:rsid w:val="00065EEA"/>
    <w:rsid w:val="0006634A"/>
    <w:rsid w:val="00066C68"/>
    <w:rsid w:val="00067165"/>
    <w:rsid w:val="00067847"/>
    <w:rsid w:val="000705AC"/>
    <w:rsid w:val="00070B52"/>
    <w:rsid w:val="00072C66"/>
    <w:rsid w:val="00072EDA"/>
    <w:rsid w:val="00072F7A"/>
    <w:rsid w:val="00075B72"/>
    <w:rsid w:val="000766C8"/>
    <w:rsid w:val="00076BFC"/>
    <w:rsid w:val="0007738A"/>
    <w:rsid w:val="0007762C"/>
    <w:rsid w:val="00083804"/>
    <w:rsid w:val="00085D7F"/>
    <w:rsid w:val="000867A4"/>
    <w:rsid w:val="000919F5"/>
    <w:rsid w:val="00092868"/>
    <w:rsid w:val="00093525"/>
    <w:rsid w:val="00093BC9"/>
    <w:rsid w:val="00093CE1"/>
    <w:rsid w:val="00093E79"/>
    <w:rsid w:val="00093F66"/>
    <w:rsid w:val="0009458E"/>
    <w:rsid w:val="000958F8"/>
    <w:rsid w:val="00096947"/>
    <w:rsid w:val="00096A8F"/>
    <w:rsid w:val="000A1DB8"/>
    <w:rsid w:val="000A3084"/>
    <w:rsid w:val="000A390B"/>
    <w:rsid w:val="000A4433"/>
    <w:rsid w:val="000A48AC"/>
    <w:rsid w:val="000A520E"/>
    <w:rsid w:val="000A5F6C"/>
    <w:rsid w:val="000A608E"/>
    <w:rsid w:val="000A75E3"/>
    <w:rsid w:val="000B0156"/>
    <w:rsid w:val="000B0603"/>
    <w:rsid w:val="000B0A5D"/>
    <w:rsid w:val="000B1855"/>
    <w:rsid w:val="000B39FC"/>
    <w:rsid w:val="000B54ED"/>
    <w:rsid w:val="000B5B68"/>
    <w:rsid w:val="000B78D3"/>
    <w:rsid w:val="000B7AC6"/>
    <w:rsid w:val="000B7E3C"/>
    <w:rsid w:val="000C052C"/>
    <w:rsid w:val="000C17CF"/>
    <w:rsid w:val="000C1A2E"/>
    <w:rsid w:val="000C1BFD"/>
    <w:rsid w:val="000C208A"/>
    <w:rsid w:val="000C3DDF"/>
    <w:rsid w:val="000C45BE"/>
    <w:rsid w:val="000C5608"/>
    <w:rsid w:val="000C5A01"/>
    <w:rsid w:val="000C5DA6"/>
    <w:rsid w:val="000C6032"/>
    <w:rsid w:val="000C746C"/>
    <w:rsid w:val="000C7F93"/>
    <w:rsid w:val="000D0B8F"/>
    <w:rsid w:val="000D0FEF"/>
    <w:rsid w:val="000D286B"/>
    <w:rsid w:val="000D5080"/>
    <w:rsid w:val="000D7121"/>
    <w:rsid w:val="000D7135"/>
    <w:rsid w:val="000D71F2"/>
    <w:rsid w:val="000D7C8A"/>
    <w:rsid w:val="000D7DE3"/>
    <w:rsid w:val="000E0335"/>
    <w:rsid w:val="000E130A"/>
    <w:rsid w:val="000E16B5"/>
    <w:rsid w:val="000E2AF7"/>
    <w:rsid w:val="000E2FC7"/>
    <w:rsid w:val="000E4EC0"/>
    <w:rsid w:val="000E61DE"/>
    <w:rsid w:val="000F18E0"/>
    <w:rsid w:val="000F1979"/>
    <w:rsid w:val="000F2691"/>
    <w:rsid w:val="000F3DA0"/>
    <w:rsid w:val="000F3E41"/>
    <w:rsid w:val="000F3EC8"/>
    <w:rsid w:val="000F40A2"/>
    <w:rsid w:val="000F553F"/>
    <w:rsid w:val="000F6AA1"/>
    <w:rsid w:val="000F6E8C"/>
    <w:rsid w:val="000F6FB4"/>
    <w:rsid w:val="000F7C63"/>
    <w:rsid w:val="00102442"/>
    <w:rsid w:val="00102915"/>
    <w:rsid w:val="00102B94"/>
    <w:rsid w:val="00102D16"/>
    <w:rsid w:val="00103000"/>
    <w:rsid w:val="00103D65"/>
    <w:rsid w:val="00105405"/>
    <w:rsid w:val="00105472"/>
    <w:rsid w:val="0010649E"/>
    <w:rsid w:val="00106515"/>
    <w:rsid w:val="00106EC1"/>
    <w:rsid w:val="00110C31"/>
    <w:rsid w:val="00111D66"/>
    <w:rsid w:val="00112317"/>
    <w:rsid w:val="00113166"/>
    <w:rsid w:val="00113F71"/>
    <w:rsid w:val="001145EB"/>
    <w:rsid w:val="001153EB"/>
    <w:rsid w:val="00117A97"/>
    <w:rsid w:val="00117BF4"/>
    <w:rsid w:val="00117DD0"/>
    <w:rsid w:val="00120A76"/>
    <w:rsid w:val="00120BD3"/>
    <w:rsid w:val="00121CD7"/>
    <w:rsid w:val="0012207D"/>
    <w:rsid w:val="001221B1"/>
    <w:rsid w:val="00122881"/>
    <w:rsid w:val="0012390B"/>
    <w:rsid w:val="001240A1"/>
    <w:rsid w:val="00124446"/>
    <w:rsid w:val="00124732"/>
    <w:rsid w:val="00124CD6"/>
    <w:rsid w:val="00124FAD"/>
    <w:rsid w:val="00125E71"/>
    <w:rsid w:val="0012667B"/>
    <w:rsid w:val="0013006F"/>
    <w:rsid w:val="00132B31"/>
    <w:rsid w:val="0013378A"/>
    <w:rsid w:val="001341AD"/>
    <w:rsid w:val="00134774"/>
    <w:rsid w:val="00134B23"/>
    <w:rsid w:val="00134C58"/>
    <w:rsid w:val="00135FFA"/>
    <w:rsid w:val="00136FBF"/>
    <w:rsid w:val="001373E6"/>
    <w:rsid w:val="00137DDC"/>
    <w:rsid w:val="00140274"/>
    <w:rsid w:val="001407FF"/>
    <w:rsid w:val="001408E9"/>
    <w:rsid w:val="00140FC2"/>
    <w:rsid w:val="00141FE4"/>
    <w:rsid w:val="00142072"/>
    <w:rsid w:val="001423C3"/>
    <w:rsid w:val="00142BAD"/>
    <w:rsid w:val="00142CD5"/>
    <w:rsid w:val="00142ED5"/>
    <w:rsid w:val="0014452A"/>
    <w:rsid w:val="001450F1"/>
    <w:rsid w:val="00145B5E"/>
    <w:rsid w:val="00146346"/>
    <w:rsid w:val="00146C05"/>
    <w:rsid w:val="001505F4"/>
    <w:rsid w:val="00151263"/>
    <w:rsid w:val="00151CF3"/>
    <w:rsid w:val="0015239E"/>
    <w:rsid w:val="00152949"/>
    <w:rsid w:val="00153686"/>
    <w:rsid w:val="00155A77"/>
    <w:rsid w:val="00156F4A"/>
    <w:rsid w:val="001579A0"/>
    <w:rsid w:val="00157A0D"/>
    <w:rsid w:val="001608CD"/>
    <w:rsid w:val="0016266F"/>
    <w:rsid w:val="00162A8D"/>
    <w:rsid w:val="001646FD"/>
    <w:rsid w:val="00164ACE"/>
    <w:rsid w:val="0016501D"/>
    <w:rsid w:val="00165E3C"/>
    <w:rsid w:val="00165F1E"/>
    <w:rsid w:val="001664F5"/>
    <w:rsid w:val="001670EB"/>
    <w:rsid w:val="00170001"/>
    <w:rsid w:val="001703B7"/>
    <w:rsid w:val="001710EC"/>
    <w:rsid w:val="0017166C"/>
    <w:rsid w:val="00171BF1"/>
    <w:rsid w:val="00173F73"/>
    <w:rsid w:val="00173FB5"/>
    <w:rsid w:val="00174408"/>
    <w:rsid w:val="001746B7"/>
    <w:rsid w:val="00174D9A"/>
    <w:rsid w:val="00175481"/>
    <w:rsid w:val="0017569A"/>
    <w:rsid w:val="00175CCF"/>
    <w:rsid w:val="00177055"/>
    <w:rsid w:val="0018050F"/>
    <w:rsid w:val="00181B2A"/>
    <w:rsid w:val="001839D6"/>
    <w:rsid w:val="00185493"/>
    <w:rsid w:val="001857D5"/>
    <w:rsid w:val="001859D8"/>
    <w:rsid w:val="00186096"/>
    <w:rsid w:val="00186AF1"/>
    <w:rsid w:val="001916AC"/>
    <w:rsid w:val="00192436"/>
    <w:rsid w:val="0019523A"/>
    <w:rsid w:val="00195483"/>
    <w:rsid w:val="00195EDE"/>
    <w:rsid w:val="0019743F"/>
    <w:rsid w:val="001976EE"/>
    <w:rsid w:val="00197CCA"/>
    <w:rsid w:val="001A06BD"/>
    <w:rsid w:val="001A2576"/>
    <w:rsid w:val="001A47C8"/>
    <w:rsid w:val="001A4BE8"/>
    <w:rsid w:val="001A577D"/>
    <w:rsid w:val="001A6170"/>
    <w:rsid w:val="001A61E8"/>
    <w:rsid w:val="001A6611"/>
    <w:rsid w:val="001A662A"/>
    <w:rsid w:val="001A67DB"/>
    <w:rsid w:val="001A6AA9"/>
    <w:rsid w:val="001B0353"/>
    <w:rsid w:val="001B14E3"/>
    <w:rsid w:val="001B42AE"/>
    <w:rsid w:val="001B4ACA"/>
    <w:rsid w:val="001B518E"/>
    <w:rsid w:val="001B6296"/>
    <w:rsid w:val="001B7136"/>
    <w:rsid w:val="001B7400"/>
    <w:rsid w:val="001C1667"/>
    <w:rsid w:val="001C19D2"/>
    <w:rsid w:val="001C1D9B"/>
    <w:rsid w:val="001C1F8B"/>
    <w:rsid w:val="001C36A3"/>
    <w:rsid w:val="001C4BF5"/>
    <w:rsid w:val="001C7278"/>
    <w:rsid w:val="001C7315"/>
    <w:rsid w:val="001C7946"/>
    <w:rsid w:val="001D0285"/>
    <w:rsid w:val="001D0CA0"/>
    <w:rsid w:val="001D1318"/>
    <w:rsid w:val="001D1C6A"/>
    <w:rsid w:val="001D1D27"/>
    <w:rsid w:val="001D289D"/>
    <w:rsid w:val="001D3449"/>
    <w:rsid w:val="001D3B9B"/>
    <w:rsid w:val="001D5FDA"/>
    <w:rsid w:val="001D7F67"/>
    <w:rsid w:val="001E124F"/>
    <w:rsid w:val="001E1D9A"/>
    <w:rsid w:val="001E1DBA"/>
    <w:rsid w:val="001E2F3D"/>
    <w:rsid w:val="001E3488"/>
    <w:rsid w:val="001E3926"/>
    <w:rsid w:val="001E3CB6"/>
    <w:rsid w:val="001E45BA"/>
    <w:rsid w:val="001E476F"/>
    <w:rsid w:val="001E4D6E"/>
    <w:rsid w:val="001E4E5E"/>
    <w:rsid w:val="001E5676"/>
    <w:rsid w:val="001E6274"/>
    <w:rsid w:val="001E7E02"/>
    <w:rsid w:val="001F0307"/>
    <w:rsid w:val="001F205C"/>
    <w:rsid w:val="001F2A25"/>
    <w:rsid w:val="001F2BBB"/>
    <w:rsid w:val="001F2E26"/>
    <w:rsid w:val="001F30BC"/>
    <w:rsid w:val="001F34C0"/>
    <w:rsid w:val="001F3689"/>
    <w:rsid w:val="001F3842"/>
    <w:rsid w:val="001F4766"/>
    <w:rsid w:val="001F4D85"/>
    <w:rsid w:val="001F52EE"/>
    <w:rsid w:val="001F52FD"/>
    <w:rsid w:val="001F56EC"/>
    <w:rsid w:val="001F62CC"/>
    <w:rsid w:val="001F64CE"/>
    <w:rsid w:val="001F6663"/>
    <w:rsid w:val="001F6D69"/>
    <w:rsid w:val="00200677"/>
    <w:rsid w:val="00200AB4"/>
    <w:rsid w:val="002012F7"/>
    <w:rsid w:val="00201848"/>
    <w:rsid w:val="002027F6"/>
    <w:rsid w:val="00203DEE"/>
    <w:rsid w:val="00204AE7"/>
    <w:rsid w:val="00204AF1"/>
    <w:rsid w:val="00205291"/>
    <w:rsid w:val="0020576C"/>
    <w:rsid w:val="00206781"/>
    <w:rsid w:val="002068EB"/>
    <w:rsid w:val="0020734B"/>
    <w:rsid w:val="00210F2E"/>
    <w:rsid w:val="0021149D"/>
    <w:rsid w:val="00211AC8"/>
    <w:rsid w:val="00212137"/>
    <w:rsid w:val="002126B6"/>
    <w:rsid w:val="00212C56"/>
    <w:rsid w:val="00212D42"/>
    <w:rsid w:val="002130FE"/>
    <w:rsid w:val="0021329E"/>
    <w:rsid w:val="00213E5B"/>
    <w:rsid w:val="00214B7B"/>
    <w:rsid w:val="00214C4D"/>
    <w:rsid w:val="00214DB2"/>
    <w:rsid w:val="00214E7A"/>
    <w:rsid w:val="0021512D"/>
    <w:rsid w:val="00217522"/>
    <w:rsid w:val="002200A0"/>
    <w:rsid w:val="002203A0"/>
    <w:rsid w:val="00221441"/>
    <w:rsid w:val="002216A6"/>
    <w:rsid w:val="00221C59"/>
    <w:rsid w:val="00221F2C"/>
    <w:rsid w:val="002220B5"/>
    <w:rsid w:val="0022267A"/>
    <w:rsid w:val="002227C7"/>
    <w:rsid w:val="00223CC5"/>
    <w:rsid w:val="002252F0"/>
    <w:rsid w:val="002258AD"/>
    <w:rsid w:val="002260C0"/>
    <w:rsid w:val="0022695B"/>
    <w:rsid w:val="002304D0"/>
    <w:rsid w:val="002316E4"/>
    <w:rsid w:val="00231ED1"/>
    <w:rsid w:val="002320D7"/>
    <w:rsid w:val="002329AE"/>
    <w:rsid w:val="002344E7"/>
    <w:rsid w:val="002348D0"/>
    <w:rsid w:val="00235ABF"/>
    <w:rsid w:val="002372D9"/>
    <w:rsid w:val="00237309"/>
    <w:rsid w:val="00237D1F"/>
    <w:rsid w:val="00241523"/>
    <w:rsid w:val="00241B2C"/>
    <w:rsid w:val="0024212A"/>
    <w:rsid w:val="00242624"/>
    <w:rsid w:val="002428B7"/>
    <w:rsid w:val="0024344C"/>
    <w:rsid w:val="00243CA2"/>
    <w:rsid w:val="00244CE8"/>
    <w:rsid w:val="0024557E"/>
    <w:rsid w:val="002459D0"/>
    <w:rsid w:val="0024652D"/>
    <w:rsid w:val="002471FD"/>
    <w:rsid w:val="0025032F"/>
    <w:rsid w:val="0025176E"/>
    <w:rsid w:val="00252758"/>
    <w:rsid w:val="00253F2B"/>
    <w:rsid w:val="00254565"/>
    <w:rsid w:val="00254EF3"/>
    <w:rsid w:val="00255F0B"/>
    <w:rsid w:val="00257344"/>
    <w:rsid w:val="00257555"/>
    <w:rsid w:val="002608E6"/>
    <w:rsid w:val="002630DE"/>
    <w:rsid w:val="002632EA"/>
    <w:rsid w:val="00263D8B"/>
    <w:rsid w:val="00265B41"/>
    <w:rsid w:val="00266697"/>
    <w:rsid w:val="002700FC"/>
    <w:rsid w:val="002712CF"/>
    <w:rsid w:val="002718A1"/>
    <w:rsid w:val="00272C1D"/>
    <w:rsid w:val="00275829"/>
    <w:rsid w:val="00275C6E"/>
    <w:rsid w:val="00275D8A"/>
    <w:rsid w:val="00281094"/>
    <w:rsid w:val="0028134F"/>
    <w:rsid w:val="002815AF"/>
    <w:rsid w:val="002820C4"/>
    <w:rsid w:val="00282807"/>
    <w:rsid w:val="00282A6E"/>
    <w:rsid w:val="002845A6"/>
    <w:rsid w:val="00284839"/>
    <w:rsid w:val="00284C8D"/>
    <w:rsid w:val="0028506A"/>
    <w:rsid w:val="002850B0"/>
    <w:rsid w:val="0028512F"/>
    <w:rsid w:val="002853BF"/>
    <w:rsid w:val="002863D7"/>
    <w:rsid w:val="002864C3"/>
    <w:rsid w:val="002870D2"/>
    <w:rsid w:val="002873B4"/>
    <w:rsid w:val="00290235"/>
    <w:rsid w:val="0029120F"/>
    <w:rsid w:val="002914B4"/>
    <w:rsid w:val="00291B5A"/>
    <w:rsid w:val="00292AB5"/>
    <w:rsid w:val="002944F5"/>
    <w:rsid w:val="00294A4B"/>
    <w:rsid w:val="00295240"/>
    <w:rsid w:val="002954B2"/>
    <w:rsid w:val="002963DE"/>
    <w:rsid w:val="00296CF4"/>
    <w:rsid w:val="00296F0F"/>
    <w:rsid w:val="00297957"/>
    <w:rsid w:val="002A16B6"/>
    <w:rsid w:val="002A3918"/>
    <w:rsid w:val="002A3DC3"/>
    <w:rsid w:val="002A43C2"/>
    <w:rsid w:val="002A4832"/>
    <w:rsid w:val="002A4EB9"/>
    <w:rsid w:val="002A500C"/>
    <w:rsid w:val="002A52C7"/>
    <w:rsid w:val="002A627D"/>
    <w:rsid w:val="002A7299"/>
    <w:rsid w:val="002A7AF8"/>
    <w:rsid w:val="002A7BF3"/>
    <w:rsid w:val="002B1177"/>
    <w:rsid w:val="002B1565"/>
    <w:rsid w:val="002B1B65"/>
    <w:rsid w:val="002B20AA"/>
    <w:rsid w:val="002B31E7"/>
    <w:rsid w:val="002B3547"/>
    <w:rsid w:val="002B3BCC"/>
    <w:rsid w:val="002B442E"/>
    <w:rsid w:val="002B4565"/>
    <w:rsid w:val="002B4AAD"/>
    <w:rsid w:val="002B6052"/>
    <w:rsid w:val="002B6DDF"/>
    <w:rsid w:val="002B6E89"/>
    <w:rsid w:val="002B71F6"/>
    <w:rsid w:val="002B7A24"/>
    <w:rsid w:val="002C02DB"/>
    <w:rsid w:val="002C1866"/>
    <w:rsid w:val="002C27E2"/>
    <w:rsid w:val="002C5943"/>
    <w:rsid w:val="002C5964"/>
    <w:rsid w:val="002C718E"/>
    <w:rsid w:val="002C77AF"/>
    <w:rsid w:val="002C7CEB"/>
    <w:rsid w:val="002D08F2"/>
    <w:rsid w:val="002D0AAD"/>
    <w:rsid w:val="002D0DC6"/>
    <w:rsid w:val="002D1529"/>
    <w:rsid w:val="002D2EF4"/>
    <w:rsid w:val="002D3ACC"/>
    <w:rsid w:val="002D41DA"/>
    <w:rsid w:val="002D4209"/>
    <w:rsid w:val="002D42E1"/>
    <w:rsid w:val="002D4C57"/>
    <w:rsid w:val="002D4D5B"/>
    <w:rsid w:val="002E0B7E"/>
    <w:rsid w:val="002E327C"/>
    <w:rsid w:val="002E539B"/>
    <w:rsid w:val="002E5A1B"/>
    <w:rsid w:val="002E65FD"/>
    <w:rsid w:val="002E7EA0"/>
    <w:rsid w:val="002F16FD"/>
    <w:rsid w:val="002F1EF0"/>
    <w:rsid w:val="002F292C"/>
    <w:rsid w:val="002F341B"/>
    <w:rsid w:val="002F4CE1"/>
    <w:rsid w:val="002F54BC"/>
    <w:rsid w:val="002F5B9A"/>
    <w:rsid w:val="002F5E96"/>
    <w:rsid w:val="002F68B3"/>
    <w:rsid w:val="002F70E0"/>
    <w:rsid w:val="002F74EC"/>
    <w:rsid w:val="00300422"/>
    <w:rsid w:val="0030053D"/>
    <w:rsid w:val="00300F22"/>
    <w:rsid w:val="0030174C"/>
    <w:rsid w:val="00301D8F"/>
    <w:rsid w:val="003026A0"/>
    <w:rsid w:val="00302868"/>
    <w:rsid w:val="00303243"/>
    <w:rsid w:val="00304441"/>
    <w:rsid w:val="00304490"/>
    <w:rsid w:val="00304A37"/>
    <w:rsid w:val="00304E66"/>
    <w:rsid w:val="00306DA3"/>
    <w:rsid w:val="003076A1"/>
    <w:rsid w:val="00307970"/>
    <w:rsid w:val="0031040E"/>
    <w:rsid w:val="00310ED4"/>
    <w:rsid w:val="00310FB9"/>
    <w:rsid w:val="003118A3"/>
    <w:rsid w:val="00312301"/>
    <w:rsid w:val="0031293B"/>
    <w:rsid w:val="00312A5D"/>
    <w:rsid w:val="00313B88"/>
    <w:rsid w:val="0031492A"/>
    <w:rsid w:val="003155E7"/>
    <w:rsid w:val="00315F41"/>
    <w:rsid w:val="00316C1A"/>
    <w:rsid w:val="00317A68"/>
    <w:rsid w:val="00317C7F"/>
    <w:rsid w:val="00320006"/>
    <w:rsid w:val="0032081F"/>
    <w:rsid w:val="00321095"/>
    <w:rsid w:val="00323595"/>
    <w:rsid w:val="00323B02"/>
    <w:rsid w:val="00323C73"/>
    <w:rsid w:val="003243D0"/>
    <w:rsid w:val="00324F4E"/>
    <w:rsid w:val="00326327"/>
    <w:rsid w:val="00326613"/>
    <w:rsid w:val="003275DA"/>
    <w:rsid w:val="00330FDA"/>
    <w:rsid w:val="00331141"/>
    <w:rsid w:val="003311B0"/>
    <w:rsid w:val="003316D0"/>
    <w:rsid w:val="00332206"/>
    <w:rsid w:val="00332948"/>
    <w:rsid w:val="00333204"/>
    <w:rsid w:val="003335FD"/>
    <w:rsid w:val="00333A20"/>
    <w:rsid w:val="0033455B"/>
    <w:rsid w:val="003355AA"/>
    <w:rsid w:val="003401E9"/>
    <w:rsid w:val="00341774"/>
    <w:rsid w:val="00341891"/>
    <w:rsid w:val="003423F4"/>
    <w:rsid w:val="0034442C"/>
    <w:rsid w:val="00344758"/>
    <w:rsid w:val="00345582"/>
    <w:rsid w:val="003466B5"/>
    <w:rsid w:val="0034675C"/>
    <w:rsid w:val="00346E1C"/>
    <w:rsid w:val="003470E8"/>
    <w:rsid w:val="00347142"/>
    <w:rsid w:val="00347423"/>
    <w:rsid w:val="00350D1B"/>
    <w:rsid w:val="00351049"/>
    <w:rsid w:val="00351320"/>
    <w:rsid w:val="003513E9"/>
    <w:rsid w:val="00351621"/>
    <w:rsid w:val="00353AC0"/>
    <w:rsid w:val="00354371"/>
    <w:rsid w:val="003544D9"/>
    <w:rsid w:val="0035489E"/>
    <w:rsid w:val="00356515"/>
    <w:rsid w:val="003565A0"/>
    <w:rsid w:val="003565A8"/>
    <w:rsid w:val="003566EA"/>
    <w:rsid w:val="00356864"/>
    <w:rsid w:val="00356A1C"/>
    <w:rsid w:val="00356A20"/>
    <w:rsid w:val="00356CFF"/>
    <w:rsid w:val="003608B6"/>
    <w:rsid w:val="00361570"/>
    <w:rsid w:val="0036165D"/>
    <w:rsid w:val="0036174F"/>
    <w:rsid w:val="003619EB"/>
    <w:rsid w:val="00362715"/>
    <w:rsid w:val="003630E9"/>
    <w:rsid w:val="0036322B"/>
    <w:rsid w:val="0036611F"/>
    <w:rsid w:val="003662D5"/>
    <w:rsid w:val="0037178B"/>
    <w:rsid w:val="00371C73"/>
    <w:rsid w:val="00371FC0"/>
    <w:rsid w:val="003724A9"/>
    <w:rsid w:val="00372C79"/>
    <w:rsid w:val="00373579"/>
    <w:rsid w:val="00374C6D"/>
    <w:rsid w:val="003750C3"/>
    <w:rsid w:val="00375443"/>
    <w:rsid w:val="00375602"/>
    <w:rsid w:val="00376257"/>
    <w:rsid w:val="0038029F"/>
    <w:rsid w:val="00380E87"/>
    <w:rsid w:val="00381655"/>
    <w:rsid w:val="003817DB"/>
    <w:rsid w:val="0038291E"/>
    <w:rsid w:val="003849BB"/>
    <w:rsid w:val="0038519A"/>
    <w:rsid w:val="00385F41"/>
    <w:rsid w:val="003862AB"/>
    <w:rsid w:val="00386863"/>
    <w:rsid w:val="00387508"/>
    <w:rsid w:val="00390203"/>
    <w:rsid w:val="00390857"/>
    <w:rsid w:val="003908B5"/>
    <w:rsid w:val="003912B9"/>
    <w:rsid w:val="0039157E"/>
    <w:rsid w:val="003936E4"/>
    <w:rsid w:val="0039472E"/>
    <w:rsid w:val="0039512B"/>
    <w:rsid w:val="00395B55"/>
    <w:rsid w:val="00397676"/>
    <w:rsid w:val="00397782"/>
    <w:rsid w:val="003A0350"/>
    <w:rsid w:val="003A07A3"/>
    <w:rsid w:val="003A168E"/>
    <w:rsid w:val="003A1DAD"/>
    <w:rsid w:val="003A2192"/>
    <w:rsid w:val="003A3212"/>
    <w:rsid w:val="003A3B02"/>
    <w:rsid w:val="003A4822"/>
    <w:rsid w:val="003A48B7"/>
    <w:rsid w:val="003A5178"/>
    <w:rsid w:val="003A53AE"/>
    <w:rsid w:val="003A57A1"/>
    <w:rsid w:val="003A5CE2"/>
    <w:rsid w:val="003A6E5C"/>
    <w:rsid w:val="003A771E"/>
    <w:rsid w:val="003A7991"/>
    <w:rsid w:val="003B1051"/>
    <w:rsid w:val="003B1999"/>
    <w:rsid w:val="003B1A8E"/>
    <w:rsid w:val="003B1D5B"/>
    <w:rsid w:val="003B2E83"/>
    <w:rsid w:val="003B35D1"/>
    <w:rsid w:val="003B3F6E"/>
    <w:rsid w:val="003B5839"/>
    <w:rsid w:val="003B5899"/>
    <w:rsid w:val="003B6DF6"/>
    <w:rsid w:val="003B6F7B"/>
    <w:rsid w:val="003B729F"/>
    <w:rsid w:val="003B79CD"/>
    <w:rsid w:val="003C00B2"/>
    <w:rsid w:val="003C05A1"/>
    <w:rsid w:val="003C11D3"/>
    <w:rsid w:val="003C1B5F"/>
    <w:rsid w:val="003C1FE3"/>
    <w:rsid w:val="003C3418"/>
    <w:rsid w:val="003C3F09"/>
    <w:rsid w:val="003C3FB8"/>
    <w:rsid w:val="003C43B3"/>
    <w:rsid w:val="003C49E4"/>
    <w:rsid w:val="003C4DB7"/>
    <w:rsid w:val="003C541D"/>
    <w:rsid w:val="003C6181"/>
    <w:rsid w:val="003C6499"/>
    <w:rsid w:val="003C7007"/>
    <w:rsid w:val="003C7C5F"/>
    <w:rsid w:val="003C7DFE"/>
    <w:rsid w:val="003C7F31"/>
    <w:rsid w:val="003D1297"/>
    <w:rsid w:val="003D1405"/>
    <w:rsid w:val="003D2974"/>
    <w:rsid w:val="003D3F1D"/>
    <w:rsid w:val="003D45DD"/>
    <w:rsid w:val="003D469C"/>
    <w:rsid w:val="003D4763"/>
    <w:rsid w:val="003D599E"/>
    <w:rsid w:val="003D63B7"/>
    <w:rsid w:val="003D70CE"/>
    <w:rsid w:val="003E0A75"/>
    <w:rsid w:val="003E2273"/>
    <w:rsid w:val="003E2D71"/>
    <w:rsid w:val="003E473E"/>
    <w:rsid w:val="003E52DB"/>
    <w:rsid w:val="003E5DEF"/>
    <w:rsid w:val="003E65F1"/>
    <w:rsid w:val="003F03A4"/>
    <w:rsid w:val="003F075A"/>
    <w:rsid w:val="003F0C6A"/>
    <w:rsid w:val="003F1150"/>
    <w:rsid w:val="003F1363"/>
    <w:rsid w:val="003F1CB1"/>
    <w:rsid w:val="003F1CF8"/>
    <w:rsid w:val="003F1E2E"/>
    <w:rsid w:val="003F1E84"/>
    <w:rsid w:val="003F2A47"/>
    <w:rsid w:val="003F3C42"/>
    <w:rsid w:val="003F457B"/>
    <w:rsid w:val="0040033E"/>
    <w:rsid w:val="00400545"/>
    <w:rsid w:val="00400778"/>
    <w:rsid w:val="00400C55"/>
    <w:rsid w:val="00402325"/>
    <w:rsid w:val="00402F13"/>
    <w:rsid w:val="0040497E"/>
    <w:rsid w:val="004050D1"/>
    <w:rsid w:val="004069E6"/>
    <w:rsid w:val="0040744C"/>
    <w:rsid w:val="00407515"/>
    <w:rsid w:val="00407C72"/>
    <w:rsid w:val="00411A41"/>
    <w:rsid w:val="00411F25"/>
    <w:rsid w:val="0041236D"/>
    <w:rsid w:val="004135DA"/>
    <w:rsid w:val="00414411"/>
    <w:rsid w:val="00414669"/>
    <w:rsid w:val="0041489E"/>
    <w:rsid w:val="0041542E"/>
    <w:rsid w:val="00415EE8"/>
    <w:rsid w:val="00420477"/>
    <w:rsid w:val="00420E3E"/>
    <w:rsid w:val="00420EEE"/>
    <w:rsid w:val="004213B9"/>
    <w:rsid w:val="004220B2"/>
    <w:rsid w:val="004221A4"/>
    <w:rsid w:val="00422417"/>
    <w:rsid w:val="004228AD"/>
    <w:rsid w:val="004240D6"/>
    <w:rsid w:val="00424219"/>
    <w:rsid w:val="00424233"/>
    <w:rsid w:val="00424CC0"/>
    <w:rsid w:val="004252A8"/>
    <w:rsid w:val="00427398"/>
    <w:rsid w:val="004303A2"/>
    <w:rsid w:val="00432AC8"/>
    <w:rsid w:val="00432BBF"/>
    <w:rsid w:val="004343DE"/>
    <w:rsid w:val="00434496"/>
    <w:rsid w:val="00434945"/>
    <w:rsid w:val="004351D4"/>
    <w:rsid w:val="0043589F"/>
    <w:rsid w:val="0043692E"/>
    <w:rsid w:val="00436DED"/>
    <w:rsid w:val="00437C60"/>
    <w:rsid w:val="004407DB"/>
    <w:rsid w:val="0044163D"/>
    <w:rsid w:val="00441AE4"/>
    <w:rsid w:val="00443477"/>
    <w:rsid w:val="0044357B"/>
    <w:rsid w:val="00443C99"/>
    <w:rsid w:val="00445CB5"/>
    <w:rsid w:val="00446FD9"/>
    <w:rsid w:val="004506A5"/>
    <w:rsid w:val="00451692"/>
    <w:rsid w:val="00451741"/>
    <w:rsid w:val="00451796"/>
    <w:rsid w:val="004519E4"/>
    <w:rsid w:val="0045349B"/>
    <w:rsid w:val="004535B8"/>
    <w:rsid w:val="00453A32"/>
    <w:rsid w:val="00453A52"/>
    <w:rsid w:val="00454C38"/>
    <w:rsid w:val="00457A31"/>
    <w:rsid w:val="00460EE0"/>
    <w:rsid w:val="00462F8E"/>
    <w:rsid w:val="004634AE"/>
    <w:rsid w:val="0046486A"/>
    <w:rsid w:val="004652F9"/>
    <w:rsid w:val="00466C98"/>
    <w:rsid w:val="00467004"/>
    <w:rsid w:val="004671A5"/>
    <w:rsid w:val="0046798E"/>
    <w:rsid w:val="00467F2E"/>
    <w:rsid w:val="004705CA"/>
    <w:rsid w:val="004712FB"/>
    <w:rsid w:val="00471725"/>
    <w:rsid w:val="00471BB7"/>
    <w:rsid w:val="00472A0C"/>
    <w:rsid w:val="00472EFF"/>
    <w:rsid w:val="00474063"/>
    <w:rsid w:val="00474075"/>
    <w:rsid w:val="00474224"/>
    <w:rsid w:val="00474390"/>
    <w:rsid w:val="004747CE"/>
    <w:rsid w:val="00474A18"/>
    <w:rsid w:val="004765BD"/>
    <w:rsid w:val="00476793"/>
    <w:rsid w:val="00476CBF"/>
    <w:rsid w:val="0047717E"/>
    <w:rsid w:val="004778D7"/>
    <w:rsid w:val="00477D37"/>
    <w:rsid w:val="00480AEA"/>
    <w:rsid w:val="00480E53"/>
    <w:rsid w:val="004816BC"/>
    <w:rsid w:val="00481B2A"/>
    <w:rsid w:val="00482091"/>
    <w:rsid w:val="004823EB"/>
    <w:rsid w:val="00482EA4"/>
    <w:rsid w:val="00484148"/>
    <w:rsid w:val="004841B6"/>
    <w:rsid w:val="004852A4"/>
    <w:rsid w:val="004859EB"/>
    <w:rsid w:val="00485C73"/>
    <w:rsid w:val="004865BF"/>
    <w:rsid w:val="00487059"/>
    <w:rsid w:val="0049141E"/>
    <w:rsid w:val="00494812"/>
    <w:rsid w:val="00494AAE"/>
    <w:rsid w:val="004951E1"/>
    <w:rsid w:val="00495336"/>
    <w:rsid w:val="0049618C"/>
    <w:rsid w:val="0049676F"/>
    <w:rsid w:val="00496BF9"/>
    <w:rsid w:val="00497DB5"/>
    <w:rsid w:val="004A1087"/>
    <w:rsid w:val="004A17E9"/>
    <w:rsid w:val="004A187B"/>
    <w:rsid w:val="004A23DA"/>
    <w:rsid w:val="004A24A5"/>
    <w:rsid w:val="004A2D3C"/>
    <w:rsid w:val="004A332C"/>
    <w:rsid w:val="004A3395"/>
    <w:rsid w:val="004A519C"/>
    <w:rsid w:val="004A6716"/>
    <w:rsid w:val="004A768B"/>
    <w:rsid w:val="004A7FEF"/>
    <w:rsid w:val="004B06E4"/>
    <w:rsid w:val="004B079B"/>
    <w:rsid w:val="004B0BBE"/>
    <w:rsid w:val="004B3109"/>
    <w:rsid w:val="004B3BE1"/>
    <w:rsid w:val="004B43DB"/>
    <w:rsid w:val="004B48B5"/>
    <w:rsid w:val="004B5435"/>
    <w:rsid w:val="004B549B"/>
    <w:rsid w:val="004B5503"/>
    <w:rsid w:val="004B59DE"/>
    <w:rsid w:val="004B75E4"/>
    <w:rsid w:val="004C0215"/>
    <w:rsid w:val="004C143D"/>
    <w:rsid w:val="004C16F6"/>
    <w:rsid w:val="004C1C00"/>
    <w:rsid w:val="004C1C05"/>
    <w:rsid w:val="004C2A88"/>
    <w:rsid w:val="004C43CE"/>
    <w:rsid w:val="004C4AED"/>
    <w:rsid w:val="004C507F"/>
    <w:rsid w:val="004C5528"/>
    <w:rsid w:val="004C5878"/>
    <w:rsid w:val="004C6A84"/>
    <w:rsid w:val="004C6FA6"/>
    <w:rsid w:val="004C7412"/>
    <w:rsid w:val="004C75E3"/>
    <w:rsid w:val="004C7774"/>
    <w:rsid w:val="004D002A"/>
    <w:rsid w:val="004D04BF"/>
    <w:rsid w:val="004D06BD"/>
    <w:rsid w:val="004D0B80"/>
    <w:rsid w:val="004D0F78"/>
    <w:rsid w:val="004D1742"/>
    <w:rsid w:val="004D3C4C"/>
    <w:rsid w:val="004D3E34"/>
    <w:rsid w:val="004D41C6"/>
    <w:rsid w:val="004D4AFD"/>
    <w:rsid w:val="004D4B38"/>
    <w:rsid w:val="004D5709"/>
    <w:rsid w:val="004D63AC"/>
    <w:rsid w:val="004D65CB"/>
    <w:rsid w:val="004D760F"/>
    <w:rsid w:val="004D7B9B"/>
    <w:rsid w:val="004E0DFF"/>
    <w:rsid w:val="004E12F3"/>
    <w:rsid w:val="004E1434"/>
    <w:rsid w:val="004E1603"/>
    <w:rsid w:val="004E1640"/>
    <w:rsid w:val="004E286A"/>
    <w:rsid w:val="004E2A22"/>
    <w:rsid w:val="004F0500"/>
    <w:rsid w:val="004F0BC5"/>
    <w:rsid w:val="004F1875"/>
    <w:rsid w:val="004F1AFE"/>
    <w:rsid w:val="004F1C7C"/>
    <w:rsid w:val="004F272B"/>
    <w:rsid w:val="004F27EC"/>
    <w:rsid w:val="004F3867"/>
    <w:rsid w:val="004F4DD8"/>
    <w:rsid w:val="004F51A5"/>
    <w:rsid w:val="004F5C03"/>
    <w:rsid w:val="004F6A58"/>
    <w:rsid w:val="004F7D0F"/>
    <w:rsid w:val="005000E7"/>
    <w:rsid w:val="00500463"/>
    <w:rsid w:val="005004D6"/>
    <w:rsid w:val="00500C96"/>
    <w:rsid w:val="005023A4"/>
    <w:rsid w:val="00502A60"/>
    <w:rsid w:val="00502E75"/>
    <w:rsid w:val="005034B2"/>
    <w:rsid w:val="00503B45"/>
    <w:rsid w:val="00503E43"/>
    <w:rsid w:val="00503FCD"/>
    <w:rsid w:val="00503FD9"/>
    <w:rsid w:val="0050435A"/>
    <w:rsid w:val="00505AEE"/>
    <w:rsid w:val="00510390"/>
    <w:rsid w:val="00510D62"/>
    <w:rsid w:val="00511527"/>
    <w:rsid w:val="005118CE"/>
    <w:rsid w:val="00511E2A"/>
    <w:rsid w:val="00511F31"/>
    <w:rsid w:val="005123F0"/>
    <w:rsid w:val="005132B4"/>
    <w:rsid w:val="005134EE"/>
    <w:rsid w:val="0051352B"/>
    <w:rsid w:val="00513540"/>
    <w:rsid w:val="00513941"/>
    <w:rsid w:val="00513B67"/>
    <w:rsid w:val="00514670"/>
    <w:rsid w:val="00514ED1"/>
    <w:rsid w:val="00515324"/>
    <w:rsid w:val="005160DA"/>
    <w:rsid w:val="00516D64"/>
    <w:rsid w:val="00517B0A"/>
    <w:rsid w:val="00517D64"/>
    <w:rsid w:val="005204C2"/>
    <w:rsid w:val="005208CF"/>
    <w:rsid w:val="00522779"/>
    <w:rsid w:val="00522A8B"/>
    <w:rsid w:val="00523DAA"/>
    <w:rsid w:val="0052409C"/>
    <w:rsid w:val="0052508C"/>
    <w:rsid w:val="00525108"/>
    <w:rsid w:val="00526271"/>
    <w:rsid w:val="005267AE"/>
    <w:rsid w:val="005271B8"/>
    <w:rsid w:val="005304AA"/>
    <w:rsid w:val="0053051D"/>
    <w:rsid w:val="005314C2"/>
    <w:rsid w:val="005329C8"/>
    <w:rsid w:val="00532D49"/>
    <w:rsid w:val="00532FF0"/>
    <w:rsid w:val="00533F70"/>
    <w:rsid w:val="00534417"/>
    <w:rsid w:val="005349B8"/>
    <w:rsid w:val="005354C5"/>
    <w:rsid w:val="00536913"/>
    <w:rsid w:val="00537574"/>
    <w:rsid w:val="00537814"/>
    <w:rsid w:val="00540493"/>
    <w:rsid w:val="0054164C"/>
    <w:rsid w:val="00542320"/>
    <w:rsid w:val="005432C6"/>
    <w:rsid w:val="00543380"/>
    <w:rsid w:val="005467B1"/>
    <w:rsid w:val="0054682A"/>
    <w:rsid w:val="00547B8A"/>
    <w:rsid w:val="00550418"/>
    <w:rsid w:val="0055176D"/>
    <w:rsid w:val="0055197D"/>
    <w:rsid w:val="00552495"/>
    <w:rsid w:val="00553567"/>
    <w:rsid w:val="00553691"/>
    <w:rsid w:val="005557CF"/>
    <w:rsid w:val="00556151"/>
    <w:rsid w:val="00560BD7"/>
    <w:rsid w:val="00560C88"/>
    <w:rsid w:val="00561019"/>
    <w:rsid w:val="00564208"/>
    <w:rsid w:val="0056513B"/>
    <w:rsid w:val="005653A7"/>
    <w:rsid w:val="005673E9"/>
    <w:rsid w:val="00571915"/>
    <w:rsid w:val="00571CEB"/>
    <w:rsid w:val="00573848"/>
    <w:rsid w:val="00574CEC"/>
    <w:rsid w:val="00575CE0"/>
    <w:rsid w:val="00575E3C"/>
    <w:rsid w:val="00577D84"/>
    <w:rsid w:val="0058010A"/>
    <w:rsid w:val="00580353"/>
    <w:rsid w:val="005805C1"/>
    <w:rsid w:val="00582117"/>
    <w:rsid w:val="00582365"/>
    <w:rsid w:val="00583A21"/>
    <w:rsid w:val="00583A9F"/>
    <w:rsid w:val="00583DAF"/>
    <w:rsid w:val="00584873"/>
    <w:rsid w:val="00585382"/>
    <w:rsid w:val="00585B71"/>
    <w:rsid w:val="005862C2"/>
    <w:rsid w:val="005862E2"/>
    <w:rsid w:val="00587D4F"/>
    <w:rsid w:val="00590119"/>
    <w:rsid w:val="00590E77"/>
    <w:rsid w:val="0059180A"/>
    <w:rsid w:val="00591951"/>
    <w:rsid w:val="00591ABB"/>
    <w:rsid w:val="00592D1C"/>
    <w:rsid w:val="00593C9B"/>
    <w:rsid w:val="005953B8"/>
    <w:rsid w:val="00595FD5"/>
    <w:rsid w:val="00596F13"/>
    <w:rsid w:val="005974DB"/>
    <w:rsid w:val="005A0964"/>
    <w:rsid w:val="005A1F50"/>
    <w:rsid w:val="005A2017"/>
    <w:rsid w:val="005A2476"/>
    <w:rsid w:val="005A2CCC"/>
    <w:rsid w:val="005A2F77"/>
    <w:rsid w:val="005A2FEE"/>
    <w:rsid w:val="005A33B1"/>
    <w:rsid w:val="005A39A2"/>
    <w:rsid w:val="005A3A41"/>
    <w:rsid w:val="005A4ED5"/>
    <w:rsid w:val="005A5E46"/>
    <w:rsid w:val="005B0F78"/>
    <w:rsid w:val="005B2312"/>
    <w:rsid w:val="005B2504"/>
    <w:rsid w:val="005B2E8B"/>
    <w:rsid w:val="005B36F6"/>
    <w:rsid w:val="005B752E"/>
    <w:rsid w:val="005B7E57"/>
    <w:rsid w:val="005C0049"/>
    <w:rsid w:val="005C0708"/>
    <w:rsid w:val="005C196B"/>
    <w:rsid w:val="005C1BFC"/>
    <w:rsid w:val="005C2E87"/>
    <w:rsid w:val="005C2ECF"/>
    <w:rsid w:val="005C5207"/>
    <w:rsid w:val="005C5D41"/>
    <w:rsid w:val="005C5D79"/>
    <w:rsid w:val="005C6156"/>
    <w:rsid w:val="005C7982"/>
    <w:rsid w:val="005D06F8"/>
    <w:rsid w:val="005D1F34"/>
    <w:rsid w:val="005D2468"/>
    <w:rsid w:val="005D29E8"/>
    <w:rsid w:val="005D2A42"/>
    <w:rsid w:val="005D2E1B"/>
    <w:rsid w:val="005D383D"/>
    <w:rsid w:val="005D41A2"/>
    <w:rsid w:val="005D486D"/>
    <w:rsid w:val="005D4D35"/>
    <w:rsid w:val="005D4ED1"/>
    <w:rsid w:val="005D75FE"/>
    <w:rsid w:val="005E3D6C"/>
    <w:rsid w:val="005E408A"/>
    <w:rsid w:val="005E4BCD"/>
    <w:rsid w:val="005E4EEC"/>
    <w:rsid w:val="005E5768"/>
    <w:rsid w:val="005E5D87"/>
    <w:rsid w:val="005E6ADE"/>
    <w:rsid w:val="005E78D0"/>
    <w:rsid w:val="005E7A14"/>
    <w:rsid w:val="005E7A57"/>
    <w:rsid w:val="005F07D4"/>
    <w:rsid w:val="005F14F7"/>
    <w:rsid w:val="005F1E03"/>
    <w:rsid w:val="005F256D"/>
    <w:rsid w:val="005F3278"/>
    <w:rsid w:val="005F38A9"/>
    <w:rsid w:val="005F5F64"/>
    <w:rsid w:val="005F6191"/>
    <w:rsid w:val="005F6986"/>
    <w:rsid w:val="005F7840"/>
    <w:rsid w:val="005F7A0A"/>
    <w:rsid w:val="00600015"/>
    <w:rsid w:val="006003BE"/>
    <w:rsid w:val="00600F36"/>
    <w:rsid w:val="0060226A"/>
    <w:rsid w:val="00603B02"/>
    <w:rsid w:val="00603DF3"/>
    <w:rsid w:val="00603FC9"/>
    <w:rsid w:val="00604D23"/>
    <w:rsid w:val="0060528B"/>
    <w:rsid w:val="0060535D"/>
    <w:rsid w:val="006073D7"/>
    <w:rsid w:val="00607FE7"/>
    <w:rsid w:val="00610E14"/>
    <w:rsid w:val="006138C7"/>
    <w:rsid w:val="00613ACC"/>
    <w:rsid w:val="006140A4"/>
    <w:rsid w:val="0061413E"/>
    <w:rsid w:val="00615F32"/>
    <w:rsid w:val="00616765"/>
    <w:rsid w:val="00616A04"/>
    <w:rsid w:val="00616F88"/>
    <w:rsid w:val="00617D2A"/>
    <w:rsid w:val="006207B0"/>
    <w:rsid w:val="00620FF9"/>
    <w:rsid w:val="006219B2"/>
    <w:rsid w:val="00621B40"/>
    <w:rsid w:val="00622508"/>
    <w:rsid w:val="00625019"/>
    <w:rsid w:val="00625673"/>
    <w:rsid w:val="00626D5E"/>
    <w:rsid w:val="006270DF"/>
    <w:rsid w:val="0062749B"/>
    <w:rsid w:val="0062772F"/>
    <w:rsid w:val="00627B72"/>
    <w:rsid w:val="00627BBB"/>
    <w:rsid w:val="0063009F"/>
    <w:rsid w:val="006310C3"/>
    <w:rsid w:val="0063113A"/>
    <w:rsid w:val="0063440C"/>
    <w:rsid w:val="006356C5"/>
    <w:rsid w:val="00635915"/>
    <w:rsid w:val="006361C2"/>
    <w:rsid w:val="00636994"/>
    <w:rsid w:val="006378EB"/>
    <w:rsid w:val="0064203B"/>
    <w:rsid w:val="00642B05"/>
    <w:rsid w:val="006449F5"/>
    <w:rsid w:val="00644B30"/>
    <w:rsid w:val="006457C0"/>
    <w:rsid w:val="00646264"/>
    <w:rsid w:val="0064661F"/>
    <w:rsid w:val="0064695A"/>
    <w:rsid w:val="00646F06"/>
    <w:rsid w:val="006475E4"/>
    <w:rsid w:val="00650E26"/>
    <w:rsid w:val="006510EE"/>
    <w:rsid w:val="00652F07"/>
    <w:rsid w:val="00652F63"/>
    <w:rsid w:val="006534B1"/>
    <w:rsid w:val="006545F7"/>
    <w:rsid w:val="00654793"/>
    <w:rsid w:val="00654C4F"/>
    <w:rsid w:val="00655BF2"/>
    <w:rsid w:val="00656DF3"/>
    <w:rsid w:val="00660436"/>
    <w:rsid w:val="00660BF7"/>
    <w:rsid w:val="006622D3"/>
    <w:rsid w:val="00663AE1"/>
    <w:rsid w:val="00664316"/>
    <w:rsid w:val="006665F9"/>
    <w:rsid w:val="00666626"/>
    <w:rsid w:val="00666938"/>
    <w:rsid w:val="00666BD6"/>
    <w:rsid w:val="006674AF"/>
    <w:rsid w:val="00667645"/>
    <w:rsid w:val="00667BBC"/>
    <w:rsid w:val="00670906"/>
    <w:rsid w:val="00670997"/>
    <w:rsid w:val="00672233"/>
    <w:rsid w:val="00672456"/>
    <w:rsid w:val="0067375E"/>
    <w:rsid w:val="00673A18"/>
    <w:rsid w:val="0067581B"/>
    <w:rsid w:val="006759EE"/>
    <w:rsid w:val="0067724B"/>
    <w:rsid w:val="00677E6F"/>
    <w:rsid w:val="006805D7"/>
    <w:rsid w:val="00681019"/>
    <w:rsid w:val="0068259F"/>
    <w:rsid w:val="006833D6"/>
    <w:rsid w:val="006848F4"/>
    <w:rsid w:val="00684DB7"/>
    <w:rsid w:val="00685057"/>
    <w:rsid w:val="0068553B"/>
    <w:rsid w:val="00685A2B"/>
    <w:rsid w:val="00686760"/>
    <w:rsid w:val="00687726"/>
    <w:rsid w:val="006877B6"/>
    <w:rsid w:val="006906F8"/>
    <w:rsid w:val="00691566"/>
    <w:rsid w:val="0069156D"/>
    <w:rsid w:val="00691E8A"/>
    <w:rsid w:val="006921EE"/>
    <w:rsid w:val="00692A6D"/>
    <w:rsid w:val="00692A94"/>
    <w:rsid w:val="00692B73"/>
    <w:rsid w:val="00693062"/>
    <w:rsid w:val="0069483E"/>
    <w:rsid w:val="0069539C"/>
    <w:rsid w:val="00695655"/>
    <w:rsid w:val="00695724"/>
    <w:rsid w:val="00696338"/>
    <w:rsid w:val="00696439"/>
    <w:rsid w:val="0069664B"/>
    <w:rsid w:val="00696AB3"/>
    <w:rsid w:val="006974CB"/>
    <w:rsid w:val="00697ABD"/>
    <w:rsid w:val="006A0D1E"/>
    <w:rsid w:val="006A0F4F"/>
    <w:rsid w:val="006A3106"/>
    <w:rsid w:val="006A39F2"/>
    <w:rsid w:val="006A45BC"/>
    <w:rsid w:val="006A4E98"/>
    <w:rsid w:val="006A5743"/>
    <w:rsid w:val="006A6BB3"/>
    <w:rsid w:val="006A72B5"/>
    <w:rsid w:val="006B0C6B"/>
    <w:rsid w:val="006B11E8"/>
    <w:rsid w:val="006B1A90"/>
    <w:rsid w:val="006B35AF"/>
    <w:rsid w:val="006B3DE1"/>
    <w:rsid w:val="006B5739"/>
    <w:rsid w:val="006B5B58"/>
    <w:rsid w:val="006B6541"/>
    <w:rsid w:val="006B6D6A"/>
    <w:rsid w:val="006B79A2"/>
    <w:rsid w:val="006C0642"/>
    <w:rsid w:val="006C14BB"/>
    <w:rsid w:val="006C1784"/>
    <w:rsid w:val="006C1F28"/>
    <w:rsid w:val="006C2D95"/>
    <w:rsid w:val="006C3213"/>
    <w:rsid w:val="006C32EA"/>
    <w:rsid w:val="006C5E47"/>
    <w:rsid w:val="006C653C"/>
    <w:rsid w:val="006C7391"/>
    <w:rsid w:val="006D0407"/>
    <w:rsid w:val="006D16BC"/>
    <w:rsid w:val="006D353C"/>
    <w:rsid w:val="006D4096"/>
    <w:rsid w:val="006D5EE5"/>
    <w:rsid w:val="006D7944"/>
    <w:rsid w:val="006E02B4"/>
    <w:rsid w:val="006E0C9B"/>
    <w:rsid w:val="006E1A00"/>
    <w:rsid w:val="006E1E63"/>
    <w:rsid w:val="006E2675"/>
    <w:rsid w:val="006E2CB1"/>
    <w:rsid w:val="006E31B6"/>
    <w:rsid w:val="006E43F8"/>
    <w:rsid w:val="006E4571"/>
    <w:rsid w:val="006E5FBC"/>
    <w:rsid w:val="006E616B"/>
    <w:rsid w:val="006E6D3B"/>
    <w:rsid w:val="006E6D53"/>
    <w:rsid w:val="006E6E42"/>
    <w:rsid w:val="006E79CF"/>
    <w:rsid w:val="006F001F"/>
    <w:rsid w:val="006F0523"/>
    <w:rsid w:val="006F06A7"/>
    <w:rsid w:val="006F074E"/>
    <w:rsid w:val="006F0A0E"/>
    <w:rsid w:val="006F0BD4"/>
    <w:rsid w:val="006F0F3A"/>
    <w:rsid w:val="006F1A0B"/>
    <w:rsid w:val="006F236E"/>
    <w:rsid w:val="006F2A0D"/>
    <w:rsid w:val="006F32E3"/>
    <w:rsid w:val="006F448E"/>
    <w:rsid w:val="006F4960"/>
    <w:rsid w:val="006F4E00"/>
    <w:rsid w:val="006F572A"/>
    <w:rsid w:val="006F58D1"/>
    <w:rsid w:val="006F5965"/>
    <w:rsid w:val="006F5FDF"/>
    <w:rsid w:val="006F6101"/>
    <w:rsid w:val="00700CBE"/>
    <w:rsid w:val="00701F6D"/>
    <w:rsid w:val="00701FE6"/>
    <w:rsid w:val="0070293B"/>
    <w:rsid w:val="00703F4D"/>
    <w:rsid w:val="00704BAD"/>
    <w:rsid w:val="00705F41"/>
    <w:rsid w:val="00705F5B"/>
    <w:rsid w:val="007100CE"/>
    <w:rsid w:val="007106C5"/>
    <w:rsid w:val="0071079E"/>
    <w:rsid w:val="00710806"/>
    <w:rsid w:val="00710CC8"/>
    <w:rsid w:val="00711ACC"/>
    <w:rsid w:val="00712652"/>
    <w:rsid w:val="007126B8"/>
    <w:rsid w:val="007132C0"/>
    <w:rsid w:val="00713EE2"/>
    <w:rsid w:val="0071424C"/>
    <w:rsid w:val="00714614"/>
    <w:rsid w:val="00714FF5"/>
    <w:rsid w:val="007164DC"/>
    <w:rsid w:val="00716F8A"/>
    <w:rsid w:val="00720486"/>
    <w:rsid w:val="0072278D"/>
    <w:rsid w:val="007232B2"/>
    <w:rsid w:val="0072458F"/>
    <w:rsid w:val="00724B35"/>
    <w:rsid w:val="00727F1B"/>
    <w:rsid w:val="00730BD2"/>
    <w:rsid w:val="00730CC5"/>
    <w:rsid w:val="00731786"/>
    <w:rsid w:val="007322E5"/>
    <w:rsid w:val="00733F90"/>
    <w:rsid w:val="00734271"/>
    <w:rsid w:val="00736D1C"/>
    <w:rsid w:val="00737159"/>
    <w:rsid w:val="007372EF"/>
    <w:rsid w:val="0073797C"/>
    <w:rsid w:val="00741446"/>
    <w:rsid w:val="0074144A"/>
    <w:rsid w:val="00741D77"/>
    <w:rsid w:val="00742370"/>
    <w:rsid w:val="007440DF"/>
    <w:rsid w:val="007442E3"/>
    <w:rsid w:val="00744533"/>
    <w:rsid w:val="00746056"/>
    <w:rsid w:val="00746AAA"/>
    <w:rsid w:val="007472D2"/>
    <w:rsid w:val="007473A4"/>
    <w:rsid w:val="00747512"/>
    <w:rsid w:val="00747C77"/>
    <w:rsid w:val="00750323"/>
    <w:rsid w:val="007505CB"/>
    <w:rsid w:val="007509FA"/>
    <w:rsid w:val="00750A5B"/>
    <w:rsid w:val="00751920"/>
    <w:rsid w:val="00752576"/>
    <w:rsid w:val="00753BB8"/>
    <w:rsid w:val="00753F9C"/>
    <w:rsid w:val="007540BF"/>
    <w:rsid w:val="0075445D"/>
    <w:rsid w:val="00754FA1"/>
    <w:rsid w:val="00755B37"/>
    <w:rsid w:val="0075627E"/>
    <w:rsid w:val="007578F6"/>
    <w:rsid w:val="00760D14"/>
    <w:rsid w:val="00760EF4"/>
    <w:rsid w:val="007615A6"/>
    <w:rsid w:val="007617CA"/>
    <w:rsid w:val="007624CA"/>
    <w:rsid w:val="00762EFE"/>
    <w:rsid w:val="007637A8"/>
    <w:rsid w:val="00763A1D"/>
    <w:rsid w:val="00763C6C"/>
    <w:rsid w:val="007650DF"/>
    <w:rsid w:val="00765364"/>
    <w:rsid w:val="00765B58"/>
    <w:rsid w:val="00767B0D"/>
    <w:rsid w:val="00770150"/>
    <w:rsid w:val="00770292"/>
    <w:rsid w:val="00770DCB"/>
    <w:rsid w:val="00770F7F"/>
    <w:rsid w:val="007713AF"/>
    <w:rsid w:val="007724F0"/>
    <w:rsid w:val="0077300F"/>
    <w:rsid w:val="0077328D"/>
    <w:rsid w:val="00773638"/>
    <w:rsid w:val="00773C84"/>
    <w:rsid w:val="007744F7"/>
    <w:rsid w:val="00774924"/>
    <w:rsid w:val="00775485"/>
    <w:rsid w:val="00776000"/>
    <w:rsid w:val="007764D6"/>
    <w:rsid w:val="00777968"/>
    <w:rsid w:val="007779DC"/>
    <w:rsid w:val="00777D67"/>
    <w:rsid w:val="00782469"/>
    <w:rsid w:val="00782E48"/>
    <w:rsid w:val="00783532"/>
    <w:rsid w:val="00784596"/>
    <w:rsid w:val="007846B5"/>
    <w:rsid w:val="00785243"/>
    <w:rsid w:val="00785645"/>
    <w:rsid w:val="007856C0"/>
    <w:rsid w:val="00787053"/>
    <w:rsid w:val="007901DD"/>
    <w:rsid w:val="0079054F"/>
    <w:rsid w:val="007907B9"/>
    <w:rsid w:val="00793C02"/>
    <w:rsid w:val="00795A32"/>
    <w:rsid w:val="00795DD4"/>
    <w:rsid w:val="0079667C"/>
    <w:rsid w:val="00797F5A"/>
    <w:rsid w:val="007A000A"/>
    <w:rsid w:val="007A0652"/>
    <w:rsid w:val="007A0C08"/>
    <w:rsid w:val="007A0C7F"/>
    <w:rsid w:val="007A0DF4"/>
    <w:rsid w:val="007A2C07"/>
    <w:rsid w:val="007A2C4C"/>
    <w:rsid w:val="007A2E69"/>
    <w:rsid w:val="007A3AA8"/>
    <w:rsid w:val="007A5661"/>
    <w:rsid w:val="007A618B"/>
    <w:rsid w:val="007A65B0"/>
    <w:rsid w:val="007A6A69"/>
    <w:rsid w:val="007A6CF0"/>
    <w:rsid w:val="007A71EA"/>
    <w:rsid w:val="007A7BCA"/>
    <w:rsid w:val="007A7D4A"/>
    <w:rsid w:val="007B020E"/>
    <w:rsid w:val="007B06EA"/>
    <w:rsid w:val="007B17AB"/>
    <w:rsid w:val="007B43AF"/>
    <w:rsid w:val="007B444D"/>
    <w:rsid w:val="007B4843"/>
    <w:rsid w:val="007B75A9"/>
    <w:rsid w:val="007B7AB8"/>
    <w:rsid w:val="007B7DB3"/>
    <w:rsid w:val="007C065A"/>
    <w:rsid w:val="007C0B1D"/>
    <w:rsid w:val="007C301A"/>
    <w:rsid w:val="007C3AE4"/>
    <w:rsid w:val="007C4332"/>
    <w:rsid w:val="007C53BE"/>
    <w:rsid w:val="007C5CF6"/>
    <w:rsid w:val="007C6511"/>
    <w:rsid w:val="007C6593"/>
    <w:rsid w:val="007C7065"/>
    <w:rsid w:val="007D1E6F"/>
    <w:rsid w:val="007D25DE"/>
    <w:rsid w:val="007D2B13"/>
    <w:rsid w:val="007D2F00"/>
    <w:rsid w:val="007D34A5"/>
    <w:rsid w:val="007D36B7"/>
    <w:rsid w:val="007D4B0D"/>
    <w:rsid w:val="007D5CCA"/>
    <w:rsid w:val="007D6EFC"/>
    <w:rsid w:val="007D7544"/>
    <w:rsid w:val="007D7CAE"/>
    <w:rsid w:val="007E1448"/>
    <w:rsid w:val="007E26AE"/>
    <w:rsid w:val="007E286D"/>
    <w:rsid w:val="007E3426"/>
    <w:rsid w:val="007E42AB"/>
    <w:rsid w:val="007E59AD"/>
    <w:rsid w:val="007E5B88"/>
    <w:rsid w:val="007E5CBE"/>
    <w:rsid w:val="007E5FED"/>
    <w:rsid w:val="007E622D"/>
    <w:rsid w:val="007E69BF"/>
    <w:rsid w:val="007F0190"/>
    <w:rsid w:val="007F0788"/>
    <w:rsid w:val="007F0AE4"/>
    <w:rsid w:val="007F0D0B"/>
    <w:rsid w:val="007F14BB"/>
    <w:rsid w:val="007F15D0"/>
    <w:rsid w:val="007F1F7C"/>
    <w:rsid w:val="007F4B2E"/>
    <w:rsid w:val="007F566A"/>
    <w:rsid w:val="007F6F9C"/>
    <w:rsid w:val="007F7EF6"/>
    <w:rsid w:val="00800189"/>
    <w:rsid w:val="008006E4"/>
    <w:rsid w:val="008007A8"/>
    <w:rsid w:val="00800B48"/>
    <w:rsid w:val="008011BC"/>
    <w:rsid w:val="008017DD"/>
    <w:rsid w:val="00802206"/>
    <w:rsid w:val="00802999"/>
    <w:rsid w:val="00802DFF"/>
    <w:rsid w:val="008037D5"/>
    <w:rsid w:val="008042D9"/>
    <w:rsid w:val="008059FF"/>
    <w:rsid w:val="00805E94"/>
    <w:rsid w:val="00805FC8"/>
    <w:rsid w:val="008069E6"/>
    <w:rsid w:val="00806E17"/>
    <w:rsid w:val="00807228"/>
    <w:rsid w:val="00807499"/>
    <w:rsid w:val="008107CB"/>
    <w:rsid w:val="0081216D"/>
    <w:rsid w:val="00812529"/>
    <w:rsid w:val="00812894"/>
    <w:rsid w:val="00813792"/>
    <w:rsid w:val="0081406A"/>
    <w:rsid w:val="00814FC0"/>
    <w:rsid w:val="00817B06"/>
    <w:rsid w:val="00817C01"/>
    <w:rsid w:val="00817C73"/>
    <w:rsid w:val="00820A53"/>
    <w:rsid w:val="008227DD"/>
    <w:rsid w:val="00823005"/>
    <w:rsid w:val="00823464"/>
    <w:rsid w:val="0082379A"/>
    <w:rsid w:val="00824D8F"/>
    <w:rsid w:val="00824E0C"/>
    <w:rsid w:val="00824F15"/>
    <w:rsid w:val="0082567C"/>
    <w:rsid w:val="00825B08"/>
    <w:rsid w:val="00826617"/>
    <w:rsid w:val="00826B0B"/>
    <w:rsid w:val="00826B74"/>
    <w:rsid w:val="008272EC"/>
    <w:rsid w:val="00830775"/>
    <w:rsid w:val="00830987"/>
    <w:rsid w:val="00830AEB"/>
    <w:rsid w:val="00830EDC"/>
    <w:rsid w:val="008310BD"/>
    <w:rsid w:val="00831515"/>
    <w:rsid w:val="00831CBA"/>
    <w:rsid w:val="008333B0"/>
    <w:rsid w:val="00833AC9"/>
    <w:rsid w:val="00834F16"/>
    <w:rsid w:val="00835147"/>
    <w:rsid w:val="008351C9"/>
    <w:rsid w:val="008358D1"/>
    <w:rsid w:val="00835E32"/>
    <w:rsid w:val="00837001"/>
    <w:rsid w:val="008400E5"/>
    <w:rsid w:val="00842F41"/>
    <w:rsid w:val="00843A58"/>
    <w:rsid w:val="00843CEC"/>
    <w:rsid w:val="0084429C"/>
    <w:rsid w:val="008449B9"/>
    <w:rsid w:val="00845263"/>
    <w:rsid w:val="0084574F"/>
    <w:rsid w:val="00845DB7"/>
    <w:rsid w:val="008464CF"/>
    <w:rsid w:val="00846E9F"/>
    <w:rsid w:val="00847191"/>
    <w:rsid w:val="00847B90"/>
    <w:rsid w:val="00850E9F"/>
    <w:rsid w:val="00854C07"/>
    <w:rsid w:val="0085503A"/>
    <w:rsid w:val="00855CD1"/>
    <w:rsid w:val="00860DC9"/>
    <w:rsid w:val="00861010"/>
    <w:rsid w:val="0086188F"/>
    <w:rsid w:val="00861CC9"/>
    <w:rsid w:val="008621A5"/>
    <w:rsid w:val="0086254F"/>
    <w:rsid w:val="00863A86"/>
    <w:rsid w:val="008642EB"/>
    <w:rsid w:val="008643AB"/>
    <w:rsid w:val="00864979"/>
    <w:rsid w:val="008667BE"/>
    <w:rsid w:val="00866944"/>
    <w:rsid w:val="00866AFF"/>
    <w:rsid w:val="00867D7D"/>
    <w:rsid w:val="00870D20"/>
    <w:rsid w:val="00871CD0"/>
    <w:rsid w:val="008724DE"/>
    <w:rsid w:val="00873D67"/>
    <w:rsid w:val="0087405A"/>
    <w:rsid w:val="008747E0"/>
    <w:rsid w:val="00874818"/>
    <w:rsid w:val="008756FC"/>
    <w:rsid w:val="008758D9"/>
    <w:rsid w:val="008764A0"/>
    <w:rsid w:val="00876C4E"/>
    <w:rsid w:val="0088090F"/>
    <w:rsid w:val="00881271"/>
    <w:rsid w:val="00881474"/>
    <w:rsid w:val="00882B0A"/>
    <w:rsid w:val="00882B8D"/>
    <w:rsid w:val="00883003"/>
    <w:rsid w:val="00883818"/>
    <w:rsid w:val="008838E3"/>
    <w:rsid w:val="00884175"/>
    <w:rsid w:val="008842FD"/>
    <w:rsid w:val="00884782"/>
    <w:rsid w:val="00884F29"/>
    <w:rsid w:val="00885DD7"/>
    <w:rsid w:val="008867FF"/>
    <w:rsid w:val="00890213"/>
    <w:rsid w:val="00890CC4"/>
    <w:rsid w:val="00891D1E"/>
    <w:rsid w:val="00892C52"/>
    <w:rsid w:val="00893745"/>
    <w:rsid w:val="00893920"/>
    <w:rsid w:val="00893BBE"/>
    <w:rsid w:val="00893C4C"/>
    <w:rsid w:val="00894B7D"/>
    <w:rsid w:val="00894BE3"/>
    <w:rsid w:val="00895275"/>
    <w:rsid w:val="00895355"/>
    <w:rsid w:val="00895BEF"/>
    <w:rsid w:val="008A0EC5"/>
    <w:rsid w:val="008A2765"/>
    <w:rsid w:val="008A3281"/>
    <w:rsid w:val="008A3D57"/>
    <w:rsid w:val="008A4AB5"/>
    <w:rsid w:val="008A5306"/>
    <w:rsid w:val="008A6250"/>
    <w:rsid w:val="008A7091"/>
    <w:rsid w:val="008A7305"/>
    <w:rsid w:val="008A7464"/>
    <w:rsid w:val="008A75CF"/>
    <w:rsid w:val="008A7DF3"/>
    <w:rsid w:val="008A7EFF"/>
    <w:rsid w:val="008B05AB"/>
    <w:rsid w:val="008B079E"/>
    <w:rsid w:val="008B0903"/>
    <w:rsid w:val="008B0D77"/>
    <w:rsid w:val="008B23BC"/>
    <w:rsid w:val="008B3899"/>
    <w:rsid w:val="008B3F74"/>
    <w:rsid w:val="008B44CB"/>
    <w:rsid w:val="008B4DC4"/>
    <w:rsid w:val="008B50CD"/>
    <w:rsid w:val="008B54CE"/>
    <w:rsid w:val="008B65ED"/>
    <w:rsid w:val="008C01F6"/>
    <w:rsid w:val="008C0BF9"/>
    <w:rsid w:val="008C0F86"/>
    <w:rsid w:val="008C1172"/>
    <w:rsid w:val="008C1A1B"/>
    <w:rsid w:val="008C31D4"/>
    <w:rsid w:val="008C3323"/>
    <w:rsid w:val="008C3376"/>
    <w:rsid w:val="008C38F7"/>
    <w:rsid w:val="008C3AFA"/>
    <w:rsid w:val="008C514B"/>
    <w:rsid w:val="008C6C6B"/>
    <w:rsid w:val="008C6EDB"/>
    <w:rsid w:val="008C7439"/>
    <w:rsid w:val="008C787A"/>
    <w:rsid w:val="008D0048"/>
    <w:rsid w:val="008D07A8"/>
    <w:rsid w:val="008D09F1"/>
    <w:rsid w:val="008D0ACB"/>
    <w:rsid w:val="008D1114"/>
    <w:rsid w:val="008D17E5"/>
    <w:rsid w:val="008D25E1"/>
    <w:rsid w:val="008D2CBF"/>
    <w:rsid w:val="008D305A"/>
    <w:rsid w:val="008D3D8D"/>
    <w:rsid w:val="008D5E62"/>
    <w:rsid w:val="008E039D"/>
    <w:rsid w:val="008E064E"/>
    <w:rsid w:val="008E12D0"/>
    <w:rsid w:val="008E22DB"/>
    <w:rsid w:val="008E328C"/>
    <w:rsid w:val="008E3D60"/>
    <w:rsid w:val="008E3F4C"/>
    <w:rsid w:val="008E43B3"/>
    <w:rsid w:val="008E43C5"/>
    <w:rsid w:val="008E43EE"/>
    <w:rsid w:val="008E4CBA"/>
    <w:rsid w:val="008E6527"/>
    <w:rsid w:val="008E66BA"/>
    <w:rsid w:val="008E7121"/>
    <w:rsid w:val="008E78F0"/>
    <w:rsid w:val="008E79A0"/>
    <w:rsid w:val="008F062E"/>
    <w:rsid w:val="008F0F70"/>
    <w:rsid w:val="008F3C0B"/>
    <w:rsid w:val="008F4AC9"/>
    <w:rsid w:val="008F5FD9"/>
    <w:rsid w:val="008F6C6F"/>
    <w:rsid w:val="008F733C"/>
    <w:rsid w:val="009004F8"/>
    <w:rsid w:val="00901424"/>
    <w:rsid w:val="0090165F"/>
    <w:rsid w:val="009017C5"/>
    <w:rsid w:val="009018B6"/>
    <w:rsid w:val="00901B82"/>
    <w:rsid w:val="009021AF"/>
    <w:rsid w:val="009022B8"/>
    <w:rsid w:val="00902EC3"/>
    <w:rsid w:val="00903631"/>
    <w:rsid w:val="00903771"/>
    <w:rsid w:val="0090398F"/>
    <w:rsid w:val="00903FC4"/>
    <w:rsid w:val="00905B93"/>
    <w:rsid w:val="00907476"/>
    <w:rsid w:val="009079CD"/>
    <w:rsid w:val="00907CB5"/>
    <w:rsid w:val="00907DC1"/>
    <w:rsid w:val="009108AA"/>
    <w:rsid w:val="00910A1F"/>
    <w:rsid w:val="00910D53"/>
    <w:rsid w:val="0091181E"/>
    <w:rsid w:val="00912B09"/>
    <w:rsid w:val="00913F39"/>
    <w:rsid w:val="009140B9"/>
    <w:rsid w:val="009147D3"/>
    <w:rsid w:val="00914988"/>
    <w:rsid w:val="00914D03"/>
    <w:rsid w:val="0091501B"/>
    <w:rsid w:val="0091505E"/>
    <w:rsid w:val="00915283"/>
    <w:rsid w:val="0091791D"/>
    <w:rsid w:val="00917938"/>
    <w:rsid w:val="009202E4"/>
    <w:rsid w:val="009208BF"/>
    <w:rsid w:val="00920A7A"/>
    <w:rsid w:val="009219D4"/>
    <w:rsid w:val="0092274C"/>
    <w:rsid w:val="0092287C"/>
    <w:rsid w:val="00922992"/>
    <w:rsid w:val="00922FBB"/>
    <w:rsid w:val="009231DF"/>
    <w:rsid w:val="00924D39"/>
    <w:rsid w:val="00925119"/>
    <w:rsid w:val="00925C87"/>
    <w:rsid w:val="00926490"/>
    <w:rsid w:val="00927B80"/>
    <w:rsid w:val="00927C23"/>
    <w:rsid w:val="00927D7E"/>
    <w:rsid w:val="009308A8"/>
    <w:rsid w:val="009310AB"/>
    <w:rsid w:val="009315C6"/>
    <w:rsid w:val="00931CBA"/>
    <w:rsid w:val="009322BB"/>
    <w:rsid w:val="00933287"/>
    <w:rsid w:val="0093369E"/>
    <w:rsid w:val="00934D0F"/>
    <w:rsid w:val="00934E5F"/>
    <w:rsid w:val="00937B1D"/>
    <w:rsid w:val="00937E19"/>
    <w:rsid w:val="00940E9B"/>
    <w:rsid w:val="00943253"/>
    <w:rsid w:val="009432CF"/>
    <w:rsid w:val="009445D7"/>
    <w:rsid w:val="00944772"/>
    <w:rsid w:val="00945285"/>
    <w:rsid w:val="00945921"/>
    <w:rsid w:val="00947E33"/>
    <w:rsid w:val="00951094"/>
    <w:rsid w:val="009515B1"/>
    <w:rsid w:val="009522E9"/>
    <w:rsid w:val="009527E0"/>
    <w:rsid w:val="00952FC2"/>
    <w:rsid w:val="009535D4"/>
    <w:rsid w:val="0095376C"/>
    <w:rsid w:val="00954B5A"/>
    <w:rsid w:val="009556E9"/>
    <w:rsid w:val="00956537"/>
    <w:rsid w:val="00956A4B"/>
    <w:rsid w:val="00956E85"/>
    <w:rsid w:val="009573D5"/>
    <w:rsid w:val="00961135"/>
    <w:rsid w:val="00961927"/>
    <w:rsid w:val="00966BC9"/>
    <w:rsid w:val="00966C2F"/>
    <w:rsid w:val="00966DAA"/>
    <w:rsid w:val="0096742A"/>
    <w:rsid w:val="00972126"/>
    <w:rsid w:val="0097317B"/>
    <w:rsid w:val="0097350E"/>
    <w:rsid w:val="00973E67"/>
    <w:rsid w:val="00973E8E"/>
    <w:rsid w:val="00974414"/>
    <w:rsid w:val="00974BA3"/>
    <w:rsid w:val="009750EB"/>
    <w:rsid w:val="0097512B"/>
    <w:rsid w:val="009774BD"/>
    <w:rsid w:val="0098078A"/>
    <w:rsid w:val="0098112E"/>
    <w:rsid w:val="00982404"/>
    <w:rsid w:val="00982B2E"/>
    <w:rsid w:val="00982E8B"/>
    <w:rsid w:val="00983469"/>
    <w:rsid w:val="009836AA"/>
    <w:rsid w:val="009843B6"/>
    <w:rsid w:val="0098529C"/>
    <w:rsid w:val="00985A81"/>
    <w:rsid w:val="009904EC"/>
    <w:rsid w:val="00990B81"/>
    <w:rsid w:val="00990DCE"/>
    <w:rsid w:val="00990F71"/>
    <w:rsid w:val="0099220C"/>
    <w:rsid w:val="009941A2"/>
    <w:rsid w:val="00994986"/>
    <w:rsid w:val="00995A62"/>
    <w:rsid w:val="009972DE"/>
    <w:rsid w:val="009974EE"/>
    <w:rsid w:val="00997982"/>
    <w:rsid w:val="009979AC"/>
    <w:rsid w:val="00997FE7"/>
    <w:rsid w:val="009A0761"/>
    <w:rsid w:val="009A10D9"/>
    <w:rsid w:val="009A1259"/>
    <w:rsid w:val="009A19B8"/>
    <w:rsid w:val="009A23D1"/>
    <w:rsid w:val="009A2473"/>
    <w:rsid w:val="009A3E00"/>
    <w:rsid w:val="009A459A"/>
    <w:rsid w:val="009A522D"/>
    <w:rsid w:val="009A52AA"/>
    <w:rsid w:val="009A5704"/>
    <w:rsid w:val="009A6F1B"/>
    <w:rsid w:val="009B08E4"/>
    <w:rsid w:val="009B0C4E"/>
    <w:rsid w:val="009B0E44"/>
    <w:rsid w:val="009B172D"/>
    <w:rsid w:val="009B1CCE"/>
    <w:rsid w:val="009B2835"/>
    <w:rsid w:val="009B28BC"/>
    <w:rsid w:val="009B2FE1"/>
    <w:rsid w:val="009B478D"/>
    <w:rsid w:val="009B4A85"/>
    <w:rsid w:val="009B50E9"/>
    <w:rsid w:val="009B5149"/>
    <w:rsid w:val="009B6803"/>
    <w:rsid w:val="009B7B8F"/>
    <w:rsid w:val="009B7E64"/>
    <w:rsid w:val="009C00B4"/>
    <w:rsid w:val="009C0914"/>
    <w:rsid w:val="009C0A7E"/>
    <w:rsid w:val="009C0C28"/>
    <w:rsid w:val="009C210E"/>
    <w:rsid w:val="009C4457"/>
    <w:rsid w:val="009C523E"/>
    <w:rsid w:val="009C529A"/>
    <w:rsid w:val="009C5B77"/>
    <w:rsid w:val="009D0262"/>
    <w:rsid w:val="009D2D3E"/>
    <w:rsid w:val="009D36BA"/>
    <w:rsid w:val="009D4F31"/>
    <w:rsid w:val="009D5442"/>
    <w:rsid w:val="009D5739"/>
    <w:rsid w:val="009D5884"/>
    <w:rsid w:val="009D634E"/>
    <w:rsid w:val="009D67F6"/>
    <w:rsid w:val="009D765E"/>
    <w:rsid w:val="009D7690"/>
    <w:rsid w:val="009D7C3E"/>
    <w:rsid w:val="009E05EE"/>
    <w:rsid w:val="009E08D1"/>
    <w:rsid w:val="009E0FE1"/>
    <w:rsid w:val="009E1043"/>
    <w:rsid w:val="009E1597"/>
    <w:rsid w:val="009E19B9"/>
    <w:rsid w:val="009E27A7"/>
    <w:rsid w:val="009E2A85"/>
    <w:rsid w:val="009E301F"/>
    <w:rsid w:val="009E3F12"/>
    <w:rsid w:val="009E4581"/>
    <w:rsid w:val="009E4935"/>
    <w:rsid w:val="009E4942"/>
    <w:rsid w:val="009E4BD0"/>
    <w:rsid w:val="009E6210"/>
    <w:rsid w:val="009E6501"/>
    <w:rsid w:val="009E6F9D"/>
    <w:rsid w:val="009E7398"/>
    <w:rsid w:val="009F00BC"/>
    <w:rsid w:val="009F07DF"/>
    <w:rsid w:val="009F1AF0"/>
    <w:rsid w:val="009F1BD5"/>
    <w:rsid w:val="009F1EFE"/>
    <w:rsid w:val="009F252F"/>
    <w:rsid w:val="009F2764"/>
    <w:rsid w:val="009F4395"/>
    <w:rsid w:val="009F43FB"/>
    <w:rsid w:val="009F4BC4"/>
    <w:rsid w:val="009F4E32"/>
    <w:rsid w:val="009F5353"/>
    <w:rsid w:val="009F54BA"/>
    <w:rsid w:val="009F614C"/>
    <w:rsid w:val="009F6D7A"/>
    <w:rsid w:val="009F72C7"/>
    <w:rsid w:val="009F7599"/>
    <w:rsid w:val="00A00BBB"/>
    <w:rsid w:val="00A024B4"/>
    <w:rsid w:val="00A02BB2"/>
    <w:rsid w:val="00A039C2"/>
    <w:rsid w:val="00A03C16"/>
    <w:rsid w:val="00A03CA5"/>
    <w:rsid w:val="00A0406E"/>
    <w:rsid w:val="00A053E9"/>
    <w:rsid w:val="00A056B8"/>
    <w:rsid w:val="00A05739"/>
    <w:rsid w:val="00A06E5E"/>
    <w:rsid w:val="00A10208"/>
    <w:rsid w:val="00A10406"/>
    <w:rsid w:val="00A10987"/>
    <w:rsid w:val="00A11307"/>
    <w:rsid w:val="00A11788"/>
    <w:rsid w:val="00A12113"/>
    <w:rsid w:val="00A13AF3"/>
    <w:rsid w:val="00A14863"/>
    <w:rsid w:val="00A14A3D"/>
    <w:rsid w:val="00A14BDB"/>
    <w:rsid w:val="00A14DE9"/>
    <w:rsid w:val="00A14E5D"/>
    <w:rsid w:val="00A163EC"/>
    <w:rsid w:val="00A16AB2"/>
    <w:rsid w:val="00A173E4"/>
    <w:rsid w:val="00A17AB1"/>
    <w:rsid w:val="00A2027F"/>
    <w:rsid w:val="00A206F7"/>
    <w:rsid w:val="00A20B7D"/>
    <w:rsid w:val="00A21388"/>
    <w:rsid w:val="00A2187D"/>
    <w:rsid w:val="00A2244F"/>
    <w:rsid w:val="00A22B7E"/>
    <w:rsid w:val="00A23280"/>
    <w:rsid w:val="00A23A81"/>
    <w:rsid w:val="00A247DF"/>
    <w:rsid w:val="00A269B7"/>
    <w:rsid w:val="00A26F85"/>
    <w:rsid w:val="00A27592"/>
    <w:rsid w:val="00A27791"/>
    <w:rsid w:val="00A27ABE"/>
    <w:rsid w:val="00A27FE4"/>
    <w:rsid w:val="00A3041C"/>
    <w:rsid w:val="00A30BEB"/>
    <w:rsid w:val="00A32859"/>
    <w:rsid w:val="00A32B64"/>
    <w:rsid w:val="00A355F9"/>
    <w:rsid w:val="00A356E2"/>
    <w:rsid w:val="00A35DBF"/>
    <w:rsid w:val="00A36667"/>
    <w:rsid w:val="00A372B3"/>
    <w:rsid w:val="00A37F14"/>
    <w:rsid w:val="00A412B8"/>
    <w:rsid w:val="00A41355"/>
    <w:rsid w:val="00A416EF"/>
    <w:rsid w:val="00A437B6"/>
    <w:rsid w:val="00A43B92"/>
    <w:rsid w:val="00A44822"/>
    <w:rsid w:val="00A44E26"/>
    <w:rsid w:val="00A4568C"/>
    <w:rsid w:val="00A4595C"/>
    <w:rsid w:val="00A45D7F"/>
    <w:rsid w:val="00A47987"/>
    <w:rsid w:val="00A47BBF"/>
    <w:rsid w:val="00A47BCC"/>
    <w:rsid w:val="00A50AA0"/>
    <w:rsid w:val="00A51C1D"/>
    <w:rsid w:val="00A5219D"/>
    <w:rsid w:val="00A52282"/>
    <w:rsid w:val="00A5258A"/>
    <w:rsid w:val="00A54251"/>
    <w:rsid w:val="00A554D4"/>
    <w:rsid w:val="00A56F02"/>
    <w:rsid w:val="00A57212"/>
    <w:rsid w:val="00A5729F"/>
    <w:rsid w:val="00A5792F"/>
    <w:rsid w:val="00A57D8D"/>
    <w:rsid w:val="00A611BE"/>
    <w:rsid w:val="00A61238"/>
    <w:rsid w:val="00A61591"/>
    <w:rsid w:val="00A6179E"/>
    <w:rsid w:val="00A638FE"/>
    <w:rsid w:val="00A64316"/>
    <w:rsid w:val="00A64CB7"/>
    <w:rsid w:val="00A65DB0"/>
    <w:rsid w:val="00A664C6"/>
    <w:rsid w:val="00A67109"/>
    <w:rsid w:val="00A7143D"/>
    <w:rsid w:val="00A730EA"/>
    <w:rsid w:val="00A738A4"/>
    <w:rsid w:val="00A73EE4"/>
    <w:rsid w:val="00A7419F"/>
    <w:rsid w:val="00A74AFA"/>
    <w:rsid w:val="00A74B4C"/>
    <w:rsid w:val="00A74E4F"/>
    <w:rsid w:val="00A74FA1"/>
    <w:rsid w:val="00A76636"/>
    <w:rsid w:val="00A770A0"/>
    <w:rsid w:val="00A77880"/>
    <w:rsid w:val="00A802A5"/>
    <w:rsid w:val="00A804D9"/>
    <w:rsid w:val="00A8077B"/>
    <w:rsid w:val="00A80BAF"/>
    <w:rsid w:val="00A816AE"/>
    <w:rsid w:val="00A81C2E"/>
    <w:rsid w:val="00A81D7E"/>
    <w:rsid w:val="00A81DE4"/>
    <w:rsid w:val="00A826C6"/>
    <w:rsid w:val="00A82D86"/>
    <w:rsid w:val="00A82E81"/>
    <w:rsid w:val="00A838B4"/>
    <w:rsid w:val="00A8573B"/>
    <w:rsid w:val="00A8576A"/>
    <w:rsid w:val="00A86D0B"/>
    <w:rsid w:val="00A87672"/>
    <w:rsid w:val="00A911F2"/>
    <w:rsid w:val="00A9177A"/>
    <w:rsid w:val="00A922BA"/>
    <w:rsid w:val="00A92915"/>
    <w:rsid w:val="00A9293E"/>
    <w:rsid w:val="00A92A6C"/>
    <w:rsid w:val="00A92D96"/>
    <w:rsid w:val="00A92ED2"/>
    <w:rsid w:val="00A92F92"/>
    <w:rsid w:val="00A93457"/>
    <w:rsid w:val="00A93837"/>
    <w:rsid w:val="00A9412D"/>
    <w:rsid w:val="00A94EA4"/>
    <w:rsid w:val="00A95A59"/>
    <w:rsid w:val="00A9608F"/>
    <w:rsid w:val="00A96892"/>
    <w:rsid w:val="00A969DE"/>
    <w:rsid w:val="00A97350"/>
    <w:rsid w:val="00A97398"/>
    <w:rsid w:val="00AA0457"/>
    <w:rsid w:val="00AA1606"/>
    <w:rsid w:val="00AA1CFB"/>
    <w:rsid w:val="00AA2051"/>
    <w:rsid w:val="00AA2C0B"/>
    <w:rsid w:val="00AA3D97"/>
    <w:rsid w:val="00AA42B5"/>
    <w:rsid w:val="00AA5001"/>
    <w:rsid w:val="00AA593F"/>
    <w:rsid w:val="00AA680B"/>
    <w:rsid w:val="00AA70C4"/>
    <w:rsid w:val="00AB06C2"/>
    <w:rsid w:val="00AB13DB"/>
    <w:rsid w:val="00AB2601"/>
    <w:rsid w:val="00AB3FBF"/>
    <w:rsid w:val="00AB416F"/>
    <w:rsid w:val="00AB5273"/>
    <w:rsid w:val="00AB53F2"/>
    <w:rsid w:val="00AB56C4"/>
    <w:rsid w:val="00AB5A57"/>
    <w:rsid w:val="00AB68E4"/>
    <w:rsid w:val="00AB6973"/>
    <w:rsid w:val="00AB6A17"/>
    <w:rsid w:val="00AB6D51"/>
    <w:rsid w:val="00AB7597"/>
    <w:rsid w:val="00AB7C8F"/>
    <w:rsid w:val="00AB7CDE"/>
    <w:rsid w:val="00AC0454"/>
    <w:rsid w:val="00AC10E7"/>
    <w:rsid w:val="00AC2192"/>
    <w:rsid w:val="00AC2D77"/>
    <w:rsid w:val="00AC37C1"/>
    <w:rsid w:val="00AC3CE0"/>
    <w:rsid w:val="00AC49E4"/>
    <w:rsid w:val="00AC4C53"/>
    <w:rsid w:val="00AC5E9A"/>
    <w:rsid w:val="00AC636D"/>
    <w:rsid w:val="00AC6410"/>
    <w:rsid w:val="00AC67E4"/>
    <w:rsid w:val="00AD0694"/>
    <w:rsid w:val="00AD15F1"/>
    <w:rsid w:val="00AD17B4"/>
    <w:rsid w:val="00AD20E1"/>
    <w:rsid w:val="00AD3D3C"/>
    <w:rsid w:val="00AD3E27"/>
    <w:rsid w:val="00AD51EA"/>
    <w:rsid w:val="00AD5C27"/>
    <w:rsid w:val="00AD5F69"/>
    <w:rsid w:val="00AD63FC"/>
    <w:rsid w:val="00AD7084"/>
    <w:rsid w:val="00AD7EC4"/>
    <w:rsid w:val="00AE17F6"/>
    <w:rsid w:val="00AE6034"/>
    <w:rsid w:val="00AE7E1E"/>
    <w:rsid w:val="00AF0834"/>
    <w:rsid w:val="00AF36DF"/>
    <w:rsid w:val="00AF3F1F"/>
    <w:rsid w:val="00AF4068"/>
    <w:rsid w:val="00AF4099"/>
    <w:rsid w:val="00AF4B59"/>
    <w:rsid w:val="00AF4CAC"/>
    <w:rsid w:val="00AF5967"/>
    <w:rsid w:val="00AF6900"/>
    <w:rsid w:val="00AF73ED"/>
    <w:rsid w:val="00B000FA"/>
    <w:rsid w:val="00B00CA0"/>
    <w:rsid w:val="00B00F61"/>
    <w:rsid w:val="00B01D43"/>
    <w:rsid w:val="00B01F99"/>
    <w:rsid w:val="00B03D74"/>
    <w:rsid w:val="00B03EC2"/>
    <w:rsid w:val="00B0477E"/>
    <w:rsid w:val="00B06BA7"/>
    <w:rsid w:val="00B071D1"/>
    <w:rsid w:val="00B07981"/>
    <w:rsid w:val="00B1004B"/>
    <w:rsid w:val="00B1075C"/>
    <w:rsid w:val="00B10B1C"/>
    <w:rsid w:val="00B12182"/>
    <w:rsid w:val="00B1257F"/>
    <w:rsid w:val="00B12C3A"/>
    <w:rsid w:val="00B13490"/>
    <w:rsid w:val="00B1448A"/>
    <w:rsid w:val="00B14769"/>
    <w:rsid w:val="00B16243"/>
    <w:rsid w:val="00B17B27"/>
    <w:rsid w:val="00B17B88"/>
    <w:rsid w:val="00B20715"/>
    <w:rsid w:val="00B20AFF"/>
    <w:rsid w:val="00B20FA5"/>
    <w:rsid w:val="00B2134D"/>
    <w:rsid w:val="00B2138A"/>
    <w:rsid w:val="00B216A5"/>
    <w:rsid w:val="00B237FB"/>
    <w:rsid w:val="00B2487C"/>
    <w:rsid w:val="00B24B1D"/>
    <w:rsid w:val="00B24C8A"/>
    <w:rsid w:val="00B250EA"/>
    <w:rsid w:val="00B26C33"/>
    <w:rsid w:val="00B26E21"/>
    <w:rsid w:val="00B277E0"/>
    <w:rsid w:val="00B30AD4"/>
    <w:rsid w:val="00B323CC"/>
    <w:rsid w:val="00B326FE"/>
    <w:rsid w:val="00B32A1E"/>
    <w:rsid w:val="00B34946"/>
    <w:rsid w:val="00B34B0C"/>
    <w:rsid w:val="00B366A3"/>
    <w:rsid w:val="00B3682C"/>
    <w:rsid w:val="00B37239"/>
    <w:rsid w:val="00B37A15"/>
    <w:rsid w:val="00B400B4"/>
    <w:rsid w:val="00B40528"/>
    <w:rsid w:val="00B40CDF"/>
    <w:rsid w:val="00B40FCE"/>
    <w:rsid w:val="00B410F2"/>
    <w:rsid w:val="00B422DD"/>
    <w:rsid w:val="00B4234A"/>
    <w:rsid w:val="00B4278B"/>
    <w:rsid w:val="00B429CB"/>
    <w:rsid w:val="00B42A3A"/>
    <w:rsid w:val="00B4313F"/>
    <w:rsid w:val="00B43F26"/>
    <w:rsid w:val="00B44885"/>
    <w:rsid w:val="00B44C0C"/>
    <w:rsid w:val="00B46E50"/>
    <w:rsid w:val="00B50B71"/>
    <w:rsid w:val="00B512B8"/>
    <w:rsid w:val="00B514D9"/>
    <w:rsid w:val="00B51932"/>
    <w:rsid w:val="00B519FD"/>
    <w:rsid w:val="00B520BC"/>
    <w:rsid w:val="00B5287A"/>
    <w:rsid w:val="00B52CE1"/>
    <w:rsid w:val="00B5393B"/>
    <w:rsid w:val="00B539CC"/>
    <w:rsid w:val="00B53AF1"/>
    <w:rsid w:val="00B54504"/>
    <w:rsid w:val="00B55345"/>
    <w:rsid w:val="00B56E2C"/>
    <w:rsid w:val="00B57A46"/>
    <w:rsid w:val="00B602EB"/>
    <w:rsid w:val="00B606C7"/>
    <w:rsid w:val="00B61FB8"/>
    <w:rsid w:val="00B62288"/>
    <w:rsid w:val="00B6234D"/>
    <w:rsid w:val="00B624EB"/>
    <w:rsid w:val="00B63D24"/>
    <w:rsid w:val="00B64DD0"/>
    <w:rsid w:val="00B64DDA"/>
    <w:rsid w:val="00B65AEB"/>
    <w:rsid w:val="00B65BB5"/>
    <w:rsid w:val="00B665EC"/>
    <w:rsid w:val="00B66767"/>
    <w:rsid w:val="00B66C9E"/>
    <w:rsid w:val="00B70027"/>
    <w:rsid w:val="00B7010F"/>
    <w:rsid w:val="00B70389"/>
    <w:rsid w:val="00B7128A"/>
    <w:rsid w:val="00B7170E"/>
    <w:rsid w:val="00B71AB2"/>
    <w:rsid w:val="00B71ACE"/>
    <w:rsid w:val="00B727C0"/>
    <w:rsid w:val="00B73EAA"/>
    <w:rsid w:val="00B7512A"/>
    <w:rsid w:val="00B77595"/>
    <w:rsid w:val="00B77CAF"/>
    <w:rsid w:val="00B77E33"/>
    <w:rsid w:val="00B801A9"/>
    <w:rsid w:val="00B806B0"/>
    <w:rsid w:val="00B80838"/>
    <w:rsid w:val="00B80FAB"/>
    <w:rsid w:val="00B8173E"/>
    <w:rsid w:val="00B81833"/>
    <w:rsid w:val="00B81965"/>
    <w:rsid w:val="00B822C5"/>
    <w:rsid w:val="00B82433"/>
    <w:rsid w:val="00B82517"/>
    <w:rsid w:val="00B82C35"/>
    <w:rsid w:val="00B83591"/>
    <w:rsid w:val="00B83BEC"/>
    <w:rsid w:val="00B83BFF"/>
    <w:rsid w:val="00B84300"/>
    <w:rsid w:val="00B848A2"/>
    <w:rsid w:val="00B84CD9"/>
    <w:rsid w:val="00B8528E"/>
    <w:rsid w:val="00B857F6"/>
    <w:rsid w:val="00B85B14"/>
    <w:rsid w:val="00B86832"/>
    <w:rsid w:val="00B91351"/>
    <w:rsid w:val="00B914ED"/>
    <w:rsid w:val="00B91B67"/>
    <w:rsid w:val="00B924E6"/>
    <w:rsid w:val="00B92F0A"/>
    <w:rsid w:val="00B932AB"/>
    <w:rsid w:val="00B938B2"/>
    <w:rsid w:val="00B93F2A"/>
    <w:rsid w:val="00B946B9"/>
    <w:rsid w:val="00B949D8"/>
    <w:rsid w:val="00B94FFF"/>
    <w:rsid w:val="00B96807"/>
    <w:rsid w:val="00B97494"/>
    <w:rsid w:val="00B97704"/>
    <w:rsid w:val="00BA094F"/>
    <w:rsid w:val="00BA105B"/>
    <w:rsid w:val="00BA1635"/>
    <w:rsid w:val="00BA1B1F"/>
    <w:rsid w:val="00BA23E3"/>
    <w:rsid w:val="00BA262D"/>
    <w:rsid w:val="00BA3E06"/>
    <w:rsid w:val="00BA5698"/>
    <w:rsid w:val="00BA6431"/>
    <w:rsid w:val="00BB14C3"/>
    <w:rsid w:val="00BB1C9B"/>
    <w:rsid w:val="00BB1F8B"/>
    <w:rsid w:val="00BB319F"/>
    <w:rsid w:val="00BB3748"/>
    <w:rsid w:val="00BB3A8E"/>
    <w:rsid w:val="00BB3E63"/>
    <w:rsid w:val="00BB425A"/>
    <w:rsid w:val="00BB4B94"/>
    <w:rsid w:val="00BB5EC4"/>
    <w:rsid w:val="00BB7B2D"/>
    <w:rsid w:val="00BB7F97"/>
    <w:rsid w:val="00BC2E92"/>
    <w:rsid w:val="00BC2F09"/>
    <w:rsid w:val="00BC376B"/>
    <w:rsid w:val="00BC3C9F"/>
    <w:rsid w:val="00BC4304"/>
    <w:rsid w:val="00BC5431"/>
    <w:rsid w:val="00BC79EB"/>
    <w:rsid w:val="00BD134C"/>
    <w:rsid w:val="00BD2018"/>
    <w:rsid w:val="00BD21A5"/>
    <w:rsid w:val="00BD2C17"/>
    <w:rsid w:val="00BD3291"/>
    <w:rsid w:val="00BD336B"/>
    <w:rsid w:val="00BD37BA"/>
    <w:rsid w:val="00BD451A"/>
    <w:rsid w:val="00BD583B"/>
    <w:rsid w:val="00BD5ACE"/>
    <w:rsid w:val="00BD62FD"/>
    <w:rsid w:val="00BD681F"/>
    <w:rsid w:val="00BD7EB0"/>
    <w:rsid w:val="00BD7FCF"/>
    <w:rsid w:val="00BE07BF"/>
    <w:rsid w:val="00BE0995"/>
    <w:rsid w:val="00BE0BF3"/>
    <w:rsid w:val="00BE14BA"/>
    <w:rsid w:val="00BE2523"/>
    <w:rsid w:val="00BE3601"/>
    <w:rsid w:val="00BE3729"/>
    <w:rsid w:val="00BE5B13"/>
    <w:rsid w:val="00BE5BFF"/>
    <w:rsid w:val="00BE6931"/>
    <w:rsid w:val="00BE69D6"/>
    <w:rsid w:val="00BE6F9F"/>
    <w:rsid w:val="00BF0C5B"/>
    <w:rsid w:val="00BF1AB8"/>
    <w:rsid w:val="00BF2B9C"/>
    <w:rsid w:val="00BF3597"/>
    <w:rsid w:val="00BF453C"/>
    <w:rsid w:val="00BF4710"/>
    <w:rsid w:val="00BF4A63"/>
    <w:rsid w:val="00BF5298"/>
    <w:rsid w:val="00BF6406"/>
    <w:rsid w:val="00BF7939"/>
    <w:rsid w:val="00C005B4"/>
    <w:rsid w:val="00C01E4C"/>
    <w:rsid w:val="00C04694"/>
    <w:rsid w:val="00C04FA1"/>
    <w:rsid w:val="00C064DC"/>
    <w:rsid w:val="00C069EE"/>
    <w:rsid w:val="00C07172"/>
    <w:rsid w:val="00C07667"/>
    <w:rsid w:val="00C07FB0"/>
    <w:rsid w:val="00C10BC4"/>
    <w:rsid w:val="00C11774"/>
    <w:rsid w:val="00C11D81"/>
    <w:rsid w:val="00C132CA"/>
    <w:rsid w:val="00C1351C"/>
    <w:rsid w:val="00C13CD9"/>
    <w:rsid w:val="00C13D0C"/>
    <w:rsid w:val="00C14140"/>
    <w:rsid w:val="00C149BD"/>
    <w:rsid w:val="00C14B1F"/>
    <w:rsid w:val="00C15174"/>
    <w:rsid w:val="00C15BCA"/>
    <w:rsid w:val="00C164DF"/>
    <w:rsid w:val="00C16584"/>
    <w:rsid w:val="00C17C38"/>
    <w:rsid w:val="00C17D75"/>
    <w:rsid w:val="00C17DA4"/>
    <w:rsid w:val="00C201B6"/>
    <w:rsid w:val="00C20C2D"/>
    <w:rsid w:val="00C20E13"/>
    <w:rsid w:val="00C216BE"/>
    <w:rsid w:val="00C2191C"/>
    <w:rsid w:val="00C22003"/>
    <w:rsid w:val="00C224D8"/>
    <w:rsid w:val="00C237B2"/>
    <w:rsid w:val="00C237C2"/>
    <w:rsid w:val="00C23D2F"/>
    <w:rsid w:val="00C2517A"/>
    <w:rsid w:val="00C25BDA"/>
    <w:rsid w:val="00C26CC1"/>
    <w:rsid w:val="00C27826"/>
    <w:rsid w:val="00C313FC"/>
    <w:rsid w:val="00C321D2"/>
    <w:rsid w:val="00C32A5E"/>
    <w:rsid w:val="00C33104"/>
    <w:rsid w:val="00C331F0"/>
    <w:rsid w:val="00C332D4"/>
    <w:rsid w:val="00C33610"/>
    <w:rsid w:val="00C3386D"/>
    <w:rsid w:val="00C3540F"/>
    <w:rsid w:val="00C35865"/>
    <w:rsid w:val="00C36681"/>
    <w:rsid w:val="00C370AE"/>
    <w:rsid w:val="00C37FB4"/>
    <w:rsid w:val="00C40556"/>
    <w:rsid w:val="00C41B86"/>
    <w:rsid w:val="00C44AE3"/>
    <w:rsid w:val="00C44D9F"/>
    <w:rsid w:val="00C44EA1"/>
    <w:rsid w:val="00C45419"/>
    <w:rsid w:val="00C463D1"/>
    <w:rsid w:val="00C471D1"/>
    <w:rsid w:val="00C47548"/>
    <w:rsid w:val="00C51011"/>
    <w:rsid w:val="00C51960"/>
    <w:rsid w:val="00C51E30"/>
    <w:rsid w:val="00C52DB9"/>
    <w:rsid w:val="00C52FE0"/>
    <w:rsid w:val="00C5313C"/>
    <w:rsid w:val="00C53353"/>
    <w:rsid w:val="00C54755"/>
    <w:rsid w:val="00C54E13"/>
    <w:rsid w:val="00C5594F"/>
    <w:rsid w:val="00C55BC0"/>
    <w:rsid w:val="00C560AC"/>
    <w:rsid w:val="00C560E8"/>
    <w:rsid w:val="00C5781C"/>
    <w:rsid w:val="00C57908"/>
    <w:rsid w:val="00C5796B"/>
    <w:rsid w:val="00C60036"/>
    <w:rsid w:val="00C60343"/>
    <w:rsid w:val="00C60715"/>
    <w:rsid w:val="00C61213"/>
    <w:rsid w:val="00C6132B"/>
    <w:rsid w:val="00C62A5D"/>
    <w:rsid w:val="00C62C6B"/>
    <w:rsid w:val="00C63A79"/>
    <w:rsid w:val="00C63F49"/>
    <w:rsid w:val="00C64CD6"/>
    <w:rsid w:val="00C65D07"/>
    <w:rsid w:val="00C66701"/>
    <w:rsid w:val="00C67C04"/>
    <w:rsid w:val="00C67E66"/>
    <w:rsid w:val="00C70BE9"/>
    <w:rsid w:val="00C7330E"/>
    <w:rsid w:val="00C7387B"/>
    <w:rsid w:val="00C738BD"/>
    <w:rsid w:val="00C74681"/>
    <w:rsid w:val="00C7476A"/>
    <w:rsid w:val="00C750C9"/>
    <w:rsid w:val="00C75171"/>
    <w:rsid w:val="00C7569E"/>
    <w:rsid w:val="00C75E5C"/>
    <w:rsid w:val="00C773FA"/>
    <w:rsid w:val="00C77A20"/>
    <w:rsid w:val="00C802C2"/>
    <w:rsid w:val="00C824DA"/>
    <w:rsid w:val="00C8405F"/>
    <w:rsid w:val="00C84B87"/>
    <w:rsid w:val="00C84CB3"/>
    <w:rsid w:val="00C854D4"/>
    <w:rsid w:val="00C86454"/>
    <w:rsid w:val="00C872E7"/>
    <w:rsid w:val="00C873CC"/>
    <w:rsid w:val="00C90556"/>
    <w:rsid w:val="00C91924"/>
    <w:rsid w:val="00C91C32"/>
    <w:rsid w:val="00C926C7"/>
    <w:rsid w:val="00C92C62"/>
    <w:rsid w:val="00C939F2"/>
    <w:rsid w:val="00C93E1B"/>
    <w:rsid w:val="00C93F57"/>
    <w:rsid w:val="00C942D4"/>
    <w:rsid w:val="00C94485"/>
    <w:rsid w:val="00C94C12"/>
    <w:rsid w:val="00C94DBB"/>
    <w:rsid w:val="00C95042"/>
    <w:rsid w:val="00C953F2"/>
    <w:rsid w:val="00C9670E"/>
    <w:rsid w:val="00C97E80"/>
    <w:rsid w:val="00CA0436"/>
    <w:rsid w:val="00CA0D78"/>
    <w:rsid w:val="00CA10DF"/>
    <w:rsid w:val="00CA1377"/>
    <w:rsid w:val="00CA1BB0"/>
    <w:rsid w:val="00CA35FA"/>
    <w:rsid w:val="00CA46E5"/>
    <w:rsid w:val="00CA4855"/>
    <w:rsid w:val="00CA49B8"/>
    <w:rsid w:val="00CA5D90"/>
    <w:rsid w:val="00CA6579"/>
    <w:rsid w:val="00CA66B5"/>
    <w:rsid w:val="00CA6B28"/>
    <w:rsid w:val="00CA6CB3"/>
    <w:rsid w:val="00CA7C5F"/>
    <w:rsid w:val="00CB0378"/>
    <w:rsid w:val="00CB0662"/>
    <w:rsid w:val="00CB141A"/>
    <w:rsid w:val="00CB1D3A"/>
    <w:rsid w:val="00CB249E"/>
    <w:rsid w:val="00CB24FE"/>
    <w:rsid w:val="00CB2841"/>
    <w:rsid w:val="00CB2939"/>
    <w:rsid w:val="00CB493D"/>
    <w:rsid w:val="00CB4F5B"/>
    <w:rsid w:val="00CB5738"/>
    <w:rsid w:val="00CB7D11"/>
    <w:rsid w:val="00CB7D55"/>
    <w:rsid w:val="00CC03DF"/>
    <w:rsid w:val="00CC044A"/>
    <w:rsid w:val="00CC0A60"/>
    <w:rsid w:val="00CC16DF"/>
    <w:rsid w:val="00CC2AA0"/>
    <w:rsid w:val="00CC38AB"/>
    <w:rsid w:val="00CC399E"/>
    <w:rsid w:val="00CC3A3B"/>
    <w:rsid w:val="00CC43A9"/>
    <w:rsid w:val="00CC481E"/>
    <w:rsid w:val="00CC67EE"/>
    <w:rsid w:val="00CC7248"/>
    <w:rsid w:val="00CC7A62"/>
    <w:rsid w:val="00CD00F6"/>
    <w:rsid w:val="00CD0C89"/>
    <w:rsid w:val="00CD5457"/>
    <w:rsid w:val="00CD58FD"/>
    <w:rsid w:val="00CD69FE"/>
    <w:rsid w:val="00CD6D44"/>
    <w:rsid w:val="00CD79F4"/>
    <w:rsid w:val="00CE0B21"/>
    <w:rsid w:val="00CE2893"/>
    <w:rsid w:val="00CE307F"/>
    <w:rsid w:val="00CE382B"/>
    <w:rsid w:val="00CE4078"/>
    <w:rsid w:val="00CE4366"/>
    <w:rsid w:val="00CE5D8E"/>
    <w:rsid w:val="00CE6E55"/>
    <w:rsid w:val="00CE7DF3"/>
    <w:rsid w:val="00CE7F9E"/>
    <w:rsid w:val="00CF10B9"/>
    <w:rsid w:val="00CF1956"/>
    <w:rsid w:val="00CF1F03"/>
    <w:rsid w:val="00CF280F"/>
    <w:rsid w:val="00CF2BE1"/>
    <w:rsid w:val="00CF2CFE"/>
    <w:rsid w:val="00CF39C2"/>
    <w:rsid w:val="00CF3FB8"/>
    <w:rsid w:val="00CF52CF"/>
    <w:rsid w:val="00CF608F"/>
    <w:rsid w:val="00CF66B5"/>
    <w:rsid w:val="00D00011"/>
    <w:rsid w:val="00D0031C"/>
    <w:rsid w:val="00D008A8"/>
    <w:rsid w:val="00D028D3"/>
    <w:rsid w:val="00D02C7E"/>
    <w:rsid w:val="00D02D71"/>
    <w:rsid w:val="00D03307"/>
    <w:rsid w:val="00D0438F"/>
    <w:rsid w:val="00D0510A"/>
    <w:rsid w:val="00D06724"/>
    <w:rsid w:val="00D06C74"/>
    <w:rsid w:val="00D104F3"/>
    <w:rsid w:val="00D10CE2"/>
    <w:rsid w:val="00D10EB3"/>
    <w:rsid w:val="00D129A3"/>
    <w:rsid w:val="00D12F50"/>
    <w:rsid w:val="00D143E8"/>
    <w:rsid w:val="00D14454"/>
    <w:rsid w:val="00D14802"/>
    <w:rsid w:val="00D158A2"/>
    <w:rsid w:val="00D16774"/>
    <w:rsid w:val="00D16CE2"/>
    <w:rsid w:val="00D17203"/>
    <w:rsid w:val="00D2097F"/>
    <w:rsid w:val="00D20ACB"/>
    <w:rsid w:val="00D20DA5"/>
    <w:rsid w:val="00D21A74"/>
    <w:rsid w:val="00D223D5"/>
    <w:rsid w:val="00D22D38"/>
    <w:rsid w:val="00D230DF"/>
    <w:rsid w:val="00D23F1C"/>
    <w:rsid w:val="00D24230"/>
    <w:rsid w:val="00D2441A"/>
    <w:rsid w:val="00D24CEF"/>
    <w:rsid w:val="00D2543E"/>
    <w:rsid w:val="00D255A7"/>
    <w:rsid w:val="00D259D6"/>
    <w:rsid w:val="00D25F3F"/>
    <w:rsid w:val="00D26EBB"/>
    <w:rsid w:val="00D27629"/>
    <w:rsid w:val="00D302CA"/>
    <w:rsid w:val="00D30651"/>
    <w:rsid w:val="00D30A00"/>
    <w:rsid w:val="00D321F6"/>
    <w:rsid w:val="00D3257E"/>
    <w:rsid w:val="00D325D2"/>
    <w:rsid w:val="00D32786"/>
    <w:rsid w:val="00D32BD6"/>
    <w:rsid w:val="00D32FFD"/>
    <w:rsid w:val="00D343FA"/>
    <w:rsid w:val="00D344CD"/>
    <w:rsid w:val="00D360DE"/>
    <w:rsid w:val="00D373AD"/>
    <w:rsid w:val="00D413AA"/>
    <w:rsid w:val="00D418FF"/>
    <w:rsid w:val="00D41ED2"/>
    <w:rsid w:val="00D42B1C"/>
    <w:rsid w:val="00D432EB"/>
    <w:rsid w:val="00D447C5"/>
    <w:rsid w:val="00D44DA5"/>
    <w:rsid w:val="00D44DD3"/>
    <w:rsid w:val="00D44EE0"/>
    <w:rsid w:val="00D4765E"/>
    <w:rsid w:val="00D477AA"/>
    <w:rsid w:val="00D47AB2"/>
    <w:rsid w:val="00D47D67"/>
    <w:rsid w:val="00D47F6F"/>
    <w:rsid w:val="00D50A4A"/>
    <w:rsid w:val="00D50EA4"/>
    <w:rsid w:val="00D51649"/>
    <w:rsid w:val="00D5191A"/>
    <w:rsid w:val="00D52C30"/>
    <w:rsid w:val="00D54298"/>
    <w:rsid w:val="00D54B2F"/>
    <w:rsid w:val="00D557A7"/>
    <w:rsid w:val="00D557E5"/>
    <w:rsid w:val="00D56071"/>
    <w:rsid w:val="00D56127"/>
    <w:rsid w:val="00D565D5"/>
    <w:rsid w:val="00D565FE"/>
    <w:rsid w:val="00D57DB0"/>
    <w:rsid w:val="00D57F30"/>
    <w:rsid w:val="00D609EA"/>
    <w:rsid w:val="00D61742"/>
    <w:rsid w:val="00D62F9B"/>
    <w:rsid w:val="00D633F1"/>
    <w:rsid w:val="00D634E0"/>
    <w:rsid w:val="00D644B9"/>
    <w:rsid w:val="00D64A8E"/>
    <w:rsid w:val="00D65C76"/>
    <w:rsid w:val="00D671FE"/>
    <w:rsid w:val="00D71C8C"/>
    <w:rsid w:val="00D71D9F"/>
    <w:rsid w:val="00D72BDB"/>
    <w:rsid w:val="00D734C7"/>
    <w:rsid w:val="00D7351B"/>
    <w:rsid w:val="00D75358"/>
    <w:rsid w:val="00D7542B"/>
    <w:rsid w:val="00D75484"/>
    <w:rsid w:val="00D75ECA"/>
    <w:rsid w:val="00D7645A"/>
    <w:rsid w:val="00D767BA"/>
    <w:rsid w:val="00D76869"/>
    <w:rsid w:val="00D76FE2"/>
    <w:rsid w:val="00D7749D"/>
    <w:rsid w:val="00D8186A"/>
    <w:rsid w:val="00D81CF7"/>
    <w:rsid w:val="00D82494"/>
    <w:rsid w:val="00D82CB5"/>
    <w:rsid w:val="00D8351F"/>
    <w:rsid w:val="00D8457C"/>
    <w:rsid w:val="00D849FC"/>
    <w:rsid w:val="00D85CCF"/>
    <w:rsid w:val="00D91545"/>
    <w:rsid w:val="00D91ED2"/>
    <w:rsid w:val="00D9231B"/>
    <w:rsid w:val="00D935ED"/>
    <w:rsid w:val="00D937EF"/>
    <w:rsid w:val="00D952AA"/>
    <w:rsid w:val="00D96009"/>
    <w:rsid w:val="00D9619B"/>
    <w:rsid w:val="00D975BE"/>
    <w:rsid w:val="00DA0D36"/>
    <w:rsid w:val="00DA13D0"/>
    <w:rsid w:val="00DA1D32"/>
    <w:rsid w:val="00DA2B96"/>
    <w:rsid w:val="00DA2F73"/>
    <w:rsid w:val="00DA35BE"/>
    <w:rsid w:val="00DA3C23"/>
    <w:rsid w:val="00DA4C70"/>
    <w:rsid w:val="00DA684F"/>
    <w:rsid w:val="00DA6858"/>
    <w:rsid w:val="00DA6A60"/>
    <w:rsid w:val="00DA790C"/>
    <w:rsid w:val="00DA7A55"/>
    <w:rsid w:val="00DB06A8"/>
    <w:rsid w:val="00DB0707"/>
    <w:rsid w:val="00DB2791"/>
    <w:rsid w:val="00DB33F3"/>
    <w:rsid w:val="00DB38C1"/>
    <w:rsid w:val="00DB5ABC"/>
    <w:rsid w:val="00DB5AE0"/>
    <w:rsid w:val="00DB6849"/>
    <w:rsid w:val="00DB6FA9"/>
    <w:rsid w:val="00DB7673"/>
    <w:rsid w:val="00DB7BAA"/>
    <w:rsid w:val="00DC0051"/>
    <w:rsid w:val="00DC089A"/>
    <w:rsid w:val="00DC0F22"/>
    <w:rsid w:val="00DC183D"/>
    <w:rsid w:val="00DC307B"/>
    <w:rsid w:val="00DC343B"/>
    <w:rsid w:val="00DC43D9"/>
    <w:rsid w:val="00DC462F"/>
    <w:rsid w:val="00DC499A"/>
    <w:rsid w:val="00DC4BEB"/>
    <w:rsid w:val="00DC503A"/>
    <w:rsid w:val="00DC5A1B"/>
    <w:rsid w:val="00DC6D8D"/>
    <w:rsid w:val="00DC78E2"/>
    <w:rsid w:val="00DD1D02"/>
    <w:rsid w:val="00DD1EB5"/>
    <w:rsid w:val="00DD2C58"/>
    <w:rsid w:val="00DD37BF"/>
    <w:rsid w:val="00DD3B96"/>
    <w:rsid w:val="00DD4F07"/>
    <w:rsid w:val="00DD53EE"/>
    <w:rsid w:val="00DD5A90"/>
    <w:rsid w:val="00DD5CE7"/>
    <w:rsid w:val="00DD604A"/>
    <w:rsid w:val="00DD698D"/>
    <w:rsid w:val="00DD6A21"/>
    <w:rsid w:val="00DD6C05"/>
    <w:rsid w:val="00DE0BBA"/>
    <w:rsid w:val="00DE0F50"/>
    <w:rsid w:val="00DE1192"/>
    <w:rsid w:val="00DE18A7"/>
    <w:rsid w:val="00DE1EEE"/>
    <w:rsid w:val="00DE1F04"/>
    <w:rsid w:val="00DE2EFB"/>
    <w:rsid w:val="00DE3502"/>
    <w:rsid w:val="00DE36C9"/>
    <w:rsid w:val="00DE48E9"/>
    <w:rsid w:val="00DE60CA"/>
    <w:rsid w:val="00DE6338"/>
    <w:rsid w:val="00DE708D"/>
    <w:rsid w:val="00DF01B6"/>
    <w:rsid w:val="00DF0282"/>
    <w:rsid w:val="00DF0DF6"/>
    <w:rsid w:val="00DF28F1"/>
    <w:rsid w:val="00DF2CD9"/>
    <w:rsid w:val="00DF332B"/>
    <w:rsid w:val="00DF39DE"/>
    <w:rsid w:val="00DF3D67"/>
    <w:rsid w:val="00DF529F"/>
    <w:rsid w:val="00DF55B1"/>
    <w:rsid w:val="00DF571B"/>
    <w:rsid w:val="00DF6C8B"/>
    <w:rsid w:val="00DF77A4"/>
    <w:rsid w:val="00E00558"/>
    <w:rsid w:val="00E02517"/>
    <w:rsid w:val="00E02688"/>
    <w:rsid w:val="00E02E12"/>
    <w:rsid w:val="00E04867"/>
    <w:rsid w:val="00E04D09"/>
    <w:rsid w:val="00E05611"/>
    <w:rsid w:val="00E05701"/>
    <w:rsid w:val="00E05C39"/>
    <w:rsid w:val="00E060A0"/>
    <w:rsid w:val="00E07114"/>
    <w:rsid w:val="00E10B88"/>
    <w:rsid w:val="00E1290D"/>
    <w:rsid w:val="00E12C47"/>
    <w:rsid w:val="00E132BD"/>
    <w:rsid w:val="00E133CB"/>
    <w:rsid w:val="00E14499"/>
    <w:rsid w:val="00E147C0"/>
    <w:rsid w:val="00E14833"/>
    <w:rsid w:val="00E1599A"/>
    <w:rsid w:val="00E15A7A"/>
    <w:rsid w:val="00E1675F"/>
    <w:rsid w:val="00E16D4E"/>
    <w:rsid w:val="00E16DDD"/>
    <w:rsid w:val="00E22C11"/>
    <w:rsid w:val="00E2322D"/>
    <w:rsid w:val="00E23DB3"/>
    <w:rsid w:val="00E23E77"/>
    <w:rsid w:val="00E24FA3"/>
    <w:rsid w:val="00E260D5"/>
    <w:rsid w:val="00E26B28"/>
    <w:rsid w:val="00E2717E"/>
    <w:rsid w:val="00E273B6"/>
    <w:rsid w:val="00E3136E"/>
    <w:rsid w:val="00E31465"/>
    <w:rsid w:val="00E31DE9"/>
    <w:rsid w:val="00E328CD"/>
    <w:rsid w:val="00E3305D"/>
    <w:rsid w:val="00E33210"/>
    <w:rsid w:val="00E3489E"/>
    <w:rsid w:val="00E34D12"/>
    <w:rsid w:val="00E3546C"/>
    <w:rsid w:val="00E362F0"/>
    <w:rsid w:val="00E36B95"/>
    <w:rsid w:val="00E4003F"/>
    <w:rsid w:val="00E416F2"/>
    <w:rsid w:val="00E4293F"/>
    <w:rsid w:val="00E44115"/>
    <w:rsid w:val="00E445AB"/>
    <w:rsid w:val="00E448C5"/>
    <w:rsid w:val="00E450F0"/>
    <w:rsid w:val="00E458A1"/>
    <w:rsid w:val="00E458F6"/>
    <w:rsid w:val="00E45954"/>
    <w:rsid w:val="00E45C93"/>
    <w:rsid w:val="00E45F10"/>
    <w:rsid w:val="00E46277"/>
    <w:rsid w:val="00E46704"/>
    <w:rsid w:val="00E514EC"/>
    <w:rsid w:val="00E51755"/>
    <w:rsid w:val="00E51FE0"/>
    <w:rsid w:val="00E5206C"/>
    <w:rsid w:val="00E52CC2"/>
    <w:rsid w:val="00E5327A"/>
    <w:rsid w:val="00E53546"/>
    <w:rsid w:val="00E53702"/>
    <w:rsid w:val="00E53F30"/>
    <w:rsid w:val="00E54B5F"/>
    <w:rsid w:val="00E55F24"/>
    <w:rsid w:val="00E55F32"/>
    <w:rsid w:val="00E55F89"/>
    <w:rsid w:val="00E56329"/>
    <w:rsid w:val="00E56533"/>
    <w:rsid w:val="00E568C1"/>
    <w:rsid w:val="00E5736A"/>
    <w:rsid w:val="00E5749C"/>
    <w:rsid w:val="00E57547"/>
    <w:rsid w:val="00E575E1"/>
    <w:rsid w:val="00E57CB3"/>
    <w:rsid w:val="00E57FD8"/>
    <w:rsid w:val="00E60C48"/>
    <w:rsid w:val="00E61638"/>
    <w:rsid w:val="00E63458"/>
    <w:rsid w:val="00E646C2"/>
    <w:rsid w:val="00E652C5"/>
    <w:rsid w:val="00E66CD8"/>
    <w:rsid w:val="00E7404B"/>
    <w:rsid w:val="00E74601"/>
    <w:rsid w:val="00E75001"/>
    <w:rsid w:val="00E77550"/>
    <w:rsid w:val="00E77FF2"/>
    <w:rsid w:val="00E809C3"/>
    <w:rsid w:val="00E81D4A"/>
    <w:rsid w:val="00E8256E"/>
    <w:rsid w:val="00E829B5"/>
    <w:rsid w:val="00E832F6"/>
    <w:rsid w:val="00E866B8"/>
    <w:rsid w:val="00E866EB"/>
    <w:rsid w:val="00E867C4"/>
    <w:rsid w:val="00E86BC5"/>
    <w:rsid w:val="00E90C4C"/>
    <w:rsid w:val="00E91D64"/>
    <w:rsid w:val="00E92511"/>
    <w:rsid w:val="00E9352D"/>
    <w:rsid w:val="00E936C7"/>
    <w:rsid w:val="00E95154"/>
    <w:rsid w:val="00E9650A"/>
    <w:rsid w:val="00E96CE8"/>
    <w:rsid w:val="00EA089E"/>
    <w:rsid w:val="00EA209B"/>
    <w:rsid w:val="00EA325B"/>
    <w:rsid w:val="00EA4146"/>
    <w:rsid w:val="00EA44D9"/>
    <w:rsid w:val="00EA7449"/>
    <w:rsid w:val="00EA79E3"/>
    <w:rsid w:val="00EB0C16"/>
    <w:rsid w:val="00EB12BE"/>
    <w:rsid w:val="00EB2D85"/>
    <w:rsid w:val="00EB30AB"/>
    <w:rsid w:val="00EB322B"/>
    <w:rsid w:val="00EB3442"/>
    <w:rsid w:val="00EB38CF"/>
    <w:rsid w:val="00EB3A72"/>
    <w:rsid w:val="00EB621E"/>
    <w:rsid w:val="00EB65B5"/>
    <w:rsid w:val="00EB6A76"/>
    <w:rsid w:val="00EB748F"/>
    <w:rsid w:val="00EC0B24"/>
    <w:rsid w:val="00EC1515"/>
    <w:rsid w:val="00EC1C8A"/>
    <w:rsid w:val="00EC1DAC"/>
    <w:rsid w:val="00EC20AE"/>
    <w:rsid w:val="00EC27D6"/>
    <w:rsid w:val="00EC5998"/>
    <w:rsid w:val="00EC6C88"/>
    <w:rsid w:val="00EC6F6E"/>
    <w:rsid w:val="00EC7C6D"/>
    <w:rsid w:val="00EC7DDD"/>
    <w:rsid w:val="00ED13BF"/>
    <w:rsid w:val="00ED3EE1"/>
    <w:rsid w:val="00ED45D8"/>
    <w:rsid w:val="00ED4764"/>
    <w:rsid w:val="00ED4A7D"/>
    <w:rsid w:val="00ED529E"/>
    <w:rsid w:val="00ED6EDE"/>
    <w:rsid w:val="00ED76F1"/>
    <w:rsid w:val="00EE0C65"/>
    <w:rsid w:val="00EE221F"/>
    <w:rsid w:val="00EE293B"/>
    <w:rsid w:val="00EE2C73"/>
    <w:rsid w:val="00EE30BB"/>
    <w:rsid w:val="00EE38D7"/>
    <w:rsid w:val="00EE3E65"/>
    <w:rsid w:val="00EE605E"/>
    <w:rsid w:val="00EE6544"/>
    <w:rsid w:val="00EE6662"/>
    <w:rsid w:val="00EE67FB"/>
    <w:rsid w:val="00EE680F"/>
    <w:rsid w:val="00EE6ED3"/>
    <w:rsid w:val="00EE7886"/>
    <w:rsid w:val="00EF0A65"/>
    <w:rsid w:val="00EF155E"/>
    <w:rsid w:val="00EF1619"/>
    <w:rsid w:val="00EF1EB6"/>
    <w:rsid w:val="00EF3096"/>
    <w:rsid w:val="00EF37F6"/>
    <w:rsid w:val="00EF4458"/>
    <w:rsid w:val="00EF4D6C"/>
    <w:rsid w:val="00EF7893"/>
    <w:rsid w:val="00F008BC"/>
    <w:rsid w:val="00F00D1C"/>
    <w:rsid w:val="00F01757"/>
    <w:rsid w:val="00F02B65"/>
    <w:rsid w:val="00F037D1"/>
    <w:rsid w:val="00F04AE8"/>
    <w:rsid w:val="00F0546D"/>
    <w:rsid w:val="00F060C9"/>
    <w:rsid w:val="00F0641F"/>
    <w:rsid w:val="00F07510"/>
    <w:rsid w:val="00F0799D"/>
    <w:rsid w:val="00F100DC"/>
    <w:rsid w:val="00F107A0"/>
    <w:rsid w:val="00F10941"/>
    <w:rsid w:val="00F127A8"/>
    <w:rsid w:val="00F130D5"/>
    <w:rsid w:val="00F13780"/>
    <w:rsid w:val="00F14000"/>
    <w:rsid w:val="00F149DD"/>
    <w:rsid w:val="00F14A44"/>
    <w:rsid w:val="00F14C6D"/>
    <w:rsid w:val="00F15A51"/>
    <w:rsid w:val="00F16714"/>
    <w:rsid w:val="00F20116"/>
    <w:rsid w:val="00F2036F"/>
    <w:rsid w:val="00F205F6"/>
    <w:rsid w:val="00F210F2"/>
    <w:rsid w:val="00F212A7"/>
    <w:rsid w:val="00F216AD"/>
    <w:rsid w:val="00F220A5"/>
    <w:rsid w:val="00F223AF"/>
    <w:rsid w:val="00F22FF2"/>
    <w:rsid w:val="00F240F5"/>
    <w:rsid w:val="00F25F67"/>
    <w:rsid w:val="00F26D6D"/>
    <w:rsid w:val="00F26EF3"/>
    <w:rsid w:val="00F26F77"/>
    <w:rsid w:val="00F3220C"/>
    <w:rsid w:val="00F3228A"/>
    <w:rsid w:val="00F33707"/>
    <w:rsid w:val="00F34362"/>
    <w:rsid w:val="00F34455"/>
    <w:rsid w:val="00F34BC9"/>
    <w:rsid w:val="00F34FCA"/>
    <w:rsid w:val="00F35A8F"/>
    <w:rsid w:val="00F365C4"/>
    <w:rsid w:val="00F365E2"/>
    <w:rsid w:val="00F36FA3"/>
    <w:rsid w:val="00F373B6"/>
    <w:rsid w:val="00F405F0"/>
    <w:rsid w:val="00F406D7"/>
    <w:rsid w:val="00F40B42"/>
    <w:rsid w:val="00F41C50"/>
    <w:rsid w:val="00F41F0E"/>
    <w:rsid w:val="00F42C0C"/>
    <w:rsid w:val="00F43DAB"/>
    <w:rsid w:val="00F43E11"/>
    <w:rsid w:val="00F446E3"/>
    <w:rsid w:val="00F44F05"/>
    <w:rsid w:val="00F44FF5"/>
    <w:rsid w:val="00F4624F"/>
    <w:rsid w:val="00F47023"/>
    <w:rsid w:val="00F513AE"/>
    <w:rsid w:val="00F51ECD"/>
    <w:rsid w:val="00F52E67"/>
    <w:rsid w:val="00F52EA1"/>
    <w:rsid w:val="00F52FE3"/>
    <w:rsid w:val="00F54F15"/>
    <w:rsid w:val="00F5537F"/>
    <w:rsid w:val="00F57835"/>
    <w:rsid w:val="00F60FF3"/>
    <w:rsid w:val="00F6114E"/>
    <w:rsid w:val="00F613D3"/>
    <w:rsid w:val="00F615AB"/>
    <w:rsid w:val="00F61DE7"/>
    <w:rsid w:val="00F64653"/>
    <w:rsid w:val="00F6480A"/>
    <w:rsid w:val="00F64A90"/>
    <w:rsid w:val="00F64ECC"/>
    <w:rsid w:val="00F64ED9"/>
    <w:rsid w:val="00F652E5"/>
    <w:rsid w:val="00F66627"/>
    <w:rsid w:val="00F66ED3"/>
    <w:rsid w:val="00F66FB5"/>
    <w:rsid w:val="00F70C1A"/>
    <w:rsid w:val="00F72639"/>
    <w:rsid w:val="00F72C50"/>
    <w:rsid w:val="00F735FE"/>
    <w:rsid w:val="00F755B8"/>
    <w:rsid w:val="00F75C3B"/>
    <w:rsid w:val="00F75ED7"/>
    <w:rsid w:val="00F76A65"/>
    <w:rsid w:val="00F77A7B"/>
    <w:rsid w:val="00F77C1E"/>
    <w:rsid w:val="00F81458"/>
    <w:rsid w:val="00F81985"/>
    <w:rsid w:val="00F8302E"/>
    <w:rsid w:val="00F83111"/>
    <w:rsid w:val="00F847E9"/>
    <w:rsid w:val="00F848D1"/>
    <w:rsid w:val="00F85C8F"/>
    <w:rsid w:val="00F8640F"/>
    <w:rsid w:val="00F86860"/>
    <w:rsid w:val="00F86DAB"/>
    <w:rsid w:val="00F873A5"/>
    <w:rsid w:val="00F87869"/>
    <w:rsid w:val="00F93B5F"/>
    <w:rsid w:val="00F95998"/>
    <w:rsid w:val="00FA10B1"/>
    <w:rsid w:val="00FA1441"/>
    <w:rsid w:val="00FA1715"/>
    <w:rsid w:val="00FA22A8"/>
    <w:rsid w:val="00FA2B20"/>
    <w:rsid w:val="00FA3585"/>
    <w:rsid w:val="00FA4582"/>
    <w:rsid w:val="00FA4916"/>
    <w:rsid w:val="00FA5A12"/>
    <w:rsid w:val="00FA664A"/>
    <w:rsid w:val="00FA6B73"/>
    <w:rsid w:val="00FA6EEB"/>
    <w:rsid w:val="00FA7676"/>
    <w:rsid w:val="00FA7E5C"/>
    <w:rsid w:val="00FB11A7"/>
    <w:rsid w:val="00FB1873"/>
    <w:rsid w:val="00FB193D"/>
    <w:rsid w:val="00FB31EF"/>
    <w:rsid w:val="00FB3422"/>
    <w:rsid w:val="00FB45E2"/>
    <w:rsid w:val="00FB4AE4"/>
    <w:rsid w:val="00FB4F2C"/>
    <w:rsid w:val="00FB4FD5"/>
    <w:rsid w:val="00FB5E47"/>
    <w:rsid w:val="00FB65B9"/>
    <w:rsid w:val="00FB68BE"/>
    <w:rsid w:val="00FB72D6"/>
    <w:rsid w:val="00FC044B"/>
    <w:rsid w:val="00FC0739"/>
    <w:rsid w:val="00FC10D2"/>
    <w:rsid w:val="00FC13AD"/>
    <w:rsid w:val="00FC199D"/>
    <w:rsid w:val="00FC1DE9"/>
    <w:rsid w:val="00FC2424"/>
    <w:rsid w:val="00FC3063"/>
    <w:rsid w:val="00FC31E0"/>
    <w:rsid w:val="00FC4237"/>
    <w:rsid w:val="00FC42FA"/>
    <w:rsid w:val="00FC6420"/>
    <w:rsid w:val="00FC67C5"/>
    <w:rsid w:val="00FC7AA2"/>
    <w:rsid w:val="00FC7F97"/>
    <w:rsid w:val="00FD01B5"/>
    <w:rsid w:val="00FD0987"/>
    <w:rsid w:val="00FD0A14"/>
    <w:rsid w:val="00FD1250"/>
    <w:rsid w:val="00FD1567"/>
    <w:rsid w:val="00FD2741"/>
    <w:rsid w:val="00FD3C9F"/>
    <w:rsid w:val="00FD3E5D"/>
    <w:rsid w:val="00FD46C9"/>
    <w:rsid w:val="00FD5BF0"/>
    <w:rsid w:val="00FD6475"/>
    <w:rsid w:val="00FD73EC"/>
    <w:rsid w:val="00FE02EB"/>
    <w:rsid w:val="00FE06E7"/>
    <w:rsid w:val="00FE1206"/>
    <w:rsid w:val="00FE1732"/>
    <w:rsid w:val="00FE1787"/>
    <w:rsid w:val="00FE19B6"/>
    <w:rsid w:val="00FE1B20"/>
    <w:rsid w:val="00FE206D"/>
    <w:rsid w:val="00FE29D5"/>
    <w:rsid w:val="00FE2CDA"/>
    <w:rsid w:val="00FE2D3A"/>
    <w:rsid w:val="00FE3431"/>
    <w:rsid w:val="00FE40DD"/>
    <w:rsid w:val="00FE426E"/>
    <w:rsid w:val="00FE5940"/>
    <w:rsid w:val="00FE69F5"/>
    <w:rsid w:val="00FE7058"/>
    <w:rsid w:val="00FF08C0"/>
    <w:rsid w:val="00FF0E8C"/>
    <w:rsid w:val="00FF4703"/>
    <w:rsid w:val="00FF4ACA"/>
    <w:rsid w:val="00FF50DF"/>
    <w:rsid w:val="00FF51A5"/>
    <w:rsid w:val="00FF56EF"/>
    <w:rsid w:val="00FF7341"/>
    <w:rsid w:val="00FF7432"/>
    <w:rsid w:val="0118DFD9"/>
    <w:rsid w:val="011D53A5"/>
    <w:rsid w:val="013982A8"/>
    <w:rsid w:val="01A38993"/>
    <w:rsid w:val="01AE62F9"/>
    <w:rsid w:val="01C062E8"/>
    <w:rsid w:val="01FECA0E"/>
    <w:rsid w:val="0278456B"/>
    <w:rsid w:val="02A2BA7D"/>
    <w:rsid w:val="02D96052"/>
    <w:rsid w:val="02EA05BC"/>
    <w:rsid w:val="032EFEF2"/>
    <w:rsid w:val="0359DEFA"/>
    <w:rsid w:val="03756ED4"/>
    <w:rsid w:val="03781E2D"/>
    <w:rsid w:val="037EEFF1"/>
    <w:rsid w:val="03E9ECE5"/>
    <w:rsid w:val="042A3424"/>
    <w:rsid w:val="0466CDC8"/>
    <w:rsid w:val="04E0C5A7"/>
    <w:rsid w:val="054196B6"/>
    <w:rsid w:val="05D87E2C"/>
    <w:rsid w:val="05FCA563"/>
    <w:rsid w:val="063F1B51"/>
    <w:rsid w:val="066F7E33"/>
    <w:rsid w:val="067DC93F"/>
    <w:rsid w:val="06861A71"/>
    <w:rsid w:val="069A6866"/>
    <w:rsid w:val="082230D1"/>
    <w:rsid w:val="08443942"/>
    <w:rsid w:val="0866686B"/>
    <w:rsid w:val="08C75C27"/>
    <w:rsid w:val="08D627D4"/>
    <w:rsid w:val="08DA888A"/>
    <w:rsid w:val="091C7F89"/>
    <w:rsid w:val="09B84E5F"/>
    <w:rsid w:val="09D94BC5"/>
    <w:rsid w:val="09F1DF7C"/>
    <w:rsid w:val="0A5917EE"/>
    <w:rsid w:val="0AA447F4"/>
    <w:rsid w:val="0AB6AEBE"/>
    <w:rsid w:val="0B120214"/>
    <w:rsid w:val="0B62009F"/>
    <w:rsid w:val="0B6FDD5A"/>
    <w:rsid w:val="0BBA18F1"/>
    <w:rsid w:val="0BBA353B"/>
    <w:rsid w:val="0C35F7DE"/>
    <w:rsid w:val="0CF08288"/>
    <w:rsid w:val="0D48EE12"/>
    <w:rsid w:val="0D7586ED"/>
    <w:rsid w:val="0DA5A7F1"/>
    <w:rsid w:val="0DF20792"/>
    <w:rsid w:val="0E0DB00E"/>
    <w:rsid w:val="0E3A1BCA"/>
    <w:rsid w:val="0E4D0846"/>
    <w:rsid w:val="0EA8C2BC"/>
    <w:rsid w:val="0F1DB76B"/>
    <w:rsid w:val="0F514D92"/>
    <w:rsid w:val="0F7B1019"/>
    <w:rsid w:val="0F9B357C"/>
    <w:rsid w:val="10387301"/>
    <w:rsid w:val="10731233"/>
    <w:rsid w:val="1083FB77"/>
    <w:rsid w:val="11A9BBF0"/>
    <w:rsid w:val="11B904B9"/>
    <w:rsid w:val="11CF9EDC"/>
    <w:rsid w:val="120E103E"/>
    <w:rsid w:val="123973F0"/>
    <w:rsid w:val="127692F7"/>
    <w:rsid w:val="129F7FC8"/>
    <w:rsid w:val="13E08ADC"/>
    <w:rsid w:val="13EE8691"/>
    <w:rsid w:val="140F7C3C"/>
    <w:rsid w:val="1447AD1A"/>
    <w:rsid w:val="148180A0"/>
    <w:rsid w:val="149C4783"/>
    <w:rsid w:val="14B24C5F"/>
    <w:rsid w:val="157EE8F1"/>
    <w:rsid w:val="15828D4F"/>
    <w:rsid w:val="15D1557D"/>
    <w:rsid w:val="16246FDE"/>
    <w:rsid w:val="16350A08"/>
    <w:rsid w:val="167520F6"/>
    <w:rsid w:val="16AEBC06"/>
    <w:rsid w:val="1755D184"/>
    <w:rsid w:val="175C3106"/>
    <w:rsid w:val="17832FA3"/>
    <w:rsid w:val="1793CDC1"/>
    <w:rsid w:val="17E672F5"/>
    <w:rsid w:val="18074EF8"/>
    <w:rsid w:val="186C78AF"/>
    <w:rsid w:val="18928D08"/>
    <w:rsid w:val="18E9EDBE"/>
    <w:rsid w:val="1925C4D2"/>
    <w:rsid w:val="195E71E5"/>
    <w:rsid w:val="199758FC"/>
    <w:rsid w:val="199B4978"/>
    <w:rsid w:val="19A56112"/>
    <w:rsid w:val="1A52507F"/>
    <w:rsid w:val="1A6622CF"/>
    <w:rsid w:val="1A8451D3"/>
    <w:rsid w:val="1AB3C099"/>
    <w:rsid w:val="1AB7F353"/>
    <w:rsid w:val="1B9B3347"/>
    <w:rsid w:val="1B9DF11F"/>
    <w:rsid w:val="1BC6CDAC"/>
    <w:rsid w:val="1C1F1F4A"/>
    <w:rsid w:val="1C535D72"/>
    <w:rsid w:val="1C6FFA2D"/>
    <w:rsid w:val="1C7E64A4"/>
    <w:rsid w:val="1CEA195E"/>
    <w:rsid w:val="1D1642FA"/>
    <w:rsid w:val="1D386B7A"/>
    <w:rsid w:val="1D3C6358"/>
    <w:rsid w:val="1E6696BF"/>
    <w:rsid w:val="1E955F29"/>
    <w:rsid w:val="1EAEB29E"/>
    <w:rsid w:val="1ECBA880"/>
    <w:rsid w:val="1F5D6E44"/>
    <w:rsid w:val="1F779BDB"/>
    <w:rsid w:val="1FF11608"/>
    <w:rsid w:val="202E3F31"/>
    <w:rsid w:val="203AAE30"/>
    <w:rsid w:val="207A872F"/>
    <w:rsid w:val="20C4F080"/>
    <w:rsid w:val="20D44512"/>
    <w:rsid w:val="21541B0E"/>
    <w:rsid w:val="21F6E6BA"/>
    <w:rsid w:val="22987D24"/>
    <w:rsid w:val="22E0E46D"/>
    <w:rsid w:val="2357C74B"/>
    <w:rsid w:val="23EC643B"/>
    <w:rsid w:val="24345B1A"/>
    <w:rsid w:val="243AFD84"/>
    <w:rsid w:val="2472CB43"/>
    <w:rsid w:val="24820047"/>
    <w:rsid w:val="24CC1BE0"/>
    <w:rsid w:val="2504E9D3"/>
    <w:rsid w:val="2508C5FC"/>
    <w:rsid w:val="251DF422"/>
    <w:rsid w:val="25E330A2"/>
    <w:rsid w:val="260852B4"/>
    <w:rsid w:val="260E9BA4"/>
    <w:rsid w:val="266A7EDE"/>
    <w:rsid w:val="26B6A046"/>
    <w:rsid w:val="26D25C26"/>
    <w:rsid w:val="271E198F"/>
    <w:rsid w:val="27747E07"/>
    <w:rsid w:val="2792AF1F"/>
    <w:rsid w:val="27D7B741"/>
    <w:rsid w:val="27E5AB02"/>
    <w:rsid w:val="2832F822"/>
    <w:rsid w:val="283C6C87"/>
    <w:rsid w:val="2853EFE9"/>
    <w:rsid w:val="2923F38F"/>
    <w:rsid w:val="2A76C458"/>
    <w:rsid w:val="2AF669CD"/>
    <w:rsid w:val="2B2283E0"/>
    <w:rsid w:val="2B3DD7E9"/>
    <w:rsid w:val="2B7E055E"/>
    <w:rsid w:val="2B7EE48F"/>
    <w:rsid w:val="2BA8A500"/>
    <w:rsid w:val="2BD755BC"/>
    <w:rsid w:val="2C3415CF"/>
    <w:rsid w:val="2C9FB65F"/>
    <w:rsid w:val="2CC7D062"/>
    <w:rsid w:val="2D4014AB"/>
    <w:rsid w:val="2D6C895C"/>
    <w:rsid w:val="2D7E214E"/>
    <w:rsid w:val="2DA6C6AF"/>
    <w:rsid w:val="2DEAB1CF"/>
    <w:rsid w:val="2DEE27DA"/>
    <w:rsid w:val="2F85AE4A"/>
    <w:rsid w:val="2F8FF868"/>
    <w:rsid w:val="2F9BA31C"/>
    <w:rsid w:val="2FCF6A96"/>
    <w:rsid w:val="2FF69886"/>
    <w:rsid w:val="30F7260F"/>
    <w:rsid w:val="30FC784C"/>
    <w:rsid w:val="3163268F"/>
    <w:rsid w:val="31EA1421"/>
    <w:rsid w:val="322D8729"/>
    <w:rsid w:val="326A36A9"/>
    <w:rsid w:val="3283D03A"/>
    <w:rsid w:val="32F65F63"/>
    <w:rsid w:val="33275580"/>
    <w:rsid w:val="3343BFCA"/>
    <w:rsid w:val="335CBA97"/>
    <w:rsid w:val="339537C0"/>
    <w:rsid w:val="33C3DFD3"/>
    <w:rsid w:val="33ECF128"/>
    <w:rsid w:val="33F21777"/>
    <w:rsid w:val="343A6FE0"/>
    <w:rsid w:val="345D8023"/>
    <w:rsid w:val="347D0C0C"/>
    <w:rsid w:val="34DC035B"/>
    <w:rsid w:val="34F5C330"/>
    <w:rsid w:val="358BC142"/>
    <w:rsid w:val="35A7976F"/>
    <w:rsid w:val="3644B017"/>
    <w:rsid w:val="3661F6A9"/>
    <w:rsid w:val="36A2664F"/>
    <w:rsid w:val="370D5B19"/>
    <w:rsid w:val="372791A3"/>
    <w:rsid w:val="37D3A7F9"/>
    <w:rsid w:val="37F24317"/>
    <w:rsid w:val="389E60B8"/>
    <w:rsid w:val="38A1D6C1"/>
    <w:rsid w:val="38BD80A1"/>
    <w:rsid w:val="38D757EC"/>
    <w:rsid w:val="392CC064"/>
    <w:rsid w:val="39E7220D"/>
    <w:rsid w:val="39FD533A"/>
    <w:rsid w:val="3A154272"/>
    <w:rsid w:val="3A5995B0"/>
    <w:rsid w:val="3A85E12F"/>
    <w:rsid w:val="3B039B5C"/>
    <w:rsid w:val="3B3BAC3D"/>
    <w:rsid w:val="3B3D8D60"/>
    <w:rsid w:val="3BBF8780"/>
    <w:rsid w:val="3C0AC64A"/>
    <w:rsid w:val="3C84A744"/>
    <w:rsid w:val="3D5466E0"/>
    <w:rsid w:val="3D9B656F"/>
    <w:rsid w:val="3DF04974"/>
    <w:rsid w:val="3E2E73FB"/>
    <w:rsid w:val="3E320257"/>
    <w:rsid w:val="3E4867D1"/>
    <w:rsid w:val="3E55724C"/>
    <w:rsid w:val="3E5B1305"/>
    <w:rsid w:val="3E833585"/>
    <w:rsid w:val="3E9B3289"/>
    <w:rsid w:val="3EA59B02"/>
    <w:rsid w:val="3EB80361"/>
    <w:rsid w:val="3EE8E8E2"/>
    <w:rsid w:val="3F0048FC"/>
    <w:rsid w:val="3FBF45E3"/>
    <w:rsid w:val="40103DB2"/>
    <w:rsid w:val="401B81A7"/>
    <w:rsid w:val="40822D67"/>
    <w:rsid w:val="40D44162"/>
    <w:rsid w:val="41539A9B"/>
    <w:rsid w:val="4199275F"/>
    <w:rsid w:val="419A98BC"/>
    <w:rsid w:val="419F1E7F"/>
    <w:rsid w:val="42249EEA"/>
    <w:rsid w:val="42420CAB"/>
    <w:rsid w:val="4299A397"/>
    <w:rsid w:val="42AF0E87"/>
    <w:rsid w:val="42CF57ED"/>
    <w:rsid w:val="4327C3A9"/>
    <w:rsid w:val="434346D0"/>
    <w:rsid w:val="435C3C2B"/>
    <w:rsid w:val="43FFF3AC"/>
    <w:rsid w:val="443F8031"/>
    <w:rsid w:val="446D22C0"/>
    <w:rsid w:val="448905EB"/>
    <w:rsid w:val="449056E1"/>
    <w:rsid w:val="44DCEC8E"/>
    <w:rsid w:val="44E41CEC"/>
    <w:rsid w:val="45473617"/>
    <w:rsid w:val="45875770"/>
    <w:rsid w:val="458D72FB"/>
    <w:rsid w:val="45DBA663"/>
    <w:rsid w:val="45EEF19A"/>
    <w:rsid w:val="4607EC6A"/>
    <w:rsid w:val="460A30C6"/>
    <w:rsid w:val="46451CCE"/>
    <w:rsid w:val="465795AE"/>
    <w:rsid w:val="4779783F"/>
    <w:rsid w:val="47884111"/>
    <w:rsid w:val="47AB1C76"/>
    <w:rsid w:val="47FF55FE"/>
    <w:rsid w:val="4847741B"/>
    <w:rsid w:val="487BADEB"/>
    <w:rsid w:val="48A20697"/>
    <w:rsid w:val="48B48EBF"/>
    <w:rsid w:val="494BAB5E"/>
    <w:rsid w:val="4961BDF9"/>
    <w:rsid w:val="49698D5F"/>
    <w:rsid w:val="49971DB6"/>
    <w:rsid w:val="49CB147E"/>
    <w:rsid w:val="4A0C8870"/>
    <w:rsid w:val="4A2555C3"/>
    <w:rsid w:val="4A790772"/>
    <w:rsid w:val="4A7B4603"/>
    <w:rsid w:val="4A8D8FF2"/>
    <w:rsid w:val="4AD36B19"/>
    <w:rsid w:val="4B3F02AB"/>
    <w:rsid w:val="4BC158DC"/>
    <w:rsid w:val="4BD36D0D"/>
    <w:rsid w:val="4BF2617E"/>
    <w:rsid w:val="4C1DBC15"/>
    <w:rsid w:val="4C34BF97"/>
    <w:rsid w:val="4C4113F6"/>
    <w:rsid w:val="4C50E32C"/>
    <w:rsid w:val="4C838ADF"/>
    <w:rsid w:val="4CDAD30C"/>
    <w:rsid w:val="4CEA6B62"/>
    <w:rsid w:val="4D1233EE"/>
    <w:rsid w:val="4D15F7A8"/>
    <w:rsid w:val="4DBDA587"/>
    <w:rsid w:val="4DD9BD29"/>
    <w:rsid w:val="4E1A90CB"/>
    <w:rsid w:val="4E25A484"/>
    <w:rsid w:val="4E3F7DDF"/>
    <w:rsid w:val="4E4621F4"/>
    <w:rsid w:val="4E666D8E"/>
    <w:rsid w:val="4E679981"/>
    <w:rsid w:val="4E68C871"/>
    <w:rsid w:val="4EA5BE49"/>
    <w:rsid w:val="4F3B13D7"/>
    <w:rsid w:val="4F670D32"/>
    <w:rsid w:val="4F9EF49F"/>
    <w:rsid w:val="4FB56618"/>
    <w:rsid w:val="4FC3D149"/>
    <w:rsid w:val="4FE7C3F0"/>
    <w:rsid w:val="4FEA4482"/>
    <w:rsid w:val="507D3F7A"/>
    <w:rsid w:val="50886D27"/>
    <w:rsid w:val="50B2437B"/>
    <w:rsid w:val="50B89C0B"/>
    <w:rsid w:val="512C1149"/>
    <w:rsid w:val="516A16D1"/>
    <w:rsid w:val="51AC2C91"/>
    <w:rsid w:val="51F77589"/>
    <w:rsid w:val="52029089"/>
    <w:rsid w:val="52B0066D"/>
    <w:rsid w:val="533ADCD2"/>
    <w:rsid w:val="535A5FA0"/>
    <w:rsid w:val="535B02AA"/>
    <w:rsid w:val="53B2CCED"/>
    <w:rsid w:val="53FE1F04"/>
    <w:rsid w:val="54230147"/>
    <w:rsid w:val="54489A06"/>
    <w:rsid w:val="550C3A02"/>
    <w:rsid w:val="5546E876"/>
    <w:rsid w:val="55716A66"/>
    <w:rsid w:val="55A98B12"/>
    <w:rsid w:val="55B3BDD6"/>
    <w:rsid w:val="55C124AD"/>
    <w:rsid w:val="55DDECCF"/>
    <w:rsid w:val="564ACDD6"/>
    <w:rsid w:val="5686C14D"/>
    <w:rsid w:val="56939226"/>
    <w:rsid w:val="57F14655"/>
    <w:rsid w:val="580B3AF7"/>
    <w:rsid w:val="582A2160"/>
    <w:rsid w:val="582B1555"/>
    <w:rsid w:val="584684B7"/>
    <w:rsid w:val="58621DD7"/>
    <w:rsid w:val="5887F6EE"/>
    <w:rsid w:val="588959DD"/>
    <w:rsid w:val="58988C7A"/>
    <w:rsid w:val="58C2E992"/>
    <w:rsid w:val="59290F85"/>
    <w:rsid w:val="5956FB5C"/>
    <w:rsid w:val="5961766F"/>
    <w:rsid w:val="59694E37"/>
    <w:rsid w:val="597776A3"/>
    <w:rsid w:val="59E9F3D7"/>
    <w:rsid w:val="5A00F15D"/>
    <w:rsid w:val="5A4D1A06"/>
    <w:rsid w:val="5A6631B8"/>
    <w:rsid w:val="5ABE0721"/>
    <w:rsid w:val="5AFD3062"/>
    <w:rsid w:val="5B536F71"/>
    <w:rsid w:val="5B58674C"/>
    <w:rsid w:val="5B7E3B59"/>
    <w:rsid w:val="5BB046C4"/>
    <w:rsid w:val="5C0705DA"/>
    <w:rsid w:val="5C4B64B2"/>
    <w:rsid w:val="5C6BDE61"/>
    <w:rsid w:val="5C9900C3"/>
    <w:rsid w:val="5CDC47B8"/>
    <w:rsid w:val="5D1D69B4"/>
    <w:rsid w:val="5D516DDF"/>
    <w:rsid w:val="5D5DB5B0"/>
    <w:rsid w:val="5DE46893"/>
    <w:rsid w:val="5E1E793F"/>
    <w:rsid w:val="5E45169A"/>
    <w:rsid w:val="5F0D734D"/>
    <w:rsid w:val="5F27DB80"/>
    <w:rsid w:val="5F3F984A"/>
    <w:rsid w:val="5F830B12"/>
    <w:rsid w:val="6004A125"/>
    <w:rsid w:val="601254E3"/>
    <w:rsid w:val="601FF8AE"/>
    <w:rsid w:val="6062FC02"/>
    <w:rsid w:val="607897B0"/>
    <w:rsid w:val="60C14907"/>
    <w:rsid w:val="60CB3881"/>
    <w:rsid w:val="610F21E2"/>
    <w:rsid w:val="627D4BDA"/>
    <w:rsid w:val="62C2A4EE"/>
    <w:rsid w:val="630F7736"/>
    <w:rsid w:val="639DB5CF"/>
    <w:rsid w:val="63C3CD58"/>
    <w:rsid w:val="643EAB3F"/>
    <w:rsid w:val="644940EB"/>
    <w:rsid w:val="648E5F05"/>
    <w:rsid w:val="64A5B23C"/>
    <w:rsid w:val="65440222"/>
    <w:rsid w:val="656C7D06"/>
    <w:rsid w:val="658F8A2C"/>
    <w:rsid w:val="65A2CAB5"/>
    <w:rsid w:val="65C2BD2C"/>
    <w:rsid w:val="65EA1B2C"/>
    <w:rsid w:val="663949BD"/>
    <w:rsid w:val="6691D0A2"/>
    <w:rsid w:val="66F23F9E"/>
    <w:rsid w:val="6707AB57"/>
    <w:rsid w:val="6754C6E1"/>
    <w:rsid w:val="67FD323B"/>
    <w:rsid w:val="6804F904"/>
    <w:rsid w:val="68744A91"/>
    <w:rsid w:val="689D7EFF"/>
    <w:rsid w:val="68BB3DC6"/>
    <w:rsid w:val="6973114A"/>
    <w:rsid w:val="69DB9E22"/>
    <w:rsid w:val="6A0E39FF"/>
    <w:rsid w:val="6A1CEDB6"/>
    <w:rsid w:val="6A38B2DA"/>
    <w:rsid w:val="6A8388BA"/>
    <w:rsid w:val="6A8870ED"/>
    <w:rsid w:val="6ABA34C7"/>
    <w:rsid w:val="6ABB028E"/>
    <w:rsid w:val="6B0460CE"/>
    <w:rsid w:val="6B1C6C5F"/>
    <w:rsid w:val="6B3C76A5"/>
    <w:rsid w:val="6B8712C6"/>
    <w:rsid w:val="6BDBEC11"/>
    <w:rsid w:val="6BED1018"/>
    <w:rsid w:val="6C53A748"/>
    <w:rsid w:val="6CE3EEB4"/>
    <w:rsid w:val="6D43C76F"/>
    <w:rsid w:val="6E25860E"/>
    <w:rsid w:val="6E367686"/>
    <w:rsid w:val="6E4FCBFD"/>
    <w:rsid w:val="6E5DC184"/>
    <w:rsid w:val="6F3DE394"/>
    <w:rsid w:val="6F3EB7E1"/>
    <w:rsid w:val="6F768D49"/>
    <w:rsid w:val="6F7DFEAA"/>
    <w:rsid w:val="6F949508"/>
    <w:rsid w:val="6F9FAF30"/>
    <w:rsid w:val="6FA059CD"/>
    <w:rsid w:val="6FA89EA8"/>
    <w:rsid w:val="6FD89FDB"/>
    <w:rsid w:val="7038A7B5"/>
    <w:rsid w:val="7087B739"/>
    <w:rsid w:val="70A8BA30"/>
    <w:rsid w:val="70D3071C"/>
    <w:rsid w:val="70D90F9A"/>
    <w:rsid w:val="71043283"/>
    <w:rsid w:val="7173FE0B"/>
    <w:rsid w:val="71B45914"/>
    <w:rsid w:val="71E7A929"/>
    <w:rsid w:val="725D3046"/>
    <w:rsid w:val="72B26CAB"/>
    <w:rsid w:val="72B43292"/>
    <w:rsid w:val="731D8EF0"/>
    <w:rsid w:val="7392492A"/>
    <w:rsid w:val="73AEB3A1"/>
    <w:rsid w:val="73B14155"/>
    <w:rsid w:val="73BA9A7C"/>
    <w:rsid w:val="752E3517"/>
    <w:rsid w:val="7550DF4B"/>
    <w:rsid w:val="75875194"/>
    <w:rsid w:val="75FED448"/>
    <w:rsid w:val="7616383B"/>
    <w:rsid w:val="763E300C"/>
    <w:rsid w:val="76C19C8B"/>
    <w:rsid w:val="7797FC61"/>
    <w:rsid w:val="77AA66FD"/>
    <w:rsid w:val="77B908A6"/>
    <w:rsid w:val="77D09734"/>
    <w:rsid w:val="77F3BE89"/>
    <w:rsid w:val="77F57D3C"/>
    <w:rsid w:val="7814ACC7"/>
    <w:rsid w:val="784A04E2"/>
    <w:rsid w:val="785339F8"/>
    <w:rsid w:val="785DF036"/>
    <w:rsid w:val="78CC71CA"/>
    <w:rsid w:val="78DDE4B4"/>
    <w:rsid w:val="792699C3"/>
    <w:rsid w:val="79394D8E"/>
    <w:rsid w:val="7A2239EB"/>
    <w:rsid w:val="7A4753A4"/>
    <w:rsid w:val="7A500562"/>
    <w:rsid w:val="7A619F6E"/>
    <w:rsid w:val="7A61FFA5"/>
    <w:rsid w:val="7A79A363"/>
    <w:rsid w:val="7ACB9239"/>
    <w:rsid w:val="7AE98B86"/>
    <w:rsid w:val="7B2A0C7B"/>
    <w:rsid w:val="7B5620EE"/>
    <w:rsid w:val="7B69B5D6"/>
    <w:rsid w:val="7C180E12"/>
    <w:rsid w:val="7CFBDD50"/>
    <w:rsid w:val="7D1960C7"/>
    <w:rsid w:val="7E19A464"/>
    <w:rsid w:val="7EA32208"/>
    <w:rsid w:val="7ED9740E"/>
    <w:rsid w:val="7EDD34A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6C3992"/>
  <w15:docId w15:val="{5D1B22A3-1B1E-447B-A937-C6302F6E01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1" w:defUIPriority="0" w:defSemiHidden="0" w:defUnhideWhenUsed="0" w:defQFormat="0" w:count="371">
    <w:lsdException w:name="Normal" w:locked="0" w:qFormat="1"/>
    <w:lsdException w:name="heading 1" w:locked="0" w:qFormat="1"/>
    <w:lsdException w:name="heading 2" w:locked="0" w:qFormat="1"/>
    <w:lsdException w:name="heading 3" w:locked="0" w:qFormat="1"/>
    <w:lsdException w:name="heading 4" w:locked="0"/>
    <w:lsdException w:name="heading 5" w:locked="0"/>
    <w:lsdException w:name="heading 6" w:locked="0"/>
    <w:lsdException w:name="heading 7" w:locked="0"/>
    <w:lsdException w:name="heading 8" w:locked="0"/>
    <w:lsdException w:name="heading 9" w:locked="0"/>
    <w:lsdException w:name="toc 1" w:locked="0" w:uiPriority="39"/>
    <w:lsdException w:name="toc 2" w:locked="0" w:uiPriority="39"/>
    <w:lsdException w:name="toc 3" w:locked="0" w:uiPriority="39"/>
    <w:lsdException w:name="toc 4" w:locked="0" w:uiPriority="39"/>
    <w:lsdException w:name="toc 5" w:uiPriority="39"/>
    <w:lsdException w:name="annotation text" w:uiPriority="99"/>
    <w:lsdException w:name="header" w:locked="0" w:qFormat="1"/>
    <w:lsdException w:name="footer" w:locked="0" w:uiPriority="99"/>
    <w:lsdException w:name="caption" w:semiHidden="1" w:unhideWhenUsed="1" w:qFormat="1"/>
    <w:lsdException w:name="annotation reference" w:uiPriority="99"/>
    <w:lsdException w:name="endnote reference" w:locked="0" w:qFormat="1"/>
    <w:lsdException w:name="endnote text" w:locked="0" w:uiPriority="99" w:qFormat="1"/>
    <w:lsdException w:name="List Bullet" w:qFormat="1"/>
    <w:lsdException w:name="List Number" w:qFormat="1"/>
    <w:lsdException w:name="Title" w:uiPriority="1" w:qFormat="1"/>
    <w:lsdException w:name="Default Paragraph Font" w:locked="0"/>
    <w:lsdException w:name="Body Text" w:uiPriority="99" w:qFormat="1"/>
    <w:lsdException w:name="List Continue 4" w:locked="0"/>
    <w:lsdException w:name="Hyperlink" w:locked="0" w:uiPriority="99"/>
    <w:lsdException w:name="Strong" w:locked="0" w:uiPriority="99" w:qFormat="1"/>
    <w:lsdException w:name="Emphasis" w:uiPriority="20" w:qFormat="1"/>
    <w:lsdException w:name="HTML Top of Form" w:locked="0"/>
    <w:lsdException w:name="HTML Bottom of Form" w:locked="0"/>
    <w:lsdException w:name="Normal (Web)" w:uiPriority="99"/>
    <w:lsdException w:name="HTML Keyboard"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locked="0" w:semiHidden="1" w:uiPriority="99"/>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locked="0" w:uiPriority="34" w:qFormat="1"/>
    <w:lsdException w:name="Quote" w:locked="0" w:uiPriority="29"/>
    <w:lsdException w:name="Intense Quote" w:locked="0"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lsdException w:name="Intense Emphasis" w:locked="0" w:uiPriority="21"/>
    <w:lsdException w:name="Subtle Reference" w:locked="0" w:uiPriority="31"/>
    <w:lsdException w:name="Intense Reference" w:locked="0" w:uiPriority="32"/>
    <w:lsdException w:name="Book Title" w:locked="0" w:uiPriority="33"/>
    <w:lsdException w:name="Bibliography" w:locked="0" w:semiHidden="1" w:uiPriority="37" w:unhideWhenUsed="1"/>
    <w:lsdException w:name="TOC Heading" w:locked="0" w:semiHidden="1" w:uiPriority="39" w:unhideWhenUsed="1"/>
    <w:lsdException w:name="Plain Table 1" w:locked="0"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AHRC plain text"/>
    <w:qFormat/>
    <w:rsid w:val="002320D7"/>
    <w:pPr>
      <w:spacing w:before="170" w:after="170" w:line="288" w:lineRule="auto"/>
    </w:pPr>
    <w:rPr>
      <w:rFonts w:ascii="Open Sans" w:hAnsi="Open Sans"/>
      <w:sz w:val="24"/>
      <w:szCs w:val="24"/>
    </w:rPr>
  </w:style>
  <w:style w:type="paragraph" w:styleId="Heading1">
    <w:name w:val="heading 1"/>
    <w:basedOn w:val="Normal"/>
    <w:next w:val="Normal"/>
    <w:link w:val="Heading1Char"/>
    <w:qFormat/>
    <w:rsid w:val="004C75E3"/>
    <w:pPr>
      <w:keepNext/>
      <w:keepLines/>
      <w:numPr>
        <w:numId w:val="1"/>
      </w:numPr>
      <w:spacing w:before="480" w:after="360" w:line="240" w:lineRule="auto"/>
      <w:outlineLvl w:val="0"/>
    </w:pPr>
    <w:rPr>
      <w:rFonts w:ascii="Open Sans Semibold" w:eastAsia="MS Mincho" w:hAnsi="Open Sans Semibold"/>
      <w:b/>
      <w:bCs/>
      <w:color w:val="4472C4" w:themeColor="accent5"/>
      <w:sz w:val="48"/>
      <w:szCs w:val="28"/>
    </w:rPr>
  </w:style>
  <w:style w:type="paragraph" w:styleId="Heading2">
    <w:name w:val="heading 2"/>
    <w:basedOn w:val="Heading1"/>
    <w:next w:val="Normal"/>
    <w:link w:val="Heading2Char"/>
    <w:qFormat/>
    <w:rsid w:val="00330FDA"/>
    <w:pPr>
      <w:numPr>
        <w:ilvl w:val="1"/>
      </w:numPr>
      <w:outlineLvl w:val="1"/>
    </w:pPr>
    <w:rPr>
      <w:bCs w:val="0"/>
      <w:sz w:val="36"/>
      <w:szCs w:val="26"/>
    </w:rPr>
  </w:style>
  <w:style w:type="paragraph" w:styleId="Heading3">
    <w:name w:val="heading 3"/>
    <w:basedOn w:val="Heading2"/>
    <w:next w:val="Normal"/>
    <w:link w:val="Heading3Char"/>
    <w:qFormat/>
    <w:rsid w:val="001710EC"/>
    <w:pPr>
      <w:numPr>
        <w:ilvl w:val="2"/>
      </w:numPr>
      <w:spacing w:before="360" w:after="240"/>
      <w:outlineLvl w:val="2"/>
    </w:pPr>
    <w:rPr>
      <w:rFonts w:ascii="Open Sans" w:hAnsi="Open Sans"/>
      <w:bCs/>
      <w:color w:val="auto"/>
      <w:sz w:val="24"/>
    </w:rPr>
  </w:style>
  <w:style w:type="paragraph" w:styleId="Heading4">
    <w:name w:val="heading 4"/>
    <w:basedOn w:val="Heading3"/>
    <w:next w:val="Normal"/>
    <w:link w:val="Heading4Char"/>
    <w:locked/>
    <w:rsid w:val="001710EC"/>
    <w:pPr>
      <w:numPr>
        <w:ilvl w:val="0"/>
        <w:numId w:val="0"/>
      </w:numPr>
      <w:outlineLvl w:val="3"/>
    </w:pPr>
    <w:rPr>
      <w:bCs w:val="0"/>
      <w:iCs/>
    </w:rPr>
  </w:style>
  <w:style w:type="paragraph" w:styleId="Heading5">
    <w:name w:val="heading 5"/>
    <w:basedOn w:val="Heading4"/>
    <w:next w:val="Normal"/>
    <w:link w:val="Heading5Char"/>
    <w:locked/>
    <w:rsid w:val="004C5528"/>
    <w:pPr>
      <w:outlineLvl w:val="4"/>
    </w:pPr>
    <w:rPr>
      <w:color w:val="4472C4" w:themeColor="accent5"/>
    </w:rPr>
  </w:style>
  <w:style w:type="paragraph" w:styleId="Heading6">
    <w:name w:val="heading 6"/>
    <w:basedOn w:val="Normal"/>
    <w:next w:val="Normal"/>
    <w:link w:val="Heading6Char"/>
    <w:locked/>
    <w:rsid w:val="008C0BF9"/>
    <w:pPr>
      <w:spacing w:before="360" w:after="360" w:line="240" w:lineRule="auto"/>
      <w:outlineLvl w:val="5"/>
    </w:pPr>
    <w:rPr>
      <w:rFonts w:cs="Open Sans Semibold"/>
      <w:bCs/>
      <w:color w:val="4472C4" w:themeColor="accent5"/>
      <w:sz w:val="36"/>
      <w:szCs w:val="36"/>
    </w:rPr>
  </w:style>
  <w:style w:type="paragraph" w:styleId="Heading7">
    <w:name w:val="heading 7"/>
    <w:basedOn w:val="Normal"/>
    <w:next w:val="Normal"/>
    <w:link w:val="Heading7Char"/>
    <w:locked/>
    <w:rsid w:val="002320D7"/>
    <w:pPr>
      <w:autoSpaceDE w:val="0"/>
      <w:autoSpaceDN w:val="0"/>
      <w:adjustRightInd w:val="0"/>
      <w:spacing w:before="160" w:after="120" w:line="240" w:lineRule="auto"/>
      <w:outlineLvl w:val="6"/>
    </w:pPr>
    <w:rPr>
      <w:rFonts w:ascii="Open Sans Semibold" w:hAnsi="Open Sans Semibold"/>
      <w:b/>
      <w:color w:val="1CBDC9"/>
      <w:sz w:val="32"/>
    </w:rPr>
  </w:style>
  <w:style w:type="paragraph" w:styleId="Heading8">
    <w:name w:val="heading 8"/>
    <w:basedOn w:val="Normal"/>
    <w:next w:val="Normal"/>
    <w:link w:val="Heading8Char"/>
    <w:locked/>
    <w:rsid w:val="00532FF0"/>
    <w:pPr>
      <w:keepNext/>
      <w:keepLines/>
      <w:numPr>
        <w:ilvl w:val="7"/>
        <w:numId w:val="1"/>
      </w:numPr>
      <w:spacing w:before="200" w:after="240"/>
      <w:outlineLvl w:val="7"/>
    </w:pPr>
    <w:rPr>
      <w:rFonts w:eastAsia="MS Mincho"/>
      <w:sz w:val="20"/>
      <w:szCs w:val="20"/>
    </w:rPr>
  </w:style>
  <w:style w:type="paragraph" w:styleId="Heading9">
    <w:name w:val="heading 9"/>
    <w:basedOn w:val="Normal"/>
    <w:next w:val="Normal"/>
    <w:link w:val="Heading9Char"/>
    <w:locked/>
    <w:rsid w:val="00532FF0"/>
    <w:pPr>
      <w:keepNext/>
      <w:keepLines/>
      <w:numPr>
        <w:ilvl w:val="8"/>
        <w:numId w:val="1"/>
      </w:numPr>
      <w:spacing w:before="200" w:after="240"/>
      <w:outlineLvl w:val="8"/>
    </w:pPr>
    <w:rPr>
      <w:rFonts w:eastAsia="MS Mincho"/>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4C75E3"/>
    <w:rPr>
      <w:rFonts w:ascii="Open Sans Semibold" w:eastAsia="MS Mincho" w:hAnsi="Open Sans Semibold"/>
      <w:b/>
      <w:bCs/>
      <w:color w:val="4472C4" w:themeColor="accent5"/>
      <w:sz w:val="48"/>
      <w:szCs w:val="28"/>
    </w:rPr>
  </w:style>
  <w:style w:type="character" w:customStyle="1" w:styleId="Heading2Char">
    <w:name w:val="Heading 2 Char"/>
    <w:link w:val="Heading2"/>
    <w:rsid w:val="00330FDA"/>
    <w:rPr>
      <w:rFonts w:ascii="Open Sans Semibold" w:eastAsia="MS Mincho" w:hAnsi="Open Sans Semibold"/>
      <w:b/>
      <w:color w:val="4472C4" w:themeColor="accent5"/>
      <w:sz w:val="36"/>
      <w:szCs w:val="26"/>
    </w:rPr>
  </w:style>
  <w:style w:type="character" w:customStyle="1" w:styleId="Heading3Char">
    <w:name w:val="Heading 3 Char"/>
    <w:link w:val="Heading3"/>
    <w:rsid w:val="001710EC"/>
    <w:rPr>
      <w:rFonts w:ascii="Open Sans" w:eastAsia="MS Mincho" w:hAnsi="Open Sans"/>
      <w:b/>
      <w:bCs/>
      <w:sz w:val="24"/>
      <w:szCs w:val="26"/>
    </w:rPr>
  </w:style>
  <w:style w:type="character" w:customStyle="1" w:styleId="Heading4Char">
    <w:name w:val="Heading 4 Char"/>
    <w:link w:val="Heading4"/>
    <w:rsid w:val="001710EC"/>
    <w:rPr>
      <w:rFonts w:ascii="Open Sans" w:eastAsia="MS Mincho" w:hAnsi="Open Sans"/>
      <w:b/>
      <w:iCs/>
      <w:sz w:val="24"/>
      <w:szCs w:val="26"/>
    </w:rPr>
  </w:style>
  <w:style w:type="character" w:styleId="Strong">
    <w:name w:val="Strong"/>
    <w:uiPriority w:val="99"/>
    <w:qFormat/>
    <w:locked/>
    <w:rsid w:val="00471BB7"/>
    <w:rPr>
      <w:rFonts w:ascii="Open Sans" w:hAnsi="Open Sans"/>
      <w:b/>
      <w:bCs/>
    </w:rPr>
  </w:style>
  <w:style w:type="character" w:customStyle="1" w:styleId="Heading5Char">
    <w:name w:val="Heading 5 Char"/>
    <w:link w:val="Heading5"/>
    <w:rsid w:val="004C5528"/>
    <w:rPr>
      <w:rFonts w:ascii="Open Sans" w:eastAsia="MS Mincho" w:hAnsi="Open Sans"/>
      <w:b/>
      <w:iCs/>
      <w:color w:val="4472C4" w:themeColor="accent5"/>
      <w:sz w:val="24"/>
      <w:szCs w:val="26"/>
    </w:rPr>
  </w:style>
  <w:style w:type="character" w:customStyle="1" w:styleId="Heading6Char">
    <w:name w:val="Heading 6 Char"/>
    <w:link w:val="Heading6"/>
    <w:rsid w:val="008C0BF9"/>
    <w:rPr>
      <w:rFonts w:ascii="Open Sans" w:hAnsi="Open Sans" w:cs="Open Sans Semibold"/>
      <w:bCs/>
      <w:color w:val="4472C4" w:themeColor="accent5"/>
      <w:sz w:val="36"/>
      <w:szCs w:val="36"/>
    </w:rPr>
  </w:style>
  <w:style w:type="character" w:customStyle="1" w:styleId="Heading7Char">
    <w:name w:val="Heading 7 Char"/>
    <w:link w:val="Heading7"/>
    <w:rsid w:val="002320D7"/>
    <w:rPr>
      <w:rFonts w:ascii="Open Sans Semibold" w:hAnsi="Open Sans Semibold"/>
      <w:b/>
      <w:color w:val="1CBDC9"/>
      <w:sz w:val="32"/>
      <w:szCs w:val="24"/>
    </w:rPr>
  </w:style>
  <w:style w:type="character" w:customStyle="1" w:styleId="Heading8Char">
    <w:name w:val="Heading 8 Char"/>
    <w:link w:val="Heading8"/>
    <w:rsid w:val="005C2ECF"/>
    <w:rPr>
      <w:rFonts w:ascii="Open Sans" w:eastAsia="MS Mincho" w:hAnsi="Open Sans"/>
    </w:rPr>
  </w:style>
  <w:style w:type="character" w:customStyle="1" w:styleId="Heading9Char">
    <w:name w:val="Heading 9 Char"/>
    <w:link w:val="Heading9"/>
    <w:rsid w:val="005C2ECF"/>
    <w:rPr>
      <w:rFonts w:ascii="Open Sans" w:eastAsia="MS Mincho" w:hAnsi="Open Sans"/>
      <w:i/>
      <w:iCs/>
    </w:rPr>
  </w:style>
  <w:style w:type="paragraph" w:styleId="Header">
    <w:name w:val="header"/>
    <w:basedOn w:val="Normal"/>
    <w:link w:val="HeaderChar"/>
    <w:qFormat/>
    <w:rsid w:val="00FA6EEB"/>
    <w:pPr>
      <w:tabs>
        <w:tab w:val="center" w:pos="4513"/>
        <w:tab w:val="right" w:pos="9026"/>
      </w:tabs>
      <w:spacing w:after="360" w:line="240" w:lineRule="auto"/>
      <w:jc w:val="right"/>
    </w:pPr>
    <w:rPr>
      <w:rFonts w:eastAsia="MS Mincho"/>
      <w:sz w:val="18"/>
    </w:rPr>
  </w:style>
  <w:style w:type="character" w:customStyle="1" w:styleId="HeaderChar">
    <w:name w:val="Header Char"/>
    <w:link w:val="Header"/>
    <w:rsid w:val="00FA6EEB"/>
    <w:rPr>
      <w:rFonts w:ascii="Open Sans" w:eastAsia="MS Mincho" w:hAnsi="Open Sans"/>
      <w:sz w:val="18"/>
      <w:szCs w:val="24"/>
    </w:rPr>
  </w:style>
  <w:style w:type="paragraph" w:styleId="Footer">
    <w:name w:val="footer"/>
    <w:basedOn w:val="Normal"/>
    <w:link w:val="FooterChar"/>
    <w:uiPriority w:val="99"/>
    <w:rsid w:val="0063009F"/>
    <w:pPr>
      <w:tabs>
        <w:tab w:val="right" w:pos="2835"/>
        <w:tab w:val="right" w:pos="5670"/>
      </w:tabs>
      <w:ind w:left="-868"/>
    </w:pPr>
    <w:rPr>
      <w:rFonts w:eastAsia="MS Mincho"/>
      <w:sz w:val="18"/>
    </w:rPr>
  </w:style>
  <w:style w:type="character" w:customStyle="1" w:styleId="FooterChar">
    <w:name w:val="Footer Char"/>
    <w:link w:val="Footer"/>
    <w:uiPriority w:val="99"/>
    <w:rsid w:val="0063009F"/>
    <w:rPr>
      <w:rFonts w:ascii="Open Sans" w:eastAsia="MS Mincho" w:hAnsi="Open Sans"/>
      <w:sz w:val="18"/>
      <w:szCs w:val="24"/>
    </w:rPr>
  </w:style>
  <w:style w:type="paragraph" w:styleId="TOC3">
    <w:name w:val="toc 3"/>
    <w:basedOn w:val="Normal"/>
    <w:next w:val="Normal"/>
    <w:uiPriority w:val="39"/>
    <w:locked/>
    <w:rsid w:val="002F16FD"/>
    <w:pPr>
      <w:tabs>
        <w:tab w:val="right" w:leader="dot" w:pos="9060"/>
      </w:tabs>
      <w:ind w:left="1531" w:hanging="397"/>
      <w:contextualSpacing/>
    </w:pPr>
    <w:rPr>
      <w:rFonts w:eastAsia="MS Mincho" w:cs="Arial"/>
      <w:noProof/>
      <w:sz w:val="20"/>
    </w:rPr>
  </w:style>
  <w:style w:type="character" w:styleId="PlaceholderText">
    <w:name w:val="Placeholder Text"/>
    <w:uiPriority w:val="99"/>
    <w:semiHidden/>
    <w:rsid w:val="00471BB7"/>
    <w:rPr>
      <w:rFonts w:ascii="Open Sans" w:hAnsi="Open Sans"/>
      <w:color w:val="auto"/>
      <w:sz w:val="24"/>
    </w:rPr>
  </w:style>
  <w:style w:type="paragraph" w:styleId="ListContinue4">
    <w:name w:val="List Continue 4"/>
    <w:basedOn w:val="Normal"/>
    <w:semiHidden/>
    <w:locked/>
    <w:rsid w:val="005C2ECF"/>
    <w:pPr>
      <w:spacing w:after="120"/>
      <w:ind w:left="1132"/>
    </w:pPr>
  </w:style>
  <w:style w:type="numbering" w:styleId="111111">
    <w:name w:val="Outline List 2"/>
    <w:basedOn w:val="NoList"/>
    <w:semiHidden/>
    <w:locked/>
    <w:rsid w:val="00E45954"/>
    <w:pPr>
      <w:numPr>
        <w:numId w:val="12"/>
      </w:numPr>
    </w:pPr>
  </w:style>
  <w:style w:type="paragraph" w:styleId="TOC1">
    <w:name w:val="toc 1"/>
    <w:basedOn w:val="Normal"/>
    <w:next w:val="Normal"/>
    <w:uiPriority w:val="39"/>
    <w:rsid w:val="002F16FD"/>
    <w:pPr>
      <w:tabs>
        <w:tab w:val="right" w:leader="dot" w:pos="9060"/>
      </w:tabs>
      <w:spacing w:before="0" w:after="0"/>
      <w:ind w:left="567" w:hanging="567"/>
    </w:pPr>
    <w:rPr>
      <w:rFonts w:eastAsia="MS Mincho"/>
      <w:b/>
      <w:noProof/>
      <w:sz w:val="20"/>
    </w:rPr>
  </w:style>
  <w:style w:type="paragraph" w:styleId="TOC2">
    <w:name w:val="toc 2"/>
    <w:basedOn w:val="Normal"/>
    <w:next w:val="Normal"/>
    <w:uiPriority w:val="39"/>
    <w:locked/>
    <w:rsid w:val="002F16FD"/>
    <w:pPr>
      <w:tabs>
        <w:tab w:val="right" w:leader="dot" w:pos="9060"/>
      </w:tabs>
      <w:ind w:left="1134" w:hanging="567"/>
      <w:contextualSpacing/>
    </w:pPr>
    <w:rPr>
      <w:rFonts w:eastAsia="MS Mincho"/>
      <w:noProof/>
      <w:sz w:val="20"/>
    </w:rPr>
  </w:style>
  <w:style w:type="paragraph" w:styleId="TOC4">
    <w:name w:val="toc 4"/>
    <w:basedOn w:val="Normal"/>
    <w:next w:val="Normal"/>
    <w:uiPriority w:val="39"/>
    <w:locked/>
    <w:rsid w:val="00814FC0"/>
    <w:pPr>
      <w:tabs>
        <w:tab w:val="left" w:pos="1440"/>
        <w:tab w:val="right" w:leader="dot" w:pos="9060"/>
      </w:tabs>
      <w:ind w:left="1440" w:hanging="720"/>
    </w:pPr>
    <w:rPr>
      <w:noProof/>
    </w:rPr>
  </w:style>
  <w:style w:type="character" w:styleId="Hyperlink">
    <w:name w:val="Hyperlink"/>
    <w:uiPriority w:val="99"/>
    <w:unhideWhenUsed/>
    <w:rsid w:val="00867D7D"/>
    <w:rPr>
      <w:rFonts w:ascii="Open Sans" w:hAnsi="Open Sans"/>
      <w:color w:val="0070C0"/>
      <w:u w:val="none"/>
    </w:rPr>
  </w:style>
  <w:style w:type="paragraph" w:styleId="TOCHeading">
    <w:name w:val="TOC Heading"/>
    <w:basedOn w:val="Normal"/>
    <w:next w:val="Normal"/>
    <w:uiPriority w:val="39"/>
    <w:rsid w:val="00FA6EEB"/>
    <w:pPr>
      <w:spacing w:before="480" w:after="360" w:line="240" w:lineRule="auto"/>
    </w:pPr>
    <w:rPr>
      <w:rFonts w:ascii="Open Sans Semibold" w:eastAsia="MS Mincho" w:hAnsi="Open Sans Semibold"/>
      <w:b/>
      <w:color w:val="0070C0"/>
      <w:sz w:val="48"/>
      <w:lang w:val="en-US" w:eastAsia="en-US"/>
    </w:rPr>
  </w:style>
  <w:style w:type="paragraph" w:styleId="EndnoteText">
    <w:name w:val="endnote text"/>
    <w:basedOn w:val="Normal"/>
    <w:link w:val="EndnoteTextChar1"/>
    <w:uiPriority w:val="99"/>
    <w:qFormat/>
    <w:rsid w:val="0002476A"/>
    <w:pPr>
      <w:ind w:left="142" w:hanging="142"/>
    </w:pPr>
    <w:rPr>
      <w:rFonts w:eastAsia="MS Mincho"/>
      <w:sz w:val="20"/>
      <w:szCs w:val="20"/>
    </w:rPr>
  </w:style>
  <w:style w:type="character" w:customStyle="1" w:styleId="EndnoteTextChar1">
    <w:name w:val="Endnote Text Char1"/>
    <w:link w:val="EndnoteText"/>
    <w:uiPriority w:val="99"/>
    <w:rsid w:val="00E55F24"/>
    <w:rPr>
      <w:rFonts w:ascii="Open Sans" w:eastAsia="MS Mincho" w:hAnsi="Open Sans"/>
    </w:rPr>
  </w:style>
  <w:style w:type="character" w:styleId="EndnoteReference">
    <w:name w:val="endnote reference"/>
    <w:qFormat/>
    <w:rsid w:val="00045C4B"/>
    <w:rPr>
      <w:rFonts w:ascii="Open Sans" w:hAnsi="Open Sans"/>
      <w:sz w:val="20"/>
      <w:vertAlign w:val="superscript"/>
    </w:rPr>
  </w:style>
  <w:style w:type="numbering" w:styleId="1ai">
    <w:name w:val="Outline List 1"/>
    <w:basedOn w:val="NoList"/>
    <w:semiHidden/>
    <w:locked/>
    <w:rsid w:val="00E45954"/>
    <w:pPr>
      <w:numPr>
        <w:numId w:val="13"/>
      </w:numPr>
    </w:pPr>
  </w:style>
  <w:style w:type="numbering" w:styleId="ArticleSection">
    <w:name w:val="Outline List 3"/>
    <w:basedOn w:val="NoList"/>
    <w:semiHidden/>
    <w:locked/>
    <w:rsid w:val="00E45954"/>
    <w:pPr>
      <w:numPr>
        <w:numId w:val="14"/>
      </w:numPr>
    </w:pPr>
  </w:style>
  <w:style w:type="paragraph" w:styleId="BlockText">
    <w:name w:val="Block Text"/>
    <w:basedOn w:val="Normal"/>
    <w:semiHidden/>
    <w:rsid w:val="00045C4B"/>
    <w:pPr>
      <w:spacing w:after="120"/>
      <w:ind w:left="1440" w:right="1440"/>
    </w:pPr>
  </w:style>
  <w:style w:type="paragraph" w:styleId="BodyText">
    <w:name w:val="Body Text"/>
    <w:basedOn w:val="Normal"/>
    <w:link w:val="BodyTextChar"/>
    <w:uiPriority w:val="99"/>
    <w:qFormat/>
    <w:rsid w:val="00045C4B"/>
    <w:pPr>
      <w:spacing w:before="240" w:after="120"/>
    </w:pPr>
    <w:rPr>
      <w:rFonts w:eastAsia="MS Mincho"/>
    </w:rPr>
  </w:style>
  <w:style w:type="paragraph" w:styleId="BodyText2">
    <w:name w:val="Body Text 2"/>
    <w:basedOn w:val="Normal"/>
    <w:semiHidden/>
    <w:rsid w:val="00045C4B"/>
    <w:pPr>
      <w:spacing w:after="120" w:line="480" w:lineRule="auto"/>
    </w:pPr>
  </w:style>
  <w:style w:type="paragraph" w:styleId="BodyText3">
    <w:name w:val="Body Text 3"/>
    <w:basedOn w:val="Normal"/>
    <w:semiHidden/>
    <w:rsid w:val="00045C4B"/>
    <w:pPr>
      <w:spacing w:after="120"/>
    </w:pPr>
    <w:rPr>
      <w:sz w:val="16"/>
      <w:szCs w:val="16"/>
    </w:rPr>
  </w:style>
  <w:style w:type="paragraph" w:styleId="BodyTextFirstIndent">
    <w:name w:val="Body Text First Indent"/>
    <w:basedOn w:val="BodyText"/>
    <w:semiHidden/>
    <w:rsid w:val="00E45954"/>
    <w:pPr>
      <w:ind w:firstLine="210"/>
    </w:pPr>
  </w:style>
  <w:style w:type="paragraph" w:styleId="BodyTextIndent">
    <w:name w:val="Body Text Indent"/>
    <w:basedOn w:val="Normal"/>
    <w:semiHidden/>
    <w:rsid w:val="00045C4B"/>
    <w:pPr>
      <w:spacing w:after="120"/>
      <w:ind w:left="283"/>
    </w:pPr>
  </w:style>
  <w:style w:type="paragraph" w:styleId="BodyTextFirstIndent2">
    <w:name w:val="Body Text First Indent 2"/>
    <w:basedOn w:val="BodyTextIndent"/>
    <w:semiHidden/>
    <w:rsid w:val="00045C4B"/>
    <w:pPr>
      <w:ind w:firstLine="210"/>
    </w:pPr>
  </w:style>
  <w:style w:type="paragraph" w:styleId="BodyTextIndent2">
    <w:name w:val="Body Text Indent 2"/>
    <w:basedOn w:val="Normal"/>
    <w:semiHidden/>
    <w:rsid w:val="00045C4B"/>
    <w:pPr>
      <w:spacing w:after="120" w:line="480" w:lineRule="auto"/>
      <w:ind w:left="283"/>
    </w:pPr>
  </w:style>
  <w:style w:type="paragraph" w:styleId="BodyTextIndent3">
    <w:name w:val="Body Text Indent 3"/>
    <w:basedOn w:val="Normal"/>
    <w:semiHidden/>
    <w:rsid w:val="00045C4B"/>
    <w:pPr>
      <w:spacing w:after="120"/>
      <w:ind w:left="283"/>
    </w:pPr>
    <w:rPr>
      <w:sz w:val="16"/>
      <w:szCs w:val="16"/>
    </w:rPr>
  </w:style>
  <w:style w:type="paragraph" w:styleId="Closing">
    <w:name w:val="Closing"/>
    <w:basedOn w:val="Normal"/>
    <w:semiHidden/>
    <w:rsid w:val="00045C4B"/>
    <w:pPr>
      <w:spacing w:before="240" w:after="240"/>
      <w:ind w:left="4252"/>
    </w:pPr>
    <w:rPr>
      <w:rFonts w:eastAsia="MS Mincho"/>
    </w:rPr>
  </w:style>
  <w:style w:type="paragraph" w:styleId="Date">
    <w:name w:val="Date"/>
    <w:basedOn w:val="Normal"/>
    <w:next w:val="Normal"/>
    <w:semiHidden/>
    <w:rsid w:val="005C2ECF"/>
    <w:pPr>
      <w:spacing w:before="120" w:after="120"/>
      <w:jc w:val="right"/>
    </w:pPr>
  </w:style>
  <w:style w:type="paragraph" w:styleId="E-mailSignature">
    <w:name w:val="E-mail Signature"/>
    <w:basedOn w:val="Normal"/>
    <w:semiHidden/>
    <w:rsid w:val="00045C4B"/>
  </w:style>
  <w:style w:type="character" w:styleId="Emphasis">
    <w:name w:val="Emphasis"/>
    <w:uiPriority w:val="20"/>
    <w:qFormat/>
    <w:rsid w:val="00867D7D"/>
    <w:rPr>
      <w:rFonts w:ascii="Open Sans" w:hAnsi="Open Sans"/>
      <w:b w:val="0"/>
      <w:i/>
      <w:iCs/>
    </w:rPr>
  </w:style>
  <w:style w:type="paragraph" w:styleId="EnvelopeAddress">
    <w:name w:val="envelope address"/>
    <w:basedOn w:val="Normal"/>
    <w:semiHidden/>
    <w:rsid w:val="00045C4B"/>
    <w:pPr>
      <w:framePr w:w="7920" w:h="1980" w:hRule="exact" w:hSpace="180" w:wrap="auto" w:hAnchor="page" w:xAlign="center" w:yAlign="bottom"/>
      <w:ind w:left="2880"/>
    </w:pPr>
    <w:rPr>
      <w:rFonts w:eastAsia="MS Mincho" w:cs="Arial"/>
    </w:rPr>
  </w:style>
  <w:style w:type="paragraph" w:styleId="EnvelopeReturn">
    <w:name w:val="envelope return"/>
    <w:basedOn w:val="Normal"/>
    <w:semiHidden/>
    <w:rsid w:val="00045C4B"/>
    <w:rPr>
      <w:rFonts w:cs="Arial"/>
      <w:sz w:val="20"/>
      <w:szCs w:val="20"/>
    </w:rPr>
  </w:style>
  <w:style w:type="character" w:styleId="HTMLAcronym">
    <w:name w:val="HTML Acronym"/>
    <w:semiHidden/>
    <w:rsid w:val="005C2ECF"/>
    <w:rPr>
      <w:rFonts w:ascii="Open Sans" w:hAnsi="Open Sans"/>
    </w:rPr>
  </w:style>
  <w:style w:type="paragraph" w:styleId="HTMLAddress">
    <w:name w:val="HTML Address"/>
    <w:basedOn w:val="Normal"/>
    <w:semiHidden/>
    <w:rsid w:val="005C2ECF"/>
    <w:rPr>
      <w:i/>
      <w:iCs/>
    </w:rPr>
  </w:style>
  <w:style w:type="character" w:styleId="HTMLCite">
    <w:name w:val="HTML Cite"/>
    <w:semiHidden/>
    <w:rsid w:val="005C2ECF"/>
    <w:rPr>
      <w:rFonts w:ascii="Open Sans" w:hAnsi="Open Sans"/>
      <w:i/>
      <w:iCs/>
    </w:rPr>
  </w:style>
  <w:style w:type="character" w:styleId="HTMLCode">
    <w:name w:val="HTML Code"/>
    <w:semiHidden/>
    <w:rsid w:val="005C2ECF"/>
    <w:rPr>
      <w:rFonts w:ascii="Open Sans" w:hAnsi="Open Sans" w:cs="Courier New"/>
      <w:sz w:val="20"/>
      <w:szCs w:val="20"/>
    </w:rPr>
  </w:style>
  <w:style w:type="character" w:styleId="HTMLDefinition">
    <w:name w:val="HTML Definition"/>
    <w:semiHidden/>
    <w:rsid w:val="005C2ECF"/>
    <w:rPr>
      <w:rFonts w:ascii="Open Sans" w:hAnsi="Open Sans"/>
      <w:i/>
      <w:iCs/>
    </w:rPr>
  </w:style>
  <w:style w:type="character" w:styleId="HTMLKeyboard">
    <w:name w:val="HTML Keyboard"/>
    <w:semiHidden/>
    <w:rsid w:val="005C2ECF"/>
    <w:rPr>
      <w:rFonts w:ascii="Open Sans" w:hAnsi="Open Sans" w:cs="Courier New"/>
      <w:sz w:val="20"/>
      <w:szCs w:val="20"/>
    </w:rPr>
  </w:style>
  <w:style w:type="paragraph" w:styleId="HTMLPreformatted">
    <w:name w:val="HTML Preformatted"/>
    <w:basedOn w:val="Normal"/>
    <w:semiHidden/>
    <w:rsid w:val="005C2ECF"/>
    <w:rPr>
      <w:rFonts w:cs="Courier New"/>
      <w:sz w:val="20"/>
      <w:szCs w:val="20"/>
    </w:rPr>
  </w:style>
  <w:style w:type="character" w:styleId="HTMLSample">
    <w:name w:val="HTML Sample"/>
    <w:semiHidden/>
    <w:rsid w:val="005C2ECF"/>
    <w:rPr>
      <w:rFonts w:ascii="Open Sans" w:hAnsi="Open Sans" w:cs="Courier New"/>
    </w:rPr>
  </w:style>
  <w:style w:type="character" w:styleId="HTMLTypewriter">
    <w:name w:val="HTML Typewriter"/>
    <w:semiHidden/>
    <w:rsid w:val="005C2ECF"/>
    <w:rPr>
      <w:rFonts w:ascii="Open Sans" w:hAnsi="Open Sans" w:cs="Courier New"/>
      <w:sz w:val="20"/>
      <w:szCs w:val="20"/>
    </w:rPr>
  </w:style>
  <w:style w:type="character" w:styleId="HTMLVariable">
    <w:name w:val="HTML Variable"/>
    <w:semiHidden/>
    <w:rsid w:val="005C2ECF"/>
    <w:rPr>
      <w:rFonts w:ascii="Open Sans" w:hAnsi="Open Sans"/>
      <w:i/>
      <w:iCs/>
    </w:rPr>
  </w:style>
  <w:style w:type="character" w:styleId="LineNumber">
    <w:name w:val="line number"/>
    <w:semiHidden/>
    <w:rsid w:val="005C2ECF"/>
    <w:rPr>
      <w:rFonts w:ascii="Open Sans" w:hAnsi="Open Sans"/>
    </w:rPr>
  </w:style>
  <w:style w:type="paragraph" w:styleId="List">
    <w:name w:val="List"/>
    <w:basedOn w:val="Normal"/>
    <w:semiHidden/>
    <w:locked/>
    <w:rsid w:val="005C2ECF"/>
    <w:pPr>
      <w:spacing w:before="240" w:after="240"/>
      <w:ind w:left="283" w:hanging="283"/>
    </w:pPr>
    <w:rPr>
      <w:rFonts w:eastAsia="MS Mincho"/>
    </w:rPr>
  </w:style>
  <w:style w:type="paragraph" w:styleId="List2">
    <w:name w:val="List 2"/>
    <w:basedOn w:val="Normal"/>
    <w:semiHidden/>
    <w:locked/>
    <w:rsid w:val="005C2ECF"/>
    <w:pPr>
      <w:ind w:left="566" w:hanging="283"/>
    </w:pPr>
  </w:style>
  <w:style w:type="paragraph" w:styleId="List3">
    <w:name w:val="List 3"/>
    <w:basedOn w:val="Normal"/>
    <w:semiHidden/>
    <w:locked/>
    <w:rsid w:val="005C2ECF"/>
    <w:pPr>
      <w:ind w:left="849" w:hanging="283"/>
    </w:pPr>
  </w:style>
  <w:style w:type="paragraph" w:styleId="List4">
    <w:name w:val="List 4"/>
    <w:basedOn w:val="Normal"/>
    <w:semiHidden/>
    <w:locked/>
    <w:rsid w:val="005C2ECF"/>
    <w:pPr>
      <w:ind w:left="1132" w:hanging="283"/>
    </w:pPr>
  </w:style>
  <w:style w:type="paragraph" w:styleId="List5">
    <w:name w:val="List 5"/>
    <w:basedOn w:val="Normal"/>
    <w:semiHidden/>
    <w:locked/>
    <w:rsid w:val="005C2ECF"/>
    <w:pPr>
      <w:ind w:left="1415" w:hanging="283"/>
    </w:pPr>
  </w:style>
  <w:style w:type="paragraph" w:styleId="ListBullet">
    <w:name w:val="List Bullet"/>
    <w:basedOn w:val="ListNumber"/>
    <w:qFormat/>
    <w:rsid w:val="00BD37BA"/>
    <w:pPr>
      <w:numPr>
        <w:numId w:val="2"/>
      </w:numPr>
    </w:pPr>
  </w:style>
  <w:style w:type="paragraph" w:styleId="ListBullet2">
    <w:name w:val="List Bullet 2"/>
    <w:basedOn w:val="Normal"/>
    <w:semiHidden/>
    <w:locked/>
    <w:rsid w:val="005C2ECF"/>
    <w:pPr>
      <w:numPr>
        <w:numId w:val="3"/>
      </w:numPr>
    </w:pPr>
  </w:style>
  <w:style w:type="paragraph" w:styleId="ListBullet3">
    <w:name w:val="List Bullet 3"/>
    <w:basedOn w:val="Normal"/>
    <w:semiHidden/>
    <w:locked/>
    <w:rsid w:val="005C2ECF"/>
    <w:pPr>
      <w:numPr>
        <w:numId w:val="4"/>
      </w:numPr>
    </w:pPr>
  </w:style>
  <w:style w:type="paragraph" w:styleId="ListBullet4">
    <w:name w:val="List Bullet 4"/>
    <w:basedOn w:val="Normal"/>
    <w:semiHidden/>
    <w:locked/>
    <w:rsid w:val="005C2ECF"/>
    <w:pPr>
      <w:numPr>
        <w:numId w:val="5"/>
      </w:numPr>
    </w:pPr>
  </w:style>
  <w:style w:type="paragraph" w:styleId="ListBullet5">
    <w:name w:val="List Bullet 5"/>
    <w:basedOn w:val="Normal"/>
    <w:semiHidden/>
    <w:locked/>
    <w:rsid w:val="005C2ECF"/>
    <w:pPr>
      <w:numPr>
        <w:numId w:val="6"/>
      </w:numPr>
    </w:pPr>
  </w:style>
  <w:style w:type="paragraph" w:styleId="ListContinue">
    <w:name w:val="List Continue"/>
    <w:basedOn w:val="Normal"/>
    <w:semiHidden/>
    <w:locked/>
    <w:rsid w:val="005C2ECF"/>
    <w:pPr>
      <w:spacing w:after="120"/>
      <w:ind w:left="283"/>
    </w:pPr>
  </w:style>
  <w:style w:type="paragraph" w:styleId="ListContinue2">
    <w:name w:val="List Continue 2"/>
    <w:basedOn w:val="Normal"/>
    <w:semiHidden/>
    <w:locked/>
    <w:rsid w:val="005C2ECF"/>
    <w:pPr>
      <w:spacing w:after="120"/>
      <w:ind w:left="566"/>
    </w:pPr>
  </w:style>
  <w:style w:type="paragraph" w:styleId="ListContinue3">
    <w:name w:val="List Continue 3"/>
    <w:basedOn w:val="Normal"/>
    <w:semiHidden/>
    <w:locked/>
    <w:rsid w:val="005C2ECF"/>
    <w:pPr>
      <w:spacing w:after="120"/>
      <w:ind w:left="849"/>
    </w:pPr>
  </w:style>
  <w:style w:type="paragraph" w:styleId="ListContinue5">
    <w:name w:val="List Continue 5"/>
    <w:basedOn w:val="Normal"/>
    <w:semiHidden/>
    <w:locked/>
    <w:rsid w:val="005C2ECF"/>
    <w:pPr>
      <w:spacing w:after="120"/>
      <w:ind w:left="1415"/>
    </w:pPr>
  </w:style>
  <w:style w:type="paragraph" w:styleId="ListNumber">
    <w:name w:val="List Number"/>
    <w:basedOn w:val="Normal"/>
    <w:qFormat/>
    <w:rsid w:val="002C5943"/>
    <w:pPr>
      <w:numPr>
        <w:numId w:val="7"/>
      </w:numPr>
      <w:tabs>
        <w:tab w:val="clear" w:pos="360"/>
        <w:tab w:val="left" w:pos="1134"/>
      </w:tabs>
      <w:spacing w:before="120" w:after="120"/>
      <w:ind w:left="1094" w:hanging="737"/>
      <w:contextualSpacing/>
    </w:pPr>
    <w:rPr>
      <w:rFonts w:eastAsia="MS Mincho"/>
    </w:rPr>
  </w:style>
  <w:style w:type="paragraph" w:styleId="ListNumber2">
    <w:name w:val="List Number 2"/>
    <w:basedOn w:val="Normal"/>
    <w:semiHidden/>
    <w:locked/>
    <w:rsid w:val="005C2ECF"/>
    <w:pPr>
      <w:numPr>
        <w:numId w:val="10"/>
      </w:numPr>
    </w:pPr>
  </w:style>
  <w:style w:type="paragraph" w:styleId="ListNumber3">
    <w:name w:val="List Number 3"/>
    <w:basedOn w:val="Normal"/>
    <w:semiHidden/>
    <w:locked/>
    <w:rsid w:val="005C2ECF"/>
    <w:pPr>
      <w:numPr>
        <w:numId w:val="11"/>
      </w:numPr>
    </w:pPr>
  </w:style>
  <w:style w:type="paragraph" w:styleId="ListNumber4">
    <w:name w:val="List Number 4"/>
    <w:basedOn w:val="Normal"/>
    <w:semiHidden/>
    <w:locked/>
    <w:rsid w:val="005C2ECF"/>
    <w:pPr>
      <w:numPr>
        <w:numId w:val="8"/>
      </w:numPr>
    </w:pPr>
  </w:style>
  <w:style w:type="paragraph" w:styleId="ListNumber5">
    <w:name w:val="List Number 5"/>
    <w:basedOn w:val="Normal"/>
    <w:semiHidden/>
    <w:locked/>
    <w:rsid w:val="005C2ECF"/>
    <w:pPr>
      <w:numPr>
        <w:numId w:val="9"/>
      </w:numPr>
    </w:pPr>
  </w:style>
  <w:style w:type="paragraph" w:styleId="MessageHeader">
    <w:name w:val="Message Header"/>
    <w:basedOn w:val="Normal"/>
    <w:semiHidden/>
    <w:locked/>
    <w:rsid w:val="005C2ECF"/>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uiPriority w:val="99"/>
    <w:rsid w:val="005C2ECF"/>
  </w:style>
  <w:style w:type="paragraph" w:styleId="NormalIndent">
    <w:name w:val="Normal Indent"/>
    <w:basedOn w:val="Normal"/>
    <w:semiHidden/>
    <w:rsid w:val="005C2ECF"/>
    <w:pPr>
      <w:spacing w:before="240" w:after="240"/>
      <w:ind w:left="720"/>
    </w:pPr>
    <w:rPr>
      <w:rFonts w:eastAsia="MS Mincho"/>
    </w:rPr>
  </w:style>
  <w:style w:type="paragraph" w:styleId="NoteHeading">
    <w:name w:val="Note Heading"/>
    <w:basedOn w:val="Normal"/>
    <w:next w:val="Normal"/>
    <w:semiHidden/>
    <w:rsid w:val="00E45954"/>
  </w:style>
  <w:style w:type="character" w:styleId="PageNumber">
    <w:name w:val="page number"/>
    <w:semiHidden/>
    <w:rsid w:val="00B0477E"/>
    <w:rPr>
      <w:rFonts w:ascii="Open Sans" w:hAnsi="Open Sans"/>
      <w:sz w:val="18"/>
    </w:rPr>
  </w:style>
  <w:style w:type="paragraph" w:styleId="PlainText">
    <w:name w:val="Plain Text"/>
    <w:basedOn w:val="Normal"/>
    <w:semiHidden/>
    <w:rsid w:val="00471BB7"/>
    <w:rPr>
      <w:rFonts w:cs="Courier New"/>
      <w:szCs w:val="20"/>
    </w:rPr>
  </w:style>
  <w:style w:type="paragraph" w:styleId="Salutation">
    <w:name w:val="Salutation"/>
    <w:basedOn w:val="Normal"/>
    <w:next w:val="Normal"/>
    <w:semiHidden/>
    <w:locked/>
    <w:rsid w:val="00471BB7"/>
  </w:style>
  <w:style w:type="paragraph" w:styleId="Signature">
    <w:name w:val="Signature"/>
    <w:basedOn w:val="Normal"/>
    <w:semiHidden/>
    <w:locked/>
    <w:rsid w:val="00E45954"/>
    <w:pPr>
      <w:ind w:left="4252"/>
    </w:pPr>
  </w:style>
  <w:style w:type="paragraph" w:styleId="Subtitle">
    <w:name w:val="Subtitle"/>
    <w:basedOn w:val="Normal"/>
    <w:link w:val="SubtitleChar"/>
    <w:rsid w:val="00817C73"/>
    <w:pPr>
      <w:spacing w:before="240" w:after="240"/>
      <w:jc w:val="right"/>
      <w:outlineLvl w:val="1"/>
    </w:pPr>
    <w:rPr>
      <w:rFonts w:eastAsia="MS Mincho" w:cs="Arial"/>
      <w:color w:val="237BBC"/>
      <w:sz w:val="28"/>
    </w:rPr>
  </w:style>
  <w:style w:type="table" w:styleId="Table3Deffects1">
    <w:name w:val="Table 3D effects 1"/>
    <w:basedOn w:val="TableNormal"/>
    <w:semiHidden/>
    <w:locked/>
    <w:rsid w:val="00E45954"/>
    <w:pPr>
      <w:spacing w:after="2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E45954"/>
    <w:pPr>
      <w:spacing w:after="24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E45954"/>
    <w:pPr>
      <w:spacing w:after="2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E45954"/>
    <w:pPr>
      <w:spacing w:after="24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E45954"/>
    <w:pPr>
      <w:spacing w:after="24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E45954"/>
    <w:pPr>
      <w:spacing w:after="24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E45954"/>
    <w:pPr>
      <w:spacing w:after="24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E45954"/>
    <w:pPr>
      <w:spacing w:after="24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E45954"/>
    <w:pPr>
      <w:spacing w:after="24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E45954"/>
    <w:pPr>
      <w:spacing w:after="24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E45954"/>
    <w:pPr>
      <w:spacing w:after="24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E45954"/>
    <w:pPr>
      <w:spacing w:after="24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E45954"/>
    <w:pPr>
      <w:spacing w:after="24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E45954"/>
    <w:pPr>
      <w:spacing w:after="24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E45954"/>
    <w:pPr>
      <w:spacing w:after="24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E45954"/>
    <w:pPr>
      <w:spacing w:after="24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E45954"/>
    <w:pPr>
      <w:spacing w:after="24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E45954"/>
    <w:pPr>
      <w:spacing w:after="24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E45954"/>
    <w:pPr>
      <w:spacing w:after="24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E45954"/>
    <w:pPr>
      <w:spacing w:after="2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E45954"/>
    <w:pPr>
      <w:spacing w:after="24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E45954"/>
    <w:pPr>
      <w:spacing w:after="24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E45954"/>
    <w:pPr>
      <w:spacing w:after="2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E45954"/>
    <w:pPr>
      <w:spacing w:after="24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E45954"/>
    <w:pPr>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E45954"/>
    <w:pPr>
      <w:spacing w:after="24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E45954"/>
    <w:pPr>
      <w:spacing w:after="24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E45954"/>
    <w:pPr>
      <w:spacing w:after="24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E45954"/>
    <w:pPr>
      <w:spacing w:after="24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E45954"/>
    <w:pPr>
      <w:spacing w:after="24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E45954"/>
    <w:pPr>
      <w:spacing w:after="2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1"/>
    <w:qFormat/>
    <w:rsid w:val="00E45954"/>
    <w:pPr>
      <w:spacing w:before="240" w:after="60"/>
      <w:jc w:val="center"/>
      <w:outlineLvl w:val="0"/>
    </w:pPr>
    <w:rPr>
      <w:rFonts w:eastAsia="MS Mincho" w:cs="Arial"/>
      <w:b/>
      <w:bCs/>
      <w:kern w:val="28"/>
      <w:sz w:val="32"/>
      <w:szCs w:val="32"/>
    </w:rPr>
  </w:style>
  <w:style w:type="character" w:styleId="FollowedHyperlink">
    <w:name w:val="FollowedHyperlink"/>
    <w:semiHidden/>
    <w:rsid w:val="001A61E8"/>
    <w:rPr>
      <w:rFonts w:ascii="Open Sans" w:hAnsi="Open Sans"/>
      <w:color w:val="0070C0"/>
      <w:u w:val="none"/>
    </w:rPr>
  </w:style>
  <w:style w:type="paragraph" w:customStyle="1" w:styleId="MainTitle">
    <w:name w:val="Main Title"/>
    <w:next w:val="Subtitle"/>
    <w:rsid w:val="00A355F9"/>
    <w:pPr>
      <w:spacing w:before="240" w:after="240" w:line="740" w:lineRule="exact"/>
      <w:contextualSpacing/>
      <w:jc w:val="right"/>
    </w:pPr>
    <w:rPr>
      <w:rFonts w:ascii="Open Sans" w:hAnsi="Open Sans"/>
      <w:bCs/>
      <w:color w:val="237BBC"/>
      <w:kern w:val="32"/>
      <w:sz w:val="56"/>
      <w:szCs w:val="32"/>
    </w:rPr>
  </w:style>
  <w:style w:type="paragraph" w:customStyle="1" w:styleId="HeaderFooter">
    <w:name w:val="Header &amp; Footer"/>
    <w:basedOn w:val="Normal"/>
    <w:semiHidden/>
    <w:locked/>
    <w:rsid w:val="005C2ECF"/>
    <w:pPr>
      <w:spacing w:line="200" w:lineRule="exact"/>
      <w:jc w:val="both"/>
    </w:pPr>
    <w:rPr>
      <w:rFonts w:cs="ArialMT"/>
      <w:sz w:val="16"/>
      <w:lang w:eastAsia="en-US"/>
    </w:rPr>
  </w:style>
  <w:style w:type="paragraph" w:customStyle="1" w:styleId="LogoType">
    <w:name w:val="Logo Type"/>
    <w:basedOn w:val="Header"/>
    <w:semiHidden/>
    <w:locked/>
    <w:rsid w:val="005C2ECF"/>
    <w:pPr>
      <w:pBdr>
        <w:bottom w:val="single" w:sz="4" w:space="4" w:color="auto"/>
      </w:pBdr>
      <w:tabs>
        <w:tab w:val="clear" w:pos="4513"/>
        <w:tab w:val="clear" w:pos="9026"/>
        <w:tab w:val="left" w:pos="4686"/>
        <w:tab w:val="left" w:pos="7088"/>
        <w:tab w:val="left" w:pos="7242"/>
      </w:tabs>
      <w:spacing w:before="0" w:line="320" w:lineRule="exact"/>
    </w:pPr>
    <w:rPr>
      <w:rFonts w:cs="ArialMT"/>
      <w:b/>
      <w:spacing w:val="-20"/>
      <w:sz w:val="32"/>
      <w:lang w:eastAsia="en-US"/>
    </w:rPr>
  </w:style>
  <w:style w:type="paragraph" w:styleId="BalloonText">
    <w:name w:val="Balloon Text"/>
    <w:basedOn w:val="Normal"/>
    <w:link w:val="BalloonTextChar"/>
    <w:semiHidden/>
    <w:rsid w:val="00045C4B"/>
    <w:rPr>
      <w:rFonts w:eastAsia="MS Mincho" w:cs="Tahoma"/>
      <w:sz w:val="16"/>
      <w:szCs w:val="16"/>
    </w:rPr>
  </w:style>
  <w:style w:type="character" w:customStyle="1" w:styleId="BalloonTextChar">
    <w:name w:val="Balloon Text Char"/>
    <w:link w:val="BalloonText"/>
    <w:semiHidden/>
    <w:rsid w:val="00045C4B"/>
    <w:rPr>
      <w:rFonts w:ascii="Open Sans" w:eastAsia="MS Mincho" w:hAnsi="Open Sans" w:cs="Tahoma"/>
      <w:sz w:val="16"/>
      <w:szCs w:val="16"/>
    </w:rPr>
  </w:style>
  <w:style w:type="character" w:customStyle="1" w:styleId="CharChar">
    <w:name w:val="Char Char"/>
    <w:semiHidden/>
    <w:locked/>
    <w:rsid w:val="00045C4B"/>
    <w:rPr>
      <w:rFonts w:ascii="Open Sans" w:hAnsi="Open Sans" w:cs="Arial"/>
      <w:lang w:val="en-AU" w:eastAsia="en-AU" w:bidi="ar-SA"/>
    </w:rPr>
  </w:style>
  <w:style w:type="character" w:customStyle="1" w:styleId="EndnoteTextChar">
    <w:name w:val="Endnote Text Char"/>
    <w:semiHidden/>
    <w:locked/>
    <w:rsid w:val="00045C4B"/>
    <w:rPr>
      <w:rFonts w:ascii="Open Sans" w:hAnsi="Open Sans"/>
      <w:sz w:val="20"/>
      <w:lang w:bidi="ar-SA"/>
    </w:rPr>
  </w:style>
  <w:style w:type="character" w:customStyle="1" w:styleId="SubtitleChar">
    <w:name w:val="Subtitle Char"/>
    <w:link w:val="Subtitle"/>
    <w:rsid w:val="00817C73"/>
    <w:rPr>
      <w:rFonts w:ascii="Open Sans" w:eastAsia="MS Mincho" w:hAnsi="Open Sans" w:cs="Arial"/>
      <w:color w:val="237BBC"/>
      <w:sz w:val="28"/>
      <w:szCs w:val="24"/>
    </w:rPr>
  </w:style>
  <w:style w:type="paragraph" w:customStyle="1" w:styleId="SubmissionNormal">
    <w:name w:val="Submission Normal"/>
    <w:basedOn w:val="Normal"/>
    <w:link w:val="SubmissionNormalChar"/>
    <w:locked/>
    <w:rsid w:val="00B34946"/>
    <w:pPr>
      <w:numPr>
        <w:numId w:val="15"/>
      </w:numPr>
      <w:tabs>
        <w:tab w:val="clear" w:pos="720"/>
      </w:tabs>
      <w:spacing w:before="240" w:after="240"/>
      <w:ind w:hanging="720"/>
    </w:pPr>
  </w:style>
  <w:style w:type="character" w:customStyle="1" w:styleId="SubmissionNormalChar">
    <w:name w:val="Submission Normal Char"/>
    <w:link w:val="SubmissionNormal"/>
    <w:rsid w:val="00B34946"/>
    <w:rPr>
      <w:rFonts w:ascii="Open Sans" w:hAnsi="Open Sans"/>
      <w:sz w:val="24"/>
      <w:szCs w:val="24"/>
    </w:rPr>
  </w:style>
  <w:style w:type="paragraph" w:customStyle="1" w:styleId="coveraddresses">
    <w:name w:val="cover addresses"/>
    <w:basedOn w:val="Footer"/>
    <w:locked/>
    <w:rsid w:val="005C2ECF"/>
    <w:pPr>
      <w:spacing w:after="40"/>
    </w:pPr>
    <w:rPr>
      <w:szCs w:val="16"/>
    </w:rPr>
  </w:style>
  <w:style w:type="paragraph" w:customStyle="1" w:styleId="coveraddress">
    <w:name w:val="cover address"/>
    <w:basedOn w:val="coveraddresses"/>
    <w:locked/>
    <w:rsid w:val="005C2ECF"/>
  </w:style>
  <w:style w:type="paragraph" w:styleId="Caption">
    <w:name w:val="caption"/>
    <w:basedOn w:val="Normal"/>
    <w:next w:val="Normal"/>
    <w:unhideWhenUsed/>
    <w:qFormat/>
    <w:rsid w:val="00CE6E55"/>
    <w:pPr>
      <w:spacing w:after="480" w:line="240" w:lineRule="auto"/>
    </w:pPr>
    <w:rPr>
      <w:bCs/>
      <w:sz w:val="20"/>
      <w:szCs w:val="20"/>
    </w:rPr>
  </w:style>
  <w:style w:type="character" w:styleId="CommentReference">
    <w:name w:val="annotation reference"/>
    <w:uiPriority w:val="99"/>
    <w:rsid w:val="00045C4B"/>
    <w:rPr>
      <w:rFonts w:ascii="Open Sans" w:hAnsi="Open Sans"/>
      <w:sz w:val="16"/>
      <w:szCs w:val="16"/>
    </w:rPr>
  </w:style>
  <w:style w:type="paragraph" w:styleId="CommentText">
    <w:name w:val="annotation text"/>
    <w:basedOn w:val="Normal"/>
    <w:link w:val="CommentTextChar"/>
    <w:uiPriority w:val="99"/>
    <w:rsid w:val="00045C4B"/>
    <w:pPr>
      <w:spacing w:before="240" w:after="240"/>
    </w:pPr>
    <w:rPr>
      <w:rFonts w:eastAsia="MS Mincho"/>
      <w:sz w:val="20"/>
      <w:szCs w:val="20"/>
    </w:rPr>
  </w:style>
  <w:style w:type="character" w:customStyle="1" w:styleId="CommentTextChar">
    <w:name w:val="Comment Text Char"/>
    <w:link w:val="CommentText"/>
    <w:uiPriority w:val="99"/>
    <w:rsid w:val="00045C4B"/>
    <w:rPr>
      <w:rFonts w:ascii="Open Sans" w:eastAsia="MS Mincho" w:hAnsi="Open Sans"/>
    </w:rPr>
  </w:style>
  <w:style w:type="paragraph" w:styleId="CommentSubject">
    <w:name w:val="annotation subject"/>
    <w:basedOn w:val="CommentText"/>
    <w:next w:val="CommentText"/>
    <w:link w:val="CommentSubjectChar"/>
    <w:rsid w:val="00045C4B"/>
    <w:rPr>
      <w:b/>
      <w:bCs/>
    </w:rPr>
  </w:style>
  <w:style w:type="character" w:customStyle="1" w:styleId="CommentSubjectChar">
    <w:name w:val="Comment Subject Char"/>
    <w:link w:val="CommentSubject"/>
    <w:rsid w:val="00045C4B"/>
    <w:rPr>
      <w:rFonts w:ascii="Open Sans" w:eastAsia="MS Mincho" w:hAnsi="Open Sans"/>
      <w:b/>
      <w:bCs/>
    </w:rPr>
  </w:style>
  <w:style w:type="paragraph" w:styleId="DocumentMap">
    <w:name w:val="Document Map"/>
    <w:basedOn w:val="Normal"/>
    <w:link w:val="DocumentMapChar"/>
    <w:rsid w:val="00045C4B"/>
    <w:pPr>
      <w:spacing w:before="240" w:after="240"/>
    </w:pPr>
    <w:rPr>
      <w:rFonts w:eastAsia="MS Mincho" w:cs="Segoe UI"/>
      <w:sz w:val="16"/>
      <w:szCs w:val="16"/>
    </w:rPr>
  </w:style>
  <w:style w:type="character" w:customStyle="1" w:styleId="DocumentMapChar">
    <w:name w:val="Document Map Char"/>
    <w:link w:val="DocumentMap"/>
    <w:rsid w:val="00045C4B"/>
    <w:rPr>
      <w:rFonts w:ascii="Open Sans" w:eastAsia="MS Mincho" w:hAnsi="Open Sans" w:cs="Segoe UI"/>
      <w:sz w:val="16"/>
      <w:szCs w:val="16"/>
    </w:rPr>
  </w:style>
  <w:style w:type="paragraph" w:styleId="Index1">
    <w:name w:val="index 1"/>
    <w:basedOn w:val="Normal"/>
    <w:next w:val="Normal"/>
    <w:rsid w:val="005C2ECF"/>
    <w:pPr>
      <w:spacing w:before="240" w:after="240"/>
      <w:ind w:left="240" w:hanging="240"/>
    </w:pPr>
    <w:rPr>
      <w:rFonts w:eastAsia="MS Mincho"/>
    </w:rPr>
  </w:style>
  <w:style w:type="paragraph" w:styleId="Index2">
    <w:name w:val="index 2"/>
    <w:basedOn w:val="Normal"/>
    <w:next w:val="Normal"/>
    <w:rsid w:val="005C2ECF"/>
    <w:pPr>
      <w:spacing w:before="240" w:after="240"/>
      <w:ind w:left="480" w:hanging="240"/>
    </w:pPr>
    <w:rPr>
      <w:rFonts w:eastAsia="MS Mincho"/>
    </w:rPr>
  </w:style>
  <w:style w:type="paragraph" w:styleId="Index3">
    <w:name w:val="index 3"/>
    <w:basedOn w:val="Normal"/>
    <w:next w:val="Normal"/>
    <w:rsid w:val="005C2ECF"/>
    <w:pPr>
      <w:spacing w:before="240" w:after="240"/>
      <w:ind w:left="720" w:hanging="240"/>
    </w:pPr>
    <w:rPr>
      <w:rFonts w:eastAsia="MS Mincho"/>
    </w:rPr>
  </w:style>
  <w:style w:type="paragraph" w:styleId="Index4">
    <w:name w:val="index 4"/>
    <w:basedOn w:val="Normal"/>
    <w:next w:val="Normal"/>
    <w:rsid w:val="005C2ECF"/>
    <w:pPr>
      <w:spacing w:before="240" w:after="240"/>
      <w:ind w:left="960" w:hanging="240"/>
    </w:pPr>
    <w:rPr>
      <w:rFonts w:eastAsia="MS Mincho"/>
    </w:rPr>
  </w:style>
  <w:style w:type="paragraph" w:styleId="Index5">
    <w:name w:val="index 5"/>
    <w:basedOn w:val="Normal"/>
    <w:next w:val="Normal"/>
    <w:rsid w:val="005C2ECF"/>
    <w:pPr>
      <w:spacing w:before="240" w:after="240"/>
      <w:ind w:left="1200" w:hanging="240"/>
    </w:pPr>
    <w:rPr>
      <w:rFonts w:eastAsia="MS Mincho"/>
    </w:rPr>
  </w:style>
  <w:style w:type="paragraph" w:styleId="Index6">
    <w:name w:val="index 6"/>
    <w:basedOn w:val="Normal"/>
    <w:next w:val="Normal"/>
    <w:rsid w:val="005C2ECF"/>
    <w:pPr>
      <w:spacing w:before="240" w:after="240"/>
      <w:ind w:left="1440" w:hanging="240"/>
    </w:pPr>
    <w:rPr>
      <w:rFonts w:eastAsia="MS Mincho"/>
    </w:rPr>
  </w:style>
  <w:style w:type="paragraph" w:styleId="Index7">
    <w:name w:val="index 7"/>
    <w:basedOn w:val="Normal"/>
    <w:next w:val="Normal"/>
    <w:rsid w:val="005C2ECF"/>
    <w:pPr>
      <w:spacing w:before="240" w:after="240"/>
      <w:ind w:left="1680" w:hanging="240"/>
    </w:pPr>
    <w:rPr>
      <w:rFonts w:eastAsia="MS Mincho"/>
    </w:rPr>
  </w:style>
  <w:style w:type="paragraph" w:styleId="Index8">
    <w:name w:val="index 8"/>
    <w:basedOn w:val="Normal"/>
    <w:next w:val="Normal"/>
    <w:rsid w:val="005C2ECF"/>
    <w:pPr>
      <w:spacing w:before="240" w:after="240"/>
      <w:ind w:left="1920" w:hanging="240"/>
    </w:pPr>
    <w:rPr>
      <w:rFonts w:eastAsia="MS Mincho"/>
    </w:rPr>
  </w:style>
  <w:style w:type="paragraph" w:styleId="Index9">
    <w:name w:val="index 9"/>
    <w:basedOn w:val="Normal"/>
    <w:next w:val="Normal"/>
    <w:rsid w:val="005C2ECF"/>
    <w:pPr>
      <w:spacing w:before="240" w:after="240"/>
      <w:ind w:left="2160" w:hanging="240"/>
    </w:pPr>
    <w:rPr>
      <w:rFonts w:eastAsia="MS Mincho"/>
    </w:rPr>
  </w:style>
  <w:style w:type="paragraph" w:styleId="IndexHeading">
    <w:name w:val="index heading"/>
    <w:basedOn w:val="Normal"/>
    <w:next w:val="Index1"/>
    <w:rsid w:val="005C2ECF"/>
    <w:pPr>
      <w:spacing w:before="240" w:after="240"/>
    </w:pPr>
    <w:rPr>
      <w:b/>
      <w:bCs/>
    </w:rPr>
  </w:style>
  <w:style w:type="paragraph" w:styleId="MacroText">
    <w:name w:val="macro"/>
    <w:link w:val="MacroTextChar"/>
    <w:rsid w:val="005C2ECF"/>
    <w:pPr>
      <w:tabs>
        <w:tab w:val="left" w:pos="480"/>
        <w:tab w:val="left" w:pos="960"/>
        <w:tab w:val="left" w:pos="1440"/>
        <w:tab w:val="left" w:pos="1920"/>
        <w:tab w:val="left" w:pos="2400"/>
        <w:tab w:val="left" w:pos="2880"/>
        <w:tab w:val="left" w:pos="3360"/>
        <w:tab w:val="left" w:pos="3840"/>
        <w:tab w:val="left" w:pos="4320"/>
      </w:tabs>
      <w:spacing w:before="240" w:after="240"/>
    </w:pPr>
    <w:rPr>
      <w:rFonts w:ascii="Open Sans" w:eastAsia="MS Mincho" w:hAnsi="Open Sans" w:cs="Courier New"/>
    </w:rPr>
  </w:style>
  <w:style w:type="character" w:customStyle="1" w:styleId="MacroTextChar">
    <w:name w:val="Macro Text Char"/>
    <w:link w:val="MacroText"/>
    <w:rsid w:val="005C2ECF"/>
    <w:rPr>
      <w:rFonts w:ascii="Open Sans" w:eastAsia="MS Mincho" w:hAnsi="Open Sans" w:cs="Courier New"/>
    </w:rPr>
  </w:style>
  <w:style w:type="paragraph" w:styleId="TableofAuthorities">
    <w:name w:val="table of authorities"/>
    <w:basedOn w:val="Normal"/>
    <w:next w:val="Normal"/>
    <w:locked/>
    <w:rsid w:val="00471BB7"/>
    <w:pPr>
      <w:spacing w:before="240" w:after="240"/>
      <w:ind w:left="240" w:hanging="240"/>
    </w:pPr>
    <w:rPr>
      <w:rFonts w:eastAsia="MS Mincho"/>
    </w:rPr>
  </w:style>
  <w:style w:type="paragraph" w:styleId="TableofFigures">
    <w:name w:val="table of figures"/>
    <w:basedOn w:val="Normal"/>
    <w:next w:val="Normal"/>
    <w:locked/>
    <w:rsid w:val="00471BB7"/>
    <w:pPr>
      <w:spacing w:before="240" w:after="240"/>
    </w:pPr>
    <w:rPr>
      <w:rFonts w:eastAsia="MS Mincho"/>
    </w:rPr>
  </w:style>
  <w:style w:type="paragraph" w:styleId="TOAHeading">
    <w:name w:val="toa heading"/>
    <w:basedOn w:val="Normal"/>
    <w:next w:val="Normal"/>
    <w:locked/>
    <w:rsid w:val="00471BB7"/>
    <w:pPr>
      <w:spacing w:before="120" w:after="240"/>
    </w:pPr>
    <w:rPr>
      <w:b/>
      <w:bCs/>
    </w:rPr>
  </w:style>
  <w:style w:type="paragraph" w:styleId="TOC5">
    <w:name w:val="toc 5"/>
    <w:basedOn w:val="Normal"/>
    <w:next w:val="Normal"/>
    <w:uiPriority w:val="39"/>
    <w:locked/>
    <w:rsid w:val="00471BB7"/>
    <w:pPr>
      <w:ind w:left="960"/>
    </w:pPr>
  </w:style>
  <w:style w:type="paragraph" w:styleId="TOC6">
    <w:name w:val="toc 6"/>
    <w:basedOn w:val="Normal"/>
    <w:next w:val="Normal"/>
    <w:semiHidden/>
    <w:locked/>
    <w:rsid w:val="00471BB7"/>
    <w:pPr>
      <w:ind w:left="1200"/>
    </w:pPr>
  </w:style>
  <w:style w:type="paragraph" w:styleId="TOC7">
    <w:name w:val="toc 7"/>
    <w:basedOn w:val="Normal"/>
    <w:next w:val="Normal"/>
    <w:semiHidden/>
    <w:locked/>
    <w:rsid w:val="00471BB7"/>
    <w:pPr>
      <w:ind w:left="1440"/>
    </w:pPr>
  </w:style>
  <w:style w:type="paragraph" w:styleId="TOC8">
    <w:name w:val="toc 8"/>
    <w:basedOn w:val="Normal"/>
    <w:next w:val="Normal"/>
    <w:semiHidden/>
    <w:locked/>
    <w:rsid w:val="00471BB7"/>
    <w:pPr>
      <w:ind w:left="1680"/>
    </w:pPr>
  </w:style>
  <w:style w:type="paragraph" w:styleId="TOC9">
    <w:name w:val="toc 9"/>
    <w:basedOn w:val="Normal"/>
    <w:next w:val="Normal"/>
    <w:semiHidden/>
    <w:locked/>
    <w:rsid w:val="00471BB7"/>
    <w:pPr>
      <w:ind w:left="1920"/>
    </w:pPr>
  </w:style>
  <w:style w:type="paragraph" w:styleId="NoSpacing">
    <w:name w:val="No Spacing"/>
    <w:link w:val="NoSpacingChar"/>
    <w:uiPriority w:val="1"/>
    <w:qFormat/>
    <w:rsid w:val="00471BB7"/>
    <w:rPr>
      <w:rFonts w:ascii="Open Sans" w:eastAsia="MS Mincho" w:hAnsi="Open Sans"/>
      <w:sz w:val="24"/>
      <w:szCs w:val="24"/>
    </w:rPr>
  </w:style>
  <w:style w:type="character" w:styleId="SubtleEmphasis">
    <w:name w:val="Subtle Emphasis"/>
    <w:uiPriority w:val="19"/>
    <w:locked/>
    <w:rsid w:val="00471BB7"/>
    <w:rPr>
      <w:rFonts w:ascii="Open Sans" w:hAnsi="Open Sans"/>
      <w:i w:val="0"/>
      <w:iCs/>
      <w:color w:val="auto"/>
      <w:sz w:val="24"/>
    </w:rPr>
  </w:style>
  <w:style w:type="character" w:styleId="IntenseEmphasis">
    <w:name w:val="Intense Emphasis"/>
    <w:uiPriority w:val="21"/>
    <w:locked/>
    <w:rsid w:val="004F272B"/>
    <w:rPr>
      <w:rFonts w:ascii="Open Sans" w:hAnsi="Open Sans"/>
      <w:b/>
      <w:i/>
      <w:iCs/>
      <w:color w:val="auto"/>
    </w:rPr>
  </w:style>
  <w:style w:type="paragraph" w:styleId="Quote">
    <w:name w:val="Quote"/>
    <w:basedOn w:val="Normal"/>
    <w:next w:val="Normal"/>
    <w:link w:val="QuoteChar"/>
    <w:uiPriority w:val="29"/>
    <w:rsid w:val="000C5DA6"/>
    <w:pPr>
      <w:spacing w:before="200" w:after="160"/>
      <w:ind w:left="1440"/>
    </w:pPr>
    <w:rPr>
      <w:rFonts w:eastAsia="MS Mincho"/>
      <w:iCs/>
      <w:sz w:val="22"/>
    </w:rPr>
  </w:style>
  <w:style w:type="character" w:customStyle="1" w:styleId="QuoteChar">
    <w:name w:val="Quote Char"/>
    <w:link w:val="Quote"/>
    <w:uiPriority w:val="29"/>
    <w:rsid w:val="000C5DA6"/>
    <w:rPr>
      <w:rFonts w:ascii="Open Sans" w:eastAsia="MS Mincho" w:hAnsi="Open Sans"/>
      <w:iCs/>
      <w:sz w:val="22"/>
      <w:szCs w:val="24"/>
    </w:rPr>
  </w:style>
  <w:style w:type="paragraph" w:styleId="IntenseQuote">
    <w:name w:val="Intense Quote"/>
    <w:basedOn w:val="Normal"/>
    <w:next w:val="Normal"/>
    <w:link w:val="IntenseQuoteChar"/>
    <w:uiPriority w:val="30"/>
    <w:locked/>
    <w:rsid w:val="00B97704"/>
    <w:pPr>
      <w:pBdr>
        <w:left w:val="single" w:sz="18" w:space="10" w:color="4472C4"/>
      </w:pBdr>
      <w:spacing w:before="120" w:after="120"/>
      <w:ind w:left="1134" w:right="1134"/>
    </w:pPr>
    <w:rPr>
      <w:rFonts w:eastAsia="MS Mincho"/>
      <w:iCs/>
      <w:color w:val="000000" w:themeColor="text1"/>
      <w:sz w:val="22"/>
    </w:rPr>
  </w:style>
  <w:style w:type="character" w:customStyle="1" w:styleId="IntenseQuoteChar">
    <w:name w:val="Intense Quote Char"/>
    <w:link w:val="IntenseQuote"/>
    <w:uiPriority w:val="30"/>
    <w:rsid w:val="00B97704"/>
    <w:rPr>
      <w:rFonts w:ascii="Open Sans" w:eastAsia="MS Mincho" w:hAnsi="Open Sans"/>
      <w:iCs/>
      <w:color w:val="000000" w:themeColor="text1"/>
      <w:sz w:val="22"/>
      <w:szCs w:val="24"/>
    </w:rPr>
  </w:style>
  <w:style w:type="character" w:styleId="SubtleReference">
    <w:name w:val="Subtle Reference"/>
    <w:uiPriority w:val="31"/>
    <w:locked/>
    <w:rsid w:val="00471BB7"/>
    <w:rPr>
      <w:rFonts w:ascii="Open Sans" w:hAnsi="Open Sans"/>
      <w:smallCaps/>
      <w:color w:val="auto"/>
      <w:sz w:val="24"/>
    </w:rPr>
  </w:style>
  <w:style w:type="character" w:styleId="IntenseReference">
    <w:name w:val="Intense Reference"/>
    <w:uiPriority w:val="32"/>
    <w:locked/>
    <w:rsid w:val="00471BB7"/>
    <w:rPr>
      <w:rFonts w:ascii="Open Sans" w:hAnsi="Open Sans"/>
      <w:b w:val="0"/>
      <w:bCs/>
      <w:smallCaps/>
      <w:color w:val="auto"/>
      <w:spacing w:val="5"/>
      <w:sz w:val="24"/>
    </w:rPr>
  </w:style>
  <w:style w:type="character" w:styleId="BookTitle">
    <w:name w:val="Book Title"/>
    <w:aliases w:val="Text Title"/>
    <w:uiPriority w:val="33"/>
    <w:rsid w:val="00471BB7"/>
    <w:rPr>
      <w:rFonts w:ascii="Open Sans" w:hAnsi="Open Sans"/>
      <w:b w:val="0"/>
      <w:bCs/>
      <w:i/>
      <w:iCs/>
      <w:spacing w:val="5"/>
      <w:sz w:val="24"/>
    </w:rPr>
  </w:style>
  <w:style w:type="paragraph" w:styleId="ListParagraph">
    <w:name w:val="List Paragraph"/>
    <w:basedOn w:val="Normal"/>
    <w:link w:val="ListParagraphChar"/>
    <w:uiPriority w:val="34"/>
    <w:qFormat/>
    <w:locked/>
    <w:rsid w:val="00471BB7"/>
    <w:pPr>
      <w:spacing w:before="240" w:after="240"/>
      <w:ind w:left="720"/>
    </w:pPr>
    <w:rPr>
      <w:rFonts w:eastAsia="MS Mincho"/>
    </w:rPr>
  </w:style>
  <w:style w:type="paragraph" w:styleId="Bibliography">
    <w:name w:val="Bibliography"/>
    <w:basedOn w:val="Normal"/>
    <w:next w:val="Normal"/>
    <w:uiPriority w:val="37"/>
    <w:semiHidden/>
    <w:unhideWhenUsed/>
    <w:rsid w:val="00471BB7"/>
  </w:style>
  <w:style w:type="character" w:customStyle="1" w:styleId="Hashtag1">
    <w:name w:val="Hashtag1"/>
    <w:uiPriority w:val="99"/>
    <w:semiHidden/>
    <w:unhideWhenUsed/>
    <w:locked/>
    <w:rsid w:val="00471BB7"/>
    <w:rPr>
      <w:rFonts w:ascii="Open Sans" w:hAnsi="Open Sans"/>
      <w:color w:val="2B579A"/>
      <w:shd w:val="clear" w:color="auto" w:fill="E6E6E6"/>
    </w:rPr>
  </w:style>
  <w:style w:type="character" w:customStyle="1" w:styleId="Mention1">
    <w:name w:val="Mention1"/>
    <w:uiPriority w:val="99"/>
    <w:semiHidden/>
    <w:unhideWhenUsed/>
    <w:locked/>
    <w:rsid w:val="00471BB7"/>
    <w:rPr>
      <w:rFonts w:ascii="Open Sans" w:hAnsi="Open Sans"/>
      <w:color w:val="auto"/>
      <w:shd w:val="clear" w:color="auto" w:fill="E6E6E6"/>
    </w:rPr>
  </w:style>
  <w:style w:type="character" w:customStyle="1" w:styleId="SmartHyperlink1">
    <w:name w:val="Smart Hyperlink1"/>
    <w:uiPriority w:val="99"/>
    <w:semiHidden/>
    <w:unhideWhenUsed/>
    <w:locked/>
    <w:rsid w:val="00471BB7"/>
    <w:rPr>
      <w:rFonts w:ascii="Open Sans" w:hAnsi="Open Sans"/>
      <w:u w:val="dotted"/>
    </w:rPr>
  </w:style>
  <w:style w:type="character" w:customStyle="1" w:styleId="UnresolvedMention1">
    <w:name w:val="Unresolved Mention1"/>
    <w:uiPriority w:val="99"/>
    <w:semiHidden/>
    <w:unhideWhenUsed/>
    <w:locked/>
    <w:rsid w:val="00471BB7"/>
    <w:rPr>
      <w:rFonts w:ascii="Open Sans" w:hAnsi="Open Sans"/>
      <w:color w:val="auto"/>
      <w:shd w:val="clear" w:color="auto" w:fill="E6E6E6"/>
    </w:rPr>
  </w:style>
  <w:style w:type="character" w:customStyle="1" w:styleId="Reporttitleinheader">
    <w:name w:val="Report title in header"/>
    <w:uiPriority w:val="1"/>
    <w:qFormat/>
    <w:rsid w:val="001F62CC"/>
    <w:rPr>
      <w:rFonts w:ascii="Open Sans" w:hAnsi="Open Sans"/>
      <w:b/>
      <w:noProof/>
      <w:sz w:val="18"/>
    </w:rPr>
  </w:style>
  <w:style w:type="paragraph" w:customStyle="1" w:styleId="HeaderDocumentDate">
    <w:name w:val="Header Document Date"/>
    <w:basedOn w:val="Footer"/>
    <w:qFormat/>
    <w:rsid w:val="002850B0"/>
    <w:pPr>
      <w:jc w:val="right"/>
    </w:pPr>
  </w:style>
  <w:style w:type="paragraph" w:customStyle="1" w:styleId="FooterEvenPageNumber">
    <w:name w:val="Footer Even Page Number"/>
    <w:basedOn w:val="Footer"/>
    <w:rsid w:val="00E53546"/>
  </w:style>
  <w:style w:type="paragraph" w:customStyle="1" w:styleId="FooterOddPageNumber">
    <w:name w:val="Footer Odd Page Number"/>
    <w:basedOn w:val="Footer"/>
    <w:rsid w:val="00E53546"/>
    <w:pPr>
      <w:jc w:val="right"/>
    </w:pPr>
  </w:style>
  <w:style w:type="paragraph" w:customStyle="1" w:styleId="Default">
    <w:name w:val="Default"/>
    <w:rsid w:val="00FD6475"/>
    <w:pPr>
      <w:autoSpaceDE w:val="0"/>
      <w:autoSpaceDN w:val="0"/>
      <w:adjustRightInd w:val="0"/>
    </w:pPr>
    <w:rPr>
      <w:rFonts w:ascii="Open Sans" w:hAnsi="Open Sans" w:cs="Open Sans"/>
      <w:color w:val="000000"/>
      <w:sz w:val="24"/>
      <w:szCs w:val="24"/>
    </w:rPr>
  </w:style>
  <w:style w:type="numbering" w:customStyle="1" w:styleId="Style1">
    <w:name w:val="Style1"/>
    <w:uiPriority w:val="99"/>
    <w:rsid w:val="0025176E"/>
    <w:pPr>
      <w:numPr>
        <w:numId w:val="16"/>
      </w:numPr>
    </w:pPr>
  </w:style>
  <w:style w:type="numbering" w:customStyle="1" w:styleId="AHRCReportHeadings">
    <w:name w:val="AHRC Report Headings"/>
    <w:uiPriority w:val="99"/>
    <w:rsid w:val="00592D1C"/>
    <w:pPr>
      <w:numPr>
        <w:numId w:val="17"/>
      </w:numPr>
    </w:pPr>
  </w:style>
  <w:style w:type="paragraph" w:customStyle="1" w:styleId="Reportplaintext">
    <w:name w:val="Report plain text"/>
    <w:basedOn w:val="Normal"/>
    <w:link w:val="ReportplaintextChar"/>
    <w:rsid w:val="00691E8A"/>
    <w:pPr>
      <w:spacing w:before="240" w:after="240"/>
    </w:pPr>
    <w:rPr>
      <w:rFonts w:eastAsia="MS Mincho"/>
    </w:rPr>
  </w:style>
  <w:style w:type="paragraph" w:customStyle="1" w:styleId="AHRCHeading4">
    <w:name w:val="AHRC Heading 4"/>
    <w:basedOn w:val="Heading4"/>
    <w:link w:val="AHRCHeading4Char"/>
    <w:qFormat/>
    <w:rsid w:val="00CF66B5"/>
    <w:rPr>
      <w:i/>
      <w:iCs w:val="0"/>
    </w:rPr>
  </w:style>
  <w:style w:type="character" w:customStyle="1" w:styleId="ReportplaintextChar">
    <w:name w:val="Report plain text Char"/>
    <w:basedOn w:val="DefaultParagraphFont"/>
    <w:link w:val="Reportplaintext"/>
    <w:rsid w:val="00691E8A"/>
    <w:rPr>
      <w:rFonts w:ascii="Open Sans" w:eastAsia="MS Mincho" w:hAnsi="Open Sans"/>
      <w:sz w:val="24"/>
      <w:szCs w:val="24"/>
    </w:rPr>
  </w:style>
  <w:style w:type="paragraph" w:customStyle="1" w:styleId="AHRCheading5">
    <w:name w:val="AHRC heading 5"/>
    <w:basedOn w:val="ListParagraph"/>
    <w:link w:val="AHRCheading5Char"/>
    <w:qFormat/>
    <w:rsid w:val="00CF66B5"/>
    <w:pPr>
      <w:numPr>
        <w:ilvl w:val="4"/>
        <w:numId w:val="18"/>
      </w:numPr>
      <w:tabs>
        <w:tab w:val="left" w:pos="851"/>
      </w:tabs>
    </w:pPr>
  </w:style>
  <w:style w:type="character" w:customStyle="1" w:styleId="AHRCHeading4Char">
    <w:name w:val="AHRC Heading 4 Char"/>
    <w:basedOn w:val="Heading4Char"/>
    <w:link w:val="AHRCHeading4"/>
    <w:rsid w:val="00CF66B5"/>
    <w:rPr>
      <w:rFonts w:ascii="Open Sans" w:eastAsia="MS Mincho" w:hAnsi="Open Sans"/>
      <w:b/>
      <w:i/>
      <w:iCs w:val="0"/>
      <w:sz w:val="24"/>
      <w:szCs w:val="26"/>
    </w:rPr>
  </w:style>
  <w:style w:type="paragraph" w:customStyle="1" w:styleId="AHRCHeading1">
    <w:name w:val="AHRC Heading 1"/>
    <w:basedOn w:val="Heading1"/>
    <w:link w:val="AHRCHeading1Char"/>
    <w:qFormat/>
    <w:rsid w:val="00321095"/>
  </w:style>
  <w:style w:type="character" w:customStyle="1" w:styleId="ListParagraphChar">
    <w:name w:val="List Paragraph Char"/>
    <w:basedOn w:val="DefaultParagraphFont"/>
    <w:link w:val="ListParagraph"/>
    <w:uiPriority w:val="34"/>
    <w:rsid w:val="00321095"/>
    <w:rPr>
      <w:rFonts w:ascii="Open Sans" w:eastAsia="MS Mincho" w:hAnsi="Open Sans"/>
      <w:sz w:val="24"/>
      <w:szCs w:val="24"/>
    </w:rPr>
  </w:style>
  <w:style w:type="character" w:customStyle="1" w:styleId="AHRCheading5Char">
    <w:name w:val="AHRC heading 5 Char"/>
    <w:basedOn w:val="ListParagraphChar"/>
    <w:link w:val="AHRCheading5"/>
    <w:rsid w:val="00CF66B5"/>
    <w:rPr>
      <w:rFonts w:ascii="Open Sans" w:eastAsia="MS Mincho" w:hAnsi="Open Sans"/>
      <w:sz w:val="24"/>
      <w:szCs w:val="24"/>
    </w:rPr>
  </w:style>
  <w:style w:type="paragraph" w:customStyle="1" w:styleId="AHRCHeading2">
    <w:name w:val="AHRC Heading 2"/>
    <w:basedOn w:val="Heading2"/>
    <w:link w:val="AHRCHeading2Char"/>
    <w:qFormat/>
    <w:rsid w:val="000534AC"/>
    <w:rPr>
      <w:sz w:val="28"/>
    </w:rPr>
  </w:style>
  <w:style w:type="character" w:customStyle="1" w:styleId="AHRCHeading1Char">
    <w:name w:val="AHRC Heading 1 Char"/>
    <w:basedOn w:val="Heading1Char"/>
    <w:link w:val="AHRCHeading1"/>
    <w:rsid w:val="00321095"/>
    <w:rPr>
      <w:rFonts w:ascii="Open Sans Semibold" w:eastAsia="MS Mincho" w:hAnsi="Open Sans Semibold"/>
      <w:b/>
      <w:bCs/>
      <w:color w:val="4472C4" w:themeColor="accent5"/>
      <w:sz w:val="48"/>
      <w:szCs w:val="28"/>
    </w:rPr>
  </w:style>
  <w:style w:type="paragraph" w:customStyle="1" w:styleId="AHRCHeading3">
    <w:name w:val="AHRC Heading 3"/>
    <w:basedOn w:val="Heading3"/>
    <w:link w:val="AHRCHeading3Char"/>
    <w:qFormat/>
    <w:rsid w:val="00321095"/>
  </w:style>
  <w:style w:type="character" w:customStyle="1" w:styleId="AHRCHeading2Char">
    <w:name w:val="AHRC Heading 2 Char"/>
    <w:basedOn w:val="Heading2Char"/>
    <w:link w:val="AHRCHeading2"/>
    <w:rsid w:val="000534AC"/>
    <w:rPr>
      <w:rFonts w:ascii="Open Sans Semibold" w:eastAsia="MS Mincho" w:hAnsi="Open Sans Semibold"/>
      <w:b/>
      <w:color w:val="4472C4" w:themeColor="accent5"/>
      <w:sz w:val="28"/>
      <w:szCs w:val="26"/>
    </w:rPr>
  </w:style>
  <w:style w:type="character" w:customStyle="1" w:styleId="UnresolvedMention2">
    <w:name w:val="Unresolved Mention2"/>
    <w:basedOn w:val="DefaultParagraphFont"/>
    <w:uiPriority w:val="99"/>
    <w:semiHidden/>
    <w:unhideWhenUsed/>
    <w:rsid w:val="003026A0"/>
    <w:rPr>
      <w:color w:val="605E5C"/>
      <w:shd w:val="clear" w:color="auto" w:fill="E1DFDD"/>
    </w:rPr>
  </w:style>
  <w:style w:type="character" w:customStyle="1" w:styleId="AHRCHeading3Char">
    <w:name w:val="AHRC Heading 3 Char"/>
    <w:basedOn w:val="Heading3Char"/>
    <w:link w:val="AHRCHeading3"/>
    <w:rsid w:val="00321095"/>
    <w:rPr>
      <w:rFonts w:ascii="Open Sans" w:eastAsia="MS Mincho" w:hAnsi="Open Sans"/>
      <w:b/>
      <w:bCs/>
      <w:sz w:val="24"/>
      <w:szCs w:val="26"/>
    </w:rPr>
  </w:style>
  <w:style w:type="paragraph" w:customStyle="1" w:styleId="Blockquote">
    <w:name w:val="Block quote"/>
    <w:basedOn w:val="Normal"/>
    <w:link w:val="BlockquoteChar"/>
    <w:qFormat/>
    <w:rsid w:val="008A7EFF"/>
    <w:pPr>
      <w:spacing w:before="240"/>
      <w:ind w:left="1090" w:right="3"/>
    </w:pPr>
    <w:rPr>
      <w:rFonts w:eastAsia="MS Mincho"/>
    </w:rPr>
  </w:style>
  <w:style w:type="character" w:customStyle="1" w:styleId="BlockquoteChar">
    <w:name w:val="Block quote Char"/>
    <w:basedOn w:val="DefaultParagraphFont"/>
    <w:link w:val="Blockquote"/>
    <w:rsid w:val="008A7EFF"/>
    <w:rPr>
      <w:rFonts w:ascii="Open Sans" w:eastAsia="MS Mincho" w:hAnsi="Open Sans"/>
      <w:sz w:val="24"/>
      <w:szCs w:val="24"/>
    </w:rPr>
  </w:style>
  <w:style w:type="paragraph" w:customStyle="1" w:styleId="AHRCImagecaption">
    <w:name w:val="AHRC Image caption"/>
    <w:basedOn w:val="Normal"/>
    <w:link w:val="AHRCImagecaptionChar"/>
    <w:qFormat/>
    <w:rsid w:val="00A51C1D"/>
    <w:pPr>
      <w:spacing w:before="240" w:after="240"/>
    </w:pPr>
    <w:rPr>
      <w:rFonts w:eastAsia="MS Mincho"/>
      <w:sz w:val="18"/>
      <w:szCs w:val="18"/>
    </w:rPr>
  </w:style>
  <w:style w:type="paragraph" w:customStyle="1" w:styleId="AHRCEndnotes">
    <w:name w:val="AHRC Endnotes"/>
    <w:basedOn w:val="NoSpacing"/>
    <w:link w:val="AHRCEndnotesChar"/>
    <w:qFormat/>
    <w:rsid w:val="00DD604A"/>
    <w:pPr>
      <w:widowControl w:val="0"/>
      <w:numPr>
        <w:numId w:val="19"/>
      </w:numPr>
      <w:autoSpaceDE w:val="0"/>
      <w:autoSpaceDN w:val="0"/>
    </w:pPr>
    <w:rPr>
      <w:sz w:val="20"/>
      <w:szCs w:val="20"/>
    </w:rPr>
  </w:style>
  <w:style w:type="character" w:customStyle="1" w:styleId="AHRCImagecaptionChar">
    <w:name w:val="AHRC Image caption Char"/>
    <w:basedOn w:val="DefaultParagraphFont"/>
    <w:link w:val="AHRCImagecaption"/>
    <w:rsid w:val="00A51C1D"/>
    <w:rPr>
      <w:rFonts w:ascii="Open Sans" w:eastAsia="MS Mincho" w:hAnsi="Open Sans"/>
      <w:sz w:val="18"/>
      <w:szCs w:val="18"/>
    </w:rPr>
  </w:style>
  <w:style w:type="character" w:customStyle="1" w:styleId="NoSpacingChar">
    <w:name w:val="No Spacing Char"/>
    <w:basedOn w:val="DefaultParagraphFont"/>
    <w:link w:val="NoSpacing"/>
    <w:uiPriority w:val="1"/>
    <w:rsid w:val="00DD604A"/>
    <w:rPr>
      <w:rFonts w:ascii="Open Sans" w:eastAsia="MS Mincho" w:hAnsi="Open Sans"/>
      <w:sz w:val="24"/>
      <w:szCs w:val="24"/>
    </w:rPr>
  </w:style>
  <w:style w:type="character" w:customStyle="1" w:styleId="AHRCEndnotesChar">
    <w:name w:val="AHRC Endnotes Char"/>
    <w:basedOn w:val="NoSpacingChar"/>
    <w:link w:val="AHRCEndnotes"/>
    <w:rsid w:val="00DD604A"/>
    <w:rPr>
      <w:rFonts w:ascii="Open Sans" w:eastAsia="MS Mincho" w:hAnsi="Open Sans"/>
      <w:sz w:val="24"/>
      <w:szCs w:val="24"/>
    </w:rPr>
  </w:style>
  <w:style w:type="paragraph" w:customStyle="1" w:styleId="NumberedBulleta">
    <w:name w:val="Numbered Bullet (a)"/>
    <w:basedOn w:val="Normal"/>
    <w:rsid w:val="00910D53"/>
    <w:pPr>
      <w:numPr>
        <w:numId w:val="31"/>
      </w:numPr>
      <w:spacing w:before="200" w:after="240" w:line="240" w:lineRule="auto"/>
      <w:contextualSpacing/>
    </w:pPr>
    <w:rPr>
      <w:sz w:val="18"/>
      <w:lang w:eastAsia="en-US"/>
    </w:rPr>
  </w:style>
  <w:style w:type="numbering" w:customStyle="1" w:styleId="ShorterBullet">
    <w:name w:val="Shorter Bullet"/>
    <w:rsid w:val="005E4EEC"/>
    <w:pPr>
      <w:numPr>
        <w:numId w:val="20"/>
      </w:numPr>
    </w:pPr>
  </w:style>
  <w:style w:type="table" w:customStyle="1" w:styleId="TableGrey">
    <w:name w:val="Table Grey"/>
    <w:basedOn w:val="TableNormal"/>
    <w:uiPriority w:val="99"/>
    <w:rsid w:val="009972DE"/>
    <w:rPr>
      <w:rFonts w:ascii="Open Sans" w:hAnsi="Open Sans"/>
    </w:rPr>
    <w:tblPr>
      <w:tblCellMar>
        <w:top w:w="567" w:type="dxa"/>
        <w:left w:w="567" w:type="dxa"/>
        <w:bottom w:w="567" w:type="dxa"/>
        <w:right w:w="567" w:type="dxa"/>
      </w:tblCellMar>
    </w:tblPr>
    <w:tcPr>
      <w:shd w:val="clear" w:color="auto" w:fill="F2F2F2" w:themeFill="background1" w:themeFillShade="F2"/>
    </w:tcPr>
  </w:style>
  <w:style w:type="paragraph" w:customStyle="1" w:styleId="paragraph">
    <w:name w:val="paragraph"/>
    <w:basedOn w:val="Normal"/>
    <w:rsid w:val="005E3D6C"/>
    <w:pPr>
      <w:spacing w:before="100" w:beforeAutospacing="1" w:after="100" w:afterAutospacing="1"/>
    </w:pPr>
  </w:style>
  <w:style w:type="character" w:customStyle="1" w:styleId="eop">
    <w:name w:val="eop"/>
    <w:basedOn w:val="DefaultParagraphFont"/>
    <w:rsid w:val="005E3D6C"/>
    <w:rPr>
      <w:rFonts w:cs="Times New Roman"/>
    </w:rPr>
  </w:style>
  <w:style w:type="table" w:customStyle="1" w:styleId="TableGrid0">
    <w:name w:val="Table Grid0"/>
    <w:basedOn w:val="TableNormal"/>
    <w:uiPriority w:val="39"/>
    <w:rsid w:val="004634AE"/>
    <w:rPr>
      <w:rFonts w:asciiTheme="minorHAnsi" w:eastAsiaTheme="minorEastAsia" w:hAnsiTheme="minorHAns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Table">
    <w:name w:val="Heading 1 - Table"/>
    <w:basedOn w:val="Normal"/>
    <w:qFormat/>
    <w:rsid w:val="004634AE"/>
    <w:pPr>
      <w:spacing w:before="100" w:after="120"/>
      <w:ind w:left="11" w:right="249" w:hanging="11"/>
    </w:pPr>
    <w:rPr>
      <w:rFonts w:cs="Open Sans"/>
      <w:sz w:val="36"/>
      <w:szCs w:val="36"/>
      <w:lang w:val="en-US" w:eastAsia="en-US"/>
    </w:rPr>
  </w:style>
  <w:style w:type="paragraph" w:customStyle="1" w:styleId="Heading2-Table">
    <w:name w:val="Heading 2 - Table"/>
    <w:basedOn w:val="Normal"/>
    <w:qFormat/>
    <w:rsid w:val="004634AE"/>
    <w:pPr>
      <w:spacing w:after="120"/>
      <w:ind w:left="11" w:right="249" w:hanging="11"/>
    </w:pPr>
    <w:rPr>
      <w:rFonts w:cs="Open Sans"/>
      <w:sz w:val="20"/>
      <w:szCs w:val="22"/>
      <w:lang w:val="en-US" w:eastAsia="en-US"/>
    </w:rPr>
  </w:style>
  <w:style w:type="paragraph" w:customStyle="1" w:styleId="Column1-Table">
    <w:name w:val="Column 1 - Table"/>
    <w:basedOn w:val="Normal"/>
    <w:qFormat/>
    <w:rsid w:val="004634AE"/>
    <w:pPr>
      <w:spacing w:after="120" w:line="240" w:lineRule="atLeast"/>
      <w:ind w:left="11" w:right="249" w:hanging="11"/>
    </w:pPr>
    <w:rPr>
      <w:rFonts w:cs="Open Sans"/>
      <w:color w:val="26292F"/>
      <w:lang w:val="en-US" w:eastAsia="en-US"/>
    </w:rPr>
  </w:style>
  <w:style w:type="paragraph" w:customStyle="1" w:styleId="TabellaColonna01">
    <w:name w:val="Tabella Colonna 01"/>
    <w:basedOn w:val="Normal"/>
    <w:uiPriority w:val="99"/>
    <w:rsid w:val="004634AE"/>
    <w:pPr>
      <w:keepLines/>
      <w:suppressAutoHyphens/>
      <w:autoSpaceDE w:val="0"/>
      <w:autoSpaceDN w:val="0"/>
      <w:adjustRightInd w:val="0"/>
      <w:spacing w:after="85" w:line="320" w:lineRule="atLeast"/>
      <w:textAlignment w:val="center"/>
    </w:pPr>
    <w:rPr>
      <w:rFonts w:eastAsiaTheme="minorEastAsia" w:cs="Open Sans"/>
      <w:color w:val="000000"/>
      <w:sz w:val="22"/>
      <w:szCs w:val="22"/>
      <w:lang w:val="en-US"/>
    </w:rPr>
  </w:style>
  <w:style w:type="table" w:styleId="GridTable5Dark-Accent5">
    <w:name w:val="Grid Table 5 Dark Accent 5"/>
    <w:basedOn w:val="TableNormal"/>
    <w:uiPriority w:val="50"/>
    <w:locked/>
    <w:rsid w:val="001C1D9B"/>
    <w:rPr>
      <w:rFonts w:asciiTheme="minorHAnsi" w:hAnsiTheme="minorHAns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rFonts w:cs="Times New Roman"/>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rFonts w:cs="Times New Roman"/>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rFonts w:cs="Times New Roman"/>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rFonts w:cs="Times New Roman"/>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rPr>
        <w:rFonts w:cs="Times New Roman"/>
      </w:rPr>
      <w:tblPr/>
      <w:tcPr>
        <w:shd w:val="clear" w:color="auto" w:fill="B4C6E7" w:themeFill="accent5" w:themeFillTint="66"/>
      </w:tcPr>
    </w:tblStylePr>
    <w:tblStylePr w:type="band1Horz">
      <w:rPr>
        <w:rFonts w:cs="Times New Roman"/>
      </w:rPr>
      <w:tblPr/>
      <w:tcPr>
        <w:shd w:val="clear" w:color="auto" w:fill="B4C6E7" w:themeFill="accent5" w:themeFillTint="66"/>
      </w:tcPr>
    </w:tblStylePr>
  </w:style>
  <w:style w:type="paragraph" w:customStyle="1" w:styleId="TableTextBullet">
    <w:name w:val="Table Text Bullet"/>
    <w:basedOn w:val="Normal"/>
    <w:qFormat/>
    <w:rsid w:val="00760EF4"/>
    <w:pPr>
      <w:numPr>
        <w:numId w:val="29"/>
      </w:numPr>
      <w:spacing w:before="120" w:after="120" w:line="264" w:lineRule="auto"/>
    </w:pPr>
    <w:rPr>
      <w:rFonts w:eastAsiaTheme="majorEastAsia"/>
      <w:sz w:val="20"/>
      <w:szCs w:val="22"/>
      <w:lang w:eastAsia="en-US"/>
    </w:rPr>
  </w:style>
  <w:style w:type="character" w:customStyle="1" w:styleId="BodyTextChar">
    <w:name w:val="Body Text Char"/>
    <w:basedOn w:val="DefaultParagraphFont"/>
    <w:link w:val="BodyText"/>
    <w:uiPriority w:val="99"/>
    <w:locked/>
    <w:rsid w:val="004F5C03"/>
    <w:rPr>
      <w:rFonts w:ascii="Open Sans" w:eastAsia="MS Mincho" w:hAnsi="Open Sans"/>
      <w:sz w:val="24"/>
      <w:szCs w:val="24"/>
    </w:rPr>
  </w:style>
  <w:style w:type="character" w:customStyle="1" w:styleId="TitleChar">
    <w:name w:val="Title Char"/>
    <w:basedOn w:val="DefaultParagraphFont"/>
    <w:link w:val="Title"/>
    <w:uiPriority w:val="1"/>
    <w:locked/>
    <w:rsid w:val="004F5C03"/>
    <w:rPr>
      <w:rFonts w:ascii="Open Sans" w:eastAsia="MS Mincho" w:hAnsi="Open Sans" w:cs="Arial"/>
      <w:b/>
      <w:bCs/>
      <w:kern w:val="28"/>
      <w:sz w:val="32"/>
      <w:szCs w:val="32"/>
    </w:rPr>
  </w:style>
  <w:style w:type="paragraph" w:customStyle="1" w:styleId="TableParagraph">
    <w:name w:val="Table Paragraph"/>
    <w:basedOn w:val="Normal"/>
    <w:uiPriority w:val="1"/>
    <w:qFormat/>
    <w:rsid w:val="004F5C03"/>
    <w:pPr>
      <w:widowControl w:val="0"/>
      <w:autoSpaceDE w:val="0"/>
      <w:autoSpaceDN w:val="0"/>
      <w:spacing w:before="67"/>
      <w:ind w:left="106"/>
    </w:pPr>
    <w:rPr>
      <w:rFonts w:ascii="Arial" w:hAnsi="Arial" w:cs="Arial"/>
      <w:sz w:val="22"/>
      <w:szCs w:val="22"/>
      <w:lang w:val="en-US" w:eastAsia="en-US"/>
    </w:rPr>
  </w:style>
  <w:style w:type="paragraph" w:styleId="Revision">
    <w:name w:val="Revision"/>
    <w:hidden/>
    <w:uiPriority w:val="99"/>
    <w:semiHidden/>
    <w:rsid w:val="00547B8A"/>
    <w:rPr>
      <w:rFonts w:ascii="Open Sans" w:eastAsia="MS Mincho" w:hAnsi="Open Sans"/>
      <w:sz w:val="24"/>
      <w:szCs w:val="24"/>
    </w:rPr>
  </w:style>
  <w:style w:type="character" w:customStyle="1" w:styleId="Mention2">
    <w:name w:val="Mention2"/>
    <w:basedOn w:val="DefaultParagraphFont"/>
    <w:uiPriority w:val="99"/>
    <w:unhideWhenUsed/>
    <w:rsid w:val="005A2FEE"/>
    <w:rPr>
      <w:color w:val="2B579A"/>
      <w:shd w:val="clear" w:color="auto" w:fill="E1DFDD"/>
    </w:rPr>
  </w:style>
  <w:style w:type="table" w:styleId="GridTable5Dark-Accent1">
    <w:name w:val="Grid Table 5 Dark Accent 1"/>
    <w:basedOn w:val="TableNormal"/>
    <w:uiPriority w:val="50"/>
    <w:locke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4-Accent1">
    <w:name w:val="Grid Table 4 Accent 1"/>
    <w:basedOn w:val="TableNormal"/>
    <w:uiPriority w:val="49"/>
    <w:locked/>
    <w:rsid w:val="001710EC"/>
    <w:rPr>
      <w:rFonts w:ascii="Open Sans" w:eastAsiaTheme="minorHAnsi" w:hAnsi="Open Sans" w:cstheme="minorBidi"/>
      <w:szCs w:val="22"/>
      <w:lang w:eastAsia="en-US"/>
    </w:rPr>
    <w:tblPr>
      <w:tblStyleRowBandSize w:val="1"/>
      <w:tblStyleColBandSize w:val="1"/>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blStylePr w:type="firstRow">
      <w:rPr>
        <w:rFonts w:ascii="Open Sans" w:hAnsi="Open Sans"/>
        <w:b/>
        <w:bCs/>
        <w:i w:val="0"/>
        <w:color w:val="FFFFFF" w:themeColor="background1"/>
      </w:rPr>
      <w:tblPr/>
      <w:tcPr>
        <w:tcBorders>
          <w:top w:val="nil"/>
          <w:left w:val="nil"/>
          <w:bottom w:val="nil"/>
          <w:right w:val="nil"/>
          <w:insideH w:val="nil"/>
          <w:insideV w:val="nil"/>
          <w:tl2br w:val="nil"/>
          <w:tr2bl w:val="nil"/>
        </w:tcBorders>
        <w:shd w:val="clear" w:color="auto" w:fill="4472C4" w:themeFill="accent5"/>
      </w:tcPr>
    </w:tblStylePr>
    <w:tblStylePr w:type="lastRow">
      <w:rPr>
        <w:rFonts w:ascii="Open Sans" w:hAnsi="Open Sans"/>
        <w:b w:val="0"/>
        <w:bCs/>
        <w:i w:val="0"/>
      </w:rPr>
      <w:tblPr/>
      <w:tcPr>
        <w:tcBorders>
          <w:top w:val="double" w:sz="4" w:space="0" w:color="5B9BD5" w:themeColor="accent1"/>
        </w:tcBorders>
      </w:tcPr>
    </w:tblStylePr>
    <w:tblStylePr w:type="firstCol">
      <w:rPr>
        <w:rFonts w:ascii="Open Sans" w:hAnsi="Open Sans"/>
        <w:b w:val="0"/>
        <w:bCs/>
        <w:i w:val="0"/>
      </w:rPr>
    </w:tblStylePr>
    <w:tblStylePr w:type="lastCol">
      <w:rPr>
        <w:rFonts w:ascii="Open Sans" w:hAnsi="Open Sans"/>
        <w:b w:val="0"/>
        <w:bCs/>
        <w:i w:val="0"/>
      </w:rPr>
    </w:tblStylePr>
    <w:tblStylePr w:type="band1Vert">
      <w:rPr>
        <w:rFonts w:ascii="Open Sans" w:hAnsi="Open Sans"/>
        <w:b w:val="0"/>
        <w:i w:val="0"/>
      </w:rPr>
      <w:tblPr/>
      <w:tcPr>
        <w:shd w:val="clear" w:color="auto" w:fill="F2F2F2" w:themeFill="background1" w:themeFillShade="F2"/>
      </w:tcPr>
    </w:tblStylePr>
    <w:tblStylePr w:type="band2Vert">
      <w:rPr>
        <w:rFonts w:ascii="Open Sans" w:hAnsi="Open Sans"/>
        <w:b w:val="0"/>
        <w:i w:val="0"/>
      </w:rPr>
      <w:tblPr/>
      <w:tcPr>
        <w:shd w:val="clear" w:color="auto" w:fill="F2F2F2" w:themeFill="background1" w:themeFillShade="F2"/>
      </w:tcPr>
    </w:tblStylePr>
    <w:tblStylePr w:type="band1Horz">
      <w:rPr>
        <w:rFonts w:ascii="Open Sans" w:hAnsi="Open Sans"/>
        <w:b w:val="0"/>
        <w:i w:val="0"/>
      </w:rPr>
      <w:tblPr/>
      <w:tcPr>
        <w:shd w:val="clear" w:color="auto" w:fill="F2F2F2" w:themeFill="background1" w:themeFillShade="F2"/>
      </w:tcPr>
    </w:tblStylePr>
    <w:tblStylePr w:type="band2Horz">
      <w:rPr>
        <w:rFonts w:ascii="Open Sans" w:hAnsi="Open Sans"/>
        <w:b w:val="0"/>
        <w:i w:val="0"/>
      </w:rPr>
      <w:tblPr/>
      <w:tcPr>
        <w:shd w:val="clear" w:color="auto" w:fill="F2F2F2" w:themeFill="background1" w:themeFillShade="F2"/>
      </w:tcPr>
    </w:tblStylePr>
    <w:tblStylePr w:type="neCell">
      <w:rPr>
        <w:rFonts w:ascii="Open Sans" w:hAnsi="Open Sans"/>
        <w:b w:val="0"/>
        <w:i w:val="0"/>
      </w:rPr>
    </w:tblStylePr>
    <w:tblStylePr w:type="nwCell">
      <w:rPr>
        <w:rFonts w:ascii="Open Sans" w:hAnsi="Open Sans"/>
        <w:b w:val="0"/>
        <w:i w:val="0"/>
      </w:rPr>
    </w:tblStylePr>
    <w:tblStylePr w:type="seCell">
      <w:rPr>
        <w:rFonts w:ascii="Open Sans" w:hAnsi="Open Sans"/>
        <w:b w:val="0"/>
        <w:i w:val="0"/>
      </w:rPr>
    </w:tblStylePr>
    <w:tblStylePr w:type="swCell">
      <w:rPr>
        <w:rFonts w:ascii="Open Sans" w:hAnsi="Open Sans"/>
        <w:b w:val="0"/>
        <w:i w:val="0"/>
      </w:rPr>
    </w:tblStylePr>
  </w:style>
  <w:style w:type="table" w:styleId="PlainTable4">
    <w:name w:val="Plain Table 4"/>
    <w:basedOn w:val="TableNormal"/>
    <w:uiPriority w:val="44"/>
    <w:locked/>
    <w:rsid w:val="00D565FE"/>
    <w:rPr>
      <w:rFonts w:asciiTheme="minorHAnsi" w:eastAsiaTheme="minorHAnsi" w:hAnsiTheme="minorHAnsi" w:cstheme="minorBidi"/>
      <w:sz w:val="22"/>
      <w:szCs w:val="22"/>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ontentpasted0">
    <w:name w:val="contentpasted0"/>
    <w:basedOn w:val="DefaultParagraphFont"/>
    <w:rsid w:val="00D565FE"/>
  </w:style>
  <w:style w:type="character" w:customStyle="1" w:styleId="Menzione1">
    <w:name w:val="Menzione1"/>
    <w:basedOn w:val="DefaultParagraphFont"/>
    <w:uiPriority w:val="99"/>
    <w:unhideWhenUsed/>
    <w:rsid w:val="00824F15"/>
    <w:rPr>
      <w:color w:val="2B579A"/>
      <w:shd w:val="clear" w:color="auto" w:fill="E1DFDD"/>
    </w:rPr>
  </w:style>
  <w:style w:type="character" w:customStyle="1" w:styleId="cf01">
    <w:name w:val="cf01"/>
    <w:basedOn w:val="DefaultParagraphFont"/>
    <w:rsid w:val="00802999"/>
    <w:rPr>
      <w:rFonts w:ascii="Segoe UI" w:hAnsi="Segoe UI" w:cs="Segoe UI" w:hint="default"/>
      <w:sz w:val="18"/>
      <w:szCs w:val="18"/>
    </w:rPr>
  </w:style>
  <w:style w:type="numbering" w:customStyle="1" w:styleId="Elencocorrente1">
    <w:name w:val="Elenco corrente1"/>
    <w:uiPriority w:val="99"/>
    <w:rsid w:val="00532FF0"/>
    <w:pPr>
      <w:numPr>
        <w:numId w:val="21"/>
      </w:numPr>
    </w:pPr>
  </w:style>
  <w:style w:type="numbering" w:customStyle="1" w:styleId="Elencocorrente2">
    <w:name w:val="Elenco corrente2"/>
    <w:uiPriority w:val="99"/>
    <w:rsid w:val="004F272B"/>
    <w:pPr>
      <w:numPr>
        <w:numId w:val="22"/>
      </w:numPr>
    </w:pPr>
  </w:style>
  <w:style w:type="numbering" w:customStyle="1" w:styleId="Elencocorrente3">
    <w:name w:val="Elenco corrente3"/>
    <w:uiPriority w:val="99"/>
    <w:rsid w:val="008A3281"/>
    <w:pPr>
      <w:numPr>
        <w:numId w:val="23"/>
      </w:numPr>
    </w:pPr>
  </w:style>
  <w:style w:type="numbering" w:customStyle="1" w:styleId="Elencocorrente4">
    <w:name w:val="Elenco corrente4"/>
    <w:uiPriority w:val="99"/>
    <w:rsid w:val="00A47BBF"/>
    <w:pPr>
      <w:numPr>
        <w:numId w:val="24"/>
      </w:numPr>
    </w:pPr>
  </w:style>
  <w:style w:type="paragraph" w:customStyle="1" w:styleId="TableText">
    <w:name w:val="Table Text"/>
    <w:basedOn w:val="Normal"/>
    <w:qFormat/>
    <w:rsid w:val="00330FDA"/>
    <w:pPr>
      <w:spacing w:before="120" w:after="120" w:line="240" w:lineRule="auto"/>
      <w:textAlignment w:val="baseline"/>
    </w:pPr>
    <w:rPr>
      <w:rFonts w:cs="Open Sans"/>
      <w:sz w:val="18"/>
      <w:szCs w:val="20"/>
    </w:rPr>
  </w:style>
  <w:style w:type="paragraph" w:customStyle="1" w:styleId="TableHeading">
    <w:name w:val="Table Heading"/>
    <w:basedOn w:val="TableText"/>
    <w:qFormat/>
    <w:rsid w:val="00C66701"/>
    <w:rPr>
      <w:b/>
    </w:rPr>
  </w:style>
  <w:style w:type="numbering" w:customStyle="1" w:styleId="Elencocorrente5">
    <w:name w:val="Elenco corrente5"/>
    <w:uiPriority w:val="99"/>
    <w:rsid w:val="00C66701"/>
    <w:pPr>
      <w:numPr>
        <w:numId w:val="25"/>
      </w:numPr>
    </w:pPr>
  </w:style>
  <w:style w:type="paragraph" w:customStyle="1" w:styleId="Enfasigrassettoblu">
    <w:name w:val="Enfasi (grassetto) blu"/>
    <w:basedOn w:val="Normal"/>
    <w:link w:val="EnfasigrassettobluCarattere"/>
    <w:qFormat/>
    <w:rsid w:val="00CA7C5F"/>
    <w:rPr>
      <w:rFonts w:eastAsia="Open Sans"/>
      <w:b/>
      <w:color w:val="0070C0"/>
    </w:rPr>
  </w:style>
  <w:style w:type="character" w:customStyle="1" w:styleId="EnfasigrassettobluCarattere">
    <w:name w:val="Enfasi (grassetto) blu Carattere"/>
    <w:basedOn w:val="DefaultParagraphFont"/>
    <w:link w:val="Enfasigrassettoblu"/>
    <w:rsid w:val="00CA7C5F"/>
    <w:rPr>
      <w:rFonts w:ascii="Open Sans" w:eastAsia="Open Sans" w:hAnsi="Open Sans"/>
      <w:b/>
      <w:color w:val="0070C0"/>
      <w:sz w:val="24"/>
      <w:szCs w:val="24"/>
    </w:rPr>
  </w:style>
  <w:style w:type="numbering" w:customStyle="1" w:styleId="Elencocorrente6">
    <w:name w:val="Elenco corrente6"/>
    <w:uiPriority w:val="99"/>
    <w:rsid w:val="00330FDA"/>
    <w:pPr>
      <w:numPr>
        <w:numId w:val="26"/>
      </w:numPr>
    </w:pPr>
  </w:style>
  <w:style w:type="numbering" w:customStyle="1" w:styleId="Elencocorrente7">
    <w:name w:val="Elenco corrente7"/>
    <w:uiPriority w:val="99"/>
    <w:rsid w:val="00330FDA"/>
    <w:pPr>
      <w:numPr>
        <w:numId w:val="27"/>
      </w:numPr>
    </w:pPr>
  </w:style>
  <w:style w:type="numbering" w:customStyle="1" w:styleId="Elencocorrente8">
    <w:name w:val="Elenco corrente8"/>
    <w:uiPriority w:val="99"/>
    <w:rsid w:val="00B03D74"/>
    <w:pPr>
      <w:numPr>
        <w:numId w:val="28"/>
      </w:numPr>
    </w:pPr>
  </w:style>
  <w:style w:type="numbering" w:customStyle="1" w:styleId="Elencocorrente9">
    <w:name w:val="Elenco corrente9"/>
    <w:uiPriority w:val="99"/>
    <w:rsid w:val="00B03D74"/>
    <w:pPr>
      <w:numPr>
        <w:numId w:val="30"/>
      </w:numPr>
    </w:pPr>
  </w:style>
  <w:style w:type="numbering" w:customStyle="1" w:styleId="Elencocorrente10">
    <w:name w:val="Elenco corrente10"/>
    <w:uiPriority w:val="99"/>
    <w:rsid w:val="002F16FD"/>
    <w:pPr>
      <w:numPr>
        <w:numId w:val="37"/>
      </w:numPr>
    </w:pPr>
  </w:style>
  <w:style w:type="numbering" w:customStyle="1" w:styleId="Elencocorrente11">
    <w:name w:val="Elenco corrente11"/>
    <w:uiPriority w:val="99"/>
    <w:rsid w:val="002F16FD"/>
    <w:pPr>
      <w:numPr>
        <w:numId w:val="38"/>
      </w:numPr>
    </w:pPr>
  </w:style>
  <w:style w:type="numbering" w:customStyle="1" w:styleId="Elencocorrente12">
    <w:name w:val="Elenco corrente12"/>
    <w:uiPriority w:val="99"/>
    <w:rsid w:val="002F16FD"/>
    <w:pPr>
      <w:numPr>
        <w:numId w:val="39"/>
      </w:numPr>
    </w:pPr>
  </w:style>
  <w:style w:type="paragraph" w:customStyle="1" w:styleId="TableHeadingCorsivo">
    <w:name w:val="Table Heading Corsivo"/>
    <w:basedOn w:val="TableHeading"/>
    <w:qFormat/>
    <w:rsid w:val="00113F71"/>
    <w:rPr>
      <w:i/>
    </w:rPr>
  </w:style>
  <w:style w:type="paragraph" w:customStyle="1" w:styleId="TableHeading10pt">
    <w:name w:val="Table Heading 10pt"/>
    <w:basedOn w:val="Normal"/>
    <w:qFormat/>
    <w:rsid w:val="00113F71"/>
    <w:rPr>
      <w:b/>
      <w:sz w:val="20"/>
    </w:rPr>
  </w:style>
  <w:style w:type="paragraph" w:customStyle="1" w:styleId="TableTextBullet9pt">
    <w:name w:val="Table Text Bullet 9pt"/>
    <w:basedOn w:val="TableTextBullet"/>
    <w:qFormat/>
    <w:rsid w:val="00113F71"/>
    <w:rPr>
      <w:sz w:val="18"/>
    </w:rPr>
  </w:style>
  <w:style w:type="paragraph" w:customStyle="1" w:styleId="CopyrightText">
    <w:name w:val="Copyright Text"/>
    <w:basedOn w:val="Normal"/>
    <w:uiPriority w:val="99"/>
    <w:rsid w:val="00B000FA"/>
    <w:pPr>
      <w:keepNext/>
      <w:keepLines/>
      <w:tabs>
        <w:tab w:val="left" w:pos="567"/>
      </w:tabs>
      <w:suppressAutoHyphens/>
      <w:autoSpaceDE w:val="0"/>
      <w:autoSpaceDN w:val="0"/>
      <w:adjustRightInd w:val="0"/>
      <w:spacing w:before="0" w:line="240" w:lineRule="auto"/>
      <w:textAlignment w:val="center"/>
    </w:pPr>
    <w:rPr>
      <w:rFonts w:cs="Open Sans"/>
      <w:sz w:val="20"/>
      <w:szCs w:val="18"/>
      <w:u w:color="000000"/>
      <w:lang w:val="en-US"/>
    </w:rPr>
  </w:style>
  <w:style w:type="paragraph" w:customStyle="1" w:styleId="CopyrightTextBullets">
    <w:name w:val="Copyright Text Bullets"/>
    <w:basedOn w:val="CopyrightText"/>
    <w:uiPriority w:val="99"/>
    <w:rsid w:val="00B000FA"/>
    <w:pPr>
      <w:numPr>
        <w:numId w:val="41"/>
      </w:numPr>
      <w:ind w:right="1134"/>
      <w:contextualSpacing/>
    </w:pPr>
  </w:style>
  <w:style w:type="paragraph" w:customStyle="1" w:styleId="CopyrightAddress">
    <w:name w:val="Copyright Address"/>
    <w:basedOn w:val="CopyrightText"/>
    <w:qFormat/>
    <w:rsid w:val="00B000FA"/>
    <w:pPr>
      <w:ind w:left="567"/>
      <w:contextualSpacing/>
    </w:pPr>
  </w:style>
  <w:style w:type="paragraph" w:customStyle="1" w:styleId="TableHeadingAvenirNextCn">
    <w:name w:val="Table Heading Avenir Next Cn"/>
    <w:basedOn w:val="TableHeading"/>
    <w:qFormat/>
    <w:rsid w:val="00F037D1"/>
    <w:rPr>
      <w:rFonts w:ascii="Avenir Next Condensed Demi Bold" w:hAnsi="Avenir Next Condensed Demi Bold"/>
      <w:bCs/>
      <w:szCs w:val="18"/>
    </w:rPr>
  </w:style>
  <w:style w:type="paragraph" w:customStyle="1" w:styleId="TableHeadingPlainCn">
    <w:name w:val="Table Heading Plain Cn"/>
    <w:basedOn w:val="TableText"/>
    <w:qFormat/>
    <w:rsid w:val="002D0DC6"/>
    <w:rPr>
      <w:rFonts w:ascii="Open Sans Condensed Light" w:hAnsi="Open Sans Condensed Light"/>
      <w:szCs w:val="18"/>
    </w:rPr>
  </w:style>
  <w:style w:type="paragraph" w:customStyle="1" w:styleId="TableHeadingBoldCn">
    <w:name w:val="Table Heading Bold Cn"/>
    <w:basedOn w:val="TableHeadingAvenirNextCn"/>
    <w:qFormat/>
    <w:rsid w:val="002D0DC6"/>
    <w:rPr>
      <w:rFonts w:ascii="Open Sans Condensed" w:hAnsi="Open Sans Condensed"/>
      <w:color w:val="000000" w:themeColor="text1"/>
      <w:lang w:eastAsia="en-US"/>
    </w:rPr>
  </w:style>
  <w:style w:type="paragraph" w:customStyle="1" w:styleId="Nessunostileparagrafo">
    <w:name w:val="[Nessuno stile paragrafo]"/>
    <w:rsid w:val="00420477"/>
    <w:pPr>
      <w:autoSpaceDE w:val="0"/>
      <w:autoSpaceDN w:val="0"/>
      <w:adjustRightInd w:val="0"/>
      <w:spacing w:line="288" w:lineRule="auto"/>
      <w:textAlignment w:val="center"/>
    </w:pPr>
    <w:rPr>
      <w:rFonts w:ascii="Times-Roman" w:hAnsi="Times-Roman" w:cs="Times-Roman"/>
      <w:color w:val="000000"/>
      <w:sz w:val="24"/>
      <w:szCs w:val="24"/>
      <w:lang w:val="en-US"/>
    </w:rPr>
  </w:style>
  <w:style w:type="paragraph" w:customStyle="1" w:styleId="Heading6Corsivo">
    <w:name w:val="Heading 6: Corsivo"/>
    <w:basedOn w:val="Normal"/>
    <w:uiPriority w:val="99"/>
    <w:rsid w:val="00420477"/>
    <w:pPr>
      <w:keepNext/>
      <w:tabs>
        <w:tab w:val="left" w:pos="567"/>
      </w:tabs>
      <w:suppressAutoHyphens/>
      <w:autoSpaceDE w:val="0"/>
      <w:autoSpaceDN w:val="0"/>
      <w:adjustRightInd w:val="0"/>
      <w:spacing w:line="220" w:lineRule="atLeast"/>
      <w:textAlignment w:val="center"/>
    </w:pPr>
    <w:rPr>
      <w:rFonts w:cs="Open Sans"/>
      <w:i/>
      <w:iCs/>
      <w:color w:val="000000"/>
      <w:sz w:val="20"/>
      <w:szCs w:val="20"/>
      <w:u w:color="000000"/>
    </w:rPr>
  </w:style>
  <w:style w:type="paragraph" w:customStyle="1" w:styleId="Paragrafobase">
    <w:name w:val="[Paragrafo base]"/>
    <w:basedOn w:val="Nessunostileparagrafo"/>
    <w:uiPriority w:val="99"/>
    <w:rsid w:val="00420477"/>
    <w:pPr>
      <w:keepLines/>
      <w:suppressAutoHyphens/>
      <w:spacing w:after="170"/>
    </w:pPr>
    <w:rPr>
      <w:rFonts w:ascii="Open Sans" w:hAnsi="Open Sans" w:cs="Open Sans"/>
      <w:sz w:val="20"/>
      <w:szCs w:val="20"/>
    </w:rPr>
  </w:style>
  <w:style w:type="paragraph" w:customStyle="1" w:styleId="FSHeaderRow">
    <w:name w:val="FS Header Row"/>
    <w:basedOn w:val="Nessunostileparagrafo"/>
    <w:uiPriority w:val="99"/>
    <w:rsid w:val="00420477"/>
    <w:pPr>
      <w:keepLines/>
      <w:tabs>
        <w:tab w:val="right" w:pos="6240"/>
        <w:tab w:val="right" w:pos="7280"/>
        <w:tab w:val="right" w:pos="8300"/>
      </w:tabs>
      <w:suppressAutoHyphens/>
      <w:spacing w:line="180" w:lineRule="atLeast"/>
      <w:jc w:val="right"/>
    </w:pPr>
    <w:rPr>
      <w:rFonts w:ascii="Open Sans Condensed" w:hAnsi="Open Sans Condensed" w:cs="Open Sans Condensed"/>
      <w:b/>
      <w:bCs/>
      <w:sz w:val="16"/>
      <w:szCs w:val="16"/>
    </w:rPr>
  </w:style>
  <w:style w:type="paragraph" w:customStyle="1" w:styleId="FSBodyText">
    <w:name w:val="FS Body Text"/>
    <w:basedOn w:val="BodyText"/>
    <w:uiPriority w:val="99"/>
    <w:rsid w:val="00420477"/>
    <w:pPr>
      <w:keepLines/>
      <w:tabs>
        <w:tab w:val="right" w:pos="6240"/>
        <w:tab w:val="right" w:pos="7280"/>
        <w:tab w:val="right" w:pos="8300"/>
      </w:tabs>
      <w:suppressAutoHyphens/>
      <w:autoSpaceDE w:val="0"/>
      <w:autoSpaceDN w:val="0"/>
      <w:adjustRightInd w:val="0"/>
      <w:spacing w:before="0" w:after="113"/>
      <w:textAlignment w:val="center"/>
    </w:pPr>
    <w:rPr>
      <w:rFonts w:eastAsia="Times New Roman" w:cs="Open Sans"/>
      <w:color w:val="000000"/>
      <w:sz w:val="16"/>
      <w:szCs w:val="16"/>
      <w:lang w:val="en-US"/>
    </w:rPr>
  </w:style>
  <w:style w:type="paragraph" w:customStyle="1" w:styleId="FSBodyText7ptDestra">
    <w:name w:val="FS Body Text 7pt Destra"/>
    <w:basedOn w:val="FSBodyText"/>
    <w:uiPriority w:val="99"/>
    <w:rsid w:val="00420477"/>
    <w:pPr>
      <w:jc w:val="right"/>
    </w:pPr>
    <w:rPr>
      <w:sz w:val="14"/>
      <w:szCs w:val="14"/>
    </w:rPr>
  </w:style>
  <w:style w:type="character" w:customStyle="1" w:styleId="Italic">
    <w:name w:val="Italic"/>
    <w:uiPriority w:val="99"/>
    <w:rsid w:val="00420477"/>
    <w:rPr>
      <w:rFonts w:ascii="Open Sans" w:hAnsi="Open Sans" w:cs="Open Sans"/>
      <w:i/>
      <w:iCs/>
      <w:w w:val="100"/>
    </w:rPr>
  </w:style>
  <w:style w:type="paragraph" w:customStyle="1" w:styleId="FSBlueHeadingBold">
    <w:name w:val="FS Blue Heading Bold"/>
    <w:basedOn w:val="FSBodyText"/>
    <w:uiPriority w:val="99"/>
    <w:rsid w:val="00E8256E"/>
    <w:pPr>
      <w:spacing w:after="60" w:line="240" w:lineRule="auto"/>
    </w:pPr>
    <w:rPr>
      <w:b/>
      <w:bCs/>
      <w:color w:val="1CBDC9"/>
    </w:rPr>
  </w:style>
  <w:style w:type="character" w:customStyle="1" w:styleId="Bold">
    <w:name w:val="Bold"/>
    <w:uiPriority w:val="99"/>
    <w:rsid w:val="009F4E32"/>
    <w:rPr>
      <w:rFonts w:ascii="Open Sans" w:hAnsi="Open Sans" w:cs="Open Sans"/>
      <w:b/>
      <w:bCs/>
    </w:rPr>
  </w:style>
  <w:style w:type="character" w:customStyle="1" w:styleId="FSUnboldCond">
    <w:name w:val="FS Unbold Cond"/>
    <w:basedOn w:val="DefaultParagraphFont"/>
    <w:uiPriority w:val="99"/>
    <w:rsid w:val="009F4E32"/>
    <w:rPr>
      <w:rFonts w:ascii="Open Sans Condensed Light" w:hAnsi="Open Sans Condensed Light" w:cs="Open Sans Condensed Light"/>
      <w:sz w:val="16"/>
      <w:szCs w:val="16"/>
    </w:rPr>
  </w:style>
  <w:style w:type="paragraph" w:customStyle="1" w:styleId="FSNote">
    <w:name w:val="FS Note"/>
    <w:basedOn w:val="FSBodyText"/>
    <w:uiPriority w:val="99"/>
    <w:rsid w:val="009F4E32"/>
    <w:rPr>
      <w:sz w:val="14"/>
      <w:szCs w:val="14"/>
    </w:rPr>
  </w:style>
  <w:style w:type="character" w:customStyle="1" w:styleId="Apice">
    <w:name w:val="Apice"/>
    <w:uiPriority w:val="99"/>
    <w:rsid w:val="009F4E32"/>
    <w:rPr>
      <w:rFonts w:ascii="Open Sans" w:hAnsi="Open Sans" w:cs="Open Sans"/>
      <w:color w:val="000000"/>
      <w:w w:val="100"/>
      <w:vertAlign w:val="superscript"/>
    </w:rPr>
  </w:style>
  <w:style w:type="paragraph" w:customStyle="1" w:styleId="FSBodyTextBold">
    <w:name w:val="FS Body Text Bold"/>
    <w:basedOn w:val="FSBodyText"/>
    <w:uiPriority w:val="99"/>
    <w:rsid w:val="009F4E32"/>
    <w:pPr>
      <w:spacing w:before="57"/>
    </w:pPr>
    <w:rPr>
      <w:b/>
      <w:bCs/>
    </w:rPr>
  </w:style>
  <w:style w:type="paragraph" w:customStyle="1" w:styleId="FSHeading2-Tutti">
    <w:name w:val="FS Heading 2 - Tutti"/>
    <w:basedOn w:val="Normal"/>
    <w:uiPriority w:val="99"/>
    <w:rsid w:val="00B5393B"/>
    <w:pPr>
      <w:tabs>
        <w:tab w:val="left" w:pos="567"/>
      </w:tabs>
      <w:suppressAutoHyphens/>
      <w:autoSpaceDE w:val="0"/>
      <w:autoSpaceDN w:val="0"/>
      <w:adjustRightInd w:val="0"/>
      <w:spacing w:line="280" w:lineRule="atLeast"/>
      <w:textAlignment w:val="center"/>
    </w:pPr>
    <w:rPr>
      <w:rFonts w:ascii="Open Sans Semibold" w:hAnsi="Open Sans Semibold" w:cs="Open Sans Semibold"/>
      <w:color w:val="1CBDC9"/>
      <w:sz w:val="26"/>
      <w:szCs w:val="26"/>
    </w:rPr>
  </w:style>
  <w:style w:type="paragraph" w:customStyle="1" w:styleId="FSBulletsa">
    <w:name w:val="FS Bullets a)"/>
    <w:basedOn w:val="Normal"/>
    <w:uiPriority w:val="99"/>
    <w:rsid w:val="00C7569E"/>
    <w:pPr>
      <w:keepLines/>
      <w:tabs>
        <w:tab w:val="left" w:pos="567"/>
        <w:tab w:val="left" w:pos="850"/>
      </w:tabs>
      <w:suppressAutoHyphens/>
      <w:autoSpaceDE w:val="0"/>
      <w:autoSpaceDN w:val="0"/>
      <w:adjustRightInd w:val="0"/>
      <w:spacing w:before="0" w:after="0"/>
      <w:ind w:left="567" w:hanging="283"/>
      <w:textAlignment w:val="center"/>
    </w:pPr>
    <w:rPr>
      <w:rFonts w:cs="Open Sans"/>
      <w:color w:val="000000"/>
      <w:sz w:val="16"/>
      <w:szCs w:val="16"/>
      <w:lang w:val="en-US"/>
    </w:rPr>
  </w:style>
  <w:style w:type="paragraph" w:customStyle="1" w:styleId="FSBlueHeadingItalics">
    <w:name w:val="FS Blue Heading Italics"/>
    <w:basedOn w:val="FSBlueHeadingBold"/>
    <w:uiPriority w:val="99"/>
    <w:rsid w:val="00C7569E"/>
    <w:pPr>
      <w:spacing w:after="57"/>
    </w:pPr>
    <w:rPr>
      <w:b w:val="0"/>
      <w:bCs w:val="0"/>
      <w:i/>
      <w:iCs/>
    </w:rPr>
  </w:style>
  <w:style w:type="character" w:customStyle="1" w:styleId="Corsivo">
    <w:name w:val="Corsivo"/>
    <w:uiPriority w:val="99"/>
    <w:rsid w:val="00C7569E"/>
    <w:rPr>
      <w:i/>
      <w:iCs/>
      <w:color w:val="000000"/>
    </w:rPr>
  </w:style>
  <w:style w:type="character" w:customStyle="1" w:styleId="Nero">
    <w:name w:val="Nero"/>
    <w:uiPriority w:val="99"/>
    <w:rsid w:val="00C7569E"/>
    <w:rPr>
      <w:color w:val="000000"/>
      <w:sz w:val="16"/>
      <w:szCs w:val="16"/>
    </w:rPr>
  </w:style>
  <w:style w:type="paragraph" w:customStyle="1" w:styleId="Heading2-Tutti">
    <w:name w:val="Heading 2 - Tutti"/>
    <w:basedOn w:val="Nessunostileparagrafo"/>
    <w:uiPriority w:val="99"/>
    <w:rsid w:val="00F47023"/>
    <w:pPr>
      <w:tabs>
        <w:tab w:val="left" w:pos="567"/>
      </w:tabs>
      <w:suppressAutoHyphens/>
      <w:spacing w:before="170" w:after="170" w:line="280" w:lineRule="atLeast"/>
    </w:pPr>
    <w:rPr>
      <w:rFonts w:ascii="Open Sans Semibold" w:hAnsi="Open Sans Semibold" w:cs="Open Sans Semibold"/>
      <w:color w:val="1CBDC9"/>
      <w:sz w:val="26"/>
      <w:szCs w:val="26"/>
      <w:lang w:val="en-AU"/>
    </w:rPr>
  </w:style>
  <w:style w:type="paragraph" w:customStyle="1" w:styleId="BulletsList">
    <w:name w:val="Bullets List"/>
    <w:basedOn w:val="BodyText"/>
    <w:uiPriority w:val="99"/>
    <w:rsid w:val="00F47023"/>
    <w:pPr>
      <w:keepLines/>
      <w:tabs>
        <w:tab w:val="left" w:pos="567"/>
        <w:tab w:val="left" w:pos="850"/>
      </w:tabs>
      <w:suppressAutoHyphens/>
      <w:autoSpaceDE w:val="0"/>
      <w:autoSpaceDN w:val="0"/>
      <w:adjustRightInd w:val="0"/>
      <w:spacing w:before="0" w:after="57"/>
      <w:ind w:left="567" w:hanging="170"/>
      <w:textAlignment w:val="center"/>
    </w:pPr>
    <w:rPr>
      <w:rFonts w:eastAsia="Times New Roman" w:cs="Open Sans"/>
      <w:color w:val="000000"/>
      <w:sz w:val="18"/>
      <w:szCs w:val="18"/>
      <w:lang w:val="en-US"/>
    </w:rPr>
  </w:style>
  <w:style w:type="paragraph" w:customStyle="1" w:styleId="FSBulletsList1">
    <w:name w:val="FS Bullets List +1"/>
    <w:basedOn w:val="BulletsList"/>
    <w:uiPriority w:val="99"/>
    <w:rsid w:val="00F47023"/>
    <w:rPr>
      <w:sz w:val="16"/>
      <w:szCs w:val="16"/>
    </w:rPr>
  </w:style>
  <w:style w:type="character" w:customStyle="1" w:styleId="BoldItalic">
    <w:name w:val="Bold Italic"/>
    <w:uiPriority w:val="99"/>
    <w:rsid w:val="00F47023"/>
    <w:rPr>
      <w:rFonts w:ascii="Open Sans" w:hAnsi="Open Sans" w:cs="Open Sans"/>
      <w:b/>
      <w:bCs/>
      <w:i/>
      <w:iCs/>
    </w:rPr>
  </w:style>
  <w:style w:type="character" w:customStyle="1" w:styleId="FSBold">
    <w:name w:val="FS Bold"/>
    <w:uiPriority w:val="99"/>
    <w:rsid w:val="00F47023"/>
    <w:rPr>
      <w:rFonts w:ascii="Open Sans" w:hAnsi="Open Sans" w:cs="Open Sans"/>
      <w:b/>
      <w:bCs/>
    </w:rPr>
  </w:style>
  <w:style w:type="character" w:customStyle="1" w:styleId="StileelencoimportatodaWord4StiliperelenchiimportatiWordRTF">
    <w:name w:val="Stile elenco importato da Word4 (Stili per elenchi importati Word/RTF)"/>
    <w:uiPriority w:val="99"/>
    <w:rsid w:val="00F47023"/>
    <w:rPr>
      <w:rFonts w:ascii="Open Sans" w:hAnsi="Open Sans" w:cs="Open Sans"/>
      <w:w w:val="100"/>
    </w:rPr>
  </w:style>
  <w:style w:type="character" w:customStyle="1" w:styleId="PANTONE717C">
    <w:name w:val="PANTONE 717 C"/>
    <w:uiPriority w:val="99"/>
    <w:rsid w:val="00F47023"/>
    <w:rPr>
      <w:color w:val="2BB8C9"/>
    </w:rPr>
  </w:style>
  <w:style w:type="paragraph" w:customStyle="1" w:styleId="Heading11-Financials">
    <w:name w:val="Heading 1:1 - Financials"/>
    <w:basedOn w:val="Nessunostileparagrafo"/>
    <w:uiPriority w:val="99"/>
    <w:rsid w:val="005432C6"/>
    <w:pPr>
      <w:suppressAutoHyphens/>
    </w:pPr>
    <w:rPr>
      <w:rFonts w:ascii="Open Sans Condensed" w:hAnsi="Open Sans Condensed" w:cs="Open Sans Condensed"/>
      <w:b/>
      <w:bCs/>
      <w:lang w:val="en-AU"/>
    </w:rPr>
  </w:style>
  <w:style w:type="character" w:customStyle="1" w:styleId="OpenSansCond12ptGrigio">
    <w:name w:val="Open Sans Cond 12pt Grigio"/>
    <w:uiPriority w:val="99"/>
    <w:rsid w:val="00A57D8D"/>
  </w:style>
  <w:style w:type="character" w:customStyle="1" w:styleId="Mention">
    <w:name w:val="Mention"/>
    <w:basedOn w:val="DefaultParagraphFont"/>
    <w:uiPriority w:val="99"/>
    <w:unhideWhenUsed/>
    <w:rsid w:val="00F57835"/>
    <w:rPr>
      <w:color w:val="2B579A"/>
      <w:shd w:val="clear" w:color="auto" w:fill="E1DFDD"/>
    </w:rPr>
  </w:style>
  <w:style w:type="paragraph" w:customStyle="1" w:styleId="Fortheyearended">
    <w:name w:val="For the year ended"/>
    <w:basedOn w:val="Normal"/>
    <w:qFormat/>
    <w:rsid w:val="002320D7"/>
    <w:pPr>
      <w:spacing w:before="0" w:line="200" w:lineRule="exact"/>
    </w:pPr>
    <w:rPr>
      <w:sz w:val="20"/>
    </w:rPr>
  </w:style>
  <w:style w:type="paragraph" w:customStyle="1" w:styleId="OurPurpose">
    <w:name w:val="Our Purpose"/>
    <w:basedOn w:val="Normal"/>
    <w:qFormat/>
    <w:rsid w:val="00B97704"/>
    <w:rPr>
      <w:rFonts w:ascii="Open Sans Semibold" w:hAnsi="Open Sans Semibold"/>
      <w:b/>
      <w:sz w:val="22"/>
    </w:rPr>
  </w:style>
  <w:style w:type="table" w:styleId="GridTable3-Accent1">
    <w:name w:val="Grid Table 3 Accent 1"/>
    <w:basedOn w:val="TableNormal"/>
    <w:uiPriority w:val="48"/>
    <w:locked/>
    <w:rsid w:val="00B97704"/>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4-Accent5">
    <w:name w:val="Grid Table 4 Accent 5"/>
    <w:basedOn w:val="TableNormal"/>
    <w:uiPriority w:val="49"/>
    <w:locked/>
    <w:rsid w:val="00B97704"/>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6Colorful-Accent1">
    <w:name w:val="Grid Table 6 Colorful Accent 1"/>
    <w:basedOn w:val="TableNormal"/>
    <w:uiPriority w:val="51"/>
    <w:locked/>
    <w:rsid w:val="00B97704"/>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6Colorful-Accent3">
    <w:name w:val="Grid Table 6 Colorful Accent 3"/>
    <w:basedOn w:val="TableNormal"/>
    <w:uiPriority w:val="51"/>
    <w:locked/>
    <w:rsid w:val="00B97704"/>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5">
    <w:name w:val="List Table 2 Accent 5"/>
    <w:basedOn w:val="TableNormal"/>
    <w:uiPriority w:val="47"/>
    <w:locked/>
    <w:rsid w:val="00B97704"/>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3-Accent1">
    <w:name w:val="List Table 3 Accent 1"/>
    <w:basedOn w:val="TableNormal"/>
    <w:uiPriority w:val="48"/>
    <w:locked/>
    <w:rsid w:val="00B97704"/>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Table6Colorful-Accent1">
    <w:name w:val="List Table 6 Colorful Accent 1"/>
    <w:basedOn w:val="TableNormal"/>
    <w:uiPriority w:val="51"/>
    <w:locked/>
    <w:rsid w:val="00B97704"/>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6Colorful-Accent3">
    <w:name w:val="List Table 6 Colorful Accent 3"/>
    <w:basedOn w:val="TableNormal"/>
    <w:uiPriority w:val="51"/>
    <w:locked/>
    <w:rsid w:val="00B97704"/>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5">
    <w:name w:val="List Table 6 Colorful Accent 5"/>
    <w:basedOn w:val="TableNormal"/>
    <w:uiPriority w:val="51"/>
    <w:locked/>
    <w:rsid w:val="00B97704"/>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5Dark-Accent5">
    <w:name w:val="List Table 5 Dark Accent 5"/>
    <w:basedOn w:val="TableNormal"/>
    <w:uiPriority w:val="50"/>
    <w:locked/>
    <w:rsid w:val="00B97704"/>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ghtBlue">
    <w:name w:val="Light Blue"/>
    <w:basedOn w:val="TableNormal"/>
    <w:uiPriority w:val="99"/>
    <w:rsid w:val="00B97704"/>
    <w:rPr>
      <w:rFonts w:ascii="Open Sans" w:hAnsi="Open Sans"/>
    </w:r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2915253">
      <w:bodyDiv w:val="1"/>
      <w:marLeft w:val="0"/>
      <w:marRight w:val="0"/>
      <w:marTop w:val="0"/>
      <w:marBottom w:val="0"/>
      <w:divBdr>
        <w:top w:val="none" w:sz="0" w:space="0" w:color="auto"/>
        <w:left w:val="none" w:sz="0" w:space="0" w:color="auto"/>
        <w:bottom w:val="none" w:sz="0" w:space="0" w:color="auto"/>
        <w:right w:val="none" w:sz="0" w:space="0" w:color="auto"/>
      </w:divBdr>
      <w:divsChild>
        <w:div w:id="17001690">
          <w:marLeft w:val="0"/>
          <w:marRight w:val="0"/>
          <w:marTop w:val="0"/>
          <w:marBottom w:val="0"/>
          <w:divBdr>
            <w:top w:val="none" w:sz="0" w:space="0" w:color="auto"/>
            <w:left w:val="none" w:sz="0" w:space="0" w:color="auto"/>
            <w:bottom w:val="none" w:sz="0" w:space="0" w:color="auto"/>
            <w:right w:val="none" w:sz="0" w:space="0" w:color="auto"/>
          </w:divBdr>
        </w:div>
        <w:div w:id="36592477">
          <w:marLeft w:val="0"/>
          <w:marRight w:val="0"/>
          <w:marTop w:val="0"/>
          <w:marBottom w:val="0"/>
          <w:divBdr>
            <w:top w:val="none" w:sz="0" w:space="0" w:color="auto"/>
            <w:left w:val="none" w:sz="0" w:space="0" w:color="auto"/>
            <w:bottom w:val="none" w:sz="0" w:space="0" w:color="auto"/>
            <w:right w:val="none" w:sz="0" w:space="0" w:color="auto"/>
          </w:divBdr>
        </w:div>
        <w:div w:id="78256994">
          <w:marLeft w:val="0"/>
          <w:marRight w:val="0"/>
          <w:marTop w:val="0"/>
          <w:marBottom w:val="0"/>
          <w:divBdr>
            <w:top w:val="none" w:sz="0" w:space="0" w:color="auto"/>
            <w:left w:val="none" w:sz="0" w:space="0" w:color="auto"/>
            <w:bottom w:val="none" w:sz="0" w:space="0" w:color="auto"/>
            <w:right w:val="none" w:sz="0" w:space="0" w:color="auto"/>
          </w:divBdr>
        </w:div>
        <w:div w:id="82143022">
          <w:marLeft w:val="0"/>
          <w:marRight w:val="0"/>
          <w:marTop w:val="0"/>
          <w:marBottom w:val="0"/>
          <w:divBdr>
            <w:top w:val="none" w:sz="0" w:space="0" w:color="auto"/>
            <w:left w:val="none" w:sz="0" w:space="0" w:color="auto"/>
            <w:bottom w:val="none" w:sz="0" w:space="0" w:color="auto"/>
            <w:right w:val="none" w:sz="0" w:space="0" w:color="auto"/>
          </w:divBdr>
        </w:div>
        <w:div w:id="114447005">
          <w:marLeft w:val="0"/>
          <w:marRight w:val="0"/>
          <w:marTop w:val="0"/>
          <w:marBottom w:val="0"/>
          <w:divBdr>
            <w:top w:val="none" w:sz="0" w:space="0" w:color="auto"/>
            <w:left w:val="none" w:sz="0" w:space="0" w:color="auto"/>
            <w:bottom w:val="none" w:sz="0" w:space="0" w:color="auto"/>
            <w:right w:val="none" w:sz="0" w:space="0" w:color="auto"/>
          </w:divBdr>
        </w:div>
        <w:div w:id="190070008">
          <w:marLeft w:val="0"/>
          <w:marRight w:val="0"/>
          <w:marTop w:val="0"/>
          <w:marBottom w:val="0"/>
          <w:divBdr>
            <w:top w:val="none" w:sz="0" w:space="0" w:color="auto"/>
            <w:left w:val="none" w:sz="0" w:space="0" w:color="auto"/>
            <w:bottom w:val="none" w:sz="0" w:space="0" w:color="auto"/>
            <w:right w:val="none" w:sz="0" w:space="0" w:color="auto"/>
          </w:divBdr>
        </w:div>
        <w:div w:id="220136896">
          <w:marLeft w:val="0"/>
          <w:marRight w:val="0"/>
          <w:marTop w:val="0"/>
          <w:marBottom w:val="0"/>
          <w:divBdr>
            <w:top w:val="none" w:sz="0" w:space="0" w:color="auto"/>
            <w:left w:val="none" w:sz="0" w:space="0" w:color="auto"/>
            <w:bottom w:val="none" w:sz="0" w:space="0" w:color="auto"/>
            <w:right w:val="none" w:sz="0" w:space="0" w:color="auto"/>
          </w:divBdr>
        </w:div>
        <w:div w:id="220869903">
          <w:marLeft w:val="0"/>
          <w:marRight w:val="0"/>
          <w:marTop w:val="0"/>
          <w:marBottom w:val="0"/>
          <w:divBdr>
            <w:top w:val="none" w:sz="0" w:space="0" w:color="auto"/>
            <w:left w:val="none" w:sz="0" w:space="0" w:color="auto"/>
            <w:bottom w:val="none" w:sz="0" w:space="0" w:color="auto"/>
            <w:right w:val="none" w:sz="0" w:space="0" w:color="auto"/>
          </w:divBdr>
        </w:div>
        <w:div w:id="232618796">
          <w:marLeft w:val="0"/>
          <w:marRight w:val="0"/>
          <w:marTop w:val="0"/>
          <w:marBottom w:val="0"/>
          <w:divBdr>
            <w:top w:val="none" w:sz="0" w:space="0" w:color="auto"/>
            <w:left w:val="none" w:sz="0" w:space="0" w:color="auto"/>
            <w:bottom w:val="none" w:sz="0" w:space="0" w:color="auto"/>
            <w:right w:val="none" w:sz="0" w:space="0" w:color="auto"/>
          </w:divBdr>
        </w:div>
        <w:div w:id="309362200">
          <w:marLeft w:val="0"/>
          <w:marRight w:val="0"/>
          <w:marTop w:val="0"/>
          <w:marBottom w:val="0"/>
          <w:divBdr>
            <w:top w:val="none" w:sz="0" w:space="0" w:color="auto"/>
            <w:left w:val="none" w:sz="0" w:space="0" w:color="auto"/>
            <w:bottom w:val="none" w:sz="0" w:space="0" w:color="auto"/>
            <w:right w:val="none" w:sz="0" w:space="0" w:color="auto"/>
          </w:divBdr>
        </w:div>
        <w:div w:id="310988870">
          <w:marLeft w:val="0"/>
          <w:marRight w:val="0"/>
          <w:marTop w:val="0"/>
          <w:marBottom w:val="0"/>
          <w:divBdr>
            <w:top w:val="none" w:sz="0" w:space="0" w:color="auto"/>
            <w:left w:val="none" w:sz="0" w:space="0" w:color="auto"/>
            <w:bottom w:val="none" w:sz="0" w:space="0" w:color="auto"/>
            <w:right w:val="none" w:sz="0" w:space="0" w:color="auto"/>
          </w:divBdr>
        </w:div>
        <w:div w:id="337738164">
          <w:marLeft w:val="0"/>
          <w:marRight w:val="0"/>
          <w:marTop w:val="0"/>
          <w:marBottom w:val="0"/>
          <w:divBdr>
            <w:top w:val="none" w:sz="0" w:space="0" w:color="auto"/>
            <w:left w:val="none" w:sz="0" w:space="0" w:color="auto"/>
            <w:bottom w:val="none" w:sz="0" w:space="0" w:color="auto"/>
            <w:right w:val="none" w:sz="0" w:space="0" w:color="auto"/>
          </w:divBdr>
        </w:div>
        <w:div w:id="354618478">
          <w:marLeft w:val="0"/>
          <w:marRight w:val="0"/>
          <w:marTop w:val="0"/>
          <w:marBottom w:val="0"/>
          <w:divBdr>
            <w:top w:val="none" w:sz="0" w:space="0" w:color="auto"/>
            <w:left w:val="none" w:sz="0" w:space="0" w:color="auto"/>
            <w:bottom w:val="none" w:sz="0" w:space="0" w:color="auto"/>
            <w:right w:val="none" w:sz="0" w:space="0" w:color="auto"/>
          </w:divBdr>
        </w:div>
        <w:div w:id="453670296">
          <w:marLeft w:val="0"/>
          <w:marRight w:val="0"/>
          <w:marTop w:val="0"/>
          <w:marBottom w:val="0"/>
          <w:divBdr>
            <w:top w:val="none" w:sz="0" w:space="0" w:color="auto"/>
            <w:left w:val="none" w:sz="0" w:space="0" w:color="auto"/>
            <w:bottom w:val="none" w:sz="0" w:space="0" w:color="auto"/>
            <w:right w:val="none" w:sz="0" w:space="0" w:color="auto"/>
          </w:divBdr>
        </w:div>
        <w:div w:id="466357881">
          <w:marLeft w:val="0"/>
          <w:marRight w:val="0"/>
          <w:marTop w:val="0"/>
          <w:marBottom w:val="0"/>
          <w:divBdr>
            <w:top w:val="none" w:sz="0" w:space="0" w:color="auto"/>
            <w:left w:val="none" w:sz="0" w:space="0" w:color="auto"/>
            <w:bottom w:val="none" w:sz="0" w:space="0" w:color="auto"/>
            <w:right w:val="none" w:sz="0" w:space="0" w:color="auto"/>
          </w:divBdr>
        </w:div>
        <w:div w:id="468208549">
          <w:marLeft w:val="0"/>
          <w:marRight w:val="0"/>
          <w:marTop w:val="0"/>
          <w:marBottom w:val="0"/>
          <w:divBdr>
            <w:top w:val="none" w:sz="0" w:space="0" w:color="auto"/>
            <w:left w:val="none" w:sz="0" w:space="0" w:color="auto"/>
            <w:bottom w:val="none" w:sz="0" w:space="0" w:color="auto"/>
            <w:right w:val="none" w:sz="0" w:space="0" w:color="auto"/>
          </w:divBdr>
        </w:div>
        <w:div w:id="485704198">
          <w:marLeft w:val="0"/>
          <w:marRight w:val="0"/>
          <w:marTop w:val="0"/>
          <w:marBottom w:val="0"/>
          <w:divBdr>
            <w:top w:val="none" w:sz="0" w:space="0" w:color="auto"/>
            <w:left w:val="none" w:sz="0" w:space="0" w:color="auto"/>
            <w:bottom w:val="none" w:sz="0" w:space="0" w:color="auto"/>
            <w:right w:val="none" w:sz="0" w:space="0" w:color="auto"/>
          </w:divBdr>
        </w:div>
        <w:div w:id="520241646">
          <w:marLeft w:val="0"/>
          <w:marRight w:val="0"/>
          <w:marTop w:val="0"/>
          <w:marBottom w:val="0"/>
          <w:divBdr>
            <w:top w:val="none" w:sz="0" w:space="0" w:color="auto"/>
            <w:left w:val="none" w:sz="0" w:space="0" w:color="auto"/>
            <w:bottom w:val="none" w:sz="0" w:space="0" w:color="auto"/>
            <w:right w:val="none" w:sz="0" w:space="0" w:color="auto"/>
          </w:divBdr>
        </w:div>
        <w:div w:id="522981958">
          <w:marLeft w:val="0"/>
          <w:marRight w:val="0"/>
          <w:marTop w:val="0"/>
          <w:marBottom w:val="0"/>
          <w:divBdr>
            <w:top w:val="none" w:sz="0" w:space="0" w:color="auto"/>
            <w:left w:val="none" w:sz="0" w:space="0" w:color="auto"/>
            <w:bottom w:val="none" w:sz="0" w:space="0" w:color="auto"/>
            <w:right w:val="none" w:sz="0" w:space="0" w:color="auto"/>
          </w:divBdr>
        </w:div>
        <w:div w:id="577440708">
          <w:marLeft w:val="0"/>
          <w:marRight w:val="0"/>
          <w:marTop w:val="0"/>
          <w:marBottom w:val="0"/>
          <w:divBdr>
            <w:top w:val="none" w:sz="0" w:space="0" w:color="auto"/>
            <w:left w:val="none" w:sz="0" w:space="0" w:color="auto"/>
            <w:bottom w:val="none" w:sz="0" w:space="0" w:color="auto"/>
            <w:right w:val="none" w:sz="0" w:space="0" w:color="auto"/>
          </w:divBdr>
        </w:div>
        <w:div w:id="597712226">
          <w:marLeft w:val="0"/>
          <w:marRight w:val="0"/>
          <w:marTop w:val="0"/>
          <w:marBottom w:val="0"/>
          <w:divBdr>
            <w:top w:val="none" w:sz="0" w:space="0" w:color="auto"/>
            <w:left w:val="none" w:sz="0" w:space="0" w:color="auto"/>
            <w:bottom w:val="none" w:sz="0" w:space="0" w:color="auto"/>
            <w:right w:val="none" w:sz="0" w:space="0" w:color="auto"/>
          </w:divBdr>
        </w:div>
        <w:div w:id="649283910">
          <w:marLeft w:val="0"/>
          <w:marRight w:val="0"/>
          <w:marTop w:val="0"/>
          <w:marBottom w:val="0"/>
          <w:divBdr>
            <w:top w:val="none" w:sz="0" w:space="0" w:color="auto"/>
            <w:left w:val="none" w:sz="0" w:space="0" w:color="auto"/>
            <w:bottom w:val="none" w:sz="0" w:space="0" w:color="auto"/>
            <w:right w:val="none" w:sz="0" w:space="0" w:color="auto"/>
          </w:divBdr>
        </w:div>
        <w:div w:id="651566682">
          <w:marLeft w:val="0"/>
          <w:marRight w:val="0"/>
          <w:marTop w:val="0"/>
          <w:marBottom w:val="0"/>
          <w:divBdr>
            <w:top w:val="none" w:sz="0" w:space="0" w:color="auto"/>
            <w:left w:val="none" w:sz="0" w:space="0" w:color="auto"/>
            <w:bottom w:val="none" w:sz="0" w:space="0" w:color="auto"/>
            <w:right w:val="none" w:sz="0" w:space="0" w:color="auto"/>
          </w:divBdr>
        </w:div>
        <w:div w:id="661201813">
          <w:marLeft w:val="0"/>
          <w:marRight w:val="0"/>
          <w:marTop w:val="0"/>
          <w:marBottom w:val="0"/>
          <w:divBdr>
            <w:top w:val="none" w:sz="0" w:space="0" w:color="auto"/>
            <w:left w:val="none" w:sz="0" w:space="0" w:color="auto"/>
            <w:bottom w:val="none" w:sz="0" w:space="0" w:color="auto"/>
            <w:right w:val="none" w:sz="0" w:space="0" w:color="auto"/>
          </w:divBdr>
        </w:div>
        <w:div w:id="712651857">
          <w:marLeft w:val="0"/>
          <w:marRight w:val="0"/>
          <w:marTop w:val="0"/>
          <w:marBottom w:val="0"/>
          <w:divBdr>
            <w:top w:val="none" w:sz="0" w:space="0" w:color="auto"/>
            <w:left w:val="none" w:sz="0" w:space="0" w:color="auto"/>
            <w:bottom w:val="none" w:sz="0" w:space="0" w:color="auto"/>
            <w:right w:val="none" w:sz="0" w:space="0" w:color="auto"/>
          </w:divBdr>
        </w:div>
        <w:div w:id="788209161">
          <w:marLeft w:val="0"/>
          <w:marRight w:val="0"/>
          <w:marTop w:val="0"/>
          <w:marBottom w:val="0"/>
          <w:divBdr>
            <w:top w:val="none" w:sz="0" w:space="0" w:color="auto"/>
            <w:left w:val="none" w:sz="0" w:space="0" w:color="auto"/>
            <w:bottom w:val="none" w:sz="0" w:space="0" w:color="auto"/>
            <w:right w:val="none" w:sz="0" w:space="0" w:color="auto"/>
          </w:divBdr>
        </w:div>
        <w:div w:id="791173287">
          <w:marLeft w:val="0"/>
          <w:marRight w:val="0"/>
          <w:marTop w:val="0"/>
          <w:marBottom w:val="0"/>
          <w:divBdr>
            <w:top w:val="none" w:sz="0" w:space="0" w:color="auto"/>
            <w:left w:val="none" w:sz="0" w:space="0" w:color="auto"/>
            <w:bottom w:val="none" w:sz="0" w:space="0" w:color="auto"/>
            <w:right w:val="none" w:sz="0" w:space="0" w:color="auto"/>
          </w:divBdr>
        </w:div>
        <w:div w:id="810097955">
          <w:marLeft w:val="0"/>
          <w:marRight w:val="0"/>
          <w:marTop w:val="0"/>
          <w:marBottom w:val="0"/>
          <w:divBdr>
            <w:top w:val="none" w:sz="0" w:space="0" w:color="auto"/>
            <w:left w:val="none" w:sz="0" w:space="0" w:color="auto"/>
            <w:bottom w:val="none" w:sz="0" w:space="0" w:color="auto"/>
            <w:right w:val="none" w:sz="0" w:space="0" w:color="auto"/>
          </w:divBdr>
        </w:div>
        <w:div w:id="980496847">
          <w:marLeft w:val="0"/>
          <w:marRight w:val="0"/>
          <w:marTop w:val="0"/>
          <w:marBottom w:val="0"/>
          <w:divBdr>
            <w:top w:val="none" w:sz="0" w:space="0" w:color="auto"/>
            <w:left w:val="none" w:sz="0" w:space="0" w:color="auto"/>
            <w:bottom w:val="none" w:sz="0" w:space="0" w:color="auto"/>
            <w:right w:val="none" w:sz="0" w:space="0" w:color="auto"/>
          </w:divBdr>
        </w:div>
        <w:div w:id="991324910">
          <w:marLeft w:val="0"/>
          <w:marRight w:val="0"/>
          <w:marTop w:val="0"/>
          <w:marBottom w:val="0"/>
          <w:divBdr>
            <w:top w:val="none" w:sz="0" w:space="0" w:color="auto"/>
            <w:left w:val="none" w:sz="0" w:space="0" w:color="auto"/>
            <w:bottom w:val="none" w:sz="0" w:space="0" w:color="auto"/>
            <w:right w:val="none" w:sz="0" w:space="0" w:color="auto"/>
          </w:divBdr>
        </w:div>
        <w:div w:id="1045716265">
          <w:marLeft w:val="0"/>
          <w:marRight w:val="0"/>
          <w:marTop w:val="0"/>
          <w:marBottom w:val="0"/>
          <w:divBdr>
            <w:top w:val="none" w:sz="0" w:space="0" w:color="auto"/>
            <w:left w:val="none" w:sz="0" w:space="0" w:color="auto"/>
            <w:bottom w:val="none" w:sz="0" w:space="0" w:color="auto"/>
            <w:right w:val="none" w:sz="0" w:space="0" w:color="auto"/>
          </w:divBdr>
        </w:div>
        <w:div w:id="1059354206">
          <w:marLeft w:val="0"/>
          <w:marRight w:val="0"/>
          <w:marTop w:val="0"/>
          <w:marBottom w:val="0"/>
          <w:divBdr>
            <w:top w:val="none" w:sz="0" w:space="0" w:color="auto"/>
            <w:left w:val="none" w:sz="0" w:space="0" w:color="auto"/>
            <w:bottom w:val="none" w:sz="0" w:space="0" w:color="auto"/>
            <w:right w:val="none" w:sz="0" w:space="0" w:color="auto"/>
          </w:divBdr>
        </w:div>
        <w:div w:id="1078557374">
          <w:marLeft w:val="0"/>
          <w:marRight w:val="0"/>
          <w:marTop w:val="0"/>
          <w:marBottom w:val="0"/>
          <w:divBdr>
            <w:top w:val="none" w:sz="0" w:space="0" w:color="auto"/>
            <w:left w:val="none" w:sz="0" w:space="0" w:color="auto"/>
            <w:bottom w:val="none" w:sz="0" w:space="0" w:color="auto"/>
            <w:right w:val="none" w:sz="0" w:space="0" w:color="auto"/>
          </w:divBdr>
        </w:div>
        <w:div w:id="1214776305">
          <w:marLeft w:val="0"/>
          <w:marRight w:val="0"/>
          <w:marTop w:val="0"/>
          <w:marBottom w:val="0"/>
          <w:divBdr>
            <w:top w:val="none" w:sz="0" w:space="0" w:color="auto"/>
            <w:left w:val="none" w:sz="0" w:space="0" w:color="auto"/>
            <w:bottom w:val="none" w:sz="0" w:space="0" w:color="auto"/>
            <w:right w:val="none" w:sz="0" w:space="0" w:color="auto"/>
          </w:divBdr>
        </w:div>
        <w:div w:id="1244989706">
          <w:marLeft w:val="0"/>
          <w:marRight w:val="0"/>
          <w:marTop w:val="0"/>
          <w:marBottom w:val="0"/>
          <w:divBdr>
            <w:top w:val="none" w:sz="0" w:space="0" w:color="auto"/>
            <w:left w:val="none" w:sz="0" w:space="0" w:color="auto"/>
            <w:bottom w:val="none" w:sz="0" w:space="0" w:color="auto"/>
            <w:right w:val="none" w:sz="0" w:space="0" w:color="auto"/>
          </w:divBdr>
        </w:div>
        <w:div w:id="1306009007">
          <w:marLeft w:val="0"/>
          <w:marRight w:val="0"/>
          <w:marTop w:val="0"/>
          <w:marBottom w:val="0"/>
          <w:divBdr>
            <w:top w:val="none" w:sz="0" w:space="0" w:color="auto"/>
            <w:left w:val="none" w:sz="0" w:space="0" w:color="auto"/>
            <w:bottom w:val="none" w:sz="0" w:space="0" w:color="auto"/>
            <w:right w:val="none" w:sz="0" w:space="0" w:color="auto"/>
          </w:divBdr>
        </w:div>
        <w:div w:id="1433670227">
          <w:marLeft w:val="0"/>
          <w:marRight w:val="0"/>
          <w:marTop w:val="0"/>
          <w:marBottom w:val="0"/>
          <w:divBdr>
            <w:top w:val="none" w:sz="0" w:space="0" w:color="auto"/>
            <w:left w:val="none" w:sz="0" w:space="0" w:color="auto"/>
            <w:bottom w:val="none" w:sz="0" w:space="0" w:color="auto"/>
            <w:right w:val="none" w:sz="0" w:space="0" w:color="auto"/>
          </w:divBdr>
        </w:div>
        <w:div w:id="1526556771">
          <w:marLeft w:val="0"/>
          <w:marRight w:val="0"/>
          <w:marTop w:val="0"/>
          <w:marBottom w:val="0"/>
          <w:divBdr>
            <w:top w:val="none" w:sz="0" w:space="0" w:color="auto"/>
            <w:left w:val="none" w:sz="0" w:space="0" w:color="auto"/>
            <w:bottom w:val="none" w:sz="0" w:space="0" w:color="auto"/>
            <w:right w:val="none" w:sz="0" w:space="0" w:color="auto"/>
          </w:divBdr>
        </w:div>
        <w:div w:id="1571384190">
          <w:marLeft w:val="0"/>
          <w:marRight w:val="0"/>
          <w:marTop w:val="0"/>
          <w:marBottom w:val="0"/>
          <w:divBdr>
            <w:top w:val="none" w:sz="0" w:space="0" w:color="auto"/>
            <w:left w:val="none" w:sz="0" w:space="0" w:color="auto"/>
            <w:bottom w:val="none" w:sz="0" w:space="0" w:color="auto"/>
            <w:right w:val="none" w:sz="0" w:space="0" w:color="auto"/>
          </w:divBdr>
        </w:div>
        <w:div w:id="1584490491">
          <w:marLeft w:val="0"/>
          <w:marRight w:val="0"/>
          <w:marTop w:val="0"/>
          <w:marBottom w:val="0"/>
          <w:divBdr>
            <w:top w:val="none" w:sz="0" w:space="0" w:color="auto"/>
            <w:left w:val="none" w:sz="0" w:space="0" w:color="auto"/>
            <w:bottom w:val="none" w:sz="0" w:space="0" w:color="auto"/>
            <w:right w:val="none" w:sz="0" w:space="0" w:color="auto"/>
          </w:divBdr>
        </w:div>
        <w:div w:id="1593514507">
          <w:marLeft w:val="0"/>
          <w:marRight w:val="0"/>
          <w:marTop w:val="0"/>
          <w:marBottom w:val="0"/>
          <w:divBdr>
            <w:top w:val="none" w:sz="0" w:space="0" w:color="auto"/>
            <w:left w:val="none" w:sz="0" w:space="0" w:color="auto"/>
            <w:bottom w:val="none" w:sz="0" w:space="0" w:color="auto"/>
            <w:right w:val="none" w:sz="0" w:space="0" w:color="auto"/>
          </w:divBdr>
        </w:div>
        <w:div w:id="1595167434">
          <w:marLeft w:val="0"/>
          <w:marRight w:val="0"/>
          <w:marTop w:val="0"/>
          <w:marBottom w:val="0"/>
          <w:divBdr>
            <w:top w:val="none" w:sz="0" w:space="0" w:color="auto"/>
            <w:left w:val="none" w:sz="0" w:space="0" w:color="auto"/>
            <w:bottom w:val="none" w:sz="0" w:space="0" w:color="auto"/>
            <w:right w:val="none" w:sz="0" w:space="0" w:color="auto"/>
          </w:divBdr>
        </w:div>
        <w:div w:id="1599219715">
          <w:marLeft w:val="0"/>
          <w:marRight w:val="0"/>
          <w:marTop w:val="0"/>
          <w:marBottom w:val="0"/>
          <w:divBdr>
            <w:top w:val="none" w:sz="0" w:space="0" w:color="auto"/>
            <w:left w:val="none" w:sz="0" w:space="0" w:color="auto"/>
            <w:bottom w:val="none" w:sz="0" w:space="0" w:color="auto"/>
            <w:right w:val="none" w:sz="0" w:space="0" w:color="auto"/>
          </w:divBdr>
        </w:div>
        <w:div w:id="1609895488">
          <w:marLeft w:val="0"/>
          <w:marRight w:val="0"/>
          <w:marTop w:val="0"/>
          <w:marBottom w:val="0"/>
          <w:divBdr>
            <w:top w:val="none" w:sz="0" w:space="0" w:color="auto"/>
            <w:left w:val="none" w:sz="0" w:space="0" w:color="auto"/>
            <w:bottom w:val="none" w:sz="0" w:space="0" w:color="auto"/>
            <w:right w:val="none" w:sz="0" w:space="0" w:color="auto"/>
          </w:divBdr>
        </w:div>
        <w:div w:id="1640844253">
          <w:marLeft w:val="0"/>
          <w:marRight w:val="0"/>
          <w:marTop w:val="0"/>
          <w:marBottom w:val="0"/>
          <w:divBdr>
            <w:top w:val="none" w:sz="0" w:space="0" w:color="auto"/>
            <w:left w:val="none" w:sz="0" w:space="0" w:color="auto"/>
            <w:bottom w:val="none" w:sz="0" w:space="0" w:color="auto"/>
            <w:right w:val="none" w:sz="0" w:space="0" w:color="auto"/>
          </w:divBdr>
        </w:div>
        <w:div w:id="1643801938">
          <w:marLeft w:val="0"/>
          <w:marRight w:val="0"/>
          <w:marTop w:val="0"/>
          <w:marBottom w:val="0"/>
          <w:divBdr>
            <w:top w:val="none" w:sz="0" w:space="0" w:color="auto"/>
            <w:left w:val="none" w:sz="0" w:space="0" w:color="auto"/>
            <w:bottom w:val="none" w:sz="0" w:space="0" w:color="auto"/>
            <w:right w:val="none" w:sz="0" w:space="0" w:color="auto"/>
          </w:divBdr>
        </w:div>
        <w:div w:id="1802067966">
          <w:marLeft w:val="0"/>
          <w:marRight w:val="0"/>
          <w:marTop w:val="0"/>
          <w:marBottom w:val="0"/>
          <w:divBdr>
            <w:top w:val="none" w:sz="0" w:space="0" w:color="auto"/>
            <w:left w:val="none" w:sz="0" w:space="0" w:color="auto"/>
            <w:bottom w:val="none" w:sz="0" w:space="0" w:color="auto"/>
            <w:right w:val="none" w:sz="0" w:space="0" w:color="auto"/>
          </w:divBdr>
        </w:div>
        <w:div w:id="1810590106">
          <w:marLeft w:val="0"/>
          <w:marRight w:val="0"/>
          <w:marTop w:val="0"/>
          <w:marBottom w:val="0"/>
          <w:divBdr>
            <w:top w:val="none" w:sz="0" w:space="0" w:color="auto"/>
            <w:left w:val="none" w:sz="0" w:space="0" w:color="auto"/>
            <w:bottom w:val="none" w:sz="0" w:space="0" w:color="auto"/>
            <w:right w:val="none" w:sz="0" w:space="0" w:color="auto"/>
          </w:divBdr>
        </w:div>
        <w:div w:id="1847361313">
          <w:marLeft w:val="0"/>
          <w:marRight w:val="0"/>
          <w:marTop w:val="0"/>
          <w:marBottom w:val="0"/>
          <w:divBdr>
            <w:top w:val="none" w:sz="0" w:space="0" w:color="auto"/>
            <w:left w:val="none" w:sz="0" w:space="0" w:color="auto"/>
            <w:bottom w:val="none" w:sz="0" w:space="0" w:color="auto"/>
            <w:right w:val="none" w:sz="0" w:space="0" w:color="auto"/>
          </w:divBdr>
        </w:div>
        <w:div w:id="1860001060">
          <w:marLeft w:val="0"/>
          <w:marRight w:val="0"/>
          <w:marTop w:val="0"/>
          <w:marBottom w:val="0"/>
          <w:divBdr>
            <w:top w:val="none" w:sz="0" w:space="0" w:color="auto"/>
            <w:left w:val="none" w:sz="0" w:space="0" w:color="auto"/>
            <w:bottom w:val="none" w:sz="0" w:space="0" w:color="auto"/>
            <w:right w:val="none" w:sz="0" w:space="0" w:color="auto"/>
          </w:divBdr>
        </w:div>
        <w:div w:id="1954433092">
          <w:marLeft w:val="0"/>
          <w:marRight w:val="0"/>
          <w:marTop w:val="0"/>
          <w:marBottom w:val="0"/>
          <w:divBdr>
            <w:top w:val="none" w:sz="0" w:space="0" w:color="auto"/>
            <w:left w:val="none" w:sz="0" w:space="0" w:color="auto"/>
            <w:bottom w:val="none" w:sz="0" w:space="0" w:color="auto"/>
            <w:right w:val="none" w:sz="0" w:space="0" w:color="auto"/>
          </w:divBdr>
        </w:div>
        <w:div w:id="1982415331">
          <w:marLeft w:val="0"/>
          <w:marRight w:val="0"/>
          <w:marTop w:val="0"/>
          <w:marBottom w:val="0"/>
          <w:divBdr>
            <w:top w:val="none" w:sz="0" w:space="0" w:color="auto"/>
            <w:left w:val="none" w:sz="0" w:space="0" w:color="auto"/>
            <w:bottom w:val="none" w:sz="0" w:space="0" w:color="auto"/>
            <w:right w:val="none" w:sz="0" w:space="0" w:color="auto"/>
          </w:divBdr>
        </w:div>
        <w:div w:id="1988825664">
          <w:marLeft w:val="0"/>
          <w:marRight w:val="0"/>
          <w:marTop w:val="0"/>
          <w:marBottom w:val="0"/>
          <w:divBdr>
            <w:top w:val="none" w:sz="0" w:space="0" w:color="auto"/>
            <w:left w:val="none" w:sz="0" w:space="0" w:color="auto"/>
            <w:bottom w:val="none" w:sz="0" w:space="0" w:color="auto"/>
            <w:right w:val="none" w:sz="0" w:space="0" w:color="auto"/>
          </w:divBdr>
        </w:div>
        <w:div w:id="1994406190">
          <w:marLeft w:val="0"/>
          <w:marRight w:val="0"/>
          <w:marTop w:val="0"/>
          <w:marBottom w:val="0"/>
          <w:divBdr>
            <w:top w:val="none" w:sz="0" w:space="0" w:color="auto"/>
            <w:left w:val="none" w:sz="0" w:space="0" w:color="auto"/>
            <w:bottom w:val="none" w:sz="0" w:space="0" w:color="auto"/>
            <w:right w:val="none" w:sz="0" w:space="0" w:color="auto"/>
          </w:divBdr>
        </w:div>
        <w:div w:id="2099523050">
          <w:marLeft w:val="0"/>
          <w:marRight w:val="0"/>
          <w:marTop w:val="0"/>
          <w:marBottom w:val="0"/>
          <w:divBdr>
            <w:top w:val="none" w:sz="0" w:space="0" w:color="auto"/>
            <w:left w:val="none" w:sz="0" w:space="0" w:color="auto"/>
            <w:bottom w:val="none" w:sz="0" w:space="0" w:color="auto"/>
            <w:right w:val="none" w:sz="0" w:space="0" w:color="auto"/>
          </w:divBdr>
        </w:div>
        <w:div w:id="2129279491">
          <w:marLeft w:val="0"/>
          <w:marRight w:val="0"/>
          <w:marTop w:val="0"/>
          <w:marBottom w:val="0"/>
          <w:divBdr>
            <w:top w:val="none" w:sz="0" w:space="0" w:color="auto"/>
            <w:left w:val="none" w:sz="0" w:space="0" w:color="auto"/>
            <w:bottom w:val="none" w:sz="0" w:space="0" w:color="auto"/>
            <w:right w:val="none" w:sz="0" w:space="0" w:color="auto"/>
          </w:divBdr>
        </w:div>
        <w:div w:id="2135052507">
          <w:marLeft w:val="0"/>
          <w:marRight w:val="0"/>
          <w:marTop w:val="0"/>
          <w:marBottom w:val="0"/>
          <w:divBdr>
            <w:top w:val="none" w:sz="0" w:space="0" w:color="auto"/>
            <w:left w:val="none" w:sz="0" w:space="0" w:color="auto"/>
            <w:bottom w:val="none" w:sz="0" w:space="0" w:color="auto"/>
            <w:right w:val="none" w:sz="0" w:space="0" w:color="auto"/>
          </w:divBdr>
        </w:div>
      </w:divsChild>
    </w:div>
    <w:div w:id="633218496">
      <w:bodyDiv w:val="1"/>
      <w:marLeft w:val="0"/>
      <w:marRight w:val="0"/>
      <w:marTop w:val="0"/>
      <w:marBottom w:val="0"/>
      <w:divBdr>
        <w:top w:val="none" w:sz="0" w:space="0" w:color="auto"/>
        <w:left w:val="none" w:sz="0" w:space="0" w:color="auto"/>
        <w:bottom w:val="none" w:sz="0" w:space="0" w:color="auto"/>
        <w:right w:val="none" w:sz="0" w:space="0" w:color="auto"/>
      </w:divBdr>
      <w:divsChild>
        <w:div w:id="74592347">
          <w:marLeft w:val="0"/>
          <w:marRight w:val="0"/>
          <w:marTop w:val="0"/>
          <w:marBottom w:val="0"/>
          <w:divBdr>
            <w:top w:val="none" w:sz="0" w:space="0" w:color="auto"/>
            <w:left w:val="none" w:sz="0" w:space="0" w:color="auto"/>
            <w:bottom w:val="none" w:sz="0" w:space="0" w:color="auto"/>
            <w:right w:val="none" w:sz="0" w:space="0" w:color="auto"/>
          </w:divBdr>
        </w:div>
        <w:div w:id="121076163">
          <w:marLeft w:val="0"/>
          <w:marRight w:val="0"/>
          <w:marTop w:val="0"/>
          <w:marBottom w:val="0"/>
          <w:divBdr>
            <w:top w:val="none" w:sz="0" w:space="0" w:color="auto"/>
            <w:left w:val="none" w:sz="0" w:space="0" w:color="auto"/>
            <w:bottom w:val="none" w:sz="0" w:space="0" w:color="auto"/>
            <w:right w:val="none" w:sz="0" w:space="0" w:color="auto"/>
          </w:divBdr>
        </w:div>
        <w:div w:id="319118034">
          <w:marLeft w:val="0"/>
          <w:marRight w:val="0"/>
          <w:marTop w:val="0"/>
          <w:marBottom w:val="0"/>
          <w:divBdr>
            <w:top w:val="none" w:sz="0" w:space="0" w:color="auto"/>
            <w:left w:val="none" w:sz="0" w:space="0" w:color="auto"/>
            <w:bottom w:val="none" w:sz="0" w:space="0" w:color="auto"/>
            <w:right w:val="none" w:sz="0" w:space="0" w:color="auto"/>
          </w:divBdr>
        </w:div>
        <w:div w:id="440884310">
          <w:marLeft w:val="0"/>
          <w:marRight w:val="0"/>
          <w:marTop w:val="0"/>
          <w:marBottom w:val="0"/>
          <w:divBdr>
            <w:top w:val="none" w:sz="0" w:space="0" w:color="auto"/>
            <w:left w:val="none" w:sz="0" w:space="0" w:color="auto"/>
            <w:bottom w:val="none" w:sz="0" w:space="0" w:color="auto"/>
            <w:right w:val="none" w:sz="0" w:space="0" w:color="auto"/>
          </w:divBdr>
        </w:div>
        <w:div w:id="618679496">
          <w:marLeft w:val="0"/>
          <w:marRight w:val="0"/>
          <w:marTop w:val="0"/>
          <w:marBottom w:val="0"/>
          <w:divBdr>
            <w:top w:val="none" w:sz="0" w:space="0" w:color="auto"/>
            <w:left w:val="none" w:sz="0" w:space="0" w:color="auto"/>
            <w:bottom w:val="none" w:sz="0" w:space="0" w:color="auto"/>
            <w:right w:val="none" w:sz="0" w:space="0" w:color="auto"/>
          </w:divBdr>
        </w:div>
        <w:div w:id="642852589">
          <w:marLeft w:val="0"/>
          <w:marRight w:val="0"/>
          <w:marTop w:val="0"/>
          <w:marBottom w:val="0"/>
          <w:divBdr>
            <w:top w:val="none" w:sz="0" w:space="0" w:color="auto"/>
            <w:left w:val="none" w:sz="0" w:space="0" w:color="auto"/>
            <w:bottom w:val="none" w:sz="0" w:space="0" w:color="auto"/>
            <w:right w:val="none" w:sz="0" w:space="0" w:color="auto"/>
          </w:divBdr>
        </w:div>
        <w:div w:id="709957285">
          <w:marLeft w:val="0"/>
          <w:marRight w:val="0"/>
          <w:marTop w:val="0"/>
          <w:marBottom w:val="0"/>
          <w:divBdr>
            <w:top w:val="none" w:sz="0" w:space="0" w:color="auto"/>
            <w:left w:val="none" w:sz="0" w:space="0" w:color="auto"/>
            <w:bottom w:val="none" w:sz="0" w:space="0" w:color="auto"/>
            <w:right w:val="none" w:sz="0" w:space="0" w:color="auto"/>
          </w:divBdr>
        </w:div>
        <w:div w:id="715737360">
          <w:marLeft w:val="0"/>
          <w:marRight w:val="0"/>
          <w:marTop w:val="0"/>
          <w:marBottom w:val="0"/>
          <w:divBdr>
            <w:top w:val="none" w:sz="0" w:space="0" w:color="auto"/>
            <w:left w:val="none" w:sz="0" w:space="0" w:color="auto"/>
            <w:bottom w:val="none" w:sz="0" w:space="0" w:color="auto"/>
            <w:right w:val="none" w:sz="0" w:space="0" w:color="auto"/>
          </w:divBdr>
        </w:div>
        <w:div w:id="730925585">
          <w:marLeft w:val="0"/>
          <w:marRight w:val="0"/>
          <w:marTop w:val="0"/>
          <w:marBottom w:val="0"/>
          <w:divBdr>
            <w:top w:val="none" w:sz="0" w:space="0" w:color="auto"/>
            <w:left w:val="none" w:sz="0" w:space="0" w:color="auto"/>
            <w:bottom w:val="none" w:sz="0" w:space="0" w:color="auto"/>
            <w:right w:val="none" w:sz="0" w:space="0" w:color="auto"/>
          </w:divBdr>
        </w:div>
        <w:div w:id="781655670">
          <w:marLeft w:val="0"/>
          <w:marRight w:val="0"/>
          <w:marTop w:val="0"/>
          <w:marBottom w:val="0"/>
          <w:divBdr>
            <w:top w:val="none" w:sz="0" w:space="0" w:color="auto"/>
            <w:left w:val="none" w:sz="0" w:space="0" w:color="auto"/>
            <w:bottom w:val="none" w:sz="0" w:space="0" w:color="auto"/>
            <w:right w:val="none" w:sz="0" w:space="0" w:color="auto"/>
          </w:divBdr>
        </w:div>
        <w:div w:id="843787952">
          <w:marLeft w:val="0"/>
          <w:marRight w:val="0"/>
          <w:marTop w:val="0"/>
          <w:marBottom w:val="0"/>
          <w:divBdr>
            <w:top w:val="none" w:sz="0" w:space="0" w:color="auto"/>
            <w:left w:val="none" w:sz="0" w:space="0" w:color="auto"/>
            <w:bottom w:val="none" w:sz="0" w:space="0" w:color="auto"/>
            <w:right w:val="none" w:sz="0" w:space="0" w:color="auto"/>
          </w:divBdr>
        </w:div>
        <w:div w:id="919603787">
          <w:marLeft w:val="0"/>
          <w:marRight w:val="0"/>
          <w:marTop w:val="0"/>
          <w:marBottom w:val="0"/>
          <w:divBdr>
            <w:top w:val="none" w:sz="0" w:space="0" w:color="auto"/>
            <w:left w:val="none" w:sz="0" w:space="0" w:color="auto"/>
            <w:bottom w:val="none" w:sz="0" w:space="0" w:color="auto"/>
            <w:right w:val="none" w:sz="0" w:space="0" w:color="auto"/>
          </w:divBdr>
        </w:div>
        <w:div w:id="984699614">
          <w:marLeft w:val="0"/>
          <w:marRight w:val="0"/>
          <w:marTop w:val="0"/>
          <w:marBottom w:val="0"/>
          <w:divBdr>
            <w:top w:val="none" w:sz="0" w:space="0" w:color="auto"/>
            <w:left w:val="none" w:sz="0" w:space="0" w:color="auto"/>
            <w:bottom w:val="none" w:sz="0" w:space="0" w:color="auto"/>
            <w:right w:val="none" w:sz="0" w:space="0" w:color="auto"/>
          </w:divBdr>
          <w:divsChild>
            <w:div w:id="1938825376">
              <w:marLeft w:val="0"/>
              <w:marRight w:val="0"/>
              <w:marTop w:val="30"/>
              <w:marBottom w:val="30"/>
              <w:divBdr>
                <w:top w:val="none" w:sz="0" w:space="0" w:color="auto"/>
                <w:left w:val="none" w:sz="0" w:space="0" w:color="auto"/>
                <w:bottom w:val="none" w:sz="0" w:space="0" w:color="auto"/>
                <w:right w:val="none" w:sz="0" w:space="0" w:color="auto"/>
              </w:divBdr>
              <w:divsChild>
                <w:div w:id="131289299">
                  <w:marLeft w:val="0"/>
                  <w:marRight w:val="0"/>
                  <w:marTop w:val="0"/>
                  <w:marBottom w:val="0"/>
                  <w:divBdr>
                    <w:top w:val="none" w:sz="0" w:space="0" w:color="auto"/>
                    <w:left w:val="none" w:sz="0" w:space="0" w:color="auto"/>
                    <w:bottom w:val="none" w:sz="0" w:space="0" w:color="auto"/>
                    <w:right w:val="none" w:sz="0" w:space="0" w:color="auto"/>
                  </w:divBdr>
                  <w:divsChild>
                    <w:div w:id="962077415">
                      <w:marLeft w:val="0"/>
                      <w:marRight w:val="0"/>
                      <w:marTop w:val="0"/>
                      <w:marBottom w:val="0"/>
                      <w:divBdr>
                        <w:top w:val="none" w:sz="0" w:space="0" w:color="auto"/>
                        <w:left w:val="none" w:sz="0" w:space="0" w:color="auto"/>
                        <w:bottom w:val="none" w:sz="0" w:space="0" w:color="auto"/>
                        <w:right w:val="none" w:sz="0" w:space="0" w:color="auto"/>
                      </w:divBdr>
                    </w:div>
                  </w:divsChild>
                </w:div>
                <w:div w:id="812986329">
                  <w:marLeft w:val="0"/>
                  <w:marRight w:val="0"/>
                  <w:marTop w:val="0"/>
                  <w:marBottom w:val="0"/>
                  <w:divBdr>
                    <w:top w:val="none" w:sz="0" w:space="0" w:color="auto"/>
                    <w:left w:val="none" w:sz="0" w:space="0" w:color="auto"/>
                    <w:bottom w:val="none" w:sz="0" w:space="0" w:color="auto"/>
                    <w:right w:val="none" w:sz="0" w:space="0" w:color="auto"/>
                  </w:divBdr>
                  <w:divsChild>
                    <w:div w:id="815293252">
                      <w:marLeft w:val="0"/>
                      <w:marRight w:val="0"/>
                      <w:marTop w:val="0"/>
                      <w:marBottom w:val="0"/>
                      <w:divBdr>
                        <w:top w:val="none" w:sz="0" w:space="0" w:color="auto"/>
                        <w:left w:val="none" w:sz="0" w:space="0" w:color="auto"/>
                        <w:bottom w:val="none" w:sz="0" w:space="0" w:color="auto"/>
                        <w:right w:val="none" w:sz="0" w:space="0" w:color="auto"/>
                      </w:divBdr>
                    </w:div>
                    <w:div w:id="1128475874">
                      <w:marLeft w:val="0"/>
                      <w:marRight w:val="0"/>
                      <w:marTop w:val="0"/>
                      <w:marBottom w:val="0"/>
                      <w:divBdr>
                        <w:top w:val="none" w:sz="0" w:space="0" w:color="auto"/>
                        <w:left w:val="none" w:sz="0" w:space="0" w:color="auto"/>
                        <w:bottom w:val="none" w:sz="0" w:space="0" w:color="auto"/>
                        <w:right w:val="none" w:sz="0" w:space="0" w:color="auto"/>
                      </w:divBdr>
                    </w:div>
                    <w:div w:id="1152482537">
                      <w:marLeft w:val="0"/>
                      <w:marRight w:val="0"/>
                      <w:marTop w:val="0"/>
                      <w:marBottom w:val="0"/>
                      <w:divBdr>
                        <w:top w:val="none" w:sz="0" w:space="0" w:color="auto"/>
                        <w:left w:val="none" w:sz="0" w:space="0" w:color="auto"/>
                        <w:bottom w:val="none" w:sz="0" w:space="0" w:color="auto"/>
                        <w:right w:val="none" w:sz="0" w:space="0" w:color="auto"/>
                      </w:divBdr>
                    </w:div>
                    <w:div w:id="158676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831767">
          <w:marLeft w:val="0"/>
          <w:marRight w:val="0"/>
          <w:marTop w:val="0"/>
          <w:marBottom w:val="0"/>
          <w:divBdr>
            <w:top w:val="none" w:sz="0" w:space="0" w:color="auto"/>
            <w:left w:val="none" w:sz="0" w:space="0" w:color="auto"/>
            <w:bottom w:val="none" w:sz="0" w:space="0" w:color="auto"/>
            <w:right w:val="none" w:sz="0" w:space="0" w:color="auto"/>
          </w:divBdr>
        </w:div>
        <w:div w:id="1078945557">
          <w:marLeft w:val="0"/>
          <w:marRight w:val="0"/>
          <w:marTop w:val="0"/>
          <w:marBottom w:val="0"/>
          <w:divBdr>
            <w:top w:val="none" w:sz="0" w:space="0" w:color="auto"/>
            <w:left w:val="none" w:sz="0" w:space="0" w:color="auto"/>
            <w:bottom w:val="none" w:sz="0" w:space="0" w:color="auto"/>
            <w:right w:val="none" w:sz="0" w:space="0" w:color="auto"/>
          </w:divBdr>
        </w:div>
        <w:div w:id="1152451289">
          <w:marLeft w:val="0"/>
          <w:marRight w:val="0"/>
          <w:marTop w:val="0"/>
          <w:marBottom w:val="0"/>
          <w:divBdr>
            <w:top w:val="none" w:sz="0" w:space="0" w:color="auto"/>
            <w:left w:val="none" w:sz="0" w:space="0" w:color="auto"/>
            <w:bottom w:val="none" w:sz="0" w:space="0" w:color="auto"/>
            <w:right w:val="none" w:sz="0" w:space="0" w:color="auto"/>
          </w:divBdr>
        </w:div>
        <w:div w:id="1373119687">
          <w:marLeft w:val="0"/>
          <w:marRight w:val="0"/>
          <w:marTop w:val="0"/>
          <w:marBottom w:val="0"/>
          <w:divBdr>
            <w:top w:val="none" w:sz="0" w:space="0" w:color="auto"/>
            <w:left w:val="none" w:sz="0" w:space="0" w:color="auto"/>
            <w:bottom w:val="none" w:sz="0" w:space="0" w:color="auto"/>
            <w:right w:val="none" w:sz="0" w:space="0" w:color="auto"/>
          </w:divBdr>
        </w:div>
        <w:div w:id="1391342760">
          <w:marLeft w:val="0"/>
          <w:marRight w:val="0"/>
          <w:marTop w:val="0"/>
          <w:marBottom w:val="0"/>
          <w:divBdr>
            <w:top w:val="none" w:sz="0" w:space="0" w:color="auto"/>
            <w:left w:val="none" w:sz="0" w:space="0" w:color="auto"/>
            <w:bottom w:val="none" w:sz="0" w:space="0" w:color="auto"/>
            <w:right w:val="none" w:sz="0" w:space="0" w:color="auto"/>
          </w:divBdr>
        </w:div>
        <w:div w:id="1809740022">
          <w:marLeft w:val="0"/>
          <w:marRight w:val="0"/>
          <w:marTop w:val="0"/>
          <w:marBottom w:val="0"/>
          <w:divBdr>
            <w:top w:val="none" w:sz="0" w:space="0" w:color="auto"/>
            <w:left w:val="none" w:sz="0" w:space="0" w:color="auto"/>
            <w:bottom w:val="none" w:sz="0" w:space="0" w:color="auto"/>
            <w:right w:val="none" w:sz="0" w:space="0" w:color="auto"/>
          </w:divBdr>
          <w:divsChild>
            <w:div w:id="1682584199">
              <w:marLeft w:val="0"/>
              <w:marRight w:val="0"/>
              <w:marTop w:val="30"/>
              <w:marBottom w:val="30"/>
              <w:divBdr>
                <w:top w:val="none" w:sz="0" w:space="0" w:color="auto"/>
                <w:left w:val="none" w:sz="0" w:space="0" w:color="auto"/>
                <w:bottom w:val="none" w:sz="0" w:space="0" w:color="auto"/>
                <w:right w:val="none" w:sz="0" w:space="0" w:color="auto"/>
              </w:divBdr>
              <w:divsChild>
                <w:div w:id="1747805213">
                  <w:marLeft w:val="0"/>
                  <w:marRight w:val="0"/>
                  <w:marTop w:val="0"/>
                  <w:marBottom w:val="0"/>
                  <w:divBdr>
                    <w:top w:val="none" w:sz="0" w:space="0" w:color="auto"/>
                    <w:left w:val="none" w:sz="0" w:space="0" w:color="auto"/>
                    <w:bottom w:val="none" w:sz="0" w:space="0" w:color="auto"/>
                    <w:right w:val="none" w:sz="0" w:space="0" w:color="auto"/>
                  </w:divBdr>
                  <w:divsChild>
                    <w:div w:id="1728605901">
                      <w:marLeft w:val="0"/>
                      <w:marRight w:val="0"/>
                      <w:marTop w:val="0"/>
                      <w:marBottom w:val="0"/>
                      <w:divBdr>
                        <w:top w:val="none" w:sz="0" w:space="0" w:color="auto"/>
                        <w:left w:val="none" w:sz="0" w:space="0" w:color="auto"/>
                        <w:bottom w:val="none" w:sz="0" w:space="0" w:color="auto"/>
                        <w:right w:val="none" w:sz="0" w:space="0" w:color="auto"/>
                      </w:divBdr>
                    </w:div>
                  </w:divsChild>
                </w:div>
                <w:div w:id="1777561387">
                  <w:marLeft w:val="0"/>
                  <w:marRight w:val="0"/>
                  <w:marTop w:val="0"/>
                  <w:marBottom w:val="0"/>
                  <w:divBdr>
                    <w:top w:val="none" w:sz="0" w:space="0" w:color="auto"/>
                    <w:left w:val="none" w:sz="0" w:space="0" w:color="auto"/>
                    <w:bottom w:val="none" w:sz="0" w:space="0" w:color="auto"/>
                    <w:right w:val="none" w:sz="0" w:space="0" w:color="auto"/>
                  </w:divBdr>
                  <w:divsChild>
                    <w:div w:id="511379992">
                      <w:marLeft w:val="0"/>
                      <w:marRight w:val="0"/>
                      <w:marTop w:val="0"/>
                      <w:marBottom w:val="0"/>
                      <w:divBdr>
                        <w:top w:val="none" w:sz="0" w:space="0" w:color="auto"/>
                        <w:left w:val="none" w:sz="0" w:space="0" w:color="auto"/>
                        <w:bottom w:val="none" w:sz="0" w:space="0" w:color="auto"/>
                        <w:right w:val="none" w:sz="0" w:space="0" w:color="auto"/>
                      </w:divBdr>
                    </w:div>
                    <w:div w:id="1029263825">
                      <w:marLeft w:val="0"/>
                      <w:marRight w:val="0"/>
                      <w:marTop w:val="0"/>
                      <w:marBottom w:val="0"/>
                      <w:divBdr>
                        <w:top w:val="none" w:sz="0" w:space="0" w:color="auto"/>
                        <w:left w:val="none" w:sz="0" w:space="0" w:color="auto"/>
                        <w:bottom w:val="none" w:sz="0" w:space="0" w:color="auto"/>
                        <w:right w:val="none" w:sz="0" w:space="0" w:color="auto"/>
                      </w:divBdr>
                    </w:div>
                    <w:div w:id="150754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814425">
          <w:marLeft w:val="0"/>
          <w:marRight w:val="0"/>
          <w:marTop w:val="0"/>
          <w:marBottom w:val="0"/>
          <w:divBdr>
            <w:top w:val="none" w:sz="0" w:space="0" w:color="auto"/>
            <w:left w:val="none" w:sz="0" w:space="0" w:color="auto"/>
            <w:bottom w:val="none" w:sz="0" w:space="0" w:color="auto"/>
            <w:right w:val="none" w:sz="0" w:space="0" w:color="auto"/>
          </w:divBdr>
        </w:div>
        <w:div w:id="2079284364">
          <w:marLeft w:val="0"/>
          <w:marRight w:val="0"/>
          <w:marTop w:val="0"/>
          <w:marBottom w:val="0"/>
          <w:divBdr>
            <w:top w:val="none" w:sz="0" w:space="0" w:color="auto"/>
            <w:left w:val="none" w:sz="0" w:space="0" w:color="auto"/>
            <w:bottom w:val="none" w:sz="0" w:space="0" w:color="auto"/>
            <w:right w:val="none" w:sz="0" w:space="0" w:color="auto"/>
          </w:divBdr>
        </w:div>
        <w:div w:id="2108887168">
          <w:marLeft w:val="0"/>
          <w:marRight w:val="0"/>
          <w:marTop w:val="0"/>
          <w:marBottom w:val="0"/>
          <w:divBdr>
            <w:top w:val="none" w:sz="0" w:space="0" w:color="auto"/>
            <w:left w:val="none" w:sz="0" w:space="0" w:color="auto"/>
            <w:bottom w:val="none" w:sz="0" w:space="0" w:color="auto"/>
            <w:right w:val="none" w:sz="0" w:space="0" w:color="auto"/>
          </w:divBdr>
        </w:div>
        <w:div w:id="2134055381">
          <w:marLeft w:val="0"/>
          <w:marRight w:val="0"/>
          <w:marTop w:val="0"/>
          <w:marBottom w:val="0"/>
          <w:divBdr>
            <w:top w:val="none" w:sz="0" w:space="0" w:color="auto"/>
            <w:left w:val="none" w:sz="0" w:space="0" w:color="auto"/>
            <w:bottom w:val="none" w:sz="0" w:space="0" w:color="auto"/>
            <w:right w:val="none" w:sz="0" w:space="0" w:color="auto"/>
          </w:divBdr>
        </w:div>
      </w:divsChild>
    </w:div>
    <w:div w:id="737367260">
      <w:bodyDiv w:val="1"/>
      <w:marLeft w:val="0"/>
      <w:marRight w:val="0"/>
      <w:marTop w:val="0"/>
      <w:marBottom w:val="0"/>
      <w:divBdr>
        <w:top w:val="none" w:sz="0" w:space="0" w:color="auto"/>
        <w:left w:val="none" w:sz="0" w:space="0" w:color="auto"/>
        <w:bottom w:val="none" w:sz="0" w:space="0" w:color="auto"/>
        <w:right w:val="none" w:sz="0" w:space="0" w:color="auto"/>
      </w:divBdr>
    </w:div>
    <w:div w:id="779758380">
      <w:bodyDiv w:val="1"/>
      <w:marLeft w:val="0"/>
      <w:marRight w:val="0"/>
      <w:marTop w:val="0"/>
      <w:marBottom w:val="0"/>
      <w:divBdr>
        <w:top w:val="none" w:sz="0" w:space="0" w:color="auto"/>
        <w:left w:val="none" w:sz="0" w:space="0" w:color="auto"/>
        <w:bottom w:val="none" w:sz="0" w:space="0" w:color="auto"/>
        <w:right w:val="none" w:sz="0" w:space="0" w:color="auto"/>
      </w:divBdr>
    </w:div>
    <w:div w:id="962344893">
      <w:bodyDiv w:val="1"/>
      <w:marLeft w:val="0"/>
      <w:marRight w:val="0"/>
      <w:marTop w:val="0"/>
      <w:marBottom w:val="0"/>
      <w:divBdr>
        <w:top w:val="none" w:sz="0" w:space="0" w:color="auto"/>
        <w:left w:val="none" w:sz="0" w:space="0" w:color="auto"/>
        <w:bottom w:val="none" w:sz="0" w:space="0" w:color="auto"/>
        <w:right w:val="none" w:sz="0" w:space="0" w:color="auto"/>
      </w:divBdr>
      <w:divsChild>
        <w:div w:id="402337019">
          <w:marLeft w:val="0"/>
          <w:marRight w:val="0"/>
          <w:marTop w:val="0"/>
          <w:marBottom w:val="0"/>
          <w:divBdr>
            <w:top w:val="none" w:sz="0" w:space="0" w:color="auto"/>
            <w:left w:val="none" w:sz="0" w:space="0" w:color="auto"/>
            <w:bottom w:val="none" w:sz="0" w:space="0" w:color="auto"/>
            <w:right w:val="none" w:sz="0" w:space="0" w:color="auto"/>
          </w:divBdr>
        </w:div>
        <w:div w:id="923533850">
          <w:marLeft w:val="0"/>
          <w:marRight w:val="0"/>
          <w:marTop w:val="0"/>
          <w:marBottom w:val="0"/>
          <w:divBdr>
            <w:top w:val="none" w:sz="0" w:space="0" w:color="auto"/>
            <w:left w:val="none" w:sz="0" w:space="0" w:color="auto"/>
            <w:bottom w:val="none" w:sz="0" w:space="0" w:color="auto"/>
            <w:right w:val="none" w:sz="0" w:space="0" w:color="auto"/>
          </w:divBdr>
        </w:div>
      </w:divsChild>
    </w:div>
    <w:div w:id="977101536">
      <w:bodyDiv w:val="1"/>
      <w:marLeft w:val="0"/>
      <w:marRight w:val="0"/>
      <w:marTop w:val="0"/>
      <w:marBottom w:val="0"/>
      <w:divBdr>
        <w:top w:val="none" w:sz="0" w:space="0" w:color="auto"/>
        <w:left w:val="none" w:sz="0" w:space="0" w:color="auto"/>
        <w:bottom w:val="none" w:sz="0" w:space="0" w:color="auto"/>
        <w:right w:val="none" w:sz="0" w:space="0" w:color="auto"/>
      </w:divBdr>
    </w:div>
    <w:div w:id="1276522815">
      <w:bodyDiv w:val="1"/>
      <w:marLeft w:val="0"/>
      <w:marRight w:val="0"/>
      <w:marTop w:val="0"/>
      <w:marBottom w:val="0"/>
      <w:divBdr>
        <w:top w:val="none" w:sz="0" w:space="0" w:color="auto"/>
        <w:left w:val="none" w:sz="0" w:space="0" w:color="auto"/>
        <w:bottom w:val="none" w:sz="0" w:space="0" w:color="auto"/>
        <w:right w:val="none" w:sz="0" w:space="0" w:color="auto"/>
      </w:divBdr>
    </w:div>
    <w:div w:id="1462920561">
      <w:bodyDiv w:val="1"/>
      <w:marLeft w:val="0"/>
      <w:marRight w:val="0"/>
      <w:marTop w:val="0"/>
      <w:marBottom w:val="0"/>
      <w:divBdr>
        <w:top w:val="none" w:sz="0" w:space="0" w:color="auto"/>
        <w:left w:val="none" w:sz="0" w:space="0" w:color="auto"/>
        <w:bottom w:val="none" w:sz="0" w:space="0" w:color="auto"/>
        <w:right w:val="none" w:sz="0" w:space="0" w:color="auto"/>
      </w:divBdr>
      <w:divsChild>
        <w:div w:id="861017315">
          <w:marLeft w:val="0"/>
          <w:marRight w:val="0"/>
          <w:marTop w:val="0"/>
          <w:marBottom w:val="0"/>
          <w:divBdr>
            <w:top w:val="none" w:sz="0" w:space="0" w:color="auto"/>
            <w:left w:val="none" w:sz="0" w:space="0" w:color="auto"/>
            <w:bottom w:val="none" w:sz="0" w:space="0" w:color="auto"/>
            <w:right w:val="none" w:sz="0" w:space="0" w:color="auto"/>
          </w:divBdr>
        </w:div>
      </w:divsChild>
    </w:div>
    <w:div w:id="1932394562">
      <w:bodyDiv w:val="1"/>
      <w:marLeft w:val="0"/>
      <w:marRight w:val="0"/>
      <w:marTop w:val="0"/>
      <w:marBottom w:val="0"/>
      <w:divBdr>
        <w:top w:val="none" w:sz="0" w:space="0" w:color="auto"/>
        <w:left w:val="none" w:sz="0" w:space="0" w:color="auto"/>
        <w:bottom w:val="none" w:sz="0" w:space="0" w:color="auto"/>
        <w:right w:val="none" w:sz="0" w:space="0" w:color="auto"/>
      </w:divBdr>
      <w:divsChild>
        <w:div w:id="1454859421">
          <w:marLeft w:val="0"/>
          <w:marRight w:val="0"/>
          <w:marTop w:val="0"/>
          <w:marBottom w:val="0"/>
          <w:divBdr>
            <w:top w:val="none" w:sz="0" w:space="0" w:color="auto"/>
            <w:left w:val="none" w:sz="0" w:space="0" w:color="auto"/>
            <w:bottom w:val="none" w:sz="0" w:space="0" w:color="auto"/>
            <w:right w:val="none" w:sz="0" w:space="0" w:color="auto"/>
          </w:divBdr>
        </w:div>
      </w:divsChild>
    </w:div>
    <w:div w:id="20733089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yperlink" Target="mailto:communications@humanrights.gov.au" TargetMode="External"/><Relationship Id="rId26" Type="http://schemas.openxmlformats.org/officeDocument/2006/relationships/image" Target="media/image8.png"/><Relationship Id="rId39" Type="http://schemas.openxmlformats.org/officeDocument/2006/relationships/image" Target="media/image14.png"/><Relationship Id="rId21" Type="http://schemas.openxmlformats.org/officeDocument/2006/relationships/image" Target="media/image4.png"/><Relationship Id="rId34" Type="http://schemas.openxmlformats.org/officeDocument/2006/relationships/hyperlink" Target="https://www.youtube.com/watch?v=104KcIS6eRY" TargetMode="External"/><Relationship Id="rId42" Type="http://schemas.openxmlformats.org/officeDocument/2006/relationships/hyperlink" Target="https://humanrights.gov.au/free-and-equal" TargetMode="External"/><Relationship Id="rId47" Type="http://schemas.openxmlformats.org/officeDocument/2006/relationships/image" Target="media/image20.png"/><Relationship Id="rId50" Type="http://schemas.openxmlformats.org/officeDocument/2006/relationships/hyperlink" Target="https://www.respectatwork.gov.au/" TargetMode="External"/><Relationship Id="rId55" Type="http://schemas.openxmlformats.org/officeDocument/2006/relationships/hyperlink" Target="https://humanrights.gov.au/lets-talk-about-equality-and-equity" TargetMode="External"/><Relationship Id="rId63" Type="http://schemas.openxmlformats.org/officeDocument/2006/relationships/header" Target="header2.xml"/><Relationship Id="rId68" Type="http://schemas.openxmlformats.org/officeDocument/2006/relationships/image" Target="media/image23.emf"/><Relationship Id="rId76" Type="http://schemas.openxmlformats.org/officeDocument/2006/relationships/fontTable" Target="fontTable.xml"/><Relationship Id="rId7" Type="http://schemas.openxmlformats.org/officeDocument/2006/relationships/customXml" Target="../customXml/item7.xml"/><Relationship Id="rId71"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hyperlink" Target="https://creativecommons.org/licenses/by/4.0/legalcode" TargetMode="External"/><Relationship Id="rId29" Type="http://schemas.openxmlformats.org/officeDocument/2006/relationships/image" Target="media/image10.png"/><Relationship Id="rId11" Type="http://schemas.openxmlformats.org/officeDocument/2006/relationships/webSettings" Target="webSettings.xml"/><Relationship Id="rId24" Type="http://schemas.openxmlformats.org/officeDocument/2006/relationships/image" Target="media/image6.png"/><Relationship Id="rId32" Type="http://schemas.openxmlformats.org/officeDocument/2006/relationships/hyperlink" Target="https://humanrights.gov.au/about/news/media-releases/first-nations-women-respond-banksia-hill-riots-call-immediate-reform" TargetMode="External"/><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18.png"/><Relationship Id="rId53" Type="http://schemas.openxmlformats.org/officeDocument/2006/relationships/hyperlink" Target="https://humanrights.gov.au/lets-talk-about-bodies-identity-and-sexuality" TargetMode="External"/><Relationship Id="rId58" Type="http://schemas.openxmlformats.org/officeDocument/2006/relationships/hyperlink" Target="https://humanrights.gov.au/sites/default/files/delegate_statement_wyut_womens_safety_forum_final_2.pdf" TargetMode="External"/><Relationship Id="rId66" Type="http://schemas.openxmlformats.org/officeDocument/2006/relationships/header" Target="header3.xml"/><Relationship Id="rId74" Type="http://schemas.openxmlformats.org/officeDocument/2006/relationships/header" Target="header6.xml"/><Relationship Id="rId5" Type="http://schemas.openxmlformats.org/officeDocument/2006/relationships/customXml" Target="../customXml/item5.xml"/><Relationship Id="rId15" Type="http://schemas.openxmlformats.org/officeDocument/2006/relationships/image" Target="media/image2.emf"/><Relationship Id="rId23" Type="http://schemas.openxmlformats.org/officeDocument/2006/relationships/hyperlink" Target="https://humanrights.gov.au/sites/default/files/ahrc_audit_and_risk_committee_charter.pdf" TargetMode="External"/><Relationship Id="rId28" Type="http://schemas.openxmlformats.org/officeDocument/2006/relationships/hyperlink" Target="https://elections.nsw.gov.au/about-us/media-centre/news-and-media-releases/nswec-commits-to-explore-tav-options" TargetMode="External"/><Relationship Id="rId36" Type="http://schemas.openxmlformats.org/officeDocument/2006/relationships/hyperlink" Target="https://www.legislation.qld.gov.au/view/html/bill.first/bill-2021-068" TargetMode="External"/><Relationship Id="rId49" Type="http://schemas.openxmlformats.org/officeDocument/2006/relationships/hyperlink" Target="https://www.respectatwork.gov.au/" TargetMode="External"/><Relationship Id="rId57" Type="http://schemas.openxmlformats.org/officeDocument/2006/relationships/hyperlink" Target="https://humanrights.gov.au/lets-talk-about-education" TargetMode="External"/><Relationship Id="rId61" Type="http://schemas.openxmlformats.org/officeDocument/2006/relationships/hyperlink" Target="https://humanrights.gov.au/our-work/age-discrimination/projects/age-discrimination-employment" TargetMode="External"/><Relationship Id="rId10" Type="http://schemas.openxmlformats.org/officeDocument/2006/relationships/settings" Target="settings.xml"/><Relationship Id="rId19" Type="http://schemas.openxmlformats.org/officeDocument/2006/relationships/image" Target="media/image3.emf"/><Relationship Id="rId31" Type="http://schemas.openxmlformats.org/officeDocument/2006/relationships/hyperlink" Target="https://wiyiyaniuthangani.humanrights.gov.au/sites/default/files/2023-07/WYUT%20National%20Summit%20Youth%20Statement%202023.pdf" TargetMode="External"/><Relationship Id="rId44" Type="http://schemas.openxmlformats.org/officeDocument/2006/relationships/image" Target="media/image17.png"/><Relationship Id="rId52" Type="http://schemas.openxmlformats.org/officeDocument/2006/relationships/hyperlink" Target="https://humanrights.gov.au/lets-talk-about-racism" TargetMode="External"/><Relationship Id="rId60" Type="http://schemas.openxmlformats.org/officeDocument/2006/relationships/hyperlink" Target="https://humanrights.gov.au/sites/default/files/opcat_road_map_0.pdf" TargetMode="External"/><Relationship Id="rId65" Type="http://schemas.openxmlformats.org/officeDocument/2006/relationships/footer" Target="footer2.xml"/><Relationship Id="rId73" Type="http://schemas.openxmlformats.org/officeDocument/2006/relationships/hyperlink" Target="https://australianhrc.sharepoint.com/:x:/s/CorporateGovernance/ER9exIokBapNsZywJptbJsUB3sXuwKmSivFxsturH7Cgjw?e=8bV8TI" TargetMode="External"/><Relationship Id="rId78" Type="http://schemas.microsoft.com/office/2019/05/relationships/documenttasks" Target="documenttasks/documenttasks1.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emf"/><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hyperlink" Target="https://wiyiyaniuthangani.humanrights.gov.au/sites/default/files/2023-07/WYUT%20National%20Summit%20Communique%202023_0.pdf" TargetMode="External"/><Relationship Id="rId35" Type="http://schemas.openxmlformats.org/officeDocument/2006/relationships/hyperlink" Target="https://humanrights.gov.au/sites/default/files/opcat_road_map_0.pdf" TargetMode="External"/><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hyperlink" Target="https://humanrights.gov.au/lets-talk-about-refugees" TargetMode="External"/><Relationship Id="rId64" Type="http://schemas.openxmlformats.org/officeDocument/2006/relationships/footer" Target="footer1.xml"/><Relationship Id="rId69" Type="http://schemas.openxmlformats.org/officeDocument/2006/relationships/image" Target="media/image24.emf"/><Relationship Id="rId77"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image" Target="media/image22.png"/><Relationship Id="rId72" Type="http://schemas.openxmlformats.org/officeDocument/2006/relationships/header" Target="header5.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yperlink" Target="https://humanrights.gov.au/our-work/technology-and-human-rights" TargetMode="External"/><Relationship Id="rId25" Type="http://schemas.openxmlformats.org/officeDocument/2006/relationships/image" Target="media/image7.emf"/><Relationship Id="rId33" Type="http://schemas.openxmlformats.org/officeDocument/2006/relationships/image" Target="media/image11.png"/><Relationship Id="rId38" Type="http://schemas.openxmlformats.org/officeDocument/2006/relationships/image" Target="media/image13.png"/><Relationship Id="rId46" Type="http://schemas.openxmlformats.org/officeDocument/2006/relationships/image" Target="media/image19.png"/><Relationship Id="rId59" Type="http://schemas.openxmlformats.org/officeDocument/2006/relationships/hyperlink" Target="https://humanrights.gov.au/our-work/aboriginal-and-torres-strait-islander-social-justice/publications/wiyi-yani-u-thangani-6" TargetMode="External"/><Relationship Id="rId67" Type="http://schemas.openxmlformats.org/officeDocument/2006/relationships/footer" Target="footer3.xml"/><Relationship Id="rId20" Type="http://schemas.openxmlformats.org/officeDocument/2006/relationships/hyperlink" Target="https://humanrights.gov.au/our-work/commission-general/publications/strategic-plan-2022-25" TargetMode="External"/><Relationship Id="rId41" Type="http://schemas.openxmlformats.org/officeDocument/2006/relationships/hyperlink" Target="https://humanrights.gov.au/our-work/rights-and-freedoms/publications/free-and-equal-reform-agenda-federal-discrimination-laws" TargetMode="External"/><Relationship Id="rId54" Type="http://schemas.openxmlformats.org/officeDocument/2006/relationships/hyperlink" Target="https://humanrights.gov.au/lets-talk-about-disability" TargetMode="External"/><Relationship Id="rId62" Type="http://schemas.openxmlformats.org/officeDocument/2006/relationships/header" Target="header1.xml"/><Relationship Id="rId70" Type="http://schemas.openxmlformats.org/officeDocument/2006/relationships/image" Target="media/image25.png"/><Relationship Id="rId75"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customXml" Target="../customXml/item6.xml"/></Relationships>
</file>

<file path=word/documenttasks/documenttasks1.xml><?xml version="1.0" encoding="utf-8"?>
<t:Tasks xmlns:t="http://schemas.microsoft.com/office/tasks/2019/documenttasks" xmlns:oel="http://schemas.microsoft.com/office/2019/extlst">
  <t:Task id="{20DB2D3A-19EB-477E-858B-A1BF7F73351D}">
    <t:Anchor>
      <t:Comment id="681336121"/>
    </t:Anchor>
    <t:History>
      <t:Event id="{27C77155-2008-422C-AA7B-192A8EAB6754}" time="2023-09-01T02:53:13.326Z">
        <t:Attribution userId="S::leanne.smith@humanrights.gov.au::4554c6d0-a496-4b47-96ea-e1c95e9b9bb4" userProvider="AD" userName="Leanne Smith"/>
        <t:Anchor>
          <t:Comment id="681336121"/>
        </t:Anchor>
        <t:Create/>
      </t:Event>
      <t:Event id="{F630A1A5-D7C0-46E3-8E94-66E2C41E8DD6}" time="2023-09-01T02:53:13.326Z">
        <t:Attribution userId="S::leanne.smith@humanrights.gov.au::4554c6d0-a496-4b47-96ea-e1c95e9b9bb4" userProvider="AD" userName="Leanne Smith"/>
        <t:Anchor>
          <t:Comment id="681336121"/>
        </t:Anchor>
        <t:Assign userId="S::catherine.johnson@humanrights.gov.au::8a4b599e-a696-495e-a360-30f9e4f27165" userProvider="AD" userName="Catherine Johnson"/>
      </t:Event>
      <t:Event id="{C0D24E0F-A35B-43A6-8F00-5235FDF18EBF}" time="2023-09-01T02:53:13.326Z">
        <t:Attribution userId="S::leanne.smith@humanrights.gov.au::4554c6d0-a496-4b47-96ea-e1c95e9b9bb4" userProvider="AD" userName="Leanne Smith"/>
        <t:Anchor>
          <t:Comment id="681336121"/>
        </t:Anchor>
        <t:SetTitle title="@Catherine Johnson please standardise font size for all columns"/>
      </t:Event>
      <t:Event id="{87988707-6828-411C-B9AE-1D2AB5134CD6}" time="2023-09-07T21:21:46.389Z">
        <t:Attribution userId="S::catherine.johnson@humanrights.gov.au::8a4b599e-a696-495e-a360-30f9e4f27165" userProvider="AD" userName="Catherine Johnson"/>
        <t:Progress percentComplete="100"/>
      </t:Event>
    </t:History>
  </t:Task>
  <t:Task id="{E4B78CED-B960-47BD-875F-5CBEB797F59C}">
    <t:Anchor>
      <t:Comment id="681336376"/>
    </t:Anchor>
    <t:History>
      <t:Event id="{C29FDF54-6E13-4C34-843E-A74B1DB60513}" time="2023-09-01T02:57:28.22Z">
        <t:Attribution userId="S::leanne.smith@humanrights.gov.au::4554c6d0-a496-4b47-96ea-e1c95e9b9bb4" userProvider="AD" userName="Leanne Smith"/>
        <t:Anchor>
          <t:Comment id="681336376"/>
        </t:Anchor>
        <t:Create/>
      </t:Event>
      <t:Event id="{B8589B0F-0163-4F8E-88D8-1B899FD5AAA3}" time="2023-09-01T02:57:28.22Z">
        <t:Attribution userId="S::leanne.smith@humanrights.gov.au::4554c6d0-a496-4b47-96ea-e1c95e9b9bb4" userProvider="AD" userName="Leanne Smith"/>
        <t:Anchor>
          <t:Comment id="681336376"/>
        </t:Anchor>
        <t:Assign userId="S::catherine.johnson@humanrights.gov.au::8a4b599e-a696-495e-a360-30f9e4f27165" userProvider="AD" userName="Catherine Johnson"/>
      </t:Event>
      <t:Event id="{230AC89F-E665-41DC-A641-0F8390382FD9}" time="2023-09-01T02:57:28.22Z">
        <t:Attribution userId="S::leanne.smith@humanrights.gov.au::4554c6d0-a496-4b47-96ea-e1c95e9b9bb4" userProvider="AD" userName="Leanne Smith"/>
        <t:Anchor>
          <t:Comment id="681336376"/>
        </t:Anchor>
        <t:SetTitle title="@Catherine Johnson please standardise capitalisation across all titles "/>
      </t:Event>
      <t:Event id="{AD6766B6-532B-4044-8E49-F007EA5A3978}" time="2023-09-07T21:22:52.681Z">
        <t:Attribution userId="S::catherine.johnson@humanrights.gov.au::8a4b599e-a696-495e-a360-30f9e4f27165" userProvider="AD" userName="Catherine Johnson"/>
        <t:Progress percentComplete="100"/>
      </t:Event>
    </t:History>
  </t:Task>
  <t:Task id="{3838F37F-3422-4DEC-8BAA-F0713CA9BC2E}">
    <t:Anchor>
      <t:Comment id="681335991"/>
    </t:Anchor>
    <t:History>
      <t:Event id="{DDF19F60-D9E2-4CA8-9AB2-A9DEC6EB54D5}" time="2023-09-01T02:51:03.908Z">
        <t:Attribution userId="S::leanne.smith@humanrights.gov.au::4554c6d0-a496-4b47-96ea-e1c95e9b9bb4" userProvider="AD" userName="Leanne Smith"/>
        <t:Anchor>
          <t:Comment id="681335991"/>
        </t:Anchor>
        <t:Create/>
      </t:Event>
      <t:Event id="{8DDB2E30-FAFB-47E4-AF7C-6E649811FF0F}" time="2023-09-01T02:51:03.908Z">
        <t:Attribution userId="S::leanne.smith@humanrights.gov.au::4554c6d0-a496-4b47-96ea-e1c95e9b9bb4" userProvider="AD" userName="Leanne Smith"/>
        <t:Anchor>
          <t:Comment id="681335991"/>
        </t:Anchor>
        <t:Assign userId="S::catherine.johnson@humanrights.gov.au::8a4b599e-a696-495e-a360-30f9e4f27165" userProvider="AD" userName="Catherine Johnson"/>
      </t:Event>
      <t:Event id="{56612A3D-05B1-408A-9362-CAE2D2C23AA5}" time="2023-09-01T02:51:03.908Z">
        <t:Attribution userId="S::leanne.smith@humanrights.gov.au::4554c6d0-a496-4b47-96ea-e1c95e9b9bb4" userProvider="AD" userName="Leanne Smith"/>
        <t:Anchor>
          <t:Comment id="681335991"/>
        </t:Anchor>
        <t:SetTitle title="@Catherine Johnson this also needs HR's attention - should include all SES as well as 'other highly paid staff' at least SES equivalents. Please see practice from last year."/>
      </t:Event>
      <t:Event id="{5F126045-9AE4-4274-8F68-93B805CD2266}" time="2023-09-08T03:20:52.086Z">
        <t:Attribution userId="S::leanne.smith@humanrights.gov.au::4554c6d0-a496-4b47-96ea-e1c95e9b9bb4" userProvider="AD" userName="Leanne Smith"/>
        <t:Anchor>
          <t:Comment id="681942580"/>
        </t:Anchor>
        <t:UnassignAll/>
      </t:Event>
      <t:Event id="{23DE1E10-8768-437A-8B6B-152FBE71F48F}" time="2023-09-08T03:20:52.086Z">
        <t:Attribution userId="S::leanne.smith@humanrights.gov.au::4554c6d0-a496-4b47-96ea-e1c95e9b9bb4" userProvider="AD" userName="Leanne Smith"/>
        <t:Anchor>
          <t:Comment id="681942580"/>
        </t:Anchor>
        <t:Assign userId="S::catherine.dempster@humanrights.gov.au::b0e98d63-ea37-4df1-aaa2-93bcdb8b3b88" userProvider="AD" userName="Catherine Dempster"/>
      </t:Event>
    </t:History>
  </t:Task>
  <t:Task id="{9E5D12C7-6AE5-4C6C-AE85-6F404D615705}">
    <t:Anchor>
      <t:Comment id="681942739"/>
    </t:Anchor>
    <t:History>
      <t:Event id="{C2BDAC27-920C-4B07-AA26-0A10F4EADCCE}" time="2023-09-08T03:23:31.728Z">
        <t:Attribution userId="S::leanne.smith@humanrights.gov.au::4554c6d0-a496-4b47-96ea-e1c95e9b9bb4" userProvider="AD" userName="Leanne Smith"/>
        <t:Anchor>
          <t:Comment id="681942739"/>
        </t:Anchor>
        <t:Create/>
      </t:Event>
      <t:Event id="{4C87270D-A493-47E5-8C35-8491AB3C2C39}" time="2023-09-08T03:23:31.728Z">
        <t:Attribution userId="S::leanne.smith@humanrights.gov.au::4554c6d0-a496-4b47-96ea-e1c95e9b9bb4" userProvider="AD" userName="Leanne Smith"/>
        <t:Anchor>
          <t:Comment id="681942739"/>
        </t:Anchor>
        <t:Assign userId="S::catherine.johnson@humanrights.gov.au::8a4b599e-a696-495e-a360-30f9e4f27165" userProvider="AD" userName="Catherine Johnson"/>
      </t:Event>
      <t:Event id="{0E311956-7342-494D-95E8-5743C201F06C}" time="2023-09-08T03:23:31.728Z">
        <t:Attribution userId="S::leanne.smith@humanrights.gov.au::4554c6d0-a496-4b47-96ea-e1c95e9b9bb4" userProvider="AD" userName="Leanne Smith"/>
        <t:Anchor>
          <t:Comment id="681942739"/>
        </t:Anchor>
        <t:SetTitle title="@Catherine Johnson we need this to send draft"/>
      </t:Event>
    </t:History>
  </t:Task>
  <t:Task id="{3B13793C-EBA8-4DE3-AF76-420E9A3449A8}">
    <t:Anchor>
      <t:Comment id="681335129"/>
    </t:Anchor>
    <t:History>
      <t:Event id="{16561419-D936-43C8-84AC-0A0C5EE6C83C}" time="2023-09-01T02:36:41.145Z">
        <t:Attribution userId="S::leanne.smith@humanrights.gov.au::4554c6d0-a496-4b47-96ea-e1c95e9b9bb4" userProvider="AD" userName="Leanne Smith"/>
        <t:Anchor>
          <t:Comment id="681335129"/>
        </t:Anchor>
        <t:Create/>
      </t:Event>
      <t:Event id="{045D7DEC-C566-4659-9027-B0D2C730C75B}" time="2023-09-01T02:36:41.145Z">
        <t:Attribution userId="S::leanne.smith@humanrights.gov.au::4554c6d0-a496-4b47-96ea-e1c95e9b9bb4" userProvider="AD" userName="Leanne Smith"/>
        <t:Anchor>
          <t:Comment id="681335129"/>
        </t:Anchor>
        <t:Assign userId="S::catherine.johnson@humanrights.gov.au::8a4b599e-a696-495e-a360-30f9e4f27165" userProvider="AD" userName="Catherine Johnson"/>
      </t:Event>
      <t:Event id="{8FEA60DB-E795-4A3B-BE6D-814F80D428E1}" time="2023-09-01T02:36:41.145Z">
        <t:Attribution userId="S::leanne.smith@humanrights.gov.au::4554c6d0-a496-4b47-96ea-e1c95e9b9bb4" userProvider="AD" userName="Leanne Smith"/>
        <t:Anchor>
          <t:Comment id="681335129"/>
        </t:Anchor>
        <t:SetTitle title="@Catherine Johnson please be very careful in how you ocmmunicate our Melb presence. It is not an outreach office. It is not an official presence."/>
      </t:Event>
    </t:History>
  </t:Task>
  <t:Task id="{637E6B05-E243-4E0C-95C6-ADFF86302B23}">
    <t:Anchor>
      <t:Comment id="681335731"/>
    </t:Anchor>
    <t:History>
      <t:Event id="{2F1754C9-73FB-450C-952F-A129CC69D180}" time="2023-09-01T02:46:43.811Z">
        <t:Attribution userId="S::leanne.smith@humanrights.gov.au::4554c6d0-a496-4b47-96ea-e1c95e9b9bb4" userProvider="AD" userName="Leanne Smith"/>
        <t:Anchor>
          <t:Comment id="681335731"/>
        </t:Anchor>
        <t:Create/>
      </t:Event>
      <t:Event id="{FA60C819-8D7B-400E-BAFC-535FA1D912B1}" time="2023-09-01T02:46:43.811Z">
        <t:Attribution userId="S::leanne.smith@humanrights.gov.au::4554c6d0-a496-4b47-96ea-e1c95e9b9bb4" userProvider="AD" userName="Leanne Smith"/>
        <t:Anchor>
          <t:Comment id="681335731"/>
        </t:Anchor>
        <t:Assign userId="S::catherine.johnson@humanrights.gov.au::8a4b599e-a696-495e-a360-30f9e4f27165" userProvider="AD" userName="Catherine Johnson"/>
      </t:Event>
      <t:Event id="{ADDADB81-ADBD-42A2-A359-EAC95AEBC355}" time="2023-09-01T02:46:43.811Z">
        <t:Attribution userId="S::leanne.smith@humanrights.gov.au::4554c6d0-a496-4b47-96ea-e1c95e9b9bb4" userProvider="AD" userName="Leanne Smith"/>
        <t:Anchor>
          <t:Comment id="681335731"/>
        </t:Anchor>
        <t:SetTitle title="@Catherine Johnson as this is the annual report for the prior year, I don't think so"/>
      </t:Event>
      <t:Event id="{6B72B440-592C-477F-9700-3B458A628805}" time="2023-09-04T23:37:54.379Z">
        <t:Attribution userId="S::catherine.johnson@humanrights.gov.au::8a4b599e-a696-495e-a360-30f9e4f27165" userProvider="AD" userName="Catherine Johnson"/>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500fe01-343b-4fb9-a1b0-68ac19d62e01" xsi:nil="true"/>
    <TaxKeywordTaxHTField xmlns="6500fe01-343b-4fb9-a1b0-68ac19d62e01">
      <Terms xmlns="http://schemas.microsoft.com/office/infopath/2007/PartnerControls"/>
    </TaxKeywordTaxHTField>
    <_dlc_DocId xmlns="6500fe01-343b-4fb9-a1b0-68ac19d62e01">HDEWQED4ETXN-1908796816-616</_dlc_DocId>
    <_dlc_DocIdUrl xmlns="6500fe01-343b-4fb9-a1b0-68ac19d62e01">
      <Url>https://australianhrc.sharepoint.com/sites/CorporateGovernance/_layouts/15/DocIdRedir.aspx?ID=HDEWQED4ETXN-1908796816-616</Url>
      <Description>HDEWQED4ETXN-1908796816-616</Description>
    </_dlc_DocIdUrl>
    <Divider xmlns="6500fe01-343b-4fb9-a1b0-68ac19d62e01" xsi:nil="true"/>
    <SharedWithUsers xmlns="1163f1fa-4cb4-454e-9832-1aee5a5bae0d">
      <UserInfo>
        <DisplayName>Leanne Smith</DisplayName>
        <AccountId>89</AccountId>
        <AccountType/>
      </UserInfo>
      <UserInfo>
        <DisplayName>Catherine Johnson</DisplayName>
        <AccountId>18</AccountId>
        <AccountType/>
      </UserInfo>
      <UserInfo>
        <DisplayName>Rosalind Croucher</DisplayName>
        <AccountId>28</AccountId>
        <AccountType/>
      </UserInfo>
    </SharedWithUsers>
    <lcf76f155ced4ddcb4097134ff3c332f xmlns="8234dd14-c1f5-4b20-92de-db08c132100a">
      <Terms xmlns="http://schemas.microsoft.com/office/infopath/2007/PartnerControls"/>
    </lcf76f155ced4ddcb4097134ff3c332f>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3E10E2415E856F4AA0DDA1D8DEE231E2" ma:contentTypeVersion="10" ma:contentTypeDescription="Create a new document." ma:contentTypeScope="" ma:versionID="7bbe330ef0004ca124ded22fc602c9e5">
  <xsd:schema xmlns:xsd="http://www.w3.org/2001/XMLSchema" xmlns:xs="http://www.w3.org/2001/XMLSchema" xmlns:p="http://schemas.microsoft.com/office/2006/metadata/properties" xmlns:ns2="6500fe01-343b-4fb9-a1b0-68ac19d62e01" xmlns:ns3="8234dd14-c1f5-4b20-92de-db08c132100a" xmlns:ns4="1163f1fa-4cb4-454e-9832-1aee5a5bae0d" targetNamespace="http://schemas.microsoft.com/office/2006/metadata/properties" ma:root="true" ma:fieldsID="b348138df32ad9a1c29f6850669d5ecf" ns2:_="" ns3:_="" ns4:_="">
    <xsd:import namespace="6500fe01-343b-4fb9-a1b0-68ac19d62e01"/>
    <xsd:import namespace="8234dd14-c1f5-4b20-92de-db08c132100a"/>
    <xsd:import namespace="1163f1fa-4cb4-454e-9832-1aee5a5bae0d"/>
    <xsd:element name="properties">
      <xsd:complexType>
        <xsd:sequence>
          <xsd:element name="documentManagement">
            <xsd:complexType>
              <xsd:all>
                <xsd:element ref="ns2:TaxKeywordTaxHTField" minOccurs="0"/>
                <xsd:element ref="ns2:TaxCatchAll" minOccurs="0"/>
                <xsd:element ref="ns2:TaxCatchAllLabel" minOccurs="0"/>
                <xsd:element ref="ns2:Divider" minOccurs="0"/>
                <xsd:element ref="ns2:_dlc_DocId" minOccurs="0"/>
                <xsd:element ref="ns2:_dlc_DocIdUrl" minOccurs="0"/>
                <xsd:element ref="ns2:_dlc_DocIdPersistId" minOccurs="0"/>
                <xsd:element ref="ns3:MediaServiceMetadata" minOccurs="0"/>
                <xsd:element ref="ns3:MediaServiceFastMetadata" minOccurs="0"/>
                <xsd:element ref="ns3:MediaServiceObjectDetectorVersions" minOccurs="0"/>
                <xsd:element ref="ns4:SharedWithUsers" minOccurs="0"/>
                <xsd:element ref="ns4:SharedWithDetails" minOccurs="0"/>
                <xsd:element ref="ns3:lcf76f155ced4ddcb4097134ff3c332f"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TaxKeywordTaxHTField" ma:index="8"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f91e769b-7cdb-485b-84f0-87624987f523}" ma:internalName="TaxCatchAll" ma:showField="CatchAllData" ma:web="1163f1fa-4cb4-454e-9832-1aee5a5bae0d">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f91e769b-7cdb-485b-84f0-87624987f523}" ma:internalName="TaxCatchAllLabel" ma:readOnly="true" ma:showField="CatchAllDataLabel" ma:web="1163f1fa-4cb4-454e-9832-1aee5a5bae0d">
      <xsd:complexType>
        <xsd:complexContent>
          <xsd:extension base="dms:MultiChoiceLookup">
            <xsd:sequence>
              <xsd:element name="Value" type="dms:Lookup" maxOccurs="unbounded" minOccurs="0" nillable="true"/>
            </xsd:sequence>
          </xsd:extension>
        </xsd:complexContent>
      </xsd:complexType>
    </xsd:element>
    <xsd:element name="Divider" ma:index="12" nillable="true" ma:displayName="Divider" ma:internalName="Divider">
      <xsd:simpleType>
        <xsd:restriction base="dms:Text">
          <xsd:maxLength value="255"/>
        </xsd:restriction>
      </xsd:simple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8234dd14-c1f5-4b20-92de-db08c132100a" elementFormDefault="qualified">
    <xsd:import namespace="http://schemas.microsoft.com/office/2006/documentManagement/types"/>
    <xsd:import namespace="http://schemas.microsoft.com/office/infopath/2007/PartnerControls"/>
    <xsd:element name="MediaServiceMetadata" ma:index="16" nillable="true" ma:displayName="MediaServiceMetadata" ma:hidden="true" ma:internalName="MediaServiceMetadata" ma:readOnly="true">
      <xsd:simpleType>
        <xsd:restriction base="dms:Note"/>
      </xsd:simpleType>
    </xsd:element>
    <xsd:element name="MediaServiceFastMetadata" ma:index="17" nillable="true" ma:displayName="MediaServiceFastMetadata" ma:hidden="true" ma:internalName="MediaServiceFastMetadata" ma:readOnly="true">
      <xsd:simpleType>
        <xsd:restriction base="dms:Note"/>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975c5ac6-a0cc-43ed-b850-4a2ae59237b6" ma:termSetId="09814cd3-568e-fe90-9814-8d621ff8fb84" ma:anchorId="fba54fb3-c3e1-fe81-a776-ca4b69148c4d" ma:open="true" ma:isKeyword="false">
      <xsd:complexType>
        <xsd:sequence>
          <xsd:element ref="pc:Terms" minOccurs="0" maxOccurs="1"/>
        </xsd:sequence>
      </xsd:complex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OCR" ma:index="25"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163f1fa-4cb4-454e-9832-1aee5a5bae0d"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975c5ac6-a0cc-43ed-b850-4a2ae59237b6" ContentTypeId="0x0101" PreviousValue="false" LastSyncTimeStamp="2019-01-22T02:06:15.047Z"/>
</file>

<file path=customXml/item5.xml><?xml version="1.0" encoding="utf-8"?>
<?mso-contentType ?>
<customXsn xmlns="http://schemas.microsoft.com/office/2006/metadata/customXsn">
  <xsnLocation/>
  <cached>True</cached>
  <openByDefault>True</openByDefault>
  <xsnScope/>
</customXsn>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2ACD7C-2BA9-47F9-8579-76DB6345E23F}">
  <ds:schemaRefs>
    <ds:schemaRef ds:uri="http://schemas.microsoft.com/office/2006/metadata/properties"/>
    <ds:schemaRef ds:uri="http://schemas.microsoft.com/office/infopath/2007/PartnerControls"/>
    <ds:schemaRef ds:uri="6500fe01-343b-4fb9-a1b0-68ac19d62e01"/>
    <ds:schemaRef ds:uri="1163f1fa-4cb4-454e-9832-1aee5a5bae0d"/>
    <ds:schemaRef ds:uri="8234dd14-c1f5-4b20-92de-db08c132100a"/>
  </ds:schemaRefs>
</ds:datastoreItem>
</file>

<file path=customXml/itemProps2.xml><?xml version="1.0" encoding="utf-8"?>
<ds:datastoreItem xmlns:ds="http://schemas.openxmlformats.org/officeDocument/2006/customXml" ds:itemID="{473B95D2-846C-4010-968C-95D452DE77A3}">
  <ds:schemaRefs>
    <ds:schemaRef ds:uri="http://schemas.microsoft.com/sharepoint/events"/>
  </ds:schemaRefs>
</ds:datastoreItem>
</file>

<file path=customXml/itemProps3.xml><?xml version="1.0" encoding="utf-8"?>
<ds:datastoreItem xmlns:ds="http://schemas.openxmlformats.org/officeDocument/2006/customXml" ds:itemID="{18E3069F-6097-40B7-AEF7-C796B6399E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00fe01-343b-4fb9-a1b0-68ac19d62e01"/>
    <ds:schemaRef ds:uri="8234dd14-c1f5-4b20-92de-db08c132100a"/>
    <ds:schemaRef ds:uri="1163f1fa-4cb4-454e-9832-1aee5a5bae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903C2F7-CBDA-4A54-BDB5-47211AB04F10}">
  <ds:schemaRefs>
    <ds:schemaRef ds:uri="Microsoft.SharePoint.Taxonomy.ContentTypeSync"/>
  </ds:schemaRefs>
</ds:datastoreItem>
</file>

<file path=customXml/itemProps5.xml><?xml version="1.0" encoding="utf-8"?>
<ds:datastoreItem xmlns:ds="http://schemas.openxmlformats.org/officeDocument/2006/customXml" ds:itemID="{4FD7C5B9-7685-4CA8-85D4-D3B7075DC73B}">
  <ds:schemaRefs>
    <ds:schemaRef ds:uri="http://schemas.microsoft.com/office/2006/metadata/customXsn"/>
  </ds:schemaRefs>
</ds:datastoreItem>
</file>

<file path=customXml/itemProps6.xml><?xml version="1.0" encoding="utf-8"?>
<ds:datastoreItem xmlns:ds="http://schemas.openxmlformats.org/officeDocument/2006/customXml" ds:itemID="{B9FC7259-9D65-4F8E-88DF-B5C3B3A0C7DE}">
  <ds:schemaRefs>
    <ds:schemaRef ds:uri="http://schemas.microsoft.com/sharepoint/v3/contenttype/forms"/>
  </ds:schemaRefs>
</ds:datastoreItem>
</file>

<file path=customXml/itemProps7.xml><?xml version="1.0" encoding="utf-8"?>
<ds:datastoreItem xmlns:ds="http://schemas.openxmlformats.org/officeDocument/2006/customXml" ds:itemID="{49059DDB-5FFE-4BFA-9DA0-4E14615007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30029</Words>
  <Characters>171167</Characters>
  <Application>Microsoft Office Word</Application>
  <DocSecurity>0</DocSecurity>
  <Lines>1426</Lines>
  <Paragraphs>401</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Human Rights and Equal Opportunity Commission</Company>
  <LinksUpToDate>false</LinksUpToDate>
  <CharactersWithSpaces>200795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Catherine Johnson</dc:creator>
  <cp:keywords/>
  <dc:description/>
  <cp:lastModifiedBy>Catherine Johnson</cp:lastModifiedBy>
  <cp:revision>2</cp:revision>
  <cp:lastPrinted>2023-09-20T20:39:00Z</cp:lastPrinted>
  <dcterms:created xsi:type="dcterms:W3CDTF">2023-11-05T22:21:00Z</dcterms:created>
  <dcterms:modified xsi:type="dcterms:W3CDTF">2023-11-05T22:21:00Z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0x0101003E10E2415E856F4AA0DDA1D8DEE231E2</vt:lpwstr>
  </property>
  <property fmtid="{D5CDD505-2E9C-101B-9397-08002B2CF9AE}" pid="3" name="_dlc_DocIdItemGuid">
    <vt:lpwstr>8a39165b-5840-46b0-836c-1c8bc457ea5c</vt:lpwstr>
  </property>
  <property fmtid="{D5CDD505-2E9C-101B-9397-08002B2CF9AE}" pid="4" name="TaxKeyword">
    <vt:lpwstr/>
  </property>
  <property fmtid="{D5CDD505-2E9C-101B-9397-08002B2CF9AE}" pid="5" name="MediaServiceImageTags">
    <vt:lpwstr/>
  </property>
  <property fmtid="{D5CDD505-2E9C-101B-9397-08002B2CF9AE}" pid="6" name="Order">
    <vt:lpwstr>388900.000000000</vt:lpwstr>
  </property>
  <property fmtid="{D5CDD505-2E9C-101B-9397-08002B2CF9AE}" pid="7" name="ComplianceAssetId">
    <vt:lpwstr/>
  </property>
  <property fmtid="{D5CDD505-2E9C-101B-9397-08002B2CF9AE}" pid="8" name="_ExtendedDescription">
    <vt:lpwstr/>
  </property>
  <property fmtid="{D5CDD505-2E9C-101B-9397-08002B2CF9AE}" pid="9" name="TriggerFlowInfo">
    <vt:lpwstr/>
  </property>
</Properties>
</file>