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CDA1" w14:textId="77777777" w:rsidR="00D6560C" w:rsidRDefault="005C210E" w:rsidP="00A355F9">
      <w:pPr>
        <w:pStyle w:val="MainTitle"/>
      </w:pPr>
      <w:r>
        <w:t xml:space="preserve">Australian Human Rights Commission Amendment </w:t>
      </w:r>
    </w:p>
    <w:p w14:paraId="0616F30F" w14:textId="5B951EA7" w:rsidR="00A355F9" w:rsidRDefault="005C210E" w:rsidP="00A355F9">
      <w:pPr>
        <w:pStyle w:val="MainTitle"/>
      </w:pPr>
      <w:r>
        <w:t>(Costs Protection) Bill 2023</w:t>
      </w:r>
    </w:p>
    <w:p w14:paraId="39774B29" w14:textId="77777777" w:rsidR="00817C73" w:rsidRDefault="00817C73" w:rsidP="00817C73">
      <w:pPr>
        <w:pStyle w:val="Subtitle"/>
      </w:pPr>
      <w:bookmarkStart w:id="0" w:name="_Toc515873204"/>
      <w:bookmarkStart w:id="1" w:name="_Toc153382748"/>
      <w:bookmarkStart w:id="2" w:name="_Toc153787431"/>
      <w:bookmarkStart w:id="3" w:name="_Toc153787486"/>
      <w:bookmarkStart w:id="4" w:name="_Toc153789128"/>
      <w:bookmarkStart w:id="5" w:name="_Toc153789168"/>
      <w:bookmarkStart w:id="6" w:name="_Toc153793265"/>
      <w:bookmarkStart w:id="7" w:name="_Toc153793477"/>
      <w:bookmarkStart w:id="8" w:name="_Toc153793558"/>
      <w:bookmarkStart w:id="9" w:name="_Toc153805474"/>
      <w:r>
        <w:t>Australian Human Rights Commission</w:t>
      </w:r>
      <w:bookmarkEnd w:id="0"/>
      <w:bookmarkEnd w:id="1"/>
      <w:bookmarkEnd w:id="2"/>
      <w:bookmarkEnd w:id="3"/>
      <w:bookmarkEnd w:id="4"/>
      <w:bookmarkEnd w:id="5"/>
      <w:bookmarkEnd w:id="6"/>
      <w:bookmarkEnd w:id="7"/>
      <w:bookmarkEnd w:id="8"/>
      <w:bookmarkEnd w:id="9"/>
    </w:p>
    <w:p w14:paraId="308B2D07" w14:textId="671CC0FF" w:rsidR="00817C73" w:rsidRDefault="00817C73" w:rsidP="00817C73">
      <w:pPr>
        <w:pStyle w:val="Subtitle"/>
      </w:pPr>
      <w:bookmarkStart w:id="10" w:name="_Toc515873205"/>
      <w:bookmarkStart w:id="11" w:name="_Toc153382749"/>
      <w:bookmarkStart w:id="12" w:name="_Toc153787432"/>
      <w:bookmarkStart w:id="13" w:name="_Toc153787487"/>
      <w:bookmarkStart w:id="14" w:name="_Toc153789129"/>
      <w:bookmarkStart w:id="15" w:name="_Toc153789169"/>
      <w:bookmarkStart w:id="16" w:name="_Toc153793266"/>
      <w:bookmarkStart w:id="17" w:name="_Toc153793478"/>
      <w:bookmarkStart w:id="18" w:name="_Toc153793559"/>
      <w:bookmarkStart w:id="19" w:name="_Toc153805475"/>
      <w:r>
        <w:t xml:space="preserve">Submission to the </w:t>
      </w:r>
      <w:r w:rsidR="0001526E">
        <w:t>Se</w:t>
      </w:r>
      <w:r w:rsidR="00FE3E20">
        <w:t xml:space="preserve">nate </w:t>
      </w:r>
      <w:r w:rsidR="00E3132B">
        <w:t>Legal and Constitutional Affairs</w:t>
      </w:r>
      <w:bookmarkEnd w:id="10"/>
      <w:r w:rsidR="00AB32C0">
        <w:t xml:space="preserve"> Legislation Committee</w:t>
      </w:r>
      <w:bookmarkEnd w:id="11"/>
      <w:bookmarkEnd w:id="12"/>
      <w:bookmarkEnd w:id="13"/>
      <w:bookmarkEnd w:id="14"/>
      <w:bookmarkEnd w:id="15"/>
      <w:bookmarkEnd w:id="16"/>
      <w:bookmarkEnd w:id="17"/>
      <w:bookmarkEnd w:id="18"/>
      <w:bookmarkEnd w:id="19"/>
    </w:p>
    <w:p w14:paraId="664B23CE" w14:textId="26BD9019" w:rsidR="00F220A5" w:rsidRPr="00817C73" w:rsidRDefault="005D72B5" w:rsidP="00F220A5">
      <w:pPr>
        <w:pStyle w:val="Date"/>
      </w:pPr>
      <w:r>
        <w:t>19</w:t>
      </w:r>
      <w:r w:rsidR="001A6BDA">
        <w:t xml:space="preserve"> December 2023</w:t>
      </w:r>
    </w:p>
    <w:p w14:paraId="6BA993DD" w14:textId="77777777" w:rsidR="00AC636D" w:rsidRDefault="00AC636D" w:rsidP="00AC636D"/>
    <w:p w14:paraId="639A730E"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41D4D9ED" w14:textId="77777777" w:rsidR="00360744" w:rsidRDefault="000B5B68" w:rsidP="00FB50AC">
      <w:pPr>
        <w:pStyle w:val="TOC2"/>
      </w:pPr>
      <w:r>
        <w:lastRenderedPageBreak/>
        <w:t>Contents</w:t>
      </w:r>
      <w:r w:rsidRPr="000465F1">
        <w:fldChar w:fldCharType="begin"/>
      </w:r>
      <w:r>
        <w:instrText xml:space="preserve"> TOC \o "1-3" \h \z \u </w:instrText>
      </w:r>
      <w:r w:rsidRPr="000465F1">
        <w:fldChar w:fldCharType="separate"/>
      </w:r>
    </w:p>
    <w:p w14:paraId="723153B5" w14:textId="24B4F46D" w:rsidR="00360744" w:rsidRDefault="00000000">
      <w:pPr>
        <w:pStyle w:val="TOC1"/>
        <w:rPr>
          <w:rFonts w:asciiTheme="minorHAnsi" w:eastAsiaTheme="minorEastAsia" w:hAnsiTheme="minorHAnsi" w:cstheme="minorBidi"/>
          <w:b w:val="0"/>
          <w:kern w:val="2"/>
          <w14:ligatures w14:val="standardContextual"/>
        </w:rPr>
      </w:pPr>
      <w:hyperlink w:anchor="_Toc153805476" w:history="1">
        <w:r w:rsidR="00360744" w:rsidRPr="00A63512">
          <w:rPr>
            <w:rStyle w:val="Hyperlink"/>
          </w:rPr>
          <w:t>1</w:t>
        </w:r>
        <w:r w:rsidR="00360744">
          <w:rPr>
            <w:rFonts w:asciiTheme="minorHAnsi" w:eastAsiaTheme="minorEastAsia" w:hAnsiTheme="minorHAnsi" w:cstheme="minorBidi"/>
            <w:b w:val="0"/>
            <w:kern w:val="2"/>
            <w14:ligatures w14:val="standardContextual"/>
          </w:rPr>
          <w:tab/>
        </w:r>
        <w:r w:rsidR="00360744" w:rsidRPr="00A63512">
          <w:rPr>
            <w:rStyle w:val="Hyperlink"/>
          </w:rPr>
          <w:t>Introduction</w:t>
        </w:r>
        <w:r w:rsidR="00360744">
          <w:rPr>
            <w:webHidden/>
          </w:rPr>
          <w:tab/>
        </w:r>
        <w:r w:rsidR="00360744">
          <w:rPr>
            <w:webHidden/>
          </w:rPr>
          <w:fldChar w:fldCharType="begin"/>
        </w:r>
        <w:r w:rsidR="00360744">
          <w:rPr>
            <w:webHidden/>
          </w:rPr>
          <w:instrText xml:space="preserve"> PAGEREF _Toc153805476 \h </w:instrText>
        </w:r>
        <w:r w:rsidR="00360744">
          <w:rPr>
            <w:webHidden/>
          </w:rPr>
        </w:r>
        <w:r w:rsidR="00360744">
          <w:rPr>
            <w:webHidden/>
          </w:rPr>
          <w:fldChar w:fldCharType="separate"/>
        </w:r>
        <w:r w:rsidR="007819CB">
          <w:rPr>
            <w:webHidden/>
          </w:rPr>
          <w:t>3</w:t>
        </w:r>
        <w:r w:rsidR="00360744">
          <w:rPr>
            <w:webHidden/>
          </w:rPr>
          <w:fldChar w:fldCharType="end"/>
        </w:r>
      </w:hyperlink>
    </w:p>
    <w:p w14:paraId="69652AEE" w14:textId="7E1BC65A" w:rsidR="00360744" w:rsidRDefault="00000000">
      <w:pPr>
        <w:pStyle w:val="TOC1"/>
        <w:rPr>
          <w:rFonts w:asciiTheme="minorHAnsi" w:eastAsiaTheme="minorEastAsia" w:hAnsiTheme="minorHAnsi" w:cstheme="minorBidi"/>
          <w:b w:val="0"/>
          <w:kern w:val="2"/>
          <w14:ligatures w14:val="standardContextual"/>
        </w:rPr>
      </w:pPr>
      <w:hyperlink w:anchor="_Toc153805477" w:history="1">
        <w:r w:rsidR="00360744" w:rsidRPr="00A63512">
          <w:rPr>
            <w:rStyle w:val="Hyperlink"/>
          </w:rPr>
          <w:t>2</w:t>
        </w:r>
        <w:r w:rsidR="00360744">
          <w:rPr>
            <w:rFonts w:asciiTheme="minorHAnsi" w:eastAsiaTheme="minorEastAsia" w:hAnsiTheme="minorHAnsi" w:cstheme="minorBidi"/>
            <w:b w:val="0"/>
            <w:kern w:val="2"/>
            <w14:ligatures w14:val="standardContextual"/>
          </w:rPr>
          <w:tab/>
        </w:r>
        <w:r w:rsidR="00360744" w:rsidRPr="00A63512">
          <w:rPr>
            <w:rStyle w:val="Hyperlink"/>
          </w:rPr>
          <w:t>Recommendations</w:t>
        </w:r>
        <w:r w:rsidR="00360744">
          <w:rPr>
            <w:webHidden/>
          </w:rPr>
          <w:tab/>
        </w:r>
        <w:r w:rsidR="00360744">
          <w:rPr>
            <w:webHidden/>
          </w:rPr>
          <w:fldChar w:fldCharType="begin"/>
        </w:r>
        <w:r w:rsidR="00360744">
          <w:rPr>
            <w:webHidden/>
          </w:rPr>
          <w:instrText xml:space="preserve"> PAGEREF _Toc153805477 \h </w:instrText>
        </w:r>
        <w:r w:rsidR="00360744">
          <w:rPr>
            <w:webHidden/>
          </w:rPr>
        </w:r>
        <w:r w:rsidR="00360744">
          <w:rPr>
            <w:webHidden/>
          </w:rPr>
          <w:fldChar w:fldCharType="separate"/>
        </w:r>
        <w:r w:rsidR="007819CB">
          <w:rPr>
            <w:webHidden/>
          </w:rPr>
          <w:t>4</w:t>
        </w:r>
        <w:r w:rsidR="00360744">
          <w:rPr>
            <w:webHidden/>
          </w:rPr>
          <w:fldChar w:fldCharType="end"/>
        </w:r>
      </w:hyperlink>
    </w:p>
    <w:p w14:paraId="692CE71E" w14:textId="20BA10BC" w:rsidR="00360744" w:rsidRDefault="00000000">
      <w:pPr>
        <w:pStyle w:val="TOC1"/>
        <w:rPr>
          <w:rFonts w:asciiTheme="minorHAnsi" w:eastAsiaTheme="minorEastAsia" w:hAnsiTheme="minorHAnsi" w:cstheme="minorBidi"/>
          <w:b w:val="0"/>
          <w:kern w:val="2"/>
          <w14:ligatures w14:val="standardContextual"/>
        </w:rPr>
      </w:pPr>
      <w:hyperlink w:anchor="_Toc153805478" w:history="1">
        <w:r w:rsidR="00360744" w:rsidRPr="00A63512">
          <w:rPr>
            <w:rStyle w:val="Hyperlink"/>
          </w:rPr>
          <w:t>3</w:t>
        </w:r>
        <w:r w:rsidR="00360744">
          <w:rPr>
            <w:rFonts w:asciiTheme="minorHAnsi" w:eastAsiaTheme="minorEastAsia" w:hAnsiTheme="minorHAnsi" w:cstheme="minorBidi"/>
            <w:b w:val="0"/>
            <w:kern w:val="2"/>
            <w14:ligatures w14:val="standardContextual"/>
          </w:rPr>
          <w:tab/>
        </w:r>
        <w:r w:rsidR="00360744" w:rsidRPr="00A63512">
          <w:rPr>
            <w:rStyle w:val="Hyperlink"/>
          </w:rPr>
          <w:t>Proposed reforms</w:t>
        </w:r>
        <w:r w:rsidR="00360744">
          <w:rPr>
            <w:webHidden/>
          </w:rPr>
          <w:tab/>
        </w:r>
        <w:r w:rsidR="00360744">
          <w:rPr>
            <w:webHidden/>
          </w:rPr>
          <w:fldChar w:fldCharType="begin"/>
        </w:r>
        <w:r w:rsidR="00360744">
          <w:rPr>
            <w:webHidden/>
          </w:rPr>
          <w:instrText xml:space="preserve"> PAGEREF _Toc153805478 \h </w:instrText>
        </w:r>
        <w:r w:rsidR="00360744">
          <w:rPr>
            <w:webHidden/>
          </w:rPr>
        </w:r>
        <w:r w:rsidR="00360744">
          <w:rPr>
            <w:webHidden/>
          </w:rPr>
          <w:fldChar w:fldCharType="separate"/>
        </w:r>
        <w:r w:rsidR="007819CB">
          <w:rPr>
            <w:webHidden/>
          </w:rPr>
          <w:t>5</w:t>
        </w:r>
        <w:r w:rsidR="00360744">
          <w:rPr>
            <w:webHidden/>
          </w:rPr>
          <w:fldChar w:fldCharType="end"/>
        </w:r>
      </w:hyperlink>
    </w:p>
    <w:p w14:paraId="7AAB50FF" w14:textId="0DEF4378" w:rsidR="00360744" w:rsidRDefault="00000000">
      <w:pPr>
        <w:pStyle w:val="TOC2"/>
        <w:rPr>
          <w:rFonts w:asciiTheme="minorHAnsi" w:eastAsiaTheme="minorEastAsia" w:hAnsiTheme="minorHAnsi" w:cstheme="minorBidi"/>
          <w:b w:val="0"/>
          <w:i w:val="0"/>
          <w:kern w:val="2"/>
          <w14:ligatures w14:val="standardContextual"/>
        </w:rPr>
      </w:pPr>
      <w:hyperlink w:anchor="_Toc153805479" w:history="1">
        <w:r w:rsidR="00360744" w:rsidRPr="00A63512">
          <w:rPr>
            <w:rStyle w:val="Hyperlink"/>
          </w:rPr>
          <w:t>3.1</w:t>
        </w:r>
        <w:r w:rsidR="00360744">
          <w:rPr>
            <w:rFonts w:asciiTheme="minorHAnsi" w:eastAsiaTheme="minorEastAsia" w:hAnsiTheme="minorHAnsi" w:cstheme="minorBidi"/>
            <w:b w:val="0"/>
            <w:i w:val="0"/>
            <w:kern w:val="2"/>
            <w14:ligatures w14:val="standardContextual"/>
          </w:rPr>
          <w:tab/>
        </w:r>
        <w:r w:rsidR="00360744" w:rsidRPr="00A63512">
          <w:rPr>
            <w:rStyle w:val="Hyperlink"/>
          </w:rPr>
          <w:t>Potential unintended consequences</w:t>
        </w:r>
        <w:r w:rsidR="00360744">
          <w:rPr>
            <w:webHidden/>
          </w:rPr>
          <w:tab/>
        </w:r>
        <w:r w:rsidR="00360744">
          <w:rPr>
            <w:webHidden/>
          </w:rPr>
          <w:fldChar w:fldCharType="begin"/>
        </w:r>
        <w:r w:rsidR="00360744">
          <w:rPr>
            <w:webHidden/>
          </w:rPr>
          <w:instrText xml:space="preserve"> PAGEREF _Toc153805479 \h </w:instrText>
        </w:r>
        <w:r w:rsidR="00360744">
          <w:rPr>
            <w:webHidden/>
          </w:rPr>
        </w:r>
        <w:r w:rsidR="00360744">
          <w:rPr>
            <w:webHidden/>
          </w:rPr>
          <w:fldChar w:fldCharType="separate"/>
        </w:r>
        <w:r w:rsidR="007819CB">
          <w:rPr>
            <w:webHidden/>
          </w:rPr>
          <w:t>6</w:t>
        </w:r>
        <w:r w:rsidR="00360744">
          <w:rPr>
            <w:webHidden/>
          </w:rPr>
          <w:fldChar w:fldCharType="end"/>
        </w:r>
      </w:hyperlink>
    </w:p>
    <w:p w14:paraId="194F4472" w14:textId="185EB13C" w:rsidR="00360744" w:rsidRDefault="00000000">
      <w:pPr>
        <w:pStyle w:val="TOC2"/>
        <w:rPr>
          <w:rFonts w:asciiTheme="minorHAnsi" w:eastAsiaTheme="minorEastAsia" w:hAnsiTheme="minorHAnsi" w:cstheme="minorBidi"/>
          <w:b w:val="0"/>
          <w:i w:val="0"/>
          <w:kern w:val="2"/>
          <w14:ligatures w14:val="standardContextual"/>
        </w:rPr>
      </w:pPr>
      <w:hyperlink w:anchor="_Toc153805480" w:history="1">
        <w:r w:rsidR="00360744" w:rsidRPr="00A63512">
          <w:rPr>
            <w:rStyle w:val="Hyperlink"/>
          </w:rPr>
          <w:t>3.2</w:t>
        </w:r>
        <w:r w:rsidR="00360744">
          <w:rPr>
            <w:rFonts w:asciiTheme="minorHAnsi" w:eastAsiaTheme="minorEastAsia" w:hAnsiTheme="minorHAnsi" w:cstheme="minorBidi"/>
            <w:b w:val="0"/>
            <w:i w:val="0"/>
            <w:kern w:val="2"/>
            <w14:ligatures w14:val="standardContextual"/>
          </w:rPr>
          <w:tab/>
        </w:r>
        <w:r w:rsidR="00360744" w:rsidRPr="00A63512">
          <w:rPr>
            <w:rStyle w:val="Hyperlink"/>
          </w:rPr>
          <w:t>Balance of burden</w:t>
        </w:r>
        <w:r w:rsidR="00360744">
          <w:rPr>
            <w:webHidden/>
          </w:rPr>
          <w:tab/>
        </w:r>
        <w:r w:rsidR="00360744">
          <w:rPr>
            <w:webHidden/>
          </w:rPr>
          <w:fldChar w:fldCharType="begin"/>
        </w:r>
        <w:r w:rsidR="00360744">
          <w:rPr>
            <w:webHidden/>
          </w:rPr>
          <w:instrText xml:space="preserve"> PAGEREF _Toc153805480 \h </w:instrText>
        </w:r>
        <w:r w:rsidR="00360744">
          <w:rPr>
            <w:webHidden/>
          </w:rPr>
        </w:r>
        <w:r w:rsidR="00360744">
          <w:rPr>
            <w:webHidden/>
          </w:rPr>
          <w:fldChar w:fldCharType="separate"/>
        </w:r>
        <w:r w:rsidR="007819CB">
          <w:rPr>
            <w:webHidden/>
          </w:rPr>
          <w:t>7</w:t>
        </w:r>
        <w:r w:rsidR="00360744">
          <w:rPr>
            <w:webHidden/>
          </w:rPr>
          <w:fldChar w:fldCharType="end"/>
        </w:r>
      </w:hyperlink>
    </w:p>
    <w:p w14:paraId="11017BFE" w14:textId="47B14DA8" w:rsidR="00360744" w:rsidRDefault="00000000">
      <w:pPr>
        <w:pStyle w:val="TOC1"/>
        <w:rPr>
          <w:rFonts w:asciiTheme="minorHAnsi" w:eastAsiaTheme="minorEastAsia" w:hAnsiTheme="minorHAnsi" w:cstheme="minorBidi"/>
          <w:b w:val="0"/>
          <w:kern w:val="2"/>
          <w14:ligatures w14:val="standardContextual"/>
        </w:rPr>
      </w:pPr>
      <w:hyperlink w:anchor="_Toc153805481" w:history="1">
        <w:r w:rsidR="00360744" w:rsidRPr="00A63512">
          <w:rPr>
            <w:rStyle w:val="Hyperlink"/>
          </w:rPr>
          <w:t>4</w:t>
        </w:r>
        <w:r w:rsidR="00360744">
          <w:rPr>
            <w:rFonts w:asciiTheme="minorHAnsi" w:eastAsiaTheme="minorEastAsia" w:hAnsiTheme="minorHAnsi" w:cstheme="minorBidi"/>
            <w:b w:val="0"/>
            <w:kern w:val="2"/>
            <w14:ligatures w14:val="standardContextual"/>
          </w:rPr>
          <w:tab/>
        </w:r>
        <w:r w:rsidR="00360744" w:rsidRPr="00A63512">
          <w:rPr>
            <w:rStyle w:val="Hyperlink"/>
          </w:rPr>
          <w:t>Review</w:t>
        </w:r>
        <w:r w:rsidR="00360744">
          <w:rPr>
            <w:webHidden/>
          </w:rPr>
          <w:tab/>
        </w:r>
        <w:r w:rsidR="00360744">
          <w:rPr>
            <w:webHidden/>
          </w:rPr>
          <w:fldChar w:fldCharType="begin"/>
        </w:r>
        <w:r w:rsidR="00360744">
          <w:rPr>
            <w:webHidden/>
          </w:rPr>
          <w:instrText xml:space="preserve"> PAGEREF _Toc153805481 \h </w:instrText>
        </w:r>
        <w:r w:rsidR="00360744">
          <w:rPr>
            <w:webHidden/>
          </w:rPr>
        </w:r>
        <w:r w:rsidR="00360744">
          <w:rPr>
            <w:webHidden/>
          </w:rPr>
          <w:fldChar w:fldCharType="separate"/>
        </w:r>
        <w:r w:rsidR="007819CB">
          <w:rPr>
            <w:webHidden/>
          </w:rPr>
          <w:t>8</w:t>
        </w:r>
        <w:r w:rsidR="00360744">
          <w:rPr>
            <w:webHidden/>
          </w:rPr>
          <w:fldChar w:fldCharType="end"/>
        </w:r>
      </w:hyperlink>
    </w:p>
    <w:p w14:paraId="5A8B2976" w14:textId="77777777" w:rsidR="000D1A7C" w:rsidRDefault="000B5B68" w:rsidP="000D1A7C">
      <w:pPr>
        <w:pStyle w:val="Heading1"/>
        <w:numPr>
          <w:ilvl w:val="0"/>
          <w:numId w:val="0"/>
        </w:numPr>
        <w:ind w:left="851" w:hanging="851"/>
      </w:pPr>
      <w:r w:rsidRPr="000465F1">
        <w:fldChar w:fldCharType="end"/>
      </w:r>
      <w:bookmarkStart w:id="20" w:name="_Toc209316062"/>
      <w:bookmarkStart w:id="21" w:name="_Toc207761830"/>
      <w:bookmarkStart w:id="22" w:name="_Toc209578266"/>
      <w:bookmarkStart w:id="23" w:name="_Toc209941766"/>
      <w:bookmarkEnd w:id="20"/>
    </w:p>
    <w:p w14:paraId="6B560F23" w14:textId="77777777" w:rsidR="000D1A7C" w:rsidRDefault="000D1A7C">
      <w:pPr>
        <w:spacing w:before="0" w:after="0"/>
        <w:rPr>
          <w:b/>
          <w:bCs/>
          <w:sz w:val="36"/>
          <w:szCs w:val="28"/>
        </w:rPr>
      </w:pPr>
      <w:r>
        <w:br w:type="page"/>
      </w:r>
    </w:p>
    <w:p w14:paraId="525348BB" w14:textId="27C27D85" w:rsidR="00510390" w:rsidRDefault="009F2764" w:rsidP="00A27ABE">
      <w:pPr>
        <w:pStyle w:val="Heading1"/>
      </w:pPr>
      <w:bookmarkStart w:id="24" w:name="_Toc153805476"/>
      <w:r w:rsidRPr="009E08D1">
        <w:lastRenderedPageBreak/>
        <w:t>Introduction</w:t>
      </w:r>
      <w:bookmarkEnd w:id="21"/>
      <w:bookmarkEnd w:id="22"/>
      <w:bookmarkEnd w:id="23"/>
      <w:bookmarkEnd w:id="24"/>
    </w:p>
    <w:p w14:paraId="4ECC606E" w14:textId="419E014A" w:rsidR="0062273D" w:rsidRPr="0057266B" w:rsidRDefault="0062273D" w:rsidP="006B3E00">
      <w:pPr>
        <w:pStyle w:val="ListNumber"/>
      </w:pPr>
      <w:r>
        <w:t xml:space="preserve">The Australian Human Rights Commission (Commission) makes this submission to the Senate Legal and Constitutional Affairs Legislation </w:t>
      </w:r>
      <w:r w:rsidRPr="0057266B">
        <w:t xml:space="preserve">Committee in relation to its </w:t>
      </w:r>
      <w:r w:rsidR="00BF5B98" w:rsidRPr="0057266B">
        <w:t>inquiry into the Australian Human Rights Commission Amendment (Costs Protection) Bill 2023.</w:t>
      </w:r>
      <w:r w:rsidRPr="0057266B">
        <w:t xml:space="preserve"> The Commission welcomes the opportunity to make a submission to this </w:t>
      </w:r>
      <w:r w:rsidR="0082185E" w:rsidRPr="0057266B">
        <w:t>inquiry</w:t>
      </w:r>
      <w:r w:rsidRPr="0057266B">
        <w:t xml:space="preserve">. </w:t>
      </w:r>
    </w:p>
    <w:p w14:paraId="7343ED13" w14:textId="21C89040" w:rsidR="005C2CC2" w:rsidRPr="0057266B" w:rsidRDefault="0006332F" w:rsidP="006B3E00">
      <w:pPr>
        <w:pStyle w:val="ListNumber"/>
      </w:pPr>
      <w:r w:rsidRPr="0057266B">
        <w:t xml:space="preserve">The </w:t>
      </w:r>
      <w:r w:rsidR="005C2CC2" w:rsidRPr="0057266B">
        <w:t xml:space="preserve">Bill </w:t>
      </w:r>
      <w:r w:rsidR="00450DE8" w:rsidRPr="0057266B">
        <w:t xml:space="preserve">aims to achieve </w:t>
      </w:r>
      <w:r w:rsidR="00D34E11">
        <w:t xml:space="preserve">the objectives of </w:t>
      </w:r>
      <w:r w:rsidR="00450DE8" w:rsidRPr="0057266B">
        <w:t xml:space="preserve">recommendation 25 of the Commission’s </w:t>
      </w:r>
      <w:r w:rsidR="002B5D11" w:rsidRPr="0057266B">
        <w:t xml:space="preserve">‘Respect@Work: National Inquiry into Sexual Harassment in Australian </w:t>
      </w:r>
      <w:r w:rsidR="00534465">
        <w:t>W</w:t>
      </w:r>
      <w:r w:rsidR="002B5D11" w:rsidRPr="0057266B">
        <w:t>orkplaces Report’ (Respect@Work report).</w:t>
      </w:r>
      <w:r w:rsidR="00D90017">
        <w:rPr>
          <w:rStyle w:val="EndnoteReference"/>
        </w:rPr>
        <w:endnoteReference w:id="2"/>
      </w:r>
      <w:r w:rsidR="0057266B" w:rsidRPr="0057266B">
        <w:t xml:space="preserve"> Recommendation 25 proposed that the </w:t>
      </w:r>
      <w:r w:rsidR="0057266B" w:rsidRPr="00DA4543">
        <w:rPr>
          <w:i/>
          <w:iCs/>
        </w:rPr>
        <w:t>Australian Human Rights Commission</w:t>
      </w:r>
      <w:r w:rsidR="00DA4543" w:rsidRPr="00DA4543">
        <w:rPr>
          <w:i/>
          <w:iCs/>
        </w:rPr>
        <w:t xml:space="preserve"> </w:t>
      </w:r>
      <w:r w:rsidR="0057266B" w:rsidRPr="00DA4543">
        <w:rPr>
          <w:i/>
          <w:iCs/>
        </w:rPr>
        <w:t>Act 1986</w:t>
      </w:r>
      <w:r w:rsidR="0057266B" w:rsidRPr="0057266B">
        <w:t xml:space="preserve"> (Cth) (AHRC Act) be amended to insert a cost provision consistent</w:t>
      </w:r>
      <w:r w:rsidR="00DA4543">
        <w:t xml:space="preserve"> </w:t>
      </w:r>
      <w:r w:rsidR="0057266B" w:rsidRPr="0057266B">
        <w:t xml:space="preserve">with s 570 of the </w:t>
      </w:r>
      <w:r w:rsidR="0057266B" w:rsidRPr="00987FE2">
        <w:rPr>
          <w:i/>
          <w:iCs/>
        </w:rPr>
        <w:t>Fair Work Act 2009</w:t>
      </w:r>
      <w:r w:rsidR="0057266B" w:rsidRPr="0057266B">
        <w:t xml:space="preserve"> (Cth) (Fair Work Act)</w:t>
      </w:r>
      <w:r w:rsidR="00DA4543">
        <w:t>.</w:t>
      </w:r>
      <w:r w:rsidR="00153A5E">
        <w:rPr>
          <w:rStyle w:val="EndnoteReference"/>
        </w:rPr>
        <w:endnoteReference w:id="3"/>
      </w:r>
      <w:r w:rsidR="00DA4543">
        <w:t xml:space="preserve"> </w:t>
      </w:r>
    </w:p>
    <w:p w14:paraId="6AC02D99" w14:textId="204C38F3" w:rsidR="00D603D6" w:rsidRPr="00D603D6" w:rsidRDefault="00D603D6" w:rsidP="006B3E00">
      <w:pPr>
        <w:pStyle w:val="ListNumber"/>
      </w:pPr>
      <w:r>
        <w:t xml:space="preserve">The </w:t>
      </w:r>
      <w:r w:rsidR="00E94DBF">
        <w:t xml:space="preserve">Bill proposes reforms </w:t>
      </w:r>
      <w:r w:rsidR="0086709D">
        <w:t xml:space="preserve">to replace the current </w:t>
      </w:r>
      <w:r w:rsidR="007359EC">
        <w:t xml:space="preserve">costs </w:t>
      </w:r>
      <w:r w:rsidR="00511EBB">
        <w:t>regime</w:t>
      </w:r>
      <w:r w:rsidR="00A6452A">
        <w:t xml:space="preserve"> in the AHRC Act</w:t>
      </w:r>
      <w:r w:rsidR="007359EC">
        <w:t xml:space="preserve"> with</w:t>
      </w:r>
      <w:r>
        <w:t xml:space="preserve"> a modified </w:t>
      </w:r>
      <w:r w:rsidR="00BB635F">
        <w:t>‘</w:t>
      </w:r>
      <w:r>
        <w:t>equal access</w:t>
      </w:r>
      <w:r w:rsidR="00BB635F">
        <w:t>’</w:t>
      </w:r>
      <w:r>
        <w:t xml:space="preserve"> costs protection</w:t>
      </w:r>
      <w:r w:rsidR="00CE0B2B">
        <w:t>,</w:t>
      </w:r>
      <w:r w:rsidR="00E11EA9">
        <w:t xml:space="preserve"> or asymmetrical</w:t>
      </w:r>
      <w:r w:rsidR="00CE0B2B">
        <w:t>,</w:t>
      </w:r>
      <w:r>
        <w:t xml:space="preserve"> </w:t>
      </w:r>
      <w:r w:rsidR="001F2DDB">
        <w:t>model</w:t>
      </w:r>
      <w:r>
        <w:t xml:space="preserve"> for all proceedings in the Federal Court of Australia (FCA) and Federal Circuit and Family Court of Australia (FCFCA) involving complaints of unlawful discrimination</w:t>
      </w:r>
      <w:r w:rsidR="001F2DDB">
        <w:t>.</w:t>
      </w:r>
      <w:r w:rsidR="00A6452A">
        <w:t xml:space="preserve"> This </w:t>
      </w:r>
      <w:r w:rsidR="006F122F">
        <w:t>costs model would</w:t>
      </w:r>
      <w:r w:rsidR="00A6452A">
        <w:t xml:space="preserve"> apply to all </w:t>
      </w:r>
      <w:r w:rsidR="000401B5">
        <w:t xml:space="preserve">proceedings </w:t>
      </w:r>
      <w:r w:rsidR="00A6452A">
        <w:t>that may arise under each of the federal anti</w:t>
      </w:r>
      <w:r w:rsidR="00A6452A">
        <w:noBreakHyphen/>
        <w:t xml:space="preserve">discrimination laws. </w:t>
      </w:r>
    </w:p>
    <w:p w14:paraId="79A5E6A9" w14:textId="559F6C02" w:rsidR="001336D0" w:rsidRDefault="001336D0" w:rsidP="008C6DCB">
      <w:pPr>
        <w:pStyle w:val="ListNumber"/>
      </w:pPr>
      <w:r>
        <w:t xml:space="preserve">The </w:t>
      </w:r>
      <w:r w:rsidRPr="0057266B">
        <w:t>question of an appropriate costs model for Commonwealth anti</w:t>
      </w:r>
      <w:r w:rsidRPr="0057266B">
        <w:noBreakHyphen/>
        <w:t xml:space="preserve">discrimination laws has been the subject of </w:t>
      </w:r>
      <w:r>
        <w:t>significant consultation by the Commission and the Attorney</w:t>
      </w:r>
      <w:r>
        <w:noBreakHyphen/>
        <w:t xml:space="preserve">General’s Department (AGD). The Commission </w:t>
      </w:r>
      <w:r w:rsidR="005B6AAE">
        <w:t xml:space="preserve">has </w:t>
      </w:r>
      <w:r>
        <w:t xml:space="preserve">provided submissions to </w:t>
      </w:r>
      <w:r w:rsidR="000B2643">
        <w:t xml:space="preserve">this Committee </w:t>
      </w:r>
      <w:r w:rsidR="005D54AE">
        <w:t xml:space="preserve">and the AGD </w:t>
      </w:r>
      <w:r>
        <w:t xml:space="preserve">in relation to these matters in: </w:t>
      </w:r>
    </w:p>
    <w:p w14:paraId="72E765BB" w14:textId="11897B2E" w:rsidR="00202FE3" w:rsidRDefault="00202FE3" w:rsidP="00202FE3">
      <w:pPr>
        <w:pStyle w:val="ListBullet5"/>
      </w:pPr>
      <w:r>
        <w:t xml:space="preserve">its submission to the Anti-Discrimination and Human Rights </w:t>
      </w:r>
      <w:r w:rsidR="005D54AE">
        <w:t>Legislation</w:t>
      </w:r>
      <w:r>
        <w:t xml:space="preserve"> Amendment (Respect at Work) Bill 2022</w:t>
      </w:r>
      <w:r w:rsidR="005D54AE">
        <w:t xml:space="preserve"> (October 2022)</w:t>
      </w:r>
      <w:r w:rsidR="00A05AA6">
        <w:t>,</w:t>
      </w:r>
      <w:r w:rsidR="004E466B" w:rsidRPr="00114C27">
        <w:rPr>
          <w:rStyle w:val="EndnoteReference"/>
        </w:rPr>
        <w:endnoteReference w:id="4"/>
      </w:r>
      <w:r w:rsidR="00A05AA6">
        <w:t xml:space="preserve"> and</w:t>
      </w:r>
    </w:p>
    <w:p w14:paraId="6C8ECC8A" w14:textId="1999E5D0" w:rsidR="001336D0" w:rsidRDefault="005D54AE" w:rsidP="00202FE3">
      <w:pPr>
        <w:pStyle w:val="ListBullet5"/>
      </w:pPr>
      <w:r>
        <w:t>its</w:t>
      </w:r>
      <w:r w:rsidR="001336D0">
        <w:t xml:space="preserve"> response to the AGD’s ‘Consultation Paper: Review into an appropriate cost model for Commonwealth anti</w:t>
      </w:r>
      <w:r w:rsidR="001336D0">
        <w:noBreakHyphen/>
        <w:t>discrimination laws’ (</w:t>
      </w:r>
      <w:r w:rsidR="005C6F03">
        <w:t>April 2023).</w:t>
      </w:r>
      <w:r w:rsidR="008D73CD" w:rsidRPr="00AF3CED">
        <w:rPr>
          <w:rStyle w:val="EndnoteReference"/>
        </w:rPr>
        <w:endnoteReference w:id="5"/>
      </w:r>
    </w:p>
    <w:p w14:paraId="4A83478D" w14:textId="18038F84" w:rsidR="003B4D22" w:rsidRDefault="001336D0" w:rsidP="006B3E00">
      <w:pPr>
        <w:pStyle w:val="ListNumber"/>
      </w:pPr>
      <w:r w:rsidRPr="00226FED">
        <w:t>The Commission acknowledges that the question of an appropriate cost model that is fair, certain and facilitates access to justice, is complex and</w:t>
      </w:r>
      <w:r>
        <w:t xml:space="preserve"> </w:t>
      </w:r>
      <w:r w:rsidRPr="00226FED">
        <w:t xml:space="preserve">reasonable minds may differ on the </w:t>
      </w:r>
      <w:r>
        <w:t>most beneficial</w:t>
      </w:r>
      <w:r w:rsidRPr="00226FED">
        <w:t xml:space="preserve"> model.</w:t>
      </w:r>
      <w:r>
        <w:t xml:space="preserve"> The Commission welcomes reform of these laws</w:t>
      </w:r>
      <w:r w:rsidR="003B4D22">
        <w:t xml:space="preserve">. </w:t>
      </w:r>
    </w:p>
    <w:p w14:paraId="4AC0B715" w14:textId="67453AFF" w:rsidR="00687606" w:rsidRDefault="00687606" w:rsidP="00F2618C">
      <w:pPr>
        <w:pStyle w:val="Heading1"/>
      </w:pPr>
      <w:bookmarkStart w:id="25" w:name="_Toc153805477"/>
      <w:r>
        <w:lastRenderedPageBreak/>
        <w:t>Recommendations</w:t>
      </w:r>
      <w:bookmarkEnd w:id="25"/>
      <w:r>
        <w:t xml:space="preserve"> </w:t>
      </w:r>
    </w:p>
    <w:p w14:paraId="60EBB0EA" w14:textId="288090B2" w:rsidR="00687606" w:rsidRDefault="00687606" w:rsidP="00F2618C">
      <w:pPr>
        <w:pStyle w:val="ListNumber"/>
        <w:keepNext/>
        <w:keepLines/>
      </w:pPr>
      <w:r>
        <w:t>The Commission makes the following recommendations</w:t>
      </w:r>
      <w:r w:rsidR="0097297F">
        <w:t>.</w:t>
      </w:r>
    </w:p>
    <w:p w14:paraId="4CEEF705" w14:textId="77777777" w:rsidR="00687606" w:rsidRDefault="00687606" w:rsidP="00F2618C">
      <w:pPr>
        <w:pStyle w:val="ListNumber"/>
        <w:keepNext/>
        <w:keepLines/>
        <w:numPr>
          <w:ilvl w:val="0"/>
          <w:numId w:val="0"/>
        </w:numPr>
        <w:ind w:left="567"/>
        <w:rPr>
          <w:b/>
          <w:bCs/>
        </w:rPr>
      </w:pPr>
      <w:r w:rsidRPr="00520781">
        <w:rPr>
          <w:b/>
          <w:bCs/>
        </w:rPr>
        <w:t>Recommendation</w:t>
      </w:r>
      <w:r>
        <w:rPr>
          <w:b/>
          <w:bCs/>
        </w:rPr>
        <w:t xml:space="preserve"> 1</w:t>
      </w:r>
    </w:p>
    <w:p w14:paraId="7317B7FF" w14:textId="77777777" w:rsidR="00F5454A" w:rsidRDefault="00687606" w:rsidP="00F2618C">
      <w:pPr>
        <w:pStyle w:val="ListNumber"/>
        <w:keepNext/>
        <w:keepLines/>
        <w:numPr>
          <w:ilvl w:val="0"/>
          <w:numId w:val="0"/>
        </w:numPr>
        <w:ind w:left="567"/>
      </w:pPr>
      <w:r w:rsidRPr="00F04E7D">
        <w:t xml:space="preserve">The Commission recommends that </w:t>
      </w:r>
      <w:r>
        <w:t xml:space="preserve">the Bill be amended to enable the court </w:t>
      </w:r>
      <w:r w:rsidRPr="00F04E7D">
        <w:t>to have regard to settlement offers made prior to, and during, the proceedings</w:t>
      </w:r>
      <w:r>
        <w:t xml:space="preserve"> in the determination of costs</w:t>
      </w:r>
      <w:r w:rsidRPr="00F04E7D">
        <w:t xml:space="preserve">. </w:t>
      </w:r>
    </w:p>
    <w:p w14:paraId="068757E2" w14:textId="7A854FFD" w:rsidR="00687606" w:rsidRDefault="00687606" w:rsidP="00687606">
      <w:pPr>
        <w:pStyle w:val="ListNumber"/>
        <w:numPr>
          <w:ilvl w:val="0"/>
          <w:numId w:val="0"/>
        </w:numPr>
        <w:ind w:left="567"/>
      </w:pPr>
      <w:r w:rsidRPr="00F04E7D">
        <w:t xml:space="preserve">If </w:t>
      </w:r>
      <w:r w:rsidR="005210F1">
        <w:t>the current</w:t>
      </w:r>
      <w:r w:rsidRPr="00F04E7D">
        <w:t xml:space="preserve"> s 46PSA of the AHRC Act is repealed</w:t>
      </w:r>
      <w:r w:rsidR="00F84674">
        <w:t xml:space="preserve"> and this consideration is not expressly provided for in the Act</w:t>
      </w:r>
      <w:r w:rsidRPr="00F04E7D">
        <w:t xml:space="preserve">, the Commission considers that the </w:t>
      </w:r>
      <w:r w:rsidR="00F83DF8">
        <w:t xml:space="preserve">Explanatory Memorandum </w:t>
      </w:r>
      <w:r w:rsidR="00C65573">
        <w:t xml:space="preserve">to the Bill </w:t>
      </w:r>
      <w:r w:rsidR="00F83DF8">
        <w:t xml:space="preserve">should be amended to </w:t>
      </w:r>
      <w:r w:rsidR="00971B63">
        <w:t>include</w:t>
      </w:r>
      <w:r w:rsidRPr="00F04E7D">
        <w:t xml:space="preserve"> </w:t>
      </w:r>
      <w:r>
        <w:t>the unreasonable rejection of a settlement offer</w:t>
      </w:r>
      <w:r w:rsidRPr="00F04E7D">
        <w:t xml:space="preserve"> as an example of a possible ‘unreasonable act or omission’ under proposed ss</w:t>
      </w:r>
      <w:r w:rsidR="00F76F02">
        <w:t> </w:t>
      </w:r>
      <w:r w:rsidRPr="00F04E7D">
        <w:t>46PSA (4) and (6)(b).</w:t>
      </w:r>
    </w:p>
    <w:p w14:paraId="11431D25" w14:textId="77777777" w:rsidR="00687606" w:rsidRPr="00DC2051" w:rsidRDefault="00687606" w:rsidP="00C64197">
      <w:pPr>
        <w:pStyle w:val="ListNumber"/>
        <w:keepNext/>
        <w:numPr>
          <w:ilvl w:val="0"/>
          <w:numId w:val="0"/>
        </w:numPr>
        <w:ind w:left="567"/>
        <w:rPr>
          <w:b/>
          <w:bCs/>
        </w:rPr>
      </w:pPr>
      <w:r>
        <w:rPr>
          <w:b/>
          <w:bCs/>
        </w:rPr>
        <w:t>Recommendation 2</w:t>
      </w:r>
    </w:p>
    <w:p w14:paraId="56C1D614" w14:textId="41B7B733" w:rsidR="00687606" w:rsidRDefault="00687606" w:rsidP="00687606">
      <w:pPr>
        <w:pStyle w:val="ListNumber"/>
        <w:numPr>
          <w:ilvl w:val="0"/>
          <w:numId w:val="0"/>
        </w:numPr>
        <w:ind w:left="567"/>
      </w:pPr>
      <w:r w:rsidRPr="00F04E7D">
        <w:t xml:space="preserve">The Commission recommends that </w:t>
      </w:r>
      <w:r>
        <w:t>the Bill be amended to enable the</w:t>
      </w:r>
      <w:r w:rsidRPr="00F04E7D">
        <w:t xml:space="preserve"> court to have regard to the participation of the parties in the Commission’s complaints process in the determination of costs</w:t>
      </w:r>
      <w:r w:rsidR="00291338">
        <w:t xml:space="preserve">, to align </w:t>
      </w:r>
      <w:r w:rsidR="00AE3FE0">
        <w:t xml:space="preserve">with </w:t>
      </w:r>
      <w:r w:rsidR="00F5454A">
        <w:t xml:space="preserve">s 570(2)(c) of </w:t>
      </w:r>
      <w:r w:rsidR="00291338" w:rsidRPr="00F04E7D">
        <w:t>the Fair Work Act</w:t>
      </w:r>
      <w:r w:rsidR="00F5454A">
        <w:t>.</w:t>
      </w:r>
    </w:p>
    <w:p w14:paraId="653E9B99" w14:textId="77777777" w:rsidR="00687606" w:rsidRPr="00DC2051" w:rsidRDefault="00687606" w:rsidP="00687606">
      <w:pPr>
        <w:pStyle w:val="ListNumber"/>
        <w:numPr>
          <w:ilvl w:val="0"/>
          <w:numId w:val="0"/>
        </w:numPr>
        <w:ind w:left="567"/>
        <w:rPr>
          <w:b/>
          <w:bCs/>
        </w:rPr>
      </w:pPr>
      <w:r>
        <w:rPr>
          <w:b/>
          <w:bCs/>
        </w:rPr>
        <w:t>Recommendation 3</w:t>
      </w:r>
    </w:p>
    <w:p w14:paraId="2DE430B9" w14:textId="77777777" w:rsidR="00687606" w:rsidRPr="006B3E00" w:rsidRDefault="00687606" w:rsidP="00687606">
      <w:pPr>
        <w:pStyle w:val="ListNumber"/>
        <w:numPr>
          <w:ilvl w:val="0"/>
          <w:numId w:val="0"/>
        </w:numPr>
        <w:ind w:left="567"/>
      </w:pPr>
      <w:r>
        <w:t>T</w:t>
      </w:r>
      <w:r w:rsidRPr="006B3E00">
        <w:t xml:space="preserve">he Bill be amended to provide for a review of the amendments within three years of the commencement of the provisions, having particular regard to: </w:t>
      </w:r>
    </w:p>
    <w:p w14:paraId="262DF184" w14:textId="77777777" w:rsidR="00687606" w:rsidRDefault="00687606" w:rsidP="00687606">
      <w:pPr>
        <w:pStyle w:val="ListBullet5"/>
      </w:pPr>
      <w:r>
        <w:t>the effectiveness of the provisions</w:t>
      </w:r>
    </w:p>
    <w:p w14:paraId="4B97134B" w14:textId="77777777" w:rsidR="00687606" w:rsidRDefault="00687606" w:rsidP="00687606">
      <w:pPr>
        <w:pStyle w:val="ListBullet5"/>
      </w:pPr>
      <w:r>
        <w:t>the impacts of the amendments on both applicants and respondents, including access to representation, outcomes for parties, costs recovery and costs exposure</w:t>
      </w:r>
    </w:p>
    <w:p w14:paraId="7DCC02E1" w14:textId="68B20446" w:rsidR="00687606" w:rsidRDefault="00687606" w:rsidP="00687606">
      <w:pPr>
        <w:pStyle w:val="ListBullet5"/>
      </w:pPr>
      <w:r>
        <w:t>the impacts of the amendments on the Commission’s complaint processes, including any impacts on the engagement and participation of the parties in the Commission’s complaints processes and the effectiveness of the Commission’s conciliation function</w:t>
      </w:r>
      <w:r w:rsidR="00B84343">
        <w:t>, and</w:t>
      </w:r>
    </w:p>
    <w:p w14:paraId="16975B64" w14:textId="77777777" w:rsidR="00687606" w:rsidRPr="00520781" w:rsidRDefault="00687606" w:rsidP="00687606">
      <w:pPr>
        <w:pStyle w:val="ListBullet5"/>
      </w:pPr>
      <w:r>
        <w:t>the impacts of the amendments on the number of matters proceeding to court, and the outcomes in those matters.</w:t>
      </w:r>
    </w:p>
    <w:p w14:paraId="1F4EB16F" w14:textId="39E3821D" w:rsidR="00F63970" w:rsidRDefault="00F63970" w:rsidP="00F63970">
      <w:pPr>
        <w:pStyle w:val="Heading1"/>
      </w:pPr>
      <w:bookmarkStart w:id="26" w:name="_Toc153787491"/>
      <w:bookmarkStart w:id="27" w:name="_Toc153789133"/>
      <w:bookmarkStart w:id="28" w:name="_Toc153789173"/>
      <w:bookmarkStart w:id="29" w:name="_Toc153793270"/>
      <w:bookmarkStart w:id="30" w:name="_Toc153787437"/>
      <w:bookmarkStart w:id="31" w:name="_Toc153787492"/>
      <w:bookmarkStart w:id="32" w:name="_Toc153789134"/>
      <w:bookmarkStart w:id="33" w:name="_Toc153789174"/>
      <w:bookmarkStart w:id="34" w:name="_Toc153793271"/>
      <w:bookmarkStart w:id="35" w:name="_Toc153805478"/>
      <w:bookmarkEnd w:id="26"/>
      <w:bookmarkEnd w:id="27"/>
      <w:bookmarkEnd w:id="28"/>
      <w:bookmarkEnd w:id="29"/>
      <w:bookmarkEnd w:id="30"/>
      <w:bookmarkEnd w:id="31"/>
      <w:bookmarkEnd w:id="32"/>
      <w:bookmarkEnd w:id="33"/>
      <w:bookmarkEnd w:id="34"/>
      <w:r>
        <w:lastRenderedPageBreak/>
        <w:t>Proposed reforms</w:t>
      </w:r>
      <w:bookmarkEnd w:id="35"/>
    </w:p>
    <w:p w14:paraId="0E295423" w14:textId="77777777" w:rsidR="00754A63" w:rsidRDefault="00754A63" w:rsidP="00754A63">
      <w:pPr>
        <w:pStyle w:val="ListNumber"/>
      </w:pPr>
      <w:r>
        <w:t xml:space="preserve">The Commission has heard through consultation processes </w:t>
      </w:r>
      <w:r>
        <w:rPr>
          <w:rFonts w:cs="Open Sans"/>
        </w:rPr>
        <w:t>for its National Inquiry into Sexual Harassment in Australian Workplaces (</w:t>
      </w:r>
      <w:proofErr w:type="spellStart"/>
      <w:r>
        <w:rPr>
          <w:rFonts w:cs="Open Sans"/>
        </w:rPr>
        <w:t>Respect@Work</w:t>
      </w:r>
      <w:proofErr w:type="spellEnd"/>
      <w:r>
        <w:rPr>
          <w:rFonts w:cs="Open Sans"/>
        </w:rPr>
        <w:t xml:space="preserve"> inquiry) and its Free and Equal project</w:t>
      </w:r>
      <w:r>
        <w:t xml:space="preserve"> that the current costs regime in the federal courts operates as a disincentive for complainants to pursue unlawful discrimination matters, particularly for vulnerable members of the community. </w:t>
      </w:r>
    </w:p>
    <w:p w14:paraId="6E4CC957" w14:textId="77777777" w:rsidR="00BD55A2" w:rsidRDefault="00BD55A2" w:rsidP="00BD55A2">
      <w:pPr>
        <w:pStyle w:val="ListNumber"/>
      </w:pPr>
      <w:r>
        <w:t>The Bill proposes reforms to replace the current costs regime in the AHRC Act with a modified ‘equal access’ costs protection, or asymmetrical, model for all proceedings in the federal courts involving complaints of unlawful discrimination arising under each of the federal discrimination laws.</w:t>
      </w:r>
    </w:p>
    <w:p w14:paraId="17BC8A84" w14:textId="30A57E7B" w:rsidR="00073F5F" w:rsidRDefault="002F79F7" w:rsidP="006B3E00">
      <w:pPr>
        <w:pStyle w:val="ListNumber"/>
      </w:pPr>
      <w:r>
        <w:t xml:space="preserve">The model proposed in the Bill is a </w:t>
      </w:r>
      <w:r w:rsidR="001336D0">
        <w:t>significant departure from the position under the current federal discrimination laws</w:t>
      </w:r>
      <w:r>
        <w:t xml:space="preserve">, providing greater </w:t>
      </w:r>
      <w:r w:rsidR="00D61F4A">
        <w:t xml:space="preserve">costs </w:t>
      </w:r>
      <w:r>
        <w:t>certainty</w:t>
      </w:r>
      <w:r w:rsidR="00D20464">
        <w:t xml:space="preserve"> for applicants and removing the disincentives reported</w:t>
      </w:r>
      <w:r w:rsidR="00623671">
        <w:t xml:space="preserve"> in consultation</w:t>
      </w:r>
      <w:r w:rsidR="008A217C">
        <w:t>s</w:t>
      </w:r>
      <w:r w:rsidR="00991454">
        <w:t xml:space="preserve"> conducted by the Commission</w:t>
      </w:r>
      <w:r w:rsidR="00623671">
        <w:t xml:space="preserve"> to pose significant deterrents to applicants</w:t>
      </w:r>
      <w:r w:rsidR="008A217C">
        <w:t xml:space="preserve"> in bringing claims </w:t>
      </w:r>
      <w:r w:rsidR="00AD62D3">
        <w:t xml:space="preserve">of unlawful discrimination </w:t>
      </w:r>
      <w:r w:rsidR="008A217C">
        <w:t xml:space="preserve">in the FCA and </w:t>
      </w:r>
      <w:r w:rsidR="00AD62D3">
        <w:t>FCFCA</w:t>
      </w:r>
      <w:r w:rsidR="001336D0">
        <w:t>.</w:t>
      </w:r>
      <w:r w:rsidR="00991454">
        <w:rPr>
          <w:rStyle w:val="EndnoteReference"/>
        </w:rPr>
        <w:endnoteReference w:id="6"/>
      </w:r>
      <w:r w:rsidR="0063071A">
        <w:t xml:space="preserve"> </w:t>
      </w:r>
      <w:r w:rsidR="0070314A">
        <w:t>In seeking to achieve this, the costs provisions proposed are</w:t>
      </w:r>
      <w:r w:rsidR="00073F5F">
        <w:t xml:space="preserve"> weighted more heavily in favour of applicants and shift the burden of costs liability to respondents.</w:t>
      </w:r>
    </w:p>
    <w:p w14:paraId="2BB89365" w14:textId="0C8077E6" w:rsidR="00A62DE7" w:rsidRDefault="006C62EC" w:rsidP="006B3E00">
      <w:pPr>
        <w:pStyle w:val="ListNumber"/>
      </w:pPr>
      <w:r>
        <w:t>The proposed regime also</w:t>
      </w:r>
      <w:r w:rsidR="00C117FA">
        <w:t xml:space="preserve"> </w:t>
      </w:r>
      <w:r w:rsidR="004047F0">
        <w:t xml:space="preserve">differs from the </w:t>
      </w:r>
      <w:r w:rsidR="00C95DB2">
        <w:t>model</w:t>
      </w:r>
      <w:r w:rsidR="009E3CCA">
        <w:t>s</w:t>
      </w:r>
      <w:r w:rsidR="00C95DB2">
        <w:t xml:space="preserve"> recommended in the Respect@Work report</w:t>
      </w:r>
      <w:r>
        <w:t xml:space="preserve">, </w:t>
      </w:r>
      <w:r w:rsidR="005933AB">
        <w:t>which recommended a model where</w:t>
      </w:r>
      <w:r w:rsidR="00FF67BF">
        <w:t xml:space="preserve"> each party bears their own costs,</w:t>
      </w:r>
      <w:r>
        <w:t xml:space="preserve"> </w:t>
      </w:r>
      <w:r w:rsidR="00C95DB2">
        <w:t xml:space="preserve">and the Commission’s </w:t>
      </w:r>
      <w:r w:rsidR="00A62DE7">
        <w:t>‘Free and Equal: A reform agenda for federal discrimination law — Position Paper’ (Free and Equal position paper)</w:t>
      </w:r>
      <w:r w:rsidR="00073F5F">
        <w:t>,</w:t>
      </w:r>
      <w:r w:rsidR="00AD24D4">
        <w:rPr>
          <w:rStyle w:val="EndnoteReference"/>
        </w:rPr>
        <w:endnoteReference w:id="7"/>
      </w:r>
      <w:r w:rsidR="00073F5F">
        <w:t xml:space="preserve"> </w:t>
      </w:r>
      <w:r w:rsidR="005933AB">
        <w:t>which recommended</w:t>
      </w:r>
      <w:r w:rsidR="00136F5E">
        <w:t xml:space="preserve"> a model </w:t>
      </w:r>
      <w:r w:rsidR="00B5608E">
        <w:t>where each party bear</w:t>
      </w:r>
      <w:r w:rsidR="003E5445">
        <w:t>s</w:t>
      </w:r>
      <w:r w:rsidR="00B5608E">
        <w:t xml:space="preserve"> their own costs with</w:t>
      </w:r>
      <w:r w:rsidR="000129F7">
        <w:t xml:space="preserve"> discretion for the court to </w:t>
      </w:r>
      <w:r w:rsidR="000909C3">
        <w:t>award costs in the interests of justice having regard to prescribed mandatory criteria</w:t>
      </w:r>
      <w:r w:rsidR="005933AB">
        <w:t xml:space="preserve">. </w:t>
      </w:r>
      <w:r w:rsidR="003E5445">
        <w:t>In the Commission’s view, these models represent</w:t>
      </w:r>
      <w:r w:rsidR="005933AB">
        <w:t xml:space="preserve"> </w:t>
      </w:r>
      <w:r w:rsidR="0052735D">
        <w:t xml:space="preserve">a </w:t>
      </w:r>
      <w:r w:rsidR="00073F5F">
        <w:t xml:space="preserve">more balanced approach to costs for claims of unlawful discrimination. </w:t>
      </w:r>
    </w:p>
    <w:p w14:paraId="3C1ECBBC" w14:textId="63F890FE" w:rsidR="0084556B" w:rsidRDefault="00587F24" w:rsidP="0084556B">
      <w:pPr>
        <w:pStyle w:val="ListNumber"/>
      </w:pPr>
      <w:r>
        <w:t>As Australia’s National Human Rights Institution, t</w:t>
      </w:r>
      <w:r w:rsidR="0084556B">
        <w:t xml:space="preserve">he Commission </w:t>
      </w:r>
      <w:r w:rsidR="003A543B">
        <w:t>is concerned</w:t>
      </w:r>
      <w:r w:rsidR="009C4956">
        <w:t xml:space="preserve"> </w:t>
      </w:r>
      <w:r w:rsidR="0084556B">
        <w:t xml:space="preserve">that the reforms proposed may have unintended consequences on the effectiveness of alternative dispute resolution options aimed at facilitating early resolution of complaints, including settlement offers and the Commission’s conciliation function, and may impact on the Commission’s role in </w:t>
      </w:r>
      <w:r w:rsidR="00D231AC">
        <w:t>stemming the flow of</w:t>
      </w:r>
      <w:r w:rsidR="0084556B">
        <w:t xml:space="preserve"> complaints that proceed to court. </w:t>
      </w:r>
      <w:r w:rsidR="00377A20">
        <w:t>The Commission</w:t>
      </w:r>
      <w:r w:rsidR="003A543B">
        <w:t xml:space="preserve"> is also concerned with the way the proposed reforms balance fairness to </w:t>
      </w:r>
      <w:r w:rsidR="00D23E27">
        <w:rPr>
          <w:rFonts w:cs="Open Sans"/>
        </w:rPr>
        <w:t xml:space="preserve">smaller sized </w:t>
      </w:r>
      <w:r w:rsidR="003A543B">
        <w:t xml:space="preserve">respondents. </w:t>
      </w:r>
    </w:p>
    <w:p w14:paraId="679D06F8" w14:textId="6F94A1ED" w:rsidR="0002675A" w:rsidRDefault="00C3660B" w:rsidP="00293B97">
      <w:pPr>
        <w:pStyle w:val="Heading2"/>
      </w:pPr>
      <w:bookmarkStart w:id="36" w:name="_Toc153793289"/>
      <w:bookmarkStart w:id="37" w:name="_Toc153793290"/>
      <w:bookmarkStart w:id="38" w:name="_Toc153793291"/>
      <w:bookmarkStart w:id="39" w:name="_Toc153789153"/>
      <w:bookmarkStart w:id="40" w:name="_Toc153789193"/>
      <w:bookmarkStart w:id="41" w:name="_Toc153793292"/>
      <w:bookmarkStart w:id="42" w:name="_Toc153805479"/>
      <w:bookmarkEnd w:id="36"/>
      <w:bookmarkEnd w:id="37"/>
      <w:bookmarkEnd w:id="38"/>
      <w:bookmarkEnd w:id="39"/>
      <w:bookmarkEnd w:id="40"/>
      <w:bookmarkEnd w:id="41"/>
      <w:r>
        <w:lastRenderedPageBreak/>
        <w:t xml:space="preserve">Potential </w:t>
      </w:r>
      <w:r w:rsidR="00F042B9">
        <w:t xml:space="preserve">unintended </w:t>
      </w:r>
      <w:r w:rsidR="00A27AF3">
        <w:t>consequences</w:t>
      </w:r>
      <w:bookmarkEnd w:id="42"/>
      <w:r>
        <w:t xml:space="preserve"> </w:t>
      </w:r>
    </w:p>
    <w:p w14:paraId="09C96309" w14:textId="6AA06C85" w:rsidR="000C5A38" w:rsidRDefault="006C4ECE" w:rsidP="006B3E00">
      <w:pPr>
        <w:pStyle w:val="ListNumber"/>
      </w:pPr>
      <w:r>
        <w:t>The</w:t>
      </w:r>
      <w:r w:rsidR="00097847">
        <w:t xml:space="preserve"> Commission </w:t>
      </w:r>
      <w:r w:rsidR="00210262">
        <w:t>raises concerns</w:t>
      </w:r>
      <w:r w:rsidR="000C5A38">
        <w:t xml:space="preserve"> that the model </w:t>
      </w:r>
      <w:r w:rsidR="00FC406E">
        <w:t xml:space="preserve">proposed in the Bill may have unintended consequences on the </w:t>
      </w:r>
      <w:r w:rsidR="00B210F4">
        <w:t>efficacy of alternative dispute resolution</w:t>
      </w:r>
      <w:r w:rsidR="00B11D2B">
        <w:t xml:space="preserve"> options, including early offers of settlement and conciliation processes</w:t>
      </w:r>
      <w:r w:rsidR="00C059E9">
        <w:t xml:space="preserve">, and the processes of the Commission </w:t>
      </w:r>
      <w:r w:rsidR="00B00E95">
        <w:t xml:space="preserve">as a </w:t>
      </w:r>
      <w:r w:rsidR="00257EE9">
        <w:t>filter</w:t>
      </w:r>
      <w:r w:rsidR="00B00E95">
        <w:t xml:space="preserve"> for </w:t>
      </w:r>
      <w:r w:rsidR="009D44F4">
        <w:t>complaints</w:t>
      </w:r>
      <w:r w:rsidR="00B00E95">
        <w:t xml:space="preserve"> proceeding to court</w:t>
      </w:r>
      <w:r w:rsidR="000C5A38">
        <w:t>.</w:t>
      </w:r>
      <w:r w:rsidR="00EC6CA6">
        <w:t xml:space="preserve"> </w:t>
      </w:r>
    </w:p>
    <w:p w14:paraId="101F2496" w14:textId="3FBB84CE" w:rsidR="00000BEF" w:rsidRDefault="00A85E58" w:rsidP="006B3E00">
      <w:pPr>
        <w:pStyle w:val="ListNumber"/>
      </w:pPr>
      <w:r>
        <w:t xml:space="preserve">First, </w:t>
      </w:r>
      <w:r w:rsidR="00FD24C5">
        <w:t xml:space="preserve">the Bill </w:t>
      </w:r>
      <w:r>
        <w:t>remov</w:t>
      </w:r>
      <w:r w:rsidR="00FD24C5">
        <w:t>es</w:t>
      </w:r>
      <w:r>
        <w:t xml:space="preserve"> s 46PSA of the AHRC Act, which </w:t>
      </w:r>
      <w:r w:rsidR="004950CB">
        <w:t xml:space="preserve">currently </w:t>
      </w:r>
      <w:r>
        <w:t>provide</w:t>
      </w:r>
      <w:r w:rsidR="004950CB">
        <w:t>s</w:t>
      </w:r>
      <w:r>
        <w:t xml:space="preserve"> </w:t>
      </w:r>
      <w:r w:rsidR="003B3668">
        <w:t>that the court</w:t>
      </w:r>
      <w:r w:rsidR="004578E9">
        <w:t>,</w:t>
      </w:r>
      <w:r w:rsidR="003B3668">
        <w:t xml:space="preserve"> </w:t>
      </w:r>
      <w:r w:rsidR="00E87763">
        <w:t>in deciding whether to award costs</w:t>
      </w:r>
      <w:r w:rsidR="00AF2123">
        <w:t xml:space="preserve"> in proceedings, </w:t>
      </w:r>
      <w:r w:rsidR="003B3668">
        <w:t>may have</w:t>
      </w:r>
      <w:r>
        <w:t xml:space="preserve"> regard to offers to settle the subject matter of a complaint</w:t>
      </w:r>
      <w:r w:rsidR="00AF2123">
        <w:t>. Second,</w:t>
      </w:r>
      <w:r w:rsidR="007E19A4">
        <w:t xml:space="preserve"> the Explanatory Memorandum to the Bill </w:t>
      </w:r>
      <w:r w:rsidR="008617D9">
        <w:t>seeks to</w:t>
      </w:r>
      <w:r>
        <w:t xml:space="preserve"> </w:t>
      </w:r>
      <w:r w:rsidR="008617D9">
        <w:t>exclude</w:t>
      </w:r>
      <w:r w:rsidR="00500D43">
        <w:t xml:space="preserve"> from the Court’s consideration</w:t>
      </w:r>
      <w:r w:rsidR="008617D9">
        <w:t xml:space="preserve"> </w:t>
      </w:r>
      <w:r w:rsidR="00215680">
        <w:t>the unreasonable rejection of settlement offers</w:t>
      </w:r>
      <w:r>
        <w:t xml:space="preserve"> </w:t>
      </w:r>
      <w:r w:rsidR="007A5516">
        <w:t>when considering whether</w:t>
      </w:r>
      <w:r w:rsidR="00705D66">
        <w:t xml:space="preserve"> an applicant’s </w:t>
      </w:r>
      <w:r w:rsidR="00351F58">
        <w:t xml:space="preserve">‘unreasonable act or omission’ </w:t>
      </w:r>
      <w:r w:rsidR="00705D66">
        <w:t>caused the applicant to incur costs</w:t>
      </w:r>
      <w:r w:rsidR="001B6A7E">
        <w:t>.</w:t>
      </w:r>
      <w:r w:rsidR="003A5836">
        <w:rPr>
          <w:rStyle w:val="EndnoteReference"/>
        </w:rPr>
        <w:endnoteReference w:id="8"/>
      </w:r>
      <w:r w:rsidR="003A7CE7">
        <w:t xml:space="preserve"> </w:t>
      </w:r>
      <w:r w:rsidR="001B6A7E">
        <w:t xml:space="preserve">The operation of these two </w:t>
      </w:r>
      <w:r w:rsidR="001724B9">
        <w:t>amendments</w:t>
      </w:r>
      <w:r w:rsidR="001B6A7E">
        <w:t xml:space="preserve"> </w:t>
      </w:r>
      <w:r w:rsidR="003070E5">
        <w:t xml:space="preserve">may mean that </w:t>
      </w:r>
      <w:r w:rsidR="005627AD">
        <w:t>there is little incentive for a</w:t>
      </w:r>
      <w:r w:rsidR="00DF1A80">
        <w:t xml:space="preserve">n applicant </w:t>
      </w:r>
      <w:r w:rsidR="005627AD">
        <w:t>to consider a reasonable offer to settle a matter early</w:t>
      </w:r>
      <w:r w:rsidR="00C80A5F">
        <w:t xml:space="preserve"> or at all</w:t>
      </w:r>
      <w:r w:rsidR="005627AD">
        <w:t xml:space="preserve">. </w:t>
      </w:r>
    </w:p>
    <w:p w14:paraId="28A426AE" w14:textId="3B5C4316" w:rsidR="00A6452A" w:rsidRDefault="00EE7796" w:rsidP="006B3E00">
      <w:pPr>
        <w:pStyle w:val="ListNumber"/>
      </w:pPr>
      <w:r>
        <w:t>This is contrary to the position under the Fair Work Act</w:t>
      </w:r>
      <w:r w:rsidR="00CC01F0">
        <w:t xml:space="preserve">, under which the term </w:t>
      </w:r>
      <w:r w:rsidR="00C00352">
        <w:t>‘</w:t>
      </w:r>
      <w:r w:rsidR="00CC01F0">
        <w:t>u</w:t>
      </w:r>
      <w:r w:rsidR="00C00352">
        <w:t>nreasonable act or omission’ has been interpreted to include the unreasonable rejection of a settlement offer.</w:t>
      </w:r>
      <w:r w:rsidR="006D7FC6">
        <w:rPr>
          <w:rStyle w:val="EndnoteReference"/>
        </w:rPr>
        <w:endnoteReference w:id="9"/>
      </w:r>
      <w:r w:rsidR="00C00352">
        <w:t xml:space="preserve"> </w:t>
      </w:r>
      <w:r w:rsidR="00CC01F0">
        <w:t xml:space="preserve">While the Commission understands the impetus to ensure certainty for applicants in their costs exposure, removing </w:t>
      </w:r>
      <w:r w:rsidR="00AD63F9">
        <w:t xml:space="preserve">the court’s </w:t>
      </w:r>
      <w:r w:rsidR="00CC01F0">
        <w:t>consideration of reasonable settlement offers may</w:t>
      </w:r>
      <w:r w:rsidR="006776DB">
        <w:t xml:space="preserve"> </w:t>
      </w:r>
      <w:r w:rsidR="00DF5F42">
        <w:t xml:space="preserve">have the unintended consequence of </w:t>
      </w:r>
      <w:r w:rsidR="006776DB">
        <w:t>invalidat</w:t>
      </w:r>
      <w:r w:rsidR="00DF5F42">
        <w:t>ing</w:t>
      </w:r>
      <w:r w:rsidR="006776DB">
        <w:t xml:space="preserve"> the effect of an early settlement offer and</w:t>
      </w:r>
      <w:r w:rsidR="00CC01F0">
        <w:t xml:space="preserve"> significantly impact</w:t>
      </w:r>
      <w:r w:rsidR="00DF5F42">
        <w:t>ing</w:t>
      </w:r>
      <w:r w:rsidR="00CC01F0">
        <w:t xml:space="preserve"> on alternative dispute resolution and settlement options prior to trial and </w:t>
      </w:r>
      <w:r w:rsidR="00527D74">
        <w:t xml:space="preserve">the </w:t>
      </w:r>
      <w:r w:rsidR="00CC01F0">
        <w:t xml:space="preserve">final determination of proceedings. </w:t>
      </w:r>
    </w:p>
    <w:p w14:paraId="22ECFED9" w14:textId="1B7CBB00" w:rsidR="00253967" w:rsidRPr="00571402" w:rsidRDefault="00AA3FFF" w:rsidP="006B3E00">
      <w:pPr>
        <w:pStyle w:val="ListNumber"/>
      </w:pPr>
      <w:r>
        <w:t>Additionally</w:t>
      </w:r>
      <w:r w:rsidR="00DD5B3B">
        <w:t xml:space="preserve">, </w:t>
      </w:r>
      <w:r w:rsidR="00A77C77">
        <w:t>unlike the Fair Work Act</w:t>
      </w:r>
      <w:r w:rsidR="007123C3">
        <w:t>,</w:t>
      </w:r>
      <w:r w:rsidR="00A77C77">
        <w:t xml:space="preserve"> </w:t>
      </w:r>
      <w:r w:rsidR="007123C3">
        <w:t xml:space="preserve">the Bill and </w:t>
      </w:r>
      <w:r w:rsidR="00432FFF">
        <w:t xml:space="preserve">Explanatory </w:t>
      </w:r>
      <w:r w:rsidR="000D560A">
        <w:t>M</w:t>
      </w:r>
      <w:r w:rsidR="007123C3">
        <w:t xml:space="preserve">emorandum explicitly exclude from the court’s consideration </w:t>
      </w:r>
      <w:r w:rsidR="00B84AB0">
        <w:t>whether the parties unreasonably refused to participate in the complaints process before the Commission.</w:t>
      </w:r>
      <w:r w:rsidR="00512D46">
        <w:rPr>
          <w:rStyle w:val="EndnoteReference"/>
        </w:rPr>
        <w:endnoteReference w:id="10"/>
      </w:r>
      <w:r w:rsidR="00B84AB0">
        <w:t xml:space="preserve"> </w:t>
      </w:r>
      <w:r w:rsidR="00DF07BE">
        <w:t xml:space="preserve">The Fair Work Act </w:t>
      </w:r>
      <w:r w:rsidR="00F50934">
        <w:t xml:space="preserve">expressly </w:t>
      </w:r>
      <w:r w:rsidR="00DF07BE">
        <w:t>provides</w:t>
      </w:r>
      <w:r w:rsidR="00F50934">
        <w:t xml:space="preserve"> </w:t>
      </w:r>
      <w:r w:rsidR="00DF07BE">
        <w:t>for the court to have regard to whether a party unreasonably refused to participate in the complaints process before the Fair Work Commission in its determination of costs,</w:t>
      </w:r>
      <w:r w:rsidR="006C0DB3">
        <w:rPr>
          <w:rStyle w:val="EndnoteReference"/>
        </w:rPr>
        <w:endnoteReference w:id="11"/>
      </w:r>
      <w:r w:rsidR="00DF07BE">
        <w:t xml:space="preserve"> </w:t>
      </w:r>
      <w:r w:rsidR="00F50934">
        <w:rPr>
          <w:rFonts w:cs="Open Sans"/>
        </w:rPr>
        <w:t>separate</w:t>
      </w:r>
      <w:r w:rsidR="00033B4C">
        <w:rPr>
          <w:rFonts w:cs="Open Sans"/>
        </w:rPr>
        <w:t xml:space="preserve"> to its express ability to consider</w:t>
      </w:r>
      <w:r w:rsidR="00F50934">
        <w:rPr>
          <w:rFonts w:cs="Open Sans"/>
        </w:rPr>
        <w:t xml:space="preserve"> a party’s ‘unreasonable act or omission’ which caused the other party to incur costs.</w:t>
      </w:r>
      <w:r w:rsidR="00971C51">
        <w:rPr>
          <w:rStyle w:val="EndnoteReference"/>
          <w:rFonts w:cs="Open Sans"/>
        </w:rPr>
        <w:endnoteReference w:id="12"/>
      </w:r>
      <w:r w:rsidR="00AA38E1">
        <w:rPr>
          <w:rFonts w:cs="Open Sans"/>
        </w:rPr>
        <w:t xml:space="preserve"> In expressly removing this from the court’s consideration </w:t>
      </w:r>
      <w:r w:rsidR="00354835">
        <w:rPr>
          <w:rFonts w:cs="Open Sans"/>
        </w:rPr>
        <w:t>of</w:t>
      </w:r>
      <w:r w:rsidR="00AA38E1">
        <w:rPr>
          <w:rFonts w:cs="Open Sans"/>
        </w:rPr>
        <w:t xml:space="preserve"> </w:t>
      </w:r>
      <w:r w:rsidR="00B36827">
        <w:rPr>
          <w:rFonts w:cs="Open Sans"/>
        </w:rPr>
        <w:t>an appropriate award of costs, the</w:t>
      </w:r>
      <w:r w:rsidR="00C03378">
        <w:rPr>
          <w:rFonts w:cs="Open Sans"/>
        </w:rPr>
        <w:t xml:space="preserve"> proposed reforms</w:t>
      </w:r>
      <w:r w:rsidR="00B36827">
        <w:rPr>
          <w:rFonts w:cs="Open Sans"/>
        </w:rPr>
        <w:t xml:space="preserve"> may </w:t>
      </w:r>
      <w:r w:rsidR="00E46715">
        <w:rPr>
          <w:rFonts w:cs="Open Sans"/>
        </w:rPr>
        <w:t>significantly reduce</w:t>
      </w:r>
      <w:r w:rsidR="000151BF">
        <w:rPr>
          <w:rFonts w:cs="Open Sans"/>
        </w:rPr>
        <w:t xml:space="preserve"> the incentive </w:t>
      </w:r>
      <w:r w:rsidR="004351DF">
        <w:rPr>
          <w:rFonts w:cs="Open Sans"/>
        </w:rPr>
        <w:t xml:space="preserve">for </w:t>
      </w:r>
      <w:r w:rsidR="000151BF">
        <w:rPr>
          <w:rFonts w:cs="Open Sans"/>
        </w:rPr>
        <w:t xml:space="preserve">parties to </w:t>
      </w:r>
      <w:r w:rsidR="00DC4666">
        <w:rPr>
          <w:rFonts w:cs="Open Sans"/>
        </w:rPr>
        <w:t xml:space="preserve">take genuine steps to resolve a complaint and </w:t>
      </w:r>
      <w:r w:rsidR="000151BF">
        <w:rPr>
          <w:rFonts w:cs="Open Sans"/>
        </w:rPr>
        <w:t xml:space="preserve">meaningfully engage in the </w:t>
      </w:r>
      <w:r w:rsidR="00E46715">
        <w:rPr>
          <w:rFonts w:cs="Open Sans"/>
        </w:rPr>
        <w:t>Commission’s complaints and conciliation process</w:t>
      </w:r>
      <w:r w:rsidR="005D0875">
        <w:rPr>
          <w:rFonts w:cs="Open Sans"/>
        </w:rPr>
        <w:t xml:space="preserve">, significantly </w:t>
      </w:r>
      <w:r w:rsidR="00527D74">
        <w:rPr>
          <w:rFonts w:cs="Open Sans"/>
        </w:rPr>
        <w:t>hamper</w:t>
      </w:r>
      <w:r w:rsidR="00AB735A">
        <w:rPr>
          <w:rFonts w:cs="Open Sans"/>
        </w:rPr>
        <w:t>ing</w:t>
      </w:r>
      <w:r w:rsidR="005D0875">
        <w:rPr>
          <w:rFonts w:cs="Open Sans"/>
        </w:rPr>
        <w:t xml:space="preserve"> the</w:t>
      </w:r>
      <w:r w:rsidR="00527D74">
        <w:rPr>
          <w:rFonts w:cs="Open Sans"/>
        </w:rPr>
        <w:t xml:space="preserve"> effectiveness of the Commission’s </w:t>
      </w:r>
      <w:r w:rsidR="00C03378">
        <w:rPr>
          <w:rFonts w:cs="Open Sans"/>
        </w:rPr>
        <w:t>functions</w:t>
      </w:r>
      <w:r w:rsidR="005F6B5E">
        <w:rPr>
          <w:rFonts w:cs="Open Sans"/>
        </w:rPr>
        <w:t xml:space="preserve"> and processes</w:t>
      </w:r>
      <w:r w:rsidR="005D0875">
        <w:rPr>
          <w:rFonts w:cs="Open Sans"/>
        </w:rPr>
        <w:t xml:space="preserve">.  </w:t>
      </w:r>
    </w:p>
    <w:p w14:paraId="2452538C" w14:textId="2382A27B" w:rsidR="005350B8" w:rsidRPr="00497D3B" w:rsidRDefault="00F70DAA" w:rsidP="006B3E00">
      <w:pPr>
        <w:pStyle w:val="ListNumber"/>
      </w:pPr>
      <w:r w:rsidRPr="00497D3B">
        <w:lastRenderedPageBreak/>
        <w:t xml:space="preserve">With the removal of incentives to resolve complaints through settlement offers and </w:t>
      </w:r>
      <w:r w:rsidR="00024C60">
        <w:t>for</w:t>
      </w:r>
      <w:r w:rsidR="00024C60" w:rsidRPr="00497D3B">
        <w:t xml:space="preserve"> </w:t>
      </w:r>
      <w:r w:rsidR="00543C32" w:rsidRPr="00497D3B">
        <w:t xml:space="preserve">meaningful engagement in the Commission’s </w:t>
      </w:r>
      <w:r w:rsidR="008968B1">
        <w:t xml:space="preserve">complaints and </w:t>
      </w:r>
      <w:r w:rsidR="00543C32" w:rsidRPr="00497D3B">
        <w:t xml:space="preserve">conciliation process, </w:t>
      </w:r>
      <w:r w:rsidR="005350B8" w:rsidRPr="00497D3B">
        <w:t>the proposed model may lead to a</w:t>
      </w:r>
      <w:r w:rsidR="00482C5A">
        <w:t>n</w:t>
      </w:r>
      <w:r w:rsidR="005350B8" w:rsidRPr="00497D3B">
        <w:t xml:space="preserve"> increase in the number of matters proceeding to court</w:t>
      </w:r>
      <w:r w:rsidR="005F6B5E">
        <w:t xml:space="preserve"> and to </w:t>
      </w:r>
      <w:r w:rsidR="000A7AF7">
        <w:t>final determination at trial</w:t>
      </w:r>
      <w:r w:rsidR="005350B8" w:rsidRPr="00497D3B">
        <w:t xml:space="preserve">. </w:t>
      </w:r>
    </w:p>
    <w:p w14:paraId="700B39E8" w14:textId="5B35AF05" w:rsidR="00543C32" w:rsidRDefault="005350B8" w:rsidP="006B3E00">
      <w:pPr>
        <w:pStyle w:val="ListNumber"/>
      </w:pPr>
      <w:r w:rsidRPr="00497D3B">
        <w:t xml:space="preserve">In addition, </w:t>
      </w:r>
      <w:r w:rsidR="0066094B" w:rsidRPr="00497D3B">
        <w:t xml:space="preserve">under this model, the Commission’s grounds of termination of a complaint may operate as the final barrier to a respondent’s costs exposure </w:t>
      </w:r>
      <w:r w:rsidR="00EC4F40" w:rsidRPr="00497D3B">
        <w:t>and</w:t>
      </w:r>
      <w:r w:rsidR="0066094B" w:rsidRPr="00497D3B">
        <w:t xml:space="preserve"> </w:t>
      </w:r>
      <w:r w:rsidR="00AB2F9C">
        <w:t xml:space="preserve">the amendments </w:t>
      </w:r>
      <w:r w:rsidR="0066094B" w:rsidRPr="00497D3B">
        <w:t>may have the</w:t>
      </w:r>
      <w:r w:rsidRPr="00497D3B">
        <w:t xml:space="preserve"> </w:t>
      </w:r>
      <w:r w:rsidR="00831829" w:rsidRPr="00497D3B">
        <w:t xml:space="preserve">unintended consequence of significantly increasing the administrative burden on the Commission in having to consider and respond to detailed and lengthy submissions from respondents and </w:t>
      </w:r>
      <w:r w:rsidR="000A7AF7">
        <w:t>their legal representatives</w:t>
      </w:r>
      <w:r w:rsidR="00831829" w:rsidRPr="00497D3B">
        <w:t xml:space="preserve"> advocating for termination of a complaint on grounds which would require the complainant to seek the leave of the court before being able to proceed with an application to the court</w:t>
      </w:r>
      <w:r w:rsidR="0066094B" w:rsidRPr="00497D3B">
        <w:t>.</w:t>
      </w:r>
      <w:r w:rsidR="00C3499B" w:rsidRPr="00497D3B">
        <w:t xml:space="preserve"> </w:t>
      </w:r>
    </w:p>
    <w:p w14:paraId="3252FD06" w14:textId="77777777" w:rsidR="00B87491" w:rsidRDefault="00B87491" w:rsidP="00B87491">
      <w:pPr>
        <w:pStyle w:val="ListNumber"/>
      </w:pPr>
      <w:r w:rsidRPr="006B3E00">
        <w:t xml:space="preserve">For these reasons, the </w:t>
      </w:r>
      <w:r>
        <w:t xml:space="preserve">Commission makes the following recommendations. </w:t>
      </w:r>
    </w:p>
    <w:p w14:paraId="34C19AEF" w14:textId="77777777" w:rsidR="00B87491" w:rsidRDefault="00B87491" w:rsidP="00B87491">
      <w:pPr>
        <w:pStyle w:val="ListNumber"/>
        <w:numPr>
          <w:ilvl w:val="0"/>
          <w:numId w:val="0"/>
        </w:numPr>
        <w:ind w:left="567"/>
        <w:rPr>
          <w:b/>
          <w:bCs/>
        </w:rPr>
      </w:pPr>
      <w:r w:rsidRPr="00520781">
        <w:rPr>
          <w:b/>
          <w:bCs/>
        </w:rPr>
        <w:t>Recommendation</w:t>
      </w:r>
      <w:r>
        <w:rPr>
          <w:b/>
          <w:bCs/>
        </w:rPr>
        <w:t xml:space="preserve"> 1</w:t>
      </w:r>
    </w:p>
    <w:p w14:paraId="45434DAD" w14:textId="77777777" w:rsidR="003A6758" w:rsidRDefault="00B87491" w:rsidP="00B87491">
      <w:pPr>
        <w:pStyle w:val="ListNumber"/>
        <w:numPr>
          <w:ilvl w:val="0"/>
          <w:numId w:val="0"/>
        </w:numPr>
        <w:ind w:left="567"/>
      </w:pPr>
      <w:r w:rsidRPr="00F04E7D">
        <w:t xml:space="preserve">The Commission recommends that </w:t>
      </w:r>
      <w:r>
        <w:t xml:space="preserve">the Bill be amended to enable the court </w:t>
      </w:r>
      <w:r w:rsidRPr="00F04E7D">
        <w:t>to have regard to settlement offers made prior to, and during, the proceedings</w:t>
      </w:r>
      <w:r>
        <w:t xml:space="preserve"> in the determination of costs</w:t>
      </w:r>
      <w:r w:rsidRPr="00F04E7D">
        <w:t xml:space="preserve">. </w:t>
      </w:r>
    </w:p>
    <w:p w14:paraId="02618ECE" w14:textId="31D82ADC" w:rsidR="00B87491" w:rsidRDefault="00B87491" w:rsidP="00B87491">
      <w:pPr>
        <w:pStyle w:val="ListNumber"/>
        <w:numPr>
          <w:ilvl w:val="0"/>
          <w:numId w:val="0"/>
        </w:numPr>
        <w:ind w:left="567"/>
      </w:pPr>
      <w:r w:rsidRPr="00F04E7D">
        <w:t xml:space="preserve">If </w:t>
      </w:r>
      <w:r w:rsidR="005210F1">
        <w:t>the current</w:t>
      </w:r>
      <w:r w:rsidRPr="00F04E7D">
        <w:t xml:space="preserve"> s 46PSA of the AHRC Act is repealed</w:t>
      </w:r>
      <w:r>
        <w:t xml:space="preserve"> and this consideration is not expressly provided for in the Act</w:t>
      </w:r>
      <w:r w:rsidRPr="00F04E7D">
        <w:t xml:space="preserve">, the Commission considers that the </w:t>
      </w:r>
      <w:r>
        <w:t>Explanatory Memorandum to the Bill should be amended to include the unreasonable rejection of a settlement offer</w:t>
      </w:r>
      <w:r w:rsidRPr="00F04E7D">
        <w:t xml:space="preserve"> as an example of a possible ‘unreasonable act or omission’ under proposed ss</w:t>
      </w:r>
      <w:r>
        <w:t> </w:t>
      </w:r>
      <w:r w:rsidRPr="00F04E7D">
        <w:t>46PSA (4) and (6)(b).</w:t>
      </w:r>
    </w:p>
    <w:p w14:paraId="73B02F5A" w14:textId="77777777" w:rsidR="00B87491" w:rsidRPr="00DC2051" w:rsidRDefault="00B87491" w:rsidP="00B87491">
      <w:pPr>
        <w:pStyle w:val="ListNumber"/>
        <w:numPr>
          <w:ilvl w:val="0"/>
          <w:numId w:val="0"/>
        </w:numPr>
        <w:ind w:left="567"/>
        <w:rPr>
          <w:b/>
          <w:bCs/>
        </w:rPr>
      </w:pPr>
      <w:r>
        <w:rPr>
          <w:b/>
          <w:bCs/>
        </w:rPr>
        <w:t>Recommendation 2</w:t>
      </w:r>
    </w:p>
    <w:p w14:paraId="49158A94" w14:textId="1CF2D745" w:rsidR="00B87491" w:rsidRDefault="00B87491" w:rsidP="00B87491">
      <w:pPr>
        <w:pStyle w:val="ListNumber"/>
        <w:numPr>
          <w:ilvl w:val="0"/>
          <w:numId w:val="0"/>
        </w:numPr>
        <w:ind w:left="567"/>
      </w:pPr>
      <w:r w:rsidRPr="00F04E7D">
        <w:t xml:space="preserve">The Commission recommends that </w:t>
      </w:r>
      <w:r>
        <w:t>the Bill be amended to enable the</w:t>
      </w:r>
      <w:r w:rsidRPr="00F04E7D">
        <w:t xml:space="preserve"> court to have regard to the participation of the parties in the Commission’s complaints process in the determination of costs</w:t>
      </w:r>
      <w:r w:rsidR="00154368">
        <w:t>, to align</w:t>
      </w:r>
      <w:r w:rsidR="00154368" w:rsidRPr="00F04E7D">
        <w:t xml:space="preserve"> with </w:t>
      </w:r>
      <w:r w:rsidR="00154368">
        <w:t xml:space="preserve">s 570(2)(c) of </w:t>
      </w:r>
      <w:r w:rsidR="00154368" w:rsidRPr="00F04E7D">
        <w:t>the Fair Work Act</w:t>
      </w:r>
      <w:r w:rsidRPr="00F04E7D">
        <w:t>.</w:t>
      </w:r>
    </w:p>
    <w:p w14:paraId="3D24A04D" w14:textId="77777777" w:rsidR="00C54FEB" w:rsidRDefault="00C54FEB" w:rsidP="00C54FEB">
      <w:pPr>
        <w:pStyle w:val="Heading2"/>
      </w:pPr>
      <w:bookmarkStart w:id="43" w:name="_Toc153787458"/>
      <w:bookmarkStart w:id="44" w:name="_Toc153787513"/>
      <w:bookmarkStart w:id="45" w:name="_Toc153789155"/>
      <w:bookmarkStart w:id="46" w:name="_Toc153789195"/>
      <w:bookmarkStart w:id="47" w:name="_Toc153805480"/>
      <w:bookmarkEnd w:id="43"/>
      <w:bookmarkEnd w:id="44"/>
      <w:bookmarkEnd w:id="45"/>
      <w:bookmarkEnd w:id="46"/>
      <w:r>
        <w:t>Balance of burden</w:t>
      </w:r>
      <w:bookmarkEnd w:id="47"/>
      <w:r>
        <w:t xml:space="preserve"> </w:t>
      </w:r>
    </w:p>
    <w:p w14:paraId="41266F5B" w14:textId="78F9B61B" w:rsidR="00C54FEB" w:rsidRDefault="00C54FEB" w:rsidP="00C54FEB">
      <w:pPr>
        <w:pStyle w:val="ListNumber"/>
      </w:pPr>
      <w:r>
        <w:t xml:space="preserve">Complaints of unlawful discrimination are often made against individuals and small businesses. These </w:t>
      </w:r>
      <w:r w:rsidR="00452730">
        <w:t>proposed</w:t>
      </w:r>
      <w:r>
        <w:t xml:space="preserve"> reforms require the court to order the respondent to pay the applicant’s costs whether the applicant is wholly or only partly successful in the proceedings and must not order the applicant to pay the respondent’s costs unless an exception applies. </w:t>
      </w:r>
      <w:r w:rsidR="001C2A5F">
        <w:t>A</w:t>
      </w:r>
      <w:r>
        <w:t xml:space="preserve"> respondent’s circumstances can only be considered where </w:t>
      </w:r>
      <w:r w:rsidR="006C35F3">
        <w:t>the</w:t>
      </w:r>
      <w:r>
        <w:t xml:space="preserve"> respondent is ‘successful in the proceedings’, which requires 'all claims against them to be dismissed’</w:t>
      </w:r>
      <w:r w:rsidR="0061771B">
        <w:t>.</w:t>
      </w:r>
      <w:r>
        <w:rPr>
          <w:rStyle w:val="EndnoteReference"/>
        </w:rPr>
        <w:endnoteReference w:id="13"/>
      </w:r>
      <w:r>
        <w:t xml:space="preserve"> </w:t>
      </w:r>
    </w:p>
    <w:p w14:paraId="7A8AD789" w14:textId="279AEDE9" w:rsidR="00C54FEB" w:rsidRDefault="00C54FEB" w:rsidP="00C54FEB">
      <w:pPr>
        <w:pStyle w:val="ListNumber"/>
      </w:pPr>
      <w:r>
        <w:lastRenderedPageBreak/>
        <w:t>By way of example, where</w:t>
      </w:r>
      <w:r w:rsidRPr="00F3599E">
        <w:t xml:space="preserve"> a respondent is found to be 80 or 90% successful</w:t>
      </w:r>
      <w:r w:rsidR="00130A74">
        <w:t>,</w:t>
      </w:r>
      <w:r>
        <w:t xml:space="preserve"> </w:t>
      </w:r>
      <w:r w:rsidRPr="00343595">
        <w:t>and may have made reasonable offers to settle the matter</w:t>
      </w:r>
      <w:r>
        <w:t>:</w:t>
      </w:r>
    </w:p>
    <w:p w14:paraId="3B7BAF09" w14:textId="15479AC6" w:rsidR="00C54FEB" w:rsidRDefault="00C54FEB" w:rsidP="00C54FEB">
      <w:pPr>
        <w:pStyle w:val="ListBullet5"/>
      </w:pPr>
      <w:r>
        <w:t xml:space="preserve">the court </w:t>
      </w:r>
      <w:r w:rsidRPr="00C75621">
        <w:t>must order the respondent to pay the applicant’s costs</w:t>
      </w:r>
      <w:r w:rsidRPr="00B52A6D">
        <w:t>,</w:t>
      </w:r>
      <w:r>
        <w:rPr>
          <w:rStyle w:val="EndnoteReference"/>
        </w:rPr>
        <w:endnoteReference w:id="14"/>
      </w:r>
      <w:r>
        <w:t xml:space="preserve"> </w:t>
      </w:r>
      <w:r w:rsidRPr="00C75621">
        <w:t xml:space="preserve">unless </w:t>
      </w:r>
      <w:r w:rsidRPr="00B52A6D">
        <w:t>the applicant’s unreasonable act or omission caused the applicant to incur costs. This is ‘intended to be a high threshold and reserved for rare cases’</w:t>
      </w:r>
      <w:r w:rsidR="00B84343">
        <w:t>,</w:t>
      </w:r>
      <w:r>
        <w:rPr>
          <w:rStyle w:val="EndnoteReference"/>
        </w:rPr>
        <w:endnoteReference w:id="15"/>
      </w:r>
      <w:r>
        <w:t xml:space="preserve"> and</w:t>
      </w:r>
    </w:p>
    <w:p w14:paraId="12F6C74F" w14:textId="77777777" w:rsidR="00C54FEB" w:rsidRPr="00C75621" w:rsidRDefault="00C54FEB" w:rsidP="00C54FEB">
      <w:pPr>
        <w:pStyle w:val="ListBullet5"/>
      </w:pPr>
      <w:r>
        <w:t>the applicant cannot be liable for the respondent’s costs, unless the applicant’s unreasonable act or omission caused the respondent to incur costs.</w:t>
      </w:r>
      <w:r>
        <w:rPr>
          <w:rStyle w:val="EndnoteReference"/>
        </w:rPr>
        <w:endnoteReference w:id="16"/>
      </w:r>
      <w:r>
        <w:t xml:space="preserve"> The court cannot have regard to the respondent’s circumstances, including any power imbalance between the parties or the financial or other resources of the respondent relative to the applicant.</w:t>
      </w:r>
    </w:p>
    <w:p w14:paraId="2048EFC7" w14:textId="6960DE26" w:rsidR="00C54FEB" w:rsidRDefault="00C54FEB" w:rsidP="00C54FEB">
      <w:pPr>
        <w:pStyle w:val="ListNumber"/>
      </w:pPr>
      <w:r>
        <w:t>Even where a respondent is ‘successful in the proceedings’</w:t>
      </w:r>
      <w:r w:rsidR="00CB7958">
        <w:t>,</w:t>
      </w:r>
      <w:r>
        <w:t xml:space="preserve"> and the applicant’s claims do not meet the tests for the exceptions in proposed ss 46PSA(6)(a) or (b),</w:t>
      </w:r>
      <w:r>
        <w:rPr>
          <w:rStyle w:val="EndnoteReference"/>
        </w:rPr>
        <w:endnoteReference w:id="17"/>
      </w:r>
      <w:r>
        <w:t xml:space="preserve"> the court must be satisfied that the respondent’s circumstances meet the requirements of ss 46PSA(6)(c)(</w:t>
      </w:r>
      <w:proofErr w:type="spellStart"/>
      <w:r>
        <w:t>i</w:t>
      </w:r>
      <w:proofErr w:type="spellEnd"/>
      <w:r>
        <w:t>)</w:t>
      </w:r>
      <w:r w:rsidR="000B5728">
        <w:t>, (ii)</w:t>
      </w:r>
      <w:r>
        <w:t xml:space="preserve"> and (i</w:t>
      </w:r>
      <w:r w:rsidR="000B5728">
        <w:t>i</w:t>
      </w:r>
      <w:r>
        <w:t>i) before it may order the applicant to pay the respondent’s costs. That is, in addition to having all claims against the respondent dismissed by the court, the respondent must not have a significant power advantage over the applicant, and it must not have significant financial or other resources relative to the applicant</w:t>
      </w:r>
      <w:r w:rsidR="000B5728">
        <w:t>,</w:t>
      </w:r>
      <w:r>
        <w:t xml:space="preserve"> before it may recover any of its costs from the applicant. </w:t>
      </w:r>
    </w:p>
    <w:p w14:paraId="621C036D" w14:textId="5D7C3DEF" w:rsidR="00D03307" w:rsidRDefault="00B87491" w:rsidP="0015239E">
      <w:pPr>
        <w:pStyle w:val="Heading1"/>
      </w:pPr>
      <w:bookmarkStart w:id="48" w:name="_Toc153793295"/>
      <w:bookmarkStart w:id="49" w:name="_Toc153787459"/>
      <w:bookmarkStart w:id="50" w:name="_Toc153787514"/>
      <w:bookmarkStart w:id="51" w:name="_Toc153789156"/>
      <w:bookmarkStart w:id="52" w:name="_Toc153789196"/>
      <w:bookmarkStart w:id="53" w:name="_Toc153793296"/>
      <w:bookmarkStart w:id="54" w:name="_Toc153805481"/>
      <w:bookmarkEnd w:id="48"/>
      <w:bookmarkEnd w:id="49"/>
      <w:bookmarkEnd w:id="50"/>
      <w:bookmarkEnd w:id="51"/>
      <w:bookmarkEnd w:id="52"/>
      <w:bookmarkEnd w:id="53"/>
      <w:r>
        <w:t>Review</w:t>
      </w:r>
      <w:bookmarkEnd w:id="54"/>
      <w:r>
        <w:t xml:space="preserve"> </w:t>
      </w:r>
    </w:p>
    <w:p w14:paraId="69AF455C" w14:textId="75AE0BC1" w:rsidR="00150B7A" w:rsidRDefault="00145E6A" w:rsidP="00150B7A">
      <w:pPr>
        <w:pStyle w:val="ListNumber"/>
      </w:pPr>
      <w:r>
        <w:t>Given the matters raised above, t</w:t>
      </w:r>
      <w:r w:rsidR="00150B7A">
        <w:t>he Commission considers a review of these reforms within three years of commencement is warranted to ensure the reforms do not have unintended consequences on the efficacy of alternative dispute resolution options and are operating fairly</w:t>
      </w:r>
      <w:r w:rsidR="00150B7A" w:rsidRPr="00F3599E">
        <w:t xml:space="preserve">. </w:t>
      </w:r>
    </w:p>
    <w:p w14:paraId="42260D56" w14:textId="7CFB924D" w:rsidR="00CE3AB4" w:rsidRPr="002F1ED1" w:rsidRDefault="002F1ED1" w:rsidP="00530FFA">
      <w:pPr>
        <w:pStyle w:val="ListNumber"/>
        <w:keepNext/>
        <w:numPr>
          <w:ilvl w:val="0"/>
          <w:numId w:val="0"/>
        </w:numPr>
        <w:ind w:left="567"/>
        <w:rPr>
          <w:b/>
          <w:bCs/>
        </w:rPr>
      </w:pPr>
      <w:r>
        <w:rPr>
          <w:b/>
          <w:bCs/>
        </w:rPr>
        <w:t>Recommendation 3</w:t>
      </w:r>
    </w:p>
    <w:p w14:paraId="3ADB68EF" w14:textId="217BE431" w:rsidR="00480136" w:rsidRPr="006B3E00" w:rsidRDefault="003423F4" w:rsidP="00530FFA">
      <w:pPr>
        <w:pStyle w:val="ListNumber"/>
        <w:keepNext/>
        <w:numPr>
          <w:ilvl w:val="0"/>
          <w:numId w:val="0"/>
        </w:numPr>
        <w:ind w:left="567"/>
      </w:pPr>
      <w:r>
        <w:t xml:space="preserve">The </w:t>
      </w:r>
      <w:r w:rsidR="00480136" w:rsidRPr="006B3E00">
        <w:t xml:space="preserve">Commission recommends that the Bill be amended to provide for a review of the amendments within three years of the commencement of the provisions, having particular regard to: </w:t>
      </w:r>
    </w:p>
    <w:p w14:paraId="0E556AF3" w14:textId="77777777" w:rsidR="00480136" w:rsidRDefault="00480136" w:rsidP="00480136">
      <w:pPr>
        <w:pStyle w:val="ListBullet5"/>
      </w:pPr>
      <w:r>
        <w:t>the effectiveness of the provisions</w:t>
      </w:r>
    </w:p>
    <w:p w14:paraId="7DF4A2BF" w14:textId="77777777" w:rsidR="00480136" w:rsidRDefault="00480136" w:rsidP="00480136">
      <w:pPr>
        <w:pStyle w:val="ListBullet5"/>
      </w:pPr>
      <w:r>
        <w:t>the impacts of the amendments on both applicants and respondents, including access to representation, outcomes for parties, costs recovery and costs exposure</w:t>
      </w:r>
    </w:p>
    <w:p w14:paraId="2D147B9D" w14:textId="3247A50C" w:rsidR="00480136" w:rsidRDefault="00480136" w:rsidP="00480136">
      <w:pPr>
        <w:pStyle w:val="ListBullet5"/>
      </w:pPr>
      <w:r>
        <w:lastRenderedPageBreak/>
        <w:t>the impacts of the amendments on the Commission’s complaint processes, including any impacts on the engagement and participation of the parties in the Commission’s complaints processes and the effectiveness of the Commission’s conciliation function</w:t>
      </w:r>
      <w:r w:rsidR="00B84343">
        <w:t>, and</w:t>
      </w:r>
    </w:p>
    <w:p w14:paraId="67BC60F6" w14:textId="6F0AC56E" w:rsidR="003423F4" w:rsidRPr="003423F4" w:rsidRDefault="00480136" w:rsidP="003423F4">
      <w:pPr>
        <w:pStyle w:val="ListBullet5"/>
      </w:pPr>
      <w:r>
        <w:t xml:space="preserve">the impacts of the amendments on the number of matters proceeding to court, and the outcomes in those matters. </w:t>
      </w:r>
    </w:p>
    <w:p w14:paraId="17EBEF93" w14:textId="77777777" w:rsidR="003423F4" w:rsidRPr="003423F4" w:rsidRDefault="003423F4" w:rsidP="00C00733">
      <w:pPr>
        <w:pStyle w:val="Subtitle"/>
        <w:jc w:val="left"/>
      </w:pPr>
    </w:p>
    <w:sectPr w:rsidR="003423F4" w:rsidRPr="003423F4"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68B7" w14:textId="77777777" w:rsidR="00C711EA" w:rsidRDefault="00C711EA" w:rsidP="00F14C6D">
      <w:r>
        <w:separator/>
      </w:r>
    </w:p>
  </w:endnote>
  <w:endnote w:type="continuationSeparator" w:id="0">
    <w:p w14:paraId="706DC279" w14:textId="77777777" w:rsidR="00C711EA" w:rsidRDefault="00C711EA" w:rsidP="00F14C6D">
      <w:r>
        <w:continuationSeparator/>
      </w:r>
    </w:p>
  </w:endnote>
  <w:endnote w:type="continuationNotice" w:id="1">
    <w:p w14:paraId="1F1DD681" w14:textId="77777777" w:rsidR="00C711EA" w:rsidRDefault="00C711EA">
      <w:pPr>
        <w:spacing w:before="0" w:after="0"/>
      </w:pPr>
    </w:p>
  </w:endnote>
  <w:endnote w:id="2">
    <w:p w14:paraId="001F4A0A" w14:textId="4FFAFDA4" w:rsidR="00D90017" w:rsidRPr="00D90017" w:rsidRDefault="00D90017" w:rsidP="00023951">
      <w:pPr>
        <w:autoSpaceDE w:val="0"/>
        <w:autoSpaceDN w:val="0"/>
        <w:adjustRightInd w:val="0"/>
        <w:spacing w:before="0" w:after="0"/>
        <w:ind w:left="284" w:hanging="284"/>
        <w:rPr>
          <w:rFonts w:cs="Open Sans"/>
          <w:lang w:val="en-US"/>
        </w:rPr>
      </w:pPr>
      <w:r>
        <w:rPr>
          <w:rStyle w:val="EndnoteReference"/>
        </w:rPr>
        <w:endnoteRef/>
      </w:r>
      <w:r>
        <w:t xml:space="preserve"> </w:t>
      </w:r>
      <w:r w:rsidR="00023951">
        <w:tab/>
      </w:r>
      <w:r w:rsidRPr="00D90017">
        <w:rPr>
          <w:rFonts w:eastAsia="Times New Roman" w:cs="Open Sans"/>
          <w:color w:val="000000"/>
          <w:sz w:val="20"/>
          <w:szCs w:val="20"/>
        </w:rPr>
        <w:t xml:space="preserve">Australian Human Rights Commission, </w:t>
      </w:r>
      <w:proofErr w:type="spellStart"/>
      <w:r w:rsidRPr="00D90017">
        <w:rPr>
          <w:rFonts w:eastAsia="Times New Roman" w:cs="Open Sans"/>
          <w:color w:val="000000"/>
          <w:sz w:val="20"/>
          <w:szCs w:val="20"/>
        </w:rPr>
        <w:t>Respect@Work</w:t>
      </w:r>
      <w:proofErr w:type="spellEnd"/>
      <w:r w:rsidRPr="00D90017">
        <w:rPr>
          <w:rFonts w:eastAsia="Times New Roman" w:cs="Open Sans"/>
          <w:color w:val="000000"/>
          <w:sz w:val="20"/>
          <w:szCs w:val="20"/>
        </w:rPr>
        <w:t>: National Inquiry into Sexual Harassment in</w:t>
      </w:r>
      <w:r>
        <w:rPr>
          <w:rFonts w:eastAsia="Times New Roman" w:cs="Open Sans"/>
          <w:color w:val="000000"/>
          <w:sz w:val="20"/>
          <w:szCs w:val="20"/>
        </w:rPr>
        <w:t xml:space="preserve"> </w:t>
      </w:r>
      <w:r w:rsidRPr="00D90017">
        <w:rPr>
          <w:rFonts w:eastAsia="Times New Roman" w:cs="Open Sans"/>
          <w:color w:val="000000"/>
          <w:sz w:val="20"/>
          <w:szCs w:val="20"/>
        </w:rPr>
        <w:t xml:space="preserve">Australian Workplaces (2020) (Respect@Work report), 507 at </w:t>
      </w:r>
      <w:hyperlink r:id="rId1" w:history="1">
        <w:r w:rsidR="00A77222" w:rsidRPr="007023E8">
          <w:rPr>
            <w:rStyle w:val="Hyperlink"/>
            <w:rFonts w:eastAsia="Times New Roman" w:cs="Open Sans"/>
            <w:sz w:val="20"/>
            <w:szCs w:val="20"/>
          </w:rPr>
          <w:t>https://humanrights.gov.au/our-work/sex-discrimination/publications/respectwork-sexual-harassment-national-inquiry-report-2020</w:t>
        </w:r>
      </w:hyperlink>
      <w:r w:rsidR="00A77222">
        <w:rPr>
          <w:rFonts w:eastAsia="Times New Roman" w:cs="Open Sans"/>
          <w:color w:val="000000"/>
          <w:sz w:val="20"/>
          <w:szCs w:val="20"/>
        </w:rPr>
        <w:t xml:space="preserve"> </w:t>
      </w:r>
    </w:p>
  </w:endnote>
  <w:endnote w:id="3">
    <w:p w14:paraId="67037FDF" w14:textId="6AE16540" w:rsidR="00153A5E" w:rsidRPr="00153A5E" w:rsidRDefault="00153A5E" w:rsidP="00023951">
      <w:pPr>
        <w:pStyle w:val="EndnoteText"/>
        <w:ind w:left="284" w:hanging="284"/>
        <w:rPr>
          <w:lang w:val="en-US"/>
        </w:rPr>
      </w:pPr>
      <w:r>
        <w:rPr>
          <w:rStyle w:val="EndnoteReference"/>
        </w:rPr>
        <w:endnoteRef/>
      </w:r>
      <w:r>
        <w:t xml:space="preserve"> </w:t>
      </w:r>
      <w:r w:rsidR="00023951">
        <w:tab/>
      </w:r>
      <w:proofErr w:type="spellStart"/>
      <w:r w:rsidR="00587A7C">
        <w:rPr>
          <w:lang w:val="en-US"/>
        </w:rPr>
        <w:t>Respect@</w:t>
      </w:r>
      <w:r w:rsidR="00A21E9F">
        <w:rPr>
          <w:lang w:val="en-US"/>
        </w:rPr>
        <w:t>W</w:t>
      </w:r>
      <w:r w:rsidR="00587A7C">
        <w:rPr>
          <w:lang w:val="en-US"/>
        </w:rPr>
        <w:t>ork</w:t>
      </w:r>
      <w:proofErr w:type="spellEnd"/>
      <w:r w:rsidR="00587A7C">
        <w:rPr>
          <w:lang w:val="en-US"/>
        </w:rPr>
        <w:t xml:space="preserve"> report, </w:t>
      </w:r>
      <w:r w:rsidR="00A21E9F">
        <w:rPr>
          <w:lang w:val="en-US"/>
        </w:rPr>
        <w:t>507.</w:t>
      </w:r>
    </w:p>
  </w:endnote>
  <w:endnote w:id="4">
    <w:p w14:paraId="6247417E" w14:textId="7D6C8C2E" w:rsidR="004E466B" w:rsidRPr="007F4E5A" w:rsidRDefault="004E466B" w:rsidP="00023951">
      <w:pPr>
        <w:pStyle w:val="EndnoteText"/>
        <w:ind w:left="284" w:hanging="284"/>
        <w:rPr>
          <w:lang w:val="en-US"/>
        </w:rPr>
      </w:pPr>
      <w:r>
        <w:rPr>
          <w:rStyle w:val="EndnoteReference"/>
        </w:rPr>
        <w:endnoteRef/>
      </w:r>
      <w:r>
        <w:t xml:space="preserve"> </w:t>
      </w:r>
      <w:r w:rsidR="00023951">
        <w:tab/>
      </w:r>
      <w:r w:rsidR="00F96039">
        <w:rPr>
          <w:lang w:val="en-US"/>
        </w:rPr>
        <w:t xml:space="preserve">Submission to </w:t>
      </w:r>
      <w:r w:rsidR="000C7E7E">
        <w:t>Senate Legal and Constitutional Affairs Legislation Committee</w:t>
      </w:r>
      <w:r w:rsidR="00023951">
        <w:t xml:space="preserve">, </w:t>
      </w:r>
      <w:r w:rsidR="003B35F9">
        <w:t>Anti</w:t>
      </w:r>
      <w:r w:rsidR="00023951">
        <w:noBreakHyphen/>
      </w:r>
      <w:r w:rsidR="003B35F9">
        <w:t xml:space="preserve">Discrimination and Human Rights Legislation Amendment (Respect at Work) Bill 2022, </w:t>
      </w:r>
      <w:r w:rsidR="009821C0">
        <w:t>S</w:t>
      </w:r>
      <w:r w:rsidR="003B35F9">
        <w:t xml:space="preserve">ubmission 26 </w:t>
      </w:r>
      <w:r w:rsidR="009821C0">
        <w:t>(</w:t>
      </w:r>
      <w:r w:rsidR="00023951">
        <w:t xml:space="preserve">October 2022) </w:t>
      </w:r>
      <w:r w:rsidR="003B35F9">
        <w:t xml:space="preserve">at: </w:t>
      </w:r>
      <w:hyperlink r:id="rId2" w:history="1">
        <w:r w:rsidR="00F96039" w:rsidRPr="00326EE8">
          <w:rPr>
            <w:rStyle w:val="Hyperlink"/>
            <w:lang w:val="en-US"/>
          </w:rPr>
          <w:t>https://www.aph.gov.au/Parliamentary_Business/Committees/Senate/Legal_and_Constitutional_Affairs/RespectatWork2022/Submissions</w:t>
        </w:r>
      </w:hyperlink>
      <w:r w:rsidR="003B35F9">
        <w:rPr>
          <w:lang w:val="en-US"/>
        </w:rPr>
        <w:t>.</w:t>
      </w:r>
      <w:r w:rsidR="00F96039">
        <w:rPr>
          <w:lang w:val="en-US"/>
        </w:rPr>
        <w:t xml:space="preserve"> </w:t>
      </w:r>
    </w:p>
  </w:endnote>
  <w:endnote w:id="5">
    <w:p w14:paraId="1D2CB9BF" w14:textId="484ACACE" w:rsidR="008D73CD" w:rsidRPr="00023951" w:rsidRDefault="008D73CD" w:rsidP="00023951">
      <w:pPr>
        <w:autoSpaceDE w:val="0"/>
        <w:autoSpaceDN w:val="0"/>
        <w:adjustRightInd w:val="0"/>
        <w:spacing w:before="0" w:after="0"/>
        <w:ind w:left="284" w:hanging="284"/>
        <w:rPr>
          <w:rFonts w:eastAsia="Times New Roman" w:cs="Open Sans"/>
          <w:color w:val="000000"/>
          <w:sz w:val="20"/>
          <w:szCs w:val="20"/>
        </w:rPr>
      </w:pPr>
      <w:r>
        <w:rPr>
          <w:rStyle w:val="EndnoteReference"/>
        </w:rPr>
        <w:endnoteRef/>
      </w:r>
      <w:r>
        <w:t xml:space="preserve"> </w:t>
      </w:r>
      <w:r w:rsidR="00023951">
        <w:tab/>
      </w:r>
      <w:r w:rsidR="009811D7" w:rsidRPr="009821C0">
        <w:rPr>
          <w:rFonts w:eastAsia="Times New Roman" w:cs="Open Sans"/>
          <w:color w:val="000000"/>
          <w:sz w:val="20"/>
          <w:szCs w:val="20"/>
        </w:rPr>
        <w:t>Submission to</w:t>
      </w:r>
      <w:r w:rsidR="009811D7">
        <w:t xml:space="preserve"> </w:t>
      </w:r>
      <w:r w:rsidRPr="008D73CD">
        <w:rPr>
          <w:rFonts w:eastAsia="Times New Roman" w:cs="Open Sans"/>
          <w:color w:val="000000"/>
          <w:sz w:val="20"/>
          <w:szCs w:val="20"/>
        </w:rPr>
        <w:t>Attorney-General’s Department, Review into an appropriate cost model for</w:t>
      </w:r>
      <w:r>
        <w:rPr>
          <w:rFonts w:eastAsia="Times New Roman" w:cs="Open Sans"/>
          <w:color w:val="000000"/>
          <w:sz w:val="20"/>
          <w:szCs w:val="20"/>
        </w:rPr>
        <w:t xml:space="preserve"> </w:t>
      </w:r>
      <w:r w:rsidRPr="008D73CD">
        <w:rPr>
          <w:rFonts w:eastAsia="Times New Roman" w:cs="Open Sans"/>
          <w:color w:val="000000"/>
          <w:sz w:val="20"/>
          <w:szCs w:val="20"/>
        </w:rPr>
        <w:t xml:space="preserve">Commonwealth anti-discrimination laws </w:t>
      </w:r>
      <w:r w:rsidR="00023951">
        <w:rPr>
          <w:rFonts w:eastAsia="Times New Roman" w:cs="Open Sans"/>
          <w:color w:val="000000"/>
          <w:sz w:val="20"/>
          <w:szCs w:val="20"/>
        </w:rPr>
        <w:t>(April 2023</w:t>
      </w:r>
      <w:r w:rsidRPr="008D73CD">
        <w:rPr>
          <w:rFonts w:eastAsia="Times New Roman" w:cs="Open Sans"/>
          <w:color w:val="000000"/>
          <w:sz w:val="20"/>
          <w:szCs w:val="20"/>
        </w:rPr>
        <w:t>)</w:t>
      </w:r>
      <w:r w:rsidR="00023951">
        <w:rPr>
          <w:rFonts w:eastAsia="Times New Roman" w:cs="Open Sans"/>
          <w:color w:val="000000"/>
          <w:sz w:val="20"/>
          <w:szCs w:val="20"/>
        </w:rPr>
        <w:t xml:space="preserve">, </w:t>
      </w:r>
      <w:r w:rsidRPr="008D73CD">
        <w:rPr>
          <w:rFonts w:eastAsia="Times New Roman" w:cs="Open Sans"/>
          <w:color w:val="000000"/>
          <w:sz w:val="20"/>
          <w:szCs w:val="20"/>
        </w:rPr>
        <w:t>at</w:t>
      </w:r>
      <w:r w:rsidR="00023951">
        <w:rPr>
          <w:rFonts w:eastAsia="Times New Roman" w:cs="Open Sans"/>
          <w:color w:val="000000"/>
          <w:sz w:val="20"/>
          <w:szCs w:val="20"/>
        </w:rPr>
        <w:t xml:space="preserve"> </w:t>
      </w:r>
      <w:hyperlink r:id="rId3" w:history="1">
        <w:r w:rsidR="00023951" w:rsidRPr="00326EE8">
          <w:rPr>
            <w:rStyle w:val="Hyperlink"/>
            <w:rFonts w:eastAsia="Times New Roman" w:cs="Open Sans"/>
            <w:sz w:val="20"/>
            <w:szCs w:val="20"/>
          </w:rPr>
          <w:t>https://consultations.ag.gov.au/rights-and-protections/cost-model-anti-discrimination-laws/consultation/download_public_attachment?sqId=question-2022-01-06-6908678210-publishablefilesubquestion-1&amp;uuId=196811541</w:t>
        </w:r>
      </w:hyperlink>
      <w:r w:rsidRPr="00023951">
        <w:rPr>
          <w:rFonts w:eastAsia="Times New Roman" w:cs="Open Sans"/>
          <w:sz w:val="20"/>
          <w:szCs w:val="20"/>
        </w:rPr>
        <w:t xml:space="preserve">. </w:t>
      </w:r>
    </w:p>
  </w:endnote>
  <w:endnote w:id="6">
    <w:p w14:paraId="2F038311" w14:textId="434E8BD6" w:rsidR="00991454" w:rsidRPr="00991454" w:rsidRDefault="00991454" w:rsidP="00023951">
      <w:pPr>
        <w:pStyle w:val="EndnoteText"/>
        <w:ind w:left="284" w:hanging="284"/>
        <w:rPr>
          <w:lang w:val="en-US"/>
        </w:rPr>
      </w:pPr>
      <w:r>
        <w:rPr>
          <w:rStyle w:val="EndnoteReference"/>
        </w:rPr>
        <w:endnoteRef/>
      </w:r>
      <w:r>
        <w:t xml:space="preserve"> </w:t>
      </w:r>
      <w:r w:rsidR="00023951">
        <w:tab/>
      </w:r>
      <w:r w:rsidR="00587A7C">
        <w:rPr>
          <w:lang w:val="en-US"/>
        </w:rPr>
        <w:t xml:space="preserve">See, for example, </w:t>
      </w:r>
      <w:proofErr w:type="spellStart"/>
      <w:r w:rsidR="00A21E9F">
        <w:rPr>
          <w:lang w:val="en-US"/>
        </w:rPr>
        <w:t>Respect@Work</w:t>
      </w:r>
      <w:proofErr w:type="spellEnd"/>
      <w:r w:rsidR="00A21E9F">
        <w:rPr>
          <w:lang w:val="en-US"/>
        </w:rPr>
        <w:t xml:space="preserve"> report, 507.</w:t>
      </w:r>
    </w:p>
  </w:endnote>
  <w:endnote w:id="7">
    <w:p w14:paraId="75411F95" w14:textId="25DA400A" w:rsidR="00AD24D4" w:rsidRPr="00AD24D4" w:rsidRDefault="00AD24D4" w:rsidP="00023951">
      <w:pPr>
        <w:autoSpaceDE w:val="0"/>
        <w:autoSpaceDN w:val="0"/>
        <w:adjustRightInd w:val="0"/>
        <w:spacing w:before="0" w:after="0"/>
        <w:ind w:left="284" w:hanging="284"/>
        <w:rPr>
          <w:lang w:val="en-US"/>
        </w:rPr>
      </w:pPr>
      <w:r>
        <w:rPr>
          <w:rStyle w:val="EndnoteReference"/>
        </w:rPr>
        <w:endnoteRef/>
      </w:r>
      <w:r>
        <w:t xml:space="preserve"> </w:t>
      </w:r>
      <w:r w:rsidR="00023951">
        <w:tab/>
      </w:r>
      <w:r w:rsidRPr="00AD24D4">
        <w:rPr>
          <w:rFonts w:eastAsia="Times New Roman" w:cs="Open Sans"/>
          <w:color w:val="000000"/>
          <w:sz w:val="20"/>
          <w:szCs w:val="20"/>
        </w:rPr>
        <w:t>Australian Human Rights Commission, Free and Equal: A reform agenda for federal discrimination</w:t>
      </w:r>
      <w:r>
        <w:rPr>
          <w:rFonts w:eastAsia="Times New Roman" w:cs="Open Sans"/>
          <w:color w:val="000000"/>
          <w:sz w:val="20"/>
          <w:szCs w:val="20"/>
        </w:rPr>
        <w:t xml:space="preserve"> </w:t>
      </w:r>
      <w:r w:rsidRPr="00AD24D4">
        <w:rPr>
          <w:rFonts w:eastAsia="Times New Roman" w:cs="Open Sans"/>
          <w:color w:val="000000"/>
          <w:sz w:val="20"/>
          <w:szCs w:val="20"/>
        </w:rPr>
        <w:t>law — Position Paper (2021) at</w:t>
      </w:r>
      <w:r w:rsidR="008E0C31">
        <w:rPr>
          <w:rFonts w:eastAsia="Times New Roman" w:cs="Open Sans"/>
          <w:color w:val="0000FF"/>
          <w:sz w:val="20"/>
          <w:szCs w:val="20"/>
        </w:rPr>
        <w:t xml:space="preserve"> </w:t>
      </w:r>
      <w:hyperlink r:id="rId4" w:history="1">
        <w:r w:rsidR="008E0C31" w:rsidRPr="007023E8">
          <w:rPr>
            <w:rStyle w:val="Hyperlink"/>
            <w:rFonts w:eastAsia="Times New Roman" w:cs="Open Sans"/>
            <w:sz w:val="20"/>
            <w:szCs w:val="20"/>
          </w:rPr>
          <w:t>https://humanrights.gov.au/our-work/rights-and-freedoms/publications/free-and-equal-reform-agenda-federal-discrimination-laws</w:t>
        </w:r>
      </w:hyperlink>
      <w:r w:rsidRPr="00AD24D4">
        <w:rPr>
          <w:rFonts w:eastAsia="Times New Roman" w:cs="Open Sans"/>
          <w:color w:val="000000"/>
          <w:sz w:val="20"/>
          <w:szCs w:val="20"/>
        </w:rPr>
        <w:t>,</w:t>
      </w:r>
      <w:r>
        <w:rPr>
          <w:rFonts w:eastAsia="Times New Roman" w:cs="Open Sans"/>
          <w:color w:val="000000"/>
          <w:sz w:val="20"/>
          <w:szCs w:val="20"/>
        </w:rPr>
        <w:t xml:space="preserve"> </w:t>
      </w:r>
      <w:r w:rsidRPr="00AD24D4">
        <w:rPr>
          <w:rFonts w:eastAsia="Times New Roman" w:cs="Open Sans"/>
          <w:color w:val="000000"/>
          <w:sz w:val="20"/>
          <w:szCs w:val="20"/>
        </w:rPr>
        <w:t>191</w:t>
      </w:r>
      <w:r w:rsidR="00E304D6">
        <w:rPr>
          <w:rFonts w:eastAsia="Times New Roman" w:cs="Open Sans"/>
          <w:color w:val="000000"/>
          <w:sz w:val="20"/>
          <w:szCs w:val="20"/>
        </w:rPr>
        <w:noBreakHyphen/>
      </w:r>
      <w:r w:rsidRPr="00AD24D4">
        <w:rPr>
          <w:rFonts w:eastAsia="Times New Roman" w:cs="Open Sans"/>
          <w:color w:val="000000"/>
          <w:sz w:val="20"/>
          <w:szCs w:val="20"/>
        </w:rPr>
        <w:t>201.</w:t>
      </w:r>
      <w:r>
        <w:rPr>
          <w:rFonts w:ascii="CIDFont+F1" w:eastAsia="Times New Roman" w:hAnsi="CIDFont+F1" w:cs="CIDFont+F1"/>
          <w:color w:val="000000"/>
        </w:rPr>
        <w:t xml:space="preserve"> </w:t>
      </w:r>
    </w:p>
  </w:endnote>
  <w:endnote w:id="8">
    <w:p w14:paraId="081CB8FF" w14:textId="40D794FA" w:rsidR="003A5836" w:rsidRPr="003A5836" w:rsidRDefault="003A5836" w:rsidP="00023951">
      <w:pPr>
        <w:pStyle w:val="EndnoteText"/>
        <w:ind w:left="284" w:hanging="284"/>
        <w:rPr>
          <w:lang w:val="en-US"/>
        </w:rPr>
      </w:pPr>
      <w:r>
        <w:rPr>
          <w:rStyle w:val="EndnoteReference"/>
        </w:rPr>
        <w:endnoteRef/>
      </w:r>
      <w:r>
        <w:t xml:space="preserve"> </w:t>
      </w:r>
      <w:r w:rsidR="00023951">
        <w:tab/>
      </w:r>
      <w:r w:rsidR="00A10A89">
        <w:rPr>
          <w:lang w:val="en-US"/>
        </w:rPr>
        <w:t xml:space="preserve">Explanatory </w:t>
      </w:r>
      <w:r w:rsidR="001D0FC7">
        <w:rPr>
          <w:lang w:val="en-US"/>
        </w:rPr>
        <w:t>Memorandum, Australian Human Rights Commission Amendment (Costs Protection) Bill 2023</w:t>
      </w:r>
      <w:r w:rsidR="00A33307">
        <w:rPr>
          <w:lang w:val="en-US"/>
        </w:rPr>
        <w:t xml:space="preserve"> </w:t>
      </w:r>
      <w:r w:rsidR="00583877">
        <w:rPr>
          <w:lang w:val="en-US"/>
        </w:rPr>
        <w:t xml:space="preserve">[13] at: </w:t>
      </w:r>
      <w:hyperlink r:id="rId5" w:history="1">
        <w:r w:rsidR="00067906" w:rsidRPr="007023E8">
          <w:rPr>
            <w:rStyle w:val="Hyperlink"/>
            <w:lang w:val="en-US"/>
          </w:rPr>
          <w:t>https://parlinfo.aph.gov.au/parlInfo/download/legislation/ems/r7110_ems_e83e5b49-1a08-484a-97d2-ee6f3ce685bc/upload_pdf/JC011446.pdf;fileType=application%2Fpdf</w:t>
        </w:r>
      </w:hyperlink>
      <w:r w:rsidR="00067906">
        <w:rPr>
          <w:lang w:val="en-US"/>
        </w:rPr>
        <w:t xml:space="preserve"> </w:t>
      </w:r>
    </w:p>
  </w:endnote>
  <w:endnote w:id="9">
    <w:p w14:paraId="594AE61F" w14:textId="6A3BDB0E" w:rsidR="006D7FC6" w:rsidRPr="006D7FC6" w:rsidRDefault="006D7FC6" w:rsidP="00023951">
      <w:pPr>
        <w:pStyle w:val="EndnoteText"/>
        <w:ind w:left="284" w:hanging="284"/>
        <w:rPr>
          <w:lang w:val="en-US"/>
        </w:rPr>
      </w:pPr>
      <w:r>
        <w:rPr>
          <w:rStyle w:val="EndnoteReference"/>
        </w:rPr>
        <w:endnoteRef/>
      </w:r>
      <w:r>
        <w:t xml:space="preserve"> </w:t>
      </w:r>
      <w:r w:rsidR="00023951">
        <w:tab/>
      </w:r>
      <w:r w:rsidR="00C3672E" w:rsidRPr="00343CC5">
        <w:rPr>
          <w:i/>
          <w:iCs/>
          <w:lang w:val="en-US"/>
        </w:rPr>
        <w:t>Fair Work Act 2009</w:t>
      </w:r>
      <w:r w:rsidR="00C3672E" w:rsidRPr="00343CC5">
        <w:rPr>
          <w:lang w:val="en-US"/>
        </w:rPr>
        <w:t xml:space="preserve"> (</w:t>
      </w:r>
      <w:proofErr w:type="spellStart"/>
      <w:r w:rsidR="00C3672E" w:rsidRPr="00343CC5">
        <w:rPr>
          <w:lang w:val="en-US"/>
        </w:rPr>
        <w:t>Cth</w:t>
      </w:r>
      <w:proofErr w:type="spellEnd"/>
      <w:r w:rsidR="00C3672E" w:rsidRPr="00343CC5">
        <w:rPr>
          <w:lang w:val="en-US"/>
        </w:rPr>
        <w:t xml:space="preserve">), </w:t>
      </w:r>
      <w:r w:rsidR="00C3672E" w:rsidRPr="00343CC5">
        <w:rPr>
          <w:rFonts w:cs="Open Sans"/>
        </w:rPr>
        <w:t>s 570(2)(</w:t>
      </w:r>
      <w:r w:rsidR="00C3672E">
        <w:rPr>
          <w:rFonts w:cs="Open Sans"/>
        </w:rPr>
        <w:t>b</w:t>
      </w:r>
      <w:r w:rsidR="00C3672E" w:rsidRPr="00343CC5">
        <w:rPr>
          <w:rFonts w:cs="Open Sans"/>
        </w:rPr>
        <w:t>)</w:t>
      </w:r>
      <w:r w:rsidR="00C3672E">
        <w:rPr>
          <w:rFonts w:cs="Open Sans"/>
        </w:rPr>
        <w:t>; s</w:t>
      </w:r>
      <w:r>
        <w:rPr>
          <w:lang w:val="en-US"/>
        </w:rPr>
        <w:t xml:space="preserve">ee, for example, </w:t>
      </w:r>
      <w:r w:rsidRPr="006D7FC6">
        <w:rPr>
          <w:rFonts w:cs="Open Sans"/>
          <w:i/>
          <w:iCs/>
        </w:rPr>
        <w:t>Adamczak v Alsco Pty Ltd (No. 4)</w:t>
      </w:r>
      <w:r w:rsidRPr="006D7FC6">
        <w:rPr>
          <w:rFonts w:cs="Open Sans"/>
        </w:rPr>
        <w:t xml:space="preserve"> [2019] FCCA 7.</w:t>
      </w:r>
    </w:p>
  </w:endnote>
  <w:endnote w:id="10">
    <w:p w14:paraId="6EE15A0C" w14:textId="297B1064" w:rsidR="00512D46" w:rsidRPr="003A5836" w:rsidRDefault="00512D46" w:rsidP="00023951">
      <w:pPr>
        <w:pStyle w:val="EndnoteText"/>
        <w:ind w:left="284" w:hanging="284"/>
        <w:rPr>
          <w:lang w:val="en-US"/>
        </w:rPr>
      </w:pPr>
      <w:r>
        <w:rPr>
          <w:rStyle w:val="EndnoteReference"/>
        </w:rPr>
        <w:endnoteRef/>
      </w:r>
      <w:r>
        <w:t xml:space="preserve"> </w:t>
      </w:r>
      <w:r w:rsidR="00023951">
        <w:tab/>
      </w:r>
      <w:r>
        <w:rPr>
          <w:lang w:val="en-US"/>
        </w:rPr>
        <w:t xml:space="preserve">Explanatory Memorandum, Australian Human Rights Commission Amendment (Costs Protection) Bill 2023 [13] at: </w:t>
      </w:r>
      <w:hyperlink r:id="rId6" w:history="1">
        <w:r w:rsidRPr="007023E8">
          <w:rPr>
            <w:rStyle w:val="Hyperlink"/>
            <w:lang w:val="en-US"/>
          </w:rPr>
          <w:t>https://parlinfo.aph.gov.au/parlInfo/download/legislation/ems/r7110_ems_e83e5b49-1a08-484a-97d2-ee6f3ce685bc/upload_pdf/JC011446.pdf;fileType=application%2Fpdf</w:t>
        </w:r>
      </w:hyperlink>
      <w:r>
        <w:rPr>
          <w:lang w:val="en-US"/>
        </w:rPr>
        <w:t xml:space="preserve"> </w:t>
      </w:r>
    </w:p>
  </w:endnote>
  <w:endnote w:id="11">
    <w:p w14:paraId="4ACE36EE" w14:textId="2BFAD06D" w:rsidR="006C0DB3" w:rsidRPr="006C0DB3" w:rsidRDefault="006C0DB3" w:rsidP="00023951">
      <w:pPr>
        <w:pStyle w:val="EndnoteText"/>
        <w:ind w:left="284" w:hanging="284"/>
        <w:rPr>
          <w:lang w:val="en-US"/>
        </w:rPr>
      </w:pPr>
      <w:r>
        <w:rPr>
          <w:rStyle w:val="EndnoteReference"/>
        </w:rPr>
        <w:endnoteRef/>
      </w:r>
      <w:r>
        <w:t xml:space="preserve"> </w:t>
      </w:r>
      <w:r w:rsidR="00023951">
        <w:tab/>
      </w:r>
      <w:r w:rsidRPr="00343CC5">
        <w:rPr>
          <w:i/>
          <w:iCs/>
          <w:lang w:val="en-US"/>
        </w:rPr>
        <w:t xml:space="preserve">Fair Work Act </w:t>
      </w:r>
      <w:r w:rsidR="00343CC5" w:rsidRPr="00343CC5">
        <w:rPr>
          <w:i/>
          <w:iCs/>
          <w:lang w:val="en-US"/>
        </w:rPr>
        <w:t>2009</w:t>
      </w:r>
      <w:r w:rsidR="00343CC5" w:rsidRPr="00343CC5">
        <w:rPr>
          <w:lang w:val="en-US"/>
        </w:rPr>
        <w:t xml:space="preserve"> (</w:t>
      </w:r>
      <w:proofErr w:type="spellStart"/>
      <w:r w:rsidR="00343CC5" w:rsidRPr="00343CC5">
        <w:rPr>
          <w:lang w:val="en-US"/>
        </w:rPr>
        <w:t>Cth</w:t>
      </w:r>
      <w:proofErr w:type="spellEnd"/>
      <w:r w:rsidR="00343CC5" w:rsidRPr="00343CC5">
        <w:rPr>
          <w:lang w:val="en-US"/>
        </w:rPr>
        <w:t xml:space="preserve">), </w:t>
      </w:r>
      <w:r w:rsidR="00343CC5" w:rsidRPr="00343CC5">
        <w:rPr>
          <w:rFonts w:cs="Open Sans"/>
        </w:rPr>
        <w:t>s 570(2)(c).</w:t>
      </w:r>
    </w:p>
  </w:endnote>
  <w:endnote w:id="12">
    <w:p w14:paraId="7075A939" w14:textId="501ABADE" w:rsidR="00971C51" w:rsidRPr="00971C51" w:rsidRDefault="00971C51" w:rsidP="00023951">
      <w:pPr>
        <w:pStyle w:val="EndnoteText"/>
        <w:ind w:left="284" w:hanging="284"/>
        <w:rPr>
          <w:b/>
          <w:bCs/>
          <w:lang w:val="en-US"/>
        </w:rPr>
      </w:pPr>
      <w:r>
        <w:rPr>
          <w:rStyle w:val="EndnoteReference"/>
        </w:rPr>
        <w:endnoteRef/>
      </w:r>
      <w:r>
        <w:t xml:space="preserve"> </w:t>
      </w:r>
      <w:r w:rsidR="00023951">
        <w:tab/>
      </w:r>
      <w:r w:rsidR="00C3672E" w:rsidRPr="00343CC5">
        <w:rPr>
          <w:i/>
          <w:iCs/>
          <w:lang w:val="en-US"/>
        </w:rPr>
        <w:t>Fair Work Act 2009</w:t>
      </w:r>
      <w:r w:rsidR="00C3672E" w:rsidRPr="00343CC5">
        <w:rPr>
          <w:lang w:val="en-US"/>
        </w:rPr>
        <w:t xml:space="preserve"> (</w:t>
      </w:r>
      <w:proofErr w:type="spellStart"/>
      <w:r w:rsidR="00C3672E" w:rsidRPr="00343CC5">
        <w:rPr>
          <w:lang w:val="en-US"/>
        </w:rPr>
        <w:t>Cth</w:t>
      </w:r>
      <w:proofErr w:type="spellEnd"/>
      <w:r w:rsidR="00C3672E" w:rsidRPr="00343CC5">
        <w:rPr>
          <w:lang w:val="en-US"/>
        </w:rPr>
        <w:t xml:space="preserve">), </w:t>
      </w:r>
      <w:r w:rsidR="00C3672E" w:rsidRPr="00343CC5">
        <w:rPr>
          <w:rFonts w:cs="Open Sans"/>
        </w:rPr>
        <w:t>s 570(2)(</w:t>
      </w:r>
      <w:r w:rsidR="00C3672E">
        <w:rPr>
          <w:rFonts w:cs="Open Sans"/>
        </w:rPr>
        <w:t>b</w:t>
      </w:r>
      <w:r w:rsidR="00C3672E" w:rsidRPr="00343CC5">
        <w:rPr>
          <w:rFonts w:cs="Open Sans"/>
        </w:rPr>
        <w:t>).</w:t>
      </w:r>
    </w:p>
  </w:endnote>
  <w:endnote w:id="13">
    <w:p w14:paraId="410EC576" w14:textId="532B4123" w:rsidR="00C54FEB" w:rsidRPr="00230759" w:rsidRDefault="00C54FEB" w:rsidP="00023951">
      <w:pPr>
        <w:pStyle w:val="EndnoteText"/>
        <w:ind w:left="284" w:hanging="284"/>
        <w:rPr>
          <w:lang w:val="en-US"/>
        </w:rPr>
      </w:pPr>
      <w:r>
        <w:rPr>
          <w:rStyle w:val="EndnoteReference"/>
        </w:rPr>
        <w:endnoteRef/>
      </w:r>
      <w:r>
        <w:t xml:space="preserve"> </w:t>
      </w:r>
      <w:r w:rsidR="00023951">
        <w:tab/>
      </w:r>
      <w:r>
        <w:rPr>
          <w:lang w:val="en-US"/>
        </w:rPr>
        <w:t xml:space="preserve">Explanatory Memorandum, Australian Human Rights Commission Amendment (Costs Protection) Bill 2023 [16] at: </w:t>
      </w:r>
      <w:hyperlink r:id="rId7" w:history="1">
        <w:r w:rsidRPr="007023E8">
          <w:rPr>
            <w:rStyle w:val="Hyperlink"/>
            <w:lang w:val="en-US"/>
          </w:rPr>
          <w:t>https://parlinfo.aph.gov.au/parlInfo/download/legislation/ems/r7110_ems_e83e5b49-1a08-484a-97d2-ee6f3ce685bc/upload_pdf/JC011446.pdf;fileType=application%2Fpdf</w:t>
        </w:r>
      </w:hyperlink>
    </w:p>
  </w:endnote>
  <w:endnote w:id="14">
    <w:p w14:paraId="6EBA1B6D" w14:textId="37F3507B" w:rsidR="00C54FEB" w:rsidRPr="0012369A" w:rsidRDefault="00C54FEB" w:rsidP="00023951">
      <w:pPr>
        <w:pStyle w:val="EndnoteText"/>
        <w:ind w:left="284" w:hanging="284"/>
        <w:rPr>
          <w:lang w:val="en-US"/>
        </w:rPr>
      </w:pPr>
      <w:r>
        <w:rPr>
          <w:rStyle w:val="EndnoteReference"/>
        </w:rPr>
        <w:endnoteRef/>
      </w:r>
      <w:r>
        <w:t xml:space="preserve"> </w:t>
      </w:r>
      <w:r w:rsidR="00023951">
        <w:tab/>
      </w:r>
      <w:r>
        <w:t>Australian Human Rights Commission Amendment (Costs Protection) Bill 2023, s 46</w:t>
      </w:r>
      <w:proofErr w:type="gramStart"/>
      <w:r>
        <w:t>PSA(</w:t>
      </w:r>
      <w:proofErr w:type="gramEnd"/>
      <w:r>
        <w:t>4).</w:t>
      </w:r>
    </w:p>
  </w:endnote>
  <w:endnote w:id="15">
    <w:p w14:paraId="74BB2373" w14:textId="3D6EC331" w:rsidR="00C54FEB" w:rsidRDefault="00C54FEB" w:rsidP="00023951">
      <w:pPr>
        <w:pStyle w:val="EndnoteText"/>
        <w:ind w:left="284" w:hanging="284"/>
      </w:pPr>
      <w:r>
        <w:rPr>
          <w:rStyle w:val="EndnoteReference"/>
        </w:rPr>
        <w:endnoteRef/>
      </w:r>
      <w:r>
        <w:t xml:space="preserve"> </w:t>
      </w:r>
      <w:r w:rsidR="00023951">
        <w:tab/>
      </w:r>
      <w:r>
        <w:rPr>
          <w:lang w:val="en-US"/>
        </w:rPr>
        <w:t xml:space="preserve">Explanatory Memorandum, Australian Human Rights Commission Amendment (Costs Protection) Bill 2023 [13] at: </w:t>
      </w:r>
      <w:hyperlink r:id="rId8" w:history="1">
        <w:r w:rsidRPr="007023E8">
          <w:rPr>
            <w:rStyle w:val="Hyperlink"/>
            <w:lang w:val="en-US"/>
          </w:rPr>
          <w:t>https://parlinfo.aph.gov.au/parlInfo/download/legislation/ems/r7110_ems_e83e5b49-1a08-484a-97d2-ee6f3ce685bc/upload_pdf/JC011446.pdf;fileType=application%2Fpdf</w:t>
        </w:r>
      </w:hyperlink>
    </w:p>
  </w:endnote>
  <w:endnote w:id="16">
    <w:p w14:paraId="4A4BE08C" w14:textId="5ADD57A0" w:rsidR="00C54FEB" w:rsidRPr="0012369A" w:rsidRDefault="00C54FEB" w:rsidP="00023951">
      <w:pPr>
        <w:pStyle w:val="EndnoteText"/>
        <w:ind w:left="284" w:hanging="284"/>
        <w:rPr>
          <w:lang w:val="en-US"/>
        </w:rPr>
      </w:pPr>
      <w:r>
        <w:rPr>
          <w:rStyle w:val="EndnoteReference"/>
        </w:rPr>
        <w:endnoteRef/>
      </w:r>
      <w:r>
        <w:t xml:space="preserve"> </w:t>
      </w:r>
      <w:r w:rsidR="00023951">
        <w:tab/>
      </w:r>
      <w:r>
        <w:t xml:space="preserve">Australian Human Rights Commission Amendment (Costs Protection) Bill 2023, s 46PSA(6)(b). Section 46PSA(6)(a) also provides an exception for where ‘the applicant instituted the proceedings vexatiously or without reasonable cause’, however the test for this exception would not be met if the applicant was partially successful. </w:t>
      </w:r>
    </w:p>
  </w:endnote>
  <w:endnote w:id="17">
    <w:p w14:paraId="5BF238BE" w14:textId="14F8752C" w:rsidR="00C54FEB" w:rsidRPr="00BD510F" w:rsidRDefault="00C54FEB" w:rsidP="00023951">
      <w:pPr>
        <w:pStyle w:val="EndnoteText"/>
        <w:ind w:left="284" w:hanging="284"/>
        <w:rPr>
          <w:lang w:val="en-US"/>
        </w:rPr>
      </w:pPr>
      <w:r>
        <w:rPr>
          <w:rStyle w:val="EndnoteReference"/>
        </w:rPr>
        <w:endnoteRef/>
      </w:r>
      <w:r>
        <w:t xml:space="preserve"> </w:t>
      </w:r>
      <w:r w:rsidR="00023951">
        <w:tab/>
      </w:r>
      <w:r>
        <w:t xml:space="preserve">Section 46PSA(6)(a) requires an applicant to have ‘instituted the proceedings vexatiously or without reasonable cause’. Section 46PSA(6)(b) </w:t>
      </w:r>
      <w:r w:rsidR="00F43D93">
        <w:t>provides an exception for</w:t>
      </w:r>
      <w:r w:rsidR="00891D6A">
        <w:t xml:space="preserve"> where an</w:t>
      </w:r>
      <w:r>
        <w:t xml:space="preserve"> applicant’s ‘unreasonable act or omission’ caused the respondent to incur the costs.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6A8" w14:textId="77777777" w:rsidR="00AC636D" w:rsidRPr="000465F1" w:rsidRDefault="00AC636D" w:rsidP="000465F1">
    <w:pPr>
      <w:pStyle w:val="Footer"/>
    </w:pPr>
    <w:r w:rsidRPr="000465F1">
      <w:t>ABN 47 996 232 602</w:t>
    </w:r>
  </w:p>
  <w:p w14:paraId="5961B848" w14:textId="77777777" w:rsidR="00AC636D" w:rsidRPr="000465F1" w:rsidRDefault="00AC636D" w:rsidP="000465F1">
    <w:pPr>
      <w:pStyle w:val="Footer"/>
    </w:pPr>
    <w:r w:rsidRPr="000465F1">
      <w:t>Level 3, 175 Pitt Street, Sydney NSW 2000</w:t>
    </w:r>
  </w:p>
  <w:p w14:paraId="14E7866A" w14:textId="77777777" w:rsidR="00AC636D" w:rsidRPr="000465F1" w:rsidRDefault="00AC636D" w:rsidP="000465F1">
    <w:pPr>
      <w:pStyle w:val="Footer"/>
    </w:pPr>
    <w:r w:rsidRPr="000465F1">
      <w:t>GPO Box 5218, Sydney NSW 2001</w:t>
    </w:r>
  </w:p>
  <w:p w14:paraId="111C4556" w14:textId="77777777" w:rsidR="00AC636D" w:rsidRPr="000465F1" w:rsidRDefault="00AC636D" w:rsidP="000465F1">
    <w:pPr>
      <w:pStyle w:val="Footer"/>
    </w:pPr>
    <w:r w:rsidRPr="000465F1">
      <w:t>General enquiries 1300 369 711</w:t>
    </w:r>
  </w:p>
  <w:p w14:paraId="049CA9E5" w14:textId="77777777" w:rsidR="00AC636D" w:rsidRPr="000465F1" w:rsidRDefault="00AC636D" w:rsidP="000465F1">
    <w:pPr>
      <w:pStyle w:val="Footer"/>
    </w:pPr>
    <w:r w:rsidRPr="000465F1">
      <w:t>Complaints info line 1300 656 419</w:t>
    </w:r>
  </w:p>
  <w:p w14:paraId="092E6BC5"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A34E"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AF4B"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DD96"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7D90" w14:textId="77777777" w:rsidR="00C711EA" w:rsidRDefault="00C711EA" w:rsidP="00F14C6D">
      <w:r>
        <w:separator/>
      </w:r>
    </w:p>
  </w:footnote>
  <w:footnote w:type="continuationSeparator" w:id="0">
    <w:p w14:paraId="27177F3E" w14:textId="77777777" w:rsidR="00C711EA" w:rsidRDefault="00C711EA" w:rsidP="00F14C6D">
      <w:r>
        <w:continuationSeparator/>
      </w:r>
    </w:p>
  </w:footnote>
  <w:footnote w:type="continuationNotice" w:id="1">
    <w:p w14:paraId="0166C981" w14:textId="77777777" w:rsidR="00C711EA" w:rsidRDefault="00C711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EBCC" w14:textId="77777777" w:rsidR="00BF6406" w:rsidRPr="000465F1" w:rsidRDefault="00000000" w:rsidP="000465F1">
    <w:pPr>
      <w:pStyle w:val="Header"/>
    </w:pPr>
    <w:r>
      <w:pict w14:anchorId="436CD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311DBD8A"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423C" w14:textId="77777777" w:rsidR="00B34946" w:rsidRPr="000465F1" w:rsidRDefault="00000000" w:rsidP="000465F1">
    <w:r>
      <w:pict w14:anchorId="42593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E3CF60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63AA" w14:textId="77777777" w:rsidR="00CC2AA0" w:rsidRDefault="00000000" w:rsidP="002012F7">
    <w:pPr>
      <w:pStyle w:val="Header"/>
    </w:pPr>
    <w:r>
      <w:pict w14:anchorId="73087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2600F8DE">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1FA73818" w14:textId="77777777" w:rsidR="008B3899" w:rsidRDefault="008B3899" w:rsidP="002012F7">
    <w:pPr>
      <w:pStyle w:val="Header"/>
    </w:pPr>
  </w:p>
  <w:p w14:paraId="6D1FA132"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5814" w14:textId="77777777" w:rsidR="0015239E" w:rsidRPr="000465F1" w:rsidRDefault="0015239E" w:rsidP="0015239E">
    <w:pPr>
      <w:pStyle w:val="Header"/>
    </w:pPr>
    <w:r w:rsidRPr="000465F1">
      <w:t>Australian Human Rights Commission</w:t>
    </w:r>
  </w:p>
  <w:p w14:paraId="3EECA99E" w14:textId="6EB228D2" w:rsidR="00C00733" w:rsidRDefault="000D1A7C" w:rsidP="00C00733">
    <w:pPr>
      <w:pStyle w:val="HeaderDocumentDate"/>
    </w:pPr>
    <w:r>
      <w:rPr>
        <w:rStyle w:val="HeaderDocumentTitle"/>
      </w:rPr>
      <w:t>Australian Human Rights Commission Amendment (Costs Protection) Bill 2023</w:t>
    </w:r>
    <w:r w:rsidR="00C00733" w:rsidRPr="001F62CC">
      <w:rPr>
        <w:rStyle w:val="HeaderDocumentTitle"/>
      </w:rPr>
      <w:t>,</w:t>
    </w:r>
    <w:r w:rsidR="00C00733">
      <w:t xml:space="preserve"> </w:t>
    </w:r>
    <w:r w:rsidR="00A0040E" w:rsidRPr="00A0040E">
      <w:rPr>
        <w:rStyle w:val="HeaderDocumentTitle"/>
        <w:b w:val="0"/>
        <w:bCs/>
      </w:rPr>
      <w:t>19 December 2023</w:t>
    </w:r>
  </w:p>
  <w:p w14:paraId="17CFF5A2" w14:textId="77777777" w:rsidR="000D1A7C" w:rsidRPr="000465F1" w:rsidRDefault="000D1A7C"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ADB2" w14:textId="77777777" w:rsidR="00BF6406" w:rsidRPr="000465F1" w:rsidRDefault="00BF6406" w:rsidP="00CA5D90">
    <w:pPr>
      <w:pStyle w:val="Header"/>
    </w:pPr>
    <w:bookmarkStart w:id="55" w:name="_Hlk514672172"/>
    <w:bookmarkStart w:id="56" w:name="_Hlk514672173"/>
    <w:r w:rsidRPr="000465F1">
      <w:t>Australian Human Rights Commission</w:t>
    </w:r>
  </w:p>
  <w:bookmarkEnd w:id="55"/>
  <w:bookmarkEnd w:id="56"/>
  <w:p w14:paraId="67524E44" w14:textId="33B18DFF" w:rsidR="00C00733" w:rsidRDefault="000D1A7C" w:rsidP="00C00733">
    <w:pPr>
      <w:pStyle w:val="HeaderDocumentDate"/>
    </w:pPr>
    <w:r>
      <w:rPr>
        <w:rStyle w:val="HeaderDocumentTitle"/>
      </w:rPr>
      <w:t>Australian Human Rights Commission Amendment (Costs Protection) Bill 2023</w:t>
    </w:r>
    <w:r w:rsidR="00C00733" w:rsidRPr="001F62CC">
      <w:rPr>
        <w:rStyle w:val="HeaderDocumentTitle"/>
      </w:rPr>
      <w:t>,</w:t>
    </w:r>
    <w:r w:rsidR="00C00733">
      <w:t xml:space="preserve"> </w:t>
    </w:r>
    <w:r w:rsidR="00A0040E" w:rsidRPr="00A0040E">
      <w:rPr>
        <w:rStyle w:val="HeaderDocumentTitle"/>
        <w:b w:val="0"/>
        <w:bCs/>
      </w:rPr>
      <w:t>19 December 2023</w:t>
    </w:r>
  </w:p>
  <w:p w14:paraId="7263B017" w14:textId="77777777" w:rsidR="000D1A7C" w:rsidRPr="000465F1" w:rsidRDefault="000D1A7C"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732D" w14:textId="77777777" w:rsidR="0063009F" w:rsidRPr="000465F1" w:rsidRDefault="0063009F" w:rsidP="0063009F">
    <w:pPr>
      <w:pStyle w:val="Header"/>
    </w:pPr>
    <w:r w:rsidRPr="000465F1">
      <w:t>Australian Human Rights Commission</w:t>
    </w:r>
  </w:p>
  <w:p w14:paraId="42A36E3F" w14:textId="0A1E9AE8" w:rsidR="0063009F" w:rsidRDefault="00AE1CC1" w:rsidP="0063009F">
    <w:pPr>
      <w:pStyle w:val="HeaderDocumentDate"/>
    </w:pPr>
    <w:r>
      <w:rPr>
        <w:rStyle w:val="HeaderDocumentTitle"/>
      </w:rPr>
      <w:t>Australian Human Rights Commission Amendment (Costs Protection) Bill 2023</w:t>
    </w:r>
    <w:r w:rsidR="0063009F" w:rsidRPr="001F62CC">
      <w:rPr>
        <w:rStyle w:val="HeaderDocumentTitle"/>
      </w:rPr>
      <w:t>,</w:t>
    </w:r>
    <w:r w:rsidR="00A0040E">
      <w:rPr>
        <w:rStyle w:val="HeaderDocumentTitle"/>
      </w:rPr>
      <w:t xml:space="preserve"> </w:t>
    </w:r>
    <w:r w:rsidR="00A0040E" w:rsidRPr="00A0040E">
      <w:rPr>
        <w:rStyle w:val="HeaderDocumentTitle"/>
        <w:b w:val="0"/>
        <w:bCs/>
      </w:rPr>
      <w:t>19 December 2023</w:t>
    </w:r>
    <w:r w:rsidR="0063009F">
      <w:t xml:space="preserve"> </w:t>
    </w:r>
  </w:p>
  <w:p w14:paraId="52298F07" w14:textId="77777777" w:rsidR="000D1A7C" w:rsidRPr="000465F1" w:rsidRDefault="000D1A7C"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C43E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320E0A"/>
    <w:multiLevelType w:val="hybridMultilevel"/>
    <w:tmpl w:val="960AA2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A75D65"/>
    <w:multiLevelType w:val="hybridMultilevel"/>
    <w:tmpl w:val="5C8A99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C204E3"/>
    <w:multiLevelType w:val="hybridMultilevel"/>
    <w:tmpl w:val="2EC485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3042669">
    <w:abstractNumId w:val="17"/>
  </w:num>
  <w:num w:numId="2" w16cid:durableId="1690907459">
    <w:abstractNumId w:val="26"/>
  </w:num>
  <w:num w:numId="3" w16cid:durableId="1404185882">
    <w:abstractNumId w:val="31"/>
  </w:num>
  <w:num w:numId="4" w16cid:durableId="67579175">
    <w:abstractNumId w:val="16"/>
  </w:num>
  <w:num w:numId="5" w16cid:durableId="10824095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24158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3248966">
    <w:abstractNumId w:val="9"/>
  </w:num>
  <w:num w:numId="8" w16cid:durableId="296225294">
    <w:abstractNumId w:val="7"/>
  </w:num>
  <w:num w:numId="9" w16cid:durableId="1784374506">
    <w:abstractNumId w:val="6"/>
  </w:num>
  <w:num w:numId="10" w16cid:durableId="1920362560">
    <w:abstractNumId w:val="5"/>
  </w:num>
  <w:num w:numId="11" w16cid:durableId="1443719424">
    <w:abstractNumId w:val="4"/>
  </w:num>
  <w:num w:numId="12" w16cid:durableId="1705475468">
    <w:abstractNumId w:val="8"/>
  </w:num>
  <w:num w:numId="13" w16cid:durableId="113255291">
    <w:abstractNumId w:val="1"/>
  </w:num>
  <w:num w:numId="14" w16cid:durableId="303121738">
    <w:abstractNumId w:val="0"/>
  </w:num>
  <w:num w:numId="15" w16cid:durableId="1665085343">
    <w:abstractNumId w:val="3"/>
  </w:num>
  <w:num w:numId="16" w16cid:durableId="75368003">
    <w:abstractNumId w:val="2"/>
  </w:num>
  <w:num w:numId="17" w16cid:durableId="1342663687">
    <w:abstractNumId w:val="29"/>
  </w:num>
  <w:num w:numId="18" w16cid:durableId="1196305869">
    <w:abstractNumId w:val="21"/>
  </w:num>
  <w:num w:numId="19" w16cid:durableId="243801430">
    <w:abstractNumId w:val="14"/>
  </w:num>
  <w:num w:numId="20" w16cid:durableId="1145703527">
    <w:abstractNumId w:val="34"/>
  </w:num>
  <w:num w:numId="21" w16cid:durableId="235629841">
    <w:abstractNumId w:val="23"/>
  </w:num>
  <w:num w:numId="22" w16cid:durableId="856888142">
    <w:abstractNumId w:val="22"/>
  </w:num>
  <w:num w:numId="23" w16cid:durableId="1154639701">
    <w:abstractNumId w:val="36"/>
  </w:num>
  <w:num w:numId="24" w16cid:durableId="926965931">
    <w:abstractNumId w:val="11"/>
  </w:num>
  <w:num w:numId="25" w16cid:durableId="381176859">
    <w:abstractNumId w:val="35"/>
  </w:num>
  <w:num w:numId="26" w16cid:durableId="2140762562">
    <w:abstractNumId w:val="24"/>
  </w:num>
  <w:num w:numId="27" w16cid:durableId="750005871">
    <w:abstractNumId w:val="12"/>
  </w:num>
  <w:num w:numId="28" w16cid:durableId="1230729941">
    <w:abstractNumId w:val="15"/>
  </w:num>
  <w:num w:numId="29" w16cid:durableId="1508516986">
    <w:abstractNumId w:val="28"/>
  </w:num>
  <w:num w:numId="30" w16cid:durableId="142280237">
    <w:abstractNumId w:val="27"/>
  </w:num>
  <w:num w:numId="31" w16cid:durableId="12346626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80682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020530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8231493">
    <w:abstractNumId w:val="18"/>
  </w:num>
  <w:num w:numId="35" w16cid:durableId="179394318">
    <w:abstractNumId w:val="33"/>
  </w:num>
  <w:num w:numId="36" w16cid:durableId="516849413">
    <w:abstractNumId w:val="13"/>
  </w:num>
  <w:num w:numId="37" w16cid:durableId="919555865">
    <w:abstractNumId w:val="10"/>
  </w:num>
  <w:num w:numId="38" w16cid:durableId="943732954">
    <w:abstractNumId w:val="9"/>
    <w:lvlOverride w:ilvl="0">
      <w:startOverride w:val="1"/>
    </w:lvlOverride>
  </w:num>
  <w:num w:numId="39" w16cid:durableId="995912635">
    <w:abstractNumId w:val="8"/>
    <w:lvlOverride w:ilvl="0">
      <w:startOverride w:val="1"/>
    </w:lvlOverride>
  </w:num>
  <w:num w:numId="40" w16cid:durableId="182600499">
    <w:abstractNumId w:val="8"/>
    <w:lvlOverride w:ilvl="0">
      <w:startOverride w:val="1"/>
    </w:lvlOverride>
  </w:num>
  <w:num w:numId="41" w16cid:durableId="1336684313">
    <w:abstractNumId w:val="8"/>
    <w:lvlOverride w:ilvl="0">
      <w:startOverride w:val="1"/>
    </w:lvlOverride>
  </w:num>
  <w:num w:numId="42" w16cid:durableId="14717466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4416132">
    <w:abstractNumId w:val="8"/>
  </w:num>
  <w:num w:numId="44" w16cid:durableId="792946164">
    <w:abstractNumId w:val="4"/>
  </w:num>
  <w:num w:numId="45" w16cid:durableId="1094008784">
    <w:abstractNumId w:val="32"/>
  </w:num>
  <w:num w:numId="46" w16cid:durableId="2001762642">
    <w:abstractNumId w:val="4"/>
  </w:num>
  <w:num w:numId="47" w16cid:durableId="289021110">
    <w:abstractNumId w:val="19"/>
  </w:num>
  <w:num w:numId="48" w16cid:durableId="1121610506">
    <w:abstractNumId w:val="4"/>
  </w:num>
  <w:num w:numId="49" w16cid:durableId="458495395">
    <w:abstractNumId w:val="8"/>
  </w:num>
  <w:num w:numId="50" w16cid:durableId="1457868451">
    <w:abstractNumId w:val="8"/>
  </w:num>
  <w:num w:numId="51" w16cid:durableId="130523818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0E"/>
    <w:rsid w:val="00000BEF"/>
    <w:rsid w:val="00001404"/>
    <w:rsid w:val="000015EC"/>
    <w:rsid w:val="00001633"/>
    <w:rsid w:val="00002ADD"/>
    <w:rsid w:val="00003EA5"/>
    <w:rsid w:val="00011418"/>
    <w:rsid w:val="00011BC3"/>
    <w:rsid w:val="000129F7"/>
    <w:rsid w:val="000134FE"/>
    <w:rsid w:val="000151BF"/>
    <w:rsid w:val="0001526E"/>
    <w:rsid w:val="000161C2"/>
    <w:rsid w:val="00021231"/>
    <w:rsid w:val="00021AAA"/>
    <w:rsid w:val="00021ADE"/>
    <w:rsid w:val="000228E1"/>
    <w:rsid w:val="00023951"/>
    <w:rsid w:val="0002476A"/>
    <w:rsid w:val="00024C60"/>
    <w:rsid w:val="00025916"/>
    <w:rsid w:val="0002675A"/>
    <w:rsid w:val="00032F32"/>
    <w:rsid w:val="00033B4C"/>
    <w:rsid w:val="00035ABD"/>
    <w:rsid w:val="00036BE4"/>
    <w:rsid w:val="000401B5"/>
    <w:rsid w:val="000430B8"/>
    <w:rsid w:val="00045712"/>
    <w:rsid w:val="00045C4B"/>
    <w:rsid w:val="000465F1"/>
    <w:rsid w:val="000561F8"/>
    <w:rsid w:val="0005786D"/>
    <w:rsid w:val="000579B1"/>
    <w:rsid w:val="00061C6C"/>
    <w:rsid w:val="0006332F"/>
    <w:rsid w:val="00064568"/>
    <w:rsid w:val="00067906"/>
    <w:rsid w:val="00070C28"/>
    <w:rsid w:val="00072EDA"/>
    <w:rsid w:val="00073F5F"/>
    <w:rsid w:val="000824CC"/>
    <w:rsid w:val="000845BD"/>
    <w:rsid w:val="000909C3"/>
    <w:rsid w:val="00095666"/>
    <w:rsid w:val="00097847"/>
    <w:rsid w:val="000A1DB8"/>
    <w:rsid w:val="000A48AC"/>
    <w:rsid w:val="000A520E"/>
    <w:rsid w:val="000A6369"/>
    <w:rsid w:val="000A6ECF"/>
    <w:rsid w:val="000A7AF7"/>
    <w:rsid w:val="000B019A"/>
    <w:rsid w:val="000B0603"/>
    <w:rsid w:val="000B0A5D"/>
    <w:rsid w:val="000B2643"/>
    <w:rsid w:val="000B5728"/>
    <w:rsid w:val="000B5B68"/>
    <w:rsid w:val="000B6968"/>
    <w:rsid w:val="000B6F5A"/>
    <w:rsid w:val="000C0D72"/>
    <w:rsid w:val="000C4CA8"/>
    <w:rsid w:val="000C5608"/>
    <w:rsid w:val="000C5A38"/>
    <w:rsid w:val="000C5DA6"/>
    <w:rsid w:val="000C7E7E"/>
    <w:rsid w:val="000D1A7C"/>
    <w:rsid w:val="000D560A"/>
    <w:rsid w:val="000D5E22"/>
    <w:rsid w:val="000E0CB3"/>
    <w:rsid w:val="000E130A"/>
    <w:rsid w:val="000E1560"/>
    <w:rsid w:val="000E5B98"/>
    <w:rsid w:val="000F0E91"/>
    <w:rsid w:val="000F2853"/>
    <w:rsid w:val="000F7A6C"/>
    <w:rsid w:val="00104A98"/>
    <w:rsid w:val="0010521E"/>
    <w:rsid w:val="00106418"/>
    <w:rsid w:val="001132D0"/>
    <w:rsid w:val="0011442B"/>
    <w:rsid w:val="00114C27"/>
    <w:rsid w:val="00114C82"/>
    <w:rsid w:val="00121977"/>
    <w:rsid w:val="00121E70"/>
    <w:rsid w:val="0012369A"/>
    <w:rsid w:val="00130823"/>
    <w:rsid w:val="00130A74"/>
    <w:rsid w:val="001336D0"/>
    <w:rsid w:val="00134774"/>
    <w:rsid w:val="00136F5E"/>
    <w:rsid w:val="00140274"/>
    <w:rsid w:val="00145E6A"/>
    <w:rsid w:val="00150B7A"/>
    <w:rsid w:val="00151263"/>
    <w:rsid w:val="0015239E"/>
    <w:rsid w:val="00153A5E"/>
    <w:rsid w:val="00154368"/>
    <w:rsid w:val="0016266F"/>
    <w:rsid w:val="00162A8D"/>
    <w:rsid w:val="00165E3C"/>
    <w:rsid w:val="00166F53"/>
    <w:rsid w:val="001724B9"/>
    <w:rsid w:val="001730C3"/>
    <w:rsid w:val="00173FB5"/>
    <w:rsid w:val="00174D9A"/>
    <w:rsid w:val="001865B9"/>
    <w:rsid w:val="0019437D"/>
    <w:rsid w:val="00195EDE"/>
    <w:rsid w:val="001966C9"/>
    <w:rsid w:val="001A540E"/>
    <w:rsid w:val="001A6BDA"/>
    <w:rsid w:val="001B0353"/>
    <w:rsid w:val="001B6A7E"/>
    <w:rsid w:val="001B707B"/>
    <w:rsid w:val="001C1F8B"/>
    <w:rsid w:val="001C2A5F"/>
    <w:rsid w:val="001C2EAC"/>
    <w:rsid w:val="001C3511"/>
    <w:rsid w:val="001D0FC7"/>
    <w:rsid w:val="001E00F8"/>
    <w:rsid w:val="001E5676"/>
    <w:rsid w:val="001E61F3"/>
    <w:rsid w:val="001F2BBB"/>
    <w:rsid w:val="001F2DDB"/>
    <w:rsid w:val="001F42C9"/>
    <w:rsid w:val="001F52FD"/>
    <w:rsid w:val="001F62CC"/>
    <w:rsid w:val="00200677"/>
    <w:rsid w:val="002012F7"/>
    <w:rsid w:val="002027F6"/>
    <w:rsid w:val="00202D89"/>
    <w:rsid w:val="00202FE3"/>
    <w:rsid w:val="0020423E"/>
    <w:rsid w:val="002068EB"/>
    <w:rsid w:val="00207F0E"/>
    <w:rsid w:val="00210262"/>
    <w:rsid w:val="00212C32"/>
    <w:rsid w:val="00215680"/>
    <w:rsid w:val="00220D2E"/>
    <w:rsid w:val="00226FED"/>
    <w:rsid w:val="00231ED1"/>
    <w:rsid w:val="002335F6"/>
    <w:rsid w:val="00236AD4"/>
    <w:rsid w:val="00237DCA"/>
    <w:rsid w:val="00241523"/>
    <w:rsid w:val="00242624"/>
    <w:rsid w:val="0024557E"/>
    <w:rsid w:val="002461C7"/>
    <w:rsid w:val="002471FD"/>
    <w:rsid w:val="00253967"/>
    <w:rsid w:val="00256762"/>
    <w:rsid w:val="00257EE9"/>
    <w:rsid w:val="002632EA"/>
    <w:rsid w:val="00264977"/>
    <w:rsid w:val="00264E67"/>
    <w:rsid w:val="002741A5"/>
    <w:rsid w:val="002755CC"/>
    <w:rsid w:val="00275F57"/>
    <w:rsid w:val="0028506A"/>
    <w:rsid w:val="002850B0"/>
    <w:rsid w:val="002863D7"/>
    <w:rsid w:val="002873B4"/>
    <w:rsid w:val="002877C0"/>
    <w:rsid w:val="0028799C"/>
    <w:rsid w:val="00287EFA"/>
    <w:rsid w:val="00291338"/>
    <w:rsid w:val="00292AB5"/>
    <w:rsid w:val="00293B97"/>
    <w:rsid w:val="00293C73"/>
    <w:rsid w:val="00293D38"/>
    <w:rsid w:val="002A43C2"/>
    <w:rsid w:val="002B1B65"/>
    <w:rsid w:val="002B5D11"/>
    <w:rsid w:val="002C02DB"/>
    <w:rsid w:val="002C1866"/>
    <w:rsid w:val="002C3F57"/>
    <w:rsid w:val="002D0141"/>
    <w:rsid w:val="002E5A1B"/>
    <w:rsid w:val="002F1BAD"/>
    <w:rsid w:val="002F1ED1"/>
    <w:rsid w:val="002F4CE1"/>
    <w:rsid w:val="002F5E96"/>
    <w:rsid w:val="002F79F7"/>
    <w:rsid w:val="0030053D"/>
    <w:rsid w:val="00300F22"/>
    <w:rsid w:val="0030292D"/>
    <w:rsid w:val="00304A37"/>
    <w:rsid w:val="00304C36"/>
    <w:rsid w:val="00306E23"/>
    <w:rsid w:val="003070E5"/>
    <w:rsid w:val="0031040E"/>
    <w:rsid w:val="00310ED4"/>
    <w:rsid w:val="00311750"/>
    <w:rsid w:val="00311EF6"/>
    <w:rsid w:val="00312301"/>
    <w:rsid w:val="0031492A"/>
    <w:rsid w:val="00316C1A"/>
    <w:rsid w:val="003207B6"/>
    <w:rsid w:val="00323805"/>
    <w:rsid w:val="00323C73"/>
    <w:rsid w:val="0032631A"/>
    <w:rsid w:val="00331141"/>
    <w:rsid w:val="00340305"/>
    <w:rsid w:val="003411F6"/>
    <w:rsid w:val="00341DFA"/>
    <w:rsid w:val="003423F4"/>
    <w:rsid w:val="00343595"/>
    <w:rsid w:val="00343CC5"/>
    <w:rsid w:val="00344758"/>
    <w:rsid w:val="00346064"/>
    <w:rsid w:val="00346A62"/>
    <w:rsid w:val="00347142"/>
    <w:rsid w:val="00350D1B"/>
    <w:rsid w:val="00351F58"/>
    <w:rsid w:val="00354835"/>
    <w:rsid w:val="003565A8"/>
    <w:rsid w:val="003566EA"/>
    <w:rsid w:val="00360744"/>
    <w:rsid w:val="0036571D"/>
    <w:rsid w:val="00372C79"/>
    <w:rsid w:val="00376270"/>
    <w:rsid w:val="00376A45"/>
    <w:rsid w:val="00377A20"/>
    <w:rsid w:val="00380C8D"/>
    <w:rsid w:val="00382777"/>
    <w:rsid w:val="003906F5"/>
    <w:rsid w:val="00391CE3"/>
    <w:rsid w:val="003A168E"/>
    <w:rsid w:val="003A48B7"/>
    <w:rsid w:val="003A510F"/>
    <w:rsid w:val="003A543B"/>
    <w:rsid w:val="003A5836"/>
    <w:rsid w:val="003A6758"/>
    <w:rsid w:val="003A7CE7"/>
    <w:rsid w:val="003B35F9"/>
    <w:rsid w:val="003B3668"/>
    <w:rsid w:val="003B4D22"/>
    <w:rsid w:val="003B4E27"/>
    <w:rsid w:val="003B5598"/>
    <w:rsid w:val="003B7D45"/>
    <w:rsid w:val="003D2876"/>
    <w:rsid w:val="003D2A30"/>
    <w:rsid w:val="003E5445"/>
    <w:rsid w:val="003E5DEF"/>
    <w:rsid w:val="003E5FF2"/>
    <w:rsid w:val="003F0943"/>
    <w:rsid w:val="004009EF"/>
    <w:rsid w:val="00402654"/>
    <w:rsid w:val="004032A1"/>
    <w:rsid w:val="004047F0"/>
    <w:rsid w:val="0040497E"/>
    <w:rsid w:val="004172B4"/>
    <w:rsid w:val="00422417"/>
    <w:rsid w:val="00424233"/>
    <w:rsid w:val="00432507"/>
    <w:rsid w:val="00432FFF"/>
    <w:rsid w:val="00433001"/>
    <w:rsid w:val="00434DF4"/>
    <w:rsid w:val="004351DF"/>
    <w:rsid w:val="004430D2"/>
    <w:rsid w:val="00445CB5"/>
    <w:rsid w:val="00450DE8"/>
    <w:rsid w:val="00452730"/>
    <w:rsid w:val="00452E51"/>
    <w:rsid w:val="00454D44"/>
    <w:rsid w:val="004578E9"/>
    <w:rsid w:val="00460951"/>
    <w:rsid w:val="00460EE0"/>
    <w:rsid w:val="00465226"/>
    <w:rsid w:val="00465A19"/>
    <w:rsid w:val="00470B66"/>
    <w:rsid w:val="004712FB"/>
    <w:rsid w:val="00471BB7"/>
    <w:rsid w:val="00472EFF"/>
    <w:rsid w:val="00474063"/>
    <w:rsid w:val="00474B85"/>
    <w:rsid w:val="00476793"/>
    <w:rsid w:val="00480136"/>
    <w:rsid w:val="00481B2A"/>
    <w:rsid w:val="00482091"/>
    <w:rsid w:val="00482C5A"/>
    <w:rsid w:val="00483628"/>
    <w:rsid w:val="00484F34"/>
    <w:rsid w:val="0049422C"/>
    <w:rsid w:val="004950CB"/>
    <w:rsid w:val="00495415"/>
    <w:rsid w:val="00495BA5"/>
    <w:rsid w:val="00497D3B"/>
    <w:rsid w:val="004A0251"/>
    <w:rsid w:val="004A15D9"/>
    <w:rsid w:val="004A187B"/>
    <w:rsid w:val="004A2D3C"/>
    <w:rsid w:val="004A5EB6"/>
    <w:rsid w:val="004A7382"/>
    <w:rsid w:val="004A7A6D"/>
    <w:rsid w:val="004C5EE4"/>
    <w:rsid w:val="004C7412"/>
    <w:rsid w:val="004D04BF"/>
    <w:rsid w:val="004D2248"/>
    <w:rsid w:val="004D3AF2"/>
    <w:rsid w:val="004E0DFF"/>
    <w:rsid w:val="004E3514"/>
    <w:rsid w:val="004E466B"/>
    <w:rsid w:val="004F1C7C"/>
    <w:rsid w:val="004F20D5"/>
    <w:rsid w:val="00500D43"/>
    <w:rsid w:val="00505140"/>
    <w:rsid w:val="005060B1"/>
    <w:rsid w:val="00507EFF"/>
    <w:rsid w:val="00507F97"/>
    <w:rsid w:val="00510390"/>
    <w:rsid w:val="00511EBB"/>
    <w:rsid w:val="00512116"/>
    <w:rsid w:val="005123F0"/>
    <w:rsid w:val="00512D46"/>
    <w:rsid w:val="00513112"/>
    <w:rsid w:val="00513540"/>
    <w:rsid w:val="00513941"/>
    <w:rsid w:val="00514C5E"/>
    <w:rsid w:val="00515FE4"/>
    <w:rsid w:val="00520781"/>
    <w:rsid w:val="005210F1"/>
    <w:rsid w:val="00521820"/>
    <w:rsid w:val="005220A0"/>
    <w:rsid w:val="005244E6"/>
    <w:rsid w:val="0052735D"/>
    <w:rsid w:val="00527D74"/>
    <w:rsid w:val="0053051D"/>
    <w:rsid w:val="00530FFA"/>
    <w:rsid w:val="00534465"/>
    <w:rsid w:val="005350B8"/>
    <w:rsid w:val="00536847"/>
    <w:rsid w:val="005433ED"/>
    <w:rsid w:val="00543C32"/>
    <w:rsid w:val="00546600"/>
    <w:rsid w:val="0055170F"/>
    <w:rsid w:val="0056081D"/>
    <w:rsid w:val="005627AD"/>
    <w:rsid w:val="00564208"/>
    <w:rsid w:val="00570438"/>
    <w:rsid w:val="00571402"/>
    <w:rsid w:val="00571CEB"/>
    <w:rsid w:val="0057266B"/>
    <w:rsid w:val="00576E14"/>
    <w:rsid w:val="00583877"/>
    <w:rsid w:val="00585572"/>
    <w:rsid w:val="00587A7C"/>
    <w:rsid w:val="00587F24"/>
    <w:rsid w:val="00591951"/>
    <w:rsid w:val="005933AB"/>
    <w:rsid w:val="00593FB9"/>
    <w:rsid w:val="00595750"/>
    <w:rsid w:val="005A0964"/>
    <w:rsid w:val="005A1AA6"/>
    <w:rsid w:val="005A54D5"/>
    <w:rsid w:val="005B36F6"/>
    <w:rsid w:val="005B6AAE"/>
    <w:rsid w:val="005C210E"/>
    <w:rsid w:val="005C2CC2"/>
    <w:rsid w:val="005C2ECF"/>
    <w:rsid w:val="005C5680"/>
    <w:rsid w:val="005C5D41"/>
    <w:rsid w:val="005C6F03"/>
    <w:rsid w:val="005D0756"/>
    <w:rsid w:val="005D0875"/>
    <w:rsid w:val="005D1F34"/>
    <w:rsid w:val="005D383D"/>
    <w:rsid w:val="005D5394"/>
    <w:rsid w:val="005D54AE"/>
    <w:rsid w:val="005D5775"/>
    <w:rsid w:val="005D72B5"/>
    <w:rsid w:val="005E4FDA"/>
    <w:rsid w:val="005F6B5E"/>
    <w:rsid w:val="00601CEB"/>
    <w:rsid w:val="006064E6"/>
    <w:rsid w:val="00616F88"/>
    <w:rsid w:val="0061771B"/>
    <w:rsid w:val="0062077D"/>
    <w:rsid w:val="00622508"/>
    <w:rsid w:val="0062273D"/>
    <w:rsid w:val="0062337D"/>
    <w:rsid w:val="00623671"/>
    <w:rsid w:val="0063009F"/>
    <w:rsid w:val="0063071A"/>
    <w:rsid w:val="006342CF"/>
    <w:rsid w:val="006356C5"/>
    <w:rsid w:val="00641125"/>
    <w:rsid w:val="00643DE9"/>
    <w:rsid w:val="00650E26"/>
    <w:rsid w:val="00654793"/>
    <w:rsid w:val="0066094B"/>
    <w:rsid w:val="00667E24"/>
    <w:rsid w:val="00671DE5"/>
    <w:rsid w:val="00672CD0"/>
    <w:rsid w:val="006734C5"/>
    <w:rsid w:val="006750C5"/>
    <w:rsid w:val="00675492"/>
    <w:rsid w:val="006776DB"/>
    <w:rsid w:val="00681AA9"/>
    <w:rsid w:val="00687606"/>
    <w:rsid w:val="00690B85"/>
    <w:rsid w:val="0069105E"/>
    <w:rsid w:val="006910C3"/>
    <w:rsid w:val="006A4CC6"/>
    <w:rsid w:val="006A6BB3"/>
    <w:rsid w:val="006B3DE1"/>
    <w:rsid w:val="006B3E00"/>
    <w:rsid w:val="006B52EB"/>
    <w:rsid w:val="006C0642"/>
    <w:rsid w:val="006C0DB3"/>
    <w:rsid w:val="006C35F3"/>
    <w:rsid w:val="006C4242"/>
    <w:rsid w:val="006C4ECE"/>
    <w:rsid w:val="006C61DE"/>
    <w:rsid w:val="006C62EC"/>
    <w:rsid w:val="006D0407"/>
    <w:rsid w:val="006D5EE5"/>
    <w:rsid w:val="006D7FC6"/>
    <w:rsid w:val="006E43B3"/>
    <w:rsid w:val="006E6D3B"/>
    <w:rsid w:val="006F122F"/>
    <w:rsid w:val="0070314A"/>
    <w:rsid w:val="00705D66"/>
    <w:rsid w:val="00710E75"/>
    <w:rsid w:val="007123C3"/>
    <w:rsid w:val="00713FBA"/>
    <w:rsid w:val="00714FF5"/>
    <w:rsid w:val="00730BD2"/>
    <w:rsid w:val="007359EC"/>
    <w:rsid w:val="00746352"/>
    <w:rsid w:val="00752DB9"/>
    <w:rsid w:val="007538FB"/>
    <w:rsid w:val="007540BF"/>
    <w:rsid w:val="00754A63"/>
    <w:rsid w:val="00754C03"/>
    <w:rsid w:val="00761776"/>
    <w:rsid w:val="00761F37"/>
    <w:rsid w:val="007637A8"/>
    <w:rsid w:val="007650A7"/>
    <w:rsid w:val="00765B58"/>
    <w:rsid w:val="00767F7D"/>
    <w:rsid w:val="00770DCB"/>
    <w:rsid w:val="00772855"/>
    <w:rsid w:val="007749F7"/>
    <w:rsid w:val="00775485"/>
    <w:rsid w:val="00776EA8"/>
    <w:rsid w:val="00776F62"/>
    <w:rsid w:val="007819CB"/>
    <w:rsid w:val="00783532"/>
    <w:rsid w:val="00783ADF"/>
    <w:rsid w:val="007846B5"/>
    <w:rsid w:val="007A0274"/>
    <w:rsid w:val="007A2CF4"/>
    <w:rsid w:val="007A5516"/>
    <w:rsid w:val="007A7A8C"/>
    <w:rsid w:val="007B06EA"/>
    <w:rsid w:val="007B1BB3"/>
    <w:rsid w:val="007B2F3C"/>
    <w:rsid w:val="007C1AF0"/>
    <w:rsid w:val="007C37C5"/>
    <w:rsid w:val="007C4B9B"/>
    <w:rsid w:val="007D2F00"/>
    <w:rsid w:val="007D678F"/>
    <w:rsid w:val="007D7F33"/>
    <w:rsid w:val="007E1950"/>
    <w:rsid w:val="007E19A4"/>
    <w:rsid w:val="007E1CAC"/>
    <w:rsid w:val="007E29B1"/>
    <w:rsid w:val="007E5B88"/>
    <w:rsid w:val="007F0D0B"/>
    <w:rsid w:val="007F4E5A"/>
    <w:rsid w:val="007F4F32"/>
    <w:rsid w:val="007F7212"/>
    <w:rsid w:val="008007A8"/>
    <w:rsid w:val="008042D9"/>
    <w:rsid w:val="00814FC0"/>
    <w:rsid w:val="00817C73"/>
    <w:rsid w:val="0082185E"/>
    <w:rsid w:val="00823005"/>
    <w:rsid w:val="00823A90"/>
    <w:rsid w:val="0082628C"/>
    <w:rsid w:val="00826C06"/>
    <w:rsid w:val="00831829"/>
    <w:rsid w:val="0084324D"/>
    <w:rsid w:val="008449B9"/>
    <w:rsid w:val="0084556B"/>
    <w:rsid w:val="00847132"/>
    <w:rsid w:val="00847191"/>
    <w:rsid w:val="008524A6"/>
    <w:rsid w:val="008617D9"/>
    <w:rsid w:val="00861A5E"/>
    <w:rsid w:val="0086254F"/>
    <w:rsid w:val="00864FDD"/>
    <w:rsid w:val="00866615"/>
    <w:rsid w:val="0086709D"/>
    <w:rsid w:val="008724DE"/>
    <w:rsid w:val="008743E4"/>
    <w:rsid w:val="008758D9"/>
    <w:rsid w:val="00882B0A"/>
    <w:rsid w:val="00885EFD"/>
    <w:rsid w:val="00891BDD"/>
    <w:rsid w:val="00891D6A"/>
    <w:rsid w:val="008968B1"/>
    <w:rsid w:val="008A12CD"/>
    <w:rsid w:val="008A1CFC"/>
    <w:rsid w:val="008A217C"/>
    <w:rsid w:val="008A3D57"/>
    <w:rsid w:val="008A52D4"/>
    <w:rsid w:val="008B1A98"/>
    <w:rsid w:val="008B23BC"/>
    <w:rsid w:val="008B3899"/>
    <w:rsid w:val="008B5067"/>
    <w:rsid w:val="008C0867"/>
    <w:rsid w:val="008C4F26"/>
    <w:rsid w:val="008C6DCB"/>
    <w:rsid w:val="008D0E96"/>
    <w:rsid w:val="008D4DA3"/>
    <w:rsid w:val="008D73CD"/>
    <w:rsid w:val="008D781D"/>
    <w:rsid w:val="008E0C31"/>
    <w:rsid w:val="008E328C"/>
    <w:rsid w:val="008E3D60"/>
    <w:rsid w:val="008E3F4C"/>
    <w:rsid w:val="008F062E"/>
    <w:rsid w:val="0090165F"/>
    <w:rsid w:val="00901B82"/>
    <w:rsid w:val="00912B09"/>
    <w:rsid w:val="00915EE9"/>
    <w:rsid w:val="009253CF"/>
    <w:rsid w:val="00932E0C"/>
    <w:rsid w:val="00936DB2"/>
    <w:rsid w:val="00937724"/>
    <w:rsid w:val="009410A8"/>
    <w:rsid w:val="009432CF"/>
    <w:rsid w:val="009465FF"/>
    <w:rsid w:val="009504FD"/>
    <w:rsid w:val="009664C4"/>
    <w:rsid w:val="00966C2F"/>
    <w:rsid w:val="0096742A"/>
    <w:rsid w:val="00971B63"/>
    <w:rsid w:val="00971C51"/>
    <w:rsid w:val="0097297F"/>
    <w:rsid w:val="0097512B"/>
    <w:rsid w:val="009811D7"/>
    <w:rsid w:val="009821C0"/>
    <w:rsid w:val="00982404"/>
    <w:rsid w:val="00986359"/>
    <w:rsid w:val="00987FE2"/>
    <w:rsid w:val="00991454"/>
    <w:rsid w:val="009973BE"/>
    <w:rsid w:val="009A11E5"/>
    <w:rsid w:val="009A1259"/>
    <w:rsid w:val="009A3C5D"/>
    <w:rsid w:val="009A635D"/>
    <w:rsid w:val="009A68A5"/>
    <w:rsid w:val="009B7CD3"/>
    <w:rsid w:val="009C4956"/>
    <w:rsid w:val="009C6D2C"/>
    <w:rsid w:val="009C74AB"/>
    <w:rsid w:val="009D29CD"/>
    <w:rsid w:val="009D2B07"/>
    <w:rsid w:val="009D44F4"/>
    <w:rsid w:val="009D67F6"/>
    <w:rsid w:val="009E08D1"/>
    <w:rsid w:val="009E0FE1"/>
    <w:rsid w:val="009E3CCA"/>
    <w:rsid w:val="009E4BD0"/>
    <w:rsid w:val="009F026E"/>
    <w:rsid w:val="009F2764"/>
    <w:rsid w:val="009F3588"/>
    <w:rsid w:val="009F4A96"/>
    <w:rsid w:val="009F4B7C"/>
    <w:rsid w:val="00A0040E"/>
    <w:rsid w:val="00A0155C"/>
    <w:rsid w:val="00A01D9B"/>
    <w:rsid w:val="00A020D8"/>
    <w:rsid w:val="00A0406E"/>
    <w:rsid w:val="00A05AA6"/>
    <w:rsid w:val="00A10A89"/>
    <w:rsid w:val="00A11307"/>
    <w:rsid w:val="00A13AF3"/>
    <w:rsid w:val="00A21388"/>
    <w:rsid w:val="00A21E9F"/>
    <w:rsid w:val="00A22497"/>
    <w:rsid w:val="00A24C58"/>
    <w:rsid w:val="00A25664"/>
    <w:rsid w:val="00A27791"/>
    <w:rsid w:val="00A27ABE"/>
    <w:rsid w:val="00A27AF3"/>
    <w:rsid w:val="00A32F90"/>
    <w:rsid w:val="00A332F3"/>
    <w:rsid w:val="00A33307"/>
    <w:rsid w:val="00A34AA0"/>
    <w:rsid w:val="00A355F9"/>
    <w:rsid w:val="00A3679D"/>
    <w:rsid w:val="00A40052"/>
    <w:rsid w:val="00A41355"/>
    <w:rsid w:val="00A437B6"/>
    <w:rsid w:val="00A43B92"/>
    <w:rsid w:val="00A43DC9"/>
    <w:rsid w:val="00A52E4A"/>
    <w:rsid w:val="00A54251"/>
    <w:rsid w:val="00A6179E"/>
    <w:rsid w:val="00A62DE7"/>
    <w:rsid w:val="00A63E6B"/>
    <w:rsid w:val="00A64316"/>
    <w:rsid w:val="00A6452A"/>
    <w:rsid w:val="00A66B59"/>
    <w:rsid w:val="00A67538"/>
    <w:rsid w:val="00A7088B"/>
    <w:rsid w:val="00A72399"/>
    <w:rsid w:val="00A760B8"/>
    <w:rsid w:val="00A77222"/>
    <w:rsid w:val="00A77C77"/>
    <w:rsid w:val="00A804D9"/>
    <w:rsid w:val="00A81C63"/>
    <w:rsid w:val="00A840A3"/>
    <w:rsid w:val="00A8573B"/>
    <w:rsid w:val="00A85E58"/>
    <w:rsid w:val="00A85EB5"/>
    <w:rsid w:val="00A92915"/>
    <w:rsid w:val="00A92F92"/>
    <w:rsid w:val="00A932D5"/>
    <w:rsid w:val="00A96892"/>
    <w:rsid w:val="00AA2051"/>
    <w:rsid w:val="00AA216B"/>
    <w:rsid w:val="00AA38E1"/>
    <w:rsid w:val="00AA3FFF"/>
    <w:rsid w:val="00AA70C4"/>
    <w:rsid w:val="00AB2F9C"/>
    <w:rsid w:val="00AB32C0"/>
    <w:rsid w:val="00AB5BB0"/>
    <w:rsid w:val="00AB735A"/>
    <w:rsid w:val="00AB7C8F"/>
    <w:rsid w:val="00AC2192"/>
    <w:rsid w:val="00AC4B84"/>
    <w:rsid w:val="00AC50CC"/>
    <w:rsid w:val="00AC636D"/>
    <w:rsid w:val="00AD24D4"/>
    <w:rsid w:val="00AD329A"/>
    <w:rsid w:val="00AD4A8E"/>
    <w:rsid w:val="00AD51F7"/>
    <w:rsid w:val="00AD62D3"/>
    <w:rsid w:val="00AD63F9"/>
    <w:rsid w:val="00AE1CC1"/>
    <w:rsid w:val="00AE3FE0"/>
    <w:rsid w:val="00AE4D41"/>
    <w:rsid w:val="00AF2123"/>
    <w:rsid w:val="00AF2C57"/>
    <w:rsid w:val="00AF3CED"/>
    <w:rsid w:val="00B00E95"/>
    <w:rsid w:val="00B00F61"/>
    <w:rsid w:val="00B06BC8"/>
    <w:rsid w:val="00B105C7"/>
    <w:rsid w:val="00B11D2B"/>
    <w:rsid w:val="00B12C3D"/>
    <w:rsid w:val="00B210F4"/>
    <w:rsid w:val="00B237FB"/>
    <w:rsid w:val="00B24B1D"/>
    <w:rsid w:val="00B25D89"/>
    <w:rsid w:val="00B26C33"/>
    <w:rsid w:val="00B277E0"/>
    <w:rsid w:val="00B30613"/>
    <w:rsid w:val="00B33E0B"/>
    <w:rsid w:val="00B348C0"/>
    <w:rsid w:val="00B34946"/>
    <w:rsid w:val="00B36827"/>
    <w:rsid w:val="00B519FD"/>
    <w:rsid w:val="00B520BC"/>
    <w:rsid w:val="00B5223C"/>
    <w:rsid w:val="00B52A6D"/>
    <w:rsid w:val="00B52C2A"/>
    <w:rsid w:val="00B53325"/>
    <w:rsid w:val="00B539CC"/>
    <w:rsid w:val="00B5608E"/>
    <w:rsid w:val="00B56CC5"/>
    <w:rsid w:val="00B63D24"/>
    <w:rsid w:val="00B66DF6"/>
    <w:rsid w:val="00B71EB5"/>
    <w:rsid w:val="00B753BD"/>
    <w:rsid w:val="00B84343"/>
    <w:rsid w:val="00B84AB0"/>
    <w:rsid w:val="00B86A8F"/>
    <w:rsid w:val="00B87491"/>
    <w:rsid w:val="00B9098C"/>
    <w:rsid w:val="00B924E6"/>
    <w:rsid w:val="00B96BF7"/>
    <w:rsid w:val="00BA1238"/>
    <w:rsid w:val="00BA262D"/>
    <w:rsid w:val="00BA5698"/>
    <w:rsid w:val="00BA7891"/>
    <w:rsid w:val="00BB3A8E"/>
    <w:rsid w:val="00BB635F"/>
    <w:rsid w:val="00BB6A02"/>
    <w:rsid w:val="00BB7AED"/>
    <w:rsid w:val="00BC3C01"/>
    <w:rsid w:val="00BC75E4"/>
    <w:rsid w:val="00BC79EB"/>
    <w:rsid w:val="00BD0023"/>
    <w:rsid w:val="00BD012A"/>
    <w:rsid w:val="00BD510F"/>
    <w:rsid w:val="00BD55A2"/>
    <w:rsid w:val="00BD5B4C"/>
    <w:rsid w:val="00BD5D99"/>
    <w:rsid w:val="00BD7FCF"/>
    <w:rsid w:val="00BE4BC1"/>
    <w:rsid w:val="00BF06B7"/>
    <w:rsid w:val="00BF587E"/>
    <w:rsid w:val="00BF5B98"/>
    <w:rsid w:val="00BF6406"/>
    <w:rsid w:val="00C00352"/>
    <w:rsid w:val="00C00733"/>
    <w:rsid w:val="00C03378"/>
    <w:rsid w:val="00C03520"/>
    <w:rsid w:val="00C059E9"/>
    <w:rsid w:val="00C064DC"/>
    <w:rsid w:val="00C117FA"/>
    <w:rsid w:val="00C149BD"/>
    <w:rsid w:val="00C14E68"/>
    <w:rsid w:val="00C16CBA"/>
    <w:rsid w:val="00C16E7F"/>
    <w:rsid w:val="00C25BDA"/>
    <w:rsid w:val="00C27E04"/>
    <w:rsid w:val="00C33104"/>
    <w:rsid w:val="00C332D4"/>
    <w:rsid w:val="00C3499B"/>
    <w:rsid w:val="00C3660B"/>
    <w:rsid w:val="00C3672E"/>
    <w:rsid w:val="00C51011"/>
    <w:rsid w:val="00C52858"/>
    <w:rsid w:val="00C54FEB"/>
    <w:rsid w:val="00C560AC"/>
    <w:rsid w:val="00C573A9"/>
    <w:rsid w:val="00C5781C"/>
    <w:rsid w:val="00C60343"/>
    <w:rsid w:val="00C618E0"/>
    <w:rsid w:val="00C61B4A"/>
    <w:rsid w:val="00C6241E"/>
    <w:rsid w:val="00C64197"/>
    <w:rsid w:val="00C65573"/>
    <w:rsid w:val="00C662C3"/>
    <w:rsid w:val="00C66C9E"/>
    <w:rsid w:val="00C672AE"/>
    <w:rsid w:val="00C7047A"/>
    <w:rsid w:val="00C711EA"/>
    <w:rsid w:val="00C75621"/>
    <w:rsid w:val="00C77430"/>
    <w:rsid w:val="00C80A5F"/>
    <w:rsid w:val="00C854D4"/>
    <w:rsid w:val="00C90556"/>
    <w:rsid w:val="00C95DB2"/>
    <w:rsid w:val="00C9672E"/>
    <w:rsid w:val="00CA0D78"/>
    <w:rsid w:val="00CA39B7"/>
    <w:rsid w:val="00CA4855"/>
    <w:rsid w:val="00CA5D90"/>
    <w:rsid w:val="00CB24FE"/>
    <w:rsid w:val="00CB7700"/>
    <w:rsid w:val="00CB7958"/>
    <w:rsid w:val="00CC01F0"/>
    <w:rsid w:val="00CC0FD3"/>
    <w:rsid w:val="00CC1FAD"/>
    <w:rsid w:val="00CC2AA0"/>
    <w:rsid w:val="00CC310C"/>
    <w:rsid w:val="00CC7AC5"/>
    <w:rsid w:val="00CD31B1"/>
    <w:rsid w:val="00CD58FD"/>
    <w:rsid w:val="00CE0B2B"/>
    <w:rsid w:val="00CE3AB4"/>
    <w:rsid w:val="00CF14DB"/>
    <w:rsid w:val="00CF24B6"/>
    <w:rsid w:val="00D01567"/>
    <w:rsid w:val="00D01CCC"/>
    <w:rsid w:val="00D03307"/>
    <w:rsid w:val="00D1342C"/>
    <w:rsid w:val="00D1556E"/>
    <w:rsid w:val="00D16E53"/>
    <w:rsid w:val="00D20464"/>
    <w:rsid w:val="00D231AC"/>
    <w:rsid w:val="00D23E27"/>
    <w:rsid w:val="00D33EC2"/>
    <w:rsid w:val="00D343FA"/>
    <w:rsid w:val="00D34E11"/>
    <w:rsid w:val="00D418FF"/>
    <w:rsid w:val="00D42014"/>
    <w:rsid w:val="00D57918"/>
    <w:rsid w:val="00D57EF8"/>
    <w:rsid w:val="00D603D6"/>
    <w:rsid w:val="00D60C45"/>
    <w:rsid w:val="00D61F4A"/>
    <w:rsid w:val="00D6560C"/>
    <w:rsid w:val="00D65C76"/>
    <w:rsid w:val="00D665D5"/>
    <w:rsid w:val="00D66B88"/>
    <w:rsid w:val="00D722C7"/>
    <w:rsid w:val="00D734C7"/>
    <w:rsid w:val="00D73BDA"/>
    <w:rsid w:val="00D7542B"/>
    <w:rsid w:val="00D80D6D"/>
    <w:rsid w:val="00D81533"/>
    <w:rsid w:val="00D8351F"/>
    <w:rsid w:val="00D90017"/>
    <w:rsid w:val="00DA1D32"/>
    <w:rsid w:val="00DA2F73"/>
    <w:rsid w:val="00DA36DB"/>
    <w:rsid w:val="00DA4122"/>
    <w:rsid w:val="00DA4543"/>
    <w:rsid w:val="00DA7A55"/>
    <w:rsid w:val="00DB06C0"/>
    <w:rsid w:val="00DB1D07"/>
    <w:rsid w:val="00DC2051"/>
    <w:rsid w:val="00DC307B"/>
    <w:rsid w:val="00DC343B"/>
    <w:rsid w:val="00DC462F"/>
    <w:rsid w:val="00DC4666"/>
    <w:rsid w:val="00DC499A"/>
    <w:rsid w:val="00DC7DC2"/>
    <w:rsid w:val="00DD2BBF"/>
    <w:rsid w:val="00DD3D87"/>
    <w:rsid w:val="00DD5B3B"/>
    <w:rsid w:val="00DD6A21"/>
    <w:rsid w:val="00DE18A7"/>
    <w:rsid w:val="00DE19D2"/>
    <w:rsid w:val="00DE2EFB"/>
    <w:rsid w:val="00DE3CFC"/>
    <w:rsid w:val="00DE60CA"/>
    <w:rsid w:val="00DE6934"/>
    <w:rsid w:val="00DF07BE"/>
    <w:rsid w:val="00DF1A80"/>
    <w:rsid w:val="00DF2E03"/>
    <w:rsid w:val="00DF5F42"/>
    <w:rsid w:val="00E02517"/>
    <w:rsid w:val="00E071D4"/>
    <w:rsid w:val="00E11787"/>
    <w:rsid w:val="00E11EA9"/>
    <w:rsid w:val="00E12038"/>
    <w:rsid w:val="00E12DDB"/>
    <w:rsid w:val="00E14833"/>
    <w:rsid w:val="00E1675F"/>
    <w:rsid w:val="00E23972"/>
    <w:rsid w:val="00E24FA3"/>
    <w:rsid w:val="00E25CE7"/>
    <w:rsid w:val="00E2617A"/>
    <w:rsid w:val="00E26A81"/>
    <w:rsid w:val="00E26B28"/>
    <w:rsid w:val="00E26F3C"/>
    <w:rsid w:val="00E304D6"/>
    <w:rsid w:val="00E309F0"/>
    <w:rsid w:val="00E3132B"/>
    <w:rsid w:val="00E31465"/>
    <w:rsid w:val="00E328CD"/>
    <w:rsid w:val="00E3489E"/>
    <w:rsid w:val="00E362F0"/>
    <w:rsid w:val="00E36A95"/>
    <w:rsid w:val="00E36B95"/>
    <w:rsid w:val="00E36E1A"/>
    <w:rsid w:val="00E4003F"/>
    <w:rsid w:val="00E42E23"/>
    <w:rsid w:val="00E458F6"/>
    <w:rsid w:val="00E45954"/>
    <w:rsid w:val="00E46704"/>
    <w:rsid w:val="00E46715"/>
    <w:rsid w:val="00E50ACE"/>
    <w:rsid w:val="00E53546"/>
    <w:rsid w:val="00E55F24"/>
    <w:rsid w:val="00E602EA"/>
    <w:rsid w:val="00E64333"/>
    <w:rsid w:val="00E65AC7"/>
    <w:rsid w:val="00E812BE"/>
    <w:rsid w:val="00E87763"/>
    <w:rsid w:val="00E94DBF"/>
    <w:rsid w:val="00E97E56"/>
    <w:rsid w:val="00EA44D9"/>
    <w:rsid w:val="00EA5662"/>
    <w:rsid w:val="00EB5A11"/>
    <w:rsid w:val="00EB6A76"/>
    <w:rsid w:val="00EC4F40"/>
    <w:rsid w:val="00EC50BE"/>
    <w:rsid w:val="00EC6CA6"/>
    <w:rsid w:val="00EE7796"/>
    <w:rsid w:val="00F042B9"/>
    <w:rsid w:val="00F04E7D"/>
    <w:rsid w:val="00F071A9"/>
    <w:rsid w:val="00F0799D"/>
    <w:rsid w:val="00F107A0"/>
    <w:rsid w:val="00F127A8"/>
    <w:rsid w:val="00F14C6D"/>
    <w:rsid w:val="00F220A5"/>
    <w:rsid w:val="00F22A42"/>
    <w:rsid w:val="00F2618C"/>
    <w:rsid w:val="00F34362"/>
    <w:rsid w:val="00F34BC9"/>
    <w:rsid w:val="00F3599E"/>
    <w:rsid w:val="00F378BC"/>
    <w:rsid w:val="00F405FB"/>
    <w:rsid w:val="00F42251"/>
    <w:rsid w:val="00F42AF6"/>
    <w:rsid w:val="00F43D93"/>
    <w:rsid w:val="00F45696"/>
    <w:rsid w:val="00F50934"/>
    <w:rsid w:val="00F513AE"/>
    <w:rsid w:val="00F5454A"/>
    <w:rsid w:val="00F57C46"/>
    <w:rsid w:val="00F617D2"/>
    <w:rsid w:val="00F63970"/>
    <w:rsid w:val="00F65E42"/>
    <w:rsid w:val="00F70818"/>
    <w:rsid w:val="00F70DAA"/>
    <w:rsid w:val="00F72B31"/>
    <w:rsid w:val="00F7354E"/>
    <w:rsid w:val="00F766DF"/>
    <w:rsid w:val="00F76F02"/>
    <w:rsid w:val="00F8302E"/>
    <w:rsid w:val="00F83DF8"/>
    <w:rsid w:val="00F84674"/>
    <w:rsid w:val="00F86D2C"/>
    <w:rsid w:val="00F86DAB"/>
    <w:rsid w:val="00F96039"/>
    <w:rsid w:val="00F97944"/>
    <w:rsid w:val="00FA1155"/>
    <w:rsid w:val="00FA24CF"/>
    <w:rsid w:val="00FA3953"/>
    <w:rsid w:val="00FA4916"/>
    <w:rsid w:val="00FA4BE6"/>
    <w:rsid w:val="00FA5234"/>
    <w:rsid w:val="00FA7E5C"/>
    <w:rsid w:val="00FB193D"/>
    <w:rsid w:val="00FB3422"/>
    <w:rsid w:val="00FB42BE"/>
    <w:rsid w:val="00FB45B9"/>
    <w:rsid w:val="00FB488A"/>
    <w:rsid w:val="00FB50AC"/>
    <w:rsid w:val="00FB5BA8"/>
    <w:rsid w:val="00FB601C"/>
    <w:rsid w:val="00FC32D0"/>
    <w:rsid w:val="00FC406E"/>
    <w:rsid w:val="00FC7883"/>
    <w:rsid w:val="00FD01B5"/>
    <w:rsid w:val="00FD24C5"/>
    <w:rsid w:val="00FD5BF0"/>
    <w:rsid w:val="00FD6D03"/>
    <w:rsid w:val="00FE3E20"/>
    <w:rsid w:val="00FE4445"/>
    <w:rsid w:val="00FF67BF"/>
    <w:rsid w:val="00FF7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8EADA"/>
  <w15:chartTrackingRefBased/>
  <w15:docId w15:val="{1C6ACBFA-D729-456A-95CF-FCE02B07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6B3E00"/>
    <w:pPr>
      <w:numPr>
        <w:numId w:val="12"/>
      </w:numPr>
      <w:tabs>
        <w:tab w:val="clear" w:pos="360"/>
        <w:tab w:val="num" w:pos="567"/>
        <w:tab w:val="left" w:pos="1134"/>
      </w:tabs>
      <w:spacing w:before="120" w:after="120"/>
      <w:ind w:left="567" w:hanging="56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5C210E"/>
    <w:rPr>
      <w:rFonts w:ascii="Open Sans" w:eastAsia="MS Mincho" w:hAnsi="Open Sans"/>
      <w:sz w:val="24"/>
      <w:szCs w:val="24"/>
    </w:rPr>
  </w:style>
  <w:style w:type="paragraph" w:customStyle="1" w:styleId="Default">
    <w:name w:val="Default"/>
    <w:rsid w:val="0062273D"/>
    <w:pPr>
      <w:autoSpaceDE w:val="0"/>
      <w:autoSpaceDN w:val="0"/>
      <w:adjustRightInd w:val="0"/>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AD24D4"/>
    <w:rPr>
      <w:color w:val="605E5C"/>
      <w:shd w:val="clear" w:color="auto" w:fill="E1DFDD"/>
    </w:rPr>
  </w:style>
  <w:style w:type="paragraph" w:styleId="FootnoteText">
    <w:name w:val="footnote text"/>
    <w:basedOn w:val="Normal"/>
    <w:link w:val="FootnoteTextChar"/>
    <w:locked/>
    <w:rsid w:val="00E812BE"/>
    <w:pPr>
      <w:spacing w:before="0" w:after="0"/>
    </w:pPr>
    <w:rPr>
      <w:sz w:val="20"/>
      <w:szCs w:val="20"/>
    </w:rPr>
  </w:style>
  <w:style w:type="character" w:customStyle="1" w:styleId="FootnoteTextChar">
    <w:name w:val="Footnote Text Char"/>
    <w:basedOn w:val="DefaultParagraphFont"/>
    <w:link w:val="FootnoteText"/>
    <w:rsid w:val="00E812BE"/>
    <w:rPr>
      <w:rFonts w:ascii="Open Sans" w:eastAsia="MS Mincho" w:hAnsi="Open Sans"/>
    </w:rPr>
  </w:style>
  <w:style w:type="character" w:styleId="FootnoteReference">
    <w:name w:val="footnote reference"/>
    <w:basedOn w:val="DefaultParagraphFont"/>
    <w:locked/>
    <w:rsid w:val="00E81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03519293">
      <w:bodyDiv w:val="1"/>
      <w:marLeft w:val="0"/>
      <w:marRight w:val="0"/>
      <w:marTop w:val="0"/>
      <w:marBottom w:val="0"/>
      <w:divBdr>
        <w:top w:val="none" w:sz="0" w:space="0" w:color="auto"/>
        <w:left w:val="none" w:sz="0" w:space="0" w:color="auto"/>
        <w:bottom w:val="none" w:sz="0" w:space="0" w:color="auto"/>
        <w:right w:val="none" w:sz="0" w:space="0" w:color="auto"/>
      </w:divBdr>
    </w:div>
    <w:div w:id="17721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parlinfo.aph.gov.au/parlInfo/download/legislation/ems/r7110_ems_e83e5b49-1a08-484a-97d2-ee6f3ce685bc/upload_pdf/JC011446.pdf;fileType=application%2Fpdf" TargetMode="External"/><Relationship Id="rId3" Type="http://schemas.openxmlformats.org/officeDocument/2006/relationships/hyperlink" Target="https://consultations.ag.gov.au/rights-and-protections/cost-model-anti-discrimination-laws/consultation/download_public_attachment?sqId=question-2022-01-06-6908678210-publishablefilesubquestion-1&amp;uuId=196811541" TargetMode="External"/><Relationship Id="rId7" Type="http://schemas.openxmlformats.org/officeDocument/2006/relationships/hyperlink" Target="https://parlinfo.aph.gov.au/parlInfo/download/legislation/ems/r7110_ems_e83e5b49-1a08-484a-97d2-ee6f3ce685bc/upload_pdf/JC011446.pdf;fileType=application%2Fpdf" TargetMode="External"/><Relationship Id="rId2" Type="http://schemas.openxmlformats.org/officeDocument/2006/relationships/hyperlink" Target="https://www.aph.gov.au/Parliamentary_Business/Committees/Senate/Legal_and_Constitutional_Affairs/RespectatWork2022/Submissions" TargetMode="External"/><Relationship Id="rId1" Type="http://schemas.openxmlformats.org/officeDocument/2006/relationships/hyperlink" Target="https://humanrights.gov.au/our-work/sex-discrimination/publications/respectwork-sexual-harassment-national-inquiry-report-2020" TargetMode="External"/><Relationship Id="rId6" Type="http://schemas.openxmlformats.org/officeDocument/2006/relationships/hyperlink" Target="https://parlinfo.aph.gov.au/parlInfo/download/legislation/ems/r7110_ems_e83e5b49-1a08-484a-97d2-ee6f3ce685bc/upload_pdf/JC011446.pdf;fileType=application%2Fpdf" TargetMode="External"/><Relationship Id="rId5" Type="http://schemas.openxmlformats.org/officeDocument/2006/relationships/hyperlink" Target="https://parlinfo.aph.gov.au/parlInfo/download/legislation/ems/r7110_ems_e83e5b49-1a08-484a-97d2-ee6f3ce685bc/upload_pdf/JC011446.pdf;fileType=application%2Fpdf" TargetMode="External"/><Relationship Id="rId4" Type="http://schemas.openxmlformats.org/officeDocument/2006/relationships/hyperlink" Target="https://humanrights.gov.au/our-work/rights-and-freedoms/publications/free-and-equal-reform-agenda-federal-discrimination-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DGE6U7RJ2EFV-31920988-9342</_dlc_DocId>
    <_dlc_DocIdUrl xmlns="6500fe01-343b-4fb9-a1b0-68ac19d62e01">
      <Url>https://australianhrc.sharepoint.com/sites/LegalServicesWorkspace/_layouts/15/DocIdRedir.aspx?ID=DGE6U7RJ2EFV-31920988-9342</Url>
      <Description>DGE6U7RJ2EFV-31920988-9342</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75c5ac6-a0cc-43ed-b850-4a2ae59237b6"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5" ma:contentTypeDescription="Create a new document." ma:contentTypeScope="" ma:versionID="1c3164c2b3cc277dfa6a6039bcdc7b31">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6f199bde093ba6026e1644a5aea19a6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 ds:uri="57f1fb52-79b9-4278-9d54-1e5db41bfcda"/>
    <ds:schemaRef ds:uri="1a69bdef-c635-48ac-9cf9-b687dab64bb7"/>
  </ds:schemaRefs>
</ds:datastoreItem>
</file>

<file path=customXml/itemProps2.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3.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4.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5.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6.xml><?xml version="1.0" encoding="utf-8"?>
<ds:datastoreItem xmlns:ds="http://schemas.openxmlformats.org/officeDocument/2006/customXml" ds:itemID="{EA7F9B59-8D46-4D77-8521-E94F0A23250B}">
  <ds:schemaRefs>
    <ds:schemaRef ds:uri="Microsoft.SharePoint.Taxonomy.ContentTypeSync"/>
  </ds:schemaRefs>
</ds:datastoreItem>
</file>

<file path=customXml/itemProps7.xml><?xml version="1.0" encoding="utf-8"?>
<ds:datastoreItem xmlns:ds="http://schemas.openxmlformats.org/officeDocument/2006/customXml" ds:itemID="{6CC003CE-2565-4194-8213-944FEFBA85A7}"/>
</file>

<file path=docProps/app.xml><?xml version="1.0" encoding="utf-8"?>
<Properties xmlns="http://schemas.openxmlformats.org/officeDocument/2006/extended-properties" xmlns:vt="http://schemas.openxmlformats.org/officeDocument/2006/docPropsVTypes">
  <Template>Submission.dotx</Template>
  <TotalTime>740</TotalTime>
  <Pages>11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13964</CharactersWithSpaces>
  <SharedDoc>false</SharedDoc>
  <HLinks>
    <vt:vector size="90" baseType="variant">
      <vt:variant>
        <vt:i4>1048638</vt:i4>
      </vt:variant>
      <vt:variant>
        <vt:i4>38</vt:i4>
      </vt:variant>
      <vt:variant>
        <vt:i4>0</vt:i4>
      </vt:variant>
      <vt:variant>
        <vt:i4>5</vt:i4>
      </vt:variant>
      <vt:variant>
        <vt:lpwstr/>
      </vt:variant>
      <vt:variant>
        <vt:lpwstr>_Toc153793566</vt:lpwstr>
      </vt:variant>
      <vt:variant>
        <vt:i4>1048638</vt:i4>
      </vt:variant>
      <vt:variant>
        <vt:i4>32</vt:i4>
      </vt:variant>
      <vt:variant>
        <vt:i4>0</vt:i4>
      </vt:variant>
      <vt:variant>
        <vt:i4>5</vt:i4>
      </vt:variant>
      <vt:variant>
        <vt:lpwstr/>
      </vt:variant>
      <vt:variant>
        <vt:lpwstr>_Toc153793565</vt:lpwstr>
      </vt:variant>
      <vt:variant>
        <vt:i4>1048638</vt:i4>
      </vt:variant>
      <vt:variant>
        <vt:i4>26</vt:i4>
      </vt:variant>
      <vt:variant>
        <vt:i4>0</vt:i4>
      </vt:variant>
      <vt:variant>
        <vt:i4>5</vt:i4>
      </vt:variant>
      <vt:variant>
        <vt:lpwstr/>
      </vt:variant>
      <vt:variant>
        <vt:lpwstr>_Toc153793564</vt:lpwstr>
      </vt:variant>
      <vt:variant>
        <vt:i4>1048638</vt:i4>
      </vt:variant>
      <vt:variant>
        <vt:i4>20</vt:i4>
      </vt:variant>
      <vt:variant>
        <vt:i4>0</vt:i4>
      </vt:variant>
      <vt:variant>
        <vt:i4>5</vt:i4>
      </vt:variant>
      <vt:variant>
        <vt:lpwstr/>
      </vt:variant>
      <vt:variant>
        <vt:lpwstr>_Toc153793563</vt:lpwstr>
      </vt:variant>
      <vt:variant>
        <vt:i4>1048638</vt:i4>
      </vt:variant>
      <vt:variant>
        <vt:i4>14</vt:i4>
      </vt:variant>
      <vt:variant>
        <vt:i4>0</vt:i4>
      </vt:variant>
      <vt:variant>
        <vt:i4>5</vt:i4>
      </vt:variant>
      <vt:variant>
        <vt:lpwstr/>
      </vt:variant>
      <vt:variant>
        <vt:lpwstr>_Toc153793562</vt:lpwstr>
      </vt:variant>
      <vt:variant>
        <vt:i4>1048638</vt:i4>
      </vt:variant>
      <vt:variant>
        <vt:i4>8</vt:i4>
      </vt:variant>
      <vt:variant>
        <vt:i4>0</vt:i4>
      </vt:variant>
      <vt:variant>
        <vt:i4>5</vt:i4>
      </vt:variant>
      <vt:variant>
        <vt:lpwstr/>
      </vt:variant>
      <vt:variant>
        <vt:lpwstr>_Toc153793561</vt:lpwstr>
      </vt:variant>
      <vt:variant>
        <vt:i4>1048638</vt:i4>
      </vt:variant>
      <vt:variant>
        <vt:i4>2</vt:i4>
      </vt:variant>
      <vt:variant>
        <vt:i4>0</vt:i4>
      </vt:variant>
      <vt:variant>
        <vt:i4>5</vt:i4>
      </vt:variant>
      <vt:variant>
        <vt:lpwstr/>
      </vt:variant>
      <vt:variant>
        <vt:lpwstr>_Toc153793560</vt:lpwstr>
      </vt:variant>
      <vt:variant>
        <vt:i4>5374008</vt:i4>
      </vt:variant>
      <vt:variant>
        <vt:i4>21</vt:i4>
      </vt:variant>
      <vt:variant>
        <vt:i4>0</vt:i4>
      </vt:variant>
      <vt:variant>
        <vt:i4>5</vt:i4>
      </vt:variant>
      <vt:variant>
        <vt:lpwstr>https://parlinfo.aph.gov.au/parlInfo/download/legislation/ems/r7110_ems_e83e5b49-1a08-484a-97d2-ee6f3ce685bc/upload_pdf/JC011446.pdf;fileType=application%2Fpdf</vt:lpwstr>
      </vt:variant>
      <vt:variant>
        <vt:lpwstr/>
      </vt:variant>
      <vt:variant>
        <vt:i4>5374008</vt:i4>
      </vt:variant>
      <vt:variant>
        <vt:i4>18</vt:i4>
      </vt:variant>
      <vt:variant>
        <vt:i4>0</vt:i4>
      </vt:variant>
      <vt:variant>
        <vt:i4>5</vt:i4>
      </vt:variant>
      <vt:variant>
        <vt:lpwstr>https://parlinfo.aph.gov.au/parlInfo/download/legislation/ems/r7110_ems_e83e5b49-1a08-484a-97d2-ee6f3ce685bc/upload_pdf/JC011446.pdf;fileType=application%2Fpdf</vt:lpwstr>
      </vt:variant>
      <vt:variant>
        <vt:lpwstr/>
      </vt:variant>
      <vt:variant>
        <vt:i4>5374008</vt:i4>
      </vt:variant>
      <vt:variant>
        <vt:i4>15</vt:i4>
      </vt:variant>
      <vt:variant>
        <vt:i4>0</vt:i4>
      </vt:variant>
      <vt:variant>
        <vt:i4>5</vt:i4>
      </vt:variant>
      <vt:variant>
        <vt:lpwstr>https://parlinfo.aph.gov.au/parlInfo/download/legislation/ems/r7110_ems_e83e5b49-1a08-484a-97d2-ee6f3ce685bc/upload_pdf/JC011446.pdf;fileType=application%2Fpdf</vt:lpwstr>
      </vt:variant>
      <vt:variant>
        <vt:lpwstr/>
      </vt:variant>
      <vt:variant>
        <vt:i4>5374008</vt:i4>
      </vt:variant>
      <vt:variant>
        <vt:i4>12</vt:i4>
      </vt:variant>
      <vt:variant>
        <vt:i4>0</vt:i4>
      </vt:variant>
      <vt:variant>
        <vt:i4>5</vt:i4>
      </vt:variant>
      <vt:variant>
        <vt:lpwstr>https://parlinfo.aph.gov.au/parlInfo/download/legislation/ems/r7110_ems_e83e5b49-1a08-484a-97d2-ee6f3ce685bc/upload_pdf/JC011446.pdf;fileType=application%2Fpdf</vt:lpwstr>
      </vt:variant>
      <vt:variant>
        <vt:lpwstr/>
      </vt:variant>
      <vt:variant>
        <vt:i4>4718604</vt:i4>
      </vt:variant>
      <vt:variant>
        <vt:i4>9</vt:i4>
      </vt:variant>
      <vt:variant>
        <vt:i4>0</vt:i4>
      </vt:variant>
      <vt:variant>
        <vt:i4>5</vt:i4>
      </vt:variant>
      <vt:variant>
        <vt:lpwstr>https://humanrights.gov.au/our-work/rights-and-freedoms/publications/free-and-equal-reform-agenda-federal-discrimination-laws</vt:lpwstr>
      </vt:variant>
      <vt:variant>
        <vt:lpwstr/>
      </vt:variant>
      <vt:variant>
        <vt:i4>524295</vt:i4>
      </vt:variant>
      <vt:variant>
        <vt:i4>6</vt:i4>
      </vt:variant>
      <vt:variant>
        <vt:i4>0</vt:i4>
      </vt:variant>
      <vt:variant>
        <vt:i4>5</vt:i4>
      </vt:variant>
      <vt:variant>
        <vt:lpwstr>https://consultations.ag.gov.au/rights-and-protections/cost-model-anti-discrimination-laws/consultation/download_public_attachment?sqId=question-2022-01-06-6908678210-publishablefilesubquestion-1&amp;uuId=196811541</vt:lpwstr>
      </vt:variant>
      <vt:variant>
        <vt:lpwstr/>
      </vt:variant>
      <vt:variant>
        <vt:i4>4063285</vt:i4>
      </vt:variant>
      <vt:variant>
        <vt:i4>3</vt:i4>
      </vt:variant>
      <vt:variant>
        <vt:i4>0</vt:i4>
      </vt:variant>
      <vt:variant>
        <vt:i4>5</vt:i4>
      </vt:variant>
      <vt:variant>
        <vt:lpwstr>https://www.aph.gov.au/Parliamentary_Business/Committees/Senate/Legal_and_Constitutional_Affairs/RespectatWork2022/Submissions</vt:lpwstr>
      </vt:variant>
      <vt:variant>
        <vt:lpwstr/>
      </vt:variant>
      <vt:variant>
        <vt:i4>6619171</vt:i4>
      </vt:variant>
      <vt:variant>
        <vt:i4>0</vt:i4>
      </vt:variant>
      <vt:variant>
        <vt:i4>0</vt:i4>
      </vt:variant>
      <vt:variant>
        <vt:i4>5</vt:i4>
      </vt:variant>
      <vt:variant>
        <vt:lpwstr>https://humanrights.gov.au/our-work/sex-discrimination/publications/respectwork-sexual-harassment-national-inquiry-report-2020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Abreu</dc:creator>
  <cp:keywords/>
  <cp:lastModifiedBy>Melissa De Abreu</cp:lastModifiedBy>
  <cp:revision>573</cp:revision>
  <cp:lastPrinted>2023-12-19T03:25:00Z</cp:lastPrinted>
  <dcterms:created xsi:type="dcterms:W3CDTF">2023-12-13T06:50:00Z</dcterms:created>
  <dcterms:modified xsi:type="dcterms:W3CDTF">2023-12-19T03:26:00Z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0395c231-0d82-44ee-b2c2-ad77f0a288ea</vt:lpwstr>
  </property>
  <property fmtid="{D5CDD505-2E9C-101B-9397-08002B2CF9AE}" pid="4" name="TaxKeyword">
    <vt:lpwstr/>
  </property>
  <property fmtid="{D5CDD505-2E9C-101B-9397-08002B2CF9AE}" pid="5" name="Document Type">
    <vt:lpwstr/>
  </property>
</Properties>
</file>