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1" w:rsidRPr="00654793" w:rsidRDefault="00325B9F"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rsidR="00673004" w:rsidRPr="00B74219" w:rsidRDefault="00673004" w:rsidP="00A11307">
                            <w:pPr>
                              <w:pStyle w:val="Subtitle"/>
                            </w:pPr>
                            <w:bookmarkStart w:id="0" w:name="_Toc352840030"/>
                            <w:bookmarkStart w:id="1" w:name="_Toc352863526"/>
                            <w:bookmarkStart w:id="2" w:name="_Toc353093854"/>
                            <w:bookmarkStart w:id="3" w:name="_Toc353104809"/>
                            <w:bookmarkStart w:id="4" w:name="_Toc353105067"/>
                            <w:bookmarkStart w:id="5" w:name="_Toc353106609"/>
                            <w:bookmarkStart w:id="6" w:name="_Toc353189706"/>
                            <w:bookmarkStart w:id="7" w:name="_Toc353214987"/>
                            <w:bookmarkStart w:id="8" w:name="_Toc353284383"/>
                            <w:r w:rsidRPr="002863D7">
                              <w:t xml:space="preserve">Submission to the </w:t>
                            </w:r>
                            <w:r w:rsidRPr="00407619">
                              <w:t>parliamentary standing</w:t>
                            </w:r>
                            <w:r>
                              <w:t xml:space="preserve"> committee on PUBLIC WORKS</w:t>
                            </w:r>
                            <w:bookmarkEnd w:id="0"/>
                            <w:bookmarkEnd w:id="1"/>
                            <w:bookmarkEnd w:id="2"/>
                            <w:bookmarkEnd w:id="3"/>
                            <w:bookmarkEnd w:id="4"/>
                            <w:bookmarkEnd w:id="5"/>
                            <w:bookmarkEnd w:id="6"/>
                            <w:bookmarkEnd w:id="7"/>
                            <w:bookmarkEnd w:id="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" filled="f" stroked="f" strokeweight=".5pt">
                <v:path arrowok="t"/>
                <v:textbox>
                  <w:txbxContent>
                    <w:p w:rsidR="003504FC" w:rsidRPr="00B74219" w:rsidRDefault="003504FC" w:rsidP="00A11307">
                      <w:pPr>
                        <w:pStyle w:val="Subtitle"/>
                      </w:pPr>
                      <w:bookmarkStart w:id="9" w:name="_Toc352840030"/>
                      <w:bookmarkStart w:id="10" w:name="_Toc352863526"/>
                      <w:bookmarkStart w:id="11" w:name="_Toc353093854"/>
                      <w:bookmarkStart w:id="12" w:name="_Toc353104809"/>
                      <w:bookmarkStart w:id="13" w:name="_Toc353105067"/>
                      <w:bookmarkStart w:id="14" w:name="_Toc353106609"/>
                      <w:bookmarkStart w:id="15" w:name="_Toc353189706"/>
                      <w:bookmarkStart w:id="16" w:name="_Toc353214987"/>
                      <w:bookmarkStart w:id="17" w:name="_Toc353284383"/>
                      <w:r w:rsidRPr="002863D7">
                        <w:t xml:space="preserve">Submission to the </w:t>
                      </w:r>
                      <w:r w:rsidRPr="00407619">
                        <w:t>parliamentary standing</w:t>
                      </w:r>
                      <w:r>
                        <w:t xml:space="preserve"> committee on PUBLIC WORKS</w:t>
                      </w:r>
                      <w:bookmarkEnd w:id="9"/>
                      <w:bookmarkEnd w:id="10"/>
                      <w:bookmarkEnd w:id="11"/>
                      <w:bookmarkEnd w:id="12"/>
                      <w:bookmarkEnd w:id="13"/>
                      <w:bookmarkEnd w:id="14"/>
                      <w:bookmarkEnd w:id="15"/>
                      <w:bookmarkEnd w:id="16"/>
                      <w:bookmarkEnd w:id="17"/>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rsidR="00673004" w:rsidRPr="00B74219" w:rsidRDefault="00673004" w:rsidP="002863D7">
                            <w:pPr>
                              <w:pStyle w:val="Date"/>
                            </w:pPr>
                            <w:r w:rsidRPr="00407619">
                              <w:t>April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sHsO0ACAAB/BAAA&#10;DgAAAAAAAAAAAAAAAAAuAgAAZHJzL2Uyb0RvYy54bWxQSwECLQAUAAYACAAAACEA6DI+yd8AAAAL&#10;AQAADwAAAAAAAAAAAAAAAACaBAAAZHJzL2Rvd25yZXYueG1sUEsFBgAAAAAEAAQA8wAAAKYFAAAA&#10;AA==&#10;" filled="f" stroked="f" strokeweight=".5pt">
                <v:path arrowok="t"/>
                <v:textbox>
                  <w:txbxContent>
                    <w:p w:rsidR="00317255" w:rsidRPr="00B74219" w:rsidRDefault="00317255" w:rsidP="002863D7">
                      <w:pPr>
                        <w:pStyle w:val="Date"/>
                      </w:pPr>
                      <w:r w:rsidRPr="00407619">
                        <w:t>April 2013</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rsidR="00673004" w:rsidRDefault="00673004" w:rsidP="00FD01B5">
                            <w:pPr>
                              <w:pStyle w:val="MainTitle"/>
                            </w:pPr>
                            <w:r w:rsidRPr="00353029">
                              <w:rPr>
                                <w:sz w:val="52"/>
                                <w:szCs w:val="52"/>
                              </w:rPr>
                              <w:t>Manus Island Regional Processing Centre</w:t>
                            </w:r>
                            <w:r>
                              <w:t xml:space="preserve">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" filled="f" stroked="f" strokeweight=".5pt">
                <v:path arrowok="t"/>
                <v:textbox>
                  <w:txbxContent>
                    <w:p w:rsidR="003504FC" w:rsidRDefault="003504FC" w:rsidP="00FD01B5">
                      <w:pPr>
                        <w:pStyle w:val="MainTitle"/>
                      </w:pPr>
                      <w:r w:rsidRPr="00353029">
                        <w:rPr>
                          <w:sz w:val="52"/>
                          <w:szCs w:val="52"/>
                        </w:rPr>
                        <w:t>Manus Island Regional Processing Centre</w:t>
                      </w:r>
                      <w:r>
                        <w:t xml:space="preserve"> Proposal</w:t>
                      </w:r>
                    </w:p>
                  </w:txbxContent>
                </v:textbox>
              </v:shape>
            </w:pict>
          </mc:Fallback>
        </mc:AlternateContent>
      </w:r>
    </w:p>
    <w:p w:rsidR="00591951" w:rsidRPr="00827DE2" w:rsidRDefault="00591951" w:rsidP="00591951">
      <w:pPr>
        <w:pStyle w:val="MainTitle"/>
        <w:rPr>
          <w:sz w:val="44"/>
          <w:szCs w:val="44"/>
        </w:rPr>
      </w:pPr>
    </w:p>
    <w:p w:rsidR="00B924E6" w:rsidRDefault="00B924E6" w:rsidP="00E26B28">
      <w:pPr>
        <w:sectPr w:rsidR="00B924E6" w:rsidSect="00B24B1D">
          <w:headerReference w:type="even" r:id="rId9"/>
          <w:headerReference w:type="default"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9" w:name="_Toc209316062"/>
      <w:bookmarkEnd w:id="9"/>
    </w:p>
    <w:p w:rsidR="00B63D24" w:rsidRPr="00907336" w:rsidRDefault="00B63D24" w:rsidP="00B63D24">
      <w:pPr>
        <w:rPr>
          <w:b/>
          <w:sz w:val="28"/>
          <w:szCs w:val="28"/>
        </w:rPr>
      </w:pPr>
      <w:bookmarkStart w:id="10" w:name="_Toc207761829"/>
      <w:r w:rsidRPr="00907336">
        <w:rPr>
          <w:b/>
          <w:sz w:val="28"/>
          <w:szCs w:val="28"/>
        </w:rPr>
        <w:lastRenderedPageBreak/>
        <w:t>Table of Contents</w:t>
      </w:r>
      <w:bookmarkEnd w:id="10"/>
    </w:p>
    <w:p w:rsidR="00E42C3C" w:rsidRDefault="009A60DA">
      <w:pPr>
        <w:pStyle w:val="TOC2"/>
        <w:rPr>
          <w:rFonts w:asciiTheme="minorHAnsi" w:eastAsiaTheme="minorEastAsia" w:hAnsiTheme="minorHAnsi" w:cstheme="minorBidi"/>
          <w:b w:val="0"/>
          <w:i w:val="0"/>
          <w:sz w:val="22"/>
          <w:szCs w:val="22"/>
        </w:rPr>
      </w:pPr>
      <w:r>
        <w:rPr>
          <w:sz w:val="22"/>
        </w:rPr>
        <w:fldChar w:fldCharType="begin"/>
      </w:r>
      <w:r w:rsidR="00B63D24">
        <w:instrText xml:space="preserve"> TOC \o "1-4" \h \z \u </w:instrText>
      </w:r>
      <w:r>
        <w:rPr>
          <w:sz w:val="22"/>
        </w:rPr>
        <w:fldChar w:fldCharType="separate"/>
      </w:r>
    </w:p>
    <w:p w:rsidR="00E42C3C" w:rsidRDefault="00673004">
      <w:pPr>
        <w:pStyle w:val="TOC1"/>
        <w:rPr>
          <w:rFonts w:asciiTheme="minorHAnsi" w:eastAsiaTheme="minorEastAsia" w:hAnsiTheme="minorHAnsi" w:cstheme="minorBidi"/>
          <w:b w:val="0"/>
          <w:szCs w:val="22"/>
        </w:rPr>
      </w:pPr>
      <w:hyperlink w:anchor="_Toc353284384" w:history="1">
        <w:r w:rsidR="00E42C3C" w:rsidRPr="00B13AB9">
          <w:rPr>
            <w:rStyle w:val="Hyperlink"/>
          </w:rPr>
          <w:t>1</w:t>
        </w:r>
        <w:r w:rsidR="00E42C3C">
          <w:rPr>
            <w:rFonts w:asciiTheme="minorHAnsi" w:eastAsiaTheme="minorEastAsia" w:hAnsiTheme="minorHAnsi" w:cstheme="minorBidi"/>
            <w:b w:val="0"/>
            <w:szCs w:val="22"/>
          </w:rPr>
          <w:tab/>
        </w:r>
        <w:r w:rsidR="00E42C3C" w:rsidRPr="00B13AB9">
          <w:rPr>
            <w:rStyle w:val="Hyperlink"/>
          </w:rPr>
          <w:t>Introduction</w:t>
        </w:r>
        <w:r w:rsidR="00E42C3C">
          <w:rPr>
            <w:webHidden/>
          </w:rPr>
          <w:tab/>
        </w:r>
        <w:r w:rsidR="00E42C3C">
          <w:rPr>
            <w:webHidden/>
          </w:rPr>
          <w:fldChar w:fldCharType="begin"/>
        </w:r>
        <w:r w:rsidR="00E42C3C">
          <w:rPr>
            <w:webHidden/>
          </w:rPr>
          <w:instrText xml:space="preserve"> PAGEREF _Toc353284384 \h </w:instrText>
        </w:r>
        <w:r w:rsidR="00E42C3C">
          <w:rPr>
            <w:webHidden/>
          </w:rPr>
        </w:r>
        <w:r w:rsidR="00E42C3C">
          <w:rPr>
            <w:webHidden/>
          </w:rPr>
          <w:fldChar w:fldCharType="separate"/>
        </w:r>
        <w:r w:rsidR="006903C3">
          <w:rPr>
            <w:webHidden/>
          </w:rPr>
          <w:t>3</w:t>
        </w:r>
        <w:r w:rsidR="00E42C3C">
          <w:rPr>
            <w:webHidden/>
          </w:rPr>
          <w:fldChar w:fldCharType="end"/>
        </w:r>
      </w:hyperlink>
    </w:p>
    <w:p w:rsidR="00E42C3C" w:rsidRDefault="00673004">
      <w:pPr>
        <w:pStyle w:val="TOC1"/>
        <w:rPr>
          <w:rFonts w:asciiTheme="minorHAnsi" w:eastAsiaTheme="minorEastAsia" w:hAnsiTheme="minorHAnsi" w:cstheme="minorBidi"/>
          <w:b w:val="0"/>
          <w:szCs w:val="22"/>
        </w:rPr>
      </w:pPr>
      <w:hyperlink w:anchor="_Toc353284385" w:history="1">
        <w:r w:rsidR="00E42C3C" w:rsidRPr="00B13AB9">
          <w:rPr>
            <w:rStyle w:val="Hyperlink"/>
          </w:rPr>
          <w:t>2</w:t>
        </w:r>
        <w:r w:rsidR="00E42C3C">
          <w:rPr>
            <w:rFonts w:asciiTheme="minorHAnsi" w:eastAsiaTheme="minorEastAsia" w:hAnsiTheme="minorHAnsi" w:cstheme="minorBidi"/>
            <w:b w:val="0"/>
            <w:szCs w:val="22"/>
          </w:rPr>
          <w:tab/>
        </w:r>
        <w:r w:rsidR="00E42C3C" w:rsidRPr="00B13AB9">
          <w:rPr>
            <w:rStyle w:val="Hyperlink"/>
          </w:rPr>
          <w:t>Recommendations</w:t>
        </w:r>
        <w:r w:rsidR="00E42C3C">
          <w:rPr>
            <w:webHidden/>
          </w:rPr>
          <w:tab/>
        </w:r>
        <w:r w:rsidR="00E42C3C">
          <w:rPr>
            <w:webHidden/>
          </w:rPr>
          <w:fldChar w:fldCharType="begin"/>
        </w:r>
        <w:r w:rsidR="00E42C3C">
          <w:rPr>
            <w:webHidden/>
          </w:rPr>
          <w:instrText xml:space="preserve"> PAGEREF _Toc353284385 \h </w:instrText>
        </w:r>
        <w:r w:rsidR="00E42C3C">
          <w:rPr>
            <w:webHidden/>
          </w:rPr>
        </w:r>
        <w:r w:rsidR="00E42C3C">
          <w:rPr>
            <w:webHidden/>
          </w:rPr>
          <w:fldChar w:fldCharType="separate"/>
        </w:r>
        <w:r w:rsidR="006903C3">
          <w:rPr>
            <w:webHidden/>
          </w:rPr>
          <w:t>3</w:t>
        </w:r>
        <w:r w:rsidR="00E42C3C">
          <w:rPr>
            <w:webHidden/>
          </w:rPr>
          <w:fldChar w:fldCharType="end"/>
        </w:r>
      </w:hyperlink>
    </w:p>
    <w:p w:rsidR="00E42C3C" w:rsidRDefault="00673004">
      <w:pPr>
        <w:pStyle w:val="TOC1"/>
        <w:rPr>
          <w:rFonts w:asciiTheme="minorHAnsi" w:eastAsiaTheme="minorEastAsia" w:hAnsiTheme="minorHAnsi" w:cstheme="minorBidi"/>
          <w:b w:val="0"/>
          <w:szCs w:val="22"/>
        </w:rPr>
      </w:pPr>
      <w:hyperlink w:anchor="_Toc353284386" w:history="1">
        <w:r w:rsidR="00E42C3C" w:rsidRPr="00B13AB9">
          <w:rPr>
            <w:rStyle w:val="Hyperlink"/>
          </w:rPr>
          <w:t>3</w:t>
        </w:r>
        <w:r w:rsidR="00E42C3C">
          <w:rPr>
            <w:rFonts w:asciiTheme="minorHAnsi" w:eastAsiaTheme="minorEastAsia" w:hAnsiTheme="minorHAnsi" w:cstheme="minorBidi"/>
            <w:b w:val="0"/>
            <w:szCs w:val="22"/>
          </w:rPr>
          <w:tab/>
        </w:r>
        <w:r w:rsidR="00E42C3C" w:rsidRPr="00B13AB9">
          <w:rPr>
            <w:rStyle w:val="Hyperlink"/>
          </w:rPr>
          <w:t>The Australian Government’s third country processing regime</w:t>
        </w:r>
        <w:r w:rsidR="00E42C3C">
          <w:rPr>
            <w:webHidden/>
          </w:rPr>
          <w:tab/>
        </w:r>
        <w:r w:rsidR="00E42C3C">
          <w:rPr>
            <w:webHidden/>
          </w:rPr>
          <w:fldChar w:fldCharType="begin"/>
        </w:r>
        <w:r w:rsidR="00E42C3C">
          <w:rPr>
            <w:webHidden/>
          </w:rPr>
          <w:instrText xml:space="preserve"> PAGEREF _Toc353284386 \h </w:instrText>
        </w:r>
        <w:r w:rsidR="00E42C3C">
          <w:rPr>
            <w:webHidden/>
          </w:rPr>
        </w:r>
        <w:r w:rsidR="00E42C3C">
          <w:rPr>
            <w:webHidden/>
          </w:rPr>
          <w:fldChar w:fldCharType="separate"/>
        </w:r>
        <w:r w:rsidR="006903C3">
          <w:rPr>
            <w:webHidden/>
          </w:rPr>
          <w:t>4</w:t>
        </w:r>
        <w:r w:rsidR="00E42C3C">
          <w:rPr>
            <w:webHidden/>
          </w:rPr>
          <w:fldChar w:fldCharType="end"/>
        </w:r>
      </w:hyperlink>
    </w:p>
    <w:p w:rsidR="00E42C3C" w:rsidRDefault="00673004">
      <w:pPr>
        <w:pStyle w:val="TOC1"/>
        <w:rPr>
          <w:rFonts w:asciiTheme="minorHAnsi" w:eastAsiaTheme="minorEastAsia" w:hAnsiTheme="minorHAnsi" w:cstheme="minorBidi"/>
          <w:b w:val="0"/>
          <w:szCs w:val="22"/>
        </w:rPr>
      </w:pPr>
      <w:hyperlink w:anchor="_Toc353284387" w:history="1">
        <w:r w:rsidR="00E42C3C" w:rsidRPr="00B13AB9">
          <w:rPr>
            <w:rStyle w:val="Hyperlink"/>
          </w:rPr>
          <w:t>4</w:t>
        </w:r>
        <w:r w:rsidR="00E42C3C">
          <w:rPr>
            <w:rFonts w:asciiTheme="minorHAnsi" w:eastAsiaTheme="minorEastAsia" w:hAnsiTheme="minorHAnsi" w:cstheme="minorBidi"/>
            <w:b w:val="0"/>
            <w:szCs w:val="22"/>
          </w:rPr>
          <w:tab/>
        </w:r>
        <w:r w:rsidR="00E42C3C" w:rsidRPr="00B13AB9">
          <w:rPr>
            <w:rStyle w:val="Hyperlink"/>
          </w:rPr>
          <w:t>The need for an appropriate facility on Manus Island</w:t>
        </w:r>
        <w:r w:rsidR="00E42C3C">
          <w:rPr>
            <w:webHidden/>
          </w:rPr>
          <w:tab/>
        </w:r>
        <w:r w:rsidR="00E42C3C">
          <w:rPr>
            <w:webHidden/>
          </w:rPr>
          <w:fldChar w:fldCharType="begin"/>
        </w:r>
        <w:r w:rsidR="00E42C3C">
          <w:rPr>
            <w:webHidden/>
          </w:rPr>
          <w:instrText xml:space="preserve"> PAGEREF _Toc353284387 \h </w:instrText>
        </w:r>
        <w:r w:rsidR="00E42C3C">
          <w:rPr>
            <w:webHidden/>
          </w:rPr>
        </w:r>
        <w:r w:rsidR="00E42C3C">
          <w:rPr>
            <w:webHidden/>
          </w:rPr>
          <w:fldChar w:fldCharType="separate"/>
        </w:r>
        <w:r w:rsidR="006903C3">
          <w:rPr>
            <w:webHidden/>
          </w:rPr>
          <w:t>5</w:t>
        </w:r>
        <w:r w:rsidR="00E42C3C">
          <w:rPr>
            <w:webHidden/>
          </w:rPr>
          <w:fldChar w:fldCharType="end"/>
        </w:r>
      </w:hyperlink>
    </w:p>
    <w:p w:rsidR="00E42C3C" w:rsidRDefault="00673004">
      <w:pPr>
        <w:pStyle w:val="TOC1"/>
        <w:rPr>
          <w:rFonts w:asciiTheme="minorHAnsi" w:eastAsiaTheme="minorEastAsia" w:hAnsiTheme="minorHAnsi" w:cstheme="minorBidi"/>
          <w:b w:val="0"/>
          <w:szCs w:val="22"/>
        </w:rPr>
      </w:pPr>
      <w:hyperlink w:anchor="_Toc353284388" w:history="1">
        <w:r w:rsidR="00E42C3C" w:rsidRPr="00B13AB9">
          <w:rPr>
            <w:rStyle w:val="Hyperlink"/>
          </w:rPr>
          <w:t>5</w:t>
        </w:r>
        <w:r w:rsidR="00E42C3C">
          <w:rPr>
            <w:rFonts w:asciiTheme="minorHAnsi" w:eastAsiaTheme="minorEastAsia" w:hAnsiTheme="minorHAnsi" w:cstheme="minorBidi"/>
            <w:b w:val="0"/>
            <w:szCs w:val="22"/>
          </w:rPr>
          <w:tab/>
        </w:r>
        <w:r w:rsidR="00E42C3C" w:rsidRPr="00B13AB9">
          <w:rPr>
            <w:rStyle w:val="Hyperlink"/>
          </w:rPr>
          <w:t>Relevant international human rights standards</w:t>
        </w:r>
        <w:r w:rsidR="00E42C3C">
          <w:rPr>
            <w:webHidden/>
          </w:rPr>
          <w:tab/>
        </w:r>
        <w:r w:rsidR="00E42C3C">
          <w:rPr>
            <w:webHidden/>
          </w:rPr>
          <w:fldChar w:fldCharType="begin"/>
        </w:r>
        <w:r w:rsidR="00E42C3C">
          <w:rPr>
            <w:webHidden/>
          </w:rPr>
          <w:instrText xml:space="preserve"> PAGEREF _Toc353284388 \h </w:instrText>
        </w:r>
        <w:r w:rsidR="00E42C3C">
          <w:rPr>
            <w:webHidden/>
          </w:rPr>
        </w:r>
        <w:r w:rsidR="00E42C3C">
          <w:rPr>
            <w:webHidden/>
          </w:rPr>
          <w:fldChar w:fldCharType="separate"/>
        </w:r>
        <w:r w:rsidR="006903C3">
          <w:rPr>
            <w:webHidden/>
          </w:rPr>
          <w:t>5</w:t>
        </w:r>
        <w:r w:rsidR="00E42C3C">
          <w:rPr>
            <w:webHidden/>
          </w:rPr>
          <w:fldChar w:fldCharType="end"/>
        </w:r>
      </w:hyperlink>
    </w:p>
    <w:p w:rsidR="00E42C3C" w:rsidRDefault="00673004">
      <w:pPr>
        <w:pStyle w:val="TOC1"/>
        <w:rPr>
          <w:rFonts w:asciiTheme="minorHAnsi" w:eastAsiaTheme="minorEastAsia" w:hAnsiTheme="minorHAnsi" w:cstheme="minorBidi"/>
          <w:b w:val="0"/>
          <w:szCs w:val="22"/>
        </w:rPr>
      </w:pPr>
      <w:hyperlink w:anchor="_Toc353284389" w:history="1">
        <w:r w:rsidR="00E42C3C" w:rsidRPr="00B13AB9">
          <w:rPr>
            <w:rStyle w:val="Hyperlink"/>
          </w:rPr>
          <w:t>6</w:t>
        </w:r>
        <w:r w:rsidR="00E42C3C">
          <w:rPr>
            <w:rFonts w:asciiTheme="minorHAnsi" w:eastAsiaTheme="minorEastAsia" w:hAnsiTheme="minorHAnsi" w:cstheme="minorBidi"/>
            <w:b w:val="0"/>
            <w:szCs w:val="22"/>
          </w:rPr>
          <w:tab/>
        </w:r>
        <w:r w:rsidR="00E42C3C" w:rsidRPr="00B13AB9">
          <w:rPr>
            <w:rStyle w:val="Hyperlink"/>
          </w:rPr>
          <w:t>The need to avoid arbitrary detention</w:t>
        </w:r>
        <w:r w:rsidR="00E42C3C">
          <w:rPr>
            <w:webHidden/>
          </w:rPr>
          <w:tab/>
        </w:r>
        <w:r w:rsidR="00E42C3C">
          <w:rPr>
            <w:webHidden/>
          </w:rPr>
          <w:fldChar w:fldCharType="begin"/>
        </w:r>
        <w:r w:rsidR="00E42C3C">
          <w:rPr>
            <w:webHidden/>
          </w:rPr>
          <w:instrText xml:space="preserve"> PAGEREF _Toc353284389 \h </w:instrText>
        </w:r>
        <w:r w:rsidR="00E42C3C">
          <w:rPr>
            <w:webHidden/>
          </w:rPr>
        </w:r>
        <w:r w:rsidR="00E42C3C">
          <w:rPr>
            <w:webHidden/>
          </w:rPr>
          <w:fldChar w:fldCharType="separate"/>
        </w:r>
        <w:r w:rsidR="006903C3">
          <w:rPr>
            <w:webHidden/>
          </w:rPr>
          <w:t>7</w:t>
        </w:r>
        <w:r w:rsidR="00E42C3C">
          <w:rPr>
            <w:webHidden/>
          </w:rPr>
          <w:fldChar w:fldCharType="end"/>
        </w:r>
      </w:hyperlink>
    </w:p>
    <w:p w:rsidR="00B34946" w:rsidRDefault="009A60DA" w:rsidP="00B63D24">
      <w:r>
        <w:fldChar w:fldCharType="end"/>
      </w:r>
    </w:p>
    <w:p w:rsidR="00B34946" w:rsidRDefault="00B34946">
      <w:pPr>
        <w:spacing w:before="0" w:after="0"/>
      </w:pPr>
      <w:r>
        <w:br w:type="page"/>
      </w:r>
    </w:p>
    <w:p w:rsidR="00B34946" w:rsidRPr="001E1304" w:rsidRDefault="00B34946" w:rsidP="00AB584A">
      <w:pPr>
        <w:pStyle w:val="Heading1"/>
        <w:numPr>
          <w:ilvl w:val="0"/>
          <w:numId w:val="16"/>
        </w:numPr>
      </w:pPr>
      <w:bookmarkStart w:id="11" w:name="_Toc207761830"/>
      <w:bookmarkStart w:id="12" w:name="_Toc209578266"/>
      <w:bookmarkStart w:id="13" w:name="_Toc353284384"/>
      <w:r w:rsidRPr="001E1304">
        <w:lastRenderedPageBreak/>
        <w:t>Introduction</w:t>
      </w:r>
      <w:bookmarkEnd w:id="11"/>
      <w:bookmarkEnd w:id="12"/>
      <w:bookmarkEnd w:id="13"/>
      <w:r w:rsidRPr="001E1304">
        <w:t xml:space="preserve"> </w:t>
      </w:r>
    </w:p>
    <w:p w:rsidR="00B34946" w:rsidRDefault="00B34946" w:rsidP="00B34946">
      <w:pPr>
        <w:pStyle w:val="SubmissionNormal"/>
      </w:pPr>
      <w:r w:rsidRPr="00C5786C">
        <w:t xml:space="preserve">The </w:t>
      </w:r>
      <w:r w:rsidR="000779B5">
        <w:t xml:space="preserve">Australian Human Rights </w:t>
      </w:r>
      <w:r w:rsidRPr="00C5786C">
        <w:t xml:space="preserve">Commission </w:t>
      </w:r>
      <w:r w:rsidR="00314FB4">
        <w:t xml:space="preserve">welcomes the opportunity to make this submission to the </w:t>
      </w:r>
      <w:r w:rsidR="000779B5">
        <w:t xml:space="preserve">Parliamentary Standing </w:t>
      </w:r>
      <w:r w:rsidR="00314FB4">
        <w:t>Committee on Public Works in its inquiry into the</w:t>
      </w:r>
      <w:r w:rsidR="000779B5">
        <w:t xml:space="preserve"> proposed infrastructure and upgrade works to establish a regional processing centre on</w:t>
      </w:r>
      <w:r w:rsidR="00314FB4">
        <w:t xml:space="preserve"> Manus Island</w:t>
      </w:r>
      <w:r w:rsidR="000779B5">
        <w:t>, Papua New Guinea</w:t>
      </w:r>
      <w:r w:rsidR="00A810D9">
        <w:t xml:space="preserve"> (PNG)</w:t>
      </w:r>
      <w:r w:rsidRPr="008A0C37">
        <w:t>.</w:t>
      </w:r>
    </w:p>
    <w:p w:rsidR="00314FB4" w:rsidRDefault="00314FB4" w:rsidP="00D71757">
      <w:pPr>
        <w:pStyle w:val="SubmissionNormal"/>
        <w:spacing w:before="120" w:after="0"/>
      </w:pPr>
      <w:r>
        <w:t>This submission draws on the Commission’s long history of work in the area of immigration detention</w:t>
      </w:r>
      <w:r w:rsidR="000779B5">
        <w:t xml:space="preserve"> and asylum seekers</w:t>
      </w:r>
      <w:r>
        <w:t>, including:</w:t>
      </w:r>
    </w:p>
    <w:p w:rsidR="00314FB4" w:rsidRPr="00B60814" w:rsidRDefault="00314FB4" w:rsidP="00C43CBF">
      <w:pPr>
        <w:pStyle w:val="ListParagraph"/>
        <w:numPr>
          <w:ilvl w:val="0"/>
          <w:numId w:val="18"/>
        </w:numPr>
        <w:spacing w:before="120" w:after="120"/>
        <w:ind w:left="1077" w:hanging="357"/>
        <w:contextualSpacing w:val="0"/>
      </w:pPr>
      <w:r>
        <w:t xml:space="preserve">submissions to parliamentary inquiries, </w:t>
      </w:r>
      <w:r w:rsidR="00AB584A">
        <w:t>for example</w:t>
      </w:r>
      <w:r>
        <w:t xml:space="preserve"> the Parliamentary J</w:t>
      </w:r>
      <w:r w:rsidR="00AB584A">
        <w:t>oint Committee on Human Rights’</w:t>
      </w:r>
      <w:r>
        <w:t xml:space="preserve"> </w:t>
      </w:r>
      <w:hyperlink r:id="rId14" w:history="1">
        <w:r w:rsidRPr="00BA18CB">
          <w:rPr>
            <w:rStyle w:val="Hyperlink"/>
          </w:rPr>
          <w:t>Examination of the Migration (Regional Processing) package of legislation</w:t>
        </w:r>
      </w:hyperlink>
      <w:r w:rsidR="00AB584A">
        <w:t xml:space="preserve"> </w:t>
      </w:r>
      <w:r>
        <w:t xml:space="preserve">and the </w:t>
      </w:r>
      <w:r w:rsidRPr="00B60814">
        <w:t>Parliamentary Standing Committee on Public Works</w:t>
      </w:r>
      <w:r>
        <w:t xml:space="preserve">’ </w:t>
      </w:r>
      <w:hyperlink r:id="rId15" w:history="1">
        <w:r w:rsidRPr="000E5167">
          <w:rPr>
            <w:rStyle w:val="Hyperlink"/>
          </w:rPr>
          <w:t>inquiry into the Proposed Redevelopment of the Villawood Immigration Detention Facility</w:t>
        </w:r>
      </w:hyperlink>
      <w:r w:rsidR="00483F2D">
        <w:rPr>
          <w:rStyle w:val="EndnoteReference"/>
        </w:rPr>
        <w:endnoteReference w:id="1"/>
      </w:r>
      <w:r>
        <w:t xml:space="preserve"> </w:t>
      </w:r>
    </w:p>
    <w:p w:rsidR="00314FB4" w:rsidRDefault="00314FB4" w:rsidP="00C43CBF">
      <w:pPr>
        <w:pStyle w:val="ListParagraph"/>
        <w:numPr>
          <w:ilvl w:val="1"/>
          <w:numId w:val="17"/>
        </w:numPr>
        <w:spacing w:before="120" w:after="120"/>
        <w:ind w:left="1077" w:hanging="357"/>
        <w:contextualSpacing w:val="0"/>
      </w:pPr>
      <w:r>
        <w:t>national inquiries, in</w:t>
      </w:r>
      <w:r w:rsidR="000779B5">
        <w:t>cluding</w:t>
      </w:r>
      <w:r>
        <w:t xml:space="preserve"> </w:t>
      </w:r>
      <w:hyperlink r:id="rId16" w:history="1">
        <w:r w:rsidR="00D679D5">
          <w:rPr>
            <w:rStyle w:val="Hyperlink"/>
            <w:i/>
          </w:rPr>
          <w:t>A last resort?</w:t>
        </w:r>
        <w:r w:rsidRPr="000E5167">
          <w:rPr>
            <w:rStyle w:val="Hyperlink"/>
            <w:i/>
          </w:rPr>
          <w:t xml:space="preserve"> National Inquiry into Children in Immigration Detention</w:t>
        </w:r>
      </w:hyperlink>
      <w:r w:rsidR="00483F2D">
        <w:rPr>
          <w:rStyle w:val="EndnoteReference"/>
        </w:rPr>
        <w:endnoteReference w:id="2"/>
      </w:r>
    </w:p>
    <w:p w:rsidR="00314FB4" w:rsidRDefault="00314FB4" w:rsidP="00C43CBF">
      <w:pPr>
        <w:pStyle w:val="ListParagraph"/>
        <w:numPr>
          <w:ilvl w:val="1"/>
          <w:numId w:val="17"/>
        </w:numPr>
        <w:spacing w:before="120" w:after="120"/>
        <w:ind w:left="1077" w:hanging="357"/>
        <w:contextualSpacing w:val="0"/>
      </w:pPr>
      <w:r>
        <w:t>inspections and reports on conditions in immigration detention facilities</w:t>
      </w:r>
      <w:r w:rsidR="00E24675">
        <w:rPr>
          <w:rStyle w:val="EndnoteReference"/>
        </w:rPr>
        <w:endnoteReference w:id="3"/>
      </w:r>
    </w:p>
    <w:p w:rsidR="00314FB4" w:rsidRDefault="00314FB4" w:rsidP="00C43CBF">
      <w:pPr>
        <w:pStyle w:val="ListParagraph"/>
        <w:numPr>
          <w:ilvl w:val="1"/>
          <w:numId w:val="17"/>
        </w:numPr>
        <w:spacing w:before="120" w:after="120"/>
        <w:ind w:left="1077" w:hanging="357"/>
        <w:contextualSpacing w:val="0"/>
      </w:pPr>
      <w:r>
        <w:t>investigating complaints from individuals in immigration detention</w:t>
      </w:r>
    </w:p>
    <w:p w:rsidR="00314FB4" w:rsidRDefault="00314FB4" w:rsidP="00C43CBF">
      <w:pPr>
        <w:pStyle w:val="ListParagraph"/>
        <w:numPr>
          <w:ilvl w:val="1"/>
          <w:numId w:val="17"/>
        </w:numPr>
        <w:spacing w:before="120" w:after="120"/>
        <w:ind w:left="1077" w:hanging="357"/>
        <w:contextualSpacing w:val="0"/>
      </w:pPr>
      <w:r>
        <w:t xml:space="preserve">developing </w:t>
      </w:r>
      <w:r w:rsidR="000779B5">
        <w:t xml:space="preserve">human rights based </w:t>
      </w:r>
      <w:r>
        <w:t>standards for immigration detention</w:t>
      </w:r>
      <w:r w:rsidR="00483F2D">
        <w:t>.</w:t>
      </w:r>
    </w:p>
    <w:p w:rsidR="00B34946" w:rsidRDefault="00C42C6F" w:rsidP="00B34946">
      <w:pPr>
        <w:pStyle w:val="SubmissionNormal"/>
        <w:ind w:hanging="567"/>
      </w:pPr>
      <w:r>
        <w:t xml:space="preserve">For </w:t>
      </w:r>
      <w:r w:rsidR="00B16715">
        <w:t>a number of reasons</w:t>
      </w:r>
      <w:r>
        <w:t xml:space="preserve"> specified in previous submissions and reports, t</w:t>
      </w:r>
      <w:r w:rsidR="00314FB4">
        <w:t>he Commission opposes the transfer of asylum seekers to third countries</w:t>
      </w:r>
      <w:r w:rsidR="00362CD6">
        <w:t xml:space="preserve"> for the processing of their </w:t>
      </w:r>
      <w:r w:rsidR="00EE4D75">
        <w:t>refugee claims</w:t>
      </w:r>
      <w:r w:rsidR="00314FB4">
        <w:t>.</w:t>
      </w:r>
      <w:r w:rsidR="00572F9B">
        <w:rPr>
          <w:rStyle w:val="EndnoteReference"/>
        </w:rPr>
        <w:endnoteReference w:id="4"/>
      </w:r>
      <w:r w:rsidR="00314FB4">
        <w:t xml:space="preserve"> However, if</w:t>
      </w:r>
      <w:r w:rsidR="00D679D5">
        <w:t xml:space="preserve"> </w:t>
      </w:r>
      <w:r w:rsidR="00314FB4">
        <w:t xml:space="preserve">the Australian Government </w:t>
      </w:r>
      <w:r w:rsidR="002F0126">
        <w:t xml:space="preserve">intends to </w:t>
      </w:r>
      <w:r w:rsidR="00314FB4">
        <w:t>continue to transfer asylum seekers</w:t>
      </w:r>
      <w:r w:rsidR="002F0126">
        <w:t xml:space="preserve"> to Manus Island</w:t>
      </w:r>
      <w:r w:rsidR="00314FB4">
        <w:t xml:space="preserve">, </w:t>
      </w:r>
      <w:r w:rsidR="00832885">
        <w:t xml:space="preserve">an </w:t>
      </w:r>
      <w:r w:rsidR="00314FB4">
        <w:t>appropriate facilit</w:t>
      </w:r>
      <w:r w:rsidR="00832885">
        <w:t xml:space="preserve">y should </w:t>
      </w:r>
      <w:r w:rsidR="00314FB4">
        <w:t xml:space="preserve">be established </w:t>
      </w:r>
      <w:r w:rsidR="00832885">
        <w:t xml:space="preserve">in order to ensure that </w:t>
      </w:r>
      <w:r w:rsidR="00F60790">
        <w:t>those asylum seekers</w:t>
      </w:r>
      <w:r w:rsidR="00832885">
        <w:t xml:space="preserve"> are treated in accordance with </w:t>
      </w:r>
      <w:r w:rsidR="00314FB4">
        <w:t xml:space="preserve">international </w:t>
      </w:r>
      <w:r w:rsidR="00832885">
        <w:t>standards</w:t>
      </w:r>
      <w:r w:rsidR="00314FB4">
        <w:t>.</w:t>
      </w:r>
    </w:p>
    <w:p w:rsidR="00B34946" w:rsidRDefault="00314FB4" w:rsidP="00B504E9">
      <w:pPr>
        <w:pStyle w:val="SubmissionNormal"/>
        <w:ind w:hanging="567"/>
      </w:pPr>
      <w:r>
        <w:t xml:space="preserve">This submission does not provide a detailed </w:t>
      </w:r>
      <w:r w:rsidR="00832885">
        <w:t>assessment of</w:t>
      </w:r>
      <w:r>
        <w:t xml:space="preserve"> the </w:t>
      </w:r>
      <w:r w:rsidR="00572F9B">
        <w:t xml:space="preserve">Manus Island </w:t>
      </w:r>
      <w:r w:rsidR="00832885">
        <w:t xml:space="preserve">regional processing centre </w:t>
      </w:r>
      <w:r>
        <w:t>proposal</w:t>
      </w:r>
      <w:r w:rsidR="00832885">
        <w:t>.</w:t>
      </w:r>
      <w:r>
        <w:t xml:space="preserve"> </w:t>
      </w:r>
      <w:r w:rsidR="00832885">
        <w:t>R</w:t>
      </w:r>
      <w:r>
        <w:t>ather</w:t>
      </w:r>
      <w:r w:rsidR="00832885">
        <w:t>, it outlines</w:t>
      </w:r>
      <w:r>
        <w:t xml:space="preserve"> the </w:t>
      </w:r>
      <w:r w:rsidR="00D679D5">
        <w:t>international</w:t>
      </w:r>
      <w:r>
        <w:t xml:space="preserve"> human rights standards which </w:t>
      </w:r>
      <w:r w:rsidR="00572F9B">
        <w:t>should</w:t>
      </w:r>
      <w:r>
        <w:t xml:space="preserve"> be adhered to</w:t>
      </w:r>
      <w:r w:rsidR="00832885">
        <w:t xml:space="preserve"> in the design and operation of such a facility.</w:t>
      </w:r>
    </w:p>
    <w:p w:rsidR="00D97BFD" w:rsidRDefault="00771F6E" w:rsidP="00AB584A">
      <w:pPr>
        <w:pStyle w:val="Heading1"/>
        <w:numPr>
          <w:ilvl w:val="0"/>
          <w:numId w:val="16"/>
        </w:numPr>
      </w:pPr>
      <w:bookmarkStart w:id="14" w:name="_Toc353284385"/>
      <w:bookmarkStart w:id="15" w:name="_Toc162769292"/>
      <w:bookmarkStart w:id="16" w:name="_Toc207761833"/>
      <w:bookmarkStart w:id="17" w:name="_Toc209578269"/>
      <w:r>
        <w:t>R</w:t>
      </w:r>
      <w:r w:rsidR="00D97BFD">
        <w:t>ecommendations</w:t>
      </w:r>
      <w:bookmarkEnd w:id="14"/>
    </w:p>
    <w:p w:rsidR="00014101" w:rsidRDefault="00014101" w:rsidP="000D053A">
      <w:pPr>
        <w:pStyle w:val="SubmissionNormal"/>
        <w:numPr>
          <w:ilvl w:val="0"/>
          <w:numId w:val="0"/>
        </w:numPr>
      </w:pPr>
      <w:r>
        <w:rPr>
          <w:b/>
        </w:rPr>
        <w:t xml:space="preserve">Recommendation 1: </w:t>
      </w:r>
      <w:r>
        <w:t>The</w:t>
      </w:r>
      <w:r>
        <w:rPr>
          <w:rFonts w:cs="Arial"/>
        </w:rPr>
        <w:t xml:space="preserve"> Australian Government should cease transferring asylum seekers to Manus Island. Asylum seekers who arrive in Australia should have their claims for protection</w:t>
      </w:r>
      <w:r w:rsidR="00545BBA">
        <w:rPr>
          <w:rFonts w:cs="Arial"/>
        </w:rPr>
        <w:t xml:space="preserve"> processed under Australian law</w:t>
      </w:r>
      <w:r>
        <w:rPr>
          <w:rFonts w:cs="Arial"/>
        </w:rPr>
        <w:t xml:space="preserve"> in a timely and efficient manner. They should be</w:t>
      </w:r>
      <w:r>
        <w:t xml:space="preserve"> transferred into the Australian community unless they have been individually assessed as posing an unacceptable risk that justifies their detention. </w:t>
      </w:r>
    </w:p>
    <w:p w:rsidR="00014101" w:rsidRDefault="00014101" w:rsidP="000D053A">
      <w:pPr>
        <w:pStyle w:val="SubmissionNormal"/>
        <w:numPr>
          <w:ilvl w:val="0"/>
          <w:numId w:val="0"/>
        </w:numPr>
      </w:pPr>
      <w:r>
        <w:rPr>
          <w:b/>
        </w:rPr>
        <w:t xml:space="preserve">Recommendation 2: </w:t>
      </w:r>
      <w:r>
        <w:t xml:space="preserve">If the Australian Government intends to continue to transfer asylum seekers to Manus Island, it should establish </w:t>
      </w:r>
      <w:r>
        <w:rPr>
          <w:rFonts w:cs="Arial"/>
        </w:rPr>
        <w:t xml:space="preserve">an appropriate facility </w:t>
      </w:r>
      <w:r>
        <w:t>to ensure that asylum seekers are treated in accordance with international standards. Asylum seekers currently on Manus Island should be returned to Australia, and no further transfers should take place until an appropriate facility is established.</w:t>
      </w:r>
    </w:p>
    <w:p w:rsidR="00014101" w:rsidRPr="00BE1360" w:rsidRDefault="00014101" w:rsidP="000D053A">
      <w:pPr>
        <w:pStyle w:val="SubmissionNormal"/>
        <w:numPr>
          <w:ilvl w:val="0"/>
          <w:numId w:val="0"/>
        </w:numPr>
      </w:pPr>
      <w:r>
        <w:rPr>
          <w:b/>
        </w:rPr>
        <w:t xml:space="preserve">Recommendation 3: </w:t>
      </w:r>
      <w:r>
        <w:t xml:space="preserve">In establishing </w:t>
      </w:r>
      <w:r w:rsidR="005134E9">
        <w:t xml:space="preserve">and operating </w:t>
      </w:r>
      <w:r>
        <w:t>an appropriate facility for asylum seekers on Manus Island, t</w:t>
      </w:r>
      <w:r w:rsidRPr="008A45D7">
        <w:t xml:space="preserve">he </w:t>
      </w:r>
      <w:r w:rsidRPr="00536EE5">
        <w:rPr>
          <w:i/>
        </w:rPr>
        <w:t>Human rights standards for immigration detention</w:t>
      </w:r>
      <w:r>
        <w:t xml:space="preserve"> should be considere</w:t>
      </w:r>
      <w:r w:rsidR="004E4B4F">
        <w:t>d and applied</w:t>
      </w:r>
      <w:r>
        <w:t>.</w:t>
      </w:r>
      <w:r w:rsidR="000D053A">
        <w:rPr>
          <w:rStyle w:val="EndnoteReference"/>
        </w:rPr>
        <w:endnoteReference w:id="5"/>
      </w:r>
      <w:r>
        <w:t xml:space="preserve"> </w:t>
      </w:r>
    </w:p>
    <w:p w:rsidR="00AF0129" w:rsidRDefault="00014101" w:rsidP="000D053A">
      <w:r w:rsidRPr="00373A1F">
        <w:rPr>
          <w:b/>
        </w:rPr>
        <w:lastRenderedPageBreak/>
        <w:t>Recommendation 4:</w:t>
      </w:r>
      <w:r>
        <w:t xml:space="preserve"> The Manus Island regional processing centre should not be a closed detention centre. It should be designed and operated as an open facility which allows asylum seekers</w:t>
      </w:r>
      <w:r w:rsidR="006D0032">
        <w:t xml:space="preserve"> freedom of movement.</w:t>
      </w:r>
      <w:r w:rsidR="00A6508F">
        <w:t xml:space="preserve"> </w:t>
      </w:r>
    </w:p>
    <w:p w:rsidR="00AF0129" w:rsidRPr="00C12498" w:rsidRDefault="00A810D9" w:rsidP="00317C95">
      <w:pPr>
        <w:pStyle w:val="Heading1"/>
        <w:numPr>
          <w:ilvl w:val="0"/>
          <w:numId w:val="16"/>
        </w:numPr>
      </w:pPr>
      <w:bookmarkStart w:id="18" w:name="_Toc353284386"/>
      <w:r>
        <w:t xml:space="preserve">The </w:t>
      </w:r>
      <w:r w:rsidR="00FD4056">
        <w:t xml:space="preserve">Australian Government’s </w:t>
      </w:r>
      <w:r w:rsidR="003E7752">
        <w:t>third countr</w:t>
      </w:r>
      <w:bookmarkEnd w:id="15"/>
      <w:bookmarkEnd w:id="16"/>
      <w:bookmarkEnd w:id="17"/>
      <w:r w:rsidR="00B8317B">
        <w:t>y processing</w:t>
      </w:r>
      <w:r>
        <w:t xml:space="preserve"> regime</w:t>
      </w:r>
      <w:bookmarkEnd w:id="18"/>
    </w:p>
    <w:p w:rsidR="00B34946" w:rsidRPr="001C1599" w:rsidRDefault="00B34946" w:rsidP="00D71757">
      <w:pPr>
        <w:pStyle w:val="SubmissionNormal"/>
        <w:spacing w:before="120" w:after="0"/>
      </w:pPr>
      <w:r w:rsidRPr="008A0C37">
        <w:t xml:space="preserve">The </w:t>
      </w:r>
      <w:r w:rsidR="003E7752">
        <w:rPr>
          <w:rFonts w:cs="Arial"/>
        </w:rPr>
        <w:t>Commission opposes the transfer of asylum seekers to third countries</w:t>
      </w:r>
      <w:r w:rsidR="00317255">
        <w:rPr>
          <w:rFonts w:cs="Arial"/>
        </w:rPr>
        <w:t xml:space="preserve"> </w:t>
      </w:r>
      <w:r w:rsidR="00317255">
        <w:t>for the processing of their refugee claims</w:t>
      </w:r>
      <w:r w:rsidR="003E7752">
        <w:rPr>
          <w:rFonts w:cs="Arial"/>
        </w:rPr>
        <w:t xml:space="preserve"> and </w:t>
      </w:r>
      <w:r w:rsidR="005250A0">
        <w:rPr>
          <w:rFonts w:cs="Arial"/>
        </w:rPr>
        <w:t>holds</w:t>
      </w:r>
      <w:r w:rsidR="003E7752">
        <w:rPr>
          <w:rFonts w:cs="Arial"/>
        </w:rPr>
        <w:t xml:space="preserve"> serious </w:t>
      </w:r>
      <w:r w:rsidR="00A24180">
        <w:rPr>
          <w:rFonts w:cs="Arial"/>
        </w:rPr>
        <w:t xml:space="preserve">human rights </w:t>
      </w:r>
      <w:r w:rsidR="003E7752">
        <w:rPr>
          <w:rFonts w:cs="Arial"/>
        </w:rPr>
        <w:t xml:space="preserve">concerns </w:t>
      </w:r>
      <w:r w:rsidR="00A810D9">
        <w:rPr>
          <w:rFonts w:cs="Arial"/>
        </w:rPr>
        <w:t>about</w:t>
      </w:r>
      <w:r w:rsidR="003E7752">
        <w:rPr>
          <w:rFonts w:cs="Arial"/>
        </w:rPr>
        <w:t xml:space="preserve"> the</w:t>
      </w:r>
      <w:r w:rsidR="00B11E2D">
        <w:rPr>
          <w:rFonts w:cs="Arial"/>
        </w:rPr>
        <w:t xml:space="preserve"> Australian Government’s</w:t>
      </w:r>
      <w:r w:rsidR="003E7752">
        <w:rPr>
          <w:rFonts w:cs="Arial"/>
        </w:rPr>
        <w:t xml:space="preserve"> third country processing regime. These concerns are set out in detail in the</w:t>
      </w:r>
      <w:r w:rsidR="00A810D9">
        <w:rPr>
          <w:rFonts w:cs="Arial"/>
        </w:rPr>
        <w:t xml:space="preserve"> Commission’s recent submission to the </w:t>
      </w:r>
      <w:r w:rsidR="00A810D9">
        <w:t>Parliamentary J</w:t>
      </w:r>
      <w:r w:rsidR="00545BBA">
        <w:t>oint Committee on Human Rights,</w:t>
      </w:r>
      <w:r w:rsidR="00D71757">
        <w:t xml:space="preserve"> and include</w:t>
      </w:r>
      <w:r w:rsidR="003E7752">
        <w:t>:</w:t>
      </w:r>
    </w:p>
    <w:p w:rsidR="00D71757" w:rsidRDefault="00D71757" w:rsidP="00D71757">
      <w:pPr>
        <w:pStyle w:val="SubmissionNormal"/>
        <w:numPr>
          <w:ilvl w:val="0"/>
          <w:numId w:val="31"/>
        </w:numPr>
        <w:spacing w:before="120" w:after="0"/>
      </w:pPr>
      <w:r>
        <w:t>the Australian Government’s approach to human rights in designati</w:t>
      </w:r>
      <w:r w:rsidR="00263CFA">
        <w:t>ng</w:t>
      </w:r>
      <w:r>
        <w:t xml:space="preserve"> Nauru and PNG as ‘regional processing countries’ </w:t>
      </w:r>
    </w:p>
    <w:p w:rsidR="00D71757" w:rsidRDefault="00D71757" w:rsidP="00D71757">
      <w:pPr>
        <w:pStyle w:val="SubmissionNormal"/>
        <w:numPr>
          <w:ilvl w:val="0"/>
          <w:numId w:val="31"/>
        </w:numPr>
        <w:spacing w:before="120" w:after="0"/>
      </w:pPr>
      <w:r>
        <w:t xml:space="preserve">the differential treatment of asylum seekers based on their mode of arrival </w:t>
      </w:r>
    </w:p>
    <w:p w:rsidR="00D71757" w:rsidRDefault="00D71757" w:rsidP="00D71757">
      <w:pPr>
        <w:pStyle w:val="SubmissionNormal"/>
        <w:numPr>
          <w:ilvl w:val="0"/>
          <w:numId w:val="31"/>
        </w:numPr>
        <w:spacing w:before="120" w:after="0"/>
      </w:pPr>
      <w:r>
        <w:t xml:space="preserve">the potential for breaches of Australia’s </w:t>
      </w:r>
      <w:r w:rsidRPr="0054672D">
        <w:rPr>
          <w:i/>
        </w:rPr>
        <w:t>non-refoulement</w:t>
      </w:r>
      <w:r>
        <w:t xml:space="preserve"> obligations </w:t>
      </w:r>
    </w:p>
    <w:p w:rsidR="00D71757" w:rsidRDefault="00D71757" w:rsidP="00D71757">
      <w:pPr>
        <w:pStyle w:val="SubmissionNormal"/>
        <w:numPr>
          <w:ilvl w:val="0"/>
          <w:numId w:val="31"/>
        </w:numPr>
        <w:spacing w:before="120" w:after="0"/>
      </w:pPr>
      <w:r>
        <w:t>the potential tha</w:t>
      </w:r>
      <w:r w:rsidR="00CA1D92">
        <w:t>t asylum seekers transferred to</w:t>
      </w:r>
      <w:r>
        <w:t xml:space="preserve"> third countries will be subjected to arbitrary detention</w:t>
      </w:r>
    </w:p>
    <w:p w:rsidR="00D71757" w:rsidRDefault="00D71757" w:rsidP="00D71757">
      <w:pPr>
        <w:pStyle w:val="SubmissionNormal"/>
        <w:numPr>
          <w:ilvl w:val="0"/>
          <w:numId w:val="31"/>
        </w:numPr>
        <w:spacing w:before="120" w:after="0"/>
      </w:pPr>
      <w:r>
        <w:t>conditions for asylum seekers on Nauru and Manus Island</w:t>
      </w:r>
    </w:p>
    <w:p w:rsidR="00D71757" w:rsidRDefault="00D71757" w:rsidP="00D71757">
      <w:pPr>
        <w:pStyle w:val="SubmissionNormal"/>
        <w:numPr>
          <w:ilvl w:val="0"/>
          <w:numId w:val="31"/>
        </w:numPr>
        <w:spacing w:before="120" w:after="0"/>
      </w:pPr>
      <w:r>
        <w:t xml:space="preserve">the detention of child asylum seekers in third countries </w:t>
      </w:r>
    </w:p>
    <w:p w:rsidR="00D71757" w:rsidRDefault="00D71757" w:rsidP="00D71757">
      <w:pPr>
        <w:pStyle w:val="SubmissionNormal"/>
        <w:numPr>
          <w:ilvl w:val="0"/>
          <w:numId w:val="31"/>
        </w:numPr>
        <w:spacing w:before="120" w:after="0"/>
      </w:pPr>
      <w:r>
        <w:t xml:space="preserve">the impact on families, including </w:t>
      </w:r>
      <w:r w:rsidR="00A810D9">
        <w:t xml:space="preserve">the </w:t>
      </w:r>
      <w:r>
        <w:t>potential</w:t>
      </w:r>
      <w:r w:rsidR="00A810D9">
        <w:t xml:space="preserve"> for</w:t>
      </w:r>
      <w:r>
        <w:t xml:space="preserve"> separation </w:t>
      </w:r>
    </w:p>
    <w:p w:rsidR="00D71757" w:rsidRDefault="00D71757" w:rsidP="00D71757">
      <w:pPr>
        <w:pStyle w:val="SubmissionNormal"/>
        <w:numPr>
          <w:ilvl w:val="0"/>
          <w:numId w:val="31"/>
        </w:numPr>
        <w:spacing w:before="120" w:after="0"/>
      </w:pPr>
      <w:r>
        <w:t xml:space="preserve">the situation of unaccompanied children </w:t>
      </w:r>
    </w:p>
    <w:p w:rsidR="00D71757" w:rsidRDefault="00D71757" w:rsidP="00FA5FD5">
      <w:pPr>
        <w:pStyle w:val="SubmissionNormal"/>
        <w:numPr>
          <w:ilvl w:val="0"/>
          <w:numId w:val="31"/>
        </w:numPr>
        <w:spacing w:before="120"/>
        <w:ind w:left="1077" w:hanging="357"/>
      </w:pPr>
      <w:r>
        <w:t>the lack of robust independent monitoring mechanisms.</w:t>
      </w:r>
      <w:r w:rsidR="00783F1A">
        <w:rPr>
          <w:rStyle w:val="EndnoteReference"/>
        </w:rPr>
        <w:endnoteReference w:id="6"/>
      </w:r>
    </w:p>
    <w:p w:rsidR="00A01C41" w:rsidRDefault="003E7752" w:rsidP="0023031E">
      <w:pPr>
        <w:pStyle w:val="SubmissionNormal"/>
        <w:spacing w:before="120" w:after="0"/>
      </w:pPr>
      <w:r>
        <w:t>The Commission has</w:t>
      </w:r>
      <w:r w:rsidR="00697868">
        <w:t xml:space="preserve"> also</w:t>
      </w:r>
      <w:r>
        <w:t xml:space="preserve"> </w:t>
      </w:r>
      <w:r w:rsidR="00FA5FD5">
        <w:t xml:space="preserve">previously raised </w:t>
      </w:r>
      <w:r>
        <w:t xml:space="preserve">concerns </w:t>
      </w:r>
      <w:r w:rsidR="00A810D9">
        <w:t xml:space="preserve">about detaining asylum seekers </w:t>
      </w:r>
      <w:r>
        <w:t>in small, remote loc</w:t>
      </w:r>
      <w:r w:rsidR="00EF6C52">
        <w:t>ations</w:t>
      </w:r>
      <w:r w:rsidR="00783F1A">
        <w:t xml:space="preserve"> </w:t>
      </w:r>
      <w:r w:rsidR="00F965B7">
        <w:t xml:space="preserve">(such as Christmas Island), which have </w:t>
      </w:r>
      <w:r w:rsidR="00783F1A">
        <w:t>limited infrastructure</w:t>
      </w:r>
      <w:r w:rsidR="00F965B7">
        <w:t xml:space="preserve"> and </w:t>
      </w:r>
      <w:r w:rsidR="00A810D9">
        <w:t>services</w:t>
      </w:r>
      <w:r w:rsidR="00F965B7">
        <w:t>.</w:t>
      </w:r>
      <w:r w:rsidR="00FA5FD5">
        <w:t xml:space="preserve"> These concerns include</w:t>
      </w:r>
      <w:r w:rsidR="00783F1A">
        <w:t>:</w:t>
      </w:r>
      <w:r w:rsidR="00262C6B">
        <w:t xml:space="preserve"> </w:t>
      </w:r>
    </w:p>
    <w:p w:rsidR="00A01C41" w:rsidRDefault="00783F1A" w:rsidP="0023031E">
      <w:pPr>
        <w:pStyle w:val="SubmissionNormal"/>
        <w:numPr>
          <w:ilvl w:val="0"/>
          <w:numId w:val="32"/>
        </w:numPr>
        <w:spacing w:before="120" w:after="0"/>
      </w:pPr>
      <w:r>
        <w:t>lack of</w:t>
      </w:r>
      <w:r w:rsidR="00262C6B">
        <w:t xml:space="preserve"> </w:t>
      </w:r>
      <w:r w:rsidR="00F87272">
        <w:t xml:space="preserve">timely </w:t>
      </w:r>
      <w:r w:rsidR="00262C6B">
        <w:t xml:space="preserve">access to adequate </w:t>
      </w:r>
      <w:r w:rsidR="004061E1">
        <w:t xml:space="preserve">health </w:t>
      </w:r>
      <w:r w:rsidR="00975E3B">
        <w:t xml:space="preserve">and mental health </w:t>
      </w:r>
      <w:r w:rsidR="004061E1">
        <w:t>care</w:t>
      </w:r>
      <w:r>
        <w:t xml:space="preserve"> and</w:t>
      </w:r>
      <w:r w:rsidR="00133DF9">
        <w:t xml:space="preserve"> torture and trauma services</w:t>
      </w:r>
    </w:p>
    <w:p w:rsidR="00B34946" w:rsidRDefault="00677803" w:rsidP="0023031E">
      <w:pPr>
        <w:pStyle w:val="SubmissionNormal"/>
        <w:numPr>
          <w:ilvl w:val="0"/>
          <w:numId w:val="32"/>
        </w:numPr>
        <w:spacing w:before="120" w:after="0"/>
      </w:pPr>
      <w:r>
        <w:t>limited</w:t>
      </w:r>
      <w:r w:rsidR="00783F1A">
        <w:t xml:space="preserve"> </w:t>
      </w:r>
      <w:r w:rsidR="0083026A">
        <w:t>access to visit</w:t>
      </w:r>
      <w:r w:rsidR="00F965B7">
        <w:t>ors</w:t>
      </w:r>
      <w:r w:rsidR="00975E3B">
        <w:t xml:space="preserve">, </w:t>
      </w:r>
      <w:r w:rsidR="0083026A">
        <w:t>communication with the outside world, friends, fa</w:t>
      </w:r>
      <w:r w:rsidR="00032C79">
        <w:t>mily and legal representatives</w:t>
      </w:r>
    </w:p>
    <w:p w:rsidR="00A01C41" w:rsidRDefault="007D660D" w:rsidP="0023031E">
      <w:pPr>
        <w:pStyle w:val="SubmissionNormal"/>
        <w:numPr>
          <w:ilvl w:val="0"/>
          <w:numId w:val="32"/>
        </w:numPr>
        <w:spacing w:before="120" w:after="0"/>
      </w:pPr>
      <w:r>
        <w:t xml:space="preserve">limited </w:t>
      </w:r>
      <w:r w:rsidR="00A01C41">
        <w:t>recreational, cultural and educational facilities</w:t>
      </w:r>
    </w:p>
    <w:p w:rsidR="0023031E" w:rsidRDefault="007D660D" w:rsidP="0023031E">
      <w:pPr>
        <w:pStyle w:val="SubmissionNormal"/>
        <w:numPr>
          <w:ilvl w:val="0"/>
          <w:numId w:val="32"/>
        </w:numPr>
        <w:spacing w:before="120" w:after="0"/>
      </w:pPr>
      <w:r>
        <w:t>limited</w:t>
      </w:r>
      <w:r w:rsidR="0023031E">
        <w:t xml:space="preserve"> opportunities for excursions </w:t>
      </w:r>
      <w:r w:rsidR="002B4C52">
        <w:t>outside</w:t>
      </w:r>
      <w:r w:rsidR="0023031E">
        <w:t xml:space="preserve"> detention</w:t>
      </w:r>
      <w:r w:rsidR="0031669C">
        <w:t xml:space="preserve"> facilities</w:t>
      </w:r>
    </w:p>
    <w:p w:rsidR="000D3A0E" w:rsidRDefault="004A2A90" w:rsidP="0023031E">
      <w:pPr>
        <w:pStyle w:val="SubmissionNormal"/>
        <w:numPr>
          <w:ilvl w:val="0"/>
          <w:numId w:val="32"/>
        </w:numPr>
        <w:spacing w:before="120" w:after="0"/>
      </w:pPr>
      <w:r>
        <w:t xml:space="preserve">limited access to </w:t>
      </w:r>
      <w:r w:rsidR="000D3A0E">
        <w:t xml:space="preserve">religious support and </w:t>
      </w:r>
      <w:r>
        <w:t>services</w:t>
      </w:r>
    </w:p>
    <w:p w:rsidR="009C50D1" w:rsidRDefault="00677803" w:rsidP="0023031E">
      <w:pPr>
        <w:pStyle w:val="SubmissionNormal"/>
        <w:numPr>
          <w:ilvl w:val="0"/>
          <w:numId w:val="32"/>
        </w:numPr>
        <w:spacing w:before="120" w:after="0"/>
      </w:pPr>
      <w:r>
        <w:t>lack of transparency and difficulties in</w:t>
      </w:r>
      <w:r w:rsidR="004F2329">
        <w:t xml:space="preserve"> effectively monitor</w:t>
      </w:r>
      <w:r>
        <w:t>ing</w:t>
      </w:r>
      <w:r w:rsidR="004F2329">
        <w:t xml:space="preserve"> conditions.</w:t>
      </w:r>
      <w:r w:rsidR="009C50D1">
        <w:rPr>
          <w:rStyle w:val="EndnoteReference"/>
        </w:rPr>
        <w:endnoteReference w:id="7"/>
      </w:r>
      <w:r w:rsidR="009C50D1">
        <w:t xml:space="preserve"> </w:t>
      </w:r>
    </w:p>
    <w:p w:rsidR="000455B1" w:rsidRPr="001C1599" w:rsidRDefault="00F965B7" w:rsidP="004F5C55">
      <w:pPr>
        <w:pStyle w:val="SubmissionNormal"/>
      </w:pPr>
      <w:r>
        <w:rPr>
          <w:rFonts w:cs="Arial"/>
        </w:rPr>
        <w:t xml:space="preserve">Similar </w:t>
      </w:r>
      <w:r w:rsidR="003D4372">
        <w:rPr>
          <w:rFonts w:cs="Arial"/>
        </w:rPr>
        <w:t xml:space="preserve">concerns </w:t>
      </w:r>
      <w:r w:rsidR="00B16715">
        <w:rPr>
          <w:rFonts w:cs="Arial"/>
        </w:rPr>
        <w:t>a</w:t>
      </w:r>
      <w:r w:rsidR="0032754A">
        <w:rPr>
          <w:rFonts w:cs="Arial"/>
        </w:rPr>
        <w:t xml:space="preserve">rise in relation to the transfer of asylum seekers to </w:t>
      </w:r>
      <w:r w:rsidR="003D4372">
        <w:rPr>
          <w:rFonts w:cs="Arial"/>
        </w:rPr>
        <w:t>Manus Island</w:t>
      </w:r>
      <w:r w:rsidR="00F52CC3">
        <w:rPr>
          <w:rFonts w:cs="Arial"/>
        </w:rPr>
        <w:t xml:space="preserve">, given </w:t>
      </w:r>
      <w:r w:rsidR="0032754A">
        <w:rPr>
          <w:rFonts w:cs="Arial"/>
        </w:rPr>
        <w:t xml:space="preserve">its </w:t>
      </w:r>
      <w:r w:rsidR="00F52CC3">
        <w:rPr>
          <w:rFonts w:cs="Arial"/>
        </w:rPr>
        <w:t>small size</w:t>
      </w:r>
      <w:r w:rsidR="0032754A">
        <w:rPr>
          <w:rFonts w:cs="Arial"/>
        </w:rPr>
        <w:t>,</w:t>
      </w:r>
      <w:r w:rsidR="00F52CC3">
        <w:rPr>
          <w:rFonts w:cs="Arial"/>
        </w:rPr>
        <w:t xml:space="preserve"> remoteness</w:t>
      </w:r>
      <w:r w:rsidR="005E47EB">
        <w:rPr>
          <w:rFonts w:cs="Arial"/>
        </w:rPr>
        <w:t xml:space="preserve"> and </w:t>
      </w:r>
      <w:r w:rsidR="0032754A">
        <w:rPr>
          <w:rFonts w:cs="Arial"/>
        </w:rPr>
        <w:t>limited infrastructure and services.</w:t>
      </w:r>
      <w:r w:rsidR="005E47EB">
        <w:rPr>
          <w:rFonts w:cs="Arial"/>
        </w:rPr>
        <w:t xml:space="preserve"> Other serious concerns include the harsh climate and risk of tropical diseases, in particular malaria.</w:t>
      </w:r>
    </w:p>
    <w:p w:rsidR="007A2B1C" w:rsidRPr="00BE1360" w:rsidRDefault="006E4D71" w:rsidP="00793B58">
      <w:pPr>
        <w:pStyle w:val="SubmissionNormal"/>
      </w:pPr>
      <w:r>
        <w:rPr>
          <w:b/>
        </w:rPr>
        <w:t xml:space="preserve">Recommendation 1: </w:t>
      </w:r>
      <w:r>
        <w:t>The</w:t>
      </w:r>
      <w:r w:rsidR="00886F40">
        <w:rPr>
          <w:rFonts w:cs="Arial"/>
        </w:rPr>
        <w:t xml:space="preserve"> Australian Government should cease transferring </w:t>
      </w:r>
      <w:r w:rsidR="00967AD1">
        <w:rPr>
          <w:rFonts w:cs="Arial"/>
        </w:rPr>
        <w:t>asylum seekers to Manu</w:t>
      </w:r>
      <w:r>
        <w:rPr>
          <w:rFonts w:cs="Arial"/>
        </w:rPr>
        <w:t>s Island. A</w:t>
      </w:r>
      <w:r w:rsidR="00886F40">
        <w:rPr>
          <w:rFonts w:cs="Arial"/>
        </w:rPr>
        <w:t xml:space="preserve">sylum seekers </w:t>
      </w:r>
      <w:r w:rsidR="0048571B">
        <w:rPr>
          <w:rFonts w:cs="Arial"/>
        </w:rPr>
        <w:t xml:space="preserve">who arrive in Australia </w:t>
      </w:r>
      <w:r w:rsidR="00886F40">
        <w:rPr>
          <w:rFonts w:cs="Arial"/>
        </w:rPr>
        <w:t>should</w:t>
      </w:r>
      <w:r w:rsidR="0048571B">
        <w:rPr>
          <w:rFonts w:cs="Arial"/>
        </w:rPr>
        <w:t xml:space="preserve"> have their claims for protection processed under Australian law, in a </w:t>
      </w:r>
      <w:r w:rsidR="0048571B">
        <w:rPr>
          <w:rFonts w:cs="Arial"/>
        </w:rPr>
        <w:lastRenderedPageBreak/>
        <w:t>timely and efficient manner. They should</w:t>
      </w:r>
      <w:r w:rsidR="00886F40">
        <w:rPr>
          <w:rFonts w:cs="Arial"/>
        </w:rPr>
        <w:t xml:space="preserve"> be</w:t>
      </w:r>
      <w:r w:rsidR="0048571B">
        <w:t xml:space="preserve"> transferred into the</w:t>
      </w:r>
      <w:r w:rsidR="00793B58">
        <w:t xml:space="preserve"> Australian</w:t>
      </w:r>
      <w:r w:rsidR="0048571B">
        <w:t xml:space="preserve"> community unless </w:t>
      </w:r>
      <w:r w:rsidR="00793B58">
        <w:t xml:space="preserve">they have been individually assessed as posing an unacceptable risk that </w:t>
      </w:r>
      <w:r w:rsidR="0048571B">
        <w:t>justifies their detention.</w:t>
      </w:r>
      <w:r w:rsidR="00793B58">
        <w:t xml:space="preserve"> </w:t>
      </w:r>
    </w:p>
    <w:p w:rsidR="00B34946" w:rsidRPr="00DD425D" w:rsidRDefault="006F5739" w:rsidP="00AB584A">
      <w:pPr>
        <w:pStyle w:val="Heading1"/>
        <w:numPr>
          <w:ilvl w:val="0"/>
          <w:numId w:val="16"/>
        </w:numPr>
      </w:pPr>
      <w:bookmarkStart w:id="19" w:name="_Toc353284387"/>
      <w:r>
        <w:t>The n</w:t>
      </w:r>
      <w:r w:rsidR="00B8317B">
        <w:t xml:space="preserve">eed for </w:t>
      </w:r>
      <w:r>
        <w:t xml:space="preserve">an appropriate facility </w:t>
      </w:r>
      <w:r w:rsidR="00886F40">
        <w:t>on Manus Island</w:t>
      </w:r>
      <w:bookmarkEnd w:id="19"/>
      <w:r w:rsidR="00B8317B">
        <w:t xml:space="preserve"> </w:t>
      </w:r>
    </w:p>
    <w:p w:rsidR="00967AD1" w:rsidRPr="001C1599" w:rsidRDefault="00967AD1" w:rsidP="00967AD1">
      <w:pPr>
        <w:pStyle w:val="SubmissionNormal"/>
      </w:pPr>
      <w:r>
        <w:rPr>
          <w:rFonts w:cs="Arial"/>
        </w:rPr>
        <w:t>If</w:t>
      </w:r>
      <w:r w:rsidR="00336422">
        <w:rPr>
          <w:rFonts w:cs="Arial"/>
        </w:rPr>
        <w:t xml:space="preserve">, despite the serious concerns expressed by the Commission and others </w:t>
      </w:r>
      <w:r w:rsidR="006F5739">
        <w:rPr>
          <w:rFonts w:cs="Arial"/>
        </w:rPr>
        <w:t xml:space="preserve">about the </w:t>
      </w:r>
      <w:r w:rsidR="00336422">
        <w:rPr>
          <w:rFonts w:cs="Arial"/>
        </w:rPr>
        <w:t>third country processing</w:t>
      </w:r>
      <w:r w:rsidR="006F5739">
        <w:rPr>
          <w:rFonts w:cs="Arial"/>
        </w:rPr>
        <w:t xml:space="preserve"> regime</w:t>
      </w:r>
      <w:r w:rsidR="00336422">
        <w:rPr>
          <w:rFonts w:cs="Arial"/>
        </w:rPr>
        <w:t>,</w:t>
      </w:r>
      <w:r>
        <w:rPr>
          <w:rFonts w:cs="Arial"/>
        </w:rPr>
        <w:t xml:space="preserve"> the Australian Government intends to continue</w:t>
      </w:r>
      <w:r w:rsidR="006F5739">
        <w:rPr>
          <w:rFonts w:cs="Arial"/>
        </w:rPr>
        <w:t xml:space="preserve"> to</w:t>
      </w:r>
      <w:r>
        <w:rPr>
          <w:rFonts w:cs="Arial"/>
        </w:rPr>
        <w:t xml:space="preserve"> transfer asylum seekers to Manus Island, </w:t>
      </w:r>
      <w:r w:rsidR="00336422">
        <w:rPr>
          <w:rFonts w:cs="Arial"/>
        </w:rPr>
        <w:t xml:space="preserve">the </w:t>
      </w:r>
      <w:r w:rsidR="00F31042">
        <w:rPr>
          <w:rFonts w:cs="Arial"/>
        </w:rPr>
        <w:t xml:space="preserve">Australian Government </w:t>
      </w:r>
      <w:r w:rsidR="006F5739">
        <w:rPr>
          <w:rFonts w:cs="Arial"/>
        </w:rPr>
        <w:t xml:space="preserve">should </w:t>
      </w:r>
      <w:r>
        <w:rPr>
          <w:rFonts w:cs="Arial"/>
        </w:rPr>
        <w:t xml:space="preserve">allocate sufficient resources to </w:t>
      </w:r>
      <w:r w:rsidR="00153BE9">
        <w:rPr>
          <w:rFonts w:cs="Arial"/>
        </w:rPr>
        <w:t xml:space="preserve">establish an appropriate facility </w:t>
      </w:r>
      <w:r w:rsidR="0007595E">
        <w:rPr>
          <w:rFonts w:cs="Arial"/>
        </w:rPr>
        <w:t xml:space="preserve">there in order </w:t>
      </w:r>
      <w:r w:rsidR="00153BE9">
        <w:rPr>
          <w:rFonts w:cs="Arial"/>
        </w:rPr>
        <w:t xml:space="preserve">to </w:t>
      </w:r>
      <w:r w:rsidR="004F5C55">
        <w:rPr>
          <w:rFonts w:cs="Arial"/>
        </w:rPr>
        <w:t xml:space="preserve">ensure that asylum seekers are </w:t>
      </w:r>
      <w:r w:rsidR="006F5739">
        <w:rPr>
          <w:rFonts w:cs="Arial"/>
        </w:rPr>
        <w:t>treated</w:t>
      </w:r>
      <w:r w:rsidR="004F5C55">
        <w:rPr>
          <w:rFonts w:cs="Arial"/>
        </w:rPr>
        <w:t xml:space="preserve"> in </w:t>
      </w:r>
      <w:r w:rsidR="006F5739">
        <w:rPr>
          <w:rFonts w:cs="Arial"/>
        </w:rPr>
        <w:t>accordance</w:t>
      </w:r>
      <w:r w:rsidR="00336422">
        <w:rPr>
          <w:rFonts w:cs="Arial"/>
        </w:rPr>
        <w:t xml:space="preserve"> with international standards</w:t>
      </w:r>
      <w:r>
        <w:rPr>
          <w:rFonts w:cs="Arial"/>
        </w:rPr>
        <w:t>.</w:t>
      </w:r>
    </w:p>
    <w:p w:rsidR="001A0677" w:rsidRDefault="006F5739" w:rsidP="00483F2D">
      <w:pPr>
        <w:pStyle w:val="SubmissionNormal"/>
        <w:spacing w:before="120" w:after="0"/>
      </w:pPr>
      <w:r>
        <w:t>T</w:t>
      </w:r>
      <w:r w:rsidR="001A71FE">
        <w:t xml:space="preserve">here are serious concerns about the </w:t>
      </w:r>
      <w:r>
        <w:t xml:space="preserve">temporary facility in which asylum seekers are currently being detained </w:t>
      </w:r>
      <w:r w:rsidR="001A71FE">
        <w:t>on Manus Island</w:t>
      </w:r>
      <w:r w:rsidR="00674762">
        <w:t xml:space="preserve">. </w:t>
      </w:r>
      <w:r>
        <w:t xml:space="preserve">The </w:t>
      </w:r>
      <w:r w:rsidR="00674762">
        <w:t>D</w:t>
      </w:r>
      <w:r>
        <w:t xml:space="preserve">epartment of </w:t>
      </w:r>
      <w:r w:rsidR="00674762">
        <w:t>I</w:t>
      </w:r>
      <w:r>
        <w:t xml:space="preserve">mmigration and </w:t>
      </w:r>
      <w:r w:rsidR="00674762">
        <w:t>C</w:t>
      </w:r>
      <w:r w:rsidR="00343686">
        <w:t xml:space="preserve">itizenship </w:t>
      </w:r>
      <w:r w:rsidR="00674762">
        <w:t>acknowledges</w:t>
      </w:r>
      <w:r w:rsidR="00A34DD1">
        <w:t xml:space="preserve"> significant deficiencies with the</w:t>
      </w:r>
      <w:r w:rsidR="0031560C">
        <w:t xml:space="preserve"> facility</w:t>
      </w:r>
      <w:r w:rsidR="00A34DD1">
        <w:t>, including</w:t>
      </w:r>
      <w:r w:rsidR="00BC0E08">
        <w:t>:</w:t>
      </w:r>
      <w:r w:rsidR="00A34DD1">
        <w:t xml:space="preserve"> health ri</w:t>
      </w:r>
      <w:r w:rsidR="00BC0E08">
        <w:t xml:space="preserve">sks associated with the climate, </w:t>
      </w:r>
      <w:r w:rsidR="00A34DD1">
        <w:t xml:space="preserve">site location, </w:t>
      </w:r>
      <w:r w:rsidR="00BC0E08">
        <w:t xml:space="preserve">and the fact </w:t>
      </w:r>
      <w:r>
        <w:t xml:space="preserve">that </w:t>
      </w:r>
      <w:r w:rsidR="00BC0E08">
        <w:t xml:space="preserve">accommodation consists mainly of military tents and camp beds; </w:t>
      </w:r>
      <w:r w:rsidR="00A34DD1">
        <w:t xml:space="preserve">mental health risks associated with </w:t>
      </w:r>
      <w:r w:rsidR="00BA736F">
        <w:t xml:space="preserve">cramped conditions, </w:t>
      </w:r>
      <w:r w:rsidR="00A34DD1">
        <w:t>the limited recreational facilities</w:t>
      </w:r>
      <w:r w:rsidR="00BC0E08">
        <w:t xml:space="preserve"> and their poor state;</w:t>
      </w:r>
      <w:r w:rsidR="00A34DD1">
        <w:t xml:space="preserve"> and inadequate infrastructure to support processing of refugee status assessments.</w:t>
      </w:r>
      <w:r w:rsidR="00042A63">
        <w:rPr>
          <w:rStyle w:val="EndnoteReference"/>
        </w:rPr>
        <w:endnoteReference w:id="8"/>
      </w:r>
    </w:p>
    <w:p w:rsidR="000C44EF" w:rsidRDefault="00AD046D" w:rsidP="00EE3C66">
      <w:pPr>
        <w:pStyle w:val="SubmissionNormal"/>
      </w:pPr>
      <w:r>
        <w:t>The U</w:t>
      </w:r>
      <w:r w:rsidR="00153BE9">
        <w:t xml:space="preserve">nited </w:t>
      </w:r>
      <w:r>
        <w:t>N</w:t>
      </w:r>
      <w:r w:rsidR="00153BE9">
        <w:t xml:space="preserve">ations </w:t>
      </w:r>
      <w:r>
        <w:t>H</w:t>
      </w:r>
      <w:r w:rsidR="00153BE9">
        <w:t xml:space="preserve">igh </w:t>
      </w:r>
      <w:r>
        <w:t>C</w:t>
      </w:r>
      <w:r w:rsidR="00153BE9">
        <w:t xml:space="preserve">ommissioner for </w:t>
      </w:r>
      <w:r>
        <w:t>R</w:t>
      </w:r>
      <w:r w:rsidR="00153BE9">
        <w:t>efugees</w:t>
      </w:r>
      <w:r w:rsidR="00483E22">
        <w:t xml:space="preserve"> (UNHCR)</w:t>
      </w:r>
      <w:r>
        <w:t xml:space="preserve"> repo</w:t>
      </w:r>
      <w:r w:rsidR="006B63ED">
        <w:t>r</w:t>
      </w:r>
      <w:r>
        <w:t>ted that</w:t>
      </w:r>
      <w:r w:rsidR="00555DDD">
        <w:t xml:space="preserve"> when they visited in January 2013</w:t>
      </w:r>
      <w:r w:rsidR="00153BE9">
        <w:t>,</w:t>
      </w:r>
      <w:r w:rsidR="006B63ED">
        <w:t xml:space="preserve"> conditions </w:t>
      </w:r>
      <w:r w:rsidR="00C9792B">
        <w:t>were</w:t>
      </w:r>
      <w:r w:rsidR="006B63ED">
        <w:t xml:space="preserve"> ‘h</w:t>
      </w:r>
      <w:r w:rsidR="008F08D7">
        <w:t xml:space="preserve">arsh and, for some, inadequate’, particularly noting the </w:t>
      </w:r>
      <w:r w:rsidR="00B77C04">
        <w:t>very hot, wet and muddy conditions</w:t>
      </w:r>
      <w:r w:rsidR="008F08D7">
        <w:t xml:space="preserve">, lack of privacy, </w:t>
      </w:r>
      <w:r w:rsidR="00BA653D">
        <w:t>inadequate recreational facilities</w:t>
      </w:r>
      <w:r w:rsidR="00555DDD">
        <w:t>, restrictions on access to medical care,</w:t>
      </w:r>
      <w:r w:rsidR="00BA653D">
        <w:t xml:space="preserve"> </w:t>
      </w:r>
      <w:r w:rsidR="00153BE9">
        <w:t xml:space="preserve">and </w:t>
      </w:r>
      <w:r w:rsidR="00BA653D">
        <w:t>lack of freedom of movement.</w:t>
      </w:r>
      <w:r w:rsidR="00FC6E3D">
        <w:rPr>
          <w:rStyle w:val="EndnoteReference"/>
        </w:rPr>
        <w:endnoteReference w:id="9"/>
      </w:r>
      <w:r w:rsidR="00FC6E3D">
        <w:t xml:space="preserve"> </w:t>
      </w:r>
      <w:r w:rsidR="00881F86">
        <w:t>Serious</w:t>
      </w:r>
      <w:r w:rsidR="00D74104">
        <w:t xml:space="preserve"> concerns</w:t>
      </w:r>
      <w:r w:rsidR="00881F86">
        <w:t xml:space="preserve"> about conditions</w:t>
      </w:r>
      <w:r w:rsidR="00D74104">
        <w:t xml:space="preserve"> have </w:t>
      </w:r>
      <w:r w:rsidR="00881F86">
        <w:t xml:space="preserve">also </w:t>
      </w:r>
      <w:r w:rsidR="00D74104">
        <w:t xml:space="preserve">been </w:t>
      </w:r>
      <w:r w:rsidR="00881F86">
        <w:t xml:space="preserve">raised </w:t>
      </w:r>
      <w:r w:rsidR="00D74104">
        <w:t xml:space="preserve">by </w:t>
      </w:r>
      <w:r w:rsidR="00D844E1">
        <w:t xml:space="preserve">other visitors to the </w:t>
      </w:r>
      <w:r w:rsidR="00343686">
        <w:t>temporary</w:t>
      </w:r>
      <w:r w:rsidR="00D844E1">
        <w:t xml:space="preserve"> facility</w:t>
      </w:r>
      <w:r w:rsidR="00881F86">
        <w:t>, including one of the members of the Expert Panel on Asylum Seekers</w:t>
      </w:r>
      <w:r w:rsidR="00D37DA8">
        <w:t>.</w:t>
      </w:r>
      <w:r w:rsidR="00D37DA8">
        <w:rPr>
          <w:rStyle w:val="EndnoteReference"/>
        </w:rPr>
        <w:endnoteReference w:id="10"/>
      </w:r>
    </w:p>
    <w:p w:rsidR="00014101" w:rsidRDefault="00A858E6" w:rsidP="00014101">
      <w:pPr>
        <w:pStyle w:val="SubmissionNormal"/>
      </w:pPr>
      <w:r>
        <w:rPr>
          <w:b/>
        </w:rPr>
        <w:t xml:space="preserve">Recommendation 2: </w:t>
      </w:r>
      <w:r w:rsidR="001A71FE">
        <w:t>If</w:t>
      </w:r>
      <w:r w:rsidR="00D474C4">
        <w:t xml:space="preserve"> </w:t>
      </w:r>
      <w:r w:rsidR="001A71FE">
        <w:t xml:space="preserve">the </w:t>
      </w:r>
      <w:r w:rsidR="009A078B">
        <w:t xml:space="preserve">Australian </w:t>
      </w:r>
      <w:r w:rsidR="001A71FE">
        <w:t xml:space="preserve">Government </w:t>
      </w:r>
      <w:r w:rsidR="00D474C4">
        <w:t xml:space="preserve">intends to </w:t>
      </w:r>
      <w:r w:rsidR="001A71FE">
        <w:t>continue to transfer asylum seekers</w:t>
      </w:r>
      <w:r w:rsidR="006E4D71">
        <w:t xml:space="preserve"> to Manus Island</w:t>
      </w:r>
      <w:r w:rsidR="001A71FE">
        <w:t xml:space="preserve">, </w:t>
      </w:r>
      <w:r w:rsidR="00D474C4">
        <w:t xml:space="preserve">it should establish </w:t>
      </w:r>
      <w:r w:rsidR="00D474C4">
        <w:rPr>
          <w:rFonts w:cs="Arial"/>
        </w:rPr>
        <w:t xml:space="preserve">an appropriate facility </w:t>
      </w:r>
      <w:r w:rsidR="006E4D71">
        <w:t xml:space="preserve">to ensure </w:t>
      </w:r>
      <w:r w:rsidR="00D474C4">
        <w:t xml:space="preserve">that asylum seekers are treated in accordance with </w:t>
      </w:r>
      <w:r w:rsidR="006E4D71">
        <w:t xml:space="preserve">international standards. </w:t>
      </w:r>
      <w:r w:rsidR="00894B0E">
        <w:t>Asylum seekers currently on Manus Island should be returned to Australia, and no further transfers should take place until an appropriate facility is established.</w:t>
      </w:r>
    </w:p>
    <w:p w:rsidR="006A39D1" w:rsidRPr="00DD425D" w:rsidRDefault="00A3545D" w:rsidP="00AB584A">
      <w:pPr>
        <w:pStyle w:val="Heading1"/>
        <w:numPr>
          <w:ilvl w:val="0"/>
          <w:numId w:val="16"/>
        </w:numPr>
      </w:pPr>
      <w:bookmarkStart w:id="20" w:name="_Toc353284388"/>
      <w:r>
        <w:t>Relevant international h</w:t>
      </w:r>
      <w:r w:rsidR="006A39D1">
        <w:t>uman rights standards</w:t>
      </w:r>
      <w:bookmarkEnd w:id="20"/>
    </w:p>
    <w:p w:rsidR="001F5142" w:rsidRDefault="00660D8B" w:rsidP="00EC2B40">
      <w:pPr>
        <w:pStyle w:val="SubmissionNormal"/>
        <w:spacing w:before="120" w:after="0"/>
      </w:pPr>
      <w:r>
        <w:t>In</w:t>
      </w:r>
      <w:r w:rsidR="00606822">
        <w:t xml:space="preserve"> establish</w:t>
      </w:r>
      <w:r>
        <w:t>ing</w:t>
      </w:r>
      <w:r w:rsidR="00606822">
        <w:t xml:space="preserve"> an appropriate facility for asylum seekers</w:t>
      </w:r>
      <w:r w:rsidR="009255C4">
        <w:t xml:space="preserve"> on Manus Island</w:t>
      </w:r>
      <w:r w:rsidR="00606822">
        <w:t xml:space="preserve">, the </w:t>
      </w:r>
      <w:r>
        <w:t xml:space="preserve">Australian Government should ensure that the </w:t>
      </w:r>
      <w:r w:rsidR="00606822">
        <w:t>facility</w:t>
      </w:r>
      <w:r>
        <w:t xml:space="preserve"> is</w:t>
      </w:r>
      <w:r w:rsidR="007728A8">
        <w:t xml:space="preserve"> </w:t>
      </w:r>
      <w:r w:rsidR="00B635BB">
        <w:t xml:space="preserve">designed, </w:t>
      </w:r>
      <w:r w:rsidR="001846EB">
        <w:t>developed and operated in a way that meets</w:t>
      </w:r>
      <w:r w:rsidR="00B635BB">
        <w:t xml:space="preserve"> international</w:t>
      </w:r>
      <w:r w:rsidR="00B43ADB">
        <w:t xml:space="preserve"> </w:t>
      </w:r>
      <w:r w:rsidR="00CC3DD2">
        <w:t>standards</w:t>
      </w:r>
      <w:r w:rsidR="007728A8">
        <w:t>.</w:t>
      </w:r>
    </w:p>
    <w:p w:rsidR="008D509E" w:rsidRDefault="007728A8" w:rsidP="00EC2B40">
      <w:pPr>
        <w:pStyle w:val="SubmissionNormal"/>
        <w:spacing w:before="120" w:after="0"/>
      </w:pPr>
      <w:r>
        <w:t>R</w:t>
      </w:r>
      <w:r w:rsidR="00B635BB">
        <w:t>elevant</w:t>
      </w:r>
      <w:r>
        <w:t xml:space="preserve"> international human rights </w:t>
      </w:r>
      <w:r w:rsidR="00CC3DD2">
        <w:t>standards</w:t>
      </w:r>
      <w:r w:rsidR="00B635BB">
        <w:t xml:space="preserve"> are set out in </w:t>
      </w:r>
      <w:r>
        <w:t>treaties</w:t>
      </w:r>
      <w:r w:rsidR="00B635BB">
        <w:t xml:space="preserve"> </w:t>
      </w:r>
      <w:r w:rsidR="00EC2B40">
        <w:t xml:space="preserve">including </w:t>
      </w:r>
      <w:r w:rsidR="008D509E">
        <w:t xml:space="preserve">the </w:t>
      </w:r>
      <w:r w:rsidR="008D509E" w:rsidRPr="00EC2B40">
        <w:rPr>
          <w:i/>
        </w:rPr>
        <w:t>International Covenant on Civil and Political Rights</w:t>
      </w:r>
      <w:r w:rsidR="008D509E">
        <w:t xml:space="preserve"> (ICCPR)</w:t>
      </w:r>
      <w:r w:rsidR="00EC2B40">
        <w:t xml:space="preserve">, </w:t>
      </w:r>
      <w:r w:rsidR="008D509E">
        <w:t xml:space="preserve">the </w:t>
      </w:r>
      <w:r w:rsidR="008D509E" w:rsidRPr="00EC2B40">
        <w:rPr>
          <w:i/>
        </w:rPr>
        <w:t xml:space="preserve">International Covenant on Economic, Social and Cultural Rights </w:t>
      </w:r>
      <w:r w:rsidR="008D509E">
        <w:t>(ICESCR)</w:t>
      </w:r>
      <w:r w:rsidR="00EC2B40">
        <w:t xml:space="preserve">, </w:t>
      </w:r>
      <w:r w:rsidR="008D509E">
        <w:t xml:space="preserve">the </w:t>
      </w:r>
      <w:r w:rsidR="008D509E" w:rsidRPr="00EC2B40">
        <w:rPr>
          <w:i/>
        </w:rPr>
        <w:t>Convention against Torture and Other Cruel, Inhuman and Degrading Treatment or Punishment</w:t>
      </w:r>
      <w:r w:rsidR="008D509E">
        <w:t xml:space="preserve"> (C</w:t>
      </w:r>
      <w:r w:rsidR="001F5142">
        <w:t>AT</w:t>
      </w:r>
      <w:r w:rsidR="008D509E">
        <w:t>)</w:t>
      </w:r>
      <w:r w:rsidR="00EC2B40">
        <w:t xml:space="preserve">, </w:t>
      </w:r>
      <w:r w:rsidR="008D509E">
        <w:t xml:space="preserve">the </w:t>
      </w:r>
      <w:r w:rsidR="008D509E" w:rsidRPr="00EC2B40">
        <w:rPr>
          <w:i/>
        </w:rPr>
        <w:t>Convention on the Rights of the Child</w:t>
      </w:r>
      <w:r w:rsidR="008D509E">
        <w:t xml:space="preserve"> (CRC)</w:t>
      </w:r>
      <w:r w:rsidR="00EC2B40">
        <w:t xml:space="preserve">, </w:t>
      </w:r>
      <w:r w:rsidR="00D77385">
        <w:t xml:space="preserve">and </w:t>
      </w:r>
      <w:r w:rsidR="008D509E">
        <w:t xml:space="preserve">the </w:t>
      </w:r>
      <w:r w:rsidR="00701AE2" w:rsidRPr="00EC2B40">
        <w:rPr>
          <w:i/>
        </w:rPr>
        <w:t xml:space="preserve">Convention Relating to the Status of Refugees </w:t>
      </w:r>
      <w:r w:rsidR="00701AE2">
        <w:t>and its Protocol (Refugee Convention).</w:t>
      </w:r>
      <w:r w:rsidR="00F045AE">
        <w:rPr>
          <w:rStyle w:val="EndnoteReference"/>
        </w:rPr>
        <w:endnoteReference w:id="11"/>
      </w:r>
      <w:r w:rsidR="00701AE2" w:rsidRPr="00EC2B40">
        <w:rPr>
          <w:rFonts w:ascii="Times New Roman" w:hAnsi="Times New Roman"/>
        </w:rPr>
        <w:t xml:space="preserve"> </w:t>
      </w:r>
    </w:p>
    <w:p w:rsidR="00B43ADB" w:rsidRDefault="00606822" w:rsidP="00D77385">
      <w:pPr>
        <w:pStyle w:val="SubmissionNormal"/>
      </w:pPr>
      <w:r>
        <w:lastRenderedPageBreak/>
        <w:t>In addition, s</w:t>
      </w:r>
      <w:r w:rsidR="00B43ADB">
        <w:t>pecific international guidelines relating to the treatment of detained persons include</w:t>
      </w:r>
      <w:r w:rsidR="00D10DBA">
        <w:t>, among others</w:t>
      </w:r>
      <w:r w:rsidR="00F90CC3">
        <w:t xml:space="preserve">: </w:t>
      </w:r>
      <w:r w:rsidR="007B4014">
        <w:t xml:space="preserve">the </w:t>
      </w:r>
      <w:r w:rsidR="00B43ADB" w:rsidRPr="00221F50">
        <w:rPr>
          <w:i/>
        </w:rPr>
        <w:t>Body of Principles for the Protection of all Persons under Any F</w:t>
      </w:r>
      <w:r w:rsidR="00F90CC3" w:rsidRPr="00221F50">
        <w:rPr>
          <w:i/>
        </w:rPr>
        <w:t>orm of Detention or Imprisonment</w:t>
      </w:r>
      <w:r w:rsidR="00D77385">
        <w:t xml:space="preserve">, </w:t>
      </w:r>
      <w:r w:rsidR="007B4014">
        <w:t xml:space="preserve">the </w:t>
      </w:r>
      <w:r w:rsidR="00B43ADB" w:rsidRPr="00221F50">
        <w:rPr>
          <w:i/>
        </w:rPr>
        <w:t>Standard Minimum Rules for the Treatment of Prisoners</w:t>
      </w:r>
      <w:r w:rsidR="00D77385">
        <w:t xml:space="preserve">, </w:t>
      </w:r>
      <w:r w:rsidR="007B4014">
        <w:t xml:space="preserve">the </w:t>
      </w:r>
      <w:r w:rsidR="00B43ADB" w:rsidRPr="00221F50">
        <w:rPr>
          <w:i/>
        </w:rPr>
        <w:t>United Nations Rules for the Protection of Juveniles Deprived of their Liberty</w:t>
      </w:r>
      <w:r w:rsidR="00D77385">
        <w:t xml:space="preserve">, and </w:t>
      </w:r>
      <w:r w:rsidR="007B4014">
        <w:t>g</w:t>
      </w:r>
      <w:r w:rsidR="00B43ADB">
        <w:t xml:space="preserve">uidelines issued by UNHCR, including the </w:t>
      </w:r>
      <w:r w:rsidR="00D77385" w:rsidRPr="00D77385">
        <w:rPr>
          <w:i/>
        </w:rPr>
        <w:t>Guidelines on the Applicable Criteria and Standards relating to the Detention of Asylum-Seekers and Alternatives to Detention</w:t>
      </w:r>
      <w:r w:rsidR="00B43ADB">
        <w:t>.</w:t>
      </w:r>
      <w:r w:rsidR="00221F50">
        <w:rPr>
          <w:rStyle w:val="EndnoteReference"/>
        </w:rPr>
        <w:endnoteReference w:id="12"/>
      </w:r>
      <w:r w:rsidR="00221F50">
        <w:rPr>
          <w:rStyle w:val="CommentReference"/>
          <w:rFonts w:eastAsia="MS Mincho"/>
        </w:rPr>
        <w:t xml:space="preserve"> </w:t>
      </w:r>
    </w:p>
    <w:p w:rsidR="00D91B6F" w:rsidRDefault="00D91B6F" w:rsidP="00D91B6F">
      <w:pPr>
        <w:pStyle w:val="SubmissionNormal"/>
        <w:spacing w:before="120" w:after="0"/>
      </w:pPr>
      <w:r>
        <w:t xml:space="preserve">These instruments cover a broad range of rights and freedoms. Some of the key human rights relevant to people </w:t>
      </w:r>
      <w:r w:rsidR="007B4014">
        <w:t xml:space="preserve">who are subject to </w:t>
      </w:r>
      <w:r>
        <w:t>immigration detention include the following:</w:t>
      </w:r>
    </w:p>
    <w:p w:rsidR="0038240C" w:rsidRPr="0038240C" w:rsidRDefault="00D91B6F" w:rsidP="0038240C">
      <w:pPr>
        <w:pStyle w:val="SubmissionNormal"/>
        <w:numPr>
          <w:ilvl w:val="0"/>
          <w:numId w:val="24"/>
        </w:numPr>
        <w:spacing w:before="120" w:after="0"/>
      </w:pPr>
      <w:r>
        <w:t>Everyone has the right to liberty and security of the person. No one should be subjected to arbitrary arrest or detention.</w:t>
      </w:r>
      <w:r>
        <w:rPr>
          <w:rStyle w:val="EndnoteReference"/>
        </w:rPr>
        <w:endnoteReference w:id="13"/>
      </w:r>
      <w:r w:rsidR="006E5D14">
        <w:t xml:space="preserve"> </w:t>
      </w:r>
    </w:p>
    <w:p w:rsidR="00D91B6F" w:rsidRDefault="00D91B6F" w:rsidP="00AB584A">
      <w:pPr>
        <w:pStyle w:val="SubmissionNormal"/>
        <w:numPr>
          <w:ilvl w:val="0"/>
          <w:numId w:val="24"/>
        </w:numPr>
        <w:spacing w:before="120" w:after="0"/>
      </w:pPr>
      <w:r>
        <w:t>All persons deprived of their liberty should be treated with humanity and respect for the inherent dignity of the human person.</w:t>
      </w:r>
      <w:r w:rsidR="00FC1D51">
        <w:rPr>
          <w:rStyle w:val="EndnoteReference"/>
        </w:rPr>
        <w:endnoteReference w:id="14"/>
      </w:r>
    </w:p>
    <w:p w:rsidR="00D91B6F" w:rsidRDefault="00D91B6F" w:rsidP="00AB584A">
      <w:pPr>
        <w:pStyle w:val="SubmissionNormal"/>
        <w:numPr>
          <w:ilvl w:val="0"/>
          <w:numId w:val="24"/>
        </w:numPr>
        <w:spacing w:before="120" w:after="0"/>
      </w:pPr>
      <w:r>
        <w:t>No one should be subjected to torture or to cruel, inhuman or degrading treatment or punishment.</w:t>
      </w:r>
      <w:r w:rsidR="00FC1D51">
        <w:rPr>
          <w:rStyle w:val="EndnoteReference"/>
        </w:rPr>
        <w:endnoteReference w:id="15"/>
      </w:r>
    </w:p>
    <w:p w:rsidR="00D91B6F" w:rsidRDefault="00D91B6F" w:rsidP="00AB584A">
      <w:pPr>
        <w:pStyle w:val="SubmissionNormal"/>
        <w:numPr>
          <w:ilvl w:val="0"/>
          <w:numId w:val="24"/>
        </w:numPr>
        <w:spacing w:before="120" w:after="0"/>
      </w:pPr>
      <w:r>
        <w:t>The detention of a child should be used only as a measure of last resort and for the shortest appropriate period of time.</w:t>
      </w:r>
      <w:r w:rsidR="00FC1D51">
        <w:rPr>
          <w:rStyle w:val="EndnoteReference"/>
        </w:rPr>
        <w:endnoteReference w:id="16"/>
      </w:r>
    </w:p>
    <w:p w:rsidR="00D91B6F" w:rsidRDefault="00D91B6F" w:rsidP="00AB584A">
      <w:pPr>
        <w:pStyle w:val="SubmissionNormal"/>
        <w:numPr>
          <w:ilvl w:val="0"/>
          <w:numId w:val="24"/>
        </w:numPr>
        <w:spacing w:before="120" w:after="0"/>
      </w:pPr>
      <w:r>
        <w:t>In all actions concerning children, the best interests of the child should be a primary consideration.</w:t>
      </w:r>
      <w:r w:rsidR="00FC1D51">
        <w:rPr>
          <w:rStyle w:val="EndnoteReference"/>
        </w:rPr>
        <w:endnoteReference w:id="17"/>
      </w:r>
    </w:p>
    <w:p w:rsidR="00D91B6F" w:rsidRDefault="00D91B6F" w:rsidP="00AB584A">
      <w:pPr>
        <w:pStyle w:val="SubmissionNormal"/>
        <w:numPr>
          <w:ilvl w:val="0"/>
          <w:numId w:val="24"/>
        </w:numPr>
        <w:spacing w:before="120" w:after="0"/>
      </w:pPr>
      <w:r>
        <w:t>Every detained person should have access to independent legal advice and assistance.</w:t>
      </w:r>
      <w:r w:rsidR="00FC1D51">
        <w:rPr>
          <w:rStyle w:val="EndnoteReference"/>
        </w:rPr>
        <w:endnoteReference w:id="18"/>
      </w:r>
    </w:p>
    <w:p w:rsidR="00D91B6F" w:rsidRDefault="00D91B6F" w:rsidP="00AB584A">
      <w:pPr>
        <w:pStyle w:val="SubmissionNormal"/>
        <w:numPr>
          <w:ilvl w:val="0"/>
          <w:numId w:val="24"/>
        </w:numPr>
        <w:spacing w:before="120" w:after="0"/>
      </w:pPr>
      <w:r>
        <w:t>All persons have a right to the highest attainable standard of physical and mental health.</w:t>
      </w:r>
      <w:r w:rsidR="00FC1D51">
        <w:rPr>
          <w:rStyle w:val="EndnoteReference"/>
        </w:rPr>
        <w:endnoteReference w:id="19"/>
      </w:r>
    </w:p>
    <w:p w:rsidR="00D91B6F" w:rsidRDefault="00D91B6F" w:rsidP="00AB584A">
      <w:pPr>
        <w:pStyle w:val="SubmissionNormal"/>
        <w:numPr>
          <w:ilvl w:val="0"/>
          <w:numId w:val="24"/>
        </w:numPr>
        <w:spacing w:before="120" w:after="0"/>
      </w:pPr>
      <w:r>
        <w:t>Every person is entitled to respect for their human rights without discrimination.</w:t>
      </w:r>
      <w:r w:rsidR="00FC1D51">
        <w:rPr>
          <w:rStyle w:val="EndnoteReference"/>
        </w:rPr>
        <w:endnoteReference w:id="20"/>
      </w:r>
    </w:p>
    <w:p w:rsidR="00EC7FE6" w:rsidRDefault="00DD07B2" w:rsidP="00B60D1D">
      <w:pPr>
        <w:pStyle w:val="SubmissionNormal"/>
      </w:pPr>
      <w:r>
        <w:t xml:space="preserve">The Commission has drawn on </w:t>
      </w:r>
      <w:r w:rsidR="00377644">
        <w:t xml:space="preserve">relevant </w:t>
      </w:r>
      <w:r>
        <w:t>international human rights and deten</w:t>
      </w:r>
      <w:r w:rsidR="002F3AE9">
        <w:t>tion standards in developing</w:t>
      </w:r>
      <w:r w:rsidR="00BC57B4">
        <w:t xml:space="preserve"> the</w:t>
      </w:r>
      <w:r>
        <w:t xml:space="preserve"> </w:t>
      </w:r>
      <w:r w:rsidRPr="009861C3">
        <w:rPr>
          <w:i/>
        </w:rPr>
        <w:t>Human rights standards for immigration detention</w:t>
      </w:r>
      <w:r>
        <w:t xml:space="preserve"> (the Standards)</w:t>
      </w:r>
      <w:r w:rsidR="008273F1">
        <w:t>, which are attached to this submission as Attachment A</w:t>
      </w:r>
      <w:r>
        <w:t>.</w:t>
      </w:r>
      <w:r>
        <w:rPr>
          <w:rStyle w:val="EndnoteReference"/>
        </w:rPr>
        <w:endnoteReference w:id="21"/>
      </w:r>
      <w:r>
        <w:t xml:space="preserve"> The Standards set out </w:t>
      </w:r>
      <w:r w:rsidR="00377644">
        <w:t xml:space="preserve">minimum </w:t>
      </w:r>
      <w:r>
        <w:t xml:space="preserve">benchmarks for the humane treatment of </w:t>
      </w:r>
      <w:r w:rsidR="00377644">
        <w:t xml:space="preserve">people in </w:t>
      </w:r>
      <w:r>
        <w:t>immigration det</w:t>
      </w:r>
      <w:r w:rsidR="00377644">
        <w:t>ention</w:t>
      </w:r>
      <w:r>
        <w:t xml:space="preserve"> and include </w:t>
      </w:r>
      <w:r w:rsidR="009B5E07">
        <w:t>principles</w:t>
      </w:r>
      <w:r>
        <w:t xml:space="preserve"> relevant t</w:t>
      </w:r>
      <w:r w:rsidR="002F3AE9">
        <w:t>o the design and operation of</w:t>
      </w:r>
      <w:r>
        <w:t xml:space="preserve"> detention facilities. </w:t>
      </w:r>
    </w:p>
    <w:p w:rsidR="00754501" w:rsidRDefault="00EC7FE6" w:rsidP="004777E6">
      <w:pPr>
        <w:pStyle w:val="SubmissionNormal"/>
      </w:pPr>
      <w:r>
        <w:t xml:space="preserve">The Standards </w:t>
      </w:r>
      <w:r w:rsidR="00FF2034">
        <w:t xml:space="preserve">incorporate </w:t>
      </w:r>
      <w:r>
        <w:t>overarching principles, for example</w:t>
      </w:r>
      <w:r w:rsidR="0036561F">
        <w:t>,</w:t>
      </w:r>
      <w:r w:rsidR="00745C8B">
        <w:t xml:space="preserve"> that</w:t>
      </w:r>
      <w:r w:rsidR="004777E6">
        <w:t xml:space="preserve"> accommodation in immig</w:t>
      </w:r>
      <w:r w:rsidR="000D52C7">
        <w:t>ration detention should not be prison-like</w:t>
      </w:r>
      <w:r w:rsidR="004777E6">
        <w:t xml:space="preserve">, </w:t>
      </w:r>
      <w:r w:rsidR="00725932">
        <w:t xml:space="preserve">that </w:t>
      </w:r>
      <w:r w:rsidR="000D52C7">
        <w:t xml:space="preserve">people in detention </w:t>
      </w:r>
      <w:r w:rsidR="00745C8B" w:rsidRPr="00CA0E78">
        <w:t>should enjoy the least restrictive environment possible</w:t>
      </w:r>
      <w:r w:rsidR="00772FC8">
        <w:t xml:space="preserve"> and that </w:t>
      </w:r>
      <w:r w:rsidR="00991020">
        <w:t xml:space="preserve">the primary concern of detention authorities should be one of care for the well-being of </w:t>
      </w:r>
      <w:r w:rsidR="000D52C7">
        <w:t>people in detention</w:t>
      </w:r>
      <w:r w:rsidR="00BD08CC">
        <w:t>.</w:t>
      </w:r>
      <w:r w:rsidR="00991020">
        <w:rPr>
          <w:rStyle w:val="EndnoteReference"/>
        </w:rPr>
        <w:endnoteReference w:id="22"/>
      </w:r>
      <w:r w:rsidR="00BD08CC">
        <w:t xml:space="preserve"> </w:t>
      </w:r>
    </w:p>
    <w:p w:rsidR="00213D79" w:rsidRDefault="00696976" w:rsidP="004777E6">
      <w:pPr>
        <w:pStyle w:val="SubmissionNormal"/>
      </w:pPr>
      <w:r>
        <w:t>The Standards</w:t>
      </w:r>
      <w:r w:rsidR="00EC7FE6">
        <w:t xml:space="preserve"> also deal with specific</w:t>
      </w:r>
      <w:r w:rsidR="00B60D1D">
        <w:t xml:space="preserve"> </w:t>
      </w:r>
      <w:r w:rsidR="00745C8B">
        <w:t>requirements</w:t>
      </w:r>
      <w:r w:rsidR="00F045AE">
        <w:t xml:space="preserve">, for example standards </w:t>
      </w:r>
      <w:r w:rsidR="00B60D1D">
        <w:t xml:space="preserve">of accommodation, </w:t>
      </w:r>
      <w:r w:rsidR="00102950">
        <w:t xml:space="preserve">including </w:t>
      </w:r>
      <w:r w:rsidR="00B60D1D">
        <w:t>climatic conditions, cubic content of air, minimum floor space, lighting, heating, ventilation, window area, sanitary facilities, sleeping arrangements, and provision of separate accommodation for men, women and families.</w:t>
      </w:r>
      <w:r w:rsidR="00B60D1D">
        <w:rPr>
          <w:rStyle w:val="EndnoteReference"/>
        </w:rPr>
        <w:endnoteReference w:id="23"/>
      </w:r>
      <w:r w:rsidR="00B60D1D">
        <w:t xml:space="preserve"> </w:t>
      </w:r>
      <w:r w:rsidR="007C55DC">
        <w:t>They</w:t>
      </w:r>
      <w:r w:rsidR="00991020">
        <w:t xml:space="preserve"> </w:t>
      </w:r>
      <w:r w:rsidR="002374E7">
        <w:t xml:space="preserve">also </w:t>
      </w:r>
      <w:r w:rsidR="00991020">
        <w:t xml:space="preserve">set out the need for appropriate </w:t>
      </w:r>
      <w:r w:rsidR="00CC1005">
        <w:t>educational, recreational, religious and medical facilities.</w:t>
      </w:r>
      <w:r w:rsidR="007C55DC">
        <w:rPr>
          <w:rStyle w:val="EndnoteReference"/>
        </w:rPr>
        <w:endnoteReference w:id="24"/>
      </w:r>
      <w:r w:rsidR="00CC1005">
        <w:t xml:space="preserve"> </w:t>
      </w:r>
    </w:p>
    <w:p w:rsidR="007F329F" w:rsidRDefault="007F329F" w:rsidP="002F3AE9">
      <w:pPr>
        <w:pStyle w:val="SubmissionNormal"/>
      </w:pPr>
      <w:r>
        <w:rPr>
          <w:b/>
        </w:rPr>
        <w:lastRenderedPageBreak/>
        <w:t xml:space="preserve">Recommendation 3: </w:t>
      </w:r>
      <w:r>
        <w:t xml:space="preserve">In establishing </w:t>
      </w:r>
      <w:r w:rsidR="005134E9">
        <w:t xml:space="preserve">and operating </w:t>
      </w:r>
      <w:r>
        <w:t>an appropriate facility for asylum seekers on Manus Island, t</w:t>
      </w:r>
      <w:r w:rsidRPr="008A45D7">
        <w:t xml:space="preserve">he </w:t>
      </w:r>
      <w:r w:rsidRPr="00536EE5">
        <w:rPr>
          <w:i/>
        </w:rPr>
        <w:t>Human rights standards for immigration detention</w:t>
      </w:r>
      <w:r>
        <w:t xml:space="preserve"> should be considered</w:t>
      </w:r>
      <w:r w:rsidR="00E32C9B">
        <w:t xml:space="preserve"> and applied</w:t>
      </w:r>
      <w:r>
        <w:t>.</w:t>
      </w:r>
      <w:r w:rsidR="003A38CD">
        <w:rPr>
          <w:rStyle w:val="EndnoteReference"/>
        </w:rPr>
        <w:endnoteReference w:id="25"/>
      </w:r>
    </w:p>
    <w:p w:rsidR="002D450C" w:rsidRPr="00DD425D" w:rsidRDefault="002D450C" w:rsidP="002D450C">
      <w:pPr>
        <w:pStyle w:val="Heading1"/>
        <w:numPr>
          <w:ilvl w:val="0"/>
          <w:numId w:val="16"/>
        </w:numPr>
      </w:pPr>
      <w:bookmarkStart w:id="21" w:name="_Toc353284389"/>
      <w:r>
        <w:t>The need to avoid arbitrary detention</w:t>
      </w:r>
      <w:bookmarkEnd w:id="21"/>
    </w:p>
    <w:p w:rsidR="00A43E50" w:rsidRDefault="00B34F3E" w:rsidP="00B45F7E">
      <w:pPr>
        <w:pStyle w:val="SubmissionNormal"/>
      </w:pPr>
      <w:r>
        <w:t xml:space="preserve">The Commission is particularly concerned about the </w:t>
      </w:r>
      <w:r w:rsidR="00467CF5">
        <w:t xml:space="preserve">potential for asylum seekers to be subjected to </w:t>
      </w:r>
      <w:r>
        <w:t>arbitrary detention</w:t>
      </w:r>
      <w:r w:rsidR="00A43E50">
        <w:t xml:space="preserve"> </w:t>
      </w:r>
      <w:r>
        <w:t>on Manus Island</w:t>
      </w:r>
      <w:r w:rsidR="00822D0C">
        <w:t xml:space="preserve">, in breach of article 9 of the ICCPR and </w:t>
      </w:r>
      <w:r w:rsidR="00060A74">
        <w:t>article 37 of the CRC</w:t>
      </w:r>
      <w:r w:rsidR="008448B7">
        <w:t>.</w:t>
      </w:r>
      <w:r w:rsidR="00B55556">
        <w:rPr>
          <w:rStyle w:val="EndnoteReference"/>
        </w:rPr>
        <w:endnoteReference w:id="26"/>
      </w:r>
      <w:r w:rsidR="008448B7">
        <w:t xml:space="preserve"> </w:t>
      </w:r>
    </w:p>
    <w:p w:rsidR="00A43E50" w:rsidRDefault="00E62C24" w:rsidP="00044421">
      <w:pPr>
        <w:pStyle w:val="SubmissionNormal"/>
      </w:pPr>
      <w:r>
        <w:t>The</w:t>
      </w:r>
      <w:r w:rsidR="00E90B21">
        <w:t xml:space="preserve"> Expert Panel on Asylum Seekers’ proposals for third country processing </w:t>
      </w:r>
      <w:r w:rsidR="007E4AB8">
        <w:t xml:space="preserve">specifically highlighted the </w:t>
      </w:r>
      <w:r w:rsidR="00E90B21">
        <w:t xml:space="preserve">need for </w:t>
      </w:r>
      <w:r w:rsidR="007E4AB8">
        <w:t xml:space="preserve">protection and welfare </w:t>
      </w:r>
      <w:r w:rsidR="00E90B21">
        <w:t xml:space="preserve">arrangements in third countries to comply with international </w:t>
      </w:r>
      <w:r w:rsidR="007E4AB8">
        <w:t xml:space="preserve">human rights </w:t>
      </w:r>
      <w:r w:rsidR="00E90B21">
        <w:t>standards</w:t>
      </w:r>
      <w:r w:rsidR="007E4AB8">
        <w:t>, including the prohibition on arbitrary detention</w:t>
      </w:r>
      <w:r w:rsidR="00E90B21">
        <w:t>.</w:t>
      </w:r>
      <w:r w:rsidR="00E90B21">
        <w:rPr>
          <w:rStyle w:val="EndnoteReference"/>
        </w:rPr>
        <w:endnoteReference w:id="27"/>
      </w:r>
      <w:r w:rsidR="007E4AB8">
        <w:t xml:space="preserve"> </w:t>
      </w:r>
      <w:r w:rsidR="00E90B21">
        <w:t xml:space="preserve">It appears that there is currently a </w:t>
      </w:r>
      <w:r w:rsidR="00E90B21" w:rsidRPr="007E4AB8">
        <w:rPr>
          <w:rFonts w:cs="Arial"/>
        </w:rPr>
        <w:t xml:space="preserve">significant gap between the conditions envisaged by the Panel and the </w:t>
      </w:r>
      <w:r w:rsidR="00044421">
        <w:rPr>
          <w:rFonts w:cs="Arial"/>
        </w:rPr>
        <w:t>reality</w:t>
      </w:r>
      <w:r w:rsidR="00A10C11">
        <w:rPr>
          <w:rFonts w:cs="Arial"/>
        </w:rPr>
        <w:t xml:space="preserve"> on Manus Island</w:t>
      </w:r>
      <w:r w:rsidR="007E4AB8">
        <w:rPr>
          <w:rFonts w:cs="Arial"/>
        </w:rPr>
        <w:t xml:space="preserve">. As of mid-March 2013, around </w:t>
      </w:r>
      <w:r w:rsidR="00BA4DF9">
        <w:rPr>
          <w:rFonts w:cs="Arial"/>
        </w:rPr>
        <w:t>250</w:t>
      </w:r>
      <w:r w:rsidR="007E4AB8">
        <w:rPr>
          <w:rFonts w:cs="Arial"/>
        </w:rPr>
        <w:t xml:space="preserve"> asylum seekers including </w:t>
      </w:r>
      <w:r w:rsidR="0036561F">
        <w:rPr>
          <w:rFonts w:cs="Arial"/>
        </w:rPr>
        <w:t xml:space="preserve">around </w:t>
      </w:r>
      <w:r w:rsidR="00BA4DF9">
        <w:rPr>
          <w:rFonts w:cs="Arial"/>
        </w:rPr>
        <w:t>30</w:t>
      </w:r>
      <w:r w:rsidR="007E4AB8">
        <w:rPr>
          <w:rFonts w:cs="Arial"/>
        </w:rPr>
        <w:t xml:space="preserve"> children </w:t>
      </w:r>
      <w:r w:rsidR="00CD4240">
        <w:rPr>
          <w:rFonts w:cs="Arial"/>
        </w:rPr>
        <w:t>were detained at the temporary facility</w:t>
      </w:r>
      <w:r w:rsidR="00A10C11">
        <w:rPr>
          <w:rFonts w:cs="Arial"/>
        </w:rPr>
        <w:t xml:space="preserve"> there, some of whom had been detained </w:t>
      </w:r>
      <w:r w:rsidR="004A4161">
        <w:rPr>
          <w:rFonts w:cs="Arial"/>
        </w:rPr>
        <w:t xml:space="preserve">for </w:t>
      </w:r>
      <w:r w:rsidR="00B35012">
        <w:rPr>
          <w:rFonts w:cs="Arial"/>
        </w:rPr>
        <w:t xml:space="preserve">around </w:t>
      </w:r>
      <w:r w:rsidR="00BA4DF9">
        <w:rPr>
          <w:rFonts w:cs="Arial"/>
        </w:rPr>
        <w:t>six</w:t>
      </w:r>
      <w:r w:rsidR="004A4161">
        <w:rPr>
          <w:rFonts w:cs="Arial"/>
        </w:rPr>
        <w:t xml:space="preserve"> months</w:t>
      </w:r>
      <w:r w:rsidR="00CD4240">
        <w:rPr>
          <w:rFonts w:cs="Arial"/>
        </w:rPr>
        <w:t>.</w:t>
      </w:r>
      <w:r w:rsidR="00CD4240">
        <w:t xml:space="preserve"> </w:t>
      </w:r>
      <w:r w:rsidR="00CD4240">
        <w:rPr>
          <w:rFonts w:cs="Arial"/>
        </w:rPr>
        <w:t xml:space="preserve">One member of the Panel </w:t>
      </w:r>
      <w:r w:rsidR="00E90B21" w:rsidRPr="00CD4240">
        <w:rPr>
          <w:rFonts w:cs="Arial"/>
        </w:rPr>
        <w:t xml:space="preserve">recently </w:t>
      </w:r>
      <w:r w:rsidR="005545FA">
        <w:rPr>
          <w:rFonts w:cs="Arial"/>
        </w:rPr>
        <w:t xml:space="preserve">visited the facility and </w:t>
      </w:r>
      <w:r w:rsidR="00E90B21" w:rsidRPr="00CD4240">
        <w:rPr>
          <w:rFonts w:cs="Arial"/>
        </w:rPr>
        <w:t xml:space="preserve">expressed serious concern </w:t>
      </w:r>
      <w:r w:rsidR="00CD4240">
        <w:rPr>
          <w:rFonts w:cs="Arial"/>
        </w:rPr>
        <w:t>about their</w:t>
      </w:r>
      <w:r w:rsidR="00E90B21" w:rsidRPr="00CD4240">
        <w:rPr>
          <w:rFonts w:cs="Arial"/>
        </w:rPr>
        <w:t xml:space="preserve"> </w:t>
      </w:r>
      <w:r w:rsidR="000D52C7">
        <w:rPr>
          <w:rFonts w:cs="Arial"/>
        </w:rPr>
        <w:t xml:space="preserve">lack </w:t>
      </w:r>
      <w:r w:rsidR="000D52C7" w:rsidRPr="00CD4240">
        <w:rPr>
          <w:rFonts w:cs="Arial"/>
        </w:rPr>
        <w:t>of freedom of moveme</w:t>
      </w:r>
      <w:r w:rsidR="000D52C7">
        <w:rPr>
          <w:rFonts w:cs="Arial"/>
        </w:rPr>
        <w:t xml:space="preserve">nt and the lack of safeguards to prevent </w:t>
      </w:r>
      <w:r w:rsidR="00CD4240">
        <w:rPr>
          <w:rFonts w:cs="Arial"/>
        </w:rPr>
        <w:t>arbitrary</w:t>
      </w:r>
      <w:r w:rsidR="000D52C7">
        <w:rPr>
          <w:rFonts w:cs="Arial"/>
        </w:rPr>
        <w:t xml:space="preserve"> detention</w:t>
      </w:r>
      <w:r w:rsidR="00E90B21" w:rsidRPr="00CD4240">
        <w:rPr>
          <w:rFonts w:cs="Arial"/>
        </w:rPr>
        <w:t>.</w:t>
      </w:r>
      <w:r w:rsidR="00E90B21">
        <w:rPr>
          <w:rStyle w:val="EndnoteReference"/>
          <w:rFonts w:cs="Arial"/>
        </w:rPr>
        <w:endnoteReference w:id="28"/>
      </w:r>
      <w:r w:rsidR="00E90B21" w:rsidRPr="00CD4240">
        <w:rPr>
          <w:rFonts w:cs="Arial"/>
        </w:rPr>
        <w:t xml:space="preserve">  </w:t>
      </w:r>
    </w:p>
    <w:p w:rsidR="00B45F7E" w:rsidRDefault="00903057" w:rsidP="005712A0">
      <w:pPr>
        <w:pStyle w:val="SubmissionNormal"/>
      </w:pPr>
      <w:r>
        <w:t xml:space="preserve">To </w:t>
      </w:r>
      <w:r w:rsidR="005E1C8B">
        <w:t xml:space="preserve">avoid </w:t>
      </w:r>
      <w:r w:rsidR="00B54557">
        <w:t xml:space="preserve">being </w:t>
      </w:r>
      <w:r w:rsidR="005E1C8B">
        <w:t>arbitrary</w:t>
      </w:r>
      <w:r w:rsidR="00B54557">
        <w:t>,</w:t>
      </w:r>
      <w:r w:rsidR="005E1C8B">
        <w:t xml:space="preserve"> </w:t>
      </w:r>
      <w:r w:rsidR="00B54DC2" w:rsidRPr="00B45F7E">
        <w:t xml:space="preserve">detention must be </w:t>
      </w:r>
      <w:r w:rsidR="00B54557">
        <w:t xml:space="preserve">necessary and reasonable in all the circumstances of the case, and </w:t>
      </w:r>
      <w:r w:rsidR="00B54DC2" w:rsidRPr="00B45F7E">
        <w:t xml:space="preserve">a proportionate means </w:t>
      </w:r>
      <w:r w:rsidR="00B54557">
        <w:t>of</w:t>
      </w:r>
      <w:r w:rsidR="00B54DC2" w:rsidRPr="00B45F7E">
        <w:t xml:space="preserve"> achiev</w:t>
      </w:r>
      <w:r w:rsidR="00B54557">
        <w:t>ing</w:t>
      </w:r>
      <w:r w:rsidR="00B54DC2" w:rsidRPr="00B45F7E">
        <w:t xml:space="preserve"> a legitimate aim</w:t>
      </w:r>
      <w:r w:rsidR="00060A74">
        <w:t>.</w:t>
      </w:r>
      <w:r w:rsidR="005712A0">
        <w:t xml:space="preserve"> </w:t>
      </w:r>
      <w:r w:rsidR="00D74857" w:rsidRPr="00B45F7E">
        <w:t>In determining whether</w:t>
      </w:r>
      <w:r w:rsidRPr="00B45F7E">
        <w:t xml:space="preserve"> detention is proportionate</w:t>
      </w:r>
      <w:r w:rsidR="00D74857" w:rsidRPr="00B45F7E">
        <w:t xml:space="preserve">, consideration must be had to the availability of alternative means for achieving that </w:t>
      </w:r>
      <w:r w:rsidR="00B54557">
        <w:t>aim</w:t>
      </w:r>
      <w:r w:rsidR="00D74857" w:rsidRPr="00B45F7E">
        <w:t xml:space="preserve"> which are less restrictive of an individual’s rights.</w:t>
      </w:r>
      <w:r w:rsidR="00D74857">
        <w:rPr>
          <w:rStyle w:val="EndnoteReference"/>
        </w:rPr>
        <w:endnoteReference w:id="29"/>
      </w:r>
    </w:p>
    <w:p w:rsidR="005C3870" w:rsidRPr="007F7F49" w:rsidRDefault="00C05DFC" w:rsidP="005C3870">
      <w:pPr>
        <w:pStyle w:val="SubmissionNormal"/>
      </w:pPr>
      <w:r>
        <w:t>Children, in particular, should n</w:t>
      </w:r>
      <w:r w:rsidR="0077421C">
        <w:t xml:space="preserve">ot be subjected to mandatory, arbitrary or </w:t>
      </w:r>
      <w:r>
        <w:t xml:space="preserve">prolonged detention. Under the CRC they should only be detained as a measure of last resort. If they are detained it must be for </w:t>
      </w:r>
      <w:r w:rsidR="00F76C78">
        <w:t>the shortest appropriate period of time.</w:t>
      </w:r>
    </w:p>
    <w:p w:rsidR="00D25E20" w:rsidRDefault="0045692F" w:rsidP="00D25E20">
      <w:pPr>
        <w:pStyle w:val="SubmissionNormal"/>
      </w:pPr>
      <w:r>
        <w:t xml:space="preserve">In order to minimise the potential for </w:t>
      </w:r>
      <w:r w:rsidR="00B55556">
        <w:t>arbitrary detention</w:t>
      </w:r>
      <w:r w:rsidR="00060A74">
        <w:t>,</w:t>
      </w:r>
      <w:r>
        <w:t xml:space="preserve"> </w:t>
      </w:r>
      <w:r w:rsidR="00060A74">
        <w:t>t</w:t>
      </w:r>
      <w:r w:rsidR="003C4EBB">
        <w:t>he</w:t>
      </w:r>
      <w:r w:rsidR="00D25E20">
        <w:t xml:space="preserve"> proposed regional processing centre</w:t>
      </w:r>
      <w:r w:rsidR="003C4EBB">
        <w:t xml:space="preserve"> on Manus Island </w:t>
      </w:r>
      <w:r>
        <w:t xml:space="preserve">should not be a closed detention centre. Rather, it should be designed and operated </w:t>
      </w:r>
      <w:r w:rsidR="00772A0E">
        <w:t>in a way that provides for the vast majority of asylum seekers acc</w:t>
      </w:r>
      <w:r>
        <w:t>ommodated at the facility to have freedom of movement – that is, freedom to come and go from the facility.</w:t>
      </w:r>
    </w:p>
    <w:p w:rsidR="00CF2423" w:rsidRDefault="00FC71EA" w:rsidP="00D25E20">
      <w:pPr>
        <w:pStyle w:val="SubmissionNormal"/>
      </w:pPr>
      <w:r>
        <w:t xml:space="preserve">If it is deemed necessary to </w:t>
      </w:r>
      <w:r w:rsidR="00C93255">
        <w:t xml:space="preserve">dedicate </w:t>
      </w:r>
      <w:r>
        <w:t xml:space="preserve">a section of the facility as closed detention, a person </w:t>
      </w:r>
      <w:r w:rsidR="00CF2423" w:rsidRPr="00B45F7E">
        <w:t xml:space="preserve">should only be </w:t>
      </w:r>
      <w:r>
        <w:t>detained</w:t>
      </w:r>
      <w:r w:rsidR="00CF2423" w:rsidRPr="00B45F7E">
        <w:t xml:space="preserve"> in</w:t>
      </w:r>
      <w:r w:rsidR="00CF2423">
        <w:t xml:space="preserve"> </w:t>
      </w:r>
      <w:r>
        <w:t xml:space="preserve">that part of the facility </w:t>
      </w:r>
      <w:r w:rsidR="00CF2423" w:rsidRPr="00B45F7E">
        <w:t xml:space="preserve">if they </w:t>
      </w:r>
      <w:r w:rsidR="00E64EBD">
        <w:t xml:space="preserve">have been </w:t>
      </w:r>
      <w:r w:rsidR="00CF2423" w:rsidRPr="00B45F7E">
        <w:t>individually assessed as posing an unacceptable risk to the community and that risk cannot be</w:t>
      </w:r>
      <w:r w:rsidR="00963349">
        <w:t xml:space="preserve"> met in a less restrictive way (for example, th</w:t>
      </w:r>
      <w:r w:rsidR="008273F1">
        <w:t>r</w:t>
      </w:r>
      <w:r w:rsidR="00963349">
        <w:t>ough the imposition of conditions such as curfews and reporting requirements).</w:t>
      </w:r>
    </w:p>
    <w:p w:rsidR="00373A1F" w:rsidRDefault="00373A1F" w:rsidP="001846EB">
      <w:pPr>
        <w:pStyle w:val="SubmissionNormal"/>
      </w:pPr>
      <w:r w:rsidRPr="00373A1F">
        <w:rPr>
          <w:b/>
        </w:rPr>
        <w:t>Recommendation 4:</w:t>
      </w:r>
      <w:r>
        <w:t xml:space="preserve"> </w:t>
      </w:r>
      <w:r w:rsidR="00E80D14">
        <w:t xml:space="preserve">The Manus Island </w:t>
      </w:r>
      <w:r w:rsidR="00B2081E">
        <w:t xml:space="preserve">regional processing centre </w:t>
      </w:r>
      <w:r w:rsidR="00D61CC8">
        <w:t xml:space="preserve">should </w:t>
      </w:r>
      <w:r w:rsidR="004136DD">
        <w:t xml:space="preserve">not be a closed detention centre. It should </w:t>
      </w:r>
      <w:r w:rsidR="00D61CC8">
        <w:t xml:space="preserve">be designed </w:t>
      </w:r>
      <w:r w:rsidR="00B2081E">
        <w:t xml:space="preserve">and operated as an open facility which allows asylum seekers freedom of movement. </w:t>
      </w:r>
    </w:p>
    <w:sectPr w:rsidR="00373A1F" w:rsidSect="00B63D24">
      <w:headerReference w:type="even" r:id="rId17"/>
      <w:headerReference w:type="default" r:id="rId18"/>
      <w:footerReference w:type="default" r:id="rId19"/>
      <w:headerReference w:type="first" r:id="rId20"/>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004" w:rsidRDefault="00673004" w:rsidP="00F14C6D">
      <w:r>
        <w:separator/>
      </w:r>
    </w:p>
  </w:endnote>
  <w:endnote w:type="continuationSeparator" w:id="0">
    <w:p w:rsidR="00673004" w:rsidRDefault="00673004" w:rsidP="00F14C6D">
      <w:r>
        <w:continuationSeparator/>
      </w:r>
    </w:p>
  </w:endnote>
  <w:endnote w:id="1">
    <w:p w:rsidR="00673004" w:rsidRPr="003E350D" w:rsidRDefault="00673004">
      <w:pPr>
        <w:pStyle w:val="EndnoteText"/>
      </w:pPr>
      <w:r>
        <w:rPr>
          <w:rStyle w:val="EndnoteReference"/>
        </w:rPr>
        <w:endnoteRef/>
      </w:r>
      <w:r>
        <w:t xml:space="preserve"> Australian Human Rights Commission (AHRC), </w:t>
      </w:r>
      <w:r>
        <w:rPr>
          <w:i/>
        </w:rPr>
        <w:t>Submission to the Parliamentary Joint Committee on Human Rights’ Examination of the Migration (Regional Processing) package of legislation</w:t>
      </w:r>
      <w:r>
        <w:t xml:space="preserve"> (</w:t>
      </w:r>
      <w:r>
        <w:rPr>
          <w:i/>
        </w:rPr>
        <w:t>Submission to the JCHR</w:t>
      </w:r>
      <w:r>
        <w:t xml:space="preserve">) (January 2013). At </w:t>
      </w:r>
      <w:hyperlink r:id="rId1" w:history="1">
        <w:r w:rsidRPr="008479F4">
          <w:rPr>
            <w:rStyle w:val="Hyperlink"/>
          </w:rPr>
          <w:t>http://humanrights.gov.au/legal/submissions/2013/20130211_migration.html</w:t>
        </w:r>
      </w:hyperlink>
      <w:r>
        <w:t xml:space="preserve"> (viewed 5 April 2013); AHRC, </w:t>
      </w:r>
      <w:r>
        <w:rPr>
          <w:i/>
        </w:rPr>
        <w:t xml:space="preserve">Submission to the Inquiry of the Parliamentary Standing Committee on Public Works into the Proposed Redevelopment of the Villawood Immigration Detention Facility </w:t>
      </w:r>
      <w:r>
        <w:t xml:space="preserve">(September 2009). At </w:t>
      </w:r>
      <w:hyperlink r:id="rId2" w:history="1">
        <w:r w:rsidRPr="008479F4">
          <w:rPr>
            <w:rStyle w:val="Hyperlink"/>
          </w:rPr>
          <w:t>http://humanrights.gov.au/legal/submissions/2009/20090918_villawood_immigration.html</w:t>
        </w:r>
      </w:hyperlink>
      <w:r>
        <w:t xml:space="preserve"> (viewed 5 April 2013).</w:t>
      </w:r>
    </w:p>
  </w:endnote>
  <w:endnote w:id="2">
    <w:p w:rsidR="00673004" w:rsidRDefault="00673004">
      <w:pPr>
        <w:pStyle w:val="EndnoteText"/>
      </w:pPr>
      <w:r>
        <w:rPr>
          <w:rStyle w:val="EndnoteReference"/>
        </w:rPr>
        <w:endnoteRef/>
      </w:r>
      <w:r>
        <w:t xml:space="preserve"> Human Rights and Equal Opportunity Commission (HREOC), </w:t>
      </w:r>
      <w:r>
        <w:rPr>
          <w:i/>
        </w:rPr>
        <w:t>A last resort? The National Inquiry into Children in Immigration Detention</w:t>
      </w:r>
      <w:r>
        <w:t xml:space="preserve"> (</w:t>
      </w:r>
      <w:r>
        <w:rPr>
          <w:i/>
        </w:rPr>
        <w:t>A last resort</w:t>
      </w:r>
      <w:r w:rsidRPr="007723A5">
        <w:t>?)</w:t>
      </w:r>
      <w:r>
        <w:t xml:space="preserve"> (2004). At </w:t>
      </w:r>
      <w:hyperlink r:id="rId3" w:history="1">
        <w:r w:rsidRPr="008479F4">
          <w:rPr>
            <w:rStyle w:val="Hyperlink"/>
          </w:rPr>
          <w:t>http://humanrights.gov.au/human_rights/children_detention_report/index.html</w:t>
        </w:r>
      </w:hyperlink>
      <w:r>
        <w:t xml:space="preserve"> (viewed 5 April 2013). </w:t>
      </w:r>
    </w:p>
  </w:endnote>
  <w:endnote w:id="3">
    <w:p w:rsidR="00673004" w:rsidRDefault="00673004">
      <w:pPr>
        <w:pStyle w:val="EndnoteText"/>
      </w:pPr>
      <w:r>
        <w:rPr>
          <w:rStyle w:val="EndnoteReference"/>
        </w:rPr>
        <w:endnoteRef/>
      </w:r>
      <w:r>
        <w:t xml:space="preserve"> See AHRC, </w:t>
      </w:r>
      <w:r>
        <w:rPr>
          <w:i/>
        </w:rPr>
        <w:t xml:space="preserve">Immigration detention, asylum seekers and refugees: </w:t>
      </w:r>
      <w:r w:rsidRPr="00595E0D">
        <w:rPr>
          <w:i/>
        </w:rPr>
        <w:t>Publications</w:t>
      </w:r>
      <w:r>
        <w:t xml:space="preserve">, </w:t>
      </w:r>
      <w:hyperlink r:id="rId4" w:anchor="publications" w:history="1">
        <w:r w:rsidRPr="00004417">
          <w:rPr>
            <w:rStyle w:val="Hyperlink"/>
          </w:rPr>
          <w:t>http://www.humanrights.gov.au/human_rights/immigration/index.html#publications</w:t>
        </w:r>
      </w:hyperlink>
      <w:r>
        <w:t xml:space="preserve"> (viewed 5 April 2013). </w:t>
      </w:r>
    </w:p>
  </w:endnote>
  <w:endnote w:id="4">
    <w:p w:rsidR="00673004" w:rsidRPr="00420E40" w:rsidRDefault="00673004">
      <w:pPr>
        <w:pStyle w:val="EndnoteText"/>
      </w:pPr>
      <w:r>
        <w:rPr>
          <w:rStyle w:val="EndnoteReference"/>
        </w:rPr>
        <w:endnoteRef/>
      </w:r>
      <w:r>
        <w:t xml:space="preserve"> See for example AHRC, </w:t>
      </w:r>
      <w:r>
        <w:rPr>
          <w:i/>
        </w:rPr>
        <w:t>Submission to the JCHR</w:t>
      </w:r>
      <w:r>
        <w:t xml:space="preserve">, note 1; AHRC, </w:t>
      </w:r>
      <w:r>
        <w:rPr>
          <w:i/>
        </w:rPr>
        <w:t xml:space="preserve">Submission to the Expert Panel on Asylum Seekers </w:t>
      </w:r>
      <w:r>
        <w:t xml:space="preserve">(July 2012). At </w:t>
      </w:r>
      <w:hyperlink r:id="rId5" w:history="1">
        <w:r w:rsidRPr="00004417">
          <w:rPr>
            <w:rStyle w:val="Hyperlink"/>
          </w:rPr>
          <w:t>http://www.humanrights.gov.au/legal/submissions/2012/20120720_asylum_seekers.html</w:t>
        </w:r>
      </w:hyperlink>
      <w:r>
        <w:t xml:space="preserve"> (viewed 5 April 2013); AHRC, </w:t>
      </w:r>
      <w:r w:rsidRPr="00725932">
        <w:rPr>
          <w:i/>
        </w:rPr>
        <w:t xml:space="preserve">Submission to the </w:t>
      </w:r>
      <w:r>
        <w:rPr>
          <w:i/>
        </w:rPr>
        <w:t xml:space="preserve">Inquiry of the </w:t>
      </w:r>
      <w:r w:rsidRPr="00725932">
        <w:rPr>
          <w:i/>
        </w:rPr>
        <w:t>Senate Standing Committees on Legal and Constitutional Affairs</w:t>
      </w:r>
      <w:r>
        <w:rPr>
          <w:i/>
        </w:rPr>
        <w:t xml:space="preserve"> </w:t>
      </w:r>
      <w:r w:rsidRPr="00725932">
        <w:rPr>
          <w:i/>
        </w:rPr>
        <w:t>into Australia’s agreement with Malaysia in relation to asylum seekers</w:t>
      </w:r>
      <w:r>
        <w:t xml:space="preserve"> (September 2011). At  </w:t>
      </w:r>
      <w:hyperlink r:id="rId6" w:history="1">
        <w:r>
          <w:rPr>
            <w:rStyle w:val="Hyperlink"/>
          </w:rPr>
          <w:t>http://www.humanrights.gov.au/legal/submissions/2011/20110914_asylum_seekers.html</w:t>
        </w:r>
      </w:hyperlink>
      <w:r>
        <w:t xml:space="preserve"> (viewed 5 April 2013); </w:t>
      </w:r>
      <w:r w:rsidRPr="00BA55DC">
        <w:t xml:space="preserve">Submissions on behalf of the Australian Human Rights Commission (intervening), in </w:t>
      </w:r>
      <w:r w:rsidRPr="00725932">
        <w:rPr>
          <w:i/>
        </w:rPr>
        <w:t>Plaintiff M106/2011 v Minister for Immigration and Citizenship</w:t>
      </w:r>
      <w:r>
        <w:t>. A</w:t>
      </w:r>
      <w:r w:rsidRPr="00BA55DC">
        <w:t xml:space="preserve">t </w:t>
      </w:r>
      <w:hyperlink r:id="rId7" w:history="1">
        <w:r w:rsidRPr="00004417">
          <w:rPr>
            <w:rStyle w:val="Hyperlink"/>
          </w:rPr>
          <w:t>http://www.hcourt.gov.au/assets/cases/m70-2011/M106-2011_HRC.pdf</w:t>
        </w:r>
      </w:hyperlink>
      <w:r>
        <w:t xml:space="preserve"> (viewed 5 April 2013); AHRC, </w:t>
      </w:r>
      <w:r w:rsidRPr="00725932">
        <w:rPr>
          <w:i/>
        </w:rPr>
        <w:t>Submission to the Inquiry of the Senate Legal and Constitutional Legislation Committee on the Migration Amendment (Designated Unauthorised Arrivals) Bill 2006</w:t>
      </w:r>
      <w:r>
        <w:t xml:space="preserve"> (May 2006). At </w:t>
      </w:r>
      <w:hyperlink r:id="rId8" w:history="1">
        <w:r>
          <w:rPr>
            <w:rStyle w:val="Hyperlink"/>
          </w:rPr>
          <w:t>http://www.humanrights.gov.au/legal/submissions/migration20060522.html</w:t>
        </w:r>
      </w:hyperlink>
      <w:r>
        <w:t xml:space="preserve"> (viewed 5 April 2013); HREOC, </w:t>
      </w:r>
      <w:r w:rsidRPr="000A5ABA">
        <w:rPr>
          <w:i/>
        </w:rPr>
        <w:t>A last resort?</w:t>
      </w:r>
      <w:r>
        <w:rPr>
          <w:i/>
        </w:rPr>
        <w:t xml:space="preserve">, </w:t>
      </w:r>
      <w:r w:rsidRPr="007723A5">
        <w:t>note 2.</w:t>
      </w:r>
    </w:p>
  </w:endnote>
  <w:endnote w:id="5">
    <w:p w:rsidR="00673004" w:rsidRPr="000D053A" w:rsidRDefault="00673004">
      <w:pPr>
        <w:pStyle w:val="EndnoteText"/>
      </w:pPr>
      <w:r>
        <w:rPr>
          <w:rStyle w:val="EndnoteReference"/>
        </w:rPr>
        <w:endnoteRef/>
      </w:r>
      <w:r>
        <w:t xml:space="preserve"> AHRC, </w:t>
      </w:r>
      <w:r w:rsidRPr="00536EE5">
        <w:rPr>
          <w:i/>
        </w:rPr>
        <w:t xml:space="preserve">Human rights standards for immigration </w:t>
      </w:r>
      <w:r>
        <w:rPr>
          <w:i/>
        </w:rPr>
        <w:t>detention</w:t>
      </w:r>
      <w:r>
        <w:t xml:space="preserve"> </w:t>
      </w:r>
      <w:r w:rsidRPr="00E83450">
        <w:t>(</w:t>
      </w:r>
      <w:r>
        <w:rPr>
          <w:i/>
        </w:rPr>
        <w:t>Immigration Detention Standards</w:t>
      </w:r>
      <w:r w:rsidRPr="00E83450">
        <w:t>)</w:t>
      </w:r>
      <w:r>
        <w:rPr>
          <w:i/>
        </w:rPr>
        <w:t xml:space="preserve"> </w:t>
      </w:r>
      <w:r>
        <w:t xml:space="preserve">(April 2013). At </w:t>
      </w:r>
      <w:hyperlink r:id="rId9" w:history="1">
        <w:r w:rsidRPr="00A34D22">
          <w:rPr>
            <w:rStyle w:val="Hyperlink"/>
            <w:rFonts w:cs="Arial"/>
          </w:rPr>
          <w:t>http://www.humanrights.gov.au/our-work/human-rights-scrutiny/immigration-detention-standards</w:t>
        </w:r>
      </w:hyperlink>
      <w:r>
        <w:t xml:space="preserve"> (viewed 16 April 2013).</w:t>
      </w:r>
    </w:p>
  </w:endnote>
  <w:endnote w:id="6">
    <w:p w:rsidR="00673004" w:rsidRPr="004F75AB" w:rsidRDefault="00673004">
      <w:pPr>
        <w:pStyle w:val="EndnoteText"/>
      </w:pPr>
      <w:r>
        <w:rPr>
          <w:rStyle w:val="EndnoteReference"/>
        </w:rPr>
        <w:endnoteRef/>
      </w:r>
      <w:r>
        <w:t xml:space="preserve"> AHRC, </w:t>
      </w:r>
      <w:r>
        <w:rPr>
          <w:i/>
        </w:rPr>
        <w:t>Submission to the JCHR</w:t>
      </w:r>
      <w:r w:rsidRPr="00725932">
        <w:t>,</w:t>
      </w:r>
      <w:r>
        <w:rPr>
          <w:i/>
        </w:rPr>
        <w:t xml:space="preserve"> </w:t>
      </w:r>
      <w:r>
        <w:t>note 1.</w:t>
      </w:r>
    </w:p>
  </w:endnote>
  <w:endnote w:id="7">
    <w:p w:rsidR="00673004" w:rsidRPr="00F57A2D" w:rsidRDefault="00673004">
      <w:pPr>
        <w:pStyle w:val="EndnoteText"/>
        <w:rPr>
          <w:rFonts w:cs="Arial"/>
        </w:rPr>
      </w:pPr>
      <w:r>
        <w:rPr>
          <w:rStyle w:val="EndnoteReference"/>
        </w:rPr>
        <w:endnoteRef/>
      </w:r>
      <w:r>
        <w:t xml:space="preserve"> AHRC, </w:t>
      </w:r>
      <w:r>
        <w:rPr>
          <w:i/>
        </w:rPr>
        <w:t xml:space="preserve">2008 Immigration detention report </w:t>
      </w:r>
      <w:r>
        <w:t xml:space="preserve">(2008). At </w:t>
      </w:r>
      <w:hyperlink r:id="rId10" w:history="1">
        <w:r w:rsidRPr="00004417">
          <w:rPr>
            <w:rStyle w:val="Hyperlink"/>
          </w:rPr>
          <w:t>http://www.humanrights.gov.au/human_rights/immigration/idc2008.html</w:t>
        </w:r>
      </w:hyperlink>
      <w:r>
        <w:t xml:space="preserve"> (viewed 4 April 2013); </w:t>
      </w:r>
      <w:r>
        <w:rPr>
          <w:rFonts w:cs="Arial"/>
        </w:rPr>
        <w:t xml:space="preserve">AHRC, </w:t>
      </w:r>
      <w:r>
        <w:rPr>
          <w:rFonts w:cs="Arial"/>
          <w:i/>
        </w:rPr>
        <w:t>2009 Immigration detention and offshore processing on Christmas Island</w:t>
      </w:r>
      <w:r>
        <w:rPr>
          <w:rFonts w:cs="Arial"/>
        </w:rPr>
        <w:t xml:space="preserve"> (2009). At </w:t>
      </w:r>
      <w:hyperlink r:id="rId11" w:history="1">
        <w:r>
          <w:rPr>
            <w:rStyle w:val="Hyperlink"/>
            <w:rFonts w:cs="Arial"/>
          </w:rPr>
          <w:t>http://humanrights.gov.au/human_rights/immigration/idc2009_xmas_island.html</w:t>
        </w:r>
      </w:hyperlink>
      <w:r>
        <w:rPr>
          <w:rFonts w:cs="Arial"/>
        </w:rPr>
        <w:t xml:space="preserve"> (viewed 4 April 2013); AHRC, </w:t>
      </w:r>
      <w:r>
        <w:rPr>
          <w:rFonts w:cs="Arial"/>
          <w:i/>
        </w:rPr>
        <w:t>2010 Immigration detention on Christmas Island</w:t>
      </w:r>
      <w:r>
        <w:rPr>
          <w:rFonts w:cs="Arial"/>
        </w:rPr>
        <w:t xml:space="preserve"> (2010). At </w:t>
      </w:r>
      <w:hyperlink r:id="rId12" w:history="1">
        <w:r w:rsidRPr="00004417">
          <w:rPr>
            <w:rStyle w:val="Hyperlink"/>
            <w:rFonts w:cs="Arial"/>
          </w:rPr>
          <w:t>http://www.humanrights.gov.au/human_rights/immigration/idc2010_christmas_island.html</w:t>
        </w:r>
      </w:hyperlink>
      <w:r>
        <w:rPr>
          <w:rFonts w:cs="Arial"/>
        </w:rPr>
        <w:t xml:space="preserve"> (viewed 4 April 2013).</w:t>
      </w:r>
    </w:p>
  </w:endnote>
  <w:endnote w:id="8">
    <w:p w:rsidR="00673004" w:rsidRPr="001F5A15" w:rsidRDefault="00673004" w:rsidP="00042A63">
      <w:pPr>
        <w:pStyle w:val="EndnoteText"/>
      </w:pPr>
      <w:r>
        <w:rPr>
          <w:rStyle w:val="EndnoteReference"/>
        </w:rPr>
        <w:endnoteRef/>
      </w:r>
      <w:r>
        <w:t xml:space="preserve"> Department of Immigration and Citizenship (DIAC), </w:t>
      </w:r>
      <w:r>
        <w:rPr>
          <w:i/>
        </w:rPr>
        <w:t>Statement of Evidence Submission 1 for the Parliamentary Standing Committee on Public Works</w:t>
      </w:r>
      <w:r>
        <w:t xml:space="preserve"> (20 March 2013), paras 2.1 and 2.5. At </w:t>
      </w:r>
      <w:hyperlink r:id="rId13" w:history="1">
        <w:r w:rsidRPr="00004417">
          <w:rPr>
            <w:rStyle w:val="Hyperlink"/>
          </w:rPr>
          <w:t>http://www.aph.gov.au/Parliamentary_Business/Committees/House_of_Representatives_Committees?url=pwc/regionalprocessing/subs.htm</w:t>
        </w:r>
      </w:hyperlink>
      <w:r>
        <w:t xml:space="preserve"> (viewed 5 April 2013).</w:t>
      </w:r>
    </w:p>
  </w:endnote>
  <w:endnote w:id="9">
    <w:p w:rsidR="00673004" w:rsidRDefault="00673004">
      <w:pPr>
        <w:pStyle w:val="EndnoteText"/>
      </w:pPr>
      <w:r>
        <w:rPr>
          <w:rStyle w:val="EndnoteReference"/>
        </w:rPr>
        <w:endnoteRef/>
      </w:r>
      <w:r>
        <w:t xml:space="preserve"> UNHCR, </w:t>
      </w:r>
      <w:r>
        <w:rPr>
          <w:i/>
        </w:rPr>
        <w:t xml:space="preserve">UNHCR Mission to Manus Island, Papua New Guinea 15-17 January 2013 </w:t>
      </w:r>
      <w:r>
        <w:t xml:space="preserve">(4 February 2013). At </w:t>
      </w:r>
      <w:hyperlink r:id="rId14" w:history="1">
        <w:r w:rsidRPr="00D456BC">
          <w:rPr>
            <w:rStyle w:val="Hyperlink"/>
          </w:rPr>
          <w:t>http://unhcr.org.au/unhcr/index.php?option=com_content&amp;view=article&amp;id=284:unhcr-finds-significant-legal-and-operational-inadequacies-at-manus-island&amp;catid=35:news-a-media&amp;Itemid=63</w:t>
        </w:r>
      </w:hyperlink>
      <w:r>
        <w:t xml:space="preserve"> (viewed 4 April 2013).</w:t>
      </w:r>
    </w:p>
  </w:endnote>
  <w:endnote w:id="10">
    <w:p w:rsidR="00673004" w:rsidRPr="00655BC5" w:rsidRDefault="00673004">
      <w:pPr>
        <w:pStyle w:val="EndnoteText"/>
      </w:pPr>
      <w:r>
        <w:rPr>
          <w:rStyle w:val="EndnoteReference"/>
        </w:rPr>
        <w:endnoteRef/>
      </w:r>
      <w:r>
        <w:t xml:space="preserve"> See for example P Maley, ‘Life at Manus Island ‘is pretty tough’’, </w:t>
      </w:r>
      <w:r>
        <w:rPr>
          <w:i/>
        </w:rPr>
        <w:t>The Australian</w:t>
      </w:r>
      <w:r>
        <w:t xml:space="preserve">, 4 March 2013. At </w:t>
      </w:r>
      <w:hyperlink r:id="rId15" w:history="1">
        <w:r w:rsidRPr="00D456BC">
          <w:rPr>
            <w:rStyle w:val="Hyperlink"/>
          </w:rPr>
          <w:t>http://www.theaustralian.com.au/national-affairs/immigration/life-at-manus-is-pretty-tough/story-fn9hm1gu-1226589489403</w:t>
        </w:r>
      </w:hyperlink>
      <w:r>
        <w:t xml:space="preserve"> (viewed 4 April 2013); B Hall, ‘Life on Manus Island: disease, heat, suffering’, </w:t>
      </w:r>
      <w:r>
        <w:rPr>
          <w:i/>
        </w:rPr>
        <w:t>The Age</w:t>
      </w:r>
      <w:r>
        <w:t xml:space="preserve">, 5 January 2013. At </w:t>
      </w:r>
      <w:hyperlink r:id="rId16" w:history="1">
        <w:r w:rsidRPr="00D456BC">
          <w:rPr>
            <w:rStyle w:val="Hyperlink"/>
          </w:rPr>
          <w:t>http://www.theage.com.au/national/life-on-manus-island-disease-heat-suffering-20130104-2c8z7.html</w:t>
        </w:r>
      </w:hyperlink>
      <w:r>
        <w:t xml:space="preserve"> (viewed 4 April 2013); The Project, ‘A Manus Island detainee speaks’ (interview with an asylum seeker detained on Manus Island, 13 March 2013). At </w:t>
      </w:r>
      <w:hyperlink r:id="rId17" w:history="1">
        <w:r w:rsidRPr="00D456BC">
          <w:rPr>
            <w:rStyle w:val="Hyperlink"/>
          </w:rPr>
          <w:t>http://theprojecttv.com.au/exclusive-manus-island-detainee-interview-tonight.htm</w:t>
        </w:r>
      </w:hyperlink>
      <w:r>
        <w:t xml:space="preserve"> (viewed 4 April 2013); Lateline, ‘Refugee expert slams Manus Island detention centre’ (interview with Paris Aristotle AM, 4 April 2013). At </w:t>
      </w:r>
      <w:hyperlink r:id="rId18" w:history="1">
        <w:r w:rsidRPr="008479F4">
          <w:rPr>
            <w:rStyle w:val="Hyperlink"/>
          </w:rPr>
          <w:t>http://www.abc.net.au/news/2013-04-05/refugee-expert-slams-manus-island-processing-centre/4610674</w:t>
        </w:r>
      </w:hyperlink>
      <w:r>
        <w:t xml:space="preserve"> (viewed 5 April 2013).</w:t>
      </w:r>
    </w:p>
  </w:endnote>
  <w:endnote w:id="11">
    <w:p w:rsidR="00673004" w:rsidRPr="00EC2B40" w:rsidRDefault="00673004" w:rsidP="00F90CC3">
      <w:pPr>
        <w:pStyle w:val="EndnoteText"/>
        <w:rPr>
          <w:rFonts w:cs="Arial"/>
        </w:rPr>
      </w:pPr>
      <w:r>
        <w:rPr>
          <w:rStyle w:val="EndnoteReference"/>
        </w:rPr>
        <w:endnoteRef/>
      </w:r>
      <w:r>
        <w:t xml:space="preserve"> </w:t>
      </w:r>
      <w:r>
        <w:rPr>
          <w:i/>
        </w:rPr>
        <w:t>International Covenant on Civil and Political Rights</w:t>
      </w:r>
      <w:r>
        <w:t xml:space="preserve"> (ICCPR) (1966). At </w:t>
      </w:r>
      <w:hyperlink r:id="rId19" w:history="1">
        <w:r w:rsidRPr="00F817B0">
          <w:rPr>
            <w:rStyle w:val="Hyperlink"/>
          </w:rPr>
          <w:t>http://www.ohchr.org/EN/ProfessionalInterest/Pages/CCPR.aspx</w:t>
        </w:r>
      </w:hyperlink>
      <w:r>
        <w:t xml:space="preserve"> (viewed 4 April 2013);</w:t>
      </w:r>
      <w:r w:rsidRPr="00EC2B40">
        <w:rPr>
          <w:rFonts w:cs="Arial"/>
          <w:i/>
        </w:rPr>
        <w:t xml:space="preserve"> </w:t>
      </w:r>
      <w:r>
        <w:rPr>
          <w:rFonts w:cs="Arial"/>
          <w:i/>
        </w:rPr>
        <w:t>International Covenant on Economic, Social and Cultural Rights</w:t>
      </w:r>
      <w:r>
        <w:rPr>
          <w:rFonts w:cs="Arial"/>
        </w:rPr>
        <w:t xml:space="preserve"> (ICESCR) (1966). At </w:t>
      </w:r>
      <w:hyperlink r:id="rId20" w:history="1">
        <w:r w:rsidRPr="00F817B0">
          <w:rPr>
            <w:rStyle w:val="Hyperlink"/>
            <w:rFonts w:cs="Arial"/>
          </w:rPr>
          <w:t>http://www.ohchr.org/EN/ProfessionalInterest/Pages/CESCR.aspx</w:t>
        </w:r>
      </w:hyperlink>
      <w:r>
        <w:rPr>
          <w:rFonts w:cs="Arial"/>
        </w:rPr>
        <w:t xml:space="preserve"> (viewed 4 April 2013);</w:t>
      </w:r>
      <w:r w:rsidRPr="00EC2B40">
        <w:rPr>
          <w:i/>
        </w:rPr>
        <w:t xml:space="preserve"> </w:t>
      </w:r>
      <w:r>
        <w:rPr>
          <w:i/>
        </w:rPr>
        <w:t>Convention against Torture and Other Cruel, Inhuman or Degrading Treatment or Punishment</w:t>
      </w:r>
      <w:r>
        <w:t xml:space="preserve"> (CAT) (1984). At </w:t>
      </w:r>
      <w:hyperlink r:id="rId21" w:history="1">
        <w:r w:rsidRPr="00F817B0">
          <w:rPr>
            <w:rStyle w:val="Hyperlink"/>
          </w:rPr>
          <w:t>http://www.ohchr.org/EN/ProfessionalInterest/Pages/CAT.aspx</w:t>
        </w:r>
      </w:hyperlink>
      <w:r>
        <w:t xml:space="preserve"> (viewed 4 April 2013); </w:t>
      </w:r>
      <w:r>
        <w:rPr>
          <w:i/>
        </w:rPr>
        <w:t>Convention on the Rights of the Child</w:t>
      </w:r>
      <w:r>
        <w:t xml:space="preserve"> (CRC) (1989). At </w:t>
      </w:r>
      <w:hyperlink r:id="rId22" w:history="1">
        <w:r w:rsidRPr="00F817B0">
          <w:rPr>
            <w:rStyle w:val="Hyperlink"/>
          </w:rPr>
          <w:t>http://www.ohchr.org/EN/ProfessionalInterest/Pages/CRC.aspx</w:t>
        </w:r>
      </w:hyperlink>
      <w:r>
        <w:t xml:space="preserve"> (viewed 4 April 2013); </w:t>
      </w:r>
      <w:r>
        <w:rPr>
          <w:rFonts w:cs="Arial"/>
          <w:i/>
        </w:rPr>
        <w:t>Convention Relating to the Status of Refugees</w:t>
      </w:r>
      <w:r>
        <w:rPr>
          <w:rFonts w:cs="Arial"/>
        </w:rPr>
        <w:t xml:space="preserve"> (Refugee Convention) (1951), as amended by the </w:t>
      </w:r>
      <w:r>
        <w:rPr>
          <w:rFonts w:cs="Arial"/>
          <w:i/>
        </w:rPr>
        <w:t xml:space="preserve">Protocol Relating to the Status of Refugees </w:t>
      </w:r>
      <w:r>
        <w:rPr>
          <w:rFonts w:cs="Arial"/>
        </w:rPr>
        <w:t xml:space="preserve">(1967). At </w:t>
      </w:r>
      <w:hyperlink r:id="rId23" w:history="1">
        <w:r>
          <w:rPr>
            <w:rStyle w:val="Hyperlink"/>
            <w:rFonts w:cs="Arial"/>
          </w:rPr>
          <w:t>http://www.unhcr.org/3b66c2aa10.html</w:t>
        </w:r>
      </w:hyperlink>
      <w:r>
        <w:rPr>
          <w:rFonts w:cs="Arial"/>
        </w:rPr>
        <w:t xml:space="preserve"> (viewed 4 April 2013).</w:t>
      </w:r>
    </w:p>
  </w:endnote>
  <w:endnote w:id="12">
    <w:p w:rsidR="00673004" w:rsidRDefault="00673004" w:rsidP="00221F50">
      <w:pPr>
        <w:pStyle w:val="EndnoteText"/>
      </w:pPr>
      <w:r>
        <w:rPr>
          <w:rStyle w:val="EndnoteReference"/>
        </w:rPr>
        <w:endnoteRef/>
      </w:r>
      <w:r>
        <w:t xml:space="preserve"> United Nations General Assembly, </w:t>
      </w:r>
      <w:r>
        <w:rPr>
          <w:rFonts w:cs="Arial"/>
          <w:i/>
        </w:rPr>
        <w:t>Body of Principles for the Protection of All Persons under Any Form of Detention or Imprisonment</w:t>
      </w:r>
      <w:r>
        <w:rPr>
          <w:rFonts w:cs="Arial"/>
        </w:rPr>
        <w:t xml:space="preserve"> (1988). At </w:t>
      </w:r>
      <w:hyperlink r:id="rId24" w:history="1">
        <w:r w:rsidRPr="00367EF1">
          <w:rPr>
            <w:rStyle w:val="Hyperlink"/>
          </w:rPr>
          <w:t>http://www.un.org/documents/ga/res/43/a43r173.htm</w:t>
        </w:r>
      </w:hyperlink>
      <w:r>
        <w:t xml:space="preserve"> (viewed 4 April 2013); United Nations, </w:t>
      </w:r>
      <w:r>
        <w:rPr>
          <w:i/>
        </w:rPr>
        <w:t>Standard Minimum Rules for the Treatment of Prisoners</w:t>
      </w:r>
      <w:r>
        <w:t xml:space="preserve"> (1955). At </w:t>
      </w:r>
      <w:hyperlink r:id="rId25" w:history="1">
        <w:r w:rsidRPr="00004417">
          <w:rPr>
            <w:rStyle w:val="Hyperlink"/>
          </w:rPr>
          <w:t>http://www.unhcr.org/refworld/docid/3ae6b36e8.html</w:t>
        </w:r>
      </w:hyperlink>
      <w:r>
        <w:t xml:space="preserve"> (viewed 4 April 2013);</w:t>
      </w:r>
      <w:r w:rsidRPr="00221F50">
        <w:rPr>
          <w:i/>
        </w:rPr>
        <w:t xml:space="preserve"> </w:t>
      </w:r>
      <w:r>
        <w:t xml:space="preserve">United Nations General Assembly, </w:t>
      </w:r>
      <w:r>
        <w:rPr>
          <w:i/>
        </w:rPr>
        <w:t>United Nations Rules for the Protection of Juveniles Deprived of their Liberty</w:t>
      </w:r>
      <w:r>
        <w:t xml:space="preserve"> (1990). At </w:t>
      </w:r>
      <w:hyperlink r:id="rId26" w:history="1">
        <w:r w:rsidRPr="00004417">
          <w:rPr>
            <w:rStyle w:val="Hyperlink"/>
          </w:rPr>
          <w:t>http://www.un.org/documents/ga/res/45/a45r113.htm</w:t>
        </w:r>
      </w:hyperlink>
      <w:r>
        <w:t xml:space="preserve"> (viewed 4 April 2013); United Nations High Commissioner for Refugees, </w:t>
      </w:r>
      <w:r w:rsidRPr="00D77385">
        <w:rPr>
          <w:i/>
        </w:rPr>
        <w:t xml:space="preserve">Guidelines on the Applicable Criteria and Standards relating to the Detention of Asylum-Seekers and Alternatives to Detention </w:t>
      </w:r>
      <w:r>
        <w:t xml:space="preserve">(2012). At </w:t>
      </w:r>
      <w:hyperlink r:id="rId27" w:history="1">
        <w:r w:rsidRPr="00004417">
          <w:rPr>
            <w:rStyle w:val="Hyperlink"/>
          </w:rPr>
          <w:t>http://www.unhcr.org/refworld/docid/503489533b8.html</w:t>
        </w:r>
      </w:hyperlink>
      <w:r>
        <w:t xml:space="preserve"> (viewed 4 April 2013). For a more complete list of relevant instruments, see AHRC, </w:t>
      </w:r>
      <w:r w:rsidRPr="00475846">
        <w:rPr>
          <w:i/>
        </w:rPr>
        <w:t xml:space="preserve">Immigration </w:t>
      </w:r>
      <w:r>
        <w:rPr>
          <w:i/>
        </w:rPr>
        <w:t>D</w:t>
      </w:r>
      <w:r w:rsidRPr="00475846">
        <w:rPr>
          <w:i/>
        </w:rPr>
        <w:t xml:space="preserve">etention </w:t>
      </w:r>
      <w:r>
        <w:rPr>
          <w:i/>
        </w:rPr>
        <w:t>S</w:t>
      </w:r>
      <w:r w:rsidRPr="00475846">
        <w:rPr>
          <w:i/>
        </w:rPr>
        <w:t>tandards</w:t>
      </w:r>
      <w:r>
        <w:t>, note 5, section 1.</w:t>
      </w:r>
    </w:p>
  </w:endnote>
  <w:endnote w:id="13">
    <w:p w:rsidR="00673004" w:rsidRDefault="00673004">
      <w:pPr>
        <w:pStyle w:val="EndnoteText"/>
      </w:pPr>
      <w:r>
        <w:rPr>
          <w:rStyle w:val="EndnoteReference"/>
        </w:rPr>
        <w:endnoteRef/>
      </w:r>
      <w:r>
        <w:t xml:space="preserve"> ICCPR, art 9(1); CRC, art 37(b).</w:t>
      </w:r>
    </w:p>
  </w:endnote>
  <w:endnote w:id="14">
    <w:p w:rsidR="00673004" w:rsidRDefault="00673004">
      <w:pPr>
        <w:pStyle w:val="EndnoteText"/>
      </w:pPr>
      <w:r>
        <w:rPr>
          <w:rStyle w:val="EndnoteReference"/>
        </w:rPr>
        <w:endnoteRef/>
      </w:r>
      <w:r>
        <w:t xml:space="preserve"> ICCPR, art 10(1); CRC, art 37(c). </w:t>
      </w:r>
    </w:p>
  </w:endnote>
  <w:endnote w:id="15">
    <w:p w:rsidR="00673004" w:rsidRDefault="00673004">
      <w:pPr>
        <w:pStyle w:val="EndnoteText"/>
      </w:pPr>
      <w:r>
        <w:rPr>
          <w:rStyle w:val="EndnoteReference"/>
        </w:rPr>
        <w:endnoteRef/>
      </w:r>
      <w:r>
        <w:t xml:space="preserve"> CAT; ICCPR, art 7.</w:t>
      </w:r>
    </w:p>
  </w:endnote>
  <w:endnote w:id="16">
    <w:p w:rsidR="00673004" w:rsidRDefault="00673004">
      <w:pPr>
        <w:pStyle w:val="EndnoteText"/>
      </w:pPr>
      <w:r>
        <w:rPr>
          <w:rStyle w:val="EndnoteReference"/>
        </w:rPr>
        <w:endnoteRef/>
      </w:r>
      <w:r>
        <w:t xml:space="preserve"> CRC, art 37(b).</w:t>
      </w:r>
    </w:p>
  </w:endnote>
  <w:endnote w:id="17">
    <w:p w:rsidR="00673004" w:rsidRDefault="00673004">
      <w:pPr>
        <w:pStyle w:val="EndnoteText"/>
      </w:pPr>
      <w:r>
        <w:rPr>
          <w:rStyle w:val="EndnoteReference"/>
        </w:rPr>
        <w:endnoteRef/>
      </w:r>
      <w:r>
        <w:t xml:space="preserve"> CRC, art 3.</w:t>
      </w:r>
    </w:p>
  </w:endnote>
  <w:endnote w:id="18">
    <w:p w:rsidR="00673004" w:rsidRDefault="00673004">
      <w:pPr>
        <w:pStyle w:val="EndnoteText"/>
      </w:pPr>
      <w:r>
        <w:rPr>
          <w:rStyle w:val="EndnoteReference"/>
        </w:rPr>
        <w:endnoteRef/>
      </w:r>
      <w:r>
        <w:t xml:space="preserve"> CRC, art 37(d); United Nations General Assembly, </w:t>
      </w:r>
      <w:r>
        <w:rPr>
          <w:i/>
        </w:rPr>
        <w:t>Body of Principles for the Protection of All Persons under Any Form of Detention or Imprisonment</w:t>
      </w:r>
      <w:r>
        <w:t xml:space="preserve"> (1988), principle 17. At </w:t>
      </w:r>
      <w:hyperlink r:id="rId28" w:history="1">
        <w:r w:rsidRPr="00004417">
          <w:rPr>
            <w:rStyle w:val="Hyperlink"/>
          </w:rPr>
          <w:t>http://www.un.org/documents/ga/res/43/a43r173.htm</w:t>
        </w:r>
      </w:hyperlink>
      <w:r>
        <w:t xml:space="preserve"> (viewed 4 April 2013).</w:t>
      </w:r>
    </w:p>
  </w:endnote>
  <w:endnote w:id="19">
    <w:p w:rsidR="00673004" w:rsidRDefault="00673004">
      <w:pPr>
        <w:pStyle w:val="EndnoteText"/>
      </w:pPr>
      <w:r>
        <w:rPr>
          <w:rStyle w:val="EndnoteReference"/>
        </w:rPr>
        <w:endnoteRef/>
      </w:r>
      <w:r>
        <w:t xml:space="preserve"> ICESCR, art 12(1). </w:t>
      </w:r>
    </w:p>
  </w:endnote>
  <w:endnote w:id="20">
    <w:p w:rsidR="00673004" w:rsidRDefault="00673004">
      <w:pPr>
        <w:pStyle w:val="EndnoteText"/>
      </w:pPr>
      <w:r>
        <w:rPr>
          <w:rStyle w:val="EndnoteReference"/>
        </w:rPr>
        <w:endnoteRef/>
      </w:r>
      <w:r>
        <w:t xml:space="preserve"> </w:t>
      </w:r>
      <w:r>
        <w:rPr>
          <w:rFonts w:cs="Arial"/>
        </w:rPr>
        <w:t>ICCPR, arts 2(1), 26; CRC art 2(1).</w:t>
      </w:r>
    </w:p>
  </w:endnote>
  <w:endnote w:id="21">
    <w:p w:rsidR="00673004" w:rsidRDefault="00673004" w:rsidP="00DD07B2">
      <w:pPr>
        <w:pStyle w:val="EndnoteText"/>
      </w:pPr>
      <w:r>
        <w:rPr>
          <w:rStyle w:val="EndnoteReference"/>
        </w:rPr>
        <w:endnoteRef/>
      </w:r>
      <w:r>
        <w:t xml:space="preserve"> AHRC </w:t>
      </w:r>
      <w:r w:rsidRPr="00475846">
        <w:rPr>
          <w:i/>
        </w:rPr>
        <w:t xml:space="preserve">Immigration </w:t>
      </w:r>
      <w:r>
        <w:rPr>
          <w:i/>
        </w:rPr>
        <w:t>D</w:t>
      </w:r>
      <w:r w:rsidRPr="00475846">
        <w:rPr>
          <w:i/>
        </w:rPr>
        <w:t xml:space="preserve">etention </w:t>
      </w:r>
      <w:r>
        <w:rPr>
          <w:i/>
        </w:rPr>
        <w:t>S</w:t>
      </w:r>
      <w:r w:rsidRPr="00475846">
        <w:rPr>
          <w:i/>
        </w:rPr>
        <w:t>tandards</w:t>
      </w:r>
      <w:r w:rsidRPr="00EE4D75">
        <w:t>,</w:t>
      </w:r>
      <w:r>
        <w:t xml:space="preserve"> note 12.</w:t>
      </w:r>
    </w:p>
  </w:endnote>
  <w:endnote w:id="22">
    <w:p w:rsidR="00673004" w:rsidRPr="00991020" w:rsidRDefault="00673004">
      <w:pPr>
        <w:pStyle w:val="EndnoteText"/>
      </w:pPr>
      <w:r>
        <w:rPr>
          <w:rStyle w:val="EndnoteReference"/>
        </w:rPr>
        <w:endnoteRef/>
      </w:r>
      <w:r>
        <w:t xml:space="preserve"> AHRC, </w:t>
      </w:r>
      <w:r>
        <w:rPr>
          <w:i/>
        </w:rPr>
        <w:t>Immigration Detention Standards</w:t>
      </w:r>
      <w:r>
        <w:t>, above, sections 2 and 18.</w:t>
      </w:r>
    </w:p>
  </w:endnote>
  <w:endnote w:id="23">
    <w:p w:rsidR="00673004" w:rsidRPr="00990728" w:rsidRDefault="00673004" w:rsidP="00B60D1D">
      <w:pPr>
        <w:pStyle w:val="EndnoteText"/>
      </w:pPr>
      <w:r>
        <w:rPr>
          <w:rStyle w:val="EndnoteReference"/>
        </w:rPr>
        <w:endnoteRef/>
      </w:r>
      <w:r>
        <w:t xml:space="preserve"> AHRC, </w:t>
      </w:r>
      <w:r w:rsidRPr="00475846">
        <w:rPr>
          <w:i/>
        </w:rPr>
        <w:t>Immigration Detention Standards</w:t>
      </w:r>
      <w:r>
        <w:t>, above, section 18.</w:t>
      </w:r>
    </w:p>
  </w:endnote>
  <w:endnote w:id="24">
    <w:p w:rsidR="00673004" w:rsidRDefault="00673004">
      <w:pPr>
        <w:pStyle w:val="EndnoteText"/>
      </w:pPr>
      <w:r>
        <w:rPr>
          <w:rStyle w:val="EndnoteReference"/>
        </w:rPr>
        <w:endnoteRef/>
      </w:r>
      <w:r>
        <w:t xml:space="preserve"> AHRC, </w:t>
      </w:r>
      <w:r w:rsidRPr="00725932">
        <w:rPr>
          <w:i/>
        </w:rPr>
        <w:t>Immigration</w:t>
      </w:r>
      <w:r>
        <w:rPr>
          <w:i/>
        </w:rPr>
        <w:t xml:space="preserve"> Detention Standards</w:t>
      </w:r>
      <w:r>
        <w:t xml:space="preserve">, above, for example, sections 14, 15, 16 and 17. </w:t>
      </w:r>
    </w:p>
  </w:endnote>
  <w:endnote w:id="25">
    <w:p w:rsidR="00673004" w:rsidRPr="003A38CD" w:rsidRDefault="00673004">
      <w:pPr>
        <w:pStyle w:val="EndnoteText"/>
      </w:pPr>
      <w:r>
        <w:rPr>
          <w:rStyle w:val="EndnoteReference"/>
        </w:rPr>
        <w:endnoteRef/>
      </w:r>
      <w:r>
        <w:t xml:space="preserve"> AHRC, </w:t>
      </w:r>
      <w:r>
        <w:rPr>
          <w:i/>
        </w:rPr>
        <w:t>Immigration Detention Standards</w:t>
      </w:r>
      <w:r w:rsidRPr="00EE4D75">
        <w:t>,</w:t>
      </w:r>
      <w:r>
        <w:rPr>
          <w:i/>
        </w:rPr>
        <w:t xml:space="preserve"> </w:t>
      </w:r>
      <w:r>
        <w:t>above.</w:t>
      </w:r>
    </w:p>
  </w:endnote>
  <w:endnote w:id="26">
    <w:p w:rsidR="00673004" w:rsidRPr="00B55556" w:rsidRDefault="00673004">
      <w:pPr>
        <w:pStyle w:val="EndnoteText"/>
      </w:pPr>
      <w:r>
        <w:rPr>
          <w:rStyle w:val="EndnoteReference"/>
        </w:rPr>
        <w:endnoteRef/>
      </w:r>
      <w:r>
        <w:t xml:space="preserve"> For details of the Commission’s concerns regarding arbitrary detention in the third country processing regime, see AHRC, </w:t>
      </w:r>
      <w:r>
        <w:rPr>
          <w:i/>
        </w:rPr>
        <w:t>Submission to the JCHR</w:t>
      </w:r>
      <w:r>
        <w:t xml:space="preserve">, note 1, section 11. </w:t>
      </w:r>
    </w:p>
  </w:endnote>
  <w:endnote w:id="27">
    <w:p w:rsidR="00673004" w:rsidRDefault="00673004" w:rsidP="00E90B21">
      <w:pPr>
        <w:pStyle w:val="EndnoteText"/>
      </w:pPr>
      <w:r>
        <w:rPr>
          <w:rStyle w:val="EndnoteReference"/>
        </w:rPr>
        <w:endnoteRef/>
      </w:r>
      <w:r>
        <w:t xml:space="preserve"> A Houston AC, AFC (Ret’d), P Aristotle AM, M L’Estrange AO, </w:t>
      </w:r>
      <w:r w:rsidRPr="00395E13">
        <w:rPr>
          <w:i/>
        </w:rPr>
        <w:t>Report of the Expert Panel on Asylum Seekers</w:t>
      </w:r>
      <w:r>
        <w:t xml:space="preserve"> (August 2012), pp 79-84 and paras 3.46, 3.56-3.57.</w:t>
      </w:r>
    </w:p>
  </w:endnote>
  <w:endnote w:id="28">
    <w:p w:rsidR="00673004" w:rsidRDefault="00673004" w:rsidP="00E90B21">
      <w:pPr>
        <w:pStyle w:val="EndnoteText"/>
      </w:pPr>
      <w:r>
        <w:rPr>
          <w:rStyle w:val="EndnoteReference"/>
        </w:rPr>
        <w:endnoteRef/>
      </w:r>
      <w:r>
        <w:t xml:space="preserve"> Lateline, note 10.</w:t>
      </w:r>
    </w:p>
  </w:endnote>
  <w:endnote w:id="29">
    <w:p w:rsidR="00673004" w:rsidRDefault="00673004" w:rsidP="00D74857">
      <w:pPr>
        <w:pStyle w:val="EndnoteText"/>
      </w:pPr>
      <w:r>
        <w:rPr>
          <w:rStyle w:val="EndnoteReference"/>
        </w:rPr>
        <w:endnoteRef/>
      </w:r>
      <w:r>
        <w:t xml:space="preserve"> See for example </w:t>
      </w:r>
      <w:r w:rsidRPr="00114C7B">
        <w:rPr>
          <w:rFonts w:cs="Arial"/>
        </w:rPr>
        <w:t xml:space="preserve">United Nations Human Rights Committee, </w:t>
      </w:r>
      <w:r w:rsidRPr="00114C7B">
        <w:rPr>
          <w:rFonts w:cs="Arial"/>
          <w:i/>
          <w:iCs/>
        </w:rPr>
        <w:t>C v Australia</w:t>
      </w:r>
      <w:r w:rsidRPr="00114C7B">
        <w:rPr>
          <w:rFonts w:cs="Arial"/>
        </w:rPr>
        <w:t>, Communication No 900/1999, UN Doc CCPR/C/76/D/900/1999 (2002), para 8.2</w:t>
      </w:r>
      <w:r>
        <w:rPr>
          <w:rFonts w:cs="Arial"/>
        </w:rPr>
        <w:t>.</w:t>
      </w:r>
      <w:r w:rsidRPr="00114C7B">
        <w:rPr>
          <w:rFonts w:cs="Arial"/>
        </w:rPr>
        <w:t xml:space="preserve"> </w:t>
      </w:r>
      <w:r>
        <w:rPr>
          <w:rFonts w:cs="Arial"/>
        </w:rPr>
        <w:t>A</w:t>
      </w:r>
      <w:r w:rsidRPr="00114C7B">
        <w:rPr>
          <w:rFonts w:cs="Arial"/>
        </w:rPr>
        <w:t xml:space="preserve">t </w:t>
      </w:r>
      <w:hyperlink r:id="rId29" w:history="1">
        <w:r w:rsidRPr="00114C7B">
          <w:rPr>
            <w:rStyle w:val="Hyperlink"/>
            <w:rFonts w:cs="Arial"/>
          </w:rPr>
          <w:t>http://www.unhcr.org/refworld/docid/3f588ef00.html</w:t>
        </w:r>
      </w:hyperlink>
      <w:r w:rsidRPr="00114C7B">
        <w:rPr>
          <w:rFonts w:cs="Arial"/>
        </w:rPr>
        <w:t xml:space="preserve"> (viewed </w:t>
      </w:r>
      <w:r>
        <w:rPr>
          <w:rFonts w:cs="Arial"/>
        </w:rPr>
        <w:t>5 April 2013</w:t>
      </w:r>
      <w:r w:rsidRPr="00114C7B">
        <w:rPr>
          <w:rFonts w:cs="Arial"/>
        </w:rPr>
        <w:t>).</w:t>
      </w:r>
      <w:bookmarkStart w:id="22" w:name="_GoBack"/>
      <w:bookmarkEnd w:id="2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It">
    <w:altName w:val="HelveticaNeueLT Std L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Pr="0090165F" w:rsidRDefault="00673004"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Pr="004A187B" w:rsidRDefault="00673004" w:rsidP="008B23BC">
    <w:pPr>
      <w:pStyle w:val="Footer"/>
    </w:pPr>
    <w:r>
      <w:rPr>
        <w:noProof/>
      </w:rPr>
      <mc:AlternateContent>
        <mc:Choice Requires="wps">
          <w:drawing>
            <wp:anchor distT="0" distB="0" distL="114300" distR="114300" simplePos="0" relativeHeight="251660288" behindDoc="0" locked="0" layoutInCell="1" allowOverlap="1" wp14:anchorId="1895C1C8" wp14:editId="4437E17C">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rsidR="00673004" w:rsidRPr="0003606D" w:rsidRDefault="00673004" w:rsidP="0003606D">
                          <w:pPr>
                            <w:pStyle w:val="coveraddresses"/>
                          </w:pPr>
                          <w:r w:rsidRPr="0003606D">
                            <w:t>ABN 47 996 232 602</w:t>
                          </w:r>
                        </w:p>
                        <w:p w:rsidR="00673004" w:rsidRPr="0003606D" w:rsidRDefault="00673004" w:rsidP="0003606D">
                          <w:pPr>
                            <w:pStyle w:val="coveraddresses"/>
                          </w:pPr>
                          <w:r w:rsidRPr="0003606D">
                            <w:t>Level 3, 175 Pitt Street, Sydney NSW 2000</w:t>
                          </w:r>
                        </w:p>
                        <w:p w:rsidR="00673004" w:rsidRPr="0003606D" w:rsidRDefault="00673004" w:rsidP="0003606D">
                          <w:pPr>
                            <w:pStyle w:val="coveraddresses"/>
                          </w:pPr>
                          <w:r w:rsidRPr="0003606D">
                            <w:t>GPO Box 5218, Sydney NSW 2001</w:t>
                          </w:r>
                        </w:p>
                        <w:p w:rsidR="00673004" w:rsidRPr="0003606D" w:rsidRDefault="00673004" w:rsidP="0003606D">
                          <w:pPr>
                            <w:pStyle w:val="coveraddresses"/>
                          </w:pPr>
                          <w:r w:rsidRPr="0003606D">
                            <w:t>General enquiries 1300 369 711</w:t>
                          </w:r>
                        </w:p>
                        <w:p w:rsidR="00673004" w:rsidRPr="0003606D" w:rsidRDefault="00673004" w:rsidP="0003606D">
                          <w:pPr>
                            <w:pStyle w:val="coveraddresses"/>
                          </w:pPr>
                          <w:r w:rsidRPr="0003606D">
                            <w:t>Complaints info line 1300 656 419</w:t>
                          </w:r>
                        </w:p>
                        <w:p w:rsidR="00673004" w:rsidRPr="0003606D" w:rsidRDefault="00673004" w:rsidP="0003606D">
                          <w:pPr>
                            <w:pStyle w:val="coveraddresses"/>
                          </w:pPr>
                          <w:r w:rsidRPr="0003606D">
                            <w:t>TTY 1800 620 241</w:t>
                          </w:r>
                        </w:p>
                        <w:p w:rsidR="00673004" w:rsidRPr="00B63D24" w:rsidRDefault="00673004"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rsidR="003504FC" w:rsidRPr="0003606D" w:rsidRDefault="003504FC" w:rsidP="0003606D">
                    <w:pPr>
                      <w:pStyle w:val="coveraddresses"/>
                    </w:pPr>
                    <w:r w:rsidRPr="0003606D">
                      <w:t>ABN 47 996 232 602</w:t>
                    </w:r>
                  </w:p>
                  <w:p w:rsidR="003504FC" w:rsidRPr="0003606D" w:rsidRDefault="003504FC" w:rsidP="0003606D">
                    <w:pPr>
                      <w:pStyle w:val="coveraddresses"/>
                    </w:pPr>
                    <w:r w:rsidRPr="0003606D">
                      <w:t>Level 3, 175 Pitt Street, Sydney NSW 2000</w:t>
                    </w:r>
                  </w:p>
                  <w:p w:rsidR="003504FC" w:rsidRPr="0003606D" w:rsidRDefault="003504FC" w:rsidP="0003606D">
                    <w:pPr>
                      <w:pStyle w:val="coveraddresses"/>
                    </w:pPr>
                    <w:r w:rsidRPr="0003606D">
                      <w:t>GPO Box 5218, Sydney NSW 2001</w:t>
                    </w:r>
                  </w:p>
                  <w:p w:rsidR="003504FC" w:rsidRPr="0003606D" w:rsidRDefault="003504FC" w:rsidP="0003606D">
                    <w:pPr>
                      <w:pStyle w:val="coveraddresses"/>
                    </w:pPr>
                    <w:r w:rsidRPr="0003606D">
                      <w:t>General enquiries 1300 369 711</w:t>
                    </w:r>
                  </w:p>
                  <w:p w:rsidR="003504FC" w:rsidRPr="0003606D" w:rsidRDefault="003504FC" w:rsidP="0003606D">
                    <w:pPr>
                      <w:pStyle w:val="coveraddresses"/>
                    </w:pPr>
                    <w:r w:rsidRPr="0003606D">
                      <w:t>Complaints info line 1300 656 419</w:t>
                    </w:r>
                  </w:p>
                  <w:p w:rsidR="003504FC" w:rsidRPr="0003606D" w:rsidRDefault="003504FC" w:rsidP="0003606D">
                    <w:pPr>
                      <w:pStyle w:val="coveraddresses"/>
                    </w:pPr>
                    <w:r w:rsidRPr="0003606D">
                      <w:t>TTY 1800 620 241</w:t>
                    </w:r>
                  </w:p>
                  <w:p w:rsidR="003504FC" w:rsidRPr="00B63D24" w:rsidRDefault="003504FC"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Pr="0090165F" w:rsidRDefault="00673004"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4A36DC">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004" w:rsidRDefault="00673004" w:rsidP="00F14C6D">
      <w:r>
        <w:separator/>
      </w:r>
    </w:p>
  </w:footnote>
  <w:footnote w:type="continuationSeparator" w:id="0">
    <w:p w:rsidR="00673004" w:rsidRDefault="00673004"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Default="006730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Pr="00D27262" w:rsidRDefault="00673004"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Pr="00D27262">
      <w:rPr>
        <w:sz w:val="22"/>
        <w:szCs w:val="22"/>
      </w:rPr>
      <w:t>Au</w:t>
    </w:r>
    <w:r>
      <w:rPr>
        <w:sz w:val="22"/>
        <w:szCs w:val="22"/>
      </w:rPr>
      <w:t>stralian Human Rights Commission</w:t>
    </w:r>
  </w:p>
  <w:p w:rsidR="00673004" w:rsidRDefault="00673004"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73004" w:rsidRPr="00B85DD4" w:rsidTr="00165E3C">
      <w:trPr>
        <w:trHeight w:val="1276"/>
      </w:trPr>
      <w:tc>
        <w:tcPr>
          <w:tcW w:w="1508" w:type="dxa"/>
        </w:tcPr>
        <w:p w:rsidR="00673004" w:rsidRPr="00B85DD4" w:rsidRDefault="0067300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49" type="#_x0000_t75" style="position:absolute;left:0;text-align:left;margin-left:-71.05pt;margin-top:-116pt;width:595.65pt;height:870.15pt;z-index:-251661312;mso-position-horizontal-relative:margin;mso-position-vertical-relative:margin" o:allowincell="f">
                <v:imagedata r:id="rId1" o:title="MS word cover1"/>
                <w10:wrap anchorx="margin" anchory="margin"/>
              </v:shape>
            </w:pict>
          </w:r>
        </w:p>
      </w:tc>
      <w:tc>
        <w:tcPr>
          <w:tcW w:w="2688" w:type="dxa"/>
          <w:vAlign w:val="center"/>
        </w:tcPr>
        <w:p w:rsidR="00673004" w:rsidRPr="00B85DD4" w:rsidRDefault="00673004" w:rsidP="002B1B65">
          <w:pPr>
            <w:spacing w:before="0" w:after="0"/>
            <w:rPr>
              <w:rFonts w:cs="ArialMT"/>
              <w:i/>
              <w:color w:val="808080"/>
              <w:sz w:val="17"/>
            </w:rPr>
          </w:pPr>
        </w:p>
      </w:tc>
      <w:tc>
        <w:tcPr>
          <w:tcW w:w="2302" w:type="dxa"/>
        </w:tcPr>
        <w:p w:rsidR="00673004" w:rsidRPr="00B85DD4" w:rsidRDefault="00673004" w:rsidP="00B520BC">
          <w:pPr>
            <w:pStyle w:val="HeaderFooter"/>
            <w:rPr>
              <w:b/>
              <w:spacing w:val="-20"/>
              <w:sz w:val="40"/>
            </w:rPr>
          </w:pPr>
        </w:p>
      </w:tc>
      <w:tc>
        <w:tcPr>
          <w:tcW w:w="2130" w:type="dxa"/>
        </w:tcPr>
        <w:p w:rsidR="00673004" w:rsidRPr="00B85DD4" w:rsidRDefault="00673004" w:rsidP="00B520BC">
          <w:pPr>
            <w:pStyle w:val="HeaderFooter"/>
            <w:rPr>
              <w:b/>
              <w:spacing w:val="-20"/>
              <w:sz w:val="40"/>
            </w:rPr>
          </w:pPr>
        </w:p>
      </w:tc>
      <w:tc>
        <w:tcPr>
          <w:tcW w:w="1721" w:type="dxa"/>
        </w:tcPr>
        <w:p w:rsidR="00673004" w:rsidRPr="00B85DD4" w:rsidRDefault="00673004" w:rsidP="00B520BC">
          <w:pPr>
            <w:pStyle w:val="HeaderFooter"/>
            <w:spacing w:before="227" w:after="340"/>
            <w:rPr>
              <w:b/>
              <w:spacing w:val="-20"/>
              <w:sz w:val="40"/>
            </w:rPr>
          </w:pPr>
        </w:p>
      </w:tc>
    </w:tr>
  </w:tbl>
  <w:p w:rsidR="00673004" w:rsidRDefault="006730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Default="0067300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04" w:rsidRPr="00D27262" w:rsidRDefault="00673004" w:rsidP="00B34946">
    <w:pPr>
      <w:spacing w:before="0" w:after="60"/>
      <w:jc w:val="right"/>
      <w:rPr>
        <w:sz w:val="22"/>
        <w:szCs w:val="22"/>
      </w:rPr>
    </w:pPr>
    <w:r w:rsidRPr="00D27262">
      <w:rPr>
        <w:sz w:val="22"/>
        <w:szCs w:val="22"/>
      </w:rPr>
      <w:t>Au</w:t>
    </w:r>
    <w:r>
      <w:rPr>
        <w:sz w:val="22"/>
        <w:szCs w:val="22"/>
      </w:rPr>
      <w:t>stralian Human Rights Commission</w:t>
    </w:r>
  </w:p>
  <w:p w:rsidR="00673004" w:rsidRPr="00D729AD" w:rsidRDefault="00673004" w:rsidP="002F4CE1">
    <w:pPr>
      <w:pStyle w:val="Footer"/>
      <w:spacing w:after="240"/>
      <w:jc w:val="right"/>
      <w:rPr>
        <w:i/>
        <w:szCs w:val="18"/>
      </w:rPr>
    </w:pPr>
    <w:r>
      <w:rPr>
        <w:i/>
        <w:szCs w:val="18"/>
      </w:rPr>
      <w:t>Submission on Manus Island regional processing centre – April 2013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73004" w:rsidRPr="00B85DD4" w:rsidTr="002B1B65">
      <w:trPr>
        <w:trHeight w:val="1603"/>
      </w:trPr>
      <w:tc>
        <w:tcPr>
          <w:tcW w:w="1508" w:type="dxa"/>
        </w:tcPr>
        <w:p w:rsidR="00673004" w:rsidRPr="00B85DD4" w:rsidRDefault="00673004" w:rsidP="00B520BC">
          <w:pPr>
            <w:pStyle w:val="Header"/>
            <w:tabs>
              <w:tab w:val="left" w:pos="4686"/>
              <w:tab w:val="left" w:pos="7088"/>
              <w:tab w:val="left" w:pos="7242"/>
            </w:tabs>
            <w:ind w:left="-108"/>
            <w:rPr>
              <w:rFonts w:cs="ArialMT"/>
              <w:b/>
              <w:spacing w:val="-20"/>
            </w:rP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2" type="#_x0000_t75" style="position:absolute;left:0;text-align:left;margin-left:0;margin-top:0;width:595.65pt;height:870.15pt;z-index:-251658240;mso-position-horizontal:center;mso-position-horizontal-relative:margin;mso-position-vertical:center;mso-position-vertical-relative:margin" o:allowincell="f">
                <v:imagedata r:id="rId1" o:title="MS word cover1"/>
                <w10:wrap anchorx="margin" anchory="margin"/>
              </v:shape>
            </w:pict>
          </w:r>
          <w:r>
            <w:rPr>
              <w:rFonts w:cs="ArialMT"/>
              <w:b/>
              <w:noProof/>
              <w:spacing w:val="-20"/>
            </w:rPr>
            <w:drawing>
              <wp:inline distT="0" distB="0" distL="0" distR="0">
                <wp:extent cx="819150" cy="819150"/>
                <wp:effectExtent l="19050" t="0" r="0" b="0"/>
                <wp:docPr id="1" name="Picture 2"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REOC-Globe_PMS_POS"/>
                        <pic:cNvPicPr>
                          <a:picLocks noChangeAspect="1" noChangeArrowheads="1"/>
                        </pic:cNvPicPr>
                      </pic:nvPicPr>
                      <pic:blipFill>
                        <a:blip r:embed="rId2"/>
                        <a:srcRect/>
                        <a:stretch>
                          <a:fillRect/>
                        </a:stretch>
                      </pic:blipFill>
                      <pic:spPr bwMode="auto">
                        <a:xfrm>
                          <a:off x="0" y="0"/>
                          <a:ext cx="819150" cy="819150"/>
                        </a:xfrm>
                        <a:prstGeom prst="rect">
                          <a:avLst/>
                        </a:prstGeom>
                        <a:noFill/>
                        <a:ln w="9525">
                          <a:noFill/>
                          <a:miter lim="800000"/>
                          <a:headEnd/>
                          <a:tailEnd/>
                        </a:ln>
                      </pic:spPr>
                    </pic:pic>
                  </a:graphicData>
                </a:graphic>
              </wp:inline>
            </w:drawing>
          </w:r>
        </w:p>
      </w:tc>
      <w:tc>
        <w:tcPr>
          <w:tcW w:w="2688" w:type="dxa"/>
          <w:vAlign w:val="center"/>
        </w:tcPr>
        <w:p w:rsidR="00673004" w:rsidRPr="00D36BB2" w:rsidRDefault="00673004" w:rsidP="002B1B65">
          <w:pPr>
            <w:pStyle w:val="LogoType"/>
            <w:pBdr>
              <w:bottom w:val="single" w:sz="4" w:space="1" w:color="808080"/>
            </w:pBdr>
            <w:spacing w:line="240" w:lineRule="auto"/>
          </w:pPr>
          <w:r w:rsidRPr="00D36BB2">
            <w:t>Australian</w:t>
          </w:r>
        </w:p>
        <w:p w:rsidR="00673004" w:rsidRPr="00D36BB2" w:rsidRDefault="00673004" w:rsidP="002B1B65">
          <w:pPr>
            <w:pStyle w:val="LogoType"/>
            <w:pBdr>
              <w:bottom w:val="single" w:sz="4" w:space="1" w:color="808080"/>
            </w:pBdr>
            <w:spacing w:line="240" w:lineRule="auto"/>
          </w:pPr>
          <w:r w:rsidRPr="00D36BB2">
            <w:t>Human Rights</w:t>
          </w:r>
        </w:p>
        <w:p w:rsidR="00673004" w:rsidRPr="00D36BB2" w:rsidRDefault="00673004" w:rsidP="002B1B65">
          <w:pPr>
            <w:pStyle w:val="LogoType"/>
            <w:pBdr>
              <w:bottom w:val="single" w:sz="4" w:space="1" w:color="808080"/>
            </w:pBdr>
            <w:spacing w:line="240" w:lineRule="auto"/>
          </w:pPr>
          <w:r w:rsidRPr="00D36BB2">
            <w:t>Commission</w:t>
          </w:r>
        </w:p>
        <w:p w:rsidR="00673004" w:rsidRPr="00B85DD4" w:rsidRDefault="00673004"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673004" w:rsidRPr="00B85DD4" w:rsidRDefault="00673004" w:rsidP="00B520BC">
          <w:pPr>
            <w:pStyle w:val="HeaderFooter"/>
            <w:rPr>
              <w:b/>
              <w:spacing w:val="-20"/>
              <w:sz w:val="40"/>
            </w:rPr>
          </w:pPr>
        </w:p>
      </w:tc>
      <w:tc>
        <w:tcPr>
          <w:tcW w:w="2130" w:type="dxa"/>
        </w:tcPr>
        <w:p w:rsidR="00673004" w:rsidRPr="00B85DD4" w:rsidRDefault="00673004" w:rsidP="00B520BC">
          <w:pPr>
            <w:pStyle w:val="HeaderFooter"/>
            <w:rPr>
              <w:b/>
              <w:spacing w:val="-20"/>
              <w:sz w:val="40"/>
            </w:rPr>
          </w:pPr>
        </w:p>
      </w:tc>
      <w:tc>
        <w:tcPr>
          <w:tcW w:w="1721" w:type="dxa"/>
        </w:tcPr>
        <w:p w:rsidR="00673004" w:rsidRPr="00B85DD4" w:rsidRDefault="00673004" w:rsidP="00B520BC">
          <w:pPr>
            <w:pStyle w:val="HeaderFooter"/>
            <w:spacing w:before="227" w:after="340"/>
            <w:rPr>
              <w:b/>
              <w:spacing w:val="-20"/>
              <w:sz w:val="40"/>
            </w:rPr>
          </w:pPr>
        </w:p>
      </w:tc>
    </w:tr>
  </w:tbl>
  <w:p w:rsidR="00673004" w:rsidRDefault="006730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nsid w:val="11327132"/>
    <w:multiLevelType w:val="hybridMultilevel"/>
    <w:tmpl w:val="9294BD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14AD7346"/>
    <w:multiLevelType w:val="hybridMultilevel"/>
    <w:tmpl w:val="4F947310"/>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3">
    <w:nsid w:val="183D1C88"/>
    <w:multiLevelType w:val="hybridMultilevel"/>
    <w:tmpl w:val="6A641E54"/>
    <w:lvl w:ilvl="0" w:tplc="5504D7B0">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14">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0C976B5"/>
    <w:multiLevelType w:val="hybridMultilevel"/>
    <w:tmpl w:val="89260C9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219B793E"/>
    <w:multiLevelType w:val="hybridMultilevel"/>
    <w:tmpl w:val="27E003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221F45D5"/>
    <w:multiLevelType w:val="hybridMultilevel"/>
    <w:tmpl w:val="635C4C4A"/>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9">
    <w:nsid w:val="3E9923A8"/>
    <w:multiLevelType w:val="hybridMultilevel"/>
    <w:tmpl w:val="3A3222C0"/>
    <w:lvl w:ilvl="0" w:tplc="5504D7B0">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1B">
      <w:start w:val="1"/>
      <w:numFmt w:val="lowerRoman"/>
      <w:lvlText w:val="%3."/>
      <w:lvlJc w:val="right"/>
      <w:pPr>
        <w:tabs>
          <w:tab w:val="num" w:pos="2520"/>
        </w:tabs>
        <w:ind w:left="2520" w:hanging="180"/>
      </w:p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start w:val="1"/>
      <w:numFmt w:val="decimal"/>
      <w:lvlText w:val="%7."/>
      <w:lvlJc w:val="left"/>
      <w:pPr>
        <w:tabs>
          <w:tab w:val="num" w:pos="5400"/>
        </w:tabs>
        <w:ind w:left="5400" w:hanging="360"/>
      </w:pPr>
    </w:lvl>
    <w:lvl w:ilvl="7" w:tplc="0C090019">
      <w:start w:val="1"/>
      <w:numFmt w:val="lowerLetter"/>
      <w:lvlText w:val="%8."/>
      <w:lvlJc w:val="left"/>
      <w:pPr>
        <w:tabs>
          <w:tab w:val="num" w:pos="6120"/>
        </w:tabs>
        <w:ind w:left="6120" w:hanging="360"/>
      </w:pPr>
    </w:lvl>
    <w:lvl w:ilvl="8" w:tplc="0C09001B">
      <w:start w:val="1"/>
      <w:numFmt w:val="lowerRoman"/>
      <w:lvlText w:val="%9."/>
      <w:lvlJc w:val="right"/>
      <w:pPr>
        <w:tabs>
          <w:tab w:val="num" w:pos="6840"/>
        </w:tabs>
        <w:ind w:left="6840" w:hanging="180"/>
      </w:pPr>
    </w:lvl>
  </w:abstractNum>
  <w:abstractNum w:abstractNumId="2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2322C34"/>
    <w:multiLevelType w:val="hybridMultilevel"/>
    <w:tmpl w:val="F536E33E"/>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2">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3">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4E793CD6"/>
    <w:multiLevelType w:val="hybridMultilevel"/>
    <w:tmpl w:val="2CB6C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DA5DD3"/>
    <w:multiLevelType w:val="hybridMultilevel"/>
    <w:tmpl w:val="481CB9C8"/>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6">
    <w:nsid w:val="5E6C24E5"/>
    <w:multiLevelType w:val="hybridMultilevel"/>
    <w:tmpl w:val="2620DE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1678F4"/>
    <w:multiLevelType w:val="hybridMultilevel"/>
    <w:tmpl w:val="F984FD40"/>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8">
    <w:nsid w:val="74A81705"/>
    <w:multiLevelType w:val="hybridMultilevel"/>
    <w:tmpl w:val="AC1AEFC2"/>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nsid w:val="75A6284B"/>
    <w:multiLevelType w:val="hybridMultilevel"/>
    <w:tmpl w:val="E0E092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AC22FFF"/>
    <w:multiLevelType w:val="hybridMultilevel"/>
    <w:tmpl w:val="548E2F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DFB4AD7"/>
    <w:multiLevelType w:val="hybridMultilevel"/>
    <w:tmpl w:val="A6742DE6"/>
    <w:lvl w:ilvl="0" w:tplc="0C090001">
      <w:start w:val="1"/>
      <w:numFmt w:val="bullet"/>
      <w:lvlText w:val=""/>
      <w:lvlJc w:val="left"/>
      <w:pPr>
        <w:tabs>
          <w:tab w:val="num" w:pos="1080"/>
        </w:tabs>
        <w:ind w:left="1080" w:hanging="360"/>
      </w:pPr>
      <w:rPr>
        <w:rFonts w:ascii="Symbol" w:hAnsi="Symbol" w:hint="default"/>
      </w:rPr>
    </w:lvl>
    <w:lvl w:ilvl="1" w:tplc="0C090019">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3"/>
  </w:num>
  <w:num w:numId="13">
    <w:abstractNumId w:val="20"/>
  </w:num>
  <w:num w:numId="14">
    <w:abstractNumId w:val="17"/>
  </w:num>
  <w:num w:numId="15">
    <w:abstractNumId w:val="14"/>
  </w:num>
  <w:num w:numId="16">
    <w:abstractNumId w:val="10"/>
  </w:num>
  <w:num w:numId="17">
    <w:abstractNumId w:val="30"/>
  </w:num>
  <w:num w:numId="18">
    <w:abstractNumId w:val="16"/>
  </w:num>
  <w:num w:numId="19">
    <w:abstractNumId w:val="26"/>
  </w:num>
  <w:num w:numId="20">
    <w:abstractNumId w:val="18"/>
  </w:num>
  <w:num w:numId="21">
    <w:abstractNumId w:val="11"/>
  </w:num>
  <w:num w:numId="22">
    <w:abstractNumId w:val="27"/>
  </w:num>
  <w:num w:numId="23">
    <w:abstractNumId w:val="25"/>
  </w:num>
  <w:num w:numId="24">
    <w:abstractNumId w:val="31"/>
  </w:num>
  <w:num w:numId="25">
    <w:abstractNumId w:val="21"/>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3"/>
  </w:num>
  <w:num w:numId="29">
    <w:abstractNumId w:val="15"/>
  </w:num>
  <w:num w:numId="30">
    <w:abstractNumId w:val="24"/>
  </w:num>
  <w:num w:numId="31">
    <w:abstractNumId w:val="28"/>
  </w:num>
  <w:num w:numId="32">
    <w:abstractNumId w:val="12"/>
  </w:num>
  <w:num w:numId="33">
    <w:abstractNumId w:val="29"/>
  </w:num>
  <w:num w:numId="34">
    <w:abstractNumId w:val="14"/>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29"/>
    <w:rsid w:val="00001E03"/>
    <w:rsid w:val="000076E5"/>
    <w:rsid w:val="0001062D"/>
    <w:rsid w:val="00014101"/>
    <w:rsid w:val="00014575"/>
    <w:rsid w:val="00016296"/>
    <w:rsid w:val="000219E5"/>
    <w:rsid w:val="00032C79"/>
    <w:rsid w:val="0003606D"/>
    <w:rsid w:val="00042A63"/>
    <w:rsid w:val="00042EEF"/>
    <w:rsid w:val="00044421"/>
    <w:rsid w:val="000455B1"/>
    <w:rsid w:val="00046BB7"/>
    <w:rsid w:val="000522FE"/>
    <w:rsid w:val="00054309"/>
    <w:rsid w:val="000579B1"/>
    <w:rsid w:val="00060A74"/>
    <w:rsid w:val="00061F5F"/>
    <w:rsid w:val="00072D2F"/>
    <w:rsid w:val="0007595E"/>
    <w:rsid w:val="000779B5"/>
    <w:rsid w:val="00083CB5"/>
    <w:rsid w:val="00097F47"/>
    <w:rsid w:val="000A1DB8"/>
    <w:rsid w:val="000A3DC5"/>
    <w:rsid w:val="000A48AC"/>
    <w:rsid w:val="000A5ABA"/>
    <w:rsid w:val="000B0A5D"/>
    <w:rsid w:val="000C09CE"/>
    <w:rsid w:val="000C44EF"/>
    <w:rsid w:val="000C65E8"/>
    <w:rsid w:val="000D053A"/>
    <w:rsid w:val="000D1FC3"/>
    <w:rsid w:val="000D2D9C"/>
    <w:rsid w:val="000D3A0E"/>
    <w:rsid w:val="000D5282"/>
    <w:rsid w:val="000D52C7"/>
    <w:rsid w:val="000E130A"/>
    <w:rsid w:val="000F6469"/>
    <w:rsid w:val="00101200"/>
    <w:rsid w:val="00102032"/>
    <w:rsid w:val="00102950"/>
    <w:rsid w:val="00111AE8"/>
    <w:rsid w:val="00113725"/>
    <w:rsid w:val="00126B31"/>
    <w:rsid w:val="00132AE2"/>
    <w:rsid w:val="00133DF9"/>
    <w:rsid w:val="00134774"/>
    <w:rsid w:val="00140274"/>
    <w:rsid w:val="00142C3C"/>
    <w:rsid w:val="00143438"/>
    <w:rsid w:val="00144AB9"/>
    <w:rsid w:val="00151263"/>
    <w:rsid w:val="00151E02"/>
    <w:rsid w:val="00153BE9"/>
    <w:rsid w:val="0016173D"/>
    <w:rsid w:val="00161F0B"/>
    <w:rsid w:val="00162A8D"/>
    <w:rsid w:val="00162DDC"/>
    <w:rsid w:val="00165E3C"/>
    <w:rsid w:val="001731CD"/>
    <w:rsid w:val="00173FB5"/>
    <w:rsid w:val="00183079"/>
    <w:rsid w:val="001846EB"/>
    <w:rsid w:val="00185F59"/>
    <w:rsid w:val="0019371F"/>
    <w:rsid w:val="00197008"/>
    <w:rsid w:val="001A0677"/>
    <w:rsid w:val="001A71FE"/>
    <w:rsid w:val="001B0353"/>
    <w:rsid w:val="001B1510"/>
    <w:rsid w:val="001C1F8B"/>
    <w:rsid w:val="001C253C"/>
    <w:rsid w:val="001C5D3B"/>
    <w:rsid w:val="001D1BBC"/>
    <w:rsid w:val="001E6A1A"/>
    <w:rsid w:val="001F2BBB"/>
    <w:rsid w:val="001F5142"/>
    <w:rsid w:val="001F5A15"/>
    <w:rsid w:val="001F6736"/>
    <w:rsid w:val="00200677"/>
    <w:rsid w:val="00213D79"/>
    <w:rsid w:val="0021727F"/>
    <w:rsid w:val="00221F50"/>
    <w:rsid w:val="00223EA4"/>
    <w:rsid w:val="002270BF"/>
    <w:rsid w:val="00227806"/>
    <w:rsid w:val="0023031E"/>
    <w:rsid w:val="00231ED1"/>
    <w:rsid w:val="002374E7"/>
    <w:rsid w:val="00242624"/>
    <w:rsid w:val="0024557E"/>
    <w:rsid w:val="00246B92"/>
    <w:rsid w:val="0026020C"/>
    <w:rsid w:val="00262C6B"/>
    <w:rsid w:val="00263CFA"/>
    <w:rsid w:val="00265EDA"/>
    <w:rsid w:val="00277101"/>
    <w:rsid w:val="00281574"/>
    <w:rsid w:val="0028598A"/>
    <w:rsid w:val="002863D7"/>
    <w:rsid w:val="002863D9"/>
    <w:rsid w:val="002A4B3B"/>
    <w:rsid w:val="002B116D"/>
    <w:rsid w:val="002B184C"/>
    <w:rsid w:val="002B1B65"/>
    <w:rsid w:val="002B2848"/>
    <w:rsid w:val="002B4C52"/>
    <w:rsid w:val="002B6B41"/>
    <w:rsid w:val="002C0625"/>
    <w:rsid w:val="002C1866"/>
    <w:rsid w:val="002D40FF"/>
    <w:rsid w:val="002D4502"/>
    <w:rsid w:val="002D450C"/>
    <w:rsid w:val="002E222A"/>
    <w:rsid w:val="002E50C2"/>
    <w:rsid w:val="002F0126"/>
    <w:rsid w:val="002F1CDB"/>
    <w:rsid w:val="002F3AE9"/>
    <w:rsid w:val="002F4CE1"/>
    <w:rsid w:val="00300F22"/>
    <w:rsid w:val="00304A37"/>
    <w:rsid w:val="00310ED4"/>
    <w:rsid w:val="00312272"/>
    <w:rsid w:val="00312301"/>
    <w:rsid w:val="00312801"/>
    <w:rsid w:val="0031492A"/>
    <w:rsid w:val="00314FB4"/>
    <w:rsid w:val="0031560C"/>
    <w:rsid w:val="0031669C"/>
    <w:rsid w:val="00316C1A"/>
    <w:rsid w:val="00317255"/>
    <w:rsid w:val="00317C95"/>
    <w:rsid w:val="00323C73"/>
    <w:rsid w:val="00323E7F"/>
    <w:rsid w:val="003257CF"/>
    <w:rsid w:val="00325B9F"/>
    <w:rsid w:val="0032754A"/>
    <w:rsid w:val="00331141"/>
    <w:rsid w:val="0033322A"/>
    <w:rsid w:val="00336422"/>
    <w:rsid w:val="00343686"/>
    <w:rsid w:val="00344758"/>
    <w:rsid w:val="00347040"/>
    <w:rsid w:val="00347142"/>
    <w:rsid w:val="003504FC"/>
    <w:rsid w:val="00353029"/>
    <w:rsid w:val="003565A8"/>
    <w:rsid w:val="003566EA"/>
    <w:rsid w:val="00362CD6"/>
    <w:rsid w:val="00364EC6"/>
    <w:rsid w:val="0036561F"/>
    <w:rsid w:val="00372C79"/>
    <w:rsid w:val="00373A1F"/>
    <w:rsid w:val="00377644"/>
    <w:rsid w:val="0038240C"/>
    <w:rsid w:val="003856E7"/>
    <w:rsid w:val="003863A5"/>
    <w:rsid w:val="0039015E"/>
    <w:rsid w:val="0039017D"/>
    <w:rsid w:val="00390DE6"/>
    <w:rsid w:val="00392772"/>
    <w:rsid w:val="00395E13"/>
    <w:rsid w:val="003A0D57"/>
    <w:rsid w:val="003A1D6D"/>
    <w:rsid w:val="003A38CD"/>
    <w:rsid w:val="003A7007"/>
    <w:rsid w:val="003B0E19"/>
    <w:rsid w:val="003B1138"/>
    <w:rsid w:val="003B23F7"/>
    <w:rsid w:val="003C4EBB"/>
    <w:rsid w:val="003C5051"/>
    <w:rsid w:val="003D4372"/>
    <w:rsid w:val="003D7218"/>
    <w:rsid w:val="003E2155"/>
    <w:rsid w:val="003E350D"/>
    <w:rsid w:val="003E7752"/>
    <w:rsid w:val="004039F8"/>
    <w:rsid w:val="004061E1"/>
    <w:rsid w:val="00407619"/>
    <w:rsid w:val="00413199"/>
    <w:rsid w:val="004136DD"/>
    <w:rsid w:val="00420E40"/>
    <w:rsid w:val="00422417"/>
    <w:rsid w:val="0042337B"/>
    <w:rsid w:val="00424233"/>
    <w:rsid w:val="0042676F"/>
    <w:rsid w:val="0043042B"/>
    <w:rsid w:val="0043609A"/>
    <w:rsid w:val="004452F8"/>
    <w:rsid w:val="0045011F"/>
    <w:rsid w:val="00453543"/>
    <w:rsid w:val="0045605E"/>
    <w:rsid w:val="0045692F"/>
    <w:rsid w:val="004619E5"/>
    <w:rsid w:val="00467CF5"/>
    <w:rsid w:val="00472EFF"/>
    <w:rsid w:val="00474063"/>
    <w:rsid w:val="00475223"/>
    <w:rsid w:val="00475846"/>
    <w:rsid w:val="00476793"/>
    <w:rsid w:val="00477799"/>
    <w:rsid w:val="004777E6"/>
    <w:rsid w:val="00483E22"/>
    <w:rsid w:val="00483F2D"/>
    <w:rsid w:val="00484E94"/>
    <w:rsid w:val="0048571B"/>
    <w:rsid w:val="00485F3E"/>
    <w:rsid w:val="00486A29"/>
    <w:rsid w:val="00492AF3"/>
    <w:rsid w:val="004A187B"/>
    <w:rsid w:val="004A2A90"/>
    <w:rsid w:val="004A2D3C"/>
    <w:rsid w:val="004A2F12"/>
    <w:rsid w:val="004A36DC"/>
    <w:rsid w:val="004A4161"/>
    <w:rsid w:val="004B16EE"/>
    <w:rsid w:val="004C7412"/>
    <w:rsid w:val="004C7B9F"/>
    <w:rsid w:val="004D04BF"/>
    <w:rsid w:val="004E0DFF"/>
    <w:rsid w:val="004E13BF"/>
    <w:rsid w:val="004E4B4F"/>
    <w:rsid w:val="004F1C7C"/>
    <w:rsid w:val="004F2329"/>
    <w:rsid w:val="004F238B"/>
    <w:rsid w:val="004F3567"/>
    <w:rsid w:val="004F5C55"/>
    <w:rsid w:val="004F75AB"/>
    <w:rsid w:val="0050101C"/>
    <w:rsid w:val="005031CE"/>
    <w:rsid w:val="005040DA"/>
    <w:rsid w:val="00505772"/>
    <w:rsid w:val="005123F0"/>
    <w:rsid w:val="005134E9"/>
    <w:rsid w:val="00513540"/>
    <w:rsid w:val="00513941"/>
    <w:rsid w:val="00515595"/>
    <w:rsid w:val="005250A0"/>
    <w:rsid w:val="0053051D"/>
    <w:rsid w:val="00530689"/>
    <w:rsid w:val="00536EE5"/>
    <w:rsid w:val="00542FBC"/>
    <w:rsid w:val="00545BBA"/>
    <w:rsid w:val="00546F44"/>
    <w:rsid w:val="00550C8C"/>
    <w:rsid w:val="005545FA"/>
    <w:rsid w:val="00555DDD"/>
    <w:rsid w:val="0056102B"/>
    <w:rsid w:val="00564208"/>
    <w:rsid w:val="005712A0"/>
    <w:rsid w:val="00571CEB"/>
    <w:rsid w:val="00572F9B"/>
    <w:rsid w:val="0057723A"/>
    <w:rsid w:val="00587F05"/>
    <w:rsid w:val="00591951"/>
    <w:rsid w:val="00595E0D"/>
    <w:rsid w:val="0059708A"/>
    <w:rsid w:val="005B33B7"/>
    <w:rsid w:val="005C3870"/>
    <w:rsid w:val="005C5D41"/>
    <w:rsid w:val="005D1F34"/>
    <w:rsid w:val="005D383D"/>
    <w:rsid w:val="005D6E3F"/>
    <w:rsid w:val="005D78E2"/>
    <w:rsid w:val="005E1C8B"/>
    <w:rsid w:val="005E47EB"/>
    <w:rsid w:val="005E73DB"/>
    <w:rsid w:val="005F2E1D"/>
    <w:rsid w:val="005F7BA1"/>
    <w:rsid w:val="006058E2"/>
    <w:rsid w:val="00606822"/>
    <w:rsid w:val="00616303"/>
    <w:rsid w:val="0062032B"/>
    <w:rsid w:val="0062553A"/>
    <w:rsid w:val="006274E7"/>
    <w:rsid w:val="0064017D"/>
    <w:rsid w:val="0064132B"/>
    <w:rsid w:val="006476BE"/>
    <w:rsid w:val="00647ABF"/>
    <w:rsid w:val="00654793"/>
    <w:rsid w:val="00655BC5"/>
    <w:rsid w:val="00660D8B"/>
    <w:rsid w:val="00662F1F"/>
    <w:rsid w:val="00664364"/>
    <w:rsid w:val="00665509"/>
    <w:rsid w:val="00673004"/>
    <w:rsid w:val="00674762"/>
    <w:rsid w:val="0067669F"/>
    <w:rsid w:val="0067745A"/>
    <w:rsid w:val="00677803"/>
    <w:rsid w:val="006903C3"/>
    <w:rsid w:val="00693FCC"/>
    <w:rsid w:val="006949DD"/>
    <w:rsid w:val="00696976"/>
    <w:rsid w:val="00697868"/>
    <w:rsid w:val="006A1A19"/>
    <w:rsid w:val="006A39D1"/>
    <w:rsid w:val="006A6BB3"/>
    <w:rsid w:val="006B63ED"/>
    <w:rsid w:val="006B751D"/>
    <w:rsid w:val="006C298C"/>
    <w:rsid w:val="006C3EED"/>
    <w:rsid w:val="006C52E0"/>
    <w:rsid w:val="006D0032"/>
    <w:rsid w:val="006D49E3"/>
    <w:rsid w:val="006D5EE5"/>
    <w:rsid w:val="006E4D71"/>
    <w:rsid w:val="006E5D14"/>
    <w:rsid w:val="006E63FA"/>
    <w:rsid w:val="006F3E50"/>
    <w:rsid w:val="006F5739"/>
    <w:rsid w:val="00701AE2"/>
    <w:rsid w:val="00702BB2"/>
    <w:rsid w:val="00706C3A"/>
    <w:rsid w:val="0072124D"/>
    <w:rsid w:val="00725932"/>
    <w:rsid w:val="00741024"/>
    <w:rsid w:val="00743727"/>
    <w:rsid w:val="00745C8B"/>
    <w:rsid w:val="00754016"/>
    <w:rsid w:val="007540BF"/>
    <w:rsid w:val="00754501"/>
    <w:rsid w:val="00762B74"/>
    <w:rsid w:val="00770B05"/>
    <w:rsid w:val="00770DCB"/>
    <w:rsid w:val="00771F6E"/>
    <w:rsid w:val="007723A5"/>
    <w:rsid w:val="007728A8"/>
    <w:rsid w:val="00772A0E"/>
    <w:rsid w:val="00772FC8"/>
    <w:rsid w:val="0077421C"/>
    <w:rsid w:val="00775485"/>
    <w:rsid w:val="007805D9"/>
    <w:rsid w:val="00783F1A"/>
    <w:rsid w:val="0079134E"/>
    <w:rsid w:val="00793B58"/>
    <w:rsid w:val="00796274"/>
    <w:rsid w:val="007A2B1C"/>
    <w:rsid w:val="007B2173"/>
    <w:rsid w:val="007B3030"/>
    <w:rsid w:val="007B4014"/>
    <w:rsid w:val="007B4A5A"/>
    <w:rsid w:val="007C55DC"/>
    <w:rsid w:val="007D660D"/>
    <w:rsid w:val="007E0A28"/>
    <w:rsid w:val="007E4AB8"/>
    <w:rsid w:val="007E5B88"/>
    <w:rsid w:val="007F0D0B"/>
    <w:rsid w:val="007F329F"/>
    <w:rsid w:val="007F7F49"/>
    <w:rsid w:val="008007A8"/>
    <w:rsid w:val="008042D9"/>
    <w:rsid w:val="00814FC0"/>
    <w:rsid w:val="00822D0C"/>
    <w:rsid w:val="008266DC"/>
    <w:rsid w:val="008273F1"/>
    <w:rsid w:val="0083026A"/>
    <w:rsid w:val="00832885"/>
    <w:rsid w:val="00837692"/>
    <w:rsid w:val="008448B7"/>
    <w:rsid w:val="00854D32"/>
    <w:rsid w:val="00860445"/>
    <w:rsid w:val="00860EF3"/>
    <w:rsid w:val="00863FFA"/>
    <w:rsid w:val="00864C5A"/>
    <w:rsid w:val="008724DE"/>
    <w:rsid w:val="00876105"/>
    <w:rsid w:val="00876A0B"/>
    <w:rsid w:val="00881F86"/>
    <w:rsid w:val="00882AF7"/>
    <w:rsid w:val="00886F40"/>
    <w:rsid w:val="00892491"/>
    <w:rsid w:val="00894B0E"/>
    <w:rsid w:val="008A3D57"/>
    <w:rsid w:val="008A45D7"/>
    <w:rsid w:val="008B23BC"/>
    <w:rsid w:val="008D0F2A"/>
    <w:rsid w:val="008D509E"/>
    <w:rsid w:val="008D5575"/>
    <w:rsid w:val="008E320D"/>
    <w:rsid w:val="008E3A5A"/>
    <w:rsid w:val="008E3D60"/>
    <w:rsid w:val="008E3F4C"/>
    <w:rsid w:val="008E7566"/>
    <w:rsid w:val="008F08D7"/>
    <w:rsid w:val="008F6B7B"/>
    <w:rsid w:val="0090165F"/>
    <w:rsid w:val="00901B82"/>
    <w:rsid w:val="009025B1"/>
    <w:rsid w:val="00903057"/>
    <w:rsid w:val="009030CD"/>
    <w:rsid w:val="00910DA9"/>
    <w:rsid w:val="00911331"/>
    <w:rsid w:val="00912B09"/>
    <w:rsid w:val="00924745"/>
    <w:rsid w:val="009255C4"/>
    <w:rsid w:val="00927A13"/>
    <w:rsid w:val="00936D52"/>
    <w:rsid w:val="00942568"/>
    <w:rsid w:val="0094681D"/>
    <w:rsid w:val="0095286F"/>
    <w:rsid w:val="00953FEC"/>
    <w:rsid w:val="0095556C"/>
    <w:rsid w:val="00955968"/>
    <w:rsid w:val="00956970"/>
    <w:rsid w:val="00963349"/>
    <w:rsid w:val="00965A52"/>
    <w:rsid w:val="00966C2F"/>
    <w:rsid w:val="00967AD1"/>
    <w:rsid w:val="0097151C"/>
    <w:rsid w:val="0097512B"/>
    <w:rsid w:val="00975E3B"/>
    <w:rsid w:val="00985D20"/>
    <w:rsid w:val="009861C3"/>
    <w:rsid w:val="00986CB7"/>
    <w:rsid w:val="00990001"/>
    <w:rsid w:val="00990728"/>
    <w:rsid w:val="00991020"/>
    <w:rsid w:val="009945AE"/>
    <w:rsid w:val="009A078B"/>
    <w:rsid w:val="009A3BD9"/>
    <w:rsid w:val="009A60DA"/>
    <w:rsid w:val="009B285F"/>
    <w:rsid w:val="009B3D0C"/>
    <w:rsid w:val="009B5E07"/>
    <w:rsid w:val="009C0212"/>
    <w:rsid w:val="009C378B"/>
    <w:rsid w:val="009C50D1"/>
    <w:rsid w:val="009D2FF4"/>
    <w:rsid w:val="009D67F6"/>
    <w:rsid w:val="009D7AA2"/>
    <w:rsid w:val="009E0FE1"/>
    <w:rsid w:val="009E530C"/>
    <w:rsid w:val="009E5834"/>
    <w:rsid w:val="009E67C3"/>
    <w:rsid w:val="009E6E74"/>
    <w:rsid w:val="009F1CD5"/>
    <w:rsid w:val="00A00C36"/>
    <w:rsid w:val="00A01C41"/>
    <w:rsid w:val="00A0406E"/>
    <w:rsid w:val="00A05319"/>
    <w:rsid w:val="00A10C11"/>
    <w:rsid w:val="00A11307"/>
    <w:rsid w:val="00A1179A"/>
    <w:rsid w:val="00A1303D"/>
    <w:rsid w:val="00A13AF3"/>
    <w:rsid w:val="00A159DA"/>
    <w:rsid w:val="00A16FC5"/>
    <w:rsid w:val="00A21388"/>
    <w:rsid w:val="00A22BC4"/>
    <w:rsid w:val="00A24180"/>
    <w:rsid w:val="00A27791"/>
    <w:rsid w:val="00A34D22"/>
    <w:rsid w:val="00A34DD1"/>
    <w:rsid w:val="00A3545D"/>
    <w:rsid w:val="00A41355"/>
    <w:rsid w:val="00A43B92"/>
    <w:rsid w:val="00A43E50"/>
    <w:rsid w:val="00A4759D"/>
    <w:rsid w:val="00A50FD2"/>
    <w:rsid w:val="00A53E27"/>
    <w:rsid w:val="00A54251"/>
    <w:rsid w:val="00A6179E"/>
    <w:rsid w:val="00A64316"/>
    <w:rsid w:val="00A6508F"/>
    <w:rsid w:val="00A7200A"/>
    <w:rsid w:val="00A804D9"/>
    <w:rsid w:val="00A810D9"/>
    <w:rsid w:val="00A858E6"/>
    <w:rsid w:val="00A92F92"/>
    <w:rsid w:val="00A96892"/>
    <w:rsid w:val="00AA2051"/>
    <w:rsid w:val="00AA29E9"/>
    <w:rsid w:val="00AA6D19"/>
    <w:rsid w:val="00AB3EDD"/>
    <w:rsid w:val="00AB584A"/>
    <w:rsid w:val="00AB58E4"/>
    <w:rsid w:val="00AC034C"/>
    <w:rsid w:val="00AC7052"/>
    <w:rsid w:val="00AD046D"/>
    <w:rsid w:val="00AD11D3"/>
    <w:rsid w:val="00AD2CFA"/>
    <w:rsid w:val="00AE05E2"/>
    <w:rsid w:val="00AE0F68"/>
    <w:rsid w:val="00AE10E8"/>
    <w:rsid w:val="00AE3656"/>
    <w:rsid w:val="00AF0129"/>
    <w:rsid w:val="00B05925"/>
    <w:rsid w:val="00B10A36"/>
    <w:rsid w:val="00B11E2D"/>
    <w:rsid w:val="00B16715"/>
    <w:rsid w:val="00B2000F"/>
    <w:rsid w:val="00B2081E"/>
    <w:rsid w:val="00B22A54"/>
    <w:rsid w:val="00B23310"/>
    <w:rsid w:val="00B24B1D"/>
    <w:rsid w:val="00B277E0"/>
    <w:rsid w:val="00B34946"/>
    <w:rsid w:val="00B34CBA"/>
    <w:rsid w:val="00B34F3E"/>
    <w:rsid w:val="00B35012"/>
    <w:rsid w:val="00B36544"/>
    <w:rsid w:val="00B43ADB"/>
    <w:rsid w:val="00B45F7E"/>
    <w:rsid w:val="00B504E9"/>
    <w:rsid w:val="00B519FD"/>
    <w:rsid w:val="00B520BC"/>
    <w:rsid w:val="00B54557"/>
    <w:rsid w:val="00B54DC2"/>
    <w:rsid w:val="00B55556"/>
    <w:rsid w:val="00B60D1D"/>
    <w:rsid w:val="00B635BB"/>
    <w:rsid w:val="00B63D24"/>
    <w:rsid w:val="00B66CD2"/>
    <w:rsid w:val="00B71836"/>
    <w:rsid w:val="00B77C04"/>
    <w:rsid w:val="00B813D7"/>
    <w:rsid w:val="00B8317B"/>
    <w:rsid w:val="00B924E6"/>
    <w:rsid w:val="00B93366"/>
    <w:rsid w:val="00B943FD"/>
    <w:rsid w:val="00BA262D"/>
    <w:rsid w:val="00BA4DF9"/>
    <w:rsid w:val="00BA55DC"/>
    <w:rsid w:val="00BA5698"/>
    <w:rsid w:val="00BA653D"/>
    <w:rsid w:val="00BA736F"/>
    <w:rsid w:val="00BB1586"/>
    <w:rsid w:val="00BC0E08"/>
    <w:rsid w:val="00BC0F9C"/>
    <w:rsid w:val="00BC57B4"/>
    <w:rsid w:val="00BC6765"/>
    <w:rsid w:val="00BC79EB"/>
    <w:rsid w:val="00BD08CC"/>
    <w:rsid w:val="00BD362F"/>
    <w:rsid w:val="00BD6447"/>
    <w:rsid w:val="00BD7FCF"/>
    <w:rsid w:val="00BE1360"/>
    <w:rsid w:val="00BE3542"/>
    <w:rsid w:val="00BF0D49"/>
    <w:rsid w:val="00C05C4A"/>
    <w:rsid w:val="00C05DFC"/>
    <w:rsid w:val="00C15034"/>
    <w:rsid w:val="00C23203"/>
    <w:rsid w:val="00C25BDA"/>
    <w:rsid w:val="00C320B9"/>
    <w:rsid w:val="00C33104"/>
    <w:rsid w:val="00C35719"/>
    <w:rsid w:val="00C377B7"/>
    <w:rsid w:val="00C42C6F"/>
    <w:rsid w:val="00C42E16"/>
    <w:rsid w:val="00C43CBF"/>
    <w:rsid w:val="00C6610B"/>
    <w:rsid w:val="00C75A43"/>
    <w:rsid w:val="00C854D4"/>
    <w:rsid w:val="00C90556"/>
    <w:rsid w:val="00C93255"/>
    <w:rsid w:val="00C9792B"/>
    <w:rsid w:val="00CA0D78"/>
    <w:rsid w:val="00CA0E78"/>
    <w:rsid w:val="00CA1A77"/>
    <w:rsid w:val="00CA1D92"/>
    <w:rsid w:val="00CA4855"/>
    <w:rsid w:val="00CB24FE"/>
    <w:rsid w:val="00CB585C"/>
    <w:rsid w:val="00CC0B27"/>
    <w:rsid w:val="00CC1005"/>
    <w:rsid w:val="00CC2E43"/>
    <w:rsid w:val="00CC3DD2"/>
    <w:rsid w:val="00CC6B0D"/>
    <w:rsid w:val="00CC6E0E"/>
    <w:rsid w:val="00CD4240"/>
    <w:rsid w:val="00CD58FD"/>
    <w:rsid w:val="00CE035D"/>
    <w:rsid w:val="00CE6865"/>
    <w:rsid w:val="00CF2423"/>
    <w:rsid w:val="00CF6DB8"/>
    <w:rsid w:val="00D02AFE"/>
    <w:rsid w:val="00D038C5"/>
    <w:rsid w:val="00D05FDD"/>
    <w:rsid w:val="00D07661"/>
    <w:rsid w:val="00D10DBA"/>
    <w:rsid w:val="00D12EB0"/>
    <w:rsid w:val="00D1308B"/>
    <w:rsid w:val="00D17F40"/>
    <w:rsid w:val="00D25E20"/>
    <w:rsid w:val="00D30A61"/>
    <w:rsid w:val="00D33A01"/>
    <w:rsid w:val="00D343FA"/>
    <w:rsid w:val="00D37033"/>
    <w:rsid w:val="00D372A7"/>
    <w:rsid w:val="00D37DA8"/>
    <w:rsid w:val="00D418FF"/>
    <w:rsid w:val="00D474C4"/>
    <w:rsid w:val="00D556CA"/>
    <w:rsid w:val="00D61CC8"/>
    <w:rsid w:val="00D65C76"/>
    <w:rsid w:val="00D679D5"/>
    <w:rsid w:val="00D71757"/>
    <w:rsid w:val="00D729AD"/>
    <w:rsid w:val="00D734C7"/>
    <w:rsid w:val="00D74104"/>
    <w:rsid w:val="00D74857"/>
    <w:rsid w:val="00D770CA"/>
    <w:rsid w:val="00D77385"/>
    <w:rsid w:val="00D844E1"/>
    <w:rsid w:val="00D91B6F"/>
    <w:rsid w:val="00D923FF"/>
    <w:rsid w:val="00D97BFD"/>
    <w:rsid w:val="00DA0EBF"/>
    <w:rsid w:val="00DA2F73"/>
    <w:rsid w:val="00DC462F"/>
    <w:rsid w:val="00DD00C1"/>
    <w:rsid w:val="00DD07B2"/>
    <w:rsid w:val="00DD2281"/>
    <w:rsid w:val="00DD6A21"/>
    <w:rsid w:val="00DE34CC"/>
    <w:rsid w:val="00DE47E7"/>
    <w:rsid w:val="00DE60CA"/>
    <w:rsid w:val="00DF394B"/>
    <w:rsid w:val="00E13F5F"/>
    <w:rsid w:val="00E14C43"/>
    <w:rsid w:val="00E174D5"/>
    <w:rsid w:val="00E24675"/>
    <w:rsid w:val="00E24FA3"/>
    <w:rsid w:val="00E26B28"/>
    <w:rsid w:val="00E31465"/>
    <w:rsid w:val="00E328CD"/>
    <w:rsid w:val="00E32C9B"/>
    <w:rsid w:val="00E36B95"/>
    <w:rsid w:val="00E37B7E"/>
    <w:rsid w:val="00E4003F"/>
    <w:rsid w:val="00E42C3C"/>
    <w:rsid w:val="00E458F6"/>
    <w:rsid w:val="00E45954"/>
    <w:rsid w:val="00E51630"/>
    <w:rsid w:val="00E54152"/>
    <w:rsid w:val="00E62C24"/>
    <w:rsid w:val="00E64EBD"/>
    <w:rsid w:val="00E80D14"/>
    <w:rsid w:val="00E82B7A"/>
    <w:rsid w:val="00E83450"/>
    <w:rsid w:val="00E8476F"/>
    <w:rsid w:val="00E90B21"/>
    <w:rsid w:val="00E931B1"/>
    <w:rsid w:val="00EA44D9"/>
    <w:rsid w:val="00EB4C9F"/>
    <w:rsid w:val="00EB6A76"/>
    <w:rsid w:val="00EC25B1"/>
    <w:rsid w:val="00EC2B40"/>
    <w:rsid w:val="00EC615C"/>
    <w:rsid w:val="00EC7FE6"/>
    <w:rsid w:val="00ED3534"/>
    <w:rsid w:val="00EE3C66"/>
    <w:rsid w:val="00EE46FB"/>
    <w:rsid w:val="00EE4D75"/>
    <w:rsid w:val="00EE5C70"/>
    <w:rsid w:val="00EE6C1F"/>
    <w:rsid w:val="00EF6C52"/>
    <w:rsid w:val="00F03025"/>
    <w:rsid w:val="00F045AE"/>
    <w:rsid w:val="00F0619E"/>
    <w:rsid w:val="00F14C6D"/>
    <w:rsid w:val="00F31042"/>
    <w:rsid w:val="00F516EA"/>
    <w:rsid w:val="00F51BED"/>
    <w:rsid w:val="00F52CC3"/>
    <w:rsid w:val="00F575EC"/>
    <w:rsid w:val="00F57A2D"/>
    <w:rsid w:val="00F60790"/>
    <w:rsid w:val="00F71E27"/>
    <w:rsid w:val="00F76C78"/>
    <w:rsid w:val="00F772D1"/>
    <w:rsid w:val="00F8184F"/>
    <w:rsid w:val="00F83F1E"/>
    <w:rsid w:val="00F87272"/>
    <w:rsid w:val="00F90CC3"/>
    <w:rsid w:val="00F965B7"/>
    <w:rsid w:val="00FA4916"/>
    <w:rsid w:val="00FA5FD5"/>
    <w:rsid w:val="00FB4FA8"/>
    <w:rsid w:val="00FB6A4B"/>
    <w:rsid w:val="00FB7C68"/>
    <w:rsid w:val="00FC1D51"/>
    <w:rsid w:val="00FC6E3D"/>
    <w:rsid w:val="00FC71EA"/>
    <w:rsid w:val="00FC7F00"/>
    <w:rsid w:val="00FD01B5"/>
    <w:rsid w:val="00FD4056"/>
    <w:rsid w:val="00FE31D7"/>
    <w:rsid w:val="00FF08F2"/>
    <w:rsid w:val="00FF20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314FB4"/>
    <w:pPr>
      <w:ind w:left="720"/>
      <w:contextualSpacing/>
    </w:pPr>
    <w:rPr>
      <w:rFonts w:eastAsia="Times New Roman"/>
    </w:rPr>
  </w:style>
  <w:style w:type="character" w:customStyle="1" w:styleId="Italic">
    <w:name w:val="Italic"/>
    <w:uiPriority w:val="99"/>
    <w:rsid w:val="000A3DC5"/>
    <w:rPr>
      <w:rFonts w:ascii="HelveticaNeueLTStd-LtIt" w:hAnsi="HelveticaNeueLTStd-LtIt"/>
      <w:i/>
    </w:rPr>
  </w:style>
  <w:style w:type="paragraph" w:styleId="Quote">
    <w:name w:val="Quote"/>
    <w:basedOn w:val="Normal"/>
    <w:next w:val="Normal"/>
    <w:link w:val="QuoteChar"/>
    <w:uiPriority w:val="29"/>
    <w:qFormat/>
    <w:rsid w:val="000A3DC5"/>
    <w:rPr>
      <w:rFonts w:eastAsia="Times New Roman"/>
      <w:i/>
      <w:iCs/>
      <w:color w:val="000000"/>
    </w:rPr>
  </w:style>
  <w:style w:type="character" w:customStyle="1" w:styleId="QuoteChar">
    <w:name w:val="Quote Char"/>
    <w:basedOn w:val="DefaultParagraphFont"/>
    <w:link w:val="Quote"/>
    <w:uiPriority w:val="29"/>
    <w:rsid w:val="000A3DC5"/>
    <w:rPr>
      <w:rFonts w:ascii="Arial" w:hAnsi="Arial"/>
      <w:i/>
      <w:iCs/>
      <w:color w:val="000000"/>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link w:val="FootnoteText"/>
    <w:semiHidden/>
    <w:locked/>
    <w:rsid w:val="008D509E"/>
    <w:rPr>
      <w:rFonts w:ascii="Arial" w:eastAsia="MS Mincho" w:hAnsi="Arial"/>
    </w:rPr>
  </w:style>
  <w:style w:type="character" w:styleId="CommentReference">
    <w:name w:val="annotation reference"/>
    <w:basedOn w:val="DefaultParagraphFont"/>
    <w:locked/>
    <w:rsid w:val="008266DC"/>
    <w:rPr>
      <w:sz w:val="16"/>
      <w:szCs w:val="16"/>
    </w:rPr>
  </w:style>
  <w:style w:type="paragraph" w:styleId="CommentText">
    <w:name w:val="annotation text"/>
    <w:basedOn w:val="Normal"/>
    <w:link w:val="CommentTextChar"/>
    <w:locked/>
    <w:rsid w:val="008266DC"/>
    <w:rPr>
      <w:sz w:val="20"/>
      <w:szCs w:val="20"/>
    </w:rPr>
  </w:style>
  <w:style w:type="character" w:customStyle="1" w:styleId="CommentTextChar">
    <w:name w:val="Comment Text Char"/>
    <w:basedOn w:val="DefaultParagraphFont"/>
    <w:link w:val="CommentText"/>
    <w:rsid w:val="008266DC"/>
    <w:rPr>
      <w:rFonts w:ascii="Arial" w:eastAsia="MS Mincho" w:hAnsi="Arial"/>
    </w:rPr>
  </w:style>
  <w:style w:type="paragraph" w:styleId="CommentSubject">
    <w:name w:val="annotation subject"/>
    <w:basedOn w:val="CommentText"/>
    <w:next w:val="CommentText"/>
    <w:link w:val="CommentSubjectChar"/>
    <w:locked/>
    <w:rsid w:val="008266DC"/>
    <w:rPr>
      <w:b/>
      <w:bCs/>
    </w:rPr>
  </w:style>
  <w:style w:type="character" w:customStyle="1" w:styleId="CommentSubjectChar">
    <w:name w:val="Comment Subject Char"/>
    <w:basedOn w:val="CommentTextChar"/>
    <w:link w:val="CommentSubject"/>
    <w:rsid w:val="008266DC"/>
    <w:rPr>
      <w:rFonts w:ascii="Arial" w:eastAsia="MS Mincho"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uiPriority="2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1 Char,Footnote Text Char Char Char,Footnote Text Char1 Char Char Char,Footnote Text Char Char Char Char Char,Footnote Text Char2 Char Char Char Char Char,Footnote Text Char1,Footnote Text Char Char"/>
    <w:basedOn w:val="Normal"/>
    <w:link w:val="FootnoteTextChar"/>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styleId="ListParagraph">
    <w:name w:val="List Paragraph"/>
    <w:basedOn w:val="Normal"/>
    <w:uiPriority w:val="34"/>
    <w:qFormat/>
    <w:rsid w:val="00314FB4"/>
    <w:pPr>
      <w:ind w:left="720"/>
      <w:contextualSpacing/>
    </w:pPr>
    <w:rPr>
      <w:rFonts w:eastAsia="Times New Roman"/>
    </w:rPr>
  </w:style>
  <w:style w:type="character" w:customStyle="1" w:styleId="Italic">
    <w:name w:val="Italic"/>
    <w:uiPriority w:val="99"/>
    <w:rsid w:val="000A3DC5"/>
    <w:rPr>
      <w:rFonts w:ascii="HelveticaNeueLTStd-LtIt" w:hAnsi="HelveticaNeueLTStd-LtIt"/>
      <w:i/>
    </w:rPr>
  </w:style>
  <w:style w:type="paragraph" w:styleId="Quote">
    <w:name w:val="Quote"/>
    <w:basedOn w:val="Normal"/>
    <w:next w:val="Normal"/>
    <w:link w:val="QuoteChar"/>
    <w:uiPriority w:val="29"/>
    <w:qFormat/>
    <w:rsid w:val="000A3DC5"/>
    <w:rPr>
      <w:rFonts w:eastAsia="Times New Roman"/>
      <w:i/>
      <w:iCs/>
      <w:color w:val="000000"/>
    </w:rPr>
  </w:style>
  <w:style w:type="character" w:customStyle="1" w:styleId="QuoteChar">
    <w:name w:val="Quote Char"/>
    <w:basedOn w:val="DefaultParagraphFont"/>
    <w:link w:val="Quote"/>
    <w:uiPriority w:val="29"/>
    <w:rsid w:val="000A3DC5"/>
    <w:rPr>
      <w:rFonts w:ascii="Arial" w:hAnsi="Arial"/>
      <w:i/>
      <w:iCs/>
      <w:color w:val="000000"/>
      <w:sz w:val="24"/>
      <w:szCs w:val="24"/>
    </w:rPr>
  </w:style>
  <w:style w:type="character" w:customStyle="1" w:styleId="FootnoteTextChar">
    <w:name w:val="Footnote Text Char"/>
    <w:aliases w:val="Footnote Text Char1 Char Char,Footnote Text Char Char Char Char,Footnote Text Char1 Char Char Char Char,Footnote Text Char Char Char Char Char Char,Footnote Text Char2 Char Char Char Char Char Char,Footnote Text Char1 Char1"/>
    <w:link w:val="FootnoteText"/>
    <w:semiHidden/>
    <w:locked/>
    <w:rsid w:val="008D509E"/>
    <w:rPr>
      <w:rFonts w:ascii="Arial" w:eastAsia="MS Mincho" w:hAnsi="Arial"/>
    </w:rPr>
  </w:style>
  <w:style w:type="character" w:styleId="CommentReference">
    <w:name w:val="annotation reference"/>
    <w:basedOn w:val="DefaultParagraphFont"/>
    <w:locked/>
    <w:rsid w:val="008266DC"/>
    <w:rPr>
      <w:sz w:val="16"/>
      <w:szCs w:val="16"/>
    </w:rPr>
  </w:style>
  <w:style w:type="paragraph" w:styleId="CommentText">
    <w:name w:val="annotation text"/>
    <w:basedOn w:val="Normal"/>
    <w:link w:val="CommentTextChar"/>
    <w:locked/>
    <w:rsid w:val="008266DC"/>
    <w:rPr>
      <w:sz w:val="20"/>
      <w:szCs w:val="20"/>
    </w:rPr>
  </w:style>
  <w:style w:type="character" w:customStyle="1" w:styleId="CommentTextChar">
    <w:name w:val="Comment Text Char"/>
    <w:basedOn w:val="DefaultParagraphFont"/>
    <w:link w:val="CommentText"/>
    <w:rsid w:val="008266DC"/>
    <w:rPr>
      <w:rFonts w:ascii="Arial" w:eastAsia="MS Mincho" w:hAnsi="Arial"/>
    </w:rPr>
  </w:style>
  <w:style w:type="paragraph" w:styleId="CommentSubject">
    <w:name w:val="annotation subject"/>
    <w:basedOn w:val="CommentText"/>
    <w:next w:val="CommentText"/>
    <w:link w:val="CommentSubjectChar"/>
    <w:locked/>
    <w:rsid w:val="008266DC"/>
    <w:rPr>
      <w:b/>
      <w:bCs/>
    </w:rPr>
  </w:style>
  <w:style w:type="character" w:customStyle="1" w:styleId="CommentSubjectChar">
    <w:name w:val="Comment Subject Char"/>
    <w:basedOn w:val="CommentTextChar"/>
    <w:link w:val="CommentSubject"/>
    <w:rsid w:val="008266DC"/>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5550">
      <w:bodyDiv w:val="1"/>
      <w:marLeft w:val="0"/>
      <w:marRight w:val="0"/>
      <w:marTop w:val="0"/>
      <w:marBottom w:val="0"/>
      <w:divBdr>
        <w:top w:val="none" w:sz="0" w:space="0" w:color="auto"/>
        <w:left w:val="none" w:sz="0" w:space="0" w:color="auto"/>
        <w:bottom w:val="none" w:sz="0" w:space="0" w:color="auto"/>
        <w:right w:val="none" w:sz="0" w:space="0" w:color="auto"/>
      </w:divBdr>
    </w:div>
    <w:div w:id="116602411">
      <w:bodyDiv w:val="1"/>
      <w:marLeft w:val="0"/>
      <w:marRight w:val="0"/>
      <w:marTop w:val="0"/>
      <w:marBottom w:val="0"/>
      <w:divBdr>
        <w:top w:val="none" w:sz="0" w:space="0" w:color="auto"/>
        <w:left w:val="none" w:sz="0" w:space="0" w:color="auto"/>
        <w:bottom w:val="none" w:sz="0" w:space="0" w:color="auto"/>
        <w:right w:val="none" w:sz="0" w:space="0" w:color="auto"/>
      </w:divBdr>
    </w:div>
    <w:div w:id="343480111">
      <w:bodyDiv w:val="1"/>
      <w:marLeft w:val="0"/>
      <w:marRight w:val="0"/>
      <w:marTop w:val="0"/>
      <w:marBottom w:val="0"/>
      <w:divBdr>
        <w:top w:val="none" w:sz="0" w:space="0" w:color="auto"/>
        <w:left w:val="none" w:sz="0" w:space="0" w:color="auto"/>
        <w:bottom w:val="none" w:sz="0" w:space="0" w:color="auto"/>
        <w:right w:val="none" w:sz="0" w:space="0" w:color="auto"/>
      </w:divBdr>
    </w:div>
    <w:div w:id="688876638">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26827378">
      <w:bodyDiv w:val="1"/>
      <w:marLeft w:val="0"/>
      <w:marRight w:val="0"/>
      <w:marTop w:val="0"/>
      <w:marBottom w:val="0"/>
      <w:divBdr>
        <w:top w:val="none" w:sz="0" w:space="0" w:color="auto"/>
        <w:left w:val="none" w:sz="0" w:space="0" w:color="auto"/>
        <w:bottom w:val="none" w:sz="0" w:space="0" w:color="auto"/>
        <w:right w:val="none" w:sz="0" w:space="0" w:color="auto"/>
      </w:divBdr>
    </w:div>
    <w:div w:id="1183398225">
      <w:bodyDiv w:val="1"/>
      <w:marLeft w:val="0"/>
      <w:marRight w:val="0"/>
      <w:marTop w:val="0"/>
      <w:marBottom w:val="0"/>
      <w:divBdr>
        <w:top w:val="none" w:sz="0" w:space="0" w:color="auto"/>
        <w:left w:val="none" w:sz="0" w:space="0" w:color="auto"/>
        <w:bottom w:val="none" w:sz="0" w:space="0" w:color="auto"/>
        <w:right w:val="none" w:sz="0" w:space="0" w:color="auto"/>
      </w:divBdr>
    </w:div>
    <w:div w:id="1340307716">
      <w:bodyDiv w:val="1"/>
      <w:marLeft w:val="0"/>
      <w:marRight w:val="0"/>
      <w:marTop w:val="0"/>
      <w:marBottom w:val="0"/>
      <w:divBdr>
        <w:top w:val="none" w:sz="0" w:space="0" w:color="auto"/>
        <w:left w:val="none" w:sz="0" w:space="0" w:color="auto"/>
        <w:bottom w:val="none" w:sz="0" w:space="0" w:color="auto"/>
        <w:right w:val="none" w:sz="0" w:space="0" w:color="auto"/>
      </w:divBdr>
    </w:div>
    <w:div w:id="1768579994">
      <w:bodyDiv w:val="1"/>
      <w:marLeft w:val="0"/>
      <w:marRight w:val="0"/>
      <w:marTop w:val="0"/>
      <w:marBottom w:val="0"/>
      <w:divBdr>
        <w:top w:val="none" w:sz="0" w:space="0" w:color="auto"/>
        <w:left w:val="none" w:sz="0" w:space="0" w:color="auto"/>
        <w:bottom w:val="none" w:sz="0" w:space="0" w:color="auto"/>
        <w:right w:val="none" w:sz="0" w:space="0" w:color="auto"/>
      </w:divBdr>
    </w:div>
    <w:div w:id="1867400130">
      <w:bodyDiv w:val="1"/>
      <w:marLeft w:val="0"/>
      <w:marRight w:val="0"/>
      <w:marTop w:val="0"/>
      <w:marBottom w:val="0"/>
      <w:divBdr>
        <w:top w:val="none" w:sz="0" w:space="0" w:color="auto"/>
        <w:left w:val="none" w:sz="0" w:space="0" w:color="auto"/>
        <w:bottom w:val="none" w:sz="0" w:space="0" w:color="auto"/>
        <w:right w:val="none" w:sz="0" w:space="0" w:color="auto"/>
      </w:divBdr>
    </w:div>
    <w:div w:id="1868367062">
      <w:bodyDiv w:val="1"/>
      <w:marLeft w:val="0"/>
      <w:marRight w:val="0"/>
      <w:marTop w:val="0"/>
      <w:marBottom w:val="0"/>
      <w:divBdr>
        <w:top w:val="none" w:sz="0" w:space="0" w:color="auto"/>
        <w:left w:val="none" w:sz="0" w:space="0" w:color="auto"/>
        <w:bottom w:val="none" w:sz="0" w:space="0" w:color="auto"/>
        <w:right w:val="none" w:sz="0" w:space="0" w:color="auto"/>
      </w:divBdr>
    </w:div>
    <w:div w:id="21065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humanrights.gov.au/human_rights/children_detention_report/index.html"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humanrights.gov.au/legal/submissions/2009/20090918_villawood_immigration.html"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umanrights.gov.au/legal/submissions/2013/20130211_migration.html"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legal/submissions/migration20060522.html" TargetMode="External"/><Relationship Id="rId13" Type="http://schemas.openxmlformats.org/officeDocument/2006/relationships/hyperlink" Target="http://www.aph.gov.au/Parliamentary_Business/Committees/House_of_Representatives_Committees?url=pwc/regionalprocessing/subs.htm" TargetMode="External"/><Relationship Id="rId18" Type="http://schemas.openxmlformats.org/officeDocument/2006/relationships/hyperlink" Target="http://www.abc.net.au/news/2013-04-05/refugee-expert-slams-manus-island-processing-centre/4610674" TargetMode="External"/><Relationship Id="rId26" Type="http://schemas.openxmlformats.org/officeDocument/2006/relationships/hyperlink" Target="http://www.un.org/documents/ga/res/45/a45r113.htm" TargetMode="External"/><Relationship Id="rId3" Type="http://schemas.openxmlformats.org/officeDocument/2006/relationships/hyperlink" Target="http://humanrights.gov.au/human_rights/children_detention_report/index.html" TargetMode="External"/><Relationship Id="rId21" Type="http://schemas.openxmlformats.org/officeDocument/2006/relationships/hyperlink" Target="http://www.ohchr.org/EN/ProfessionalInterest/Pages/CAT.aspx" TargetMode="External"/><Relationship Id="rId7" Type="http://schemas.openxmlformats.org/officeDocument/2006/relationships/hyperlink" Target="http://www.hcourt.gov.au/assets/cases/m70-2011/M106-2011_HRC.pdf" TargetMode="External"/><Relationship Id="rId12" Type="http://schemas.openxmlformats.org/officeDocument/2006/relationships/hyperlink" Target="http://www.humanrights.gov.au/human_rights/immigration/idc2010_christmas_island.html" TargetMode="External"/><Relationship Id="rId17" Type="http://schemas.openxmlformats.org/officeDocument/2006/relationships/hyperlink" Target="http://theprojecttv.com.au/exclusive-manus-island-detainee-interview-tonight.htm" TargetMode="External"/><Relationship Id="rId25" Type="http://schemas.openxmlformats.org/officeDocument/2006/relationships/hyperlink" Target="http://www.unhcr.org/refworld/docid/3ae6b36e8.html" TargetMode="External"/><Relationship Id="rId2" Type="http://schemas.openxmlformats.org/officeDocument/2006/relationships/hyperlink" Target="http://humanrights.gov.au/legal/submissions/2009/20090918_villawood_immigration.html" TargetMode="External"/><Relationship Id="rId16" Type="http://schemas.openxmlformats.org/officeDocument/2006/relationships/hyperlink" Target="http://www.theage.com.au/national/life-on-manus-island-disease-heat-suffering-20130104-2c8z7.html" TargetMode="External"/><Relationship Id="rId20" Type="http://schemas.openxmlformats.org/officeDocument/2006/relationships/hyperlink" Target="http://www.ohchr.org/EN/ProfessionalInterest/Pages/CESCR.aspx" TargetMode="External"/><Relationship Id="rId29" Type="http://schemas.openxmlformats.org/officeDocument/2006/relationships/hyperlink" Target="http://www.unhcr.org/refworld/docid/3f588ef00.html" TargetMode="External"/><Relationship Id="rId1" Type="http://schemas.openxmlformats.org/officeDocument/2006/relationships/hyperlink" Target="http://humanrights.gov.au/legal/submissions/2013/20130211_migration.html" TargetMode="External"/><Relationship Id="rId6" Type="http://schemas.openxmlformats.org/officeDocument/2006/relationships/hyperlink" Target="http://www.humanrights.gov.au/legal/submissions/2011/20110914_asylum_seekers.html" TargetMode="External"/><Relationship Id="rId11" Type="http://schemas.openxmlformats.org/officeDocument/2006/relationships/hyperlink" Target="http://humanrights.gov.au/human_rights/immigration/idc2009_xmas_island.html" TargetMode="External"/><Relationship Id="rId24" Type="http://schemas.openxmlformats.org/officeDocument/2006/relationships/hyperlink" Target="http://www.un.org/documents/ga/res/43/a43r173.htm" TargetMode="External"/><Relationship Id="rId5" Type="http://schemas.openxmlformats.org/officeDocument/2006/relationships/hyperlink" Target="http://www.humanrights.gov.au/legal/submissions/2012/20120720_asylum_seekers.html" TargetMode="External"/><Relationship Id="rId15" Type="http://schemas.openxmlformats.org/officeDocument/2006/relationships/hyperlink" Target="http://www.theaustralian.com.au/national-affairs/immigration/life-at-manus-is-pretty-tough/story-fn9hm1gu-1226589489403" TargetMode="External"/><Relationship Id="rId23" Type="http://schemas.openxmlformats.org/officeDocument/2006/relationships/hyperlink" Target="http://www.unhcr.org/3b66c2aa10.html" TargetMode="External"/><Relationship Id="rId28" Type="http://schemas.openxmlformats.org/officeDocument/2006/relationships/hyperlink" Target="http://www.un.org/documents/ga/res/43/a43r173.htm" TargetMode="External"/><Relationship Id="rId10" Type="http://schemas.openxmlformats.org/officeDocument/2006/relationships/hyperlink" Target="http://www.humanrights.gov.au/human_rights/immigration/idc2008.html" TargetMode="External"/><Relationship Id="rId19" Type="http://schemas.openxmlformats.org/officeDocument/2006/relationships/hyperlink" Target="http://www.ohchr.org/EN/ProfessionalInterest/Pages/CCPR.aspx" TargetMode="External"/><Relationship Id="rId4" Type="http://schemas.openxmlformats.org/officeDocument/2006/relationships/hyperlink" Target="http://www.humanrights.gov.au/human_rights/immigration/index.html" TargetMode="External"/><Relationship Id="rId9" Type="http://schemas.openxmlformats.org/officeDocument/2006/relationships/hyperlink" Target="http://www.humanrights.gov.au/our-work/human-rights-scrutiny/immigration-detention-standards" TargetMode="External"/><Relationship Id="rId14" Type="http://schemas.openxmlformats.org/officeDocument/2006/relationships/hyperlink" Target="http://unhcr.org.au/unhcr/index.php?option=com_content&amp;view=article&amp;id=284:unhcr-finds-significant-legal-and-operational-inadequacies-at-manus-island&amp;catid=35:news-a-media&amp;Itemid=63" TargetMode="External"/><Relationship Id="rId22" Type="http://schemas.openxmlformats.org/officeDocument/2006/relationships/hyperlink" Target="http://www.ohchr.org/EN/ProfessionalInterest/Pages/CRC.aspx" TargetMode="External"/><Relationship Id="rId27" Type="http://schemas.openxmlformats.org/officeDocument/2006/relationships/hyperlink" Target="http://www.unhcr.org/refworld/docid/503489533b8.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D2D6E-4316-4C95-8570-55A69D20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2055</Words>
  <Characters>12520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14546</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Libby Gunn</dc:creator>
  <cp:lastModifiedBy>Catherine Maywald</cp:lastModifiedBy>
  <cp:revision>9</cp:revision>
  <cp:lastPrinted>2013-04-09T05:25:00Z</cp:lastPrinted>
  <dcterms:created xsi:type="dcterms:W3CDTF">2013-04-16T09:37:00Z</dcterms:created>
  <dcterms:modified xsi:type="dcterms:W3CDTF">2013-04-16T09:48:00Z</dcterms:modified>
</cp:coreProperties>
</file>