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D9BCD" w14:textId="7BC13991" w:rsidR="00AC636D" w:rsidRPr="0039454D" w:rsidRDefault="00122C12" w:rsidP="0039454D">
      <w:r>
        <w:rPr>
          <w:noProof/>
        </w:rPr>
        <w:drawing>
          <wp:anchor distT="0" distB="0" distL="114300" distR="114300" simplePos="0" relativeHeight="251658240" behindDoc="1" locked="0" layoutInCell="1" allowOverlap="1" wp14:anchorId="3ECA57C0" wp14:editId="4E7D64EB">
            <wp:simplePos x="0" y="0"/>
            <wp:positionH relativeFrom="column">
              <wp:posOffset>-900430</wp:posOffset>
            </wp:positionH>
            <wp:positionV relativeFrom="paragraph">
              <wp:posOffset>-1560830</wp:posOffset>
            </wp:positionV>
            <wp:extent cx="7655783" cy="10693400"/>
            <wp:effectExtent l="0" t="0" r="2540" b="0"/>
            <wp:wrapNone/>
            <wp:docPr id="7" name="Immagine 7" descr="(Front cover image)&#10;&#10;Title: Human Rights and Technology Final Report • Summary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Front cover image)&#10;&#10;Title: Human Rights and Technology Final Report • Summary • 20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64758" cy="10705936"/>
                    </a:xfrm>
                    <a:prstGeom prst="rect">
                      <a:avLst/>
                    </a:prstGeom>
                  </pic:spPr>
                </pic:pic>
              </a:graphicData>
            </a:graphic>
            <wp14:sizeRelH relativeFrom="margin">
              <wp14:pctWidth>0</wp14:pctWidth>
            </wp14:sizeRelH>
            <wp14:sizeRelV relativeFrom="margin">
              <wp14:pctHeight>0</wp14:pctHeight>
            </wp14:sizeRelV>
          </wp:anchor>
        </w:drawing>
      </w:r>
    </w:p>
    <w:p w14:paraId="6964B13F" w14:textId="426304D0" w:rsidR="00127AB4" w:rsidRDefault="00127AB4">
      <w:pPr>
        <w:keepLines w:val="0"/>
        <w:spacing w:before="0" w:after="0"/>
      </w:pPr>
      <w:r>
        <w:br w:type="page"/>
      </w:r>
    </w:p>
    <w:p w14:paraId="0DC78C7E" w14:textId="7D9ECA64" w:rsidR="005C4174" w:rsidRPr="00161DDF" w:rsidRDefault="005C4174" w:rsidP="00127AB4">
      <w:pPr>
        <w:pStyle w:val="BodyText"/>
      </w:pPr>
      <w:bookmarkStart w:id="0" w:name="_Toc209316062"/>
      <w:bookmarkEnd w:id="0"/>
      <w:r w:rsidRPr="00161DDF">
        <w:lastRenderedPageBreak/>
        <w:t>© Australian Human Rights Commission 2021.</w:t>
      </w:r>
    </w:p>
    <w:p w14:paraId="3B6585A1" w14:textId="77777777" w:rsidR="005C4174" w:rsidRPr="00161DDF" w:rsidRDefault="005C4174" w:rsidP="00127AB4">
      <w:pPr>
        <w:pStyle w:val="BodyText"/>
      </w:pPr>
      <w:r w:rsidRPr="00161DDF">
        <w:t>The Australian Human Rights Commission encourages the dissemination and exchange of information presented in this publication.</w:t>
      </w:r>
    </w:p>
    <w:p w14:paraId="40C452BF" w14:textId="77777777" w:rsidR="005C4174" w:rsidRPr="00161DDF" w:rsidRDefault="005C4174" w:rsidP="00127AB4">
      <w:pPr>
        <w:pStyle w:val="BodyText"/>
      </w:pPr>
      <w:r>
        <w:rPr>
          <w:noProof/>
        </w:rPr>
        <w:drawing>
          <wp:inline distT="0" distB="0" distL="0" distR="0" wp14:anchorId="28EF9AE9" wp14:editId="3DFF1F53">
            <wp:extent cx="1227411" cy="429442"/>
            <wp:effectExtent l="0" t="0" r="0" b="8890"/>
            <wp:docPr id="1128819105" name="Picture 1128819105" descr="Logo for Create Commons Attribution 3.0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819105"/>
                    <pic:cNvPicPr/>
                  </pic:nvPicPr>
                  <pic:blipFill>
                    <a:blip r:embed="rId15">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6A73A62" w14:textId="4FC750E5" w:rsidR="005C4174" w:rsidRPr="00161DDF" w:rsidRDefault="005C4174" w:rsidP="00127AB4">
      <w:pPr>
        <w:pStyle w:val="BodyText"/>
      </w:pPr>
      <w:r w:rsidRPr="00161DDF">
        <w:t>All material presented in this publication is licensed under Creative Commons Attribution 3.0 Australia, with the exception of:</w:t>
      </w:r>
    </w:p>
    <w:p w14:paraId="1877A901" w14:textId="77777777" w:rsidR="005C4174" w:rsidRPr="00127AB4" w:rsidRDefault="005C4174" w:rsidP="00127AB4">
      <w:pPr>
        <w:pStyle w:val="ListBullet"/>
        <w:spacing w:before="120"/>
        <w:ind w:left="714" w:hanging="357"/>
        <w:rPr>
          <w:sz w:val="20"/>
          <w:szCs w:val="20"/>
        </w:rPr>
      </w:pPr>
      <w:r w:rsidRPr="00127AB4">
        <w:rPr>
          <w:sz w:val="20"/>
          <w:szCs w:val="20"/>
        </w:rPr>
        <w:t xml:space="preserve">photographs and images </w:t>
      </w:r>
    </w:p>
    <w:p w14:paraId="419B5851" w14:textId="77777777" w:rsidR="005C4174" w:rsidRPr="00127AB4" w:rsidRDefault="005C4174" w:rsidP="00127AB4">
      <w:pPr>
        <w:pStyle w:val="ListBullet"/>
        <w:spacing w:before="120"/>
        <w:ind w:left="714" w:hanging="357"/>
        <w:rPr>
          <w:sz w:val="20"/>
          <w:szCs w:val="20"/>
        </w:rPr>
      </w:pPr>
      <w:r w:rsidRPr="00127AB4">
        <w:rPr>
          <w:sz w:val="20"/>
          <w:szCs w:val="20"/>
        </w:rPr>
        <w:t>organisational logos, any branding or trademarks</w:t>
      </w:r>
    </w:p>
    <w:p w14:paraId="7F97E3CE" w14:textId="77777777" w:rsidR="005C4174" w:rsidRPr="00127AB4" w:rsidRDefault="005C4174" w:rsidP="00127AB4">
      <w:pPr>
        <w:pStyle w:val="ListBullet"/>
        <w:spacing w:before="120"/>
        <w:ind w:left="714" w:hanging="357"/>
        <w:rPr>
          <w:sz w:val="20"/>
          <w:szCs w:val="20"/>
        </w:rPr>
      </w:pPr>
      <w:r w:rsidRPr="00127AB4">
        <w:rPr>
          <w:sz w:val="20"/>
          <w:szCs w:val="20"/>
        </w:rPr>
        <w:t>where otherwise indicated.</w:t>
      </w:r>
    </w:p>
    <w:p w14:paraId="010B4183" w14:textId="77777777" w:rsidR="005C4174" w:rsidRPr="00161DDF" w:rsidRDefault="005C4174" w:rsidP="005C4174">
      <w:pPr>
        <w:pStyle w:val="BodyText"/>
        <w:rPr>
          <w:rFonts w:cs="Open Sans"/>
          <w:szCs w:val="20"/>
        </w:rPr>
      </w:pPr>
      <w:r w:rsidRPr="00161DDF">
        <w:rPr>
          <w:rFonts w:cs="Open Sans"/>
          <w:szCs w:val="20"/>
        </w:rPr>
        <w:t xml:space="preserve">To view a copy of this licence, visit </w:t>
      </w:r>
      <w:hyperlink r:id="rId16" w:history="1">
        <w:r w:rsidRPr="00161DDF">
          <w:rPr>
            <w:rStyle w:val="Hyperlink"/>
            <w:rFonts w:cs="Open Sans"/>
            <w:szCs w:val="20"/>
          </w:rPr>
          <w:t>https://creativecommons.org/licenses/by/3.0/au/</w:t>
        </w:r>
      </w:hyperlink>
      <w:r w:rsidRPr="00161DDF">
        <w:rPr>
          <w:rFonts w:cs="Open Sans"/>
          <w:szCs w:val="20"/>
        </w:rPr>
        <w:t xml:space="preserve">. </w:t>
      </w:r>
    </w:p>
    <w:p w14:paraId="27DCF2D1" w14:textId="77777777" w:rsidR="005C4174" w:rsidRPr="00161DDF" w:rsidRDefault="005C4174" w:rsidP="00127AB4">
      <w:pPr>
        <w:pStyle w:val="BodyText"/>
      </w:pPr>
      <w:r w:rsidRPr="00161DDF">
        <w:t xml:space="preserve">In essence, you are free to copy, communicate and adapt the publication, as long as you attribute the Australian Human Rights Commission and abide by the other licence terms. </w:t>
      </w:r>
    </w:p>
    <w:p w14:paraId="625C068E" w14:textId="77777777" w:rsidR="005C4174" w:rsidRPr="00161DDF" w:rsidRDefault="005C4174" w:rsidP="00127AB4">
      <w:pPr>
        <w:pStyle w:val="BodyText"/>
      </w:pPr>
      <w:r w:rsidRPr="00161DDF">
        <w:t xml:space="preserve">Please give attribution to: © Australian Human Rights Commission </w:t>
      </w:r>
    </w:p>
    <w:p w14:paraId="7F7457A0" w14:textId="038C4DD6" w:rsidR="005C4174" w:rsidRPr="00161DDF" w:rsidRDefault="005C4174" w:rsidP="00127AB4">
      <w:pPr>
        <w:pStyle w:val="BodyText"/>
      </w:pPr>
      <w:r w:rsidRPr="00161DDF">
        <w:t xml:space="preserve">Human Rights and Technology Final Report • Summary • 2021 </w:t>
      </w:r>
    </w:p>
    <w:p w14:paraId="2D529C26" w14:textId="77777777" w:rsidR="005C4174" w:rsidRPr="00161DDF" w:rsidRDefault="005C4174" w:rsidP="00127AB4">
      <w:pPr>
        <w:pStyle w:val="BodyText"/>
        <w:rPr>
          <w:color w:val="0000FF"/>
          <w:u w:val="single"/>
        </w:rPr>
      </w:pPr>
      <w:r w:rsidRPr="00161DDF">
        <w:t xml:space="preserve">ISBN: </w:t>
      </w:r>
      <w:hyperlink r:id="rId17" w:history="1">
        <w:r w:rsidRPr="00161DDF">
          <w:t>978-1-925917-34-5</w:t>
        </w:r>
      </w:hyperlink>
    </w:p>
    <w:p w14:paraId="553D1D91" w14:textId="77777777" w:rsidR="005C4174" w:rsidRPr="00161DDF" w:rsidRDefault="005C4174" w:rsidP="00127AB4">
      <w:pPr>
        <w:pStyle w:val="BodyText"/>
      </w:pPr>
      <w:r w:rsidRPr="00161DDF">
        <w:t xml:space="preserve">For further information about copyright in this publication, please contact: </w:t>
      </w:r>
    </w:p>
    <w:p w14:paraId="24A4339F" w14:textId="77777777" w:rsidR="005C4174" w:rsidRPr="00161DDF" w:rsidRDefault="005C4174" w:rsidP="005C4174">
      <w:pPr>
        <w:pStyle w:val="BodyText"/>
        <w:ind w:left="720"/>
        <w:contextualSpacing/>
        <w:rPr>
          <w:rFonts w:cs="Open Sans"/>
          <w:szCs w:val="20"/>
        </w:rPr>
      </w:pPr>
      <w:r w:rsidRPr="00161DDF">
        <w:rPr>
          <w:rFonts w:cs="Open Sans"/>
          <w:szCs w:val="20"/>
        </w:rPr>
        <w:t xml:space="preserve">Communications Unit </w:t>
      </w:r>
    </w:p>
    <w:p w14:paraId="4A5D1C79" w14:textId="77777777" w:rsidR="005C4174" w:rsidRPr="00161DDF" w:rsidRDefault="005C4174" w:rsidP="005C4174">
      <w:pPr>
        <w:pStyle w:val="BodyText"/>
        <w:ind w:left="720"/>
        <w:contextualSpacing/>
        <w:rPr>
          <w:rFonts w:cs="Open Sans"/>
          <w:szCs w:val="20"/>
        </w:rPr>
      </w:pPr>
      <w:r w:rsidRPr="00161DDF">
        <w:rPr>
          <w:rFonts w:cs="Open Sans"/>
          <w:szCs w:val="20"/>
        </w:rPr>
        <w:t xml:space="preserve">Australian Human Rights Commission </w:t>
      </w:r>
    </w:p>
    <w:p w14:paraId="711A3342" w14:textId="77777777" w:rsidR="005C4174" w:rsidRPr="00161DDF" w:rsidRDefault="005C4174" w:rsidP="005C4174">
      <w:pPr>
        <w:pStyle w:val="BodyText"/>
        <w:ind w:left="720"/>
        <w:contextualSpacing/>
        <w:rPr>
          <w:rFonts w:cs="Open Sans"/>
          <w:szCs w:val="20"/>
        </w:rPr>
      </w:pPr>
      <w:r w:rsidRPr="00161DDF">
        <w:rPr>
          <w:rFonts w:cs="Open Sans"/>
          <w:szCs w:val="20"/>
        </w:rPr>
        <w:t xml:space="preserve">GPO Box 5218 </w:t>
      </w:r>
    </w:p>
    <w:p w14:paraId="152D5AFF" w14:textId="77777777" w:rsidR="005C4174" w:rsidRPr="00161DDF" w:rsidRDefault="005C4174" w:rsidP="005C4174">
      <w:pPr>
        <w:pStyle w:val="BodyText"/>
        <w:ind w:left="720"/>
        <w:contextualSpacing/>
        <w:rPr>
          <w:rFonts w:cs="Open Sans"/>
          <w:szCs w:val="20"/>
        </w:rPr>
      </w:pPr>
      <w:r w:rsidRPr="00161DDF">
        <w:rPr>
          <w:rFonts w:cs="Open Sans"/>
          <w:szCs w:val="20"/>
        </w:rPr>
        <w:t xml:space="preserve">SYDNEY NSW 2001 </w:t>
      </w:r>
    </w:p>
    <w:p w14:paraId="0808B165" w14:textId="77777777" w:rsidR="005C4174" w:rsidRPr="00161DDF" w:rsidRDefault="005C4174" w:rsidP="005C4174">
      <w:pPr>
        <w:pStyle w:val="BodyText"/>
        <w:ind w:left="720"/>
        <w:contextualSpacing/>
        <w:rPr>
          <w:rFonts w:cs="Open Sans"/>
          <w:szCs w:val="20"/>
        </w:rPr>
      </w:pPr>
      <w:r w:rsidRPr="00161DDF">
        <w:rPr>
          <w:rFonts w:cs="Open Sans"/>
          <w:szCs w:val="20"/>
        </w:rPr>
        <w:t xml:space="preserve">Telephone: (02) 9284 9600 </w:t>
      </w:r>
    </w:p>
    <w:p w14:paraId="508A317A" w14:textId="77777777" w:rsidR="005C4174" w:rsidRPr="00161DDF" w:rsidRDefault="005C4174" w:rsidP="005C4174">
      <w:pPr>
        <w:pStyle w:val="BodyText"/>
        <w:ind w:left="720"/>
        <w:contextualSpacing/>
        <w:rPr>
          <w:rFonts w:cs="Open Sans"/>
          <w:szCs w:val="20"/>
        </w:rPr>
      </w:pPr>
      <w:r w:rsidRPr="00161DDF">
        <w:rPr>
          <w:rFonts w:cs="Open Sans"/>
          <w:szCs w:val="20"/>
        </w:rPr>
        <w:t xml:space="preserve">TTY: 1800 620 241 </w:t>
      </w:r>
    </w:p>
    <w:p w14:paraId="60990197" w14:textId="77777777" w:rsidR="005C4174" w:rsidRPr="00161DDF" w:rsidRDefault="005C4174" w:rsidP="005C4174">
      <w:pPr>
        <w:pStyle w:val="BodyText"/>
        <w:ind w:left="720"/>
        <w:rPr>
          <w:rFonts w:cs="Open Sans"/>
          <w:szCs w:val="20"/>
        </w:rPr>
      </w:pPr>
      <w:r w:rsidRPr="00161DDF">
        <w:rPr>
          <w:rFonts w:cs="Open Sans"/>
          <w:szCs w:val="20"/>
        </w:rPr>
        <w:t xml:space="preserve">Email: </w:t>
      </w:r>
      <w:hyperlink r:id="rId18" w:history="1">
        <w:r w:rsidRPr="00161DDF">
          <w:rPr>
            <w:rStyle w:val="Hyperlink"/>
            <w:rFonts w:cs="Open Sans"/>
            <w:szCs w:val="20"/>
          </w:rPr>
          <w:t>communications@humanrights.gov.au</w:t>
        </w:r>
      </w:hyperlink>
    </w:p>
    <w:p w14:paraId="68DEE9C0" w14:textId="77777777" w:rsidR="005C4174" w:rsidRPr="00127AB4" w:rsidRDefault="005C4174" w:rsidP="00127AB4">
      <w:pPr>
        <w:pStyle w:val="BodyText"/>
        <w:spacing w:before="120"/>
      </w:pPr>
      <w:r w:rsidRPr="00127AB4">
        <w:rPr>
          <w:rStyle w:val="Strong"/>
        </w:rPr>
        <w:t>Design and layout:</w:t>
      </w:r>
      <w:r w:rsidRPr="00127AB4">
        <w:t xml:space="preserve"> Dancingirl Designs </w:t>
      </w:r>
    </w:p>
    <w:p w14:paraId="4ABA5A2B" w14:textId="77777777" w:rsidR="005C4174" w:rsidRPr="00127AB4" w:rsidRDefault="005C4174" w:rsidP="00127AB4">
      <w:pPr>
        <w:pStyle w:val="BodyText"/>
        <w:spacing w:before="120"/>
      </w:pPr>
      <w:r w:rsidRPr="00127AB4">
        <w:rPr>
          <w:rStyle w:val="Strong"/>
        </w:rPr>
        <w:t>Final Report cover image:</w:t>
      </w:r>
      <w:r w:rsidRPr="00127AB4">
        <w:t xml:space="preserve"> iStock </w:t>
      </w:r>
    </w:p>
    <w:p w14:paraId="359802F2" w14:textId="5B2A202A" w:rsidR="005C4174" w:rsidRPr="00127AB4" w:rsidRDefault="005C4174" w:rsidP="00127AB4">
      <w:pPr>
        <w:pStyle w:val="BodyText"/>
        <w:spacing w:before="120"/>
      </w:pPr>
      <w:r w:rsidRPr="00127AB4">
        <w:rPr>
          <w:rStyle w:val="Strong"/>
        </w:rPr>
        <w:t>Infographics:</w:t>
      </w:r>
      <w:r w:rsidRPr="00127AB4">
        <w:t xml:space="preserve"> Bliss Digital </w:t>
      </w:r>
    </w:p>
    <w:p w14:paraId="0F515940" w14:textId="0AD9A8B7" w:rsidR="005C4174" w:rsidRPr="00127AB4" w:rsidRDefault="005C4174" w:rsidP="00127AB4">
      <w:pPr>
        <w:pStyle w:val="BodyText"/>
        <w:rPr>
          <w:rFonts w:eastAsia="Open Sans"/>
        </w:rPr>
      </w:pPr>
      <w:r w:rsidRPr="00161DDF">
        <w:t xml:space="preserve">The </w:t>
      </w:r>
      <w:hyperlink r:id="rId19" w:history="1">
        <w:r w:rsidRPr="00161DDF">
          <w:rPr>
            <w:rStyle w:val="Hyperlink"/>
            <w:rFonts w:cs="Open Sans"/>
            <w:szCs w:val="20"/>
          </w:rPr>
          <w:t xml:space="preserve">Australian Human </w:t>
        </w:r>
        <w:r w:rsidRPr="00161DDF">
          <w:rPr>
            <w:rStyle w:val="Hyperlink"/>
            <w:rFonts w:eastAsia="Open Sans" w:cs="Open Sans"/>
            <w:szCs w:val="20"/>
          </w:rPr>
          <w:t>Rights Commission</w:t>
        </w:r>
      </w:hyperlink>
      <w:r w:rsidRPr="00161DDF">
        <w:rPr>
          <w:rFonts w:eastAsia="Open Sans"/>
        </w:rPr>
        <w:t xml:space="preserve"> is Australia’s National Human Rights Institution. It is an independent statutory organisation with responsibility for leading the promotion and protection of human rights in Australia. </w:t>
      </w:r>
    </w:p>
    <w:p w14:paraId="3D89977A" w14:textId="429F9946" w:rsidR="005C4174" w:rsidRPr="00C25F83" w:rsidRDefault="005C4174" w:rsidP="00127AB4">
      <w:pPr>
        <w:pStyle w:val="BodyText"/>
        <w:rPr>
          <w:b/>
          <w:bCs/>
        </w:rPr>
      </w:pPr>
      <w:r w:rsidRPr="00161DDF">
        <w:rPr>
          <w:rStyle w:val="Strong"/>
          <w:rFonts w:cs="Open Sans"/>
          <w:szCs w:val="20"/>
        </w:rPr>
        <w:t>Authors:</w:t>
      </w:r>
      <w:r w:rsidR="00C25F83">
        <w:rPr>
          <w:rStyle w:val="Strong"/>
          <w:rFonts w:cs="Open Sans"/>
          <w:szCs w:val="20"/>
        </w:rPr>
        <w:t xml:space="preserve"> </w:t>
      </w:r>
      <w:r w:rsidRPr="00161DDF">
        <w:t xml:space="preserve">Sophie Farthing, John Howell, Katerina Lecchi, Zoe Paleologos, Phoebe </w:t>
      </w:r>
      <w:proofErr w:type="spellStart"/>
      <w:r w:rsidRPr="00161DDF">
        <w:t>Saintilan</w:t>
      </w:r>
      <w:proofErr w:type="spellEnd"/>
      <w:r w:rsidRPr="00161DDF">
        <w:t xml:space="preserve"> and Human Rights Commissioner Edward Santow. </w:t>
      </w:r>
    </w:p>
    <w:p w14:paraId="2110D52A" w14:textId="77777777" w:rsidR="005C4174" w:rsidRPr="00127AB4" w:rsidRDefault="005C4174" w:rsidP="00127AB4">
      <w:pPr>
        <w:pStyle w:val="BodyText"/>
        <w:rPr>
          <w:rStyle w:val="Strong"/>
        </w:rPr>
      </w:pPr>
      <w:r w:rsidRPr="00127AB4">
        <w:rPr>
          <w:rStyle w:val="Strong"/>
        </w:rPr>
        <w:lastRenderedPageBreak/>
        <w:t>Acknowledgements:</w:t>
      </w:r>
    </w:p>
    <w:p w14:paraId="1DCE8354" w14:textId="77777777" w:rsidR="005C4174" w:rsidRPr="0063774D" w:rsidRDefault="005C4174" w:rsidP="005C4174">
      <w:pPr>
        <w:pStyle w:val="ListBullet"/>
        <w:tabs>
          <w:tab w:val="clear" w:pos="1134"/>
        </w:tabs>
        <w:ind w:hanging="360"/>
        <w:rPr>
          <w:rStyle w:val="Emphasis"/>
          <w:rFonts w:cs="Open Sans"/>
          <w:i w:val="0"/>
          <w:iCs w:val="0"/>
          <w:sz w:val="20"/>
          <w:szCs w:val="20"/>
        </w:rPr>
      </w:pPr>
      <w:r w:rsidRPr="00161DDF">
        <w:rPr>
          <w:rFonts w:cs="Open Sans"/>
          <w:sz w:val="20"/>
          <w:szCs w:val="20"/>
        </w:rPr>
        <w:t>Australian Human Rights Commission President, Emeritus Professor Rosalind Croucher AM, and Disability Discrimination Commissioner, Dr Ben Gauntlett.</w:t>
      </w:r>
    </w:p>
    <w:p w14:paraId="1690E38B" w14:textId="77777777" w:rsidR="005C4174" w:rsidRPr="0063774D" w:rsidRDefault="005C4174" w:rsidP="005C4174">
      <w:pPr>
        <w:pStyle w:val="ListBullet"/>
        <w:tabs>
          <w:tab w:val="clear" w:pos="1134"/>
        </w:tabs>
        <w:ind w:hanging="360"/>
        <w:rPr>
          <w:rStyle w:val="Emphasis"/>
          <w:rFonts w:cs="Open Sans"/>
          <w:i w:val="0"/>
          <w:iCs w:val="0"/>
          <w:sz w:val="20"/>
          <w:szCs w:val="20"/>
        </w:rPr>
      </w:pPr>
      <w:r w:rsidRPr="00161DDF">
        <w:rPr>
          <w:rFonts w:cs="Open Sans"/>
          <w:sz w:val="20"/>
          <w:szCs w:val="20"/>
        </w:rPr>
        <w:t>Australian Human Rights Commission staff: Darren Dick, Rachel Holt, Lauren Perry, Padma Raman, Natasha Rose, Liz Stephens, Leon Wild.</w:t>
      </w:r>
    </w:p>
    <w:p w14:paraId="4F75FD8C" w14:textId="77777777" w:rsidR="005C4174" w:rsidRPr="0063774D" w:rsidRDefault="005C4174" w:rsidP="005C4174">
      <w:pPr>
        <w:pStyle w:val="ListBullet"/>
        <w:tabs>
          <w:tab w:val="clear" w:pos="1134"/>
        </w:tabs>
        <w:ind w:hanging="360"/>
        <w:rPr>
          <w:rStyle w:val="Emphasis"/>
          <w:rFonts w:cs="Open Sans"/>
          <w:i w:val="0"/>
          <w:iCs w:val="0"/>
          <w:sz w:val="20"/>
          <w:szCs w:val="20"/>
        </w:rPr>
      </w:pPr>
      <w:r w:rsidRPr="00161DDF">
        <w:rPr>
          <w:rFonts w:cs="Open Sans"/>
          <w:sz w:val="20"/>
          <w:szCs w:val="20"/>
        </w:rPr>
        <w:t xml:space="preserve">Herbert Smith Freehills secondee to the Australian Human Rights Commission Holli Sargeant. </w:t>
      </w:r>
    </w:p>
    <w:p w14:paraId="7C8CCA95" w14:textId="77777777" w:rsidR="005C4174" w:rsidRPr="0063774D" w:rsidRDefault="005C4174" w:rsidP="005C4174">
      <w:pPr>
        <w:pStyle w:val="ListBullet"/>
        <w:tabs>
          <w:tab w:val="clear" w:pos="1134"/>
        </w:tabs>
        <w:ind w:hanging="360"/>
        <w:rPr>
          <w:rStyle w:val="Emphasis"/>
          <w:rFonts w:cs="Open Sans"/>
          <w:i w:val="0"/>
          <w:iCs w:val="0"/>
          <w:sz w:val="20"/>
          <w:szCs w:val="20"/>
        </w:rPr>
      </w:pPr>
      <w:r w:rsidRPr="00161DDF">
        <w:rPr>
          <w:rFonts w:cs="Open Sans"/>
          <w:sz w:val="20"/>
          <w:szCs w:val="20"/>
        </w:rPr>
        <w:t>Consultant editor Bruce Alston.</w:t>
      </w:r>
    </w:p>
    <w:p w14:paraId="4044B775" w14:textId="77777777" w:rsidR="005C4174" w:rsidRPr="00161DDF" w:rsidRDefault="005C4174" w:rsidP="005C4174">
      <w:pPr>
        <w:pStyle w:val="ListBullet"/>
        <w:tabs>
          <w:tab w:val="clear" w:pos="1134"/>
        </w:tabs>
        <w:ind w:hanging="360"/>
        <w:rPr>
          <w:rFonts w:cs="Open Sans"/>
          <w:spacing w:val="5"/>
          <w:sz w:val="20"/>
          <w:szCs w:val="20"/>
        </w:rPr>
      </w:pPr>
      <w:r w:rsidRPr="00161DDF">
        <w:rPr>
          <w:rFonts w:cs="Open Sans"/>
          <w:sz w:val="20"/>
          <w:szCs w:val="20"/>
        </w:rPr>
        <w:t>Expert Reference Group for their peer review and advice in the preparation of this Report: Amanda Alford, Her Excellency the Honourable Justice Margaret Beazley QC AC, Professor Genevieve Bell, Dr Tobias Feakin, Dr Alan Finkel AO, Verity Firth, Peter Leonard, Brooke Massender, Sean Murphy, Kwok Tang, Myfanwy Wallwork, Professor Toby Walsh.</w:t>
      </w:r>
    </w:p>
    <w:p w14:paraId="273ECAC3" w14:textId="7E055A71" w:rsidR="005C4174" w:rsidRPr="00127AB4" w:rsidRDefault="005C4174" w:rsidP="005C4174">
      <w:pPr>
        <w:pStyle w:val="ListBullet"/>
        <w:tabs>
          <w:tab w:val="clear" w:pos="1134"/>
        </w:tabs>
        <w:ind w:hanging="360"/>
        <w:rPr>
          <w:rFonts w:cs="Open Sans"/>
          <w:spacing w:val="5"/>
          <w:sz w:val="20"/>
          <w:szCs w:val="20"/>
        </w:rPr>
      </w:pPr>
      <w:r w:rsidRPr="00161DDF">
        <w:rPr>
          <w:rFonts w:cs="Open Sans"/>
          <w:sz w:val="20"/>
          <w:szCs w:val="20"/>
        </w:rPr>
        <w:t xml:space="preserve">Major project partners for contributing expertise and resources: the Australian Government Department of Foreign Affairs and Trade, Herbert Smith Freehills, LexisNexis, The University of Technology Sydney. </w:t>
      </w:r>
    </w:p>
    <w:p w14:paraId="2E6B99E9" w14:textId="77777777" w:rsidR="00127AB4" w:rsidRPr="00127AB4" w:rsidRDefault="00127AB4" w:rsidP="00127AB4">
      <w:pPr>
        <w:pStyle w:val="BodyText"/>
      </w:pPr>
    </w:p>
    <w:p w14:paraId="776BFF88" w14:textId="0C292897" w:rsidR="005C4174" w:rsidRPr="00127AB4" w:rsidRDefault="005C4174" w:rsidP="00127AB4">
      <w:pPr>
        <w:pStyle w:val="BodyText"/>
        <w:rPr>
          <w:rStyle w:val="Strong"/>
        </w:rPr>
      </w:pPr>
      <w:r w:rsidRPr="00127AB4">
        <w:rPr>
          <w:rStyle w:val="Strong"/>
        </w:rPr>
        <w:t>Major project partners</w:t>
      </w:r>
    </w:p>
    <w:p w14:paraId="0536F8B3" w14:textId="77777777" w:rsidR="005C4174" w:rsidRDefault="005C4174" w:rsidP="005C4174">
      <w:r>
        <w:rPr>
          <w:noProof/>
        </w:rPr>
        <w:drawing>
          <wp:inline distT="0" distB="0" distL="0" distR="0" wp14:anchorId="7C086267" wp14:editId="50A34A21">
            <wp:extent cx="5759449" cy="560070"/>
            <wp:effectExtent l="0" t="0" r="6350" b="0"/>
            <wp:docPr id="39" name="Immagine 39" descr="Major partne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9"/>
                    <pic:cNvPicPr/>
                  </pic:nvPicPr>
                  <pic:blipFill>
                    <a:blip r:embed="rId20">
                      <a:extLst>
                        <a:ext uri="{28A0092B-C50C-407E-A947-70E740481C1C}">
                          <a14:useLocalDpi xmlns:a14="http://schemas.microsoft.com/office/drawing/2010/main" val="0"/>
                        </a:ext>
                      </a:extLst>
                    </a:blip>
                    <a:stretch>
                      <a:fillRect/>
                    </a:stretch>
                  </pic:blipFill>
                  <pic:spPr>
                    <a:xfrm>
                      <a:off x="0" y="0"/>
                      <a:ext cx="5759449" cy="560070"/>
                    </a:xfrm>
                    <a:prstGeom prst="rect">
                      <a:avLst/>
                    </a:prstGeom>
                  </pic:spPr>
                </pic:pic>
              </a:graphicData>
            </a:graphic>
          </wp:inline>
        </w:drawing>
      </w:r>
    </w:p>
    <w:p w14:paraId="1BF07C7F" w14:textId="77777777" w:rsidR="00127AB4" w:rsidRPr="00127AB4" w:rsidRDefault="00127AB4" w:rsidP="00127AB4"/>
    <w:p w14:paraId="5FCEAA57" w14:textId="70FC5908" w:rsidR="00E75F4C" w:rsidRPr="00127AB4" w:rsidRDefault="005C4174" w:rsidP="00127AB4">
      <w:r w:rsidRPr="00127AB4">
        <w:br w:type="page"/>
      </w:r>
    </w:p>
    <w:p w14:paraId="246AB3A1" w14:textId="77777777" w:rsidR="00E75F4C" w:rsidRPr="00E75F4C" w:rsidRDefault="00E75F4C" w:rsidP="00127AB4">
      <w:pPr>
        <w:spacing w:before="0" w:after="480"/>
        <w:rPr>
          <w:b/>
          <w:sz w:val="36"/>
          <w:szCs w:val="36"/>
        </w:rPr>
      </w:pPr>
      <w:r w:rsidRPr="00E75F4C">
        <w:rPr>
          <w:b/>
          <w:sz w:val="36"/>
          <w:szCs w:val="36"/>
        </w:rPr>
        <w:lastRenderedPageBreak/>
        <w:t>Contents</w:t>
      </w:r>
    </w:p>
    <w:p w14:paraId="2A2A5373" w14:textId="60EACDC1" w:rsidR="0041664B" w:rsidRDefault="00FA2C3A">
      <w:pPr>
        <w:pStyle w:val="TOC1"/>
        <w:rPr>
          <w:rFonts w:asciiTheme="minorHAnsi" w:eastAsiaTheme="minorEastAsia" w:hAnsiTheme="minorHAnsi" w:cstheme="minorBidi"/>
          <w:b w:val="0"/>
          <w:lang w:val="it-IT" w:eastAsia="it-IT"/>
        </w:rPr>
      </w:pPr>
      <w:r>
        <w:fldChar w:fldCharType="begin"/>
      </w:r>
      <w:r>
        <w:instrText xml:space="preserve"> TOC \o "1-1" \h \z \u </w:instrText>
      </w:r>
      <w:r>
        <w:fldChar w:fldCharType="separate"/>
      </w:r>
      <w:hyperlink w:anchor="_Toc68375058" w:history="1">
        <w:r w:rsidR="0041664B" w:rsidRPr="00E0788F">
          <w:rPr>
            <w:rStyle w:val="Hyperlink"/>
          </w:rPr>
          <w:t>Overview of Report</w:t>
        </w:r>
        <w:r w:rsidR="0041664B">
          <w:rPr>
            <w:webHidden/>
          </w:rPr>
          <w:tab/>
        </w:r>
        <w:r w:rsidR="0041664B">
          <w:rPr>
            <w:webHidden/>
          </w:rPr>
          <w:fldChar w:fldCharType="begin"/>
        </w:r>
        <w:r w:rsidR="0041664B">
          <w:rPr>
            <w:webHidden/>
          </w:rPr>
          <w:instrText xml:space="preserve"> PAGEREF _Toc68375058 \h </w:instrText>
        </w:r>
        <w:r w:rsidR="0041664B">
          <w:rPr>
            <w:webHidden/>
          </w:rPr>
        </w:r>
        <w:r w:rsidR="0041664B">
          <w:rPr>
            <w:webHidden/>
          </w:rPr>
          <w:fldChar w:fldCharType="separate"/>
        </w:r>
        <w:r w:rsidR="0041664B">
          <w:rPr>
            <w:webHidden/>
          </w:rPr>
          <w:t>6</w:t>
        </w:r>
        <w:r w:rsidR="0041664B">
          <w:rPr>
            <w:webHidden/>
          </w:rPr>
          <w:fldChar w:fldCharType="end"/>
        </w:r>
      </w:hyperlink>
    </w:p>
    <w:p w14:paraId="34D02311" w14:textId="5834E820" w:rsidR="0041664B" w:rsidRDefault="008A6545">
      <w:pPr>
        <w:pStyle w:val="TOC1"/>
        <w:rPr>
          <w:rFonts w:asciiTheme="minorHAnsi" w:eastAsiaTheme="minorEastAsia" w:hAnsiTheme="minorHAnsi" w:cstheme="minorBidi"/>
          <w:b w:val="0"/>
          <w:lang w:val="it-IT" w:eastAsia="it-IT"/>
        </w:rPr>
      </w:pPr>
      <w:hyperlink w:anchor="_Toc68375059" w:history="1">
        <w:r w:rsidR="0041664B" w:rsidRPr="00E0788F">
          <w:rPr>
            <w:rStyle w:val="Hyperlink"/>
          </w:rPr>
          <w:t>Part A: National strategy on new and emerging technologies</w:t>
        </w:r>
        <w:r w:rsidR="0041664B">
          <w:rPr>
            <w:webHidden/>
          </w:rPr>
          <w:tab/>
        </w:r>
        <w:r w:rsidR="0041664B">
          <w:rPr>
            <w:webHidden/>
          </w:rPr>
          <w:fldChar w:fldCharType="begin"/>
        </w:r>
        <w:r w:rsidR="0041664B">
          <w:rPr>
            <w:webHidden/>
          </w:rPr>
          <w:instrText xml:space="preserve"> PAGEREF _Toc68375059 \h </w:instrText>
        </w:r>
        <w:r w:rsidR="0041664B">
          <w:rPr>
            <w:webHidden/>
          </w:rPr>
        </w:r>
        <w:r w:rsidR="0041664B">
          <w:rPr>
            <w:webHidden/>
          </w:rPr>
          <w:fldChar w:fldCharType="separate"/>
        </w:r>
        <w:r w:rsidR="0041664B">
          <w:rPr>
            <w:webHidden/>
          </w:rPr>
          <w:t>7</w:t>
        </w:r>
        <w:r w:rsidR="0041664B">
          <w:rPr>
            <w:webHidden/>
          </w:rPr>
          <w:fldChar w:fldCharType="end"/>
        </w:r>
      </w:hyperlink>
    </w:p>
    <w:p w14:paraId="2FDE22AC" w14:textId="66A275A7" w:rsidR="0041664B" w:rsidRDefault="008A6545">
      <w:pPr>
        <w:pStyle w:val="TOC1"/>
        <w:rPr>
          <w:rFonts w:asciiTheme="minorHAnsi" w:eastAsiaTheme="minorEastAsia" w:hAnsiTheme="minorHAnsi" w:cstheme="minorBidi"/>
          <w:b w:val="0"/>
          <w:lang w:val="it-IT" w:eastAsia="it-IT"/>
        </w:rPr>
      </w:pPr>
      <w:hyperlink w:anchor="_Toc68375060" w:history="1">
        <w:r w:rsidR="0041664B" w:rsidRPr="00E0788F">
          <w:rPr>
            <w:rStyle w:val="Hyperlink"/>
          </w:rPr>
          <w:t>Part B: Artificial intelligence</w:t>
        </w:r>
        <w:r w:rsidR="0041664B">
          <w:rPr>
            <w:webHidden/>
          </w:rPr>
          <w:tab/>
        </w:r>
        <w:r w:rsidR="0041664B">
          <w:rPr>
            <w:webHidden/>
          </w:rPr>
          <w:fldChar w:fldCharType="begin"/>
        </w:r>
        <w:r w:rsidR="0041664B">
          <w:rPr>
            <w:webHidden/>
          </w:rPr>
          <w:instrText xml:space="preserve"> PAGEREF _Toc68375060 \h </w:instrText>
        </w:r>
        <w:r w:rsidR="0041664B">
          <w:rPr>
            <w:webHidden/>
          </w:rPr>
        </w:r>
        <w:r w:rsidR="0041664B">
          <w:rPr>
            <w:webHidden/>
          </w:rPr>
          <w:fldChar w:fldCharType="separate"/>
        </w:r>
        <w:r w:rsidR="0041664B">
          <w:rPr>
            <w:webHidden/>
          </w:rPr>
          <w:t>9</w:t>
        </w:r>
        <w:r w:rsidR="0041664B">
          <w:rPr>
            <w:webHidden/>
          </w:rPr>
          <w:fldChar w:fldCharType="end"/>
        </w:r>
      </w:hyperlink>
    </w:p>
    <w:p w14:paraId="77E4FA5C" w14:textId="624B1705" w:rsidR="0041664B" w:rsidRDefault="008A6545">
      <w:pPr>
        <w:pStyle w:val="TOC1"/>
        <w:rPr>
          <w:rFonts w:asciiTheme="minorHAnsi" w:eastAsiaTheme="minorEastAsia" w:hAnsiTheme="minorHAnsi" w:cstheme="minorBidi"/>
          <w:b w:val="0"/>
          <w:lang w:val="it-IT" w:eastAsia="it-IT"/>
        </w:rPr>
      </w:pPr>
      <w:hyperlink w:anchor="_Toc68375061" w:history="1">
        <w:r w:rsidR="0041664B" w:rsidRPr="00E0788F">
          <w:rPr>
            <w:rStyle w:val="Hyperlink"/>
          </w:rPr>
          <w:t>Part C: Supporting effective regulation</w:t>
        </w:r>
        <w:r w:rsidR="0041664B">
          <w:rPr>
            <w:webHidden/>
          </w:rPr>
          <w:tab/>
        </w:r>
        <w:r w:rsidR="0041664B">
          <w:rPr>
            <w:webHidden/>
          </w:rPr>
          <w:fldChar w:fldCharType="begin"/>
        </w:r>
        <w:r w:rsidR="0041664B">
          <w:rPr>
            <w:webHidden/>
          </w:rPr>
          <w:instrText xml:space="preserve"> PAGEREF _Toc68375061 \h </w:instrText>
        </w:r>
        <w:r w:rsidR="0041664B">
          <w:rPr>
            <w:webHidden/>
          </w:rPr>
        </w:r>
        <w:r w:rsidR="0041664B">
          <w:rPr>
            <w:webHidden/>
          </w:rPr>
          <w:fldChar w:fldCharType="separate"/>
        </w:r>
        <w:r w:rsidR="0041664B">
          <w:rPr>
            <w:webHidden/>
          </w:rPr>
          <w:t>12</w:t>
        </w:r>
        <w:r w:rsidR="0041664B">
          <w:rPr>
            <w:webHidden/>
          </w:rPr>
          <w:fldChar w:fldCharType="end"/>
        </w:r>
      </w:hyperlink>
    </w:p>
    <w:p w14:paraId="266583C3" w14:textId="5ED14387" w:rsidR="0041664B" w:rsidRDefault="008A6545">
      <w:pPr>
        <w:pStyle w:val="TOC1"/>
        <w:rPr>
          <w:rFonts w:asciiTheme="minorHAnsi" w:eastAsiaTheme="minorEastAsia" w:hAnsiTheme="minorHAnsi" w:cstheme="minorBidi"/>
          <w:b w:val="0"/>
          <w:lang w:val="it-IT" w:eastAsia="it-IT"/>
        </w:rPr>
      </w:pPr>
      <w:hyperlink w:anchor="_Toc68375062" w:history="1">
        <w:r w:rsidR="0041664B" w:rsidRPr="00E0788F">
          <w:rPr>
            <w:rStyle w:val="Hyperlink"/>
          </w:rPr>
          <w:t>Part D: Accessible technology</w:t>
        </w:r>
        <w:r w:rsidR="0041664B">
          <w:rPr>
            <w:webHidden/>
          </w:rPr>
          <w:tab/>
        </w:r>
        <w:r w:rsidR="0041664B">
          <w:rPr>
            <w:webHidden/>
          </w:rPr>
          <w:fldChar w:fldCharType="begin"/>
        </w:r>
        <w:r w:rsidR="0041664B">
          <w:rPr>
            <w:webHidden/>
          </w:rPr>
          <w:instrText xml:space="preserve"> PAGEREF _Toc68375062 \h </w:instrText>
        </w:r>
        <w:r w:rsidR="0041664B">
          <w:rPr>
            <w:webHidden/>
          </w:rPr>
        </w:r>
        <w:r w:rsidR="0041664B">
          <w:rPr>
            <w:webHidden/>
          </w:rPr>
          <w:fldChar w:fldCharType="separate"/>
        </w:r>
        <w:r w:rsidR="0041664B">
          <w:rPr>
            <w:webHidden/>
          </w:rPr>
          <w:t>15</w:t>
        </w:r>
        <w:r w:rsidR="0041664B">
          <w:rPr>
            <w:webHidden/>
          </w:rPr>
          <w:fldChar w:fldCharType="end"/>
        </w:r>
      </w:hyperlink>
    </w:p>
    <w:p w14:paraId="1F7C941A" w14:textId="52F1DC07" w:rsidR="0041664B" w:rsidRDefault="008A6545">
      <w:pPr>
        <w:pStyle w:val="TOC1"/>
        <w:rPr>
          <w:rFonts w:asciiTheme="minorHAnsi" w:eastAsiaTheme="minorEastAsia" w:hAnsiTheme="minorHAnsi" w:cstheme="minorBidi"/>
          <w:b w:val="0"/>
          <w:lang w:val="it-IT" w:eastAsia="it-IT"/>
        </w:rPr>
      </w:pPr>
      <w:hyperlink w:anchor="_Toc68375063" w:history="1">
        <w:r w:rsidR="0041664B" w:rsidRPr="00E0788F">
          <w:rPr>
            <w:rStyle w:val="Hyperlink"/>
          </w:rPr>
          <w:t>List of Recommendations</w:t>
        </w:r>
        <w:r w:rsidR="0041664B">
          <w:rPr>
            <w:webHidden/>
          </w:rPr>
          <w:tab/>
        </w:r>
        <w:r w:rsidR="0041664B">
          <w:rPr>
            <w:webHidden/>
          </w:rPr>
          <w:fldChar w:fldCharType="begin"/>
        </w:r>
        <w:r w:rsidR="0041664B">
          <w:rPr>
            <w:webHidden/>
          </w:rPr>
          <w:instrText xml:space="preserve"> PAGEREF _Toc68375063 \h </w:instrText>
        </w:r>
        <w:r w:rsidR="0041664B">
          <w:rPr>
            <w:webHidden/>
          </w:rPr>
        </w:r>
        <w:r w:rsidR="0041664B">
          <w:rPr>
            <w:webHidden/>
          </w:rPr>
          <w:fldChar w:fldCharType="separate"/>
        </w:r>
        <w:r w:rsidR="0041664B">
          <w:rPr>
            <w:webHidden/>
          </w:rPr>
          <w:t>19</w:t>
        </w:r>
        <w:r w:rsidR="0041664B">
          <w:rPr>
            <w:webHidden/>
          </w:rPr>
          <w:fldChar w:fldCharType="end"/>
        </w:r>
      </w:hyperlink>
    </w:p>
    <w:p w14:paraId="54329C9D" w14:textId="094A6F22" w:rsidR="007D79FD" w:rsidRDefault="00FA2C3A" w:rsidP="00FA2C3A">
      <w:pPr>
        <w:spacing w:before="0" w:after="0"/>
      </w:pPr>
      <w:r>
        <w:fldChar w:fldCharType="end"/>
      </w:r>
    </w:p>
    <w:p w14:paraId="62AE0B50" w14:textId="77777777" w:rsidR="00127AB4" w:rsidRDefault="00127AB4" w:rsidP="00FA2C3A">
      <w:pPr>
        <w:spacing w:before="0" w:after="0"/>
      </w:pPr>
    </w:p>
    <w:p w14:paraId="17D4134C" w14:textId="318B9DD4" w:rsidR="00C86324" w:rsidRDefault="00C86324" w:rsidP="00FA2C3A">
      <w:pPr>
        <w:spacing w:before="0" w:after="0"/>
        <w:rPr>
          <w:b/>
          <w:noProof/>
        </w:rPr>
      </w:pPr>
      <w:r>
        <w:br w:type="page"/>
      </w:r>
    </w:p>
    <w:p w14:paraId="3DF5007C" w14:textId="410F9384" w:rsidR="00510390" w:rsidRDefault="008702E2" w:rsidP="00E03F6A">
      <w:pPr>
        <w:pStyle w:val="Heading1"/>
        <w:numPr>
          <w:ilvl w:val="0"/>
          <w:numId w:val="0"/>
        </w:numPr>
        <w:ind w:left="851" w:hanging="851"/>
      </w:pPr>
      <w:bookmarkStart w:id="1" w:name="_Toc68375058"/>
      <w:r>
        <w:lastRenderedPageBreak/>
        <w:t>Overview of Report</w:t>
      </w:r>
      <w:bookmarkEnd w:id="1"/>
    </w:p>
    <w:p w14:paraId="5D9BDA00" w14:textId="460BF6E1" w:rsidR="006B2467" w:rsidRDefault="006B2467" w:rsidP="008702E2">
      <w:pPr>
        <w:rPr>
          <w:rFonts w:cs="Open Sans"/>
        </w:rPr>
      </w:pPr>
      <w:r>
        <w:rPr>
          <w:rFonts w:cs="Open Sans"/>
        </w:rPr>
        <w:t xml:space="preserve">This </w:t>
      </w:r>
      <w:r w:rsidR="00300DD6">
        <w:rPr>
          <w:rFonts w:cs="Open Sans"/>
        </w:rPr>
        <w:t xml:space="preserve">document </w:t>
      </w:r>
      <w:r>
        <w:rPr>
          <w:rFonts w:cs="Open Sans"/>
        </w:rPr>
        <w:t xml:space="preserve">is a summary of the Australian Human Rights Commission’s </w:t>
      </w:r>
      <w:r w:rsidRPr="0063774D">
        <w:rPr>
          <w:rStyle w:val="Emphasis"/>
        </w:rPr>
        <w:t>Human Rights and Technology Final Report</w:t>
      </w:r>
      <w:r w:rsidR="004D6233" w:rsidRPr="0063774D">
        <w:rPr>
          <w:rStyle w:val="Emphasis"/>
        </w:rPr>
        <w:t xml:space="preserve"> </w:t>
      </w:r>
      <w:r w:rsidR="004D6233">
        <w:rPr>
          <w:rFonts w:cs="Open Sans"/>
        </w:rPr>
        <w:t>(the Report)</w:t>
      </w:r>
      <w:r>
        <w:rPr>
          <w:rFonts w:cs="Open Sans"/>
        </w:rPr>
        <w:t>.</w:t>
      </w:r>
      <w:r w:rsidR="004D6233">
        <w:rPr>
          <w:rFonts w:cs="Open Sans"/>
        </w:rPr>
        <w:t xml:space="preserve"> The Report is available in full at </w:t>
      </w:r>
      <w:hyperlink r:id="rId21" w:history="1">
        <w:r w:rsidR="004D6233" w:rsidRPr="00CA3423">
          <w:rPr>
            <w:rStyle w:val="Hyperlink"/>
            <w:rFonts w:cs="Open Sans"/>
          </w:rPr>
          <w:t>tech.humanrights.gov.au</w:t>
        </w:r>
      </w:hyperlink>
      <w:r w:rsidR="004D6233">
        <w:rPr>
          <w:rFonts w:cs="Open Sans"/>
        </w:rPr>
        <w:t>.</w:t>
      </w:r>
      <w:r w:rsidR="00BD6C97">
        <w:rPr>
          <w:rFonts w:cs="Open Sans"/>
        </w:rPr>
        <w:t xml:space="preserve"> </w:t>
      </w:r>
    </w:p>
    <w:p w14:paraId="7FCF8BCD" w14:textId="7166FFF2" w:rsidR="008702E2" w:rsidRDefault="008702E2" w:rsidP="008702E2">
      <w:pPr>
        <w:rPr>
          <w:rFonts w:cs="Open Sans"/>
        </w:rPr>
      </w:pPr>
      <w:r>
        <w:rPr>
          <w:rFonts w:cs="Open Sans"/>
        </w:rPr>
        <w:t>N</w:t>
      </w:r>
      <w:r w:rsidRPr="00750499">
        <w:rPr>
          <w:rFonts w:cs="Open Sans"/>
        </w:rPr>
        <w:t>ew technologies</w:t>
      </w:r>
      <w:r>
        <w:rPr>
          <w:rFonts w:cs="Open Sans"/>
        </w:rPr>
        <w:t>, like artificial intelligence (AI),</w:t>
      </w:r>
      <w:r w:rsidRPr="00750499">
        <w:rPr>
          <w:rFonts w:cs="Open Sans"/>
        </w:rPr>
        <w:t xml:space="preserve"> </w:t>
      </w:r>
      <w:r>
        <w:rPr>
          <w:rFonts w:cs="Open Sans"/>
        </w:rPr>
        <w:t>are reshaping our world. They present unprecedented opportunities and threats, especially to our human rights</w:t>
      </w:r>
      <w:r w:rsidRPr="00750499">
        <w:rPr>
          <w:rFonts w:cs="Open Sans"/>
        </w:rPr>
        <w:t>.</w:t>
      </w:r>
      <w:r>
        <w:rPr>
          <w:rFonts w:cs="Open Sans"/>
        </w:rPr>
        <w:t xml:space="preserve"> The </w:t>
      </w:r>
      <w:r w:rsidR="004E1218">
        <w:rPr>
          <w:rFonts w:cs="Open Sans"/>
        </w:rPr>
        <w:t xml:space="preserve">Report </w:t>
      </w:r>
      <w:r>
        <w:rPr>
          <w:rFonts w:cs="Open Sans"/>
        </w:rPr>
        <w:t>sets out a roadmap for Australia to seize the opportunities and address the threats.</w:t>
      </w:r>
    </w:p>
    <w:p w14:paraId="52374FA3" w14:textId="77777777" w:rsidR="00F67FEA" w:rsidRDefault="00F67FEA" w:rsidP="00F67FEA">
      <w:r>
        <w:t>Australia should pursue innovation that holds true to our liberal democratic values. This means we should approach new and emerging technologies by being consultative, inclusive and accountable, with robust human rights safeguards.</w:t>
      </w:r>
    </w:p>
    <w:p w14:paraId="537C416A" w14:textId="77777777" w:rsidR="00F67FEA" w:rsidRDefault="00F67FEA" w:rsidP="00F67FEA">
      <w:r w:rsidRPr="00B35251">
        <w:t xml:space="preserve">The Australian Human Rights Commission is Australia’s national human rights institution. The Commission is independent and impartial. It aims to promote and protect human rights in Australia. </w:t>
      </w:r>
    </w:p>
    <w:p w14:paraId="088C132C" w14:textId="5CECA5AB" w:rsidR="00CD1BEA" w:rsidRDefault="00F67FEA" w:rsidP="008702E2">
      <w:r>
        <w:t>The recommendations in th</w:t>
      </w:r>
      <w:r w:rsidR="0045233E">
        <w:t>e</w:t>
      </w:r>
      <w:r>
        <w:t xml:space="preserve"> Report are informed by the Commission’s expertise, our research and extensive public consultation with the community, government, industry and academia. </w:t>
      </w:r>
    </w:p>
    <w:p w14:paraId="69B5BC0F" w14:textId="299EF324" w:rsidR="005C42B2" w:rsidRDefault="00CD1BEA" w:rsidP="008702E2">
      <w:pPr>
        <w:rPr>
          <w:rFonts w:cs="Open Sans"/>
        </w:rPr>
      </w:pPr>
      <w:r>
        <w:rPr>
          <w:rFonts w:cs="Open Sans"/>
        </w:rPr>
        <w:t xml:space="preserve">The Report </w:t>
      </w:r>
      <w:r w:rsidR="61D98EA6" w:rsidRPr="66E37E68">
        <w:rPr>
          <w:rFonts w:cs="Open Sans"/>
        </w:rPr>
        <w:t>aims</w:t>
      </w:r>
      <w:r>
        <w:rPr>
          <w:rFonts w:cs="Open Sans"/>
        </w:rPr>
        <w:t xml:space="preserve"> to foster a deeper understanding of the human rights implications for Australia of new and emerging technologies such as AI. </w:t>
      </w:r>
    </w:p>
    <w:p w14:paraId="583343BD" w14:textId="1775E240" w:rsidR="008702E2" w:rsidRDefault="008702E2" w:rsidP="008702E2">
      <w:pPr>
        <w:rPr>
          <w:rFonts w:cs="Open Sans"/>
        </w:rPr>
      </w:pPr>
      <w:r>
        <w:rPr>
          <w:rFonts w:cs="Open Sans"/>
        </w:rPr>
        <w:t>The Report is divided into four parts</w:t>
      </w:r>
      <w:r w:rsidR="00635535">
        <w:rPr>
          <w:rFonts w:cs="Open Sans"/>
        </w:rPr>
        <w:t>:</w:t>
      </w:r>
    </w:p>
    <w:p w14:paraId="498C54A7" w14:textId="47A8EC31" w:rsidR="00635535" w:rsidRDefault="00635535" w:rsidP="00635535">
      <w:pPr>
        <w:pStyle w:val="ListParagraph"/>
        <w:numPr>
          <w:ilvl w:val="0"/>
          <w:numId w:val="47"/>
        </w:numPr>
        <w:rPr>
          <w:rFonts w:cs="Open Sans"/>
        </w:rPr>
      </w:pPr>
      <w:r w:rsidRPr="00CA3423">
        <w:rPr>
          <w:rStyle w:val="Strong"/>
        </w:rPr>
        <w:t>Part A:</w:t>
      </w:r>
      <w:r>
        <w:rPr>
          <w:rFonts w:cs="Open Sans"/>
        </w:rPr>
        <w:t xml:space="preserve"> </w:t>
      </w:r>
      <w:r w:rsidR="00E75F4C">
        <w:rPr>
          <w:rFonts w:cs="Open Sans"/>
        </w:rPr>
        <w:t>A</w:t>
      </w:r>
      <w:r>
        <w:rPr>
          <w:rFonts w:cs="Open Sans"/>
        </w:rPr>
        <w:t xml:space="preserve"> national strategy on new and emerging technologies</w:t>
      </w:r>
    </w:p>
    <w:p w14:paraId="0C4312A5" w14:textId="00EEAF14" w:rsidR="00635535" w:rsidRDefault="00635535" w:rsidP="00635535">
      <w:pPr>
        <w:pStyle w:val="ListParagraph"/>
        <w:numPr>
          <w:ilvl w:val="0"/>
          <w:numId w:val="47"/>
        </w:numPr>
        <w:rPr>
          <w:rFonts w:cs="Open Sans"/>
        </w:rPr>
      </w:pPr>
      <w:r w:rsidRPr="00CA3423">
        <w:rPr>
          <w:rStyle w:val="Strong"/>
        </w:rPr>
        <w:t>Part B:</w:t>
      </w:r>
      <w:r>
        <w:rPr>
          <w:rFonts w:cs="Open Sans"/>
        </w:rPr>
        <w:t xml:space="preserve"> </w:t>
      </w:r>
      <w:r w:rsidR="00E75F4C">
        <w:rPr>
          <w:rFonts w:cs="Open Sans"/>
        </w:rPr>
        <w:t>T</w:t>
      </w:r>
      <w:r>
        <w:rPr>
          <w:rFonts w:cs="Open Sans"/>
        </w:rPr>
        <w:t>he use of artificial intelligence in decision making by government and the private sector</w:t>
      </w:r>
    </w:p>
    <w:p w14:paraId="4366CDDF" w14:textId="45E0D2D9" w:rsidR="00635535" w:rsidRDefault="00635535" w:rsidP="00635535">
      <w:pPr>
        <w:pStyle w:val="ListParagraph"/>
        <w:numPr>
          <w:ilvl w:val="0"/>
          <w:numId w:val="47"/>
        </w:numPr>
        <w:rPr>
          <w:rFonts w:cs="Open Sans"/>
        </w:rPr>
      </w:pPr>
      <w:r w:rsidRPr="00CA3423">
        <w:rPr>
          <w:rStyle w:val="Strong"/>
        </w:rPr>
        <w:t>Part C:</w:t>
      </w:r>
      <w:r>
        <w:rPr>
          <w:rFonts w:cs="Open Sans"/>
        </w:rPr>
        <w:t xml:space="preserve"> </w:t>
      </w:r>
      <w:r w:rsidR="00E75F4C">
        <w:rPr>
          <w:rFonts w:cs="Open Sans"/>
        </w:rPr>
        <w:t>S</w:t>
      </w:r>
      <w:r>
        <w:rPr>
          <w:rFonts w:cs="Open Sans"/>
        </w:rPr>
        <w:t>upporting effective regulation through the creation of an AI Safety Commissioner</w:t>
      </w:r>
    </w:p>
    <w:p w14:paraId="1B517140" w14:textId="3A5BC03B" w:rsidR="00635535" w:rsidRPr="00635535" w:rsidRDefault="00635535" w:rsidP="00E03F6A">
      <w:pPr>
        <w:pStyle w:val="ListParagraph"/>
        <w:numPr>
          <w:ilvl w:val="0"/>
          <w:numId w:val="47"/>
        </w:numPr>
        <w:rPr>
          <w:rFonts w:cs="Open Sans"/>
        </w:rPr>
      </w:pPr>
      <w:r w:rsidRPr="00CA3423">
        <w:rPr>
          <w:rStyle w:val="Strong"/>
        </w:rPr>
        <w:t>Part D:</w:t>
      </w:r>
      <w:r>
        <w:rPr>
          <w:rFonts w:cs="Open Sans"/>
        </w:rPr>
        <w:t xml:space="preserve"> </w:t>
      </w:r>
      <w:r w:rsidR="00E75F4C">
        <w:rPr>
          <w:rFonts w:cs="Open Sans"/>
        </w:rPr>
        <w:t>A</w:t>
      </w:r>
      <w:r>
        <w:rPr>
          <w:rFonts w:cs="Open Sans"/>
        </w:rPr>
        <w:t>ccessible technology for people with disability.</w:t>
      </w:r>
    </w:p>
    <w:p w14:paraId="7B205F86" w14:textId="24A4D5D4" w:rsidR="009F2764" w:rsidRDefault="008702E2" w:rsidP="00E03F6A">
      <w:pPr>
        <w:pStyle w:val="Heading1"/>
        <w:numPr>
          <w:ilvl w:val="0"/>
          <w:numId w:val="0"/>
        </w:numPr>
      </w:pPr>
      <w:bookmarkStart w:id="2" w:name="_Toc68375059"/>
      <w:r>
        <w:lastRenderedPageBreak/>
        <w:t>Part A</w:t>
      </w:r>
      <w:r w:rsidR="00D7473A">
        <w:t>: National strategy on new and emerging technologies</w:t>
      </w:r>
      <w:bookmarkEnd w:id="2"/>
      <w:r w:rsidR="00D7473A">
        <w:t xml:space="preserve"> </w:t>
      </w:r>
    </w:p>
    <w:p w14:paraId="7758D635" w14:textId="61036014" w:rsidR="00D7473A" w:rsidRPr="0063774D" w:rsidRDefault="00D7473A" w:rsidP="00D7473A">
      <w:pPr>
        <w:rPr>
          <w:rStyle w:val="Emphasis"/>
        </w:rPr>
      </w:pPr>
      <w:r>
        <w:t xml:space="preserve">Part A addresses the question: </w:t>
      </w:r>
      <w:r w:rsidRPr="0063774D">
        <w:rPr>
          <w:rStyle w:val="Emphasis"/>
        </w:rPr>
        <w:t xml:space="preserve">what should be Australia’s overarching approach to new and emerging technologies? </w:t>
      </w:r>
    </w:p>
    <w:p w14:paraId="5989D580" w14:textId="2C3D2397" w:rsidR="006762B6" w:rsidRDefault="006762B6" w:rsidP="00D7473A">
      <w:pPr>
        <w:rPr>
          <w:color w:val="000000" w:themeColor="text1"/>
        </w:rPr>
      </w:pPr>
      <w:r w:rsidRPr="00EA1785">
        <w:rPr>
          <w:color w:val="000000" w:themeColor="text1"/>
        </w:rPr>
        <w:t>International human rights law sets out globally-accepted legal principles that uphold the dignity of all people. As a liberal democracy, Australia should place human rights at the centre of its approach to technology, with a view to promoting fairness, equality and accountability in the use and development of all new and emerging technologies.</w:t>
      </w:r>
    </w:p>
    <w:p w14:paraId="408B348B" w14:textId="3310B37A" w:rsidR="006762B6" w:rsidRDefault="006762B6" w:rsidP="00D7473A">
      <w:r w:rsidRPr="009A100D">
        <w:t>Th</w:t>
      </w:r>
      <w:r>
        <w:t>is</w:t>
      </w:r>
      <w:r w:rsidRPr="009A100D">
        <w:t xml:space="preserve"> </w:t>
      </w:r>
      <w:r>
        <w:t xml:space="preserve">approach </w:t>
      </w:r>
      <w:r w:rsidRPr="009A100D">
        <w:t xml:space="preserve">provides the foundation for the Commission’s recommendations for law and other reform throughout </w:t>
      </w:r>
      <w:r>
        <w:t>the</w:t>
      </w:r>
      <w:r w:rsidRPr="009A100D">
        <w:t xml:space="preserve"> Report.</w:t>
      </w:r>
    </w:p>
    <w:p w14:paraId="261EA964" w14:textId="4D796BAB" w:rsidR="00D7473A" w:rsidRDefault="00D7473A" w:rsidP="00D7473A">
      <w:r>
        <w:t xml:space="preserve">The Department of </w:t>
      </w:r>
      <w:r w:rsidR="000A60B9">
        <w:t xml:space="preserve">the </w:t>
      </w:r>
      <w:r>
        <w:t xml:space="preserve">Prime Minister and Cabinet is leading a process, on behalf of the Australian Government, to create the </w:t>
      </w:r>
      <w:r w:rsidRPr="0063774D">
        <w:rPr>
          <w:rStyle w:val="Emphasis"/>
        </w:rPr>
        <w:t>Digital Australia Strategy</w:t>
      </w:r>
      <w:r w:rsidRPr="00A900F5">
        <w:t>.</w:t>
      </w:r>
      <w:r w:rsidRPr="0063774D">
        <w:rPr>
          <w:rStyle w:val="Emphasis"/>
          <w:i w:val="0"/>
          <w:iCs w:val="0"/>
        </w:rPr>
        <w:t xml:space="preserve"> </w:t>
      </w:r>
      <w:r>
        <w:t xml:space="preserve">This presents an excellent opportunity to articulate the key, big-picture elements of how Australia will respond to the rise of new and emerging technologies, such as AI. </w:t>
      </w:r>
    </w:p>
    <w:p w14:paraId="015517CE" w14:textId="77777777" w:rsidR="00D7473A" w:rsidRDefault="00D7473A" w:rsidP="00D7473A">
      <w:r>
        <w:t>The Commission urges the Australian Government to embrace technological innovation that holds true to our liberal democratic values. This means putting human rights at the centre of how Australia approaches new and emerging technologies.</w:t>
      </w:r>
    </w:p>
    <w:p w14:paraId="78B0843E" w14:textId="77BA64C8" w:rsidR="00D7473A" w:rsidRPr="00826360" w:rsidRDefault="00D7473A" w:rsidP="00D7473A">
      <w:r>
        <w:t xml:space="preserve">The Commission recommends that the </w:t>
      </w:r>
      <w:r w:rsidRPr="0063774D">
        <w:rPr>
          <w:rStyle w:val="Emphasis"/>
        </w:rPr>
        <w:t>Digital Australia Strategy</w:t>
      </w:r>
      <w:r>
        <w:t xml:space="preserve"> promote responsible innovation and human rights through measures including regulation, investment and education. This will help foster a firm foundation of public trust in new and emerging technologies that are used in Australia. </w:t>
      </w:r>
    </w:p>
    <w:p w14:paraId="62ABE40E" w14:textId="77777777" w:rsidR="00D7473A" w:rsidRPr="00D7473A" w:rsidRDefault="00D7473A" w:rsidP="00D7473A"/>
    <w:p w14:paraId="4DCFD2B6" w14:textId="38D36ADB" w:rsidR="004E1218" w:rsidRDefault="004E1218">
      <w:pPr>
        <w:spacing w:before="0" w:after="0"/>
      </w:pPr>
      <w:r>
        <w:br w:type="page"/>
      </w:r>
    </w:p>
    <w:p w14:paraId="5C843567" w14:textId="687C020A" w:rsidR="00082658" w:rsidRDefault="00082658" w:rsidP="004E1218">
      <w:r w:rsidRPr="00AA3718">
        <w:rPr>
          <w:noProof/>
        </w:rPr>
        <w:lastRenderedPageBreak/>
        <w:drawing>
          <wp:inline distT="0" distB="0" distL="0" distR="0" wp14:anchorId="78672C45" wp14:editId="291A4FD3">
            <wp:extent cx="5731510" cy="8111490"/>
            <wp:effectExtent l="0" t="0" r="0" b="3810"/>
            <wp:docPr id="2" name="Immagine 2" descr="Infographic titled: ‘National strategy for responsible innovation’. &#10;Five arms branch out from the national strategy, each arm has several key components. From left to right, the arms are:&#10;1. Supporting good regulation, including: Guidance on responsible use of AI; Capacity building for regulators; Expert advice for Government and Parliament.&#10;2. Accountable AI by private sector, including: No ‘black box’ AI; Liability for use of AI; Transparency and explainability.  &#10;3. Accountable AI by government, including: Right to challenge AI-informed decisions; Human rights impact assessments; Transparency and explainability. &#10;4. AI – Addressing critical risks, including: Algorithmic bias, discrimination and unfairness; Biometric surveillance and facial recognition. &#10;5. Digital communication technology for people with disability, including: Human rights by design; Addressing discrimination; Laws, policies and incen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nfographic titled: ‘National strategy for responsible innovation’. &#10;Five arms branch out from the national strategy, each arm has several key components. From left to right, the arms are:&#10;1. Supporting good regulation, including: Guidance on responsible use of AI; Capacity building for regulators; Expert advice for Government and Parliament.&#10;2. Accountable AI by private sector, including: No ‘black box’ AI; Liability for use of AI; Transparency and explainability.  &#10;3. Accountable AI by government, including: Right to challenge AI-informed decisions; Human rights impact assessments; Transparency and explainability. &#10;4. AI – Addressing critical risks, including: Algorithmic bias, discrimination and unfairness; Biometric surveillance and facial recognition. &#10;5. Digital communication technology for people with disability, including: Human rights by design; Addressing discrimination; Laws, policies and incentives."/>
                    <pic:cNvPicPr/>
                  </pic:nvPicPr>
                  <pic:blipFill>
                    <a:blip r:embed="rId22"/>
                    <a:stretch>
                      <a:fillRect/>
                    </a:stretch>
                  </pic:blipFill>
                  <pic:spPr>
                    <a:xfrm>
                      <a:off x="0" y="0"/>
                      <a:ext cx="5731510" cy="8111490"/>
                    </a:xfrm>
                    <a:prstGeom prst="rect">
                      <a:avLst/>
                    </a:prstGeom>
                  </pic:spPr>
                </pic:pic>
              </a:graphicData>
            </a:graphic>
          </wp:inline>
        </w:drawing>
      </w:r>
    </w:p>
    <w:p w14:paraId="23FD86A7" w14:textId="6701956C" w:rsidR="004E1218" w:rsidRDefault="008702E2" w:rsidP="00122C12">
      <w:pPr>
        <w:pStyle w:val="Heading1"/>
        <w:numPr>
          <w:ilvl w:val="0"/>
          <w:numId w:val="0"/>
        </w:numPr>
      </w:pPr>
      <w:bookmarkStart w:id="3" w:name="_Toc68375060"/>
      <w:bookmarkStart w:id="4" w:name="_Toc525894100"/>
      <w:r>
        <w:lastRenderedPageBreak/>
        <w:t>Part B</w:t>
      </w:r>
      <w:r w:rsidR="006762B6">
        <w:t>: Artificial intelligence</w:t>
      </w:r>
      <w:bookmarkEnd w:id="3"/>
    </w:p>
    <w:p w14:paraId="4E906455" w14:textId="62A066F4" w:rsidR="006762B6" w:rsidRPr="00474F95" w:rsidRDefault="006762B6" w:rsidP="006762B6">
      <w:pPr>
        <w:rPr>
          <w:rFonts w:cs="Open Sans"/>
        </w:rPr>
      </w:pPr>
      <w:r>
        <w:rPr>
          <w:rFonts w:cs="Open Sans"/>
        </w:rPr>
        <w:t>AI</w:t>
      </w:r>
      <w:r w:rsidRPr="00474F95">
        <w:rPr>
          <w:rFonts w:cs="Open Sans"/>
        </w:rPr>
        <w:t xml:space="preserve"> is changing the way important decisions are made by government and the private sector—with significant implications for how human rights are fulfilled. </w:t>
      </w:r>
    </w:p>
    <w:p w14:paraId="1465E1BB" w14:textId="13DA2995" w:rsidR="006762B6" w:rsidRPr="006F32EF" w:rsidRDefault="006762B6" w:rsidP="006762B6">
      <w:pPr>
        <w:rPr>
          <w:rFonts w:cs="Open Sans"/>
        </w:rPr>
      </w:pPr>
      <w:r>
        <w:rPr>
          <w:rFonts w:cs="Open Sans"/>
        </w:rPr>
        <w:t>Part B of the Report</w:t>
      </w:r>
      <w:r w:rsidRPr="0063774D">
        <w:rPr>
          <w:rFonts w:cs="Open Sans"/>
        </w:rPr>
        <w:t xml:space="preserve"> </w:t>
      </w:r>
      <w:r w:rsidRPr="00474F95">
        <w:rPr>
          <w:rFonts w:cs="Open Sans"/>
        </w:rPr>
        <w:t>focus</w:t>
      </w:r>
      <w:r>
        <w:rPr>
          <w:rFonts w:cs="Open Sans"/>
        </w:rPr>
        <w:t>es</w:t>
      </w:r>
      <w:r w:rsidRPr="00474F95">
        <w:rPr>
          <w:rFonts w:cs="Open Sans"/>
        </w:rPr>
        <w:t xml:space="preserve"> on ‘AI-informed decision making’—the use of AI to make decisions that have legal or similarly significant effects on individuals. The Commission makes recommendations to ensure</w:t>
      </w:r>
      <w:r>
        <w:rPr>
          <w:rFonts w:cs="Open Sans"/>
        </w:rPr>
        <w:t xml:space="preserve"> </w:t>
      </w:r>
      <w:r w:rsidRPr="006F32EF">
        <w:rPr>
          <w:rFonts w:cs="Open Sans"/>
        </w:rPr>
        <w:t>human rights are protected where AI is used in decision making</w:t>
      </w:r>
      <w:r>
        <w:rPr>
          <w:rFonts w:cs="Open Sans"/>
        </w:rPr>
        <w:t xml:space="preserve">; and to provide </w:t>
      </w:r>
      <w:r w:rsidRPr="006F32EF">
        <w:rPr>
          <w:rFonts w:cs="Open Sans"/>
        </w:rPr>
        <w:t xml:space="preserve">effective accountability for </w:t>
      </w:r>
      <w:r>
        <w:rPr>
          <w:rFonts w:cs="Open Sans"/>
        </w:rPr>
        <w:t xml:space="preserve">such </w:t>
      </w:r>
      <w:r w:rsidRPr="006F32EF">
        <w:rPr>
          <w:rFonts w:cs="Open Sans"/>
        </w:rPr>
        <w:t>decisions.</w:t>
      </w:r>
    </w:p>
    <w:p w14:paraId="23917609" w14:textId="77777777" w:rsidR="006762B6" w:rsidRPr="0063774D" w:rsidRDefault="006762B6" w:rsidP="0063774D">
      <w:pPr>
        <w:pStyle w:val="Heading5"/>
      </w:pPr>
      <w:r w:rsidRPr="0063774D">
        <w:t>Government use of AI: Chapter 5</w:t>
      </w:r>
    </w:p>
    <w:p w14:paraId="1E6A0C77" w14:textId="7EAA3D5B" w:rsidR="006762B6" w:rsidRPr="00474F95" w:rsidRDefault="006762B6" w:rsidP="006762B6">
      <w:pPr>
        <w:rPr>
          <w:rFonts w:cs="Open Sans"/>
        </w:rPr>
      </w:pPr>
      <w:r>
        <w:rPr>
          <w:rFonts w:cs="Open Sans"/>
        </w:rPr>
        <w:t xml:space="preserve">Before </w:t>
      </w:r>
      <w:r w:rsidRPr="00A04442">
        <w:rPr>
          <w:rFonts w:cs="Open Sans"/>
        </w:rPr>
        <w:t>the Australian Government</w:t>
      </w:r>
      <w:r>
        <w:rPr>
          <w:rFonts w:cs="Open Sans"/>
        </w:rPr>
        <w:t xml:space="preserve"> introduces a new AI system to make administrative decisions, it</w:t>
      </w:r>
      <w:r w:rsidRPr="00A04442">
        <w:rPr>
          <w:rFonts w:cs="Open Sans"/>
        </w:rPr>
        <w:t xml:space="preserve"> should be required to undertake a human rights impact assessment </w:t>
      </w:r>
      <w:r>
        <w:rPr>
          <w:rFonts w:cs="Open Sans"/>
        </w:rPr>
        <w:t xml:space="preserve">(HRIA) </w:t>
      </w:r>
      <w:r w:rsidRPr="00A04442">
        <w:rPr>
          <w:rFonts w:cs="Open Sans"/>
        </w:rPr>
        <w:t>(</w:t>
      </w:r>
      <w:r w:rsidR="00122C12">
        <w:rPr>
          <w:rFonts w:cs="Open Sans"/>
        </w:rPr>
        <w:t xml:space="preserve">Recommendation </w:t>
      </w:r>
      <w:r w:rsidRPr="00A04442">
        <w:rPr>
          <w:rFonts w:cs="Open Sans"/>
        </w:rPr>
        <w:t>2)</w:t>
      </w:r>
      <w:r>
        <w:rPr>
          <w:rFonts w:cs="Open Sans"/>
        </w:rPr>
        <w:t>. Where such an AI-informed decision-making system is adopted by the Government, t</w:t>
      </w:r>
      <w:r w:rsidRPr="00474F95">
        <w:rPr>
          <w:rFonts w:cs="Open Sans"/>
        </w:rPr>
        <w:t xml:space="preserve">he </w:t>
      </w:r>
      <w:r>
        <w:rPr>
          <w:rFonts w:cs="Open Sans"/>
        </w:rPr>
        <w:t>Commission</w:t>
      </w:r>
      <w:r w:rsidRPr="00474F95">
        <w:rPr>
          <w:rFonts w:cs="Open Sans"/>
        </w:rPr>
        <w:t xml:space="preserve"> recommends:</w:t>
      </w:r>
    </w:p>
    <w:p w14:paraId="656CF8DC" w14:textId="773F5ACF" w:rsidR="006762B6" w:rsidRPr="00474F95" w:rsidRDefault="006762B6" w:rsidP="006762B6">
      <w:pPr>
        <w:pStyle w:val="ListParagraph"/>
        <w:numPr>
          <w:ilvl w:val="0"/>
          <w:numId w:val="45"/>
        </w:numPr>
        <w:spacing w:before="0"/>
        <w:rPr>
          <w:rFonts w:cs="Open Sans"/>
        </w:rPr>
      </w:pPr>
      <w:r>
        <w:rPr>
          <w:rFonts w:cs="Open Sans"/>
        </w:rPr>
        <w:t xml:space="preserve">measures to improve </w:t>
      </w:r>
      <w:r w:rsidRPr="0063774D">
        <w:rPr>
          <w:rStyle w:val="Emphasis"/>
        </w:rPr>
        <w:t>transparency</w:t>
      </w:r>
      <w:r>
        <w:rPr>
          <w:rFonts w:cs="Open Sans"/>
        </w:rPr>
        <w:t>, including notification of the</w:t>
      </w:r>
      <w:r w:rsidRPr="00474F95">
        <w:rPr>
          <w:rFonts w:cs="Open Sans"/>
        </w:rPr>
        <w:t xml:space="preserve"> use of AI </w:t>
      </w:r>
      <w:r>
        <w:rPr>
          <w:rFonts w:cs="Open Sans"/>
        </w:rPr>
        <w:t>and strengthening a right to reasons or an explanation for AI-informed administrative decisions (Rec</w:t>
      </w:r>
      <w:r w:rsidR="00122C12">
        <w:rPr>
          <w:rFonts w:cs="Open Sans"/>
        </w:rPr>
        <w:t>ommendation</w:t>
      </w:r>
      <w:r>
        <w:rPr>
          <w:rFonts w:cs="Open Sans"/>
        </w:rPr>
        <w:t>s 3-7)</w:t>
      </w:r>
    </w:p>
    <w:p w14:paraId="209402A4" w14:textId="736444A2" w:rsidR="006762B6" w:rsidRPr="00474F95" w:rsidRDefault="006762B6" w:rsidP="006762B6">
      <w:pPr>
        <w:pStyle w:val="ListParagraph"/>
        <w:numPr>
          <w:ilvl w:val="0"/>
          <w:numId w:val="45"/>
        </w:numPr>
        <w:spacing w:before="0"/>
        <w:rPr>
          <w:rFonts w:cs="Open Sans"/>
        </w:rPr>
      </w:pPr>
      <w:r>
        <w:rPr>
          <w:rFonts w:cs="Open Sans"/>
        </w:rPr>
        <w:t xml:space="preserve">an </w:t>
      </w:r>
      <w:r w:rsidRPr="00474F95">
        <w:rPr>
          <w:rFonts w:cs="Open Sans"/>
        </w:rPr>
        <w:t>independent merits review for all AI-informed administrative decisions</w:t>
      </w:r>
      <w:r>
        <w:rPr>
          <w:rFonts w:cs="Open Sans"/>
        </w:rPr>
        <w:t xml:space="preserve"> (</w:t>
      </w:r>
      <w:r w:rsidR="00122C12">
        <w:rPr>
          <w:rFonts w:cs="Open Sans"/>
        </w:rPr>
        <w:t>Recommendation</w:t>
      </w:r>
      <w:r>
        <w:rPr>
          <w:rFonts w:cs="Open Sans"/>
        </w:rPr>
        <w:t xml:space="preserve"> 8)</w:t>
      </w:r>
      <w:r w:rsidRPr="00474F95">
        <w:rPr>
          <w:rFonts w:cs="Open Sans"/>
        </w:rPr>
        <w:t>.</w:t>
      </w:r>
    </w:p>
    <w:p w14:paraId="69360493" w14:textId="77777777" w:rsidR="006762B6" w:rsidRPr="00A04442" w:rsidRDefault="006762B6" w:rsidP="0063774D">
      <w:pPr>
        <w:pStyle w:val="Heading5"/>
      </w:pPr>
      <w:r>
        <w:t>Private sector use of AI: Chapter 6</w:t>
      </w:r>
    </w:p>
    <w:p w14:paraId="585A61AE" w14:textId="77777777" w:rsidR="006762B6" w:rsidRPr="00474F95" w:rsidRDefault="006762B6" w:rsidP="006762B6">
      <w:pPr>
        <w:rPr>
          <w:rFonts w:cs="Open Sans"/>
        </w:rPr>
      </w:pPr>
      <w:r>
        <w:rPr>
          <w:rFonts w:cs="Open Sans"/>
        </w:rPr>
        <w:t>Human rights and a</w:t>
      </w:r>
      <w:r w:rsidRPr="00474F95">
        <w:rPr>
          <w:rFonts w:cs="Open Sans"/>
        </w:rPr>
        <w:t xml:space="preserve">ccountability </w:t>
      </w:r>
      <w:r>
        <w:rPr>
          <w:rFonts w:cs="Open Sans"/>
        </w:rPr>
        <w:t>are also</w:t>
      </w:r>
      <w:r w:rsidRPr="00474F95">
        <w:rPr>
          <w:rFonts w:cs="Open Sans"/>
        </w:rPr>
        <w:t xml:space="preserve"> vitally important when corporations and other non-government entities use AI to make decisions. The Commission recommends that: </w:t>
      </w:r>
    </w:p>
    <w:p w14:paraId="1E6227BB" w14:textId="3E6FFA86" w:rsidR="006762B6" w:rsidRPr="006A7CA1" w:rsidRDefault="006762B6" w:rsidP="006762B6">
      <w:pPr>
        <w:pStyle w:val="ListParagraph"/>
        <w:numPr>
          <w:ilvl w:val="0"/>
          <w:numId w:val="45"/>
        </w:numPr>
        <w:spacing w:before="0"/>
        <w:rPr>
          <w:rFonts w:cs="Open Sans"/>
        </w:rPr>
      </w:pPr>
      <w:r w:rsidRPr="008B1B0F">
        <w:rPr>
          <w:rFonts w:cs="Open Sans"/>
        </w:rPr>
        <w:t>corporations and other non-government bodies be encouraged to undertake HRIAs before using AI-informed decision-making</w:t>
      </w:r>
      <w:r>
        <w:rPr>
          <w:rFonts w:cs="Open Sans"/>
        </w:rPr>
        <w:t xml:space="preserve"> systems </w:t>
      </w:r>
      <w:r w:rsidRPr="006A7CA1">
        <w:rPr>
          <w:rFonts w:cs="Open Sans"/>
        </w:rPr>
        <w:t>(</w:t>
      </w:r>
      <w:r w:rsidR="00122C12">
        <w:rPr>
          <w:rFonts w:cs="Open Sans"/>
        </w:rPr>
        <w:t>Recommendation</w:t>
      </w:r>
      <w:r w:rsidRPr="006A7CA1">
        <w:rPr>
          <w:rFonts w:cs="Open Sans"/>
        </w:rPr>
        <w:t xml:space="preserve"> 9)</w:t>
      </w:r>
    </w:p>
    <w:p w14:paraId="369AEA68" w14:textId="29D9DC5C" w:rsidR="006762B6" w:rsidRDefault="006762B6" w:rsidP="006762B6">
      <w:pPr>
        <w:pStyle w:val="ListParagraph"/>
        <w:numPr>
          <w:ilvl w:val="0"/>
          <w:numId w:val="45"/>
        </w:numPr>
        <w:spacing w:before="0"/>
        <w:rPr>
          <w:rFonts w:cs="Open Sans"/>
        </w:rPr>
      </w:pPr>
      <w:r w:rsidRPr="008B1B0F">
        <w:rPr>
          <w:rFonts w:cs="Open Sans"/>
        </w:rPr>
        <w:t>individuals be notified about the use of AI-informed decisions affecting them (</w:t>
      </w:r>
      <w:r w:rsidR="00122C12">
        <w:rPr>
          <w:rFonts w:cs="Open Sans"/>
        </w:rPr>
        <w:t>Recommendation</w:t>
      </w:r>
      <w:r w:rsidRPr="008B1B0F">
        <w:rPr>
          <w:rFonts w:cs="Open Sans"/>
        </w:rPr>
        <w:t xml:space="preserve"> 10)</w:t>
      </w:r>
      <w:r>
        <w:rPr>
          <w:rFonts w:cs="Open Sans"/>
        </w:rPr>
        <w:t>.</w:t>
      </w:r>
    </w:p>
    <w:p w14:paraId="7B4A9FE6" w14:textId="77777777" w:rsidR="00127AB4" w:rsidRDefault="00127AB4" w:rsidP="00127AB4">
      <w:pPr>
        <w:rPr>
          <w:rFonts w:cs="Open Sans"/>
        </w:rPr>
      </w:pPr>
      <w:r>
        <w:br w:type="page"/>
      </w:r>
    </w:p>
    <w:p w14:paraId="701F5778" w14:textId="42CE316B" w:rsidR="006762B6" w:rsidRPr="0090062D" w:rsidRDefault="006762B6" w:rsidP="0063774D">
      <w:pPr>
        <w:pStyle w:val="Heading5"/>
      </w:pPr>
      <w:r>
        <w:lastRenderedPageBreak/>
        <w:t>Co- and self-regulation: Chapter 7</w:t>
      </w:r>
    </w:p>
    <w:p w14:paraId="7D6B7F91" w14:textId="77777777" w:rsidR="006762B6" w:rsidRPr="00474F95" w:rsidRDefault="006762B6" w:rsidP="006762B6">
      <w:pPr>
        <w:rPr>
          <w:rFonts w:cs="Open Sans"/>
        </w:rPr>
      </w:pPr>
      <w:r>
        <w:rPr>
          <w:rFonts w:cs="Open Sans"/>
        </w:rPr>
        <w:t>C</w:t>
      </w:r>
      <w:r w:rsidRPr="00474F95">
        <w:rPr>
          <w:rFonts w:cs="Open Sans"/>
        </w:rPr>
        <w:t xml:space="preserve">o- and self-regulation </w:t>
      </w:r>
      <w:r>
        <w:rPr>
          <w:rFonts w:cs="Open Sans"/>
        </w:rPr>
        <w:t xml:space="preserve">should </w:t>
      </w:r>
      <w:r w:rsidRPr="00474F95">
        <w:rPr>
          <w:rFonts w:cs="Open Sans"/>
        </w:rPr>
        <w:t>complement and support legal regulation</w:t>
      </w:r>
      <w:r>
        <w:rPr>
          <w:rFonts w:cs="Open Sans"/>
        </w:rPr>
        <w:t xml:space="preserve"> </w:t>
      </w:r>
      <w:r w:rsidRPr="00474F95">
        <w:rPr>
          <w:rFonts w:cs="Open Sans"/>
        </w:rPr>
        <w:t>to create better AI-informed decision-making systems</w:t>
      </w:r>
      <w:r>
        <w:rPr>
          <w:rFonts w:cs="Open Sans"/>
        </w:rPr>
        <w:t>, including through:</w:t>
      </w:r>
    </w:p>
    <w:p w14:paraId="2009C9F3" w14:textId="77777777" w:rsidR="006762B6" w:rsidRPr="00474F95" w:rsidRDefault="006762B6" w:rsidP="006762B6">
      <w:pPr>
        <w:pStyle w:val="ListParagraph"/>
        <w:numPr>
          <w:ilvl w:val="0"/>
          <w:numId w:val="45"/>
        </w:numPr>
        <w:spacing w:before="0"/>
        <w:rPr>
          <w:rFonts w:cs="Open Sans"/>
        </w:rPr>
      </w:pPr>
      <w:r w:rsidRPr="00474F95">
        <w:rPr>
          <w:rFonts w:cs="Open Sans"/>
        </w:rPr>
        <w:t>standards and certification for the use of AI in decision making</w:t>
      </w:r>
      <w:r>
        <w:rPr>
          <w:rFonts w:cs="Open Sans"/>
        </w:rPr>
        <w:t xml:space="preserve"> </w:t>
      </w:r>
    </w:p>
    <w:p w14:paraId="329534E3" w14:textId="0B6EA80C" w:rsidR="006762B6" w:rsidRPr="00474F95" w:rsidRDefault="006762B6" w:rsidP="006762B6">
      <w:pPr>
        <w:pStyle w:val="ListParagraph"/>
        <w:numPr>
          <w:ilvl w:val="0"/>
          <w:numId w:val="45"/>
        </w:numPr>
        <w:spacing w:before="0"/>
        <w:rPr>
          <w:rFonts w:cs="Open Sans"/>
        </w:rPr>
      </w:pPr>
      <w:r w:rsidRPr="00474F95">
        <w:rPr>
          <w:rFonts w:cs="Open Sans"/>
        </w:rPr>
        <w:t>‘regulatory sandboxes’ that allow for experimentation and innovation</w:t>
      </w:r>
      <w:r>
        <w:rPr>
          <w:rFonts w:cs="Open Sans"/>
        </w:rPr>
        <w:t xml:space="preserve"> (</w:t>
      </w:r>
      <w:r w:rsidR="00122C12">
        <w:rPr>
          <w:rFonts w:cs="Open Sans"/>
        </w:rPr>
        <w:t>Recommendation</w:t>
      </w:r>
      <w:r>
        <w:rPr>
          <w:rFonts w:cs="Open Sans"/>
        </w:rPr>
        <w:t xml:space="preserve"> 14)</w:t>
      </w:r>
    </w:p>
    <w:p w14:paraId="211AB87E" w14:textId="188B818F" w:rsidR="006762B6" w:rsidRDefault="006762B6" w:rsidP="006762B6">
      <w:pPr>
        <w:pStyle w:val="ListParagraph"/>
        <w:numPr>
          <w:ilvl w:val="0"/>
          <w:numId w:val="45"/>
        </w:numPr>
        <w:spacing w:before="0"/>
        <w:rPr>
          <w:rFonts w:cs="Open Sans"/>
        </w:rPr>
      </w:pPr>
      <w:r w:rsidRPr="00474F95">
        <w:rPr>
          <w:rFonts w:cs="Open Sans"/>
        </w:rPr>
        <w:t>rules for government procurement of decision-making tools and systems</w:t>
      </w:r>
      <w:r>
        <w:rPr>
          <w:rFonts w:cs="Open Sans"/>
        </w:rPr>
        <w:t xml:space="preserve"> (</w:t>
      </w:r>
      <w:r w:rsidR="00122C12">
        <w:rPr>
          <w:rFonts w:cs="Open Sans"/>
        </w:rPr>
        <w:t>Recommendation</w:t>
      </w:r>
      <w:r>
        <w:rPr>
          <w:rFonts w:cs="Open Sans"/>
        </w:rPr>
        <w:t xml:space="preserve"> 16).</w:t>
      </w:r>
    </w:p>
    <w:p w14:paraId="19246CF4" w14:textId="77777777" w:rsidR="006762B6" w:rsidRPr="0090062D" w:rsidRDefault="006762B6" w:rsidP="0063774D">
      <w:pPr>
        <w:pStyle w:val="Heading5"/>
      </w:pPr>
      <w:r>
        <w:t>Algorithmic bias, unfairness and discrimination: Chapter 8</w:t>
      </w:r>
    </w:p>
    <w:p w14:paraId="25748271" w14:textId="77777777" w:rsidR="006762B6" w:rsidRPr="002811ED" w:rsidRDefault="006762B6" w:rsidP="006762B6">
      <w:pPr>
        <w:rPr>
          <w:rFonts w:cs="Open Sans"/>
        </w:rPr>
      </w:pPr>
      <w:r w:rsidRPr="002811ED">
        <w:rPr>
          <w:rFonts w:cs="Open Sans"/>
        </w:rPr>
        <w:t>‘</w:t>
      </w:r>
      <w:r>
        <w:rPr>
          <w:rFonts w:cs="Open Sans"/>
        </w:rPr>
        <w:t>A</w:t>
      </w:r>
      <w:r w:rsidRPr="002811ED">
        <w:rPr>
          <w:rFonts w:cs="Open Sans"/>
        </w:rPr>
        <w:t xml:space="preserve">lgorithmic </w:t>
      </w:r>
      <w:proofErr w:type="spellStart"/>
      <w:r w:rsidRPr="002811ED">
        <w:rPr>
          <w:rFonts w:cs="Open Sans"/>
        </w:rPr>
        <w:t>bias’</w:t>
      </w:r>
      <w:proofErr w:type="spellEnd"/>
      <w:r>
        <w:rPr>
          <w:rFonts w:cs="Open Sans"/>
        </w:rPr>
        <w:t xml:space="preserve"> </w:t>
      </w:r>
      <w:r w:rsidRPr="002811ED">
        <w:rPr>
          <w:rFonts w:cs="Open Sans"/>
        </w:rPr>
        <w:t>arises where an AI-informed decision-making tool produces outputs that result in unfairness</w:t>
      </w:r>
      <w:r>
        <w:rPr>
          <w:rFonts w:cs="Open Sans"/>
        </w:rPr>
        <w:t xml:space="preserve"> or discrimination</w:t>
      </w:r>
      <w:r w:rsidRPr="002811ED">
        <w:rPr>
          <w:rFonts w:cs="Open Sans"/>
        </w:rPr>
        <w:t xml:space="preserve">. Often this is caused by forms of statistical bias. Algorithmic bias has arisen in AI-informed decision making in the criminal justice system, advertising, recruitment, healthcare, policing and elsewhere. </w:t>
      </w:r>
    </w:p>
    <w:p w14:paraId="01BCEC91" w14:textId="0987B4C6" w:rsidR="006762B6" w:rsidRDefault="006762B6" w:rsidP="006762B6">
      <w:pPr>
        <w:rPr>
          <w:rFonts w:cs="Open Sans"/>
        </w:rPr>
      </w:pPr>
      <w:r>
        <w:rPr>
          <w:rFonts w:cs="Open Sans"/>
        </w:rPr>
        <w:t>The Commission</w:t>
      </w:r>
      <w:r w:rsidRPr="00474F95">
        <w:rPr>
          <w:rFonts w:cs="Open Sans"/>
        </w:rPr>
        <w:t xml:space="preserve"> recommends greater guidance for government and non-government bodies in complying with anti-discrimination law in the context of AI-informed decision making</w:t>
      </w:r>
      <w:r>
        <w:rPr>
          <w:rFonts w:cs="Open Sans"/>
        </w:rPr>
        <w:t xml:space="preserve"> (</w:t>
      </w:r>
      <w:r w:rsidR="00122C12">
        <w:rPr>
          <w:rFonts w:cs="Open Sans"/>
        </w:rPr>
        <w:t>Recommendation</w:t>
      </w:r>
      <w:r>
        <w:rPr>
          <w:rFonts w:cs="Open Sans"/>
        </w:rPr>
        <w:t xml:space="preserve"> 18)</w:t>
      </w:r>
      <w:r w:rsidRPr="00474F95">
        <w:rPr>
          <w:rFonts w:cs="Open Sans"/>
        </w:rPr>
        <w:t>.</w:t>
      </w:r>
    </w:p>
    <w:p w14:paraId="47CC1D0A" w14:textId="77777777" w:rsidR="006762B6" w:rsidRPr="00474F95" w:rsidRDefault="006762B6" w:rsidP="0063774D">
      <w:pPr>
        <w:pStyle w:val="Heading5"/>
      </w:pPr>
      <w:r>
        <w:t>Biometric technology and privacy: Chapter 9</w:t>
      </w:r>
      <w:r w:rsidRPr="00474F95">
        <w:t xml:space="preserve"> </w:t>
      </w:r>
    </w:p>
    <w:p w14:paraId="7C82E279" w14:textId="77777777" w:rsidR="006762B6" w:rsidRDefault="006762B6" w:rsidP="006762B6">
      <w:pPr>
        <w:rPr>
          <w:rFonts w:cs="Open Sans"/>
        </w:rPr>
      </w:pPr>
      <w:r w:rsidRPr="00474F95">
        <w:rPr>
          <w:rFonts w:cs="Open Sans"/>
        </w:rPr>
        <w:t xml:space="preserve">There is strong community concern regarding some forms </w:t>
      </w:r>
      <w:r>
        <w:rPr>
          <w:rFonts w:cs="Open Sans"/>
        </w:rPr>
        <w:t xml:space="preserve">or uses </w:t>
      </w:r>
      <w:r w:rsidRPr="00474F95">
        <w:rPr>
          <w:rFonts w:cs="Open Sans"/>
        </w:rPr>
        <w:t xml:space="preserve">of </w:t>
      </w:r>
      <w:r>
        <w:rPr>
          <w:rFonts w:cs="Open Sans"/>
        </w:rPr>
        <w:t xml:space="preserve">biometric technology, especially </w:t>
      </w:r>
      <w:r w:rsidRPr="00474F95">
        <w:rPr>
          <w:rFonts w:cs="Open Sans"/>
        </w:rPr>
        <w:t>facial recognition. Where biometric technologies</w:t>
      </w:r>
      <w:r>
        <w:rPr>
          <w:rFonts w:cs="Open Sans"/>
        </w:rPr>
        <w:t xml:space="preserve"> </w:t>
      </w:r>
      <w:r w:rsidRPr="00474F95">
        <w:rPr>
          <w:rFonts w:cs="Open Sans"/>
        </w:rPr>
        <w:t xml:space="preserve">are used in high-stakes decision making, </w:t>
      </w:r>
      <w:r>
        <w:rPr>
          <w:rFonts w:cs="Open Sans"/>
        </w:rPr>
        <w:t>such as</w:t>
      </w:r>
      <w:r w:rsidRPr="00474F95">
        <w:rPr>
          <w:rFonts w:cs="Open Sans"/>
        </w:rPr>
        <w:t xml:space="preserve"> policing, errors can increase the risk of human rights infringement</w:t>
      </w:r>
      <w:r>
        <w:rPr>
          <w:rFonts w:cs="Open Sans"/>
        </w:rPr>
        <w:t xml:space="preserve"> and have an impact on </w:t>
      </w:r>
      <w:r w:rsidRPr="00474F95">
        <w:rPr>
          <w:rFonts w:cs="Open Sans"/>
        </w:rPr>
        <w:t>individual privacy</w:t>
      </w:r>
      <w:r>
        <w:rPr>
          <w:rFonts w:cs="Open Sans"/>
        </w:rPr>
        <w:t xml:space="preserve">. </w:t>
      </w:r>
    </w:p>
    <w:p w14:paraId="443724A2" w14:textId="21B2FD75" w:rsidR="006762B6" w:rsidRPr="00474F95" w:rsidRDefault="006762B6" w:rsidP="006762B6">
      <w:pPr>
        <w:rPr>
          <w:rFonts w:cs="Open Sans"/>
        </w:rPr>
      </w:pPr>
      <w:r>
        <w:rPr>
          <w:rFonts w:cs="Open Sans"/>
        </w:rPr>
        <w:t xml:space="preserve">The Commission recommends </w:t>
      </w:r>
      <w:r w:rsidRPr="00474F95">
        <w:rPr>
          <w:rFonts w:cs="Open Sans"/>
        </w:rPr>
        <w:t xml:space="preserve">law reform to provide </w:t>
      </w:r>
      <w:r>
        <w:rPr>
          <w:rFonts w:cs="Open Sans"/>
        </w:rPr>
        <w:t>better</w:t>
      </w:r>
      <w:r w:rsidRPr="00474F95">
        <w:rPr>
          <w:rFonts w:cs="Open Sans"/>
        </w:rPr>
        <w:t xml:space="preserve"> human rights </w:t>
      </w:r>
      <w:r>
        <w:rPr>
          <w:rFonts w:cs="Open Sans"/>
        </w:rPr>
        <w:t xml:space="preserve">and privacy </w:t>
      </w:r>
      <w:r w:rsidRPr="00474F95">
        <w:rPr>
          <w:rFonts w:cs="Open Sans"/>
        </w:rPr>
        <w:t>protection</w:t>
      </w:r>
      <w:r>
        <w:rPr>
          <w:rFonts w:cs="Open Sans"/>
        </w:rPr>
        <w:t xml:space="preserve"> </w:t>
      </w:r>
      <w:r w:rsidRPr="00474F95">
        <w:rPr>
          <w:rFonts w:cs="Open Sans"/>
        </w:rPr>
        <w:t xml:space="preserve">regarding the development and use of </w:t>
      </w:r>
      <w:r>
        <w:rPr>
          <w:rFonts w:cs="Open Sans"/>
        </w:rPr>
        <w:t>these</w:t>
      </w:r>
      <w:r w:rsidRPr="00474F95">
        <w:rPr>
          <w:rFonts w:cs="Open Sans"/>
        </w:rPr>
        <w:t xml:space="preserve"> technologies</w:t>
      </w:r>
      <w:r>
        <w:rPr>
          <w:rFonts w:cs="Open Sans"/>
        </w:rPr>
        <w:t xml:space="preserve"> (</w:t>
      </w:r>
      <w:r w:rsidR="00122C12">
        <w:rPr>
          <w:rFonts w:cs="Open Sans"/>
        </w:rPr>
        <w:t xml:space="preserve">Recommendations </w:t>
      </w:r>
      <w:r>
        <w:rPr>
          <w:rFonts w:cs="Open Sans"/>
        </w:rPr>
        <w:t>19, 21), and a moratorium on the use of biometric technologies in high-risk decision making until such protections are in place (</w:t>
      </w:r>
      <w:r w:rsidR="00122C12">
        <w:rPr>
          <w:rFonts w:cs="Open Sans"/>
        </w:rPr>
        <w:t>Recommendation</w:t>
      </w:r>
      <w:r>
        <w:rPr>
          <w:rFonts w:cs="Open Sans"/>
        </w:rPr>
        <w:t xml:space="preserve"> 20).</w:t>
      </w:r>
    </w:p>
    <w:p w14:paraId="2F6F9F87" w14:textId="77777777" w:rsidR="004E1218" w:rsidRDefault="004E1218">
      <w:pPr>
        <w:spacing w:before="0" w:after="0"/>
        <w:rPr>
          <w:b/>
          <w:bCs/>
          <w:sz w:val="36"/>
          <w:szCs w:val="28"/>
        </w:rPr>
      </w:pPr>
      <w:r>
        <w:br w:type="page"/>
      </w:r>
    </w:p>
    <w:p w14:paraId="005A293A" w14:textId="7C7B95B3" w:rsidR="00082658" w:rsidRDefault="00082658" w:rsidP="004E1218">
      <w:r w:rsidRPr="0071258A">
        <w:rPr>
          <w:rFonts w:cs="Open Sans"/>
          <w:noProof/>
        </w:rPr>
        <w:lastRenderedPageBreak/>
        <w:drawing>
          <wp:inline distT="0" distB="0" distL="0" distR="0" wp14:anchorId="2C2AF86D" wp14:editId="078945F1">
            <wp:extent cx="5731510" cy="8111490"/>
            <wp:effectExtent l="0" t="0" r="0" b="3810"/>
            <wp:docPr id="1" name="Immagine 1" descr="Infographic with a circle at the top titled: ‘Accountable AI: upholding human rights’. &#10;Four arms branch off from the circle, each with several components. The arms from left to right are:&#10;1. Critical risks, including: Biometric surveillance and facial recognition; Algorithmic bias, addressing unfairness and discrimination. &#10;2. Government use of AI in administrative decisions, including: Explainable AI preserving a right to reasons; Mandatory AI notification; Human review; Mandatory human rights impact assessment. &#10;3. Private sector use of AI, including: Legal liability and court oversight; Encouraging explainable AI; Mandatory AI notification; Encouraging human rights impact assessment. &#10;4. Promoting accountable AI, including: Government procurement; Human rights by design; Voluntary standards, certification and regulatory sand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nfographic with a circle at the top titled: ‘Accountable AI: upholding human rights’. &#10;Four arms branch off from the circle, each with several components. The arms from left to right are:&#10;1. Critical risks, including: Biometric surveillance and facial recognition; Algorithmic bias, addressing unfairness and discrimination. &#10;2. Government use of AI in administrative decisions, including: Explainable AI preserving a right to reasons; Mandatory AI notification; Human review; Mandatory human rights impact assessment. &#10;3. Private sector use of AI, including: Legal liability and court oversight; Encouraging explainable AI; Mandatory AI notification; Encouraging human rights impact assessment. &#10;4. Promoting accountable AI, including: Government procurement; Human rights by design; Voluntary standards, certification and regulatory sandboxes."/>
                    <pic:cNvPicPr/>
                  </pic:nvPicPr>
                  <pic:blipFill>
                    <a:blip r:embed="rId23"/>
                    <a:stretch>
                      <a:fillRect/>
                    </a:stretch>
                  </pic:blipFill>
                  <pic:spPr>
                    <a:xfrm>
                      <a:off x="0" y="0"/>
                      <a:ext cx="5731510" cy="8111490"/>
                    </a:xfrm>
                    <a:prstGeom prst="rect">
                      <a:avLst/>
                    </a:prstGeom>
                  </pic:spPr>
                </pic:pic>
              </a:graphicData>
            </a:graphic>
          </wp:inline>
        </w:drawing>
      </w:r>
    </w:p>
    <w:p w14:paraId="50236898" w14:textId="32C6D836" w:rsidR="00D03307" w:rsidRDefault="008702E2" w:rsidP="00E03F6A">
      <w:pPr>
        <w:pStyle w:val="Heading1"/>
        <w:numPr>
          <w:ilvl w:val="0"/>
          <w:numId w:val="0"/>
        </w:numPr>
        <w:ind w:left="851" w:hanging="851"/>
      </w:pPr>
      <w:bookmarkStart w:id="5" w:name="_Toc68375061"/>
      <w:bookmarkEnd w:id="4"/>
      <w:r>
        <w:lastRenderedPageBreak/>
        <w:t>Part C</w:t>
      </w:r>
      <w:r w:rsidR="006762B6">
        <w:t>: Supporting effective regulation</w:t>
      </w:r>
      <w:bookmarkEnd w:id="5"/>
      <w:r w:rsidR="006762B6">
        <w:t xml:space="preserve"> </w:t>
      </w:r>
    </w:p>
    <w:p w14:paraId="7D3829AF" w14:textId="77777777" w:rsidR="006762B6" w:rsidRDefault="006762B6" w:rsidP="006762B6">
      <w:pPr>
        <w:rPr>
          <w:rFonts w:cs="Open Sans"/>
        </w:rPr>
      </w:pPr>
      <w:r>
        <w:rPr>
          <w:rFonts w:cs="Open Sans"/>
        </w:rPr>
        <w:t>G</w:t>
      </w:r>
      <w:r w:rsidRPr="007823F0">
        <w:rPr>
          <w:rFonts w:cs="Open Sans"/>
        </w:rPr>
        <w:t xml:space="preserve">overnment agencies and the private sector are often unclear on how to develop and use AI lawfully, ethically and in conformity with human rights. </w:t>
      </w:r>
    </w:p>
    <w:p w14:paraId="6EA412C9" w14:textId="653BAA16" w:rsidR="006762B6" w:rsidRPr="00F008E9" w:rsidRDefault="006762B6" w:rsidP="006762B6">
      <w:pPr>
        <w:rPr>
          <w:rFonts w:cs="Open Sans"/>
        </w:rPr>
      </w:pPr>
      <w:r>
        <w:rPr>
          <w:rFonts w:cs="Open Sans"/>
        </w:rPr>
        <w:t>Part C of the Report</w:t>
      </w:r>
      <w:r w:rsidRPr="0063774D">
        <w:rPr>
          <w:rFonts w:cs="Open Sans"/>
        </w:rPr>
        <w:t xml:space="preserve"> </w:t>
      </w:r>
      <w:r>
        <w:rPr>
          <w:rFonts w:cs="Open Sans"/>
        </w:rPr>
        <w:t xml:space="preserve">recommends the creation of an AI Safety Commissioner to address this problem, by </w:t>
      </w:r>
      <w:r w:rsidRPr="00CA4A55">
        <w:rPr>
          <w:rFonts w:cs="Open Sans"/>
        </w:rPr>
        <w:t>support</w:t>
      </w:r>
      <w:r>
        <w:rPr>
          <w:rFonts w:cs="Open Sans"/>
        </w:rPr>
        <w:t>ing</w:t>
      </w:r>
      <w:r w:rsidRPr="00CA4A55">
        <w:rPr>
          <w:rFonts w:cs="Open Sans"/>
        </w:rPr>
        <w:t xml:space="preserve"> regulators, policy makers, government and business </w:t>
      </w:r>
      <w:r>
        <w:rPr>
          <w:rFonts w:cs="Open Sans"/>
        </w:rPr>
        <w:t xml:space="preserve">in </w:t>
      </w:r>
      <w:r w:rsidRPr="00CA4A55">
        <w:rPr>
          <w:rFonts w:cs="Open Sans"/>
        </w:rPr>
        <w:t>apply</w:t>
      </w:r>
      <w:r>
        <w:rPr>
          <w:rFonts w:cs="Open Sans"/>
        </w:rPr>
        <w:t>ing</w:t>
      </w:r>
      <w:r w:rsidRPr="00CA4A55">
        <w:rPr>
          <w:rFonts w:cs="Open Sans"/>
        </w:rPr>
        <w:t xml:space="preserve"> laws and other standards in respect of AI-informed decision making</w:t>
      </w:r>
      <w:r>
        <w:rPr>
          <w:rFonts w:cs="Open Sans"/>
        </w:rPr>
        <w:t>.</w:t>
      </w:r>
    </w:p>
    <w:p w14:paraId="27719EBC" w14:textId="77777777" w:rsidR="006762B6" w:rsidRPr="00F008E9" w:rsidRDefault="006762B6" w:rsidP="0063774D">
      <w:pPr>
        <w:pStyle w:val="Heading5"/>
      </w:pPr>
      <w:r>
        <w:t>The challenge of AI</w:t>
      </w:r>
    </w:p>
    <w:p w14:paraId="4CE3538F" w14:textId="77777777" w:rsidR="006762B6" w:rsidRDefault="006762B6" w:rsidP="006762B6">
      <w:pPr>
        <w:rPr>
          <w:rFonts w:cs="Open Sans"/>
        </w:rPr>
      </w:pPr>
      <w:r>
        <w:rPr>
          <w:rFonts w:cs="Open Sans"/>
        </w:rPr>
        <w:t>R</w:t>
      </w:r>
      <w:r w:rsidRPr="007823F0">
        <w:rPr>
          <w:rFonts w:cs="Open Sans"/>
        </w:rPr>
        <w:t>egulators face challenge</w:t>
      </w:r>
      <w:r>
        <w:rPr>
          <w:rFonts w:cs="Open Sans"/>
        </w:rPr>
        <w:t xml:space="preserve">s in </w:t>
      </w:r>
      <w:r w:rsidRPr="007823F0">
        <w:rPr>
          <w:rFonts w:cs="Open Sans"/>
        </w:rPr>
        <w:t xml:space="preserve">fulfilling their functions as the bodies they regulate make important changes </w:t>
      </w:r>
      <w:r>
        <w:rPr>
          <w:rFonts w:cs="Open Sans"/>
        </w:rPr>
        <w:t>in</w:t>
      </w:r>
      <w:r w:rsidRPr="007823F0">
        <w:rPr>
          <w:rFonts w:cs="Open Sans"/>
        </w:rPr>
        <w:t xml:space="preserve"> how they operate. </w:t>
      </w:r>
    </w:p>
    <w:p w14:paraId="480976CE" w14:textId="77777777" w:rsidR="006762B6" w:rsidRDefault="006762B6" w:rsidP="006762B6">
      <w:pPr>
        <w:rPr>
          <w:rFonts w:cs="Open Sans"/>
        </w:rPr>
      </w:pPr>
      <w:r>
        <w:rPr>
          <w:rFonts w:cs="Open Sans"/>
        </w:rPr>
        <w:t>L</w:t>
      </w:r>
      <w:r w:rsidRPr="007823F0">
        <w:rPr>
          <w:rFonts w:cs="Open Sans"/>
        </w:rPr>
        <w:t xml:space="preserve">egislators and policy makers are under unprecedented pressure to ensure Australia has the right law and policy settings to address risks and take opportunities connected to the rise of AI. </w:t>
      </w:r>
    </w:p>
    <w:p w14:paraId="2E1F9F38" w14:textId="77777777" w:rsidR="006762B6" w:rsidRDefault="006762B6" w:rsidP="006762B6">
      <w:pPr>
        <w:rPr>
          <w:rFonts w:cs="Open Sans"/>
        </w:rPr>
      </w:pPr>
      <w:r w:rsidRPr="00CA4A55">
        <w:rPr>
          <w:rFonts w:cs="Open Sans"/>
        </w:rPr>
        <w:t xml:space="preserve">The unprecedented rise in AI presents a once-in-a-generation challenge to develop and apply regulation that supports positive innovation, while addressing risks of harm. </w:t>
      </w:r>
    </w:p>
    <w:p w14:paraId="0E2BEDC8" w14:textId="77777777" w:rsidR="006762B6" w:rsidRPr="00F008E9" w:rsidRDefault="006762B6" w:rsidP="0063774D">
      <w:pPr>
        <w:pStyle w:val="Heading5"/>
      </w:pPr>
      <w:r>
        <w:t>Technical expertise and capacity building</w:t>
      </w:r>
    </w:p>
    <w:p w14:paraId="464DBB3E" w14:textId="77777777" w:rsidR="006762B6" w:rsidRPr="007823F0" w:rsidRDefault="006762B6" w:rsidP="006762B6">
      <w:pPr>
        <w:rPr>
          <w:rFonts w:cs="Open Sans"/>
        </w:rPr>
      </w:pPr>
      <w:r>
        <w:rPr>
          <w:rFonts w:cs="Open Sans"/>
        </w:rPr>
        <w:t xml:space="preserve">We recommend the creation of an AI Safety Commissioner </w:t>
      </w:r>
      <w:r w:rsidRPr="007823F0">
        <w:rPr>
          <w:rFonts w:cs="Open Sans"/>
        </w:rPr>
        <w:t>to provide technical expertise and capacity building</w:t>
      </w:r>
      <w:r>
        <w:rPr>
          <w:rFonts w:cs="Open Sans"/>
        </w:rPr>
        <w:t xml:space="preserve">. </w:t>
      </w:r>
      <w:r w:rsidRPr="007823F0">
        <w:rPr>
          <w:rFonts w:cs="Open Sans"/>
        </w:rPr>
        <w:t>As an independent statutory office that champions the public interest, including human rights, an AI Safety Commissioner could help build public trust in the safe use of AI</w:t>
      </w:r>
      <w:r>
        <w:rPr>
          <w:rFonts w:cs="Open Sans"/>
        </w:rPr>
        <w:t xml:space="preserve"> by:</w:t>
      </w:r>
    </w:p>
    <w:p w14:paraId="2F150C19" w14:textId="77777777" w:rsidR="006762B6" w:rsidRPr="007823F0" w:rsidRDefault="006762B6" w:rsidP="006762B6">
      <w:pPr>
        <w:pStyle w:val="ListParagraph"/>
        <w:numPr>
          <w:ilvl w:val="0"/>
          <w:numId w:val="46"/>
        </w:numPr>
        <w:spacing w:before="0"/>
        <w:rPr>
          <w:rFonts w:cs="Open Sans"/>
        </w:rPr>
      </w:pPr>
      <w:r w:rsidRPr="007823F0">
        <w:rPr>
          <w:rFonts w:cs="Open Sans"/>
        </w:rPr>
        <w:t>providing expert guidance to government agencies and the private sector on how to comply with laws and ethical standards regarding the development and use of AI</w:t>
      </w:r>
    </w:p>
    <w:p w14:paraId="557DD500" w14:textId="77777777" w:rsidR="006762B6" w:rsidRPr="007823F0" w:rsidRDefault="006762B6" w:rsidP="006762B6">
      <w:pPr>
        <w:pStyle w:val="ListParagraph"/>
        <w:numPr>
          <w:ilvl w:val="0"/>
          <w:numId w:val="46"/>
        </w:numPr>
        <w:spacing w:before="0"/>
        <w:rPr>
          <w:rFonts w:cs="Open Sans"/>
        </w:rPr>
      </w:pPr>
      <w:r w:rsidRPr="007823F0">
        <w:rPr>
          <w:rFonts w:cs="Open Sans"/>
        </w:rPr>
        <w:t>working collaboratively to build the capacity of regulators and the broader 'regulatory ecosystem' to adapt and respond to the rise of AI in their respective areas of responsibility</w:t>
      </w:r>
    </w:p>
    <w:p w14:paraId="57614A7F" w14:textId="4DDB6357" w:rsidR="006762B6" w:rsidRDefault="006762B6" w:rsidP="006762B6">
      <w:pPr>
        <w:pStyle w:val="ListParagraph"/>
        <w:numPr>
          <w:ilvl w:val="0"/>
          <w:numId w:val="46"/>
        </w:numPr>
        <w:spacing w:before="0"/>
        <w:rPr>
          <w:rFonts w:cs="Open Sans"/>
        </w:rPr>
      </w:pPr>
      <w:r w:rsidRPr="007823F0">
        <w:rPr>
          <w:rFonts w:cs="Open Sans"/>
        </w:rPr>
        <w:t xml:space="preserve">monitoring trends in the use of AI </w:t>
      </w:r>
      <w:r>
        <w:rPr>
          <w:rFonts w:cs="Open Sans"/>
        </w:rPr>
        <w:t>in Australia</w:t>
      </w:r>
      <w:r w:rsidRPr="007823F0">
        <w:rPr>
          <w:rFonts w:cs="Open Sans"/>
        </w:rPr>
        <w:t xml:space="preserve"> and overseas, providing robust, independent and expert advice to legislators and policy makers with a view to addressing risks and taking opportunities connected to the rise of A</w:t>
      </w:r>
      <w:r>
        <w:rPr>
          <w:rFonts w:cs="Open Sans"/>
        </w:rPr>
        <w:t>I (</w:t>
      </w:r>
      <w:r w:rsidR="00122C12">
        <w:rPr>
          <w:rFonts w:cs="Open Sans"/>
        </w:rPr>
        <w:t>Recommendation</w:t>
      </w:r>
      <w:r>
        <w:rPr>
          <w:rFonts w:cs="Open Sans"/>
        </w:rPr>
        <w:t xml:space="preserve"> 22)</w:t>
      </w:r>
      <w:r w:rsidRPr="007823F0">
        <w:rPr>
          <w:rFonts w:cs="Open Sans"/>
        </w:rPr>
        <w:t>.</w:t>
      </w:r>
    </w:p>
    <w:p w14:paraId="4A73E0BF" w14:textId="439481CF" w:rsidR="006762B6" w:rsidRPr="005652D5" w:rsidRDefault="006762B6" w:rsidP="006762B6">
      <w:pPr>
        <w:rPr>
          <w:rFonts w:cs="Open Sans"/>
        </w:rPr>
      </w:pPr>
      <w:r w:rsidRPr="006D5DAD">
        <w:rPr>
          <w:rFonts w:cs="Open Sans"/>
        </w:rPr>
        <w:lastRenderedPageBreak/>
        <w:t>The AI Safety Commissioner should</w:t>
      </w:r>
      <w:r>
        <w:rPr>
          <w:rFonts w:cs="Open Sans"/>
        </w:rPr>
        <w:t xml:space="preserve"> </w:t>
      </w:r>
      <w:r w:rsidRPr="006D5DAD">
        <w:rPr>
          <w:rFonts w:cs="Open Sans"/>
        </w:rPr>
        <w:t>be independent from government in its structure, operations and legislative mandat</w:t>
      </w:r>
      <w:r>
        <w:rPr>
          <w:rFonts w:cs="Open Sans"/>
        </w:rPr>
        <w:t xml:space="preserve">e. It </w:t>
      </w:r>
      <w:r w:rsidRPr="006D5DAD">
        <w:rPr>
          <w:rFonts w:cs="Open Sans"/>
        </w:rPr>
        <w:t>may be incorporated into an existing body or formed as a new, separate body</w:t>
      </w:r>
      <w:r>
        <w:rPr>
          <w:rFonts w:cs="Open Sans"/>
        </w:rPr>
        <w:t xml:space="preserve">. It should be </w:t>
      </w:r>
      <w:r w:rsidRPr="006D5DAD">
        <w:rPr>
          <w:rFonts w:cs="Open Sans"/>
        </w:rPr>
        <w:t>required to have regard to the impact of the development and use of AI on vulnerable and marginalised people in Australia</w:t>
      </w:r>
      <w:r>
        <w:rPr>
          <w:rFonts w:cs="Open Sans"/>
        </w:rPr>
        <w:t xml:space="preserve">, and </w:t>
      </w:r>
      <w:r w:rsidRPr="006D5DAD">
        <w:rPr>
          <w:rFonts w:cs="Open Sans"/>
        </w:rPr>
        <w:t xml:space="preserve">draw on diverse expertise and perspectives </w:t>
      </w:r>
      <w:r>
        <w:rPr>
          <w:rFonts w:cs="Open Sans"/>
        </w:rPr>
        <w:t>(</w:t>
      </w:r>
      <w:r w:rsidR="00122C12">
        <w:rPr>
          <w:rFonts w:cs="Open Sans"/>
        </w:rPr>
        <w:t>Recommendation</w:t>
      </w:r>
      <w:r>
        <w:rPr>
          <w:rFonts w:cs="Open Sans"/>
        </w:rPr>
        <w:t xml:space="preserve"> 23).</w:t>
      </w:r>
    </w:p>
    <w:p w14:paraId="3969E13D" w14:textId="2DF2A545" w:rsidR="006E4CE1" w:rsidRDefault="006E4CE1">
      <w:pPr>
        <w:spacing w:before="0" w:after="0"/>
      </w:pPr>
      <w:r>
        <w:br w:type="page"/>
      </w:r>
    </w:p>
    <w:p w14:paraId="0800F474" w14:textId="507F392D" w:rsidR="00082658" w:rsidRPr="006E4CE1" w:rsidRDefault="00BB5A91" w:rsidP="006E4CE1">
      <w:r>
        <w:rPr>
          <w:noProof/>
        </w:rPr>
        <w:lastRenderedPageBreak/>
        <w:drawing>
          <wp:inline distT="0" distB="0" distL="0" distR="0" wp14:anchorId="6260656B" wp14:editId="271FAF6F">
            <wp:extent cx="5756275" cy="8139430"/>
            <wp:effectExtent l="0" t="0" r="0" b="0"/>
            <wp:docPr id="11" name="Picture 11" descr="In the centre of the infographic is a circle titled ‘AI Safety Commissioner’.&#10;There is an arm branching upwards from the circle to the words: Structure and Focus. From there, three additional arms branch out to say:&#10;1. diverse expertise&#10;2. independent statutory authority, and &#10;3. focus on risk of harm.&#10;&#10;There is an arm branching downwards from the circle to: Functions. From there, three additional arms branch out to say:&#10;1. guidance on the use of AI for private sector and government;&#10;2. capacity building for regulators, including education and training and targeted advice; and &#10;3. expert advice for Parliament and policy 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 the centre of the infographic is a circle titled ‘AI Safety Commissioner’.&#10;There is an arm branching upwards from the circle to the words: Structure and Focus. From there, three additional arms branch out to say:&#10;1. diverse expertise&#10;2. independent statutory authority, and &#10;3. focus on risk of harm.&#10;&#10;There is an arm branching downwards from the circle to: Functions. From there, three additional arms branch out to say:&#10;1. guidance on the use of AI for private sector and government;&#10;2. capacity building for regulators, including education and training and targeted advice; and &#10;3. expert advice for Parliament and policy make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6275" cy="8139430"/>
                    </a:xfrm>
                    <a:prstGeom prst="rect">
                      <a:avLst/>
                    </a:prstGeom>
                    <a:noFill/>
                    <a:ln>
                      <a:noFill/>
                    </a:ln>
                  </pic:spPr>
                </pic:pic>
              </a:graphicData>
            </a:graphic>
          </wp:inline>
        </w:drawing>
      </w:r>
    </w:p>
    <w:p w14:paraId="25C10D17" w14:textId="43DAD60F" w:rsidR="008702E2" w:rsidRDefault="008702E2" w:rsidP="00E03F6A">
      <w:pPr>
        <w:pStyle w:val="Heading1"/>
        <w:numPr>
          <w:ilvl w:val="0"/>
          <w:numId w:val="0"/>
        </w:numPr>
        <w:ind w:left="851" w:hanging="851"/>
      </w:pPr>
      <w:bookmarkStart w:id="6" w:name="_Toc68375062"/>
      <w:bookmarkStart w:id="7" w:name="_Toc525894102"/>
      <w:r>
        <w:lastRenderedPageBreak/>
        <w:t>Part D</w:t>
      </w:r>
      <w:r w:rsidR="006762B6">
        <w:t>: Accessible technology</w:t>
      </w:r>
      <w:bookmarkEnd w:id="6"/>
    </w:p>
    <w:p w14:paraId="21C99BDC" w14:textId="2F1F97CA" w:rsidR="006762B6" w:rsidRDefault="006762B6" w:rsidP="006762B6">
      <w:pPr>
        <w:rPr>
          <w:rFonts w:cs="Open Sans"/>
        </w:rPr>
      </w:pPr>
      <w:r w:rsidRPr="0028639C">
        <w:rPr>
          <w:rFonts w:cs="Open Sans"/>
        </w:rPr>
        <w:t>Good technology design can enable the participation of people with disability as never before</w:t>
      </w:r>
      <w:r>
        <w:rPr>
          <w:rFonts w:cs="Open Sans"/>
        </w:rPr>
        <w:t>—from</w:t>
      </w:r>
      <w:r w:rsidRPr="0028639C">
        <w:rPr>
          <w:rFonts w:cs="Open Sans"/>
        </w:rPr>
        <w:t xml:space="preserve"> the use of real-time live captioning to reliance on smart home assistants. On the other hand, poor design can cause significant harm, reducing the capacity of people with disability to participate in activities that are central to the enjoyment of their human rights, and their ability to live independently.</w:t>
      </w:r>
    </w:p>
    <w:p w14:paraId="4E6D137F" w14:textId="3D52DE1B" w:rsidR="006762B6" w:rsidRDefault="006762B6" w:rsidP="006762B6">
      <w:pPr>
        <w:rPr>
          <w:rFonts w:cs="Open Sans"/>
        </w:rPr>
      </w:pPr>
      <w:r>
        <w:rPr>
          <w:rFonts w:cs="Open Sans"/>
        </w:rPr>
        <w:t>Part D of the Report</w:t>
      </w:r>
      <w:r w:rsidRPr="0063774D">
        <w:rPr>
          <w:rFonts w:cs="Open Sans"/>
        </w:rPr>
        <w:t xml:space="preserve"> </w:t>
      </w:r>
      <w:r>
        <w:rPr>
          <w:rFonts w:cs="Open Sans"/>
        </w:rPr>
        <w:t>focuses on</w:t>
      </w:r>
      <w:r w:rsidRPr="0028639C">
        <w:rPr>
          <w:rFonts w:cs="Open Sans"/>
        </w:rPr>
        <w:t xml:space="preserve"> improv</w:t>
      </w:r>
      <w:r>
        <w:rPr>
          <w:rFonts w:cs="Open Sans"/>
        </w:rPr>
        <w:t>ing</w:t>
      </w:r>
      <w:r w:rsidRPr="0028639C">
        <w:rPr>
          <w:rFonts w:cs="Open Sans"/>
        </w:rPr>
        <w:t xml:space="preserve"> the accessibility of goods, services and facilities that use Digital Communication Technolog</w:t>
      </w:r>
      <w:r>
        <w:rPr>
          <w:rFonts w:cs="Open Sans"/>
        </w:rPr>
        <w:t xml:space="preserve">y </w:t>
      </w:r>
      <w:r w:rsidRPr="0028639C">
        <w:rPr>
          <w:rFonts w:cs="Open Sans"/>
        </w:rPr>
        <w:t>for people with disability.</w:t>
      </w:r>
    </w:p>
    <w:p w14:paraId="4991E167" w14:textId="77777777" w:rsidR="006762B6" w:rsidRPr="00EE6728" w:rsidRDefault="006762B6" w:rsidP="0063774D">
      <w:pPr>
        <w:pStyle w:val="Heading5"/>
      </w:pPr>
      <w:r>
        <w:t>Technology is an enabling right: Chapter 11</w:t>
      </w:r>
    </w:p>
    <w:p w14:paraId="7C810654" w14:textId="77777777" w:rsidR="006762B6" w:rsidRDefault="006762B6" w:rsidP="006762B6">
      <w:pPr>
        <w:rPr>
          <w:rFonts w:cs="Open Sans"/>
        </w:rPr>
      </w:pPr>
      <w:r w:rsidRPr="00BA0A1C">
        <w:rPr>
          <w:rFonts w:cs="Open Sans"/>
        </w:rPr>
        <w:t>The accessibility of new technology, and especially of Digital Communication Technology, is an enabling right for people with disability</w:t>
      </w:r>
      <w:r>
        <w:rPr>
          <w:rFonts w:cs="Open Sans"/>
        </w:rPr>
        <w:t xml:space="preserve"> because it is </w:t>
      </w:r>
      <w:r w:rsidRPr="00BA0A1C">
        <w:rPr>
          <w:rFonts w:cs="Open Sans"/>
        </w:rPr>
        <w:t>critical to the enjoyment of a range of other civil, political, economic, social and cultural rights.</w:t>
      </w:r>
    </w:p>
    <w:p w14:paraId="7CDCC384" w14:textId="77777777" w:rsidR="006762B6" w:rsidRPr="00EE6728" w:rsidRDefault="006762B6" w:rsidP="0063774D">
      <w:pPr>
        <w:pStyle w:val="Heading5"/>
      </w:pPr>
      <w:r>
        <w:t>Improving functional accessibility: Chapter 12</w:t>
      </w:r>
    </w:p>
    <w:p w14:paraId="3C459AA9" w14:textId="77777777" w:rsidR="006762B6" w:rsidRDefault="006762B6" w:rsidP="006762B6">
      <w:pPr>
        <w:rPr>
          <w:rFonts w:cs="Open Sans"/>
        </w:rPr>
      </w:pPr>
      <w:r>
        <w:rPr>
          <w:rFonts w:cs="Open Sans"/>
        </w:rPr>
        <w:t>T</w:t>
      </w:r>
      <w:r w:rsidRPr="00362CDD">
        <w:rPr>
          <w:rFonts w:cs="Open Sans"/>
        </w:rPr>
        <w:t xml:space="preserve">he </w:t>
      </w:r>
      <w:r>
        <w:rPr>
          <w:rFonts w:cs="Open Sans"/>
        </w:rPr>
        <w:t>‘</w:t>
      </w:r>
      <w:r w:rsidRPr="00362CDD">
        <w:rPr>
          <w:rFonts w:cs="Open Sans"/>
        </w:rPr>
        <w:t>functional accessibility</w:t>
      </w:r>
      <w:r>
        <w:rPr>
          <w:rFonts w:cs="Open Sans"/>
        </w:rPr>
        <w:t>’</w:t>
      </w:r>
      <w:r w:rsidRPr="00362CDD">
        <w:rPr>
          <w:rFonts w:cs="Open Sans"/>
        </w:rPr>
        <w:t xml:space="preserve"> of goods, services and facilities that rely on Digital Communication Technology</w:t>
      </w:r>
      <w:r>
        <w:rPr>
          <w:rFonts w:cs="Open Sans"/>
        </w:rPr>
        <w:t xml:space="preserve"> refers to </w:t>
      </w:r>
      <w:r w:rsidRPr="00362CDD">
        <w:rPr>
          <w:rFonts w:cs="Open Sans"/>
        </w:rPr>
        <w:t xml:space="preserve">the ability to </w:t>
      </w:r>
      <w:r w:rsidRPr="0063774D">
        <w:rPr>
          <w:rStyle w:val="Emphasis"/>
        </w:rPr>
        <w:t>use</w:t>
      </w:r>
      <w:r w:rsidRPr="00362CDD">
        <w:rPr>
          <w:rFonts w:cs="Open Sans"/>
        </w:rPr>
        <w:t xml:space="preserve"> these things in practice</w:t>
      </w:r>
      <w:r>
        <w:rPr>
          <w:rFonts w:cs="Open Sans"/>
        </w:rPr>
        <w:t xml:space="preserve">. </w:t>
      </w:r>
      <w:r w:rsidRPr="00362CDD">
        <w:rPr>
          <w:rFonts w:cs="Open Sans"/>
        </w:rPr>
        <w:t>Problems in this area commonly relate to the user interface of tech-enabled products being designed in a way that excludes people with one or more disabilities.</w:t>
      </w:r>
      <w:r>
        <w:rPr>
          <w:rFonts w:cs="Open Sans"/>
        </w:rPr>
        <w:t xml:space="preserve"> </w:t>
      </w:r>
    </w:p>
    <w:p w14:paraId="554B1B09" w14:textId="6A0EDC06" w:rsidR="006762B6" w:rsidRPr="00362CDD" w:rsidRDefault="006762B6" w:rsidP="006762B6">
      <w:pPr>
        <w:rPr>
          <w:rFonts w:cs="Open Sans"/>
        </w:rPr>
      </w:pPr>
      <w:r>
        <w:rPr>
          <w:rFonts w:cs="Open Sans"/>
        </w:rPr>
        <w:t>To improve f</w:t>
      </w:r>
      <w:r w:rsidRPr="00362CDD">
        <w:rPr>
          <w:rFonts w:cs="Open Sans"/>
        </w:rPr>
        <w:t>unctional accessibility</w:t>
      </w:r>
      <w:r>
        <w:rPr>
          <w:rFonts w:cs="Open Sans"/>
        </w:rPr>
        <w:t>, the Commission recommends:</w:t>
      </w:r>
    </w:p>
    <w:p w14:paraId="3D5919B6" w14:textId="0D0DBF13" w:rsidR="006762B6" w:rsidRPr="002832C6" w:rsidRDefault="006762B6" w:rsidP="006762B6">
      <w:pPr>
        <w:pStyle w:val="ListParagraph"/>
        <w:numPr>
          <w:ilvl w:val="0"/>
          <w:numId w:val="46"/>
        </w:numPr>
        <w:spacing w:before="0"/>
        <w:rPr>
          <w:rFonts w:cs="Open Sans"/>
        </w:rPr>
      </w:pPr>
      <w:r w:rsidRPr="002832C6">
        <w:rPr>
          <w:rFonts w:cs="Open Sans"/>
        </w:rPr>
        <w:t>the creation of a new Disability Standard, focused on Digital Communication Technology</w:t>
      </w:r>
      <w:r>
        <w:rPr>
          <w:rFonts w:cs="Open Sans"/>
        </w:rPr>
        <w:t xml:space="preserve"> (</w:t>
      </w:r>
      <w:r w:rsidR="00122C12">
        <w:rPr>
          <w:rFonts w:cs="Open Sans"/>
        </w:rPr>
        <w:t xml:space="preserve">Recommendation </w:t>
      </w:r>
      <w:r>
        <w:rPr>
          <w:rFonts w:cs="Open Sans"/>
        </w:rPr>
        <w:t>24)</w:t>
      </w:r>
    </w:p>
    <w:p w14:paraId="1E3C351C" w14:textId="6CF4B410" w:rsidR="006762B6" w:rsidRPr="002832C6" w:rsidRDefault="006762B6" w:rsidP="006762B6">
      <w:pPr>
        <w:pStyle w:val="ListParagraph"/>
        <w:numPr>
          <w:ilvl w:val="0"/>
          <w:numId w:val="46"/>
        </w:numPr>
        <w:spacing w:before="0"/>
        <w:rPr>
          <w:rFonts w:cs="Open Sans"/>
        </w:rPr>
      </w:pPr>
      <w:r>
        <w:rPr>
          <w:rFonts w:cs="Open Sans"/>
        </w:rPr>
        <w:t>new</w:t>
      </w:r>
      <w:r w:rsidRPr="002832C6">
        <w:rPr>
          <w:rFonts w:cs="Open Sans"/>
        </w:rPr>
        <w:t xml:space="preserve"> government procurement rules to require accessible goods, services and facilities</w:t>
      </w:r>
      <w:r>
        <w:rPr>
          <w:rFonts w:cs="Open Sans"/>
        </w:rPr>
        <w:t xml:space="preserve"> (</w:t>
      </w:r>
      <w:r w:rsidR="00122C12">
        <w:rPr>
          <w:rFonts w:cs="Open Sans"/>
        </w:rPr>
        <w:t xml:space="preserve">Recommendation </w:t>
      </w:r>
      <w:r>
        <w:rPr>
          <w:rFonts w:cs="Open Sans"/>
        </w:rPr>
        <w:t>25)</w:t>
      </w:r>
    </w:p>
    <w:p w14:paraId="06CE2C6C" w14:textId="3933942F" w:rsidR="006762B6" w:rsidRDefault="006762B6" w:rsidP="006762B6">
      <w:pPr>
        <w:pStyle w:val="ListParagraph"/>
        <w:numPr>
          <w:ilvl w:val="0"/>
          <w:numId w:val="46"/>
        </w:numPr>
        <w:spacing w:before="0"/>
        <w:rPr>
          <w:rFonts w:cs="Open Sans"/>
        </w:rPr>
      </w:pPr>
      <w:r>
        <w:rPr>
          <w:rFonts w:cs="Open Sans"/>
        </w:rPr>
        <w:t xml:space="preserve">measures to </w:t>
      </w:r>
      <w:r w:rsidRPr="002832C6">
        <w:rPr>
          <w:rFonts w:cs="Open Sans"/>
        </w:rPr>
        <w:t>improv</w:t>
      </w:r>
      <w:r>
        <w:rPr>
          <w:rFonts w:cs="Open Sans"/>
        </w:rPr>
        <w:t>e</w:t>
      </w:r>
      <w:r w:rsidRPr="002832C6">
        <w:rPr>
          <w:rFonts w:cs="Open Sans"/>
        </w:rPr>
        <w:t xml:space="preserve"> private sector use of accessible Digital Communication Technology</w:t>
      </w:r>
      <w:r>
        <w:rPr>
          <w:rFonts w:cs="Open Sans"/>
        </w:rPr>
        <w:t xml:space="preserve"> (</w:t>
      </w:r>
      <w:r w:rsidR="00122C12">
        <w:rPr>
          <w:rFonts w:cs="Open Sans"/>
        </w:rPr>
        <w:t xml:space="preserve">Recommendation </w:t>
      </w:r>
      <w:r>
        <w:rPr>
          <w:rFonts w:cs="Open Sans"/>
        </w:rPr>
        <w:t>26)</w:t>
      </w:r>
      <w:r w:rsidRPr="002832C6">
        <w:rPr>
          <w:rFonts w:cs="Open Sans"/>
        </w:rPr>
        <w:t>.</w:t>
      </w:r>
    </w:p>
    <w:p w14:paraId="08B49D54" w14:textId="77777777" w:rsidR="0039454D" w:rsidRDefault="0039454D">
      <w:pPr>
        <w:spacing w:before="0" w:after="0"/>
        <w:rPr>
          <w:rFonts w:cs="Open Sans"/>
          <w:b/>
          <w:bCs/>
        </w:rPr>
      </w:pPr>
      <w:r>
        <w:rPr>
          <w:rFonts w:cs="Open Sans"/>
          <w:b/>
          <w:bCs/>
        </w:rPr>
        <w:br w:type="page"/>
      </w:r>
    </w:p>
    <w:p w14:paraId="2E8AD605" w14:textId="7A32C4CB" w:rsidR="006762B6" w:rsidRPr="00EE6728" w:rsidRDefault="006762B6" w:rsidP="0063774D">
      <w:pPr>
        <w:pStyle w:val="Heading5"/>
      </w:pPr>
      <w:r>
        <w:lastRenderedPageBreak/>
        <w:t>Broadcasting and audio-visual services: Chapter 13</w:t>
      </w:r>
    </w:p>
    <w:p w14:paraId="1F414CCB" w14:textId="77777777" w:rsidR="006762B6" w:rsidRDefault="006762B6" w:rsidP="006762B6">
      <w:pPr>
        <w:rPr>
          <w:rFonts w:cs="Open Sans"/>
        </w:rPr>
      </w:pPr>
      <w:r w:rsidRPr="0052506C">
        <w:rPr>
          <w:rFonts w:cs="Open Sans"/>
        </w:rPr>
        <w:t xml:space="preserve">The 21st century has seen a massive expansion in </w:t>
      </w:r>
      <w:r>
        <w:rPr>
          <w:rFonts w:cs="Open Sans"/>
        </w:rPr>
        <w:t>how</w:t>
      </w:r>
      <w:r w:rsidRPr="0052506C">
        <w:rPr>
          <w:rFonts w:cs="Open Sans"/>
        </w:rPr>
        <w:t xml:space="preserve"> content is delivered, including </w:t>
      </w:r>
      <w:r>
        <w:rPr>
          <w:rFonts w:cs="Open Sans"/>
        </w:rPr>
        <w:t xml:space="preserve">through </w:t>
      </w:r>
      <w:r w:rsidRPr="0052506C">
        <w:rPr>
          <w:rFonts w:cs="Open Sans"/>
        </w:rPr>
        <w:t xml:space="preserve">subscription television, video and online platforms. </w:t>
      </w:r>
      <w:r>
        <w:rPr>
          <w:rFonts w:cs="Open Sans"/>
        </w:rPr>
        <w:t>R</w:t>
      </w:r>
      <w:r w:rsidRPr="0052506C">
        <w:rPr>
          <w:rFonts w:cs="Open Sans"/>
        </w:rPr>
        <w:t xml:space="preserve">eform is needed to ensure that </w:t>
      </w:r>
      <w:r>
        <w:rPr>
          <w:rFonts w:cs="Open Sans"/>
        </w:rPr>
        <w:t xml:space="preserve">all </w:t>
      </w:r>
      <w:r w:rsidRPr="0052506C">
        <w:rPr>
          <w:rFonts w:cs="Open Sans"/>
        </w:rPr>
        <w:t>media respect the right of people with disability to receive news, information and entertainment content in ways that they can understand.</w:t>
      </w:r>
      <w:r>
        <w:rPr>
          <w:rFonts w:cs="Open Sans"/>
        </w:rPr>
        <w:t xml:space="preserve"> </w:t>
      </w:r>
    </w:p>
    <w:p w14:paraId="272BCC75" w14:textId="77777777" w:rsidR="006762B6" w:rsidRPr="002832C6" w:rsidRDefault="006762B6" w:rsidP="006762B6">
      <w:pPr>
        <w:rPr>
          <w:rFonts w:cs="Open Sans"/>
        </w:rPr>
      </w:pPr>
      <w:r>
        <w:rPr>
          <w:rFonts w:cs="Open Sans"/>
        </w:rPr>
        <w:t xml:space="preserve">The Commission </w:t>
      </w:r>
      <w:r w:rsidRPr="002832C6">
        <w:rPr>
          <w:rFonts w:cs="Open Sans"/>
        </w:rPr>
        <w:t>recommends reforms to facilitate:</w:t>
      </w:r>
    </w:p>
    <w:p w14:paraId="564F6DA2" w14:textId="3BC50B9D" w:rsidR="006762B6" w:rsidRPr="002832C6" w:rsidRDefault="006762B6" w:rsidP="006762B6">
      <w:pPr>
        <w:pStyle w:val="ListParagraph"/>
        <w:numPr>
          <w:ilvl w:val="0"/>
          <w:numId w:val="46"/>
        </w:numPr>
        <w:spacing w:before="0"/>
        <w:rPr>
          <w:rFonts w:cs="Open Sans"/>
        </w:rPr>
      </w:pPr>
      <w:r w:rsidRPr="002832C6">
        <w:rPr>
          <w:rFonts w:cs="Open Sans"/>
        </w:rPr>
        <w:t>increased audio description and captioning for broadcasting services, as well as video, film and online platforms</w:t>
      </w:r>
      <w:r>
        <w:rPr>
          <w:rFonts w:cs="Open Sans"/>
        </w:rPr>
        <w:t xml:space="preserve"> (</w:t>
      </w:r>
      <w:r w:rsidR="00122C12">
        <w:rPr>
          <w:rFonts w:cs="Open Sans"/>
        </w:rPr>
        <w:t xml:space="preserve">Recommendations </w:t>
      </w:r>
      <w:r>
        <w:rPr>
          <w:rFonts w:cs="Open Sans"/>
        </w:rPr>
        <w:t>27-29)</w:t>
      </w:r>
    </w:p>
    <w:p w14:paraId="402DC47B" w14:textId="4ED9E39F" w:rsidR="006762B6" w:rsidRPr="002832C6" w:rsidRDefault="006762B6" w:rsidP="006762B6">
      <w:pPr>
        <w:pStyle w:val="ListParagraph"/>
        <w:numPr>
          <w:ilvl w:val="0"/>
          <w:numId w:val="46"/>
        </w:numPr>
        <w:spacing w:before="0"/>
        <w:rPr>
          <w:rFonts w:cs="Open Sans"/>
        </w:rPr>
      </w:pPr>
      <w:r w:rsidRPr="002832C6">
        <w:rPr>
          <w:rFonts w:cs="Open Sans"/>
        </w:rPr>
        <w:t xml:space="preserve">reliable accessible information during emergency and important public announcements </w:t>
      </w:r>
      <w:r>
        <w:rPr>
          <w:rFonts w:cs="Open Sans"/>
        </w:rPr>
        <w:t>(</w:t>
      </w:r>
      <w:r w:rsidR="00122C12">
        <w:rPr>
          <w:rFonts w:cs="Open Sans"/>
        </w:rPr>
        <w:t xml:space="preserve">Recommendation </w:t>
      </w:r>
      <w:r>
        <w:rPr>
          <w:rFonts w:cs="Open Sans"/>
        </w:rPr>
        <w:t>30)</w:t>
      </w:r>
    </w:p>
    <w:p w14:paraId="36D77A5A" w14:textId="0DE5A191" w:rsidR="006762B6" w:rsidRDefault="006762B6" w:rsidP="006762B6">
      <w:pPr>
        <w:pStyle w:val="ListParagraph"/>
        <w:numPr>
          <w:ilvl w:val="0"/>
          <w:numId w:val="46"/>
        </w:numPr>
        <w:spacing w:before="0"/>
        <w:rPr>
          <w:rFonts w:cs="Open Sans"/>
        </w:rPr>
      </w:pPr>
      <w:r w:rsidRPr="002832C6">
        <w:rPr>
          <w:rFonts w:cs="Open Sans"/>
        </w:rPr>
        <w:t>better monitoring of compliance with accessibility requirements and voluntary targets for the distribution of audio-visual content</w:t>
      </w:r>
      <w:r>
        <w:rPr>
          <w:rFonts w:cs="Open Sans"/>
        </w:rPr>
        <w:t xml:space="preserve"> (</w:t>
      </w:r>
      <w:r w:rsidR="00122C12">
        <w:rPr>
          <w:rFonts w:cs="Open Sans"/>
        </w:rPr>
        <w:t xml:space="preserve">Recommendation </w:t>
      </w:r>
      <w:r>
        <w:rPr>
          <w:rFonts w:cs="Open Sans"/>
        </w:rPr>
        <w:t>31)</w:t>
      </w:r>
      <w:r w:rsidRPr="002832C6">
        <w:rPr>
          <w:rFonts w:cs="Open Sans"/>
        </w:rPr>
        <w:t>.</w:t>
      </w:r>
    </w:p>
    <w:p w14:paraId="037D961B" w14:textId="77777777" w:rsidR="006762B6" w:rsidRPr="00EE6728" w:rsidRDefault="006762B6" w:rsidP="0063774D">
      <w:pPr>
        <w:pStyle w:val="Heading5"/>
      </w:pPr>
      <w:r>
        <w:t>Availability of new technology: Chapter 14</w:t>
      </w:r>
    </w:p>
    <w:p w14:paraId="03F44142" w14:textId="77777777" w:rsidR="006762B6" w:rsidRPr="002832C6" w:rsidRDefault="006762B6" w:rsidP="006762B6">
      <w:pPr>
        <w:rPr>
          <w:rFonts w:cs="Open Sans"/>
        </w:rPr>
      </w:pPr>
      <w:r>
        <w:rPr>
          <w:rFonts w:cs="Open Sans"/>
        </w:rPr>
        <w:t>The a</w:t>
      </w:r>
      <w:r w:rsidRPr="00DB318B">
        <w:rPr>
          <w:rFonts w:cs="Open Sans"/>
        </w:rPr>
        <w:t xml:space="preserve">vailability </w:t>
      </w:r>
      <w:r>
        <w:rPr>
          <w:rFonts w:cs="Open Sans"/>
        </w:rPr>
        <w:t xml:space="preserve">of </w:t>
      </w:r>
      <w:r w:rsidRPr="002832C6">
        <w:rPr>
          <w:rFonts w:cs="Open Sans"/>
        </w:rPr>
        <w:t xml:space="preserve">goods, services and facilities </w:t>
      </w:r>
      <w:r w:rsidRPr="00DB318B">
        <w:rPr>
          <w:rFonts w:cs="Open Sans"/>
        </w:rPr>
        <w:t>can be reduced where people with disability cannot afford</w:t>
      </w:r>
      <w:r>
        <w:rPr>
          <w:rFonts w:cs="Open Sans"/>
        </w:rPr>
        <w:t xml:space="preserve"> them</w:t>
      </w:r>
      <w:r w:rsidRPr="00DB318B">
        <w:rPr>
          <w:rFonts w:cs="Open Sans"/>
        </w:rPr>
        <w:t>, or do not know about</w:t>
      </w:r>
      <w:r>
        <w:rPr>
          <w:rFonts w:cs="Open Sans"/>
        </w:rPr>
        <w:t xml:space="preserve"> them</w:t>
      </w:r>
      <w:r w:rsidRPr="00DB318B">
        <w:rPr>
          <w:rFonts w:cs="Open Sans"/>
        </w:rPr>
        <w:t xml:space="preserve">. Exclusion can worsen inequality and disadvantage for people with disability. </w:t>
      </w:r>
      <w:r>
        <w:rPr>
          <w:rFonts w:cs="Open Sans"/>
        </w:rPr>
        <w:t xml:space="preserve">The Commission </w:t>
      </w:r>
      <w:r w:rsidRPr="002832C6">
        <w:rPr>
          <w:rFonts w:cs="Open Sans"/>
        </w:rPr>
        <w:t xml:space="preserve">recommends: </w:t>
      </w:r>
    </w:p>
    <w:p w14:paraId="4C784456" w14:textId="231C8853" w:rsidR="006762B6" w:rsidRPr="002832C6" w:rsidRDefault="006762B6" w:rsidP="006762B6">
      <w:pPr>
        <w:pStyle w:val="ListParagraph"/>
        <w:numPr>
          <w:ilvl w:val="0"/>
          <w:numId w:val="46"/>
        </w:numPr>
        <w:spacing w:before="0"/>
        <w:rPr>
          <w:rFonts w:cs="Open Sans"/>
        </w:rPr>
      </w:pPr>
      <w:r>
        <w:rPr>
          <w:rFonts w:cs="Open Sans"/>
        </w:rPr>
        <w:t xml:space="preserve">better </w:t>
      </w:r>
      <w:r w:rsidRPr="002832C6">
        <w:rPr>
          <w:rFonts w:cs="Open Sans"/>
        </w:rPr>
        <w:t xml:space="preserve">provision of accessible information on how goods, services and facilities can be used by people with disability </w:t>
      </w:r>
      <w:r>
        <w:rPr>
          <w:rFonts w:cs="Open Sans"/>
        </w:rPr>
        <w:t>(</w:t>
      </w:r>
      <w:r w:rsidR="00122C12">
        <w:rPr>
          <w:rFonts w:cs="Open Sans"/>
        </w:rPr>
        <w:t xml:space="preserve">Recommendation </w:t>
      </w:r>
      <w:r>
        <w:rPr>
          <w:rFonts w:cs="Open Sans"/>
        </w:rPr>
        <w:t>32)</w:t>
      </w:r>
    </w:p>
    <w:p w14:paraId="3CE27C65" w14:textId="4B7D8C2C" w:rsidR="006762B6" w:rsidRPr="002832C6" w:rsidRDefault="006762B6" w:rsidP="006762B6">
      <w:pPr>
        <w:pStyle w:val="ListParagraph"/>
        <w:numPr>
          <w:ilvl w:val="0"/>
          <w:numId w:val="46"/>
        </w:numPr>
        <w:spacing w:before="0"/>
        <w:rPr>
          <w:rFonts w:cs="Open Sans"/>
        </w:rPr>
      </w:pPr>
      <w:r w:rsidRPr="002832C6">
        <w:rPr>
          <w:rFonts w:cs="Open Sans"/>
        </w:rPr>
        <w:t>more accessible broadband internet by introducing a concessional rate for people with disability</w:t>
      </w:r>
      <w:r>
        <w:rPr>
          <w:rFonts w:cs="Open Sans"/>
        </w:rPr>
        <w:t xml:space="preserve"> (</w:t>
      </w:r>
      <w:r w:rsidR="00122C12">
        <w:rPr>
          <w:rFonts w:cs="Open Sans"/>
        </w:rPr>
        <w:t xml:space="preserve">Recommendation </w:t>
      </w:r>
      <w:r>
        <w:rPr>
          <w:rFonts w:cs="Open Sans"/>
        </w:rPr>
        <w:t>33)</w:t>
      </w:r>
    </w:p>
    <w:p w14:paraId="57CB10C5" w14:textId="3F7857BC" w:rsidR="006762B6" w:rsidRDefault="006762B6" w:rsidP="006762B6">
      <w:pPr>
        <w:pStyle w:val="ListParagraph"/>
        <w:numPr>
          <w:ilvl w:val="0"/>
          <w:numId w:val="46"/>
        </w:numPr>
        <w:spacing w:before="0"/>
        <w:rPr>
          <w:rFonts w:cs="Open Sans"/>
        </w:rPr>
      </w:pPr>
      <w:r w:rsidRPr="002832C6">
        <w:rPr>
          <w:rFonts w:cs="Open Sans"/>
        </w:rPr>
        <w:t>National Disability Insurance Scheme funding to improve access to Digital Communication Technolog</w:t>
      </w:r>
      <w:r>
        <w:rPr>
          <w:rFonts w:cs="Open Sans"/>
        </w:rPr>
        <w:t xml:space="preserve">y </w:t>
      </w:r>
      <w:r w:rsidRPr="002832C6">
        <w:rPr>
          <w:rFonts w:cs="Open Sans"/>
        </w:rPr>
        <w:t>for people with disability</w:t>
      </w:r>
      <w:r>
        <w:rPr>
          <w:rFonts w:cs="Open Sans"/>
        </w:rPr>
        <w:t xml:space="preserve"> (</w:t>
      </w:r>
      <w:r w:rsidR="00122C12">
        <w:rPr>
          <w:rFonts w:cs="Open Sans"/>
        </w:rPr>
        <w:t xml:space="preserve">Recommendation </w:t>
      </w:r>
      <w:r>
        <w:rPr>
          <w:rFonts w:cs="Open Sans"/>
        </w:rPr>
        <w:t>34)</w:t>
      </w:r>
      <w:r w:rsidRPr="002832C6">
        <w:rPr>
          <w:rFonts w:cs="Open Sans"/>
        </w:rPr>
        <w:t>.</w:t>
      </w:r>
      <w:r>
        <w:rPr>
          <w:rFonts w:cs="Open Sans"/>
        </w:rPr>
        <w:t xml:space="preserve"> </w:t>
      </w:r>
    </w:p>
    <w:p w14:paraId="74B62056" w14:textId="77777777" w:rsidR="007D79FD" w:rsidRDefault="007D79FD">
      <w:pPr>
        <w:keepLines w:val="0"/>
        <w:spacing w:before="0" w:after="0"/>
        <w:rPr>
          <w:rFonts w:cs="Open Sans"/>
          <w:b/>
          <w:bCs/>
        </w:rPr>
      </w:pPr>
      <w:r>
        <w:rPr>
          <w:rFonts w:cs="Open Sans"/>
          <w:b/>
          <w:bCs/>
        </w:rPr>
        <w:br w:type="page"/>
      </w:r>
    </w:p>
    <w:p w14:paraId="244F4CDB" w14:textId="458E072D" w:rsidR="006762B6" w:rsidRPr="00555D01" w:rsidRDefault="006762B6" w:rsidP="0063774D">
      <w:pPr>
        <w:pStyle w:val="Heading5"/>
      </w:pPr>
      <w:r>
        <w:lastRenderedPageBreak/>
        <w:t>Design, education and capacity building: Chapter 15</w:t>
      </w:r>
    </w:p>
    <w:p w14:paraId="114427A2" w14:textId="77777777" w:rsidR="006762B6" w:rsidRDefault="006762B6" w:rsidP="006762B6">
      <w:pPr>
        <w:rPr>
          <w:rFonts w:cs="Open Sans"/>
        </w:rPr>
      </w:pPr>
      <w:r>
        <w:rPr>
          <w:rFonts w:cs="Open Sans"/>
        </w:rPr>
        <w:t>Good d</w:t>
      </w:r>
      <w:r w:rsidRPr="00362CDD">
        <w:rPr>
          <w:rFonts w:cs="Open Sans"/>
        </w:rPr>
        <w:t xml:space="preserve">esign, education and capacity building </w:t>
      </w:r>
      <w:r>
        <w:rPr>
          <w:rFonts w:cs="Open Sans"/>
        </w:rPr>
        <w:t xml:space="preserve">can </w:t>
      </w:r>
      <w:r w:rsidRPr="00362CDD">
        <w:rPr>
          <w:rFonts w:cs="Open Sans"/>
        </w:rPr>
        <w:t>promot</w:t>
      </w:r>
      <w:r>
        <w:rPr>
          <w:rFonts w:cs="Open Sans"/>
        </w:rPr>
        <w:t>e</w:t>
      </w:r>
      <w:r w:rsidRPr="00362CDD">
        <w:rPr>
          <w:rFonts w:cs="Open Sans"/>
        </w:rPr>
        <w:t xml:space="preserve"> accessible Digital Communication Technolog</w:t>
      </w:r>
      <w:r>
        <w:rPr>
          <w:rFonts w:cs="Open Sans"/>
        </w:rPr>
        <w:t>y</w:t>
      </w:r>
      <w:r w:rsidRPr="00362CDD">
        <w:rPr>
          <w:rFonts w:cs="Open Sans"/>
        </w:rPr>
        <w:t>.</w:t>
      </w:r>
      <w:r>
        <w:rPr>
          <w:rFonts w:cs="Open Sans"/>
        </w:rPr>
        <w:t xml:space="preserve"> </w:t>
      </w:r>
    </w:p>
    <w:p w14:paraId="7EB11C8F" w14:textId="252C0FDA" w:rsidR="006762B6" w:rsidRPr="002832C6" w:rsidRDefault="006762B6" w:rsidP="006762B6">
      <w:pPr>
        <w:rPr>
          <w:rFonts w:cs="Open Sans"/>
        </w:rPr>
      </w:pPr>
      <w:r>
        <w:rPr>
          <w:rFonts w:cs="Open Sans"/>
        </w:rPr>
        <w:t xml:space="preserve">The Commission recommends </w:t>
      </w:r>
      <w:r w:rsidRPr="002832C6">
        <w:rPr>
          <w:rFonts w:cs="Open Sans"/>
        </w:rPr>
        <w:t xml:space="preserve">applying a 'human rights by design' approach </w:t>
      </w:r>
      <w:r>
        <w:rPr>
          <w:rFonts w:cs="Open Sans"/>
        </w:rPr>
        <w:t xml:space="preserve">including by </w:t>
      </w:r>
      <w:r w:rsidRPr="002832C6">
        <w:rPr>
          <w:rFonts w:cs="Open Sans"/>
        </w:rPr>
        <w:t>the Australian Government adopting, promoting and modelling good practice</w:t>
      </w:r>
      <w:r>
        <w:rPr>
          <w:rFonts w:cs="Open Sans"/>
        </w:rPr>
        <w:t xml:space="preserve"> and </w:t>
      </w:r>
      <w:r w:rsidRPr="002832C6">
        <w:rPr>
          <w:rFonts w:cs="Open Sans"/>
        </w:rPr>
        <w:t>incorporating this approach into education</w:t>
      </w:r>
      <w:r>
        <w:rPr>
          <w:rFonts w:cs="Open Sans"/>
        </w:rPr>
        <w:t xml:space="preserve">, </w:t>
      </w:r>
      <w:r w:rsidRPr="002832C6">
        <w:rPr>
          <w:rFonts w:cs="Open Sans"/>
        </w:rPr>
        <w:t>training</w:t>
      </w:r>
      <w:r>
        <w:rPr>
          <w:rFonts w:cs="Open Sans"/>
        </w:rPr>
        <w:t>, professional development and accreditation (</w:t>
      </w:r>
      <w:r w:rsidR="00122C12">
        <w:rPr>
          <w:rFonts w:cs="Open Sans"/>
        </w:rPr>
        <w:t xml:space="preserve">Recommendations </w:t>
      </w:r>
      <w:r>
        <w:rPr>
          <w:rFonts w:cs="Open Sans"/>
        </w:rPr>
        <w:t>35-38).</w:t>
      </w:r>
    </w:p>
    <w:p w14:paraId="6974AB05" w14:textId="5E6552E1" w:rsidR="00F103AC" w:rsidRPr="006E4CE1" w:rsidRDefault="00E21482" w:rsidP="006E4CE1">
      <w:r w:rsidRPr="009B313F">
        <w:rPr>
          <w:noProof/>
        </w:rPr>
        <w:lastRenderedPageBreak/>
        <w:drawing>
          <wp:inline distT="0" distB="0" distL="0" distR="0" wp14:anchorId="702957D4" wp14:editId="7D1B54E6">
            <wp:extent cx="5731510" cy="8098790"/>
            <wp:effectExtent l="0" t="0" r="0" b="3810"/>
            <wp:docPr id="8" name="Immagine 8" descr="Infographic with a circle at the top titled: ‘Access to Digital Communication Technology is an enabling right for people with disability’. &#10;Five arms branch off from the circle, each with several components. The arms from left to right are:&#10;1. Addressing disability discrimination, including: new Disability Discrimination Act Standard; and new voluntary standards. &#10;2. Industry action, including: concessional NBN broadband for people with disability; and inquiry into industry compliance with accessibility standards. &#10;3. Government action, including: government procurement rules promote accessibility; Australian Governments comply with accessibility standards: policies and targets; and accessibility tech under the NDIS. &#10;4. News, information and entertainment, including: audio description and captioning; and accessible emergency announcements. &#10;5. Design, education and capacity building, including: human rights by design in curricula; and accessible technology in new National Disability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nfographic with a circle at the top titled: ‘Access to Digital Communication Technology is an enabling right for people with disability’. &#10;Five arms branch off from the circle, each with several components. The arms from left to right are:&#10;1. Addressing disability discrimination, including: new Disability Discrimination Act Standard; and new voluntary standards. &#10;2. Industry action, including: concessional NBN broadband for people with disability; and inquiry into industry compliance with accessibility standards. &#10;3. Government action, including: government procurement rules promote accessibility; Australian Governments comply with accessibility standards: policies and targets; and accessibility tech under the NDIS. &#10;4. News, information and entertainment, including: audio description and captioning; and accessible emergency announcements. &#10;5. Design, education and capacity building, including: human rights by design in curricula; and accessible technology in new National Disability Strategy."/>
                    <pic:cNvPicPr/>
                  </pic:nvPicPr>
                  <pic:blipFill>
                    <a:blip r:embed="rId25"/>
                    <a:stretch>
                      <a:fillRect/>
                    </a:stretch>
                  </pic:blipFill>
                  <pic:spPr>
                    <a:xfrm>
                      <a:off x="0" y="0"/>
                      <a:ext cx="5731510" cy="8098790"/>
                    </a:xfrm>
                    <a:prstGeom prst="rect">
                      <a:avLst/>
                    </a:prstGeom>
                  </pic:spPr>
                </pic:pic>
              </a:graphicData>
            </a:graphic>
          </wp:inline>
        </w:drawing>
      </w:r>
    </w:p>
    <w:p w14:paraId="67C61E44" w14:textId="79E4E0E5" w:rsidR="003423F4" w:rsidRDefault="00150AB8" w:rsidP="00E03F6A">
      <w:pPr>
        <w:pStyle w:val="Heading1"/>
        <w:numPr>
          <w:ilvl w:val="0"/>
          <w:numId w:val="0"/>
        </w:numPr>
        <w:ind w:left="851" w:hanging="851"/>
      </w:pPr>
      <w:bookmarkStart w:id="8" w:name="_Toc68375063"/>
      <w:bookmarkEnd w:id="7"/>
      <w:r>
        <w:lastRenderedPageBreak/>
        <w:t xml:space="preserve">List of </w:t>
      </w:r>
      <w:r w:rsidR="001859DA">
        <w:t>R</w:t>
      </w:r>
      <w:r w:rsidR="008702E2">
        <w:t>ecommendations</w:t>
      </w:r>
      <w:bookmarkEnd w:id="8"/>
    </w:p>
    <w:p w14:paraId="57E96094" w14:textId="77777777" w:rsidR="00FA2C3A" w:rsidRPr="00805FE3" w:rsidRDefault="00FA2C3A" w:rsidP="0063774D">
      <w:pPr>
        <w:pStyle w:val="Heading5"/>
      </w:pPr>
      <w:r w:rsidRPr="00805FE3">
        <w:t>PART A: NATIONAL STRATEGY ON NEW AND EMERGING TECHNOLOGIES</w:t>
      </w:r>
    </w:p>
    <w:p w14:paraId="2F2AE7E8" w14:textId="77777777" w:rsidR="00FA2C3A" w:rsidRPr="00805FE3" w:rsidRDefault="00FA2C3A" w:rsidP="00FA2C3A">
      <w:r w:rsidRPr="00805FE3">
        <w:rPr>
          <w:b/>
          <w:bCs/>
        </w:rPr>
        <w:t xml:space="preserve">Recommendation 1: </w:t>
      </w:r>
      <w:r w:rsidRPr="00805FE3">
        <w:t xml:space="preserve">The </w:t>
      </w:r>
      <w:r w:rsidRPr="0063774D">
        <w:rPr>
          <w:rStyle w:val="Emphasis"/>
        </w:rPr>
        <w:t xml:space="preserve">Digital Australia Strategy, </w:t>
      </w:r>
      <w:r w:rsidRPr="00805FE3">
        <w:rPr>
          <w:iCs/>
        </w:rPr>
        <w:t xml:space="preserve">which is currently being developed by the </w:t>
      </w:r>
      <w:r w:rsidRPr="00805FE3">
        <w:t xml:space="preserve">Australian Government Department of the Prime Minister and Cabinet, should set Australia’s national strategy for new and emerging technologies. The </w:t>
      </w:r>
      <w:r w:rsidRPr="0063774D">
        <w:rPr>
          <w:rStyle w:val="Emphasis"/>
        </w:rPr>
        <w:t>Digital Australia Strategy</w:t>
      </w:r>
      <w:r w:rsidRPr="00805FE3">
        <w:t xml:space="preserve"> should promote responsible innovation through:</w:t>
      </w:r>
    </w:p>
    <w:p w14:paraId="1C0F7677" w14:textId="77777777" w:rsidR="00FA2C3A" w:rsidRPr="00A93E3F" w:rsidRDefault="00FA2C3A" w:rsidP="00FA2C3A">
      <w:pPr>
        <w:ind w:left="720"/>
      </w:pPr>
      <w:r w:rsidRPr="00805FE3">
        <w:t xml:space="preserve">(a) </w:t>
      </w:r>
      <w:r w:rsidRPr="00A93E3F">
        <w:t>effective regulation—including law, co-regulation and self-regulation—that upholds human rights in the development and use of new technologies</w:t>
      </w:r>
    </w:p>
    <w:p w14:paraId="18407C23" w14:textId="77777777" w:rsidR="00FA2C3A" w:rsidRPr="00A93E3F" w:rsidRDefault="00FA2C3A" w:rsidP="00FA2C3A">
      <w:pPr>
        <w:ind w:left="720"/>
      </w:pPr>
      <w:r w:rsidRPr="00805FE3">
        <w:t xml:space="preserve">(b) </w:t>
      </w:r>
      <w:r w:rsidRPr="00A93E3F">
        <w:t>the development of a community-wide action plan on education, training and capacity building regarding the human rights implications of new and emerging technologies</w:t>
      </w:r>
    </w:p>
    <w:p w14:paraId="7CE71A6F" w14:textId="77777777" w:rsidR="00FA2C3A" w:rsidRPr="00A93E3F" w:rsidRDefault="00FA2C3A" w:rsidP="00FA2C3A">
      <w:pPr>
        <w:ind w:left="720"/>
      </w:pPr>
      <w:r w:rsidRPr="00805FE3">
        <w:t xml:space="preserve">(c) </w:t>
      </w:r>
      <w:r w:rsidRPr="00A93E3F">
        <w:t>funding and investment for responsible innovation that complies with human rights</w:t>
      </w:r>
    </w:p>
    <w:p w14:paraId="48EE1EB7" w14:textId="4008372C" w:rsidR="00FA2C3A" w:rsidRDefault="00FA2C3A" w:rsidP="00FA2C3A">
      <w:pPr>
        <w:ind w:left="720"/>
      </w:pPr>
      <w:r w:rsidRPr="00805FE3">
        <w:t xml:space="preserve">(d) </w:t>
      </w:r>
      <w:r w:rsidRPr="00A93E3F">
        <w:t>practical</w:t>
      </w:r>
      <w:r w:rsidRPr="00805FE3">
        <w:t xml:space="preserve"> measures to achieve the Strategy’s aims, including through the establishment of an AI Safety Commissioner (see Recommendation 22).</w:t>
      </w:r>
    </w:p>
    <w:p w14:paraId="1639573F" w14:textId="30D4D192" w:rsidR="0039454D" w:rsidRDefault="0039454D">
      <w:pPr>
        <w:spacing w:before="0" w:after="0"/>
      </w:pPr>
      <w:r>
        <w:br w:type="page"/>
      </w:r>
    </w:p>
    <w:p w14:paraId="721D3F33" w14:textId="77777777" w:rsidR="00FA2C3A" w:rsidRPr="00805FE3" w:rsidRDefault="00FA2C3A" w:rsidP="00FA2C3A">
      <w:pPr>
        <w:rPr>
          <w:b/>
          <w:bCs/>
        </w:rPr>
      </w:pPr>
      <w:r w:rsidRPr="00805FE3">
        <w:rPr>
          <w:b/>
          <w:bCs/>
        </w:rPr>
        <w:lastRenderedPageBreak/>
        <w:t xml:space="preserve">PART B: ARTIFICIAL INTELLIGENCE </w:t>
      </w:r>
    </w:p>
    <w:p w14:paraId="670E76DE" w14:textId="41DFFDF7" w:rsidR="00FA2C3A" w:rsidRPr="00805FE3" w:rsidRDefault="00FA2C3A" w:rsidP="0063774D">
      <w:pPr>
        <w:pStyle w:val="Heading5"/>
      </w:pPr>
      <w:r w:rsidRPr="00805FE3">
        <w:t>Chapter 5</w:t>
      </w:r>
      <w:r w:rsidR="00FF43E4">
        <w:t>:</w:t>
      </w:r>
      <w:r w:rsidRPr="00805FE3">
        <w:t xml:space="preserve"> Legal accountability for government use of AI</w:t>
      </w:r>
    </w:p>
    <w:p w14:paraId="30F31FDB" w14:textId="571BC27F" w:rsidR="00FA2C3A" w:rsidRPr="00805FE3" w:rsidRDefault="00FA2C3A" w:rsidP="00FA2C3A">
      <w:r w:rsidRPr="00805FE3">
        <w:rPr>
          <w:b/>
          <w:bCs/>
          <w:lang w:val="en-GB"/>
        </w:rPr>
        <w:t xml:space="preserve">Recommendation 2: </w:t>
      </w:r>
      <w:r w:rsidRPr="00805FE3">
        <w:t>The Australian Government should introduce legislation to require that a human rights impact assessment (HRIA) be undertaken before any department or agency uses an AI-informed decision-making system to make administrative decisions.</w:t>
      </w:r>
    </w:p>
    <w:p w14:paraId="7A19DC09" w14:textId="07690F7F" w:rsidR="00FA2C3A" w:rsidRPr="00805FE3" w:rsidRDefault="00FA2C3A" w:rsidP="00FA2C3A">
      <w:r w:rsidRPr="00805FE3">
        <w:t>An HRIA should include public consultation, focusing on those most likely to be affected. An HRIA should assess whether the proposed AI-informed decision-making system:</w:t>
      </w:r>
    </w:p>
    <w:p w14:paraId="4D1B5069" w14:textId="77777777" w:rsidR="00FA2C3A" w:rsidRPr="00805FE3" w:rsidRDefault="00FA2C3A" w:rsidP="00FA2C3A">
      <w:pPr>
        <w:ind w:left="720"/>
      </w:pPr>
      <w:r w:rsidRPr="00805FE3">
        <w:t>(a) complies with Australia’s international human rights law obligations</w:t>
      </w:r>
    </w:p>
    <w:p w14:paraId="2BE8B1D3" w14:textId="77777777" w:rsidR="00FA2C3A" w:rsidRPr="00805FE3" w:rsidRDefault="00FA2C3A" w:rsidP="00FA2C3A">
      <w:pPr>
        <w:ind w:left="720"/>
      </w:pPr>
      <w:r w:rsidRPr="00805FE3">
        <w:t xml:space="preserve">(b) will involve automating any discretionary element of administrative decisions, including by reference to the Commonwealth Ombudsman’s </w:t>
      </w:r>
      <w:r w:rsidRPr="0063774D">
        <w:rPr>
          <w:rStyle w:val="Emphasis"/>
        </w:rPr>
        <w:t xml:space="preserve">Automated decision-making better practice guide </w:t>
      </w:r>
      <w:r w:rsidRPr="00805FE3">
        <w:t>and other expert guidance</w:t>
      </w:r>
    </w:p>
    <w:p w14:paraId="18FAB1CA" w14:textId="77777777" w:rsidR="00FA2C3A" w:rsidRPr="00805FE3" w:rsidRDefault="00FA2C3A" w:rsidP="00FA2C3A">
      <w:pPr>
        <w:ind w:left="720"/>
      </w:pPr>
      <w:r w:rsidRPr="00805FE3">
        <w:t>(c) provides for appropriate review of decisions by human decision makers</w:t>
      </w:r>
    </w:p>
    <w:p w14:paraId="64834675" w14:textId="77777777" w:rsidR="00FA2C3A" w:rsidRPr="00805FE3" w:rsidRDefault="00FA2C3A" w:rsidP="00FA2C3A">
      <w:pPr>
        <w:ind w:left="720"/>
        <w:rPr>
          <w:b/>
          <w:bCs/>
          <w:lang w:val="en-GB"/>
        </w:rPr>
      </w:pPr>
      <w:r w:rsidRPr="00805FE3">
        <w:t>(d) is authorised and governed by legislation.</w:t>
      </w:r>
    </w:p>
    <w:p w14:paraId="1B32D990" w14:textId="77777777" w:rsidR="00FA2C3A" w:rsidRPr="00805FE3" w:rsidRDefault="00FA2C3A" w:rsidP="00FA2C3A">
      <w:pPr>
        <w:rPr>
          <w:b/>
          <w:bCs/>
        </w:rPr>
      </w:pPr>
      <w:r w:rsidRPr="00805FE3">
        <w:rPr>
          <w:b/>
          <w:bCs/>
        </w:rPr>
        <w:t xml:space="preserve">Recommendation 3: </w:t>
      </w:r>
      <w:r w:rsidRPr="00805FE3">
        <w:t>The Australian Government should introduce legislation to require that any affected individual is notified where artificial intelligence is materially used in making an administrative decision. That notification should include information regarding how an affected individual can challenge the decision.</w:t>
      </w:r>
    </w:p>
    <w:p w14:paraId="08D121BD" w14:textId="77777777" w:rsidR="00FA2C3A" w:rsidRPr="00805FE3" w:rsidRDefault="00FA2C3A" w:rsidP="00FA2C3A">
      <w:pPr>
        <w:rPr>
          <w:b/>
          <w:bCs/>
        </w:rPr>
      </w:pPr>
      <w:r w:rsidRPr="00805FE3">
        <w:rPr>
          <w:b/>
          <w:bCs/>
        </w:rPr>
        <w:t xml:space="preserve">Recommendation 4: </w:t>
      </w:r>
      <w:r w:rsidRPr="00805FE3">
        <w:t>The Australian Government should commission an audit of all current or proposed use of AI-informed decision making by or on behalf of Government agencies. The AI Safety Commissioner (see Recommendation 22), or another suitable expert body, should conduct this audit.</w:t>
      </w:r>
    </w:p>
    <w:p w14:paraId="5A07FA85" w14:textId="025FF954" w:rsidR="00FA2C3A" w:rsidRDefault="00FA2C3A" w:rsidP="00FA2C3A">
      <w:r w:rsidRPr="00805FE3">
        <w:rPr>
          <w:b/>
          <w:bCs/>
        </w:rPr>
        <w:t xml:space="preserve">Recommendation 5: </w:t>
      </w:r>
      <w:r w:rsidRPr="00805FE3">
        <w:t>The Australian Government should not make administrative decisions, including through the use of automation or artificial intelligence, if the decision maker cannot generate reasons or a technical explanation for an affected person.</w:t>
      </w:r>
    </w:p>
    <w:p w14:paraId="36ECC1B1" w14:textId="33CF634B" w:rsidR="0039454D" w:rsidRDefault="0039454D">
      <w:pPr>
        <w:spacing w:before="0" w:after="0"/>
      </w:pPr>
      <w:r>
        <w:br w:type="page"/>
      </w:r>
    </w:p>
    <w:p w14:paraId="7F229641" w14:textId="77777777" w:rsidR="00FA2C3A" w:rsidRPr="00805FE3" w:rsidRDefault="00FA2C3A" w:rsidP="00FA2C3A">
      <w:r w:rsidRPr="00805FE3">
        <w:rPr>
          <w:b/>
          <w:bCs/>
        </w:rPr>
        <w:lastRenderedPageBreak/>
        <w:t xml:space="preserve">Recommendation 6: </w:t>
      </w:r>
      <w:r w:rsidRPr="00805FE3">
        <w:t xml:space="preserve">The Australian Government should make clear that, where a person has a legal entitlement to reasons for a decision, this entitlement exists regardless of how the decision is made. To this end, relevant legislation including s 25D of the </w:t>
      </w:r>
      <w:r w:rsidRPr="0063774D">
        <w:rPr>
          <w:rStyle w:val="Emphasis"/>
        </w:rPr>
        <w:t>Acts Interpretation Act 1901</w:t>
      </w:r>
      <w:r w:rsidRPr="00805FE3">
        <w:t xml:space="preserve"> (</w:t>
      </w:r>
      <w:proofErr w:type="spellStart"/>
      <w:r w:rsidRPr="00805FE3">
        <w:t>Cth</w:t>
      </w:r>
      <w:proofErr w:type="spellEnd"/>
      <w:r w:rsidRPr="00805FE3">
        <w:t>) should be amended to provide that:</w:t>
      </w:r>
    </w:p>
    <w:p w14:paraId="6CEB48ED" w14:textId="77777777" w:rsidR="00FA2C3A" w:rsidRPr="00805FE3" w:rsidRDefault="00FA2C3A" w:rsidP="00FA2C3A">
      <w:pPr>
        <w:ind w:left="720"/>
      </w:pPr>
      <w:r w:rsidRPr="00805FE3">
        <w:t>(a) for the avoidance of doubt, the term ‘decision’ includes decisions made using automation and other forms of artificial intelligence</w:t>
      </w:r>
    </w:p>
    <w:p w14:paraId="19599C1E" w14:textId="77777777" w:rsidR="00FA2C3A" w:rsidRPr="00805FE3" w:rsidRDefault="00FA2C3A" w:rsidP="00FA2C3A">
      <w:pPr>
        <w:ind w:left="720"/>
      </w:pPr>
      <w:r w:rsidRPr="00805FE3">
        <w:t>(b) where a person has a right to reasons the person is entitled also to a technical explanation of the decision, in a form that could be assessed and validated by a person with relevant technical expertise</w:t>
      </w:r>
    </w:p>
    <w:p w14:paraId="1DC6F3A8" w14:textId="77777777" w:rsidR="00FA2C3A" w:rsidRPr="00805FE3" w:rsidRDefault="00FA2C3A" w:rsidP="00FA2C3A">
      <w:pPr>
        <w:ind w:left="720"/>
      </w:pPr>
      <w:r w:rsidRPr="00805FE3">
        <w:t>(c) the decision maker must provide this technical explanation to the person within a reasonable time following any valid request.</w:t>
      </w:r>
    </w:p>
    <w:p w14:paraId="747E35D1" w14:textId="77777777" w:rsidR="00FA2C3A" w:rsidRPr="00805FE3" w:rsidRDefault="00FA2C3A" w:rsidP="00FA2C3A">
      <w:r w:rsidRPr="00805FE3">
        <w:rPr>
          <w:b/>
          <w:bCs/>
        </w:rPr>
        <w:t xml:space="preserve">Recommendation 7: </w:t>
      </w:r>
      <w:r w:rsidRPr="00805FE3">
        <w:t xml:space="preserve">The Australian Government should engage a suitable expert body, such as the AI Safety Commissioner (see Recommendation 22), to develop guidance for government and non-government bodies on how to generate reasons, including a technical explanation, for AI-informed decisions. </w:t>
      </w:r>
    </w:p>
    <w:p w14:paraId="28E37F33" w14:textId="77777777" w:rsidR="00FA2C3A" w:rsidRPr="00805FE3" w:rsidRDefault="00FA2C3A" w:rsidP="00FA2C3A">
      <w:r w:rsidRPr="00805FE3">
        <w:rPr>
          <w:b/>
          <w:bCs/>
        </w:rPr>
        <w:t xml:space="preserve">Recommendation 8: </w:t>
      </w:r>
      <w:r w:rsidRPr="00805FE3">
        <w:t>The Australian Government should introduce legislation to create or ensure a right to merits review, generally before an independent tribunal such as the Administrative Appeals Tribunal, for any AI-informed administrative decision.</w:t>
      </w:r>
    </w:p>
    <w:p w14:paraId="3A938D23" w14:textId="2A0218FB" w:rsidR="00FA2C3A" w:rsidRPr="00805FE3" w:rsidRDefault="00FA2C3A" w:rsidP="0063774D">
      <w:pPr>
        <w:pStyle w:val="Heading5"/>
      </w:pPr>
      <w:r w:rsidRPr="00805FE3">
        <w:t>Chapter 6</w:t>
      </w:r>
      <w:r w:rsidR="00FF43E4">
        <w:t>:</w:t>
      </w:r>
      <w:r w:rsidRPr="00805FE3">
        <w:t xml:space="preserve"> Legal accountability for private sector use of AI</w:t>
      </w:r>
    </w:p>
    <w:p w14:paraId="499A47BD" w14:textId="77777777" w:rsidR="00FA2C3A" w:rsidRPr="00805FE3" w:rsidRDefault="00FA2C3A" w:rsidP="00FA2C3A">
      <w:r w:rsidRPr="00805FE3">
        <w:rPr>
          <w:b/>
          <w:bCs/>
        </w:rPr>
        <w:t xml:space="preserve">Recommendation 9: </w:t>
      </w:r>
      <w:r w:rsidRPr="00805FE3">
        <w:t xml:space="preserve">The Australian Government’s </w:t>
      </w:r>
      <w:r w:rsidRPr="0063774D">
        <w:rPr>
          <w:rStyle w:val="Emphasis"/>
        </w:rPr>
        <w:t>AI Ethics Principles</w:t>
      </w:r>
      <w:r w:rsidRPr="00805FE3">
        <w:t xml:space="preserve"> should be used to encourage corporations and other non-government bodies to undertake a human rights impact assessment before using an AI-informed decision-making system. The Government should engage the AI Safety Commissioner (Recommendation 22) to issue guidance for the private sector on how to undertake human rights impact assessments.</w:t>
      </w:r>
    </w:p>
    <w:p w14:paraId="3EBEF733" w14:textId="2B8B2629" w:rsidR="00FA2C3A" w:rsidRDefault="00FA2C3A" w:rsidP="00FA2C3A">
      <w:r w:rsidRPr="00805FE3">
        <w:rPr>
          <w:b/>
          <w:bCs/>
        </w:rPr>
        <w:t xml:space="preserve">Recommendation 10: </w:t>
      </w:r>
      <w:r w:rsidRPr="00805FE3">
        <w:t>The Australian Government should introduce legislation to require that any affected individual is notified when a corporation or other legal person materially uses AI in a decision-making process that affects the legal, or similarly significant, rights of the individual.</w:t>
      </w:r>
    </w:p>
    <w:p w14:paraId="1443B3C9" w14:textId="0454E50A" w:rsidR="0039454D" w:rsidRDefault="0039454D">
      <w:pPr>
        <w:spacing w:before="0" w:after="0"/>
      </w:pPr>
      <w:r>
        <w:br w:type="page"/>
      </w:r>
    </w:p>
    <w:p w14:paraId="3F1E3BB1" w14:textId="77777777" w:rsidR="00FA2C3A" w:rsidRPr="00805FE3" w:rsidRDefault="00FA2C3A" w:rsidP="00FA2C3A">
      <w:r w:rsidRPr="00805FE3">
        <w:rPr>
          <w:b/>
          <w:bCs/>
        </w:rPr>
        <w:lastRenderedPageBreak/>
        <w:t xml:space="preserve">Recommendation 11: </w:t>
      </w:r>
      <w:r w:rsidRPr="00805FE3">
        <w:t>The Australian Government should introduce legislation that provides a rebuttable presumption that, where a corporation or other legal person is responsible for making a decision, that legal person is legally liable for the decision regardless of how it is made, including where the decision is automated or is made using artificial intelligence. </w:t>
      </w:r>
    </w:p>
    <w:p w14:paraId="05E4B8D1" w14:textId="77777777" w:rsidR="00FA2C3A" w:rsidRPr="00805FE3" w:rsidRDefault="00FA2C3A" w:rsidP="00FA2C3A">
      <w:pPr>
        <w:rPr>
          <w:b/>
          <w:bCs/>
        </w:rPr>
      </w:pPr>
      <w:r w:rsidRPr="00805FE3">
        <w:rPr>
          <w:b/>
          <w:bCs/>
        </w:rPr>
        <w:t xml:space="preserve">Recommendation 12: </w:t>
      </w:r>
      <w:r w:rsidRPr="00805FE3">
        <w:t>Centres of expertise, including the newly established Australian Research Council Centre of Excellence for Automated Decision-Making and Society, should prioritise research on the ‘</w:t>
      </w:r>
      <w:proofErr w:type="spellStart"/>
      <w:r w:rsidRPr="00805FE3">
        <w:t>explainability</w:t>
      </w:r>
      <w:proofErr w:type="spellEnd"/>
      <w:r w:rsidRPr="00805FE3">
        <w:t xml:space="preserve">’ of AI-informed decision making. </w:t>
      </w:r>
    </w:p>
    <w:p w14:paraId="3292D04A" w14:textId="77777777" w:rsidR="00FA2C3A" w:rsidRPr="00805FE3" w:rsidRDefault="00FA2C3A" w:rsidP="00FA2C3A">
      <w:r w:rsidRPr="00805FE3">
        <w:rPr>
          <w:b/>
          <w:bCs/>
        </w:rPr>
        <w:t xml:space="preserve">Recommendation 13: </w:t>
      </w:r>
      <w:r w:rsidRPr="00805FE3">
        <w:t xml:space="preserve">The Australian Government should introduce legislation to provide that where a court, or regulatory, oversight or dispute resolution body, has power to order the production of information or other material from a corporation or other legal person: </w:t>
      </w:r>
    </w:p>
    <w:p w14:paraId="454D80B9" w14:textId="77777777" w:rsidR="00FA2C3A" w:rsidRPr="00805FE3" w:rsidRDefault="00FA2C3A" w:rsidP="00FA2C3A">
      <w:pPr>
        <w:ind w:left="720"/>
      </w:pPr>
      <w:r w:rsidRPr="00805FE3">
        <w:t xml:space="preserve">(a) for the avoidance of doubt, the person must comply with this order even where the person uses a form of technology, such as artificial intelligence, that makes it difficult to comply with the order </w:t>
      </w:r>
    </w:p>
    <w:p w14:paraId="49500AE1" w14:textId="77777777" w:rsidR="00FA2C3A" w:rsidRPr="00805FE3" w:rsidRDefault="00FA2C3A" w:rsidP="00FA2C3A">
      <w:pPr>
        <w:ind w:left="720"/>
      </w:pPr>
      <w:r w:rsidRPr="00805FE3">
        <w:t>(b) if the person fails to comply with the order because of the technology the person uses, the body may draw an adverse inference about the decision-making process or other related matters.</w:t>
      </w:r>
    </w:p>
    <w:p w14:paraId="1EBE3321" w14:textId="53CD64FF" w:rsidR="00FA2C3A" w:rsidRPr="00805FE3" w:rsidRDefault="00FA2C3A" w:rsidP="0063774D">
      <w:pPr>
        <w:pStyle w:val="Heading5"/>
      </w:pPr>
      <w:r w:rsidRPr="00805FE3">
        <w:t>Chapter 7</w:t>
      </w:r>
      <w:r w:rsidR="00FF43E4">
        <w:t>:</w:t>
      </w:r>
      <w:r w:rsidRPr="00805FE3">
        <w:t xml:space="preserve"> Encouraging better AI-informed decision making</w:t>
      </w:r>
    </w:p>
    <w:p w14:paraId="01BC4738" w14:textId="5F0166B0" w:rsidR="00FA2C3A" w:rsidRPr="00805FE3" w:rsidRDefault="00FA2C3A" w:rsidP="00FA2C3A">
      <w:r w:rsidRPr="00805FE3">
        <w:rPr>
          <w:b/>
          <w:bCs/>
        </w:rPr>
        <w:t xml:space="preserve">Recommendation 14: </w:t>
      </w:r>
      <w:r w:rsidRPr="00805FE3">
        <w:t>The Australian Government should convene a multi-disciplinary taskforce on AI-informed decision making, led by an independent body, such as the AI Safety Commissioner (Recommendation 22). The taskforce should:</w:t>
      </w:r>
    </w:p>
    <w:p w14:paraId="2F04D4BC" w14:textId="77777777" w:rsidR="00FA2C3A" w:rsidRPr="00805FE3" w:rsidRDefault="00FA2C3A" w:rsidP="00FA2C3A">
      <w:pPr>
        <w:ind w:left="720"/>
      </w:pPr>
      <w:r w:rsidRPr="00805FE3">
        <w:t>(a) promote the use of human rights by design in this area</w:t>
      </w:r>
    </w:p>
    <w:p w14:paraId="6761FC46" w14:textId="77777777" w:rsidR="00FA2C3A" w:rsidRPr="00805FE3" w:rsidRDefault="00FA2C3A" w:rsidP="00FA2C3A">
      <w:pPr>
        <w:ind w:left="720"/>
      </w:pPr>
      <w:r w:rsidRPr="00805FE3">
        <w:t>(b) advise on the development and use of voluntary standards and certification schemes</w:t>
      </w:r>
    </w:p>
    <w:p w14:paraId="35180151" w14:textId="77777777" w:rsidR="00FA2C3A" w:rsidRPr="00805FE3" w:rsidRDefault="00FA2C3A" w:rsidP="00FA2C3A">
      <w:pPr>
        <w:ind w:left="720"/>
      </w:pPr>
      <w:r w:rsidRPr="00805FE3">
        <w:t>(c) advise on the development of one or more regulatory sandboxes focused on upholding human rights in the use of AI-informed decision making.</w:t>
      </w:r>
    </w:p>
    <w:p w14:paraId="74F74BE0" w14:textId="77777777" w:rsidR="00FA2C3A" w:rsidRPr="00805FE3" w:rsidRDefault="00FA2C3A" w:rsidP="00FA2C3A">
      <w:r w:rsidRPr="00805FE3">
        <w:lastRenderedPageBreak/>
        <w:t>The taskforce should consult widely in the public and private sectors, including with those whose human rights are likely to be significantly affected by AI-informed decision making.</w:t>
      </w:r>
    </w:p>
    <w:p w14:paraId="4E26CD34" w14:textId="77777777" w:rsidR="00FA2C3A" w:rsidRPr="00805FE3" w:rsidRDefault="00FA2C3A" w:rsidP="00FA2C3A">
      <w:pPr>
        <w:rPr>
          <w:b/>
          <w:bCs/>
        </w:rPr>
      </w:pPr>
      <w:r w:rsidRPr="00805FE3">
        <w:rPr>
          <w:b/>
          <w:bCs/>
        </w:rPr>
        <w:t xml:space="preserve">Recommendation 15: </w:t>
      </w:r>
      <w:r w:rsidRPr="00805FE3">
        <w:t>The Australian Government should appoint an independent body, such as the AI Safety Commissioner (Recommendation 22), to develop a tool to assist private sector bodies undertake human rights impact assessments (HRIAs) in developing AI-informed decision-making systems. The Australian Government should maintain a public register of completed HRIAs.</w:t>
      </w:r>
    </w:p>
    <w:p w14:paraId="419B3568" w14:textId="09A87C88" w:rsidR="00FA2C3A" w:rsidRPr="00805FE3" w:rsidRDefault="00FA2C3A" w:rsidP="00FA2C3A">
      <w:pPr>
        <w:rPr>
          <w:b/>
          <w:bCs/>
        </w:rPr>
      </w:pPr>
      <w:r w:rsidRPr="00805FE3">
        <w:rPr>
          <w:b/>
          <w:bCs/>
        </w:rPr>
        <w:t xml:space="preserve">Recommendation 16: </w:t>
      </w:r>
      <w:r w:rsidRPr="00805FE3">
        <w:t>The Australian Government should adopt a human rights approach to procurement of products and services that use artificial intelligence. The Department of Finance, in consultation with the Digital Transformation Agency and other key decision makers and stakeholders, should amend current procurement law, policy and guidance to require that human rights are protected in the design and development of any AI-informed decision-making tool procured by the Australian Government.</w:t>
      </w:r>
    </w:p>
    <w:p w14:paraId="7A5CB7BC" w14:textId="77777777" w:rsidR="00FA2C3A" w:rsidRPr="00805FE3" w:rsidRDefault="00FA2C3A" w:rsidP="00FA2C3A">
      <w:pPr>
        <w:rPr>
          <w:b/>
          <w:bCs/>
        </w:rPr>
      </w:pPr>
      <w:r w:rsidRPr="00805FE3">
        <w:rPr>
          <w:b/>
          <w:bCs/>
        </w:rPr>
        <w:t xml:space="preserve">Recommendation 17: </w:t>
      </w:r>
      <w:r w:rsidRPr="00805FE3">
        <w:t>The Australian Government should engage an expert body, such as the AI Safety Commissioner (Recommendation 22), to issue guidance to the private sector on good practice regarding human review, oversight and monitoring of AI-informed decision-making systems. This body should also advise the Government on ways to incentivise such good practice through the use of voluntary standards, certification schemes and government procurement rules.</w:t>
      </w:r>
    </w:p>
    <w:p w14:paraId="5201A926" w14:textId="1FBE247B" w:rsidR="00FA2C3A" w:rsidRPr="00805FE3" w:rsidRDefault="00FA2C3A" w:rsidP="0063774D">
      <w:pPr>
        <w:pStyle w:val="Heading5"/>
      </w:pPr>
      <w:r w:rsidRPr="00805FE3">
        <w:t>Chapter 8</w:t>
      </w:r>
      <w:r w:rsidR="00FF43E4">
        <w:t>:</w:t>
      </w:r>
      <w:r w:rsidRPr="00805FE3">
        <w:t xml:space="preserve"> AI, equality and non-discrimination</w:t>
      </w:r>
    </w:p>
    <w:p w14:paraId="24C2E867" w14:textId="5C8A4990" w:rsidR="00FA2C3A" w:rsidRPr="00805FE3" w:rsidRDefault="00FA2C3A" w:rsidP="00FA2C3A">
      <w:pPr>
        <w:rPr>
          <w:b/>
        </w:rPr>
      </w:pPr>
      <w:r w:rsidRPr="00805FE3">
        <w:rPr>
          <w:b/>
          <w:bCs/>
        </w:rPr>
        <w:t>Recommendation 18:</w:t>
      </w:r>
      <w:r w:rsidRPr="00805FE3">
        <w:t xml:space="preserve"> </w:t>
      </w:r>
      <w:r w:rsidRPr="00805FE3">
        <w:rPr>
          <w:bCs/>
        </w:rPr>
        <w:t>The Australian Government should resource the Australian Human Rights Commission to produce guidelines for government and non-government bodies on complying with federal anti-discrimination laws in the use of AI-informed decision making.</w:t>
      </w:r>
    </w:p>
    <w:p w14:paraId="6955F24E" w14:textId="77777777" w:rsidR="0039454D" w:rsidRDefault="0039454D">
      <w:pPr>
        <w:spacing w:before="0" w:after="0"/>
        <w:rPr>
          <w:b/>
          <w:bCs/>
        </w:rPr>
      </w:pPr>
      <w:r>
        <w:rPr>
          <w:b/>
          <w:bCs/>
        </w:rPr>
        <w:br w:type="page"/>
      </w:r>
    </w:p>
    <w:p w14:paraId="645A89D6" w14:textId="40351312" w:rsidR="00FA2C3A" w:rsidRPr="00805FE3" w:rsidRDefault="00FA2C3A" w:rsidP="0063774D">
      <w:pPr>
        <w:pStyle w:val="Heading5"/>
      </w:pPr>
      <w:r w:rsidRPr="00805FE3">
        <w:lastRenderedPageBreak/>
        <w:t>Chapter 9</w:t>
      </w:r>
      <w:r w:rsidR="00FF43E4">
        <w:t>:</w:t>
      </w:r>
      <w:r w:rsidRPr="00805FE3">
        <w:t xml:space="preserve"> Biometric surveillance, facial recognition and privacy</w:t>
      </w:r>
    </w:p>
    <w:p w14:paraId="0066CF75" w14:textId="4F2979BF" w:rsidR="00FA2C3A" w:rsidRPr="00805FE3" w:rsidRDefault="00FA2C3A" w:rsidP="00FA2C3A">
      <w:r w:rsidRPr="00805FE3">
        <w:rPr>
          <w:b/>
          <w:bCs/>
        </w:rPr>
        <w:t xml:space="preserve">Recommendation 19: </w:t>
      </w:r>
      <w:r w:rsidRPr="00805FE3">
        <w:t>Australia’s federal, state and territory governments should introduce legislation that regulates the use of facial recognition and other biometric technology. The legislation should:</w:t>
      </w:r>
    </w:p>
    <w:p w14:paraId="03316086" w14:textId="77777777" w:rsidR="00FA2C3A" w:rsidRPr="00805FE3" w:rsidRDefault="00FA2C3A" w:rsidP="00FA2C3A">
      <w:pPr>
        <w:ind w:left="720"/>
      </w:pPr>
      <w:r w:rsidRPr="00805FE3">
        <w:t>(a) expressly protect human rights</w:t>
      </w:r>
    </w:p>
    <w:p w14:paraId="18509DD2" w14:textId="77777777" w:rsidR="00FA2C3A" w:rsidRPr="00805FE3" w:rsidRDefault="00FA2C3A" w:rsidP="00FA2C3A">
      <w:pPr>
        <w:ind w:left="720"/>
      </w:pPr>
      <w:r w:rsidRPr="00805FE3">
        <w:t>(b) apply to the use of this technology in decision making that has a legal, or similarly significant, effect for individuals, or where there is a high risk to human rights, such as in policing and law enforcement</w:t>
      </w:r>
    </w:p>
    <w:p w14:paraId="67C3386C" w14:textId="053076EC" w:rsidR="00FA2C3A" w:rsidRPr="00805FE3" w:rsidRDefault="00FA2C3A" w:rsidP="00FA2C3A">
      <w:pPr>
        <w:ind w:left="720"/>
      </w:pPr>
      <w:r w:rsidRPr="00805FE3">
        <w:t>(c) be developed through in-depth consultation with the community, industry and expert bodies such as the Australian Human Rights Commission and the Office of the Australian Information Commissioner.</w:t>
      </w:r>
    </w:p>
    <w:p w14:paraId="47587B8F" w14:textId="2F4EE9BE" w:rsidR="00FA2C3A" w:rsidRPr="00805FE3" w:rsidRDefault="00FA2C3A" w:rsidP="00FA2C3A">
      <w:pPr>
        <w:rPr>
          <w:b/>
          <w:bCs/>
        </w:rPr>
      </w:pPr>
      <w:r w:rsidRPr="00805FE3">
        <w:rPr>
          <w:b/>
          <w:bCs/>
        </w:rPr>
        <w:t xml:space="preserve">Recommendation 20: </w:t>
      </w:r>
      <w:r w:rsidRPr="00805FE3">
        <w:t>Until the legislation recommended in Recommendation 19 comes into effect, Australia’s federal, state and territory governments should introduce a moratorium on the use of facial recognition and other biometric technology in decision making that has a legal, or similarly significant, effect for individuals, or where there is a high risk to human rights, such as in policing and law enforcement.</w:t>
      </w:r>
    </w:p>
    <w:p w14:paraId="288909E6" w14:textId="77777777" w:rsidR="00FA2C3A" w:rsidRPr="00805FE3" w:rsidRDefault="00FA2C3A" w:rsidP="00FA2C3A">
      <w:pPr>
        <w:rPr>
          <w:b/>
          <w:bCs/>
        </w:rPr>
      </w:pPr>
      <w:r w:rsidRPr="00805FE3">
        <w:rPr>
          <w:b/>
          <w:bCs/>
        </w:rPr>
        <w:t xml:space="preserve">Recommendation 21: </w:t>
      </w:r>
      <w:r w:rsidRPr="00805FE3">
        <w:t>The Australian Government should introduce a statutory cause of action for serious invasion of privacy.</w:t>
      </w:r>
    </w:p>
    <w:p w14:paraId="507E92E9" w14:textId="77777777" w:rsidR="0039454D" w:rsidRDefault="0039454D">
      <w:pPr>
        <w:spacing w:before="0" w:after="0"/>
        <w:rPr>
          <w:b/>
          <w:bCs/>
        </w:rPr>
      </w:pPr>
      <w:r>
        <w:rPr>
          <w:b/>
          <w:bCs/>
        </w:rPr>
        <w:br w:type="page"/>
      </w:r>
    </w:p>
    <w:p w14:paraId="2C4D7414" w14:textId="213D875C" w:rsidR="00FA2C3A" w:rsidRPr="00805FE3" w:rsidRDefault="00FA2C3A" w:rsidP="0063774D">
      <w:pPr>
        <w:pStyle w:val="Heading5"/>
      </w:pPr>
      <w:r w:rsidRPr="00805FE3">
        <w:lastRenderedPageBreak/>
        <w:t>PART C: SUPPORTING EFFECTIVE REGULATION</w:t>
      </w:r>
    </w:p>
    <w:p w14:paraId="326AED98" w14:textId="77777777" w:rsidR="00FA2C3A" w:rsidRPr="00805FE3" w:rsidRDefault="00FA2C3A" w:rsidP="00FA2C3A">
      <w:pPr>
        <w:rPr>
          <w:bCs/>
        </w:rPr>
      </w:pPr>
      <w:r w:rsidRPr="00805FE3">
        <w:rPr>
          <w:b/>
        </w:rPr>
        <w:t xml:space="preserve">Recommendation 22: </w:t>
      </w:r>
      <w:r w:rsidRPr="00805FE3">
        <w:rPr>
          <w:bCs/>
        </w:rPr>
        <w:t>The Australian Government should establish an AI Safety Commissioner as an independent statutory office, focused on promoting safety and protecting human rights in the development and use of AI in Australia. The AI Safety Commissioner should:</w:t>
      </w:r>
    </w:p>
    <w:p w14:paraId="4B29C140" w14:textId="787B0A7D" w:rsidR="00FA2C3A" w:rsidRPr="00805FE3" w:rsidRDefault="00FA2C3A" w:rsidP="00FA2C3A">
      <w:pPr>
        <w:ind w:left="720"/>
        <w:rPr>
          <w:bCs/>
        </w:rPr>
      </w:pPr>
      <w:r w:rsidRPr="00805FE3">
        <w:t xml:space="preserve">(a) </w:t>
      </w:r>
      <w:r w:rsidRPr="00805FE3">
        <w:rPr>
          <w:bCs/>
        </w:rPr>
        <w:t>work with regulators to build their technical capacity regarding the development and use of AI in areas for which those regulators have responsibility</w:t>
      </w:r>
    </w:p>
    <w:p w14:paraId="1BE796B5" w14:textId="77777777" w:rsidR="00FA2C3A" w:rsidRPr="00805FE3" w:rsidRDefault="00FA2C3A" w:rsidP="00FA2C3A">
      <w:pPr>
        <w:ind w:left="720"/>
        <w:rPr>
          <w:bCs/>
        </w:rPr>
      </w:pPr>
      <w:r w:rsidRPr="00805FE3">
        <w:t>(</w:t>
      </w:r>
      <w:r>
        <w:t>b</w:t>
      </w:r>
      <w:r w:rsidRPr="00805FE3">
        <w:t xml:space="preserve">) </w:t>
      </w:r>
      <w:r w:rsidRPr="00805FE3">
        <w:rPr>
          <w:bCs/>
        </w:rPr>
        <w:t>monitor and investigate developments and trends in the use of AI, especially in areas of particular human rights risk</w:t>
      </w:r>
    </w:p>
    <w:p w14:paraId="1E8D6B28" w14:textId="234E493C" w:rsidR="00FA2C3A" w:rsidRPr="00805FE3" w:rsidRDefault="00FA2C3A" w:rsidP="00FA2C3A">
      <w:pPr>
        <w:ind w:left="720"/>
        <w:rPr>
          <w:bCs/>
        </w:rPr>
      </w:pPr>
      <w:r w:rsidRPr="00805FE3">
        <w:t>(</w:t>
      </w:r>
      <w:r>
        <w:t>c</w:t>
      </w:r>
      <w:r w:rsidRPr="00805FE3">
        <w:t xml:space="preserve">) </w:t>
      </w:r>
      <w:r w:rsidRPr="00805FE3">
        <w:rPr>
          <w:bCs/>
        </w:rPr>
        <w:t>provide independent expertise relating to AI and human rights for Australian policy makers</w:t>
      </w:r>
    </w:p>
    <w:p w14:paraId="3254A95C" w14:textId="77777777" w:rsidR="00FA2C3A" w:rsidRPr="00805FE3" w:rsidRDefault="00FA2C3A" w:rsidP="00FA2C3A">
      <w:pPr>
        <w:ind w:left="720"/>
        <w:rPr>
          <w:bCs/>
        </w:rPr>
      </w:pPr>
      <w:r w:rsidRPr="00805FE3">
        <w:t>(</w:t>
      </w:r>
      <w:r>
        <w:t>d</w:t>
      </w:r>
      <w:r w:rsidRPr="00805FE3">
        <w:t xml:space="preserve">) </w:t>
      </w:r>
      <w:r w:rsidRPr="00805FE3">
        <w:rPr>
          <w:bCs/>
        </w:rPr>
        <w:t>issue guidance to government and the private sector on how to comply with laws and ethical requirements in the use of AI.</w:t>
      </w:r>
    </w:p>
    <w:p w14:paraId="74F2015D" w14:textId="77777777" w:rsidR="00FA2C3A" w:rsidRPr="00805FE3" w:rsidRDefault="00FA2C3A" w:rsidP="00FA2C3A">
      <w:pPr>
        <w:rPr>
          <w:bCs/>
        </w:rPr>
      </w:pPr>
      <w:r w:rsidRPr="00805FE3">
        <w:rPr>
          <w:b/>
        </w:rPr>
        <w:t>Recommendation 23</w:t>
      </w:r>
      <w:r w:rsidRPr="00805FE3">
        <w:rPr>
          <w:b/>
          <w:bCs/>
        </w:rPr>
        <w:t xml:space="preserve">: </w:t>
      </w:r>
      <w:r w:rsidRPr="00805FE3">
        <w:rPr>
          <w:bCs/>
        </w:rPr>
        <w:t xml:space="preserve">The AI Safety Commissioner </w:t>
      </w:r>
      <w:r w:rsidRPr="00805FE3" w:rsidDel="001E28CA">
        <w:rPr>
          <w:bCs/>
        </w:rPr>
        <w:t xml:space="preserve">(see Recommendation </w:t>
      </w:r>
      <w:r w:rsidRPr="00805FE3">
        <w:rPr>
          <w:bCs/>
        </w:rPr>
        <w:t>22</w:t>
      </w:r>
      <w:r w:rsidRPr="00805FE3" w:rsidDel="001E28CA">
        <w:rPr>
          <w:bCs/>
        </w:rPr>
        <w:t xml:space="preserve">) </w:t>
      </w:r>
      <w:r w:rsidRPr="00805FE3">
        <w:rPr>
          <w:bCs/>
        </w:rPr>
        <w:t>should:</w:t>
      </w:r>
    </w:p>
    <w:p w14:paraId="032B4FEA" w14:textId="77777777" w:rsidR="00FA2C3A" w:rsidRPr="00805FE3" w:rsidRDefault="00FA2C3A" w:rsidP="00FA2C3A">
      <w:pPr>
        <w:ind w:left="720"/>
        <w:rPr>
          <w:bCs/>
        </w:rPr>
      </w:pPr>
      <w:r w:rsidRPr="00805FE3">
        <w:t xml:space="preserve">(a) </w:t>
      </w:r>
      <w:r w:rsidRPr="00805FE3">
        <w:rPr>
          <w:bCs/>
        </w:rPr>
        <w:t>be independent from government in its structure, operations and legislative mandate, but may be incorporated into an existing body or be formed as a new, separate body</w:t>
      </w:r>
    </w:p>
    <w:p w14:paraId="2FA572B1" w14:textId="77777777" w:rsidR="00FA2C3A" w:rsidRPr="00805FE3" w:rsidRDefault="00FA2C3A" w:rsidP="00FA2C3A">
      <w:pPr>
        <w:ind w:left="720"/>
        <w:rPr>
          <w:bCs/>
        </w:rPr>
      </w:pPr>
      <w:r w:rsidRPr="00805FE3">
        <w:t>(</w:t>
      </w:r>
      <w:r>
        <w:t>b</w:t>
      </w:r>
      <w:r w:rsidRPr="00805FE3">
        <w:t xml:space="preserve">) </w:t>
      </w:r>
      <w:r w:rsidRPr="00805FE3">
        <w:rPr>
          <w:bCs/>
        </w:rPr>
        <w:t>be adequately resourced, wholly or primarily by the Australian Government</w:t>
      </w:r>
    </w:p>
    <w:p w14:paraId="792DA9FF" w14:textId="77777777" w:rsidR="00FA2C3A" w:rsidRPr="00805FE3" w:rsidRDefault="00FA2C3A" w:rsidP="00FA2C3A">
      <w:pPr>
        <w:ind w:left="720"/>
        <w:rPr>
          <w:bCs/>
        </w:rPr>
      </w:pPr>
      <w:r w:rsidRPr="00805FE3">
        <w:t>(</w:t>
      </w:r>
      <w:r>
        <w:t>c</w:t>
      </w:r>
      <w:r w:rsidRPr="00805FE3">
        <w:t xml:space="preserve">) </w:t>
      </w:r>
      <w:r w:rsidRPr="00805FE3">
        <w:rPr>
          <w:bCs/>
        </w:rPr>
        <w:t>be required to have regard to the impact of the development and use of AI on vulnerable and marginalised people in Australia</w:t>
      </w:r>
    </w:p>
    <w:p w14:paraId="67DF873B" w14:textId="77777777" w:rsidR="00FA2C3A" w:rsidRPr="00805FE3" w:rsidRDefault="00FA2C3A" w:rsidP="00FA2C3A">
      <w:pPr>
        <w:ind w:left="720"/>
        <w:rPr>
          <w:bCs/>
        </w:rPr>
      </w:pPr>
      <w:r w:rsidRPr="00805FE3">
        <w:t>(</w:t>
      </w:r>
      <w:r>
        <w:t>d</w:t>
      </w:r>
      <w:r w:rsidRPr="00805FE3">
        <w:t xml:space="preserve">) </w:t>
      </w:r>
      <w:r w:rsidRPr="00805FE3">
        <w:rPr>
          <w:bCs/>
        </w:rPr>
        <w:t>draw on diverse expertise and perspectives including by convening an AI advisory council.</w:t>
      </w:r>
    </w:p>
    <w:p w14:paraId="288ADC64" w14:textId="77777777" w:rsidR="0039454D" w:rsidRDefault="0039454D">
      <w:pPr>
        <w:spacing w:before="0" w:after="0"/>
        <w:rPr>
          <w:b/>
          <w:bCs/>
        </w:rPr>
      </w:pPr>
      <w:r>
        <w:rPr>
          <w:b/>
          <w:bCs/>
        </w:rPr>
        <w:br w:type="page"/>
      </w:r>
    </w:p>
    <w:p w14:paraId="0553DC59" w14:textId="22D6E138" w:rsidR="00FA2C3A" w:rsidRPr="00805FE3" w:rsidRDefault="00FA2C3A" w:rsidP="0063774D">
      <w:pPr>
        <w:pStyle w:val="Heading5"/>
      </w:pPr>
      <w:r w:rsidRPr="00805FE3">
        <w:lastRenderedPageBreak/>
        <w:t xml:space="preserve">PART D: ACCESSIBLE TECHNOLOGY </w:t>
      </w:r>
    </w:p>
    <w:p w14:paraId="7D38E3BF" w14:textId="6676D0FB" w:rsidR="00FA2C3A" w:rsidRPr="00805FE3" w:rsidRDefault="00FA2C3A" w:rsidP="0063774D">
      <w:pPr>
        <w:pStyle w:val="Heading5"/>
      </w:pPr>
      <w:r w:rsidRPr="00805FE3">
        <w:t>Chapter 12</w:t>
      </w:r>
      <w:r w:rsidR="00FF43E4">
        <w:t>:</w:t>
      </w:r>
      <w:r w:rsidRPr="00805FE3">
        <w:t xml:space="preserve"> Functional accessibility </w:t>
      </w:r>
    </w:p>
    <w:p w14:paraId="0A86170B" w14:textId="77777777" w:rsidR="00FA2C3A" w:rsidRPr="00805FE3" w:rsidRDefault="00FA2C3A" w:rsidP="00FA2C3A">
      <w:pPr>
        <w:rPr>
          <w:rFonts w:cs="Open Sans"/>
        </w:rPr>
      </w:pPr>
      <w:r w:rsidRPr="00805FE3">
        <w:rPr>
          <w:rFonts w:cs="Open Sans"/>
          <w:b/>
          <w:bCs/>
        </w:rPr>
        <w:t xml:space="preserve">Recommendation 24: </w:t>
      </w:r>
      <w:r w:rsidRPr="00805FE3">
        <w:rPr>
          <w:rFonts w:cs="Open Sans"/>
        </w:rPr>
        <w:t xml:space="preserve">The Attorney-General should: </w:t>
      </w:r>
    </w:p>
    <w:p w14:paraId="552EAFD3" w14:textId="77777777" w:rsidR="00FA2C3A" w:rsidRPr="00805FE3" w:rsidRDefault="00FA2C3A" w:rsidP="00FA2C3A">
      <w:pPr>
        <w:ind w:left="720"/>
        <w:rPr>
          <w:bCs/>
        </w:rPr>
      </w:pPr>
      <w:r w:rsidRPr="00805FE3">
        <w:t xml:space="preserve">(a) </w:t>
      </w:r>
      <w:r w:rsidRPr="00805FE3">
        <w:rPr>
          <w:bCs/>
        </w:rPr>
        <w:t xml:space="preserve">develop a Digital Communication Technology Standard under section 31 of the </w:t>
      </w:r>
      <w:r w:rsidRPr="0063774D">
        <w:rPr>
          <w:rStyle w:val="Emphasis"/>
        </w:rPr>
        <w:t>Disability Discrimination Act 1992</w:t>
      </w:r>
      <w:r w:rsidRPr="00805FE3">
        <w:rPr>
          <w:bCs/>
        </w:rPr>
        <w:t xml:space="preserve"> (</w:t>
      </w:r>
      <w:proofErr w:type="spellStart"/>
      <w:r w:rsidRPr="00805FE3">
        <w:rPr>
          <w:bCs/>
        </w:rPr>
        <w:t>Cth</w:t>
      </w:r>
      <w:proofErr w:type="spellEnd"/>
      <w:r w:rsidRPr="00805FE3">
        <w:rPr>
          <w:bCs/>
        </w:rPr>
        <w:t>), and</w:t>
      </w:r>
      <w:r>
        <w:rPr>
          <w:bCs/>
        </w:rPr>
        <w:t xml:space="preserve"> </w:t>
      </w:r>
    </w:p>
    <w:p w14:paraId="7B1C1FA5" w14:textId="77777777" w:rsidR="00FA2C3A" w:rsidRPr="00805FE3" w:rsidRDefault="00FA2C3A" w:rsidP="00FA2C3A">
      <w:pPr>
        <w:ind w:left="720"/>
        <w:rPr>
          <w:bCs/>
        </w:rPr>
      </w:pPr>
      <w:r w:rsidRPr="00805FE3">
        <w:t>(</w:t>
      </w:r>
      <w:r>
        <w:t>b</w:t>
      </w:r>
      <w:r w:rsidRPr="00805FE3">
        <w:t xml:space="preserve">) </w:t>
      </w:r>
      <w:r w:rsidRPr="00805FE3">
        <w:rPr>
          <w:bCs/>
        </w:rPr>
        <w:t xml:space="preserve">consider other law and policy reform to implement the full range of accessibility obligations regarding Digital Communication Technologies under the </w:t>
      </w:r>
      <w:r w:rsidRPr="0063774D">
        <w:rPr>
          <w:rStyle w:val="Emphasis"/>
        </w:rPr>
        <w:t>Convention on the Rights of Persons with Disabilities.</w:t>
      </w:r>
    </w:p>
    <w:p w14:paraId="00F6EFA9" w14:textId="77777777" w:rsidR="00FA2C3A" w:rsidRPr="00805FE3" w:rsidRDefault="00FA2C3A" w:rsidP="00FA2C3A">
      <w:pPr>
        <w:rPr>
          <w:rFonts w:cs="Open Sans"/>
        </w:rPr>
      </w:pPr>
      <w:r w:rsidRPr="00805FE3">
        <w:rPr>
          <w:rFonts w:cs="Open Sans"/>
        </w:rPr>
        <w:t xml:space="preserve">In doing so, the Attorney-General should consult widely, especially with people with disability and the technology sector. </w:t>
      </w:r>
    </w:p>
    <w:p w14:paraId="1C54DD78" w14:textId="77777777" w:rsidR="00FA2C3A" w:rsidRPr="00805FE3" w:rsidRDefault="00FA2C3A" w:rsidP="00FA2C3A">
      <w:r w:rsidRPr="00805FE3">
        <w:rPr>
          <w:b/>
          <w:bCs/>
        </w:rPr>
        <w:t xml:space="preserve">Recommendation 25: </w:t>
      </w:r>
      <w:r w:rsidRPr="00805FE3">
        <w:t xml:space="preserve">The Australian Government and state, territory and local governments should commit to using Digital Communication Technology that fully complies with recognised accessibility standards—especially WCAG 2.1 and Australian Standard EN 301 549, and successor standards. To this end, all </w:t>
      </w:r>
      <w:r w:rsidRPr="00805FE3" w:rsidDel="00D50C8A">
        <w:t xml:space="preserve">Australian </w:t>
      </w:r>
      <w:r w:rsidRPr="00805FE3">
        <w:t>governments should:</w:t>
      </w:r>
    </w:p>
    <w:p w14:paraId="7EC10B79" w14:textId="77777777" w:rsidR="00FA2C3A" w:rsidRPr="00805FE3" w:rsidRDefault="00FA2C3A" w:rsidP="00FA2C3A">
      <w:pPr>
        <w:ind w:left="720"/>
      </w:pPr>
      <w:r w:rsidRPr="00805FE3">
        <w:t xml:space="preserve">(a) introduce whole-of-government requirements for compliance with these standards, including by: </w:t>
      </w:r>
    </w:p>
    <w:p w14:paraId="4EE22637" w14:textId="6FB7804B" w:rsidR="00FA2C3A" w:rsidRPr="00805FE3" w:rsidRDefault="00FA2C3A" w:rsidP="00E75F4C">
      <w:pPr>
        <w:pStyle w:val="ListParagraph"/>
        <w:numPr>
          <w:ilvl w:val="0"/>
          <w:numId w:val="48"/>
        </w:numPr>
      </w:pPr>
      <w:r w:rsidRPr="00805FE3">
        <w:t xml:space="preserve">providing information that is publicly available about how each agency complies with these requirements, reported annually </w:t>
      </w:r>
    </w:p>
    <w:p w14:paraId="54E0FAF3" w14:textId="5E135F4A" w:rsidR="00FA2C3A" w:rsidRPr="00805FE3" w:rsidRDefault="00FA2C3A" w:rsidP="00E75F4C">
      <w:pPr>
        <w:pStyle w:val="ListParagraph"/>
        <w:numPr>
          <w:ilvl w:val="0"/>
          <w:numId w:val="48"/>
        </w:numPr>
      </w:pPr>
      <w:r w:rsidRPr="00805FE3">
        <w:t>establishing central line agency and ministerial responsibility for monitoring compliance across government</w:t>
      </w:r>
    </w:p>
    <w:p w14:paraId="5608167D" w14:textId="0C04EA09" w:rsidR="00FA2C3A" w:rsidRPr="00805FE3" w:rsidRDefault="00FA2C3A" w:rsidP="00E75F4C">
      <w:pPr>
        <w:pStyle w:val="ListParagraph"/>
        <w:numPr>
          <w:ilvl w:val="0"/>
          <w:numId w:val="48"/>
        </w:numPr>
      </w:pPr>
      <w:r w:rsidRPr="00805FE3">
        <w:t>resourcing training and advisory support to assist compliance</w:t>
      </w:r>
    </w:p>
    <w:p w14:paraId="0F53ADED" w14:textId="77777777" w:rsidR="00FA2C3A" w:rsidRPr="00805FE3" w:rsidRDefault="00FA2C3A" w:rsidP="00FA2C3A">
      <w:pPr>
        <w:ind w:left="720"/>
      </w:pPr>
      <w:r w:rsidRPr="00805FE3">
        <w:t>(</w:t>
      </w:r>
      <w:r>
        <w:t>b</w:t>
      </w:r>
      <w:r w:rsidRPr="00805FE3">
        <w:t>) promote accessible goods, services and facilities that use Digital Communication Technology by favouring procurement from entities that implement such accessibility standards in their own activities</w:t>
      </w:r>
    </w:p>
    <w:p w14:paraId="184421E2" w14:textId="77777777" w:rsidR="00FA2C3A" w:rsidRPr="00805FE3" w:rsidRDefault="00FA2C3A" w:rsidP="00FA2C3A">
      <w:pPr>
        <w:ind w:left="720"/>
      </w:pPr>
      <w:r w:rsidRPr="00805FE3">
        <w:t>(</w:t>
      </w:r>
      <w:r>
        <w:t>c</w:t>
      </w:r>
      <w:r w:rsidRPr="00805FE3">
        <w:t>) develop policies and targets to increase the availability of government communications in Easy English and provide human customer supports for people with disability who need to communicate with people instead of accessing digital services.</w:t>
      </w:r>
    </w:p>
    <w:p w14:paraId="15009F6E" w14:textId="77777777" w:rsidR="00E75F4C" w:rsidRDefault="00E75F4C">
      <w:pPr>
        <w:spacing w:before="0" w:after="0"/>
        <w:rPr>
          <w:b/>
          <w:bCs/>
        </w:rPr>
      </w:pPr>
      <w:r>
        <w:rPr>
          <w:b/>
          <w:bCs/>
        </w:rPr>
        <w:br w:type="page"/>
      </w:r>
    </w:p>
    <w:p w14:paraId="08D4AB34" w14:textId="41131B06" w:rsidR="00FA2C3A" w:rsidRPr="00805FE3" w:rsidRDefault="00FA2C3A" w:rsidP="00FA2C3A">
      <w:r w:rsidRPr="00805FE3">
        <w:rPr>
          <w:b/>
          <w:bCs/>
        </w:rPr>
        <w:lastRenderedPageBreak/>
        <w:t xml:space="preserve">Recommendation 26: </w:t>
      </w:r>
      <w:r w:rsidRPr="00805FE3">
        <w:t xml:space="preserve">The Australian Government Department of Industry, Science, Energy and Resources or the Digital Transformation Agency should conduct an inquiry into compliance by industry with accessibility standards such as </w:t>
      </w:r>
      <w:r w:rsidRPr="00805FE3">
        <w:rPr>
          <w:rFonts w:cs="Open Sans"/>
        </w:rPr>
        <w:t xml:space="preserve">WCAG 2.1 and </w:t>
      </w:r>
      <w:r w:rsidRPr="00805FE3">
        <w:t xml:space="preserve">Australian Standard EN 301 549. </w:t>
      </w:r>
    </w:p>
    <w:p w14:paraId="61B8A409" w14:textId="53F1082A" w:rsidR="00FA2C3A" w:rsidRPr="00805FE3" w:rsidRDefault="00FA2C3A" w:rsidP="00FA2C3A">
      <w:pPr>
        <w:spacing w:after="400"/>
      </w:pPr>
      <w:r w:rsidRPr="00805FE3">
        <w:rPr>
          <w:rFonts w:eastAsia="Times New Roman"/>
          <w:color w:val="000000"/>
        </w:rPr>
        <w:t>The inquiry should consider the extent to which incentives for compliance with standards should include changes relating to taxation, grants and procurement, research and design, and the promotion of good practices by industry.</w:t>
      </w:r>
    </w:p>
    <w:p w14:paraId="0379C550" w14:textId="09F8C87B" w:rsidR="00FA2C3A" w:rsidRPr="00805FE3" w:rsidRDefault="00FA2C3A" w:rsidP="0063774D">
      <w:pPr>
        <w:pStyle w:val="Heading5"/>
      </w:pPr>
      <w:r w:rsidRPr="00805FE3">
        <w:t>Chapter 13</w:t>
      </w:r>
      <w:r w:rsidR="006078FB">
        <w:t>:</w:t>
      </w:r>
      <w:r w:rsidRPr="00805FE3">
        <w:t xml:space="preserve"> Broadcasting and audio-visual services</w:t>
      </w:r>
    </w:p>
    <w:p w14:paraId="719351F2" w14:textId="77777777" w:rsidR="00FA2C3A" w:rsidRPr="00805FE3" w:rsidRDefault="00FA2C3A" w:rsidP="00FA2C3A">
      <w:pPr>
        <w:rPr>
          <w:bCs/>
        </w:rPr>
      </w:pPr>
      <w:r w:rsidRPr="00127AB4">
        <w:rPr>
          <w:rStyle w:val="Strong"/>
        </w:rPr>
        <w:t>Recommendation 27:</w:t>
      </w:r>
      <w:r w:rsidRPr="00805FE3">
        <w:rPr>
          <w:b/>
          <w:bCs/>
        </w:rPr>
        <w:t xml:space="preserve"> </w:t>
      </w:r>
      <w:r w:rsidRPr="00805FE3">
        <w:rPr>
          <w:bCs/>
        </w:rPr>
        <w:t xml:space="preserve">The Australian Government should amend the </w:t>
      </w:r>
      <w:r w:rsidRPr="0063774D">
        <w:rPr>
          <w:rStyle w:val="Emphasis"/>
        </w:rPr>
        <w:t>Broadcasting Services Act 1992</w:t>
      </w:r>
      <w:r w:rsidRPr="00805FE3">
        <w:rPr>
          <w:bCs/>
        </w:rPr>
        <w:t xml:space="preserve"> (</w:t>
      </w:r>
      <w:proofErr w:type="spellStart"/>
      <w:r w:rsidRPr="00805FE3">
        <w:rPr>
          <w:bCs/>
        </w:rPr>
        <w:t>Cth</w:t>
      </w:r>
      <w:proofErr w:type="spellEnd"/>
      <w:r w:rsidRPr="00805FE3">
        <w:rPr>
          <w:bCs/>
        </w:rPr>
        <w:t xml:space="preserve">) to increase the amount of accessible content available for people who have hearing or vision difficulties as follows: </w:t>
      </w:r>
    </w:p>
    <w:p w14:paraId="3BBBA07C" w14:textId="77777777" w:rsidR="00FA2C3A" w:rsidRPr="005B1D22" w:rsidRDefault="00FA2C3A" w:rsidP="00FA2C3A">
      <w:pPr>
        <w:ind w:left="720"/>
        <w:rPr>
          <w:bCs/>
        </w:rPr>
      </w:pPr>
      <w:r w:rsidRPr="00805FE3">
        <w:t xml:space="preserve">(a) </w:t>
      </w:r>
      <w:r>
        <w:t>n</w:t>
      </w:r>
      <w:r w:rsidRPr="005B1D22">
        <w:rPr>
          <w:bCs/>
        </w:rPr>
        <w:t>ational and commercial free-to-air television services should be required to provide audio described content for a minimum of 14 hours of programming per week, distributed across the primary and secondary channels. This should be increased to a minimum of 21 hours per week in a timeframe to be determined in consultation with people with disability and broadcasting services.</w:t>
      </w:r>
    </w:p>
    <w:p w14:paraId="28087A5B" w14:textId="77777777" w:rsidR="00FA2C3A" w:rsidRPr="005B1D22" w:rsidRDefault="00FA2C3A" w:rsidP="00FA2C3A">
      <w:pPr>
        <w:ind w:left="720"/>
        <w:rPr>
          <w:bCs/>
        </w:rPr>
      </w:pPr>
      <w:r w:rsidRPr="00805FE3">
        <w:t>(</w:t>
      </w:r>
      <w:r>
        <w:t>b</w:t>
      </w:r>
      <w:r w:rsidRPr="00805FE3">
        <w:t xml:space="preserve">) </w:t>
      </w:r>
      <w:r w:rsidRPr="005B1D22">
        <w:rPr>
          <w:bCs/>
        </w:rPr>
        <w:t>subscription television services should be required to provide audio described content for a minimum of 14 hours of programming per week for their main channels. This should be increased to a minimum of 21 hours per week in a timeframe to be determined in consultation with people with disability and broadcasting services.</w:t>
      </w:r>
    </w:p>
    <w:p w14:paraId="684ACF92" w14:textId="77777777" w:rsidR="00FA2C3A" w:rsidRPr="005B1D22" w:rsidRDefault="00FA2C3A" w:rsidP="00FA2C3A">
      <w:pPr>
        <w:ind w:left="720"/>
        <w:rPr>
          <w:bCs/>
        </w:rPr>
      </w:pPr>
      <w:r w:rsidRPr="00805FE3">
        <w:t>(</w:t>
      </w:r>
      <w:r>
        <w:t>c</w:t>
      </w:r>
      <w:r w:rsidRPr="00805FE3">
        <w:t xml:space="preserve">) </w:t>
      </w:r>
      <w:r w:rsidRPr="005B1D22">
        <w:rPr>
          <w:bCs/>
        </w:rPr>
        <w:t xml:space="preserve">national and commercial television free-to-air services should be required to increase the captioning of their content on an annual basis, resulting in all such broadcasting being captioned on primary and secondary channels within five years. The Government should determine a formula for annual progressive increases of captioning in consultation with industry, people with disability and their representatives. </w:t>
      </w:r>
    </w:p>
    <w:p w14:paraId="1909FE11" w14:textId="77777777" w:rsidR="00FA2C3A" w:rsidRPr="00805FE3" w:rsidRDefault="00FA2C3A" w:rsidP="00FA2C3A">
      <w:pPr>
        <w:rPr>
          <w:bCs/>
        </w:rPr>
      </w:pPr>
      <w:r w:rsidRPr="00127AB4">
        <w:rPr>
          <w:rStyle w:val="Strong"/>
        </w:rPr>
        <w:t>Recommendation 28:</w:t>
      </w:r>
      <w:r w:rsidRPr="00805FE3">
        <w:rPr>
          <w:b/>
          <w:bCs/>
        </w:rPr>
        <w:t xml:space="preserve"> </w:t>
      </w:r>
      <w:r w:rsidRPr="00805FE3">
        <w:rPr>
          <w:bCs/>
        </w:rPr>
        <w:t>The Australian Government Department of Infrastructure, Transport, Regional Development and Communications should conduct a review to identify effective, practical ways to increase audio description and captioning on secondary or specialist broadcast television channels.</w:t>
      </w:r>
    </w:p>
    <w:p w14:paraId="292F662B" w14:textId="77777777" w:rsidR="00E75F4C" w:rsidRDefault="00E75F4C">
      <w:pPr>
        <w:spacing w:before="0" w:after="0"/>
        <w:rPr>
          <w:b/>
        </w:rPr>
      </w:pPr>
      <w:r>
        <w:rPr>
          <w:b/>
        </w:rPr>
        <w:br w:type="page"/>
      </w:r>
    </w:p>
    <w:p w14:paraId="2F64867A" w14:textId="2E7A6989" w:rsidR="00FA2C3A" w:rsidRPr="00805FE3" w:rsidRDefault="00FA2C3A" w:rsidP="00FA2C3A">
      <w:pPr>
        <w:rPr>
          <w:b/>
          <w:bCs/>
        </w:rPr>
      </w:pPr>
      <w:r w:rsidRPr="00127AB4">
        <w:rPr>
          <w:rStyle w:val="Strong"/>
        </w:rPr>
        <w:lastRenderedPageBreak/>
        <w:t>Recommendation 29:</w:t>
      </w:r>
      <w:r w:rsidRPr="00805FE3">
        <w:rPr>
          <w:b/>
          <w:bCs/>
        </w:rPr>
        <w:t xml:space="preserve"> </w:t>
      </w:r>
      <w:r w:rsidRPr="00805FE3">
        <w:t xml:space="preserve">The Australian Government should introduce legislation to provide minimum requirements for audio description and captioning in respect of audio-visual content delivered through subscription video-on-demand, social media and other services that are not covered by the </w:t>
      </w:r>
      <w:r w:rsidRPr="0063774D">
        <w:rPr>
          <w:rStyle w:val="Emphasis"/>
        </w:rPr>
        <w:t>Broadcasting Services Act 1992</w:t>
      </w:r>
      <w:r w:rsidRPr="00805FE3">
        <w:t xml:space="preserve"> (</w:t>
      </w:r>
      <w:proofErr w:type="spellStart"/>
      <w:r w:rsidRPr="00805FE3">
        <w:t>Cth</w:t>
      </w:r>
      <w:proofErr w:type="spellEnd"/>
      <w:r w:rsidRPr="00805FE3">
        <w:t>). Obligations should be determined in consultation with industry, and people with disability and their representatives.</w:t>
      </w:r>
    </w:p>
    <w:p w14:paraId="3E87C7EB" w14:textId="77777777" w:rsidR="00FA2C3A" w:rsidRPr="00805FE3" w:rsidRDefault="00FA2C3A" w:rsidP="00FA2C3A">
      <w:r w:rsidRPr="00127AB4">
        <w:rPr>
          <w:rStyle w:val="Strong"/>
        </w:rPr>
        <w:t>Recommendation 30:</w:t>
      </w:r>
      <w:r w:rsidRPr="00805FE3">
        <w:rPr>
          <w:b/>
          <w:bCs/>
        </w:rPr>
        <w:t xml:space="preserve"> </w:t>
      </w:r>
      <w:r w:rsidRPr="00805FE3">
        <w:t xml:space="preserve">The Australian Government, and </w:t>
      </w:r>
      <w:r w:rsidRPr="00805FE3" w:rsidDel="000623E7">
        <w:t xml:space="preserve">state and </w:t>
      </w:r>
      <w:r w:rsidRPr="00805FE3">
        <w:t xml:space="preserve">territory governments, should ensure that people with disability can receive and understand emergency and other important public announcements, including by requiring government agencies to provide </w:t>
      </w:r>
      <w:proofErr w:type="spellStart"/>
      <w:r w:rsidRPr="00805FE3">
        <w:t>Auslan</w:t>
      </w:r>
      <w:proofErr w:type="spellEnd"/>
      <w:r w:rsidRPr="00805FE3">
        <w:t xml:space="preserve"> interpreters at their emergency and important public announcements.</w:t>
      </w:r>
    </w:p>
    <w:p w14:paraId="7A0D54CA" w14:textId="77777777" w:rsidR="00FA2C3A" w:rsidRPr="00805FE3" w:rsidRDefault="00FA2C3A" w:rsidP="00FA2C3A">
      <w:r w:rsidRPr="00805FE3">
        <w:t xml:space="preserve">The Australian Government should amend the </w:t>
      </w:r>
      <w:r w:rsidRPr="0063774D">
        <w:rPr>
          <w:rStyle w:val="Emphasis"/>
        </w:rPr>
        <w:t>Broadcasting Services Act 1992</w:t>
      </w:r>
      <w:r w:rsidRPr="00805FE3">
        <w:t xml:space="preserve"> (</w:t>
      </w:r>
      <w:proofErr w:type="spellStart"/>
      <w:r w:rsidRPr="00805FE3">
        <w:t>Cth</w:t>
      </w:r>
      <w:proofErr w:type="spellEnd"/>
      <w:r w:rsidRPr="00805FE3">
        <w:t xml:space="preserve">) to require any television or other company, which broadcasts or re-broadcasts emergency and other important public announcements, to ensure that </w:t>
      </w:r>
      <w:proofErr w:type="spellStart"/>
      <w:r w:rsidRPr="00805FE3">
        <w:t>Auslan</w:t>
      </w:r>
      <w:proofErr w:type="spellEnd"/>
      <w:r w:rsidRPr="00805FE3">
        <w:t xml:space="preserve"> interpretation is visible on the screen at all relevant times; and captions are readable, accurate and comprehensible.</w:t>
      </w:r>
    </w:p>
    <w:p w14:paraId="6C7AC217" w14:textId="77777777" w:rsidR="00FA2C3A" w:rsidRPr="00805FE3" w:rsidRDefault="00FA2C3A" w:rsidP="00FA2C3A">
      <w:r w:rsidRPr="00127AB4">
        <w:rPr>
          <w:rStyle w:val="Strong"/>
        </w:rPr>
        <w:t>Recommendation 31:</w:t>
      </w:r>
      <w:r w:rsidRPr="00805FE3">
        <w:rPr>
          <w:b/>
          <w:bCs/>
        </w:rPr>
        <w:t xml:space="preserve"> </w:t>
      </w:r>
      <w:r w:rsidRPr="00805FE3">
        <w:t>The Australian Communications and Media Authority should consult with broadcasters and introduce monitoring and compliance measures to support them to:</w:t>
      </w:r>
    </w:p>
    <w:p w14:paraId="3C74DE2C" w14:textId="77777777" w:rsidR="00FA2C3A" w:rsidRPr="005B1D22" w:rsidRDefault="00FA2C3A" w:rsidP="00FA2C3A">
      <w:pPr>
        <w:ind w:left="720"/>
        <w:rPr>
          <w:rFonts w:cs="Open Sans"/>
          <w:color w:val="000000"/>
          <w:shd w:val="clear" w:color="auto" w:fill="FFFFFF"/>
        </w:rPr>
      </w:pPr>
      <w:r w:rsidRPr="00805FE3">
        <w:t>(a) comply with accessible service requirements</w:t>
      </w:r>
    </w:p>
    <w:p w14:paraId="6A7C1486" w14:textId="77777777" w:rsidR="00FA2C3A" w:rsidRPr="005B1D22" w:rsidRDefault="00FA2C3A" w:rsidP="00FA2C3A">
      <w:pPr>
        <w:ind w:left="720"/>
        <w:rPr>
          <w:rFonts w:cs="Open Sans"/>
          <w:color w:val="000000"/>
          <w:shd w:val="clear" w:color="auto" w:fill="FFFFFF"/>
        </w:rPr>
      </w:pPr>
      <w:r w:rsidRPr="00805FE3">
        <w:t>(</w:t>
      </w:r>
      <w:r>
        <w:t>b</w:t>
      </w:r>
      <w:r w:rsidRPr="00805FE3">
        <w:t>) provide quality accessible services</w:t>
      </w:r>
    </w:p>
    <w:p w14:paraId="352C5104" w14:textId="77777777" w:rsidR="00FA2C3A" w:rsidRPr="005B1D22" w:rsidRDefault="00FA2C3A" w:rsidP="00FA2C3A">
      <w:pPr>
        <w:ind w:left="720"/>
        <w:rPr>
          <w:rFonts w:cs="Open Sans"/>
          <w:color w:val="000000"/>
          <w:shd w:val="clear" w:color="auto" w:fill="FFFFFF"/>
        </w:rPr>
      </w:pPr>
      <w:r w:rsidRPr="00805FE3">
        <w:t>(</w:t>
      </w:r>
      <w:r>
        <w:t>c</w:t>
      </w:r>
      <w:r w:rsidRPr="00805FE3">
        <w:t>) increase organisational capacity to comply with current and future accessible service obligations.</w:t>
      </w:r>
    </w:p>
    <w:p w14:paraId="002CD55B" w14:textId="2BA543E9" w:rsidR="00FA2C3A" w:rsidRPr="00805FE3" w:rsidRDefault="00FA2C3A" w:rsidP="0063774D">
      <w:pPr>
        <w:pStyle w:val="Heading5"/>
      </w:pPr>
      <w:r w:rsidRPr="00805FE3">
        <w:t>Chapter 14</w:t>
      </w:r>
      <w:r w:rsidR="002F4CD7">
        <w:t>:</w:t>
      </w:r>
      <w:r w:rsidRPr="00805FE3">
        <w:t xml:space="preserve"> Availability of new technology </w:t>
      </w:r>
    </w:p>
    <w:p w14:paraId="5301C1CC" w14:textId="77777777" w:rsidR="00FA2C3A" w:rsidRPr="00805FE3" w:rsidRDefault="00FA2C3A" w:rsidP="00FA2C3A">
      <w:r w:rsidRPr="00127AB4">
        <w:rPr>
          <w:rStyle w:val="Strong"/>
        </w:rPr>
        <w:t>Recommendation 32:</w:t>
      </w:r>
      <w:r w:rsidRPr="00805FE3">
        <w:rPr>
          <w:b/>
          <w:bCs/>
        </w:rPr>
        <w:t xml:space="preserve"> </w:t>
      </w:r>
      <w:r w:rsidRPr="00805FE3">
        <w:t xml:space="preserve">Standards Australia should develop, in consultation with people with disability and other stakeholders, an Australian Standard or Technical Specification that covers the provision of accessible information, instructional and training materials to accompany consumer goods, services and facilities. </w:t>
      </w:r>
    </w:p>
    <w:p w14:paraId="0574A2BB" w14:textId="77777777" w:rsidR="00FA2C3A" w:rsidRPr="00805FE3" w:rsidRDefault="00FA2C3A" w:rsidP="00FA2C3A">
      <w:r w:rsidRPr="00805FE3">
        <w:t xml:space="preserve">This Australian Standard or Technical </w:t>
      </w:r>
      <w:r w:rsidRPr="00805FE3">
        <w:rPr>
          <w:rFonts w:eastAsia="Times New Roman"/>
          <w:color w:val="000000"/>
        </w:rPr>
        <w:t xml:space="preserve">Specification should inform the development of the recommended Digital Communication Technology Disability Standard under section 31 of the </w:t>
      </w:r>
      <w:r w:rsidRPr="0063774D">
        <w:rPr>
          <w:rStyle w:val="Emphasis"/>
        </w:rPr>
        <w:t xml:space="preserve">Disability Discrimination Act 1992 </w:t>
      </w:r>
      <w:r w:rsidRPr="00805FE3">
        <w:rPr>
          <w:rFonts w:eastAsia="Times New Roman"/>
          <w:color w:val="000000"/>
        </w:rPr>
        <w:t>(</w:t>
      </w:r>
      <w:proofErr w:type="spellStart"/>
      <w:r w:rsidRPr="00805FE3">
        <w:rPr>
          <w:rFonts w:eastAsia="Times New Roman"/>
          <w:color w:val="000000"/>
        </w:rPr>
        <w:t>Cth</w:t>
      </w:r>
      <w:proofErr w:type="spellEnd"/>
      <w:r w:rsidRPr="00805FE3">
        <w:rPr>
          <w:rFonts w:eastAsia="Times New Roman"/>
          <w:color w:val="000000"/>
        </w:rPr>
        <w:t>) (see Recommendation 24). </w:t>
      </w:r>
    </w:p>
    <w:p w14:paraId="669385D8" w14:textId="77777777" w:rsidR="00FA2C3A" w:rsidRPr="00805FE3" w:rsidRDefault="00FA2C3A" w:rsidP="00FA2C3A">
      <w:pPr>
        <w:pStyle w:val="ListNumber"/>
        <w:numPr>
          <w:ilvl w:val="0"/>
          <w:numId w:val="0"/>
        </w:numPr>
        <w:rPr>
          <w:b/>
          <w:bCs/>
        </w:rPr>
      </w:pPr>
      <w:r w:rsidRPr="00127AB4">
        <w:rPr>
          <w:rStyle w:val="Strong"/>
        </w:rPr>
        <w:lastRenderedPageBreak/>
        <w:t>Recommendation 33:</w:t>
      </w:r>
      <w:r w:rsidRPr="00805FE3">
        <w:rPr>
          <w:b/>
          <w:bCs/>
        </w:rPr>
        <w:t xml:space="preserve"> </w:t>
      </w:r>
      <w:r w:rsidRPr="00805FE3">
        <w:t>The NBN Co should implement a reasonable concessional broadband rate for people with disability who are financially vulnerable, in consultation with them, their representatives and other stakeholders.</w:t>
      </w:r>
      <w:r w:rsidRPr="00805FE3">
        <w:rPr>
          <w:b/>
          <w:bCs/>
        </w:rPr>
        <w:t xml:space="preserve"> </w:t>
      </w:r>
    </w:p>
    <w:p w14:paraId="4482AC39" w14:textId="77777777" w:rsidR="00FA2C3A" w:rsidRPr="00805FE3" w:rsidRDefault="00FA2C3A" w:rsidP="00FA2C3A">
      <w:pPr>
        <w:pStyle w:val="ListNumber"/>
        <w:numPr>
          <w:ilvl w:val="0"/>
          <w:numId w:val="0"/>
        </w:numPr>
      </w:pPr>
      <w:r w:rsidRPr="00127AB4">
        <w:rPr>
          <w:rStyle w:val="Strong"/>
        </w:rPr>
        <w:t>Recommendation 34:</w:t>
      </w:r>
      <w:r w:rsidRPr="00805FE3">
        <w:rPr>
          <w:b/>
          <w:bCs/>
        </w:rPr>
        <w:t xml:space="preserve"> </w:t>
      </w:r>
      <w:r w:rsidRPr="00805FE3">
        <w:t xml:space="preserve">The National Disability Insurance Agency, in consultation with people with disability, should review its policies regarding funding of reasonable and necessary supports as those policies apply to accessible goods, services and facilities, which use Digital Communication Technologies and which can be shown to enable people with disability to enjoy greater independence and participation in all areas of life. </w:t>
      </w:r>
    </w:p>
    <w:p w14:paraId="6415F11A" w14:textId="77777777" w:rsidR="00FA2C3A" w:rsidRPr="00805FE3" w:rsidRDefault="00FA2C3A" w:rsidP="00FA2C3A">
      <w:pPr>
        <w:pStyle w:val="ListNumber"/>
        <w:numPr>
          <w:ilvl w:val="0"/>
          <w:numId w:val="0"/>
        </w:numPr>
      </w:pPr>
      <w:r w:rsidRPr="00805FE3">
        <w:t>In particular, the NDIA should focus on increasing access to internet plans, computers, tablets, laptops and smartphones and other items that rely on Digital Communication Technologies.</w:t>
      </w:r>
    </w:p>
    <w:p w14:paraId="38CF6FF3" w14:textId="7E2B1E1A" w:rsidR="00FA2C3A" w:rsidRPr="00805FE3" w:rsidRDefault="00FA2C3A" w:rsidP="0063774D">
      <w:pPr>
        <w:pStyle w:val="Heading5"/>
      </w:pPr>
      <w:r w:rsidRPr="00805FE3">
        <w:t>Chapter 15</w:t>
      </w:r>
      <w:r w:rsidR="002F4CD7">
        <w:t>:</w:t>
      </w:r>
      <w:r w:rsidRPr="00805FE3">
        <w:t xml:space="preserve"> Design, education and capacity building</w:t>
      </w:r>
    </w:p>
    <w:p w14:paraId="0906A0A3" w14:textId="77777777" w:rsidR="00FA2C3A" w:rsidRPr="00805FE3" w:rsidRDefault="00FA2C3A" w:rsidP="00FA2C3A">
      <w:pPr>
        <w:rPr>
          <w:rFonts w:cs="Open Sans"/>
        </w:rPr>
      </w:pPr>
      <w:r w:rsidRPr="00127AB4">
        <w:rPr>
          <w:rStyle w:val="Strong"/>
        </w:rPr>
        <w:t>Recommendation 35:</w:t>
      </w:r>
      <w:r w:rsidRPr="00805FE3">
        <w:rPr>
          <w:rFonts w:cs="Open Sans"/>
          <w:b/>
          <w:bCs/>
        </w:rPr>
        <w:t xml:space="preserve"> </w:t>
      </w:r>
      <w:r w:rsidRPr="00805FE3">
        <w:rPr>
          <w:rFonts w:cs="Open Sans"/>
        </w:rPr>
        <w:t>The Disability Reform Council, through the Disability Reform Ministers’ Meeting, should:</w:t>
      </w:r>
    </w:p>
    <w:p w14:paraId="5E4D3B25" w14:textId="77777777" w:rsidR="00FA2C3A" w:rsidRPr="005B1D22" w:rsidRDefault="00FA2C3A" w:rsidP="00FA2C3A">
      <w:pPr>
        <w:ind w:left="720"/>
        <w:rPr>
          <w:bCs/>
        </w:rPr>
      </w:pPr>
      <w:r w:rsidRPr="00805FE3">
        <w:t xml:space="preserve">(a) </w:t>
      </w:r>
      <w:r w:rsidRPr="005B1D22">
        <w:rPr>
          <w:bCs/>
        </w:rPr>
        <w:t xml:space="preserve">include accessible technology as an outcome area in the next National Disability Strategy to improve access to Digital Communication Technologies for people with disability </w:t>
      </w:r>
    </w:p>
    <w:p w14:paraId="53E2E18B" w14:textId="77777777" w:rsidR="00FA2C3A" w:rsidRPr="005B1D22" w:rsidRDefault="00FA2C3A" w:rsidP="00FA2C3A">
      <w:pPr>
        <w:ind w:left="720"/>
        <w:rPr>
          <w:bCs/>
        </w:rPr>
      </w:pPr>
      <w:r w:rsidRPr="00805FE3">
        <w:t>(</w:t>
      </w:r>
      <w:r>
        <w:t>b</w:t>
      </w:r>
      <w:r w:rsidRPr="00805FE3">
        <w:t xml:space="preserve">) </w:t>
      </w:r>
      <w:r w:rsidRPr="005B1D22">
        <w:rPr>
          <w:bCs/>
        </w:rPr>
        <w:t>lead a process for the Australian Government</w:t>
      </w:r>
      <w:r>
        <w:rPr>
          <w:bCs/>
        </w:rPr>
        <w:t xml:space="preserve"> and </w:t>
      </w:r>
      <w:r w:rsidRPr="005B1D22">
        <w:rPr>
          <w:bCs/>
        </w:rPr>
        <w:t>state and territory governments to adopt and promote human rights by design in the development and delivery of government services using Digital Communication Technologies, and monitor progress in achieving this aim.</w:t>
      </w:r>
    </w:p>
    <w:p w14:paraId="41F368F0" w14:textId="77777777" w:rsidR="00FA2C3A" w:rsidRPr="00805FE3" w:rsidRDefault="00FA2C3A" w:rsidP="00FA2C3A">
      <w:pPr>
        <w:autoSpaceDE w:val="0"/>
        <w:autoSpaceDN w:val="0"/>
        <w:adjustRightInd w:val="0"/>
        <w:spacing w:before="0"/>
        <w:rPr>
          <w:rFonts w:cs="Open Sans"/>
          <w:b/>
          <w:bCs/>
        </w:rPr>
      </w:pPr>
      <w:r w:rsidRPr="00127AB4">
        <w:rPr>
          <w:rStyle w:val="Strong"/>
        </w:rPr>
        <w:t>Recommendation 36:</w:t>
      </w:r>
      <w:r w:rsidRPr="00805FE3">
        <w:rPr>
          <w:rFonts w:cs="Open Sans"/>
          <w:iCs/>
        </w:rPr>
        <w:t xml:space="preserve"> </w:t>
      </w:r>
      <w:r w:rsidRPr="00805FE3">
        <w:rPr>
          <w:rFonts w:cs="Open Sans"/>
        </w:rPr>
        <w:t>Providers of tertiary and vocational education should include the principles of human rights by design in relevant degree and other courses in science, technology, engineering and mathematics. The Australian Government should engage the Australian Council of Learned Academies to provide advice on how to achieve this aim most effectively within the tertiary and vocational sectors.</w:t>
      </w:r>
    </w:p>
    <w:p w14:paraId="320D980E" w14:textId="77777777" w:rsidR="00FA2C3A" w:rsidRPr="00805FE3" w:rsidRDefault="00FA2C3A" w:rsidP="00FA2C3A">
      <w:pPr>
        <w:autoSpaceDE w:val="0"/>
        <w:autoSpaceDN w:val="0"/>
        <w:adjustRightInd w:val="0"/>
        <w:spacing w:before="0" w:after="0"/>
        <w:rPr>
          <w:rFonts w:cs="Open Sans"/>
          <w:iCs/>
        </w:rPr>
      </w:pPr>
      <w:r w:rsidRPr="00127AB4">
        <w:rPr>
          <w:rStyle w:val="Strong"/>
        </w:rPr>
        <w:t>Recommendation 37:</w:t>
      </w:r>
      <w:r w:rsidRPr="00805FE3">
        <w:rPr>
          <w:rFonts w:cs="Open Sans"/>
          <w:b/>
          <w:bCs/>
        </w:rPr>
        <w:t xml:space="preserve"> </w:t>
      </w:r>
      <w:r w:rsidRPr="00805FE3">
        <w:rPr>
          <w:rFonts w:cs="Open Sans"/>
        </w:rPr>
        <w:t xml:space="preserve">Professional accreditation bodies for science, technology, engineering and mathematics should introduce mandatory training on human rights by design as part of continuing professional development. </w:t>
      </w:r>
    </w:p>
    <w:p w14:paraId="7F793296" w14:textId="2B7EB282" w:rsidR="00C86324" w:rsidRPr="00E75F4C" w:rsidRDefault="00FA2C3A" w:rsidP="007E5BF0">
      <w:pPr>
        <w:rPr>
          <w:rFonts w:cs="Open Sans"/>
          <w:b/>
          <w:bCs/>
        </w:rPr>
      </w:pPr>
      <w:r w:rsidRPr="00127AB4">
        <w:rPr>
          <w:rStyle w:val="Strong"/>
        </w:rPr>
        <w:lastRenderedPageBreak/>
        <w:t>Recommendation 38:</w:t>
      </w:r>
      <w:r w:rsidRPr="00805FE3">
        <w:rPr>
          <w:rFonts w:cs="Open Sans"/>
          <w:b/>
          <w:bCs/>
        </w:rPr>
        <w:t xml:space="preserve"> </w:t>
      </w:r>
      <w:r w:rsidRPr="00805FE3">
        <w:rPr>
          <w:rFonts w:cs="Open Sans"/>
        </w:rPr>
        <w:t>The Australian Government should commission an expert body to lead the national development and delivery of education, training, accreditation, and capacity building for accessible technology for people with disability.</w:t>
      </w:r>
    </w:p>
    <w:sectPr w:rsidR="00C86324" w:rsidRPr="00E75F4C" w:rsidSect="00E75F4C">
      <w:headerReference w:type="even" r:id="rId26"/>
      <w:headerReference w:type="default" r:id="rId27"/>
      <w:footerReference w:type="even" r:id="rId28"/>
      <w:footerReference w:type="default" r:id="rId29"/>
      <w:headerReference w:type="first" r:id="rId30"/>
      <w:footerReference w:type="first" r:id="rId31"/>
      <w:endnotePr>
        <w:numFmt w:val="decimal"/>
      </w:endnotePr>
      <w:pgSz w:w="11906" w:h="16838" w:code="9"/>
      <w:pgMar w:top="2438" w:right="1418" w:bottom="1134" w:left="1418" w:header="907" w:footer="851"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FEEDE" w14:textId="77777777" w:rsidR="008A6545" w:rsidRDefault="008A6545" w:rsidP="00F14C6D">
      <w:r>
        <w:separator/>
      </w:r>
    </w:p>
  </w:endnote>
  <w:endnote w:type="continuationSeparator" w:id="0">
    <w:p w14:paraId="79B7C002" w14:textId="77777777" w:rsidR="008A6545" w:rsidRDefault="008A6545" w:rsidP="00F14C6D">
      <w:r>
        <w:continuationSeparator/>
      </w:r>
    </w:p>
  </w:endnote>
  <w:endnote w:type="continuationNotice" w:id="1">
    <w:p w14:paraId="613924E1" w14:textId="77777777" w:rsidR="008A6545" w:rsidRDefault="008A654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05457" w14:textId="77777777" w:rsidR="00DC343B" w:rsidRDefault="00BF6406">
    <w:pPr>
      <w:pStyle w:val="Footer"/>
    </w:pPr>
    <w:r w:rsidRPr="00622508">
      <w:fldChar w:fldCharType="begin"/>
    </w:r>
    <w:r>
      <w:instrText xml:space="preserve"> PAGE   \* MERGEFORMAT </w:instrText>
    </w:r>
    <w:r w:rsidRPr="00622508">
      <w:fldChar w:fldCharType="separate"/>
    </w:r>
    <w:r w:rsidR="00A27ABE" w:rsidRPr="00AB7C8F">
      <w:t>4</w:t>
    </w:r>
    <w:r w:rsidRPr="0062250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D3D3" w14:textId="71CAA451" w:rsidR="00DA1D32" w:rsidRDefault="007D79FD" w:rsidP="00E53546">
    <w:pPr>
      <w:pStyle w:val="FooterOddPageNumber"/>
    </w:pPr>
    <w:r>
      <w:t xml:space="preserve">The </w:t>
    </w:r>
    <w:r w:rsidRPr="007D79FD">
      <w:rPr>
        <w:rStyle w:val="Emphasis"/>
      </w:rPr>
      <w:t>Human Rights and Technology Final Report</w:t>
    </w:r>
    <w:r>
      <w:t xml:space="preserve"> is available at </w:t>
    </w:r>
    <w:hyperlink r:id="rId1" w:history="1">
      <w:r w:rsidRPr="007D79FD">
        <w:rPr>
          <w:rStyle w:val="Hyperlink"/>
        </w:rPr>
        <w:t>tech.humanrights.gov.au</w:t>
      </w:r>
    </w:hyperlink>
    <w:r>
      <w:t xml:space="preserve"> • </w:t>
    </w:r>
    <w:r w:rsidR="00DA1D32" w:rsidRPr="00AB7C8F">
      <w:fldChar w:fldCharType="begin"/>
    </w:r>
    <w:r w:rsidR="00DA1D32">
      <w:instrText xml:space="preserve"> PAGE   \* MERGEFORMAT </w:instrText>
    </w:r>
    <w:r w:rsidR="00DA1D32" w:rsidRPr="00AB7C8F">
      <w:fldChar w:fldCharType="separate"/>
    </w:r>
    <w:r w:rsidR="00D02074">
      <w:rPr>
        <w:noProof/>
      </w:rPr>
      <w:t>4</w:t>
    </w:r>
    <w:r w:rsidR="00DA1D32" w:rsidRPr="00AB7C8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7BEE8" w14:textId="77777777" w:rsidR="0063009F" w:rsidRDefault="0063009F" w:rsidP="00E53546">
    <w:pPr>
      <w:pStyle w:val="FooterEvenPageNumber"/>
    </w:pPr>
    <w:r w:rsidRPr="00F127A8">
      <w:fldChar w:fldCharType="begin"/>
    </w:r>
    <w:r>
      <w:instrText xml:space="preserve"> PAGE   \* MERGEFORMAT </w:instrText>
    </w:r>
    <w:r w:rsidRPr="00F127A8">
      <w:fldChar w:fldCharType="separate"/>
    </w:r>
    <w:r w:rsidR="00D02074">
      <w:rPr>
        <w:noProof/>
      </w:rPr>
      <w:t>2</w:t>
    </w:r>
    <w:r w:rsidRPr="00F127A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E4109" w14:textId="77777777" w:rsidR="008A6545" w:rsidRDefault="008A6545" w:rsidP="00F14C6D">
      <w:r>
        <w:separator/>
      </w:r>
    </w:p>
  </w:footnote>
  <w:footnote w:type="continuationSeparator" w:id="0">
    <w:p w14:paraId="2E68D100" w14:textId="77777777" w:rsidR="008A6545" w:rsidRDefault="008A6545" w:rsidP="00F14C6D">
      <w:r>
        <w:continuationSeparator/>
      </w:r>
    </w:p>
  </w:footnote>
  <w:footnote w:type="continuationNotice" w:id="1">
    <w:p w14:paraId="167F109C" w14:textId="77777777" w:rsidR="008A6545" w:rsidRDefault="008A654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693A" w14:textId="77777777" w:rsidR="0015239E" w:rsidRPr="000465F1" w:rsidRDefault="0015239E" w:rsidP="0015239E">
    <w:pPr>
      <w:pStyle w:val="Header"/>
    </w:pPr>
    <w:r w:rsidRPr="000465F1">
      <w:t>Australian Human Rights Commission</w:t>
    </w:r>
  </w:p>
  <w:p w14:paraId="541FB29B" w14:textId="77777777" w:rsidR="0015239E" w:rsidRPr="000465F1" w:rsidRDefault="0015239E" w:rsidP="0015239E">
    <w:pPr>
      <w:pStyle w:val="HeaderDocumentDate"/>
    </w:pPr>
    <w:r w:rsidRPr="001F62CC">
      <w:rPr>
        <w:rStyle w:val="HeaderDocumentTitle"/>
      </w:rPr>
      <w:t>Short title, report name,</w:t>
    </w:r>
    <w:r>
      <w:t xml:space="preserve"> </w:t>
    </w:r>
    <w:r w:rsidRPr="002850B0">
      <w:t>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DBD43" w14:textId="749BFBCE" w:rsidR="00E75F4C" w:rsidRPr="00E75F4C" w:rsidRDefault="00E75F4C" w:rsidP="008702E2">
    <w:pPr>
      <w:pStyle w:val="HeaderDocumentDate"/>
      <w:rPr>
        <w:sz w:val="20"/>
        <w:szCs w:val="20"/>
      </w:rPr>
    </w:pPr>
    <w:r w:rsidRPr="00E75F4C">
      <w:rPr>
        <w:sz w:val="20"/>
        <w:szCs w:val="20"/>
      </w:rPr>
      <w:t>Australian Human Rights Commission</w:t>
    </w:r>
  </w:p>
  <w:p w14:paraId="65A514A6" w14:textId="27410738" w:rsidR="008702E2" w:rsidRPr="000465F1" w:rsidRDefault="008702E2" w:rsidP="008702E2">
    <w:pPr>
      <w:pStyle w:val="HeaderDocumentDate"/>
    </w:pPr>
    <w:r>
      <w:t xml:space="preserve">Human Rights and Technology Final Report </w:t>
    </w:r>
    <w:r>
      <w:rPr>
        <w:rFonts w:cs="Open Sans"/>
      </w:rPr>
      <w:t>•</w:t>
    </w:r>
    <w:r>
      <w:t xml:space="preserve"> Summary </w:t>
    </w:r>
    <w:r>
      <w:rPr>
        <w:rFonts w:cs="Open Sans"/>
      </w:rPr>
      <w:t>•</w:t>
    </w:r>
    <w:r>
      <w:t xml:space="preserve"> 2021</w:t>
    </w:r>
  </w:p>
  <w:p w14:paraId="1BFFFA74" w14:textId="3CECDB47" w:rsidR="002F5E96" w:rsidRPr="00E75F4C" w:rsidRDefault="002F5E96" w:rsidP="00E75F4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7FA80" w14:textId="6C0DDD4A" w:rsidR="0039454D" w:rsidRPr="0039454D" w:rsidRDefault="0039454D" w:rsidP="0063009F">
    <w:pPr>
      <w:pStyle w:val="HeaderDocumentDate"/>
      <w:rPr>
        <w:sz w:val="20"/>
        <w:szCs w:val="20"/>
      </w:rPr>
    </w:pPr>
    <w:r w:rsidRPr="0039454D">
      <w:rPr>
        <w:sz w:val="20"/>
        <w:szCs w:val="20"/>
      </w:rPr>
      <w:t>Australian Human Rights Commission</w:t>
    </w:r>
  </w:p>
  <w:p w14:paraId="7B313D09" w14:textId="6AEF4DF3" w:rsidR="0063009F" w:rsidRPr="000465F1" w:rsidRDefault="008702E2" w:rsidP="0063009F">
    <w:pPr>
      <w:pStyle w:val="HeaderDocumentDate"/>
    </w:pPr>
    <w:r>
      <w:t xml:space="preserve">Human Rights and Technology Final Report </w:t>
    </w:r>
    <w:r>
      <w:rPr>
        <w:rFonts w:cs="Open Sans"/>
      </w:rPr>
      <w:t>•</w:t>
    </w:r>
    <w:r>
      <w:t xml:space="preserve"> Summary Report </w:t>
    </w:r>
    <w:r>
      <w:rPr>
        <w:rFonts w:cs="Open Sans"/>
      </w:rPr>
      <w:t>•</w:t>
    </w:r>
    <w: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6F36045A"/>
    <w:lvl w:ilvl="0" w:tplc="23C6AD28">
      <w:start w:val="1"/>
      <w:numFmt w:val="decimal"/>
      <w:pStyle w:val="ListNumber4"/>
      <w:lvlText w:val="%1."/>
      <w:lvlJc w:val="left"/>
      <w:pPr>
        <w:tabs>
          <w:tab w:val="num" w:pos="1209"/>
        </w:tabs>
        <w:ind w:left="1209" w:hanging="360"/>
      </w:pPr>
    </w:lvl>
    <w:lvl w:ilvl="1" w:tplc="6A3E4508">
      <w:numFmt w:val="decimal"/>
      <w:lvlText w:val=""/>
      <w:lvlJc w:val="left"/>
    </w:lvl>
    <w:lvl w:ilvl="2" w:tplc="90ACB76E">
      <w:numFmt w:val="decimal"/>
      <w:lvlText w:val=""/>
      <w:lvlJc w:val="left"/>
    </w:lvl>
    <w:lvl w:ilvl="3" w:tplc="779E7C60">
      <w:numFmt w:val="decimal"/>
      <w:lvlText w:val=""/>
      <w:lvlJc w:val="left"/>
    </w:lvl>
    <w:lvl w:ilvl="4" w:tplc="EE106AD2">
      <w:numFmt w:val="decimal"/>
      <w:lvlText w:val=""/>
      <w:lvlJc w:val="left"/>
    </w:lvl>
    <w:lvl w:ilvl="5" w:tplc="943E946C">
      <w:numFmt w:val="decimal"/>
      <w:lvlText w:val=""/>
      <w:lvlJc w:val="left"/>
    </w:lvl>
    <w:lvl w:ilvl="6" w:tplc="6C325D04">
      <w:numFmt w:val="decimal"/>
      <w:lvlText w:val=""/>
      <w:lvlJc w:val="left"/>
    </w:lvl>
    <w:lvl w:ilvl="7" w:tplc="D9A41EB4">
      <w:numFmt w:val="decimal"/>
      <w:lvlText w:val=""/>
      <w:lvlJc w:val="left"/>
    </w:lvl>
    <w:lvl w:ilvl="8" w:tplc="5F968E9A">
      <w:numFmt w:val="decimal"/>
      <w:lvlText w:val=""/>
      <w:lvlJc w:val="left"/>
    </w:lvl>
  </w:abstractNum>
  <w:abstractNum w:abstractNumId="2" w15:restartNumberingAfterBreak="0">
    <w:nsid w:val="FFFFFF7E"/>
    <w:multiLevelType w:val="multilevel"/>
    <w:tmpl w:val="5558AC88"/>
    <w:lvl w:ilvl="0">
      <w:start w:val="1"/>
      <w:numFmt w:val="decimal"/>
      <w:pStyle w:val="ListNumber3"/>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hybridMultilevel"/>
    <w:tmpl w:val="91EC8FA0"/>
    <w:lvl w:ilvl="0" w:tplc="3E18A1BE">
      <w:start w:val="1"/>
      <w:numFmt w:val="decimal"/>
      <w:pStyle w:val="ListNumber2"/>
      <w:lvlText w:val="%1."/>
      <w:lvlJc w:val="left"/>
      <w:pPr>
        <w:tabs>
          <w:tab w:val="num" w:pos="643"/>
        </w:tabs>
        <w:ind w:left="643" w:hanging="360"/>
      </w:pPr>
    </w:lvl>
    <w:lvl w:ilvl="1" w:tplc="8092DF1E">
      <w:numFmt w:val="decimal"/>
      <w:lvlText w:val=""/>
      <w:lvlJc w:val="left"/>
    </w:lvl>
    <w:lvl w:ilvl="2" w:tplc="14D82976">
      <w:numFmt w:val="decimal"/>
      <w:lvlText w:val=""/>
      <w:lvlJc w:val="left"/>
    </w:lvl>
    <w:lvl w:ilvl="3" w:tplc="E222F76C">
      <w:numFmt w:val="decimal"/>
      <w:lvlText w:val=""/>
      <w:lvlJc w:val="left"/>
    </w:lvl>
    <w:lvl w:ilvl="4" w:tplc="819E1D5C">
      <w:numFmt w:val="decimal"/>
      <w:lvlText w:val=""/>
      <w:lvlJc w:val="left"/>
    </w:lvl>
    <w:lvl w:ilvl="5" w:tplc="A98CF136">
      <w:numFmt w:val="decimal"/>
      <w:lvlText w:val=""/>
      <w:lvlJc w:val="left"/>
    </w:lvl>
    <w:lvl w:ilvl="6" w:tplc="6CB267EE">
      <w:numFmt w:val="decimal"/>
      <w:lvlText w:val=""/>
      <w:lvlJc w:val="left"/>
    </w:lvl>
    <w:lvl w:ilvl="7" w:tplc="7B165EF0">
      <w:numFmt w:val="decimal"/>
      <w:lvlText w:val=""/>
      <w:lvlJc w:val="left"/>
    </w:lvl>
    <w:lvl w:ilvl="8" w:tplc="9E3C0FC2">
      <w:numFmt w:val="decimal"/>
      <w:lvlText w:val=""/>
      <w:lvlJc w:val="left"/>
    </w:lvl>
  </w:abstractNum>
  <w:abstractNum w:abstractNumId="4" w15:restartNumberingAfterBreak="0">
    <w:nsid w:val="FFFFFF80"/>
    <w:multiLevelType w:val="hybridMultilevel"/>
    <w:tmpl w:val="3104E1E6"/>
    <w:lvl w:ilvl="0" w:tplc="FDD0AB20">
      <w:start w:val="1"/>
      <w:numFmt w:val="bullet"/>
      <w:pStyle w:val="ListBullet5"/>
      <w:lvlText w:val=""/>
      <w:lvlJc w:val="left"/>
      <w:pPr>
        <w:tabs>
          <w:tab w:val="num" w:pos="1492"/>
        </w:tabs>
        <w:ind w:left="1492" w:hanging="360"/>
      </w:pPr>
      <w:rPr>
        <w:rFonts w:ascii="Symbol" w:hAnsi="Symbol" w:hint="default"/>
      </w:rPr>
    </w:lvl>
    <w:lvl w:ilvl="1" w:tplc="99E6A452">
      <w:numFmt w:val="decimal"/>
      <w:lvlText w:val=""/>
      <w:lvlJc w:val="left"/>
    </w:lvl>
    <w:lvl w:ilvl="2" w:tplc="5EF41D36">
      <w:numFmt w:val="decimal"/>
      <w:lvlText w:val=""/>
      <w:lvlJc w:val="left"/>
    </w:lvl>
    <w:lvl w:ilvl="3" w:tplc="0950A06A">
      <w:numFmt w:val="decimal"/>
      <w:lvlText w:val=""/>
      <w:lvlJc w:val="left"/>
    </w:lvl>
    <w:lvl w:ilvl="4" w:tplc="A4E8C5E6">
      <w:numFmt w:val="decimal"/>
      <w:lvlText w:val=""/>
      <w:lvlJc w:val="left"/>
    </w:lvl>
    <w:lvl w:ilvl="5" w:tplc="BAB09D06">
      <w:numFmt w:val="decimal"/>
      <w:lvlText w:val=""/>
      <w:lvlJc w:val="left"/>
    </w:lvl>
    <w:lvl w:ilvl="6" w:tplc="64EC0E60">
      <w:numFmt w:val="decimal"/>
      <w:lvlText w:val=""/>
      <w:lvlJc w:val="left"/>
    </w:lvl>
    <w:lvl w:ilvl="7" w:tplc="C512BF22">
      <w:numFmt w:val="decimal"/>
      <w:lvlText w:val=""/>
      <w:lvlJc w:val="left"/>
    </w:lvl>
    <w:lvl w:ilvl="8" w:tplc="0C58F8E8">
      <w:numFmt w:val="decimal"/>
      <w:lvlText w:val=""/>
      <w:lvlJc w:val="left"/>
    </w:lvl>
  </w:abstractNum>
  <w:abstractNum w:abstractNumId="5" w15:restartNumberingAfterBreak="0">
    <w:nsid w:val="FFFFFF81"/>
    <w:multiLevelType w:val="multilevel"/>
    <w:tmpl w:val="C2C21C32"/>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5656989A"/>
    <w:lvl w:ilvl="0">
      <w:start w:val="1"/>
      <w:numFmt w:val="bullet"/>
      <w:pStyle w:val="ListBullet3"/>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multilevel"/>
    <w:tmpl w:val="CF4A024C"/>
    <w:lvl w:ilvl="0">
      <w:start w:val="1"/>
      <w:numFmt w:val="bullet"/>
      <w:pStyle w:val="ListBullet"/>
      <w:lvlText w:val=""/>
      <w:lvlJc w:val="left"/>
      <w:pPr>
        <w:tabs>
          <w:tab w:val="num" w:pos="360"/>
        </w:tabs>
        <w:ind w:left="360" w:hanging="3"/>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2785881"/>
    <w:multiLevelType w:val="multilevel"/>
    <w:tmpl w:val="0D6082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1" w15:restartNumberingAfterBreak="0">
    <w:nsid w:val="11633D76"/>
    <w:multiLevelType w:val="hybridMultilevel"/>
    <w:tmpl w:val="0C09001D"/>
    <w:lvl w:ilvl="0" w:tplc="9FDE92A2">
      <w:start w:val="1"/>
      <w:numFmt w:val="decimal"/>
      <w:lvlText w:val="%1)"/>
      <w:lvlJc w:val="left"/>
      <w:pPr>
        <w:tabs>
          <w:tab w:val="num" w:pos="360"/>
        </w:tabs>
        <w:ind w:left="360" w:hanging="360"/>
      </w:pPr>
    </w:lvl>
    <w:lvl w:ilvl="1" w:tplc="C0680654">
      <w:start w:val="1"/>
      <w:numFmt w:val="lowerLetter"/>
      <w:lvlText w:val="%2)"/>
      <w:lvlJc w:val="left"/>
      <w:pPr>
        <w:tabs>
          <w:tab w:val="num" w:pos="720"/>
        </w:tabs>
        <w:ind w:left="720" w:hanging="360"/>
      </w:pPr>
    </w:lvl>
    <w:lvl w:ilvl="2" w:tplc="3536C9CC">
      <w:start w:val="1"/>
      <w:numFmt w:val="lowerRoman"/>
      <w:lvlText w:val="%3)"/>
      <w:lvlJc w:val="left"/>
      <w:pPr>
        <w:tabs>
          <w:tab w:val="num" w:pos="1080"/>
        </w:tabs>
        <w:ind w:left="1080" w:hanging="360"/>
      </w:pPr>
    </w:lvl>
    <w:lvl w:ilvl="3" w:tplc="15A01236">
      <w:start w:val="1"/>
      <w:numFmt w:val="decimal"/>
      <w:lvlText w:val="(%4)"/>
      <w:lvlJc w:val="left"/>
      <w:pPr>
        <w:tabs>
          <w:tab w:val="num" w:pos="1440"/>
        </w:tabs>
        <w:ind w:left="1440" w:hanging="360"/>
      </w:pPr>
    </w:lvl>
    <w:lvl w:ilvl="4" w:tplc="1CCAE912">
      <w:start w:val="1"/>
      <w:numFmt w:val="lowerLetter"/>
      <w:lvlText w:val="(%5)"/>
      <w:lvlJc w:val="left"/>
      <w:pPr>
        <w:tabs>
          <w:tab w:val="num" w:pos="1800"/>
        </w:tabs>
        <w:ind w:left="1800" w:hanging="360"/>
      </w:pPr>
    </w:lvl>
    <w:lvl w:ilvl="5" w:tplc="F62E0AFE">
      <w:start w:val="1"/>
      <w:numFmt w:val="lowerRoman"/>
      <w:lvlText w:val="(%6)"/>
      <w:lvlJc w:val="left"/>
      <w:pPr>
        <w:tabs>
          <w:tab w:val="num" w:pos="2160"/>
        </w:tabs>
        <w:ind w:left="2160" w:hanging="360"/>
      </w:pPr>
    </w:lvl>
    <w:lvl w:ilvl="6" w:tplc="FDF64B6C">
      <w:start w:val="1"/>
      <w:numFmt w:val="decimal"/>
      <w:lvlText w:val="%7."/>
      <w:lvlJc w:val="left"/>
      <w:pPr>
        <w:tabs>
          <w:tab w:val="num" w:pos="2520"/>
        </w:tabs>
        <w:ind w:left="2520" w:hanging="360"/>
      </w:pPr>
    </w:lvl>
    <w:lvl w:ilvl="7" w:tplc="C3EA73FA">
      <w:start w:val="1"/>
      <w:numFmt w:val="lowerLetter"/>
      <w:lvlText w:val="%8."/>
      <w:lvlJc w:val="left"/>
      <w:pPr>
        <w:tabs>
          <w:tab w:val="num" w:pos="2880"/>
        </w:tabs>
        <w:ind w:left="2880" w:hanging="360"/>
      </w:pPr>
    </w:lvl>
    <w:lvl w:ilvl="8" w:tplc="D09812B2">
      <w:start w:val="1"/>
      <w:numFmt w:val="lowerRoman"/>
      <w:lvlText w:val="%9."/>
      <w:lvlJc w:val="left"/>
      <w:pPr>
        <w:tabs>
          <w:tab w:val="num" w:pos="3240"/>
        </w:tabs>
        <w:ind w:left="3240" w:hanging="360"/>
      </w:pPr>
    </w:lvl>
  </w:abstractNum>
  <w:abstractNum w:abstractNumId="12" w15:restartNumberingAfterBreak="0">
    <w:nsid w:val="16167726"/>
    <w:multiLevelType w:val="hybridMultilevel"/>
    <w:tmpl w:val="72640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B95AB4"/>
    <w:multiLevelType w:val="hybridMultilevel"/>
    <w:tmpl w:val="0C09001D"/>
    <w:lvl w:ilvl="0" w:tplc="52B4457A">
      <w:start w:val="1"/>
      <w:numFmt w:val="decimal"/>
      <w:lvlText w:val="%1)"/>
      <w:lvlJc w:val="left"/>
      <w:pPr>
        <w:tabs>
          <w:tab w:val="num" w:pos="360"/>
        </w:tabs>
        <w:ind w:left="360" w:hanging="360"/>
      </w:pPr>
    </w:lvl>
    <w:lvl w:ilvl="1" w:tplc="B6D6E7EC">
      <w:start w:val="1"/>
      <w:numFmt w:val="lowerLetter"/>
      <w:lvlText w:val="%2)"/>
      <w:lvlJc w:val="left"/>
      <w:pPr>
        <w:tabs>
          <w:tab w:val="num" w:pos="720"/>
        </w:tabs>
        <w:ind w:left="720" w:hanging="360"/>
      </w:pPr>
    </w:lvl>
    <w:lvl w:ilvl="2" w:tplc="FE9429C4">
      <w:start w:val="1"/>
      <w:numFmt w:val="lowerRoman"/>
      <w:lvlText w:val="%3)"/>
      <w:lvlJc w:val="left"/>
      <w:pPr>
        <w:tabs>
          <w:tab w:val="num" w:pos="1080"/>
        </w:tabs>
        <w:ind w:left="1080" w:hanging="360"/>
      </w:pPr>
    </w:lvl>
    <w:lvl w:ilvl="3" w:tplc="9604AB2C">
      <w:start w:val="1"/>
      <w:numFmt w:val="decimal"/>
      <w:lvlText w:val="(%4)"/>
      <w:lvlJc w:val="left"/>
      <w:pPr>
        <w:tabs>
          <w:tab w:val="num" w:pos="1440"/>
        </w:tabs>
        <w:ind w:left="1440" w:hanging="360"/>
      </w:pPr>
    </w:lvl>
    <w:lvl w:ilvl="4" w:tplc="589852B8">
      <w:start w:val="1"/>
      <w:numFmt w:val="lowerLetter"/>
      <w:lvlText w:val="(%5)"/>
      <w:lvlJc w:val="left"/>
      <w:pPr>
        <w:tabs>
          <w:tab w:val="num" w:pos="1800"/>
        </w:tabs>
        <w:ind w:left="1800" w:hanging="360"/>
      </w:pPr>
    </w:lvl>
    <w:lvl w:ilvl="5" w:tplc="D366871C">
      <w:start w:val="1"/>
      <w:numFmt w:val="lowerRoman"/>
      <w:lvlText w:val="(%6)"/>
      <w:lvlJc w:val="left"/>
      <w:pPr>
        <w:tabs>
          <w:tab w:val="num" w:pos="2160"/>
        </w:tabs>
        <w:ind w:left="2160" w:hanging="360"/>
      </w:pPr>
    </w:lvl>
    <w:lvl w:ilvl="6" w:tplc="E4123744">
      <w:start w:val="1"/>
      <w:numFmt w:val="decimal"/>
      <w:lvlText w:val="%7."/>
      <w:lvlJc w:val="left"/>
      <w:pPr>
        <w:tabs>
          <w:tab w:val="num" w:pos="2520"/>
        </w:tabs>
        <w:ind w:left="2520" w:hanging="360"/>
      </w:pPr>
    </w:lvl>
    <w:lvl w:ilvl="7" w:tplc="BCA0D9FC">
      <w:start w:val="1"/>
      <w:numFmt w:val="lowerLetter"/>
      <w:lvlText w:val="%8."/>
      <w:lvlJc w:val="left"/>
      <w:pPr>
        <w:tabs>
          <w:tab w:val="num" w:pos="2880"/>
        </w:tabs>
        <w:ind w:left="2880" w:hanging="360"/>
      </w:pPr>
    </w:lvl>
    <w:lvl w:ilvl="8" w:tplc="595C76DE">
      <w:start w:val="1"/>
      <w:numFmt w:val="lowerRoman"/>
      <w:lvlText w:val="%9."/>
      <w:lvlJc w:val="left"/>
      <w:pPr>
        <w:tabs>
          <w:tab w:val="num" w:pos="3240"/>
        </w:tabs>
        <w:ind w:left="3240" w:hanging="360"/>
      </w:pPr>
    </w:lvl>
  </w:abstractNum>
  <w:abstractNum w:abstractNumId="14"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1B71560"/>
    <w:multiLevelType w:val="hybridMultilevel"/>
    <w:tmpl w:val="0C090023"/>
    <w:styleLink w:val="ArticleSection"/>
    <w:lvl w:ilvl="0" w:tplc="CA44319A">
      <w:start w:val="1"/>
      <w:numFmt w:val="upperRoman"/>
      <w:lvlText w:val="Article %1."/>
      <w:lvlJc w:val="left"/>
      <w:pPr>
        <w:tabs>
          <w:tab w:val="num" w:pos="1440"/>
        </w:tabs>
        <w:ind w:left="0" w:firstLine="0"/>
      </w:pPr>
    </w:lvl>
    <w:lvl w:ilvl="1" w:tplc="30BE7802">
      <w:start w:val="1"/>
      <w:numFmt w:val="decimalZero"/>
      <w:isLgl/>
      <w:lvlText w:val="Section %1.%2"/>
      <w:lvlJc w:val="left"/>
      <w:pPr>
        <w:tabs>
          <w:tab w:val="num" w:pos="1440"/>
        </w:tabs>
        <w:ind w:left="0" w:firstLine="0"/>
      </w:pPr>
    </w:lvl>
    <w:lvl w:ilvl="2" w:tplc="4628BE96">
      <w:start w:val="1"/>
      <w:numFmt w:val="lowerLetter"/>
      <w:lvlText w:val="(%3)"/>
      <w:lvlJc w:val="left"/>
      <w:pPr>
        <w:tabs>
          <w:tab w:val="num" w:pos="720"/>
        </w:tabs>
        <w:ind w:left="720" w:hanging="432"/>
      </w:pPr>
    </w:lvl>
    <w:lvl w:ilvl="3" w:tplc="0C0EBAD8">
      <w:start w:val="1"/>
      <w:numFmt w:val="lowerRoman"/>
      <w:lvlText w:val="(%4)"/>
      <w:lvlJc w:val="right"/>
      <w:pPr>
        <w:tabs>
          <w:tab w:val="num" w:pos="864"/>
        </w:tabs>
        <w:ind w:left="864" w:hanging="144"/>
      </w:pPr>
    </w:lvl>
    <w:lvl w:ilvl="4" w:tplc="679C5878">
      <w:start w:val="1"/>
      <w:numFmt w:val="decimal"/>
      <w:lvlText w:val="%5)"/>
      <w:lvlJc w:val="left"/>
      <w:pPr>
        <w:tabs>
          <w:tab w:val="num" w:pos="1008"/>
        </w:tabs>
        <w:ind w:left="1008" w:hanging="432"/>
      </w:pPr>
    </w:lvl>
    <w:lvl w:ilvl="5" w:tplc="635AD594">
      <w:start w:val="1"/>
      <w:numFmt w:val="lowerLetter"/>
      <w:lvlText w:val="%6)"/>
      <w:lvlJc w:val="left"/>
      <w:pPr>
        <w:tabs>
          <w:tab w:val="num" w:pos="1152"/>
        </w:tabs>
        <w:ind w:left="1152" w:hanging="432"/>
      </w:pPr>
    </w:lvl>
    <w:lvl w:ilvl="6" w:tplc="3A6E0674">
      <w:start w:val="1"/>
      <w:numFmt w:val="lowerRoman"/>
      <w:lvlText w:val="%7)"/>
      <w:lvlJc w:val="right"/>
      <w:pPr>
        <w:tabs>
          <w:tab w:val="num" w:pos="1296"/>
        </w:tabs>
        <w:ind w:left="1296" w:hanging="288"/>
      </w:pPr>
    </w:lvl>
    <w:lvl w:ilvl="7" w:tplc="06D8F488">
      <w:start w:val="1"/>
      <w:numFmt w:val="lowerLetter"/>
      <w:lvlText w:val="%8."/>
      <w:lvlJc w:val="left"/>
      <w:pPr>
        <w:tabs>
          <w:tab w:val="num" w:pos="1440"/>
        </w:tabs>
        <w:ind w:left="1440" w:hanging="432"/>
      </w:pPr>
    </w:lvl>
    <w:lvl w:ilvl="8" w:tplc="CA165790">
      <w:start w:val="1"/>
      <w:numFmt w:val="lowerRoman"/>
      <w:lvlText w:val="%9."/>
      <w:lvlJc w:val="right"/>
      <w:pPr>
        <w:tabs>
          <w:tab w:val="num" w:pos="1584"/>
        </w:tabs>
        <w:ind w:left="1584" w:hanging="144"/>
      </w:pPr>
    </w:lvl>
  </w:abstractNum>
  <w:abstractNum w:abstractNumId="16" w15:restartNumberingAfterBreak="0">
    <w:nsid w:val="243B1A64"/>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82130BC"/>
    <w:multiLevelType w:val="hybridMultilevel"/>
    <w:tmpl w:val="2848B230"/>
    <w:lvl w:ilvl="0" w:tplc="82BE52F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87970A2"/>
    <w:multiLevelType w:val="hybridMultilevel"/>
    <w:tmpl w:val="485EA6EA"/>
    <w:lvl w:ilvl="0" w:tplc="C3DC8B7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B4E0873"/>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C197215"/>
    <w:multiLevelType w:val="hybridMultilevel"/>
    <w:tmpl w:val="AD46E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9031F4"/>
    <w:multiLevelType w:val="hybridMultilevel"/>
    <w:tmpl w:val="19508716"/>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2"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ECE19DF"/>
    <w:multiLevelType w:val="hybridMultilevel"/>
    <w:tmpl w:val="4F443BA0"/>
    <w:lvl w:ilvl="0" w:tplc="27CE5826">
      <w:start w:val="1"/>
      <w:numFmt w:val="bullet"/>
      <w:lvlText w:val=""/>
      <w:lvlJc w:val="left"/>
      <w:pPr>
        <w:tabs>
          <w:tab w:val="num" w:pos="720"/>
        </w:tabs>
        <w:ind w:left="720" w:hanging="360"/>
      </w:pPr>
      <w:rPr>
        <w:rFonts w:ascii="Symbol" w:hAnsi="Symbol"/>
        <w:sz w:val="24"/>
      </w:rPr>
    </w:lvl>
    <w:lvl w:ilvl="1" w:tplc="18802E44">
      <w:start w:val="1"/>
      <w:numFmt w:val="bullet"/>
      <w:lvlText w:val="o"/>
      <w:lvlJc w:val="left"/>
      <w:pPr>
        <w:tabs>
          <w:tab w:val="num" w:pos="1440"/>
        </w:tabs>
        <w:ind w:left="1440" w:hanging="360"/>
      </w:pPr>
      <w:rPr>
        <w:rFonts w:ascii="Courier New" w:hAnsi="Courier New" w:cs="Courier New" w:hint="default"/>
      </w:rPr>
    </w:lvl>
    <w:lvl w:ilvl="2" w:tplc="41A83E26">
      <w:start w:val="1"/>
      <w:numFmt w:val="bullet"/>
      <w:lvlText w:val=""/>
      <w:lvlJc w:val="left"/>
      <w:pPr>
        <w:tabs>
          <w:tab w:val="num" w:pos="2160"/>
        </w:tabs>
        <w:ind w:left="2160" w:hanging="360"/>
      </w:pPr>
      <w:rPr>
        <w:rFonts w:ascii="Wingdings" w:hAnsi="Wingdings" w:hint="default"/>
      </w:rPr>
    </w:lvl>
    <w:lvl w:ilvl="3" w:tplc="AD0667C0">
      <w:start w:val="1"/>
      <w:numFmt w:val="bullet"/>
      <w:lvlText w:val=""/>
      <w:lvlJc w:val="left"/>
      <w:pPr>
        <w:tabs>
          <w:tab w:val="num" w:pos="2880"/>
        </w:tabs>
        <w:ind w:left="2880" w:hanging="360"/>
      </w:pPr>
      <w:rPr>
        <w:rFonts w:ascii="Symbol" w:hAnsi="Symbol" w:hint="default"/>
      </w:rPr>
    </w:lvl>
    <w:lvl w:ilvl="4" w:tplc="949E0B3A">
      <w:start w:val="1"/>
      <w:numFmt w:val="bullet"/>
      <w:lvlText w:val="o"/>
      <w:lvlJc w:val="left"/>
      <w:pPr>
        <w:tabs>
          <w:tab w:val="num" w:pos="3600"/>
        </w:tabs>
        <w:ind w:left="3600" w:hanging="360"/>
      </w:pPr>
      <w:rPr>
        <w:rFonts w:ascii="Courier New" w:hAnsi="Courier New" w:cs="Courier New" w:hint="default"/>
      </w:rPr>
    </w:lvl>
    <w:lvl w:ilvl="5" w:tplc="EEE6B086">
      <w:start w:val="1"/>
      <w:numFmt w:val="bullet"/>
      <w:lvlText w:val=""/>
      <w:lvlJc w:val="left"/>
      <w:pPr>
        <w:tabs>
          <w:tab w:val="num" w:pos="4320"/>
        </w:tabs>
        <w:ind w:left="4320" w:hanging="360"/>
      </w:pPr>
      <w:rPr>
        <w:rFonts w:ascii="Wingdings" w:hAnsi="Wingdings" w:hint="default"/>
      </w:rPr>
    </w:lvl>
    <w:lvl w:ilvl="6" w:tplc="7E74B7F0">
      <w:start w:val="1"/>
      <w:numFmt w:val="bullet"/>
      <w:lvlText w:val=""/>
      <w:lvlJc w:val="left"/>
      <w:pPr>
        <w:tabs>
          <w:tab w:val="num" w:pos="5040"/>
        </w:tabs>
        <w:ind w:left="5040" w:hanging="360"/>
      </w:pPr>
      <w:rPr>
        <w:rFonts w:ascii="Symbol" w:hAnsi="Symbol" w:hint="default"/>
      </w:rPr>
    </w:lvl>
    <w:lvl w:ilvl="7" w:tplc="F6D024DC">
      <w:start w:val="1"/>
      <w:numFmt w:val="bullet"/>
      <w:lvlText w:val="o"/>
      <w:lvlJc w:val="left"/>
      <w:pPr>
        <w:tabs>
          <w:tab w:val="num" w:pos="5760"/>
        </w:tabs>
        <w:ind w:left="5760" w:hanging="360"/>
      </w:pPr>
      <w:rPr>
        <w:rFonts w:ascii="Courier New" w:hAnsi="Courier New" w:cs="Courier New" w:hint="default"/>
      </w:rPr>
    </w:lvl>
    <w:lvl w:ilvl="8" w:tplc="96FA8B8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A09E4"/>
    <w:multiLevelType w:val="multilevel"/>
    <w:tmpl w:val="4F443BA0"/>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8E4767"/>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8524836"/>
    <w:multiLevelType w:val="hybridMultilevel"/>
    <w:tmpl w:val="0AA0E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FF7A73"/>
    <w:multiLevelType w:val="multilevel"/>
    <w:tmpl w:val="8F7C2D86"/>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28" w15:restartNumberingAfterBreak="0">
    <w:nsid w:val="4B9008C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CC612F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4FC33B71"/>
    <w:multiLevelType w:val="hybridMultilevel"/>
    <w:tmpl w:val="6FBA9208"/>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2" w15:restartNumberingAfterBreak="0">
    <w:nsid w:val="512C40F9"/>
    <w:multiLevelType w:val="hybridMultilevel"/>
    <w:tmpl w:val="A54E2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472E00"/>
    <w:multiLevelType w:val="hybridMultilevel"/>
    <w:tmpl w:val="FED61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9D7D54"/>
    <w:multiLevelType w:val="hybridMultilevel"/>
    <w:tmpl w:val="065E8C4E"/>
    <w:lvl w:ilvl="0" w:tplc="4BF216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C6F4CE5"/>
    <w:multiLevelType w:val="hybridMultilevel"/>
    <w:tmpl w:val="52B8D7CA"/>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6" w15:restartNumberingAfterBreak="0">
    <w:nsid w:val="6343539E"/>
    <w:multiLevelType w:val="hybridMultilevel"/>
    <w:tmpl w:val="5110461E"/>
    <w:lvl w:ilvl="0" w:tplc="0C090001">
      <w:start w:val="1"/>
      <w:numFmt w:val="bullet"/>
      <w:lvlText w:val=""/>
      <w:lvlJc w:val="left"/>
      <w:pPr>
        <w:tabs>
          <w:tab w:val="num" w:pos="1080"/>
        </w:tabs>
        <w:ind w:left="1080" w:hanging="360"/>
      </w:pPr>
      <w:rPr>
        <w:rFonts w:ascii="Symbol" w:hAnsi="Symbol"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7" w15:restartNumberingAfterBreak="0">
    <w:nsid w:val="64D10019"/>
    <w:multiLevelType w:val="hybridMultilevel"/>
    <w:tmpl w:val="188E7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C03D22"/>
    <w:multiLevelType w:val="hybridMultilevel"/>
    <w:tmpl w:val="5B567376"/>
    <w:lvl w:ilvl="0" w:tplc="51AEED68">
      <w:start w:val="1"/>
      <w:numFmt w:val="lowerRoman"/>
      <w:lvlText w:val="%1."/>
      <w:lvlJc w:val="left"/>
      <w:pPr>
        <w:ind w:left="1800" w:hanging="72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9" w15:restartNumberingAfterBreak="0">
    <w:nsid w:val="722E1368"/>
    <w:multiLevelType w:val="hybridMultilevel"/>
    <w:tmpl w:val="4F443B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BC79B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74D1A58"/>
    <w:multiLevelType w:val="hybridMultilevel"/>
    <w:tmpl w:val="0C09001D"/>
    <w:lvl w:ilvl="0" w:tplc="04E665BC">
      <w:start w:val="1"/>
      <w:numFmt w:val="decimal"/>
      <w:lvlText w:val="%1)"/>
      <w:lvlJc w:val="left"/>
      <w:pPr>
        <w:tabs>
          <w:tab w:val="num" w:pos="360"/>
        </w:tabs>
        <w:ind w:left="360" w:hanging="360"/>
      </w:pPr>
    </w:lvl>
    <w:lvl w:ilvl="1" w:tplc="7696F2F6">
      <w:start w:val="1"/>
      <w:numFmt w:val="lowerLetter"/>
      <w:lvlText w:val="%2)"/>
      <w:lvlJc w:val="left"/>
      <w:pPr>
        <w:tabs>
          <w:tab w:val="num" w:pos="720"/>
        </w:tabs>
        <w:ind w:left="720" w:hanging="360"/>
      </w:pPr>
    </w:lvl>
    <w:lvl w:ilvl="2" w:tplc="50949AB6">
      <w:start w:val="1"/>
      <w:numFmt w:val="lowerRoman"/>
      <w:lvlText w:val="%3)"/>
      <w:lvlJc w:val="left"/>
      <w:pPr>
        <w:tabs>
          <w:tab w:val="num" w:pos="1080"/>
        </w:tabs>
        <w:ind w:left="1080" w:hanging="360"/>
      </w:pPr>
    </w:lvl>
    <w:lvl w:ilvl="3" w:tplc="D5DE1F74">
      <w:start w:val="1"/>
      <w:numFmt w:val="decimal"/>
      <w:lvlText w:val="(%4)"/>
      <w:lvlJc w:val="left"/>
      <w:pPr>
        <w:tabs>
          <w:tab w:val="num" w:pos="1440"/>
        </w:tabs>
        <w:ind w:left="1440" w:hanging="360"/>
      </w:pPr>
    </w:lvl>
    <w:lvl w:ilvl="4" w:tplc="E96C95DA">
      <w:start w:val="1"/>
      <w:numFmt w:val="lowerLetter"/>
      <w:lvlText w:val="(%5)"/>
      <w:lvlJc w:val="left"/>
      <w:pPr>
        <w:tabs>
          <w:tab w:val="num" w:pos="1800"/>
        </w:tabs>
        <w:ind w:left="1800" w:hanging="360"/>
      </w:pPr>
    </w:lvl>
    <w:lvl w:ilvl="5" w:tplc="657A63D0">
      <w:start w:val="1"/>
      <w:numFmt w:val="lowerRoman"/>
      <w:lvlText w:val="(%6)"/>
      <w:lvlJc w:val="left"/>
      <w:pPr>
        <w:tabs>
          <w:tab w:val="num" w:pos="2160"/>
        </w:tabs>
        <w:ind w:left="2160" w:hanging="360"/>
      </w:pPr>
    </w:lvl>
    <w:lvl w:ilvl="6" w:tplc="9F8663A4">
      <w:start w:val="1"/>
      <w:numFmt w:val="decimal"/>
      <w:lvlText w:val="%7."/>
      <w:lvlJc w:val="left"/>
      <w:pPr>
        <w:tabs>
          <w:tab w:val="num" w:pos="2520"/>
        </w:tabs>
        <w:ind w:left="2520" w:hanging="360"/>
      </w:pPr>
    </w:lvl>
    <w:lvl w:ilvl="7" w:tplc="F2D68BAC">
      <w:start w:val="1"/>
      <w:numFmt w:val="lowerLetter"/>
      <w:lvlText w:val="%8."/>
      <w:lvlJc w:val="left"/>
      <w:pPr>
        <w:tabs>
          <w:tab w:val="num" w:pos="2880"/>
        </w:tabs>
        <w:ind w:left="2880" w:hanging="360"/>
      </w:pPr>
    </w:lvl>
    <w:lvl w:ilvl="8" w:tplc="D7CE89AC">
      <w:start w:val="1"/>
      <w:numFmt w:val="lowerRoman"/>
      <w:lvlText w:val="%9."/>
      <w:lvlJc w:val="left"/>
      <w:pPr>
        <w:tabs>
          <w:tab w:val="num" w:pos="3240"/>
        </w:tabs>
        <w:ind w:left="3240" w:hanging="360"/>
      </w:pPr>
    </w:lvl>
  </w:abstractNum>
  <w:num w:numId="1">
    <w:abstractNumId w:val="18"/>
  </w:num>
  <w:num w:numId="2">
    <w:abstractNumId w:val="27"/>
  </w:num>
  <w:num w:numId="3">
    <w:abstractNumId w:val="34"/>
  </w:num>
  <w:num w:numId="4">
    <w:abstractNumId w:val="17"/>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6"/>
  </w:num>
  <w:num w:numId="10">
    <w:abstractNumId w:val="5"/>
  </w:num>
  <w:num w:numId="11">
    <w:abstractNumId w:val="4"/>
  </w:num>
  <w:num w:numId="12">
    <w:abstractNumId w:val="8"/>
  </w:num>
  <w:num w:numId="13">
    <w:abstractNumId w:val="1"/>
  </w:num>
  <w:num w:numId="14">
    <w:abstractNumId w:val="0"/>
  </w:num>
  <w:num w:numId="15">
    <w:abstractNumId w:val="3"/>
  </w:num>
  <w:num w:numId="16">
    <w:abstractNumId w:val="2"/>
  </w:num>
  <w:num w:numId="17">
    <w:abstractNumId w:val="30"/>
  </w:num>
  <w:num w:numId="18">
    <w:abstractNumId w:val="22"/>
  </w:num>
  <w:num w:numId="19">
    <w:abstractNumId w:val="15"/>
  </w:num>
  <w:num w:numId="20">
    <w:abstractNumId w:val="39"/>
  </w:num>
  <w:num w:numId="21">
    <w:abstractNumId w:val="24"/>
  </w:num>
  <w:num w:numId="22">
    <w:abstractNumId w:val="23"/>
  </w:num>
  <w:num w:numId="23">
    <w:abstractNumId w:val="41"/>
  </w:num>
  <w:num w:numId="24">
    <w:abstractNumId w:val="11"/>
  </w:num>
  <w:num w:numId="25">
    <w:abstractNumId w:val="40"/>
  </w:num>
  <w:num w:numId="26">
    <w:abstractNumId w:val="25"/>
  </w:num>
  <w:num w:numId="27">
    <w:abstractNumId w:val="13"/>
  </w:num>
  <w:num w:numId="28">
    <w:abstractNumId w:val="16"/>
  </w:num>
  <w:num w:numId="29">
    <w:abstractNumId w:val="29"/>
  </w:num>
  <w:num w:numId="30">
    <w:abstractNumId w:val="28"/>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36"/>
  </w:num>
  <w:num w:numId="36">
    <w:abstractNumId w:val="14"/>
  </w:num>
  <w:num w:numId="37">
    <w:abstractNumId w:val="10"/>
  </w:num>
  <w:num w:numId="38">
    <w:abstractNumId w:val="9"/>
    <w:lvlOverride w:ilvl="0">
      <w:startOverride w:val="1"/>
    </w:lvlOverride>
  </w:num>
  <w:num w:numId="39">
    <w:abstractNumId w:val="33"/>
  </w:num>
  <w:num w:numId="40">
    <w:abstractNumId w:val="12"/>
  </w:num>
  <w:num w:numId="41">
    <w:abstractNumId w:val="37"/>
  </w:num>
  <w:num w:numId="42">
    <w:abstractNumId w:val="27"/>
  </w:num>
  <w:num w:numId="43">
    <w:abstractNumId w:val="27"/>
  </w:num>
  <w:num w:numId="44">
    <w:abstractNumId w:val="27"/>
  </w:num>
  <w:num w:numId="45">
    <w:abstractNumId w:val="26"/>
  </w:num>
  <w:num w:numId="46">
    <w:abstractNumId w:val="32"/>
  </w:num>
  <w:num w:numId="47">
    <w:abstractNumId w:val="20"/>
  </w:num>
  <w:num w:numId="48">
    <w:abstractNumId w:val="35"/>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edit="trackedChanges" w:formatting="1" w:enforcement="0"/>
  <w:defaultTabStop w:val="720"/>
  <w:hyphenationZone w:val="283"/>
  <w:drawingGridHorizontalSpacing w:val="120"/>
  <w:displayHorizontalDrawingGridEvery w:val="2"/>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0CF"/>
    <w:rsid w:val="000015EC"/>
    <w:rsid w:val="00002F56"/>
    <w:rsid w:val="00003EA5"/>
    <w:rsid w:val="000161C2"/>
    <w:rsid w:val="00016F4B"/>
    <w:rsid w:val="0002476A"/>
    <w:rsid w:val="00031974"/>
    <w:rsid w:val="00036BE4"/>
    <w:rsid w:val="000430B8"/>
    <w:rsid w:val="00045712"/>
    <w:rsid w:val="00045C4B"/>
    <w:rsid w:val="000465F1"/>
    <w:rsid w:val="000574B4"/>
    <w:rsid w:val="000579B1"/>
    <w:rsid w:val="00057E3E"/>
    <w:rsid w:val="0006019C"/>
    <w:rsid w:val="00061C6C"/>
    <w:rsid w:val="000705F2"/>
    <w:rsid w:val="00072EDA"/>
    <w:rsid w:val="00082658"/>
    <w:rsid w:val="000950CF"/>
    <w:rsid w:val="000A1DB8"/>
    <w:rsid w:val="000A48AC"/>
    <w:rsid w:val="000A520E"/>
    <w:rsid w:val="000A60B9"/>
    <w:rsid w:val="000B0603"/>
    <w:rsid w:val="000B0A5D"/>
    <w:rsid w:val="000B5B68"/>
    <w:rsid w:val="000B78A2"/>
    <w:rsid w:val="000C1496"/>
    <w:rsid w:val="000C5608"/>
    <w:rsid w:val="000C5DA6"/>
    <w:rsid w:val="000D395D"/>
    <w:rsid w:val="000E130A"/>
    <w:rsid w:val="000E23CF"/>
    <w:rsid w:val="000E3FE4"/>
    <w:rsid w:val="000E4837"/>
    <w:rsid w:val="000E5CD8"/>
    <w:rsid w:val="001015CD"/>
    <w:rsid w:val="00111CCA"/>
    <w:rsid w:val="00122C12"/>
    <w:rsid w:val="00127AB4"/>
    <w:rsid w:val="00134774"/>
    <w:rsid w:val="00135532"/>
    <w:rsid w:val="00140274"/>
    <w:rsid w:val="00150AB8"/>
    <w:rsid w:val="00151263"/>
    <w:rsid w:val="0015239E"/>
    <w:rsid w:val="0016266F"/>
    <w:rsid w:val="00162A8D"/>
    <w:rsid w:val="00165E3C"/>
    <w:rsid w:val="00173FB5"/>
    <w:rsid w:val="00174D9A"/>
    <w:rsid w:val="00176C4C"/>
    <w:rsid w:val="001859DA"/>
    <w:rsid w:val="001957DA"/>
    <w:rsid w:val="00195EDE"/>
    <w:rsid w:val="001B0353"/>
    <w:rsid w:val="001B55F5"/>
    <w:rsid w:val="001C04F6"/>
    <w:rsid w:val="001C1F8B"/>
    <w:rsid w:val="001E38E7"/>
    <w:rsid w:val="001E3CA4"/>
    <w:rsid w:val="001E5676"/>
    <w:rsid w:val="001F2BBB"/>
    <w:rsid w:val="001F4FC2"/>
    <w:rsid w:val="001F52FD"/>
    <w:rsid w:val="001F62CC"/>
    <w:rsid w:val="00200677"/>
    <w:rsid w:val="002012F7"/>
    <w:rsid w:val="002027F6"/>
    <w:rsid w:val="0020549D"/>
    <w:rsid w:val="002068EB"/>
    <w:rsid w:val="00231094"/>
    <w:rsid w:val="00231ED1"/>
    <w:rsid w:val="00234B52"/>
    <w:rsid w:val="00241523"/>
    <w:rsid w:val="00242624"/>
    <w:rsid w:val="0024557E"/>
    <w:rsid w:val="002471FD"/>
    <w:rsid w:val="002632EA"/>
    <w:rsid w:val="0028506A"/>
    <w:rsid w:val="002850B0"/>
    <w:rsid w:val="002863D7"/>
    <w:rsid w:val="002873B4"/>
    <w:rsid w:val="00292AB5"/>
    <w:rsid w:val="002A43C2"/>
    <w:rsid w:val="002A5D0D"/>
    <w:rsid w:val="002B1B65"/>
    <w:rsid w:val="002B41F6"/>
    <w:rsid w:val="002C02DB"/>
    <w:rsid w:val="002C1866"/>
    <w:rsid w:val="002D743E"/>
    <w:rsid w:val="002E2B3E"/>
    <w:rsid w:val="002E5A1B"/>
    <w:rsid w:val="002F4CD7"/>
    <w:rsid w:val="002F4CE1"/>
    <w:rsid w:val="002F5E96"/>
    <w:rsid w:val="0030053D"/>
    <w:rsid w:val="00300DD6"/>
    <w:rsid w:val="00300F22"/>
    <w:rsid w:val="00304A37"/>
    <w:rsid w:val="0031040E"/>
    <w:rsid w:val="00310ED4"/>
    <w:rsid w:val="00312301"/>
    <w:rsid w:val="0031492A"/>
    <w:rsid w:val="00316C1A"/>
    <w:rsid w:val="00323C73"/>
    <w:rsid w:val="00331141"/>
    <w:rsid w:val="00340E84"/>
    <w:rsid w:val="003423F4"/>
    <w:rsid w:val="00342C6C"/>
    <w:rsid w:val="00344758"/>
    <w:rsid w:val="00347142"/>
    <w:rsid w:val="00350D1B"/>
    <w:rsid w:val="00352725"/>
    <w:rsid w:val="00352A7D"/>
    <w:rsid w:val="003565A8"/>
    <w:rsid w:val="003566EA"/>
    <w:rsid w:val="00370281"/>
    <w:rsid w:val="00372C79"/>
    <w:rsid w:val="0039454D"/>
    <w:rsid w:val="00397C10"/>
    <w:rsid w:val="003A168E"/>
    <w:rsid w:val="003A48B7"/>
    <w:rsid w:val="003B0A9F"/>
    <w:rsid w:val="003C3460"/>
    <w:rsid w:val="003C6647"/>
    <w:rsid w:val="003E07BA"/>
    <w:rsid w:val="003E5DEF"/>
    <w:rsid w:val="003F29E4"/>
    <w:rsid w:val="003F319F"/>
    <w:rsid w:val="003F5E13"/>
    <w:rsid w:val="0040497E"/>
    <w:rsid w:val="0041664B"/>
    <w:rsid w:val="00422417"/>
    <w:rsid w:val="00424233"/>
    <w:rsid w:val="00430944"/>
    <w:rsid w:val="004413D8"/>
    <w:rsid w:val="004433A5"/>
    <w:rsid w:val="00445CB5"/>
    <w:rsid w:val="00446F0B"/>
    <w:rsid w:val="0045233E"/>
    <w:rsid w:val="00460EE0"/>
    <w:rsid w:val="004712FB"/>
    <w:rsid w:val="00471BB7"/>
    <w:rsid w:val="00472EFF"/>
    <w:rsid w:val="00474063"/>
    <w:rsid w:val="00474EBA"/>
    <w:rsid w:val="00476793"/>
    <w:rsid w:val="00481B2A"/>
    <w:rsid w:val="00481E57"/>
    <w:rsid w:val="00482091"/>
    <w:rsid w:val="0049068C"/>
    <w:rsid w:val="004A187B"/>
    <w:rsid w:val="004A2D3C"/>
    <w:rsid w:val="004A351F"/>
    <w:rsid w:val="004B045B"/>
    <w:rsid w:val="004C7412"/>
    <w:rsid w:val="004D04BF"/>
    <w:rsid w:val="004D6233"/>
    <w:rsid w:val="004E0DFF"/>
    <w:rsid w:val="004E1218"/>
    <w:rsid w:val="004F1C7C"/>
    <w:rsid w:val="00510390"/>
    <w:rsid w:val="005123F0"/>
    <w:rsid w:val="00513540"/>
    <w:rsid w:val="00513941"/>
    <w:rsid w:val="00516960"/>
    <w:rsid w:val="0053051D"/>
    <w:rsid w:val="00557E7C"/>
    <w:rsid w:val="00564208"/>
    <w:rsid w:val="0056656C"/>
    <w:rsid w:val="00570B74"/>
    <w:rsid w:val="00571CEB"/>
    <w:rsid w:val="0059012E"/>
    <w:rsid w:val="00591951"/>
    <w:rsid w:val="005A0964"/>
    <w:rsid w:val="005B36F6"/>
    <w:rsid w:val="005B3F50"/>
    <w:rsid w:val="005B516F"/>
    <w:rsid w:val="005C2ECF"/>
    <w:rsid w:val="005C4174"/>
    <w:rsid w:val="005C42B2"/>
    <w:rsid w:val="005C5D41"/>
    <w:rsid w:val="005D1F34"/>
    <w:rsid w:val="005D383D"/>
    <w:rsid w:val="005D6DD3"/>
    <w:rsid w:val="005F550D"/>
    <w:rsid w:val="005F5F7C"/>
    <w:rsid w:val="006078FB"/>
    <w:rsid w:val="00616F88"/>
    <w:rsid w:val="00620FFF"/>
    <w:rsid w:val="00621110"/>
    <w:rsid w:val="00622508"/>
    <w:rsid w:val="006272F8"/>
    <w:rsid w:val="0063009F"/>
    <w:rsid w:val="00635535"/>
    <w:rsid w:val="006356C5"/>
    <w:rsid w:val="0063774D"/>
    <w:rsid w:val="00650E26"/>
    <w:rsid w:val="00654793"/>
    <w:rsid w:val="0065594E"/>
    <w:rsid w:val="006659B3"/>
    <w:rsid w:val="006762B6"/>
    <w:rsid w:val="00683C2A"/>
    <w:rsid w:val="006A6BB3"/>
    <w:rsid w:val="006B2467"/>
    <w:rsid w:val="006B3DE1"/>
    <w:rsid w:val="006C0642"/>
    <w:rsid w:val="006D0407"/>
    <w:rsid w:val="006D13BE"/>
    <w:rsid w:val="006D5EE5"/>
    <w:rsid w:val="006E1338"/>
    <w:rsid w:val="006E2CBA"/>
    <w:rsid w:val="006E4CE1"/>
    <w:rsid w:val="006E6D3B"/>
    <w:rsid w:val="006F2DEE"/>
    <w:rsid w:val="00701801"/>
    <w:rsid w:val="00714FF5"/>
    <w:rsid w:val="00730BD2"/>
    <w:rsid w:val="0073651D"/>
    <w:rsid w:val="00746A3E"/>
    <w:rsid w:val="007540BF"/>
    <w:rsid w:val="007637A8"/>
    <w:rsid w:val="00765B58"/>
    <w:rsid w:val="00770DCB"/>
    <w:rsid w:val="00774EAE"/>
    <w:rsid w:val="00775485"/>
    <w:rsid w:val="00783532"/>
    <w:rsid w:val="007846B5"/>
    <w:rsid w:val="00784CE2"/>
    <w:rsid w:val="007872D2"/>
    <w:rsid w:val="00797153"/>
    <w:rsid w:val="007B06EA"/>
    <w:rsid w:val="007D2F00"/>
    <w:rsid w:val="007D79FD"/>
    <w:rsid w:val="007E5609"/>
    <w:rsid w:val="007E5B88"/>
    <w:rsid w:val="007E5BF0"/>
    <w:rsid w:val="007F083B"/>
    <w:rsid w:val="007F0D0B"/>
    <w:rsid w:val="008007A8"/>
    <w:rsid w:val="00802890"/>
    <w:rsid w:val="008042D9"/>
    <w:rsid w:val="0080608B"/>
    <w:rsid w:val="00814FC0"/>
    <w:rsid w:val="00817C73"/>
    <w:rsid w:val="00823005"/>
    <w:rsid w:val="008264CB"/>
    <w:rsid w:val="0083063B"/>
    <w:rsid w:val="008449B9"/>
    <w:rsid w:val="00847191"/>
    <w:rsid w:val="0086254F"/>
    <w:rsid w:val="00862F5C"/>
    <w:rsid w:val="0086508D"/>
    <w:rsid w:val="008702E2"/>
    <w:rsid w:val="008724DE"/>
    <w:rsid w:val="008758D9"/>
    <w:rsid w:val="00877376"/>
    <w:rsid w:val="00882B0A"/>
    <w:rsid w:val="008A3D57"/>
    <w:rsid w:val="008A6545"/>
    <w:rsid w:val="008B23BC"/>
    <w:rsid w:val="008B2DDA"/>
    <w:rsid w:val="008B3899"/>
    <w:rsid w:val="008C3915"/>
    <w:rsid w:val="008E328C"/>
    <w:rsid w:val="008E3D60"/>
    <w:rsid w:val="008E3F4C"/>
    <w:rsid w:val="008F062E"/>
    <w:rsid w:val="0090165F"/>
    <w:rsid w:val="00901B82"/>
    <w:rsid w:val="00912014"/>
    <w:rsid w:val="00912B09"/>
    <w:rsid w:val="00921140"/>
    <w:rsid w:val="00933A1F"/>
    <w:rsid w:val="00934C4B"/>
    <w:rsid w:val="0093549C"/>
    <w:rsid w:val="009432CF"/>
    <w:rsid w:val="00957DCB"/>
    <w:rsid w:val="00966C2F"/>
    <w:rsid w:val="0096742A"/>
    <w:rsid w:val="0096761E"/>
    <w:rsid w:val="0097512B"/>
    <w:rsid w:val="00982404"/>
    <w:rsid w:val="00995E82"/>
    <w:rsid w:val="009A1259"/>
    <w:rsid w:val="009A5F88"/>
    <w:rsid w:val="009C0C7D"/>
    <w:rsid w:val="009C28BA"/>
    <w:rsid w:val="009D67F6"/>
    <w:rsid w:val="009D74CA"/>
    <w:rsid w:val="009E08D1"/>
    <w:rsid w:val="009E0FE1"/>
    <w:rsid w:val="009E4BD0"/>
    <w:rsid w:val="009E7508"/>
    <w:rsid w:val="009F2764"/>
    <w:rsid w:val="009F7019"/>
    <w:rsid w:val="009F7467"/>
    <w:rsid w:val="00A0406E"/>
    <w:rsid w:val="00A11307"/>
    <w:rsid w:val="00A13AF3"/>
    <w:rsid w:val="00A21388"/>
    <w:rsid w:val="00A27791"/>
    <w:rsid w:val="00A27ABE"/>
    <w:rsid w:val="00A355F9"/>
    <w:rsid w:val="00A41355"/>
    <w:rsid w:val="00A437B6"/>
    <w:rsid w:val="00A43B92"/>
    <w:rsid w:val="00A53236"/>
    <w:rsid w:val="00A54251"/>
    <w:rsid w:val="00A6179E"/>
    <w:rsid w:val="00A64316"/>
    <w:rsid w:val="00A7505A"/>
    <w:rsid w:val="00A7615D"/>
    <w:rsid w:val="00A775B6"/>
    <w:rsid w:val="00A804D9"/>
    <w:rsid w:val="00A839C7"/>
    <w:rsid w:val="00A8573B"/>
    <w:rsid w:val="00A92915"/>
    <w:rsid w:val="00A92F92"/>
    <w:rsid w:val="00A96892"/>
    <w:rsid w:val="00AA2051"/>
    <w:rsid w:val="00AA70C4"/>
    <w:rsid w:val="00AB7C4E"/>
    <w:rsid w:val="00AB7C8F"/>
    <w:rsid w:val="00AC2192"/>
    <w:rsid w:val="00AC636D"/>
    <w:rsid w:val="00AC63E0"/>
    <w:rsid w:val="00AF090B"/>
    <w:rsid w:val="00B00B2A"/>
    <w:rsid w:val="00B00F61"/>
    <w:rsid w:val="00B03168"/>
    <w:rsid w:val="00B237FB"/>
    <w:rsid w:val="00B24B1D"/>
    <w:rsid w:val="00B26C33"/>
    <w:rsid w:val="00B277E0"/>
    <w:rsid w:val="00B317D7"/>
    <w:rsid w:val="00B34946"/>
    <w:rsid w:val="00B431F8"/>
    <w:rsid w:val="00B519FD"/>
    <w:rsid w:val="00B520BC"/>
    <w:rsid w:val="00B539CC"/>
    <w:rsid w:val="00B63D24"/>
    <w:rsid w:val="00B650D4"/>
    <w:rsid w:val="00B924E6"/>
    <w:rsid w:val="00BA262D"/>
    <w:rsid w:val="00BA5698"/>
    <w:rsid w:val="00BB3A8E"/>
    <w:rsid w:val="00BB5A91"/>
    <w:rsid w:val="00BC050D"/>
    <w:rsid w:val="00BC3884"/>
    <w:rsid w:val="00BC79EB"/>
    <w:rsid w:val="00BD264F"/>
    <w:rsid w:val="00BD6C97"/>
    <w:rsid w:val="00BD7FCF"/>
    <w:rsid w:val="00BF6406"/>
    <w:rsid w:val="00C064DC"/>
    <w:rsid w:val="00C149BD"/>
    <w:rsid w:val="00C25BDA"/>
    <w:rsid w:val="00C25F83"/>
    <w:rsid w:val="00C33104"/>
    <w:rsid w:val="00C332D4"/>
    <w:rsid w:val="00C51011"/>
    <w:rsid w:val="00C560AC"/>
    <w:rsid w:val="00C5781C"/>
    <w:rsid w:val="00C60343"/>
    <w:rsid w:val="00C854D4"/>
    <w:rsid w:val="00C86324"/>
    <w:rsid w:val="00C90556"/>
    <w:rsid w:val="00CA0D78"/>
    <w:rsid w:val="00CA3423"/>
    <w:rsid w:val="00CA4855"/>
    <w:rsid w:val="00CA5D90"/>
    <w:rsid w:val="00CA79BF"/>
    <w:rsid w:val="00CB24FE"/>
    <w:rsid w:val="00CC2AA0"/>
    <w:rsid w:val="00CD1BEA"/>
    <w:rsid w:val="00CD3DF8"/>
    <w:rsid w:val="00CD58FD"/>
    <w:rsid w:val="00D02074"/>
    <w:rsid w:val="00D03307"/>
    <w:rsid w:val="00D252B8"/>
    <w:rsid w:val="00D343FA"/>
    <w:rsid w:val="00D418FF"/>
    <w:rsid w:val="00D65C76"/>
    <w:rsid w:val="00D734C7"/>
    <w:rsid w:val="00D7473A"/>
    <w:rsid w:val="00D7542B"/>
    <w:rsid w:val="00D8351F"/>
    <w:rsid w:val="00D87069"/>
    <w:rsid w:val="00D95AE0"/>
    <w:rsid w:val="00DA1D32"/>
    <w:rsid w:val="00DA2F73"/>
    <w:rsid w:val="00DA7A55"/>
    <w:rsid w:val="00DC307B"/>
    <w:rsid w:val="00DC343B"/>
    <w:rsid w:val="00DC462F"/>
    <w:rsid w:val="00DC499A"/>
    <w:rsid w:val="00DC61D8"/>
    <w:rsid w:val="00DC68D2"/>
    <w:rsid w:val="00DD3C67"/>
    <w:rsid w:val="00DD6A21"/>
    <w:rsid w:val="00DD71B4"/>
    <w:rsid w:val="00DE18A7"/>
    <w:rsid w:val="00DE2EFB"/>
    <w:rsid w:val="00DE60CA"/>
    <w:rsid w:val="00DF4E40"/>
    <w:rsid w:val="00E02517"/>
    <w:rsid w:val="00E03F6A"/>
    <w:rsid w:val="00E075E1"/>
    <w:rsid w:val="00E14833"/>
    <w:rsid w:val="00E1675F"/>
    <w:rsid w:val="00E21482"/>
    <w:rsid w:val="00E24FA3"/>
    <w:rsid w:val="00E26B28"/>
    <w:rsid w:val="00E31465"/>
    <w:rsid w:val="00E328CD"/>
    <w:rsid w:val="00E3489E"/>
    <w:rsid w:val="00E362F0"/>
    <w:rsid w:val="00E36B95"/>
    <w:rsid w:val="00E4003F"/>
    <w:rsid w:val="00E458F6"/>
    <w:rsid w:val="00E45954"/>
    <w:rsid w:val="00E46704"/>
    <w:rsid w:val="00E53546"/>
    <w:rsid w:val="00E55F24"/>
    <w:rsid w:val="00E63FAA"/>
    <w:rsid w:val="00E70DF4"/>
    <w:rsid w:val="00E75F4C"/>
    <w:rsid w:val="00E95AB1"/>
    <w:rsid w:val="00EA44D9"/>
    <w:rsid w:val="00EA5910"/>
    <w:rsid w:val="00EB6A76"/>
    <w:rsid w:val="00EC1BD6"/>
    <w:rsid w:val="00EC30C5"/>
    <w:rsid w:val="00EE17B3"/>
    <w:rsid w:val="00F04A98"/>
    <w:rsid w:val="00F0799D"/>
    <w:rsid w:val="00F103AC"/>
    <w:rsid w:val="00F107A0"/>
    <w:rsid w:val="00F127A8"/>
    <w:rsid w:val="00F14C6D"/>
    <w:rsid w:val="00F15856"/>
    <w:rsid w:val="00F172C3"/>
    <w:rsid w:val="00F220A5"/>
    <w:rsid w:val="00F34362"/>
    <w:rsid w:val="00F34BC9"/>
    <w:rsid w:val="00F513AE"/>
    <w:rsid w:val="00F67FEA"/>
    <w:rsid w:val="00F77058"/>
    <w:rsid w:val="00F8302E"/>
    <w:rsid w:val="00F86DAB"/>
    <w:rsid w:val="00FA2C3A"/>
    <w:rsid w:val="00FA4916"/>
    <w:rsid w:val="00FA7E5C"/>
    <w:rsid w:val="00FB193D"/>
    <w:rsid w:val="00FB3422"/>
    <w:rsid w:val="00FC420F"/>
    <w:rsid w:val="00FD01B5"/>
    <w:rsid w:val="00FD5BF0"/>
    <w:rsid w:val="00FE2448"/>
    <w:rsid w:val="00FF3D28"/>
    <w:rsid w:val="00FF43E4"/>
    <w:rsid w:val="290D9CE0"/>
    <w:rsid w:val="2C72D29C"/>
    <w:rsid w:val="41729A8E"/>
    <w:rsid w:val="4630A2F5"/>
    <w:rsid w:val="561835A6"/>
    <w:rsid w:val="5D66E062"/>
    <w:rsid w:val="61D98EA6"/>
    <w:rsid w:val="64D6DD4F"/>
    <w:rsid w:val="6697970D"/>
    <w:rsid w:val="66E37E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2E8AAC"/>
  <w15:chartTrackingRefBased/>
  <w15:docId w15:val="{0016C5B7-06BD-4870-9C1B-F92FCCFC1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lsdException w:name="heading 5" w:locked="0"/>
    <w:lsdException w:name="heading 6" w:locked="0"/>
    <w:lsdException w:name="heading 7" w:locked="0"/>
    <w:lsdException w:name="heading 8" w:locked="0"/>
    <w:lsdException w:name="heading 9" w:locked="0"/>
    <w:lsdException w:name="toc 1" w:locked="0" w:uiPriority="39"/>
    <w:lsdException w:name="toc 2" w:locked="0" w:uiPriority="39"/>
    <w:lsdException w:name="toc 3" w:locked="0" w:uiPriority="39"/>
    <w:lsdException w:name="toc 4" w:locked="0" w:uiPriority="39"/>
    <w:lsdException w:name="header" w:locked="0" w:qFormat="1"/>
    <w:lsdException w:name="footer" w:locked="0" w:uiPriority="99"/>
    <w:lsdException w:name="caption" w:semiHidden="1" w:unhideWhenUsed="1" w:qFormat="1"/>
    <w:lsdException w:name="endnote reference" w:locked="0" w:qFormat="1"/>
    <w:lsdException w:name="endnote text" w:locked="0" w:uiPriority="99" w:qFormat="1"/>
    <w:lsdException w:name="List Bullet" w:qFormat="1"/>
    <w:lsdException w:name="List Number" w:qFormat="1"/>
    <w:lsdException w:name="Default Paragraph Font" w:locked="0"/>
    <w:lsdException w:name="List Continue 4" w:locked="0"/>
    <w:lsdException w:name="Hyperlink" w:locked="0" w:uiPriority="99"/>
    <w:lsdException w:name="Strong" w:locked="0" w:qFormat="1"/>
    <w:lsdException w:name="Emphasis" w:qFormat="1"/>
    <w:lsdException w:name="HTML Top of Form" w:locked="0"/>
    <w:lsdException w:name="HTML Bottom of Form" w:locked="0"/>
    <w:lsdException w:name="HTML Keyboard"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7D79FD"/>
    <w:pPr>
      <w:keepLines/>
      <w:spacing w:before="240" w:after="240"/>
    </w:pPr>
    <w:rPr>
      <w:rFonts w:ascii="Open Sans" w:eastAsia="MS Mincho" w:hAnsi="Open Sans"/>
      <w:sz w:val="24"/>
      <w:szCs w:val="24"/>
    </w:rPr>
  </w:style>
  <w:style w:type="paragraph" w:styleId="Heading1">
    <w:name w:val="heading 1"/>
    <w:basedOn w:val="Normal"/>
    <w:next w:val="Normal"/>
    <w:link w:val="Heading1Char"/>
    <w:qFormat/>
    <w:rsid w:val="005C2ECF"/>
    <w:pPr>
      <w:keepNext/>
      <w:numPr>
        <w:numId w:val="2"/>
      </w:numPr>
      <w:spacing w:before="360"/>
      <w:outlineLvl w:val="0"/>
    </w:pPr>
    <w:rPr>
      <w:b/>
      <w:bCs/>
      <w:sz w:val="36"/>
      <w:szCs w:val="28"/>
    </w:rPr>
  </w:style>
  <w:style w:type="paragraph" w:styleId="Heading2">
    <w:name w:val="heading 2"/>
    <w:basedOn w:val="Heading1"/>
    <w:next w:val="Normal"/>
    <w:link w:val="Heading2Char"/>
    <w:qFormat/>
    <w:rsid w:val="005C2ECF"/>
    <w:pPr>
      <w:numPr>
        <w:ilvl w:val="1"/>
      </w:numPr>
      <w:outlineLvl w:val="1"/>
    </w:pPr>
    <w:rPr>
      <w:bCs w:val="0"/>
      <w:sz w:val="28"/>
      <w:szCs w:val="26"/>
    </w:rPr>
  </w:style>
  <w:style w:type="paragraph" w:styleId="Heading3">
    <w:name w:val="heading 3"/>
    <w:basedOn w:val="Heading2"/>
    <w:next w:val="Normal"/>
    <w:link w:val="Heading3Char"/>
    <w:qFormat/>
    <w:rsid w:val="008007A8"/>
    <w:pPr>
      <w:numPr>
        <w:ilvl w:val="2"/>
      </w:numPr>
      <w:outlineLvl w:val="2"/>
    </w:pPr>
    <w:rPr>
      <w:b w:val="0"/>
      <w:bCs/>
      <w:sz w:val="24"/>
    </w:rPr>
  </w:style>
  <w:style w:type="paragraph" w:styleId="Heading4">
    <w:name w:val="heading 4"/>
    <w:basedOn w:val="Heading3"/>
    <w:next w:val="Normal"/>
    <w:link w:val="Heading4Char"/>
    <w:locked/>
    <w:rsid w:val="008007A8"/>
    <w:pPr>
      <w:numPr>
        <w:ilvl w:val="3"/>
      </w:numPr>
      <w:outlineLvl w:val="3"/>
    </w:pPr>
    <w:rPr>
      <w:bCs w:val="0"/>
      <w:i/>
      <w:iCs/>
    </w:rPr>
  </w:style>
  <w:style w:type="paragraph" w:styleId="Heading5">
    <w:name w:val="heading 5"/>
    <w:basedOn w:val="Normal"/>
    <w:next w:val="Normal"/>
    <w:link w:val="Heading5Char"/>
    <w:locked/>
    <w:rsid w:val="0063774D"/>
    <w:pPr>
      <w:spacing w:before="360"/>
      <w:outlineLvl w:val="4"/>
    </w:pPr>
    <w:rPr>
      <w:rFonts w:cs="Open Sans"/>
      <w:b/>
      <w:bCs/>
    </w:rPr>
  </w:style>
  <w:style w:type="paragraph" w:styleId="Heading6">
    <w:name w:val="heading 6"/>
    <w:basedOn w:val="Normal"/>
    <w:next w:val="Normal"/>
    <w:link w:val="Heading6Char"/>
    <w:locked/>
    <w:rsid w:val="005C2ECF"/>
    <w:pPr>
      <w:keepNext/>
      <w:numPr>
        <w:ilvl w:val="5"/>
        <w:numId w:val="2"/>
      </w:numPr>
      <w:spacing w:before="200"/>
      <w:outlineLvl w:val="5"/>
    </w:pPr>
    <w:rPr>
      <w:i/>
      <w:iCs/>
    </w:rPr>
  </w:style>
  <w:style w:type="paragraph" w:styleId="Heading7">
    <w:name w:val="heading 7"/>
    <w:basedOn w:val="Normal"/>
    <w:next w:val="Normal"/>
    <w:link w:val="Heading7Char"/>
    <w:locked/>
    <w:rsid w:val="005C2ECF"/>
    <w:pPr>
      <w:keepNext/>
      <w:numPr>
        <w:ilvl w:val="6"/>
        <w:numId w:val="2"/>
      </w:numPr>
      <w:spacing w:before="200"/>
      <w:outlineLvl w:val="6"/>
    </w:pPr>
    <w:rPr>
      <w:i/>
      <w:iCs/>
    </w:rPr>
  </w:style>
  <w:style w:type="paragraph" w:styleId="Heading8">
    <w:name w:val="heading 8"/>
    <w:basedOn w:val="Normal"/>
    <w:next w:val="Normal"/>
    <w:link w:val="Heading8Char"/>
    <w:locked/>
    <w:rsid w:val="005C2ECF"/>
    <w:pPr>
      <w:keepNext/>
      <w:numPr>
        <w:ilvl w:val="7"/>
        <w:numId w:val="2"/>
      </w:numPr>
      <w:spacing w:before="200"/>
      <w:outlineLvl w:val="7"/>
    </w:pPr>
    <w:rPr>
      <w:sz w:val="20"/>
      <w:szCs w:val="20"/>
    </w:rPr>
  </w:style>
  <w:style w:type="paragraph" w:styleId="Heading9">
    <w:name w:val="heading 9"/>
    <w:basedOn w:val="Normal"/>
    <w:next w:val="Normal"/>
    <w:link w:val="Heading9Char"/>
    <w:locked/>
    <w:rsid w:val="005C2ECF"/>
    <w:pPr>
      <w:keepNext/>
      <w:numPr>
        <w:ilvl w:val="8"/>
        <w:numId w:val="2"/>
      </w:numPr>
      <w:spacing w:before="20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C2ECF"/>
    <w:rPr>
      <w:rFonts w:ascii="Open Sans" w:eastAsia="MS Mincho" w:hAnsi="Open Sans"/>
      <w:b/>
      <w:bCs/>
      <w:sz w:val="36"/>
      <w:szCs w:val="28"/>
    </w:rPr>
  </w:style>
  <w:style w:type="character" w:customStyle="1" w:styleId="Heading2Char">
    <w:name w:val="Heading 2 Char"/>
    <w:link w:val="Heading2"/>
    <w:rsid w:val="005C2ECF"/>
    <w:rPr>
      <w:rFonts w:ascii="Open Sans" w:eastAsia="MS Mincho" w:hAnsi="Open Sans"/>
      <w:b/>
      <w:sz w:val="28"/>
      <w:szCs w:val="26"/>
    </w:rPr>
  </w:style>
  <w:style w:type="character" w:customStyle="1" w:styleId="Heading3Char">
    <w:name w:val="Heading 3 Char"/>
    <w:link w:val="Heading3"/>
    <w:rsid w:val="008007A8"/>
    <w:rPr>
      <w:rFonts w:ascii="Arial" w:eastAsia="MS Mincho" w:hAnsi="Arial"/>
      <w:bCs/>
      <w:i/>
      <w:sz w:val="24"/>
      <w:szCs w:val="26"/>
      <w:lang w:val="en-AU" w:eastAsia="en-AU" w:bidi="ar-SA"/>
    </w:rPr>
  </w:style>
  <w:style w:type="character" w:customStyle="1" w:styleId="Heading4Char">
    <w:name w:val="Heading 4 Char"/>
    <w:link w:val="Heading4"/>
    <w:rsid w:val="008007A8"/>
    <w:rPr>
      <w:rFonts w:ascii="Arial" w:eastAsia="MS Mincho" w:hAnsi="Arial"/>
      <w:iCs/>
      <w:sz w:val="24"/>
      <w:szCs w:val="26"/>
      <w:lang w:val="en-AU" w:eastAsia="en-AU" w:bidi="ar-SA"/>
    </w:rPr>
  </w:style>
  <w:style w:type="character" w:styleId="Strong">
    <w:name w:val="Strong"/>
    <w:qFormat/>
    <w:locked/>
    <w:rsid w:val="00471BB7"/>
    <w:rPr>
      <w:rFonts w:ascii="Open Sans" w:hAnsi="Open Sans"/>
      <w:b/>
      <w:bCs/>
    </w:rPr>
  </w:style>
  <w:style w:type="character" w:customStyle="1" w:styleId="Heading5Char">
    <w:name w:val="Heading 5 Char"/>
    <w:link w:val="Heading5"/>
    <w:rsid w:val="0063774D"/>
    <w:rPr>
      <w:rFonts w:ascii="Open Sans" w:eastAsia="MS Mincho" w:hAnsi="Open Sans" w:cs="Open Sans"/>
      <w:b/>
      <w:bCs/>
      <w:sz w:val="24"/>
      <w:szCs w:val="24"/>
    </w:rPr>
  </w:style>
  <w:style w:type="character" w:customStyle="1" w:styleId="Heading6Char">
    <w:name w:val="Heading 6 Char"/>
    <w:link w:val="Heading6"/>
    <w:rsid w:val="005C2ECF"/>
    <w:rPr>
      <w:rFonts w:ascii="Open Sans" w:eastAsia="MS Mincho" w:hAnsi="Open Sans"/>
      <w:i/>
      <w:iCs/>
      <w:sz w:val="24"/>
      <w:szCs w:val="24"/>
    </w:rPr>
  </w:style>
  <w:style w:type="character" w:customStyle="1" w:styleId="Heading7Char">
    <w:name w:val="Heading 7 Char"/>
    <w:link w:val="Heading7"/>
    <w:rsid w:val="005C2ECF"/>
    <w:rPr>
      <w:rFonts w:ascii="Open Sans" w:eastAsia="MS Mincho" w:hAnsi="Open Sans"/>
      <w:i/>
      <w:iCs/>
      <w:sz w:val="24"/>
      <w:szCs w:val="24"/>
    </w:rPr>
  </w:style>
  <w:style w:type="character" w:customStyle="1" w:styleId="Heading8Char">
    <w:name w:val="Heading 8 Char"/>
    <w:link w:val="Heading8"/>
    <w:rsid w:val="005C2ECF"/>
    <w:rPr>
      <w:rFonts w:ascii="Open Sans" w:eastAsia="MS Mincho" w:hAnsi="Open Sans"/>
    </w:rPr>
  </w:style>
  <w:style w:type="character" w:customStyle="1" w:styleId="Heading9Char">
    <w:name w:val="Heading 9 Char"/>
    <w:link w:val="Heading9"/>
    <w:rsid w:val="005C2ECF"/>
    <w:rPr>
      <w:rFonts w:ascii="Open Sans" w:eastAsia="MS Mincho" w:hAnsi="Open Sans"/>
      <w:i/>
      <w:iCs/>
    </w:rPr>
  </w:style>
  <w:style w:type="paragraph" w:styleId="Header">
    <w:name w:val="header"/>
    <w:basedOn w:val="Normal"/>
    <w:link w:val="HeaderChar"/>
    <w:qFormat/>
    <w:rsid w:val="00CA5D90"/>
    <w:pPr>
      <w:tabs>
        <w:tab w:val="center" w:pos="4513"/>
        <w:tab w:val="right" w:pos="9026"/>
      </w:tabs>
      <w:spacing w:after="0"/>
      <w:jc w:val="right"/>
    </w:pPr>
    <w:rPr>
      <w:sz w:val="22"/>
    </w:rPr>
  </w:style>
  <w:style w:type="character" w:customStyle="1" w:styleId="HeaderChar">
    <w:name w:val="Header Char"/>
    <w:link w:val="Header"/>
    <w:rsid w:val="0016266F"/>
    <w:rPr>
      <w:rFonts w:ascii="Open Sans" w:eastAsia="MS Mincho" w:hAnsi="Open Sans"/>
      <w:sz w:val="22"/>
      <w:szCs w:val="24"/>
    </w:rPr>
  </w:style>
  <w:style w:type="paragraph" w:styleId="Footer">
    <w:name w:val="footer"/>
    <w:basedOn w:val="Normal"/>
    <w:link w:val="FooterChar"/>
    <w:uiPriority w:val="99"/>
    <w:rsid w:val="0063009F"/>
    <w:pPr>
      <w:tabs>
        <w:tab w:val="right" w:pos="2835"/>
        <w:tab w:val="right" w:pos="5670"/>
      </w:tabs>
      <w:spacing w:before="0" w:after="0"/>
      <w:ind w:left="-868"/>
    </w:pPr>
    <w:rPr>
      <w:sz w:val="18"/>
    </w:rPr>
  </w:style>
  <w:style w:type="character" w:customStyle="1" w:styleId="FooterChar">
    <w:name w:val="Footer Char"/>
    <w:link w:val="Footer"/>
    <w:uiPriority w:val="99"/>
    <w:rsid w:val="0063009F"/>
    <w:rPr>
      <w:rFonts w:ascii="Open Sans" w:eastAsia="MS Mincho" w:hAnsi="Open Sans"/>
      <w:sz w:val="18"/>
      <w:szCs w:val="24"/>
    </w:rPr>
  </w:style>
  <w:style w:type="paragraph" w:styleId="TOC3">
    <w:name w:val="toc 3"/>
    <w:basedOn w:val="Normal"/>
    <w:next w:val="Normal"/>
    <w:autoRedefine/>
    <w:uiPriority w:val="39"/>
    <w:semiHidden/>
    <w:locked/>
    <w:rsid w:val="000E4837"/>
    <w:pPr>
      <w:tabs>
        <w:tab w:val="left" w:pos="1202"/>
        <w:tab w:val="right" w:leader="dot" w:pos="9060"/>
      </w:tabs>
      <w:spacing w:before="0" w:after="0"/>
      <w:ind w:left="720" w:hanging="720"/>
    </w:pPr>
    <w:rPr>
      <w:rFonts w:cs="Arial"/>
      <w:i/>
      <w:noProof/>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E45954"/>
    <w:pPr>
      <w:numPr>
        <w:numId w:val="17"/>
      </w:numPr>
    </w:pPr>
  </w:style>
  <w:style w:type="paragraph" w:styleId="TOC1">
    <w:name w:val="toc 1"/>
    <w:basedOn w:val="Normal"/>
    <w:next w:val="Normal"/>
    <w:autoRedefine/>
    <w:uiPriority w:val="39"/>
    <w:rsid w:val="000E4837"/>
    <w:pPr>
      <w:tabs>
        <w:tab w:val="right" w:leader="dot" w:pos="9060"/>
      </w:tabs>
      <w:spacing w:after="0"/>
      <w:ind w:left="720" w:hanging="720"/>
    </w:pPr>
    <w:rPr>
      <w:b/>
      <w:noProof/>
    </w:rPr>
  </w:style>
  <w:style w:type="paragraph" w:styleId="TOC2">
    <w:name w:val="toc 2"/>
    <w:basedOn w:val="Normal"/>
    <w:next w:val="Normal"/>
    <w:autoRedefine/>
    <w:uiPriority w:val="39"/>
    <w:locked/>
    <w:rsid w:val="000E4837"/>
    <w:pPr>
      <w:tabs>
        <w:tab w:val="right" w:leader="dot" w:pos="9060"/>
      </w:tabs>
      <w:spacing w:before="0" w:after="0"/>
      <w:ind w:left="720" w:hanging="720"/>
    </w:pPr>
    <w:rPr>
      <w:b/>
      <w:i/>
      <w:noProof/>
    </w:rPr>
  </w:style>
  <w:style w:type="paragraph" w:styleId="TOC4">
    <w:name w:val="toc 4"/>
    <w:basedOn w:val="Normal"/>
    <w:next w:val="Normal"/>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rsid w:val="00CA3423"/>
    <w:rPr>
      <w:rFonts w:ascii="Open Sans" w:hAnsi="Open Sans"/>
      <w:color w:val="0070C0"/>
      <w:u w:val="none"/>
    </w:rPr>
  </w:style>
  <w:style w:type="paragraph" w:styleId="TOCHeading">
    <w:name w:val="TOC Heading"/>
    <w:basedOn w:val="Normal"/>
    <w:next w:val="Normal"/>
    <w:uiPriority w:val="39"/>
    <w:rsid w:val="00471BB7"/>
    <w:pPr>
      <w:spacing w:before="0" w:after="360"/>
    </w:pPr>
    <w:rPr>
      <w:b/>
      <w:lang w:val="en-US" w:eastAsia="en-US"/>
    </w:rPr>
  </w:style>
  <w:style w:type="paragraph" w:styleId="EndnoteText">
    <w:name w:val="endnote text"/>
    <w:basedOn w:val="Normal"/>
    <w:link w:val="EndnoteTextChar1"/>
    <w:uiPriority w:val="99"/>
    <w:qFormat/>
    <w:rsid w:val="0002476A"/>
    <w:pPr>
      <w:spacing w:before="0" w:after="0"/>
      <w:ind w:left="142" w:hanging="142"/>
    </w:pPr>
    <w:rPr>
      <w:sz w:val="20"/>
      <w:szCs w:val="20"/>
    </w:rPr>
  </w:style>
  <w:style w:type="character" w:customStyle="1" w:styleId="EndnoteTextChar1">
    <w:name w:val="Endnote Text Char1"/>
    <w:link w:val="EndnoteText"/>
    <w:uiPriority w:val="99"/>
    <w:rsid w:val="00E55F24"/>
    <w:rPr>
      <w:rFonts w:ascii="Open Sans" w:eastAsia="MS Mincho" w:hAnsi="Open Sans"/>
    </w:rPr>
  </w:style>
  <w:style w:type="character" w:styleId="EndnoteReference">
    <w:name w:val="endnote reference"/>
    <w:qFormat/>
    <w:rsid w:val="00045C4B"/>
    <w:rPr>
      <w:rFonts w:ascii="Open Sans" w:hAnsi="Open Sans"/>
      <w:sz w:val="20"/>
      <w:vertAlign w:val="superscript"/>
    </w:rPr>
  </w:style>
  <w:style w:type="numbering" w:styleId="1ai">
    <w:name w:val="Outline List 1"/>
    <w:basedOn w:val="NoList"/>
    <w:semiHidden/>
    <w:locked/>
    <w:rsid w:val="00E45954"/>
    <w:pPr>
      <w:numPr>
        <w:numId w:val="18"/>
      </w:numPr>
    </w:pPr>
  </w:style>
  <w:style w:type="numbering" w:styleId="ArticleSection">
    <w:name w:val="Outline List 3"/>
    <w:basedOn w:val="NoList"/>
    <w:semiHidden/>
    <w:locked/>
    <w:rsid w:val="00E45954"/>
    <w:pPr>
      <w:numPr>
        <w:numId w:val="19"/>
      </w:numPr>
    </w:pPr>
  </w:style>
  <w:style w:type="paragraph" w:styleId="BlockText">
    <w:name w:val="Block Text"/>
    <w:basedOn w:val="Normal"/>
    <w:semiHidden/>
    <w:rsid w:val="00045C4B"/>
    <w:pPr>
      <w:spacing w:after="120"/>
      <w:ind w:left="1440" w:right="1440"/>
    </w:pPr>
  </w:style>
  <w:style w:type="paragraph" w:styleId="BodyText">
    <w:name w:val="Body Text"/>
    <w:basedOn w:val="Normal"/>
    <w:link w:val="BodyTextChar"/>
    <w:rsid w:val="00127AB4"/>
    <w:rPr>
      <w:sz w:val="20"/>
    </w:rPr>
  </w:style>
  <w:style w:type="paragraph" w:styleId="BodyText2">
    <w:name w:val="Body Text 2"/>
    <w:basedOn w:val="Normal"/>
    <w:semiHidden/>
    <w:rsid w:val="00045C4B"/>
    <w:pPr>
      <w:spacing w:after="120" w:line="480" w:lineRule="auto"/>
    </w:pPr>
  </w:style>
  <w:style w:type="paragraph" w:styleId="BodyText3">
    <w:name w:val="Body Text 3"/>
    <w:basedOn w:val="Normal"/>
    <w:semiHidden/>
    <w:rsid w:val="00045C4B"/>
    <w:pPr>
      <w:spacing w:after="120"/>
    </w:pPr>
    <w:rPr>
      <w:sz w:val="16"/>
      <w:szCs w:val="16"/>
    </w:rPr>
  </w:style>
  <w:style w:type="paragraph" w:styleId="BodyTextFirstIndent">
    <w:name w:val="Body Text First Indent"/>
    <w:basedOn w:val="BodyText"/>
    <w:semiHidden/>
    <w:rsid w:val="00E45954"/>
    <w:pPr>
      <w:ind w:firstLine="210"/>
    </w:pPr>
  </w:style>
  <w:style w:type="paragraph" w:styleId="BodyTextIndent">
    <w:name w:val="Body Text Indent"/>
    <w:basedOn w:val="Normal"/>
    <w:semiHidden/>
    <w:rsid w:val="00045C4B"/>
    <w:pPr>
      <w:spacing w:after="120"/>
      <w:ind w:left="283"/>
    </w:pPr>
  </w:style>
  <w:style w:type="paragraph" w:styleId="BodyTextFirstIndent2">
    <w:name w:val="Body Text First Indent 2"/>
    <w:basedOn w:val="BodyTextIndent"/>
    <w:semiHidden/>
    <w:rsid w:val="00045C4B"/>
    <w:pPr>
      <w:ind w:firstLine="210"/>
    </w:pPr>
  </w:style>
  <w:style w:type="paragraph" w:styleId="BodyTextIndent2">
    <w:name w:val="Body Text Indent 2"/>
    <w:basedOn w:val="Normal"/>
    <w:semiHidden/>
    <w:rsid w:val="00045C4B"/>
    <w:pPr>
      <w:spacing w:after="120" w:line="480" w:lineRule="auto"/>
      <w:ind w:left="283"/>
    </w:pPr>
  </w:style>
  <w:style w:type="paragraph" w:styleId="BodyTextIndent3">
    <w:name w:val="Body Text Indent 3"/>
    <w:basedOn w:val="Normal"/>
    <w:semiHidden/>
    <w:rsid w:val="00045C4B"/>
    <w:pPr>
      <w:spacing w:after="120"/>
      <w:ind w:left="283"/>
    </w:pPr>
    <w:rPr>
      <w:sz w:val="16"/>
      <w:szCs w:val="16"/>
    </w:rPr>
  </w:style>
  <w:style w:type="paragraph" w:styleId="Closing">
    <w:name w:val="Closing"/>
    <w:basedOn w:val="Normal"/>
    <w:semiHidden/>
    <w:rsid w:val="00045C4B"/>
    <w:pPr>
      <w:ind w:left="4252"/>
    </w:pPr>
  </w:style>
  <w:style w:type="paragraph" w:styleId="Date">
    <w:name w:val="Date"/>
    <w:basedOn w:val="Normal"/>
    <w:next w:val="Normal"/>
    <w:semiHidden/>
    <w:rsid w:val="005C2ECF"/>
    <w:pPr>
      <w:spacing w:before="120" w:after="120"/>
      <w:jc w:val="right"/>
    </w:pPr>
  </w:style>
  <w:style w:type="paragraph" w:styleId="E-mailSignature">
    <w:name w:val="E-mail Signature"/>
    <w:basedOn w:val="Normal"/>
    <w:semiHidden/>
    <w:rsid w:val="00045C4B"/>
  </w:style>
  <w:style w:type="character" w:styleId="Emphasis">
    <w:name w:val="Emphasis"/>
    <w:qFormat/>
    <w:rsid w:val="007D79FD"/>
    <w:rPr>
      <w:rFonts w:ascii="Open Sans" w:hAnsi="Open Sans"/>
      <w:i/>
      <w:iCs/>
    </w:rPr>
  </w:style>
  <w:style w:type="paragraph" w:styleId="EnvelopeAddress">
    <w:name w:val="envelope address"/>
    <w:basedOn w:val="Normal"/>
    <w:semiHidden/>
    <w:rsid w:val="00045C4B"/>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rsid w:val="00045C4B"/>
    <w:rPr>
      <w:rFonts w:cs="Arial"/>
      <w:sz w:val="20"/>
      <w:szCs w:val="20"/>
    </w:rPr>
  </w:style>
  <w:style w:type="character" w:styleId="HTMLAcronym">
    <w:name w:val="HTML Acronym"/>
    <w:semiHidden/>
    <w:rsid w:val="005C2ECF"/>
    <w:rPr>
      <w:rFonts w:ascii="Open Sans" w:hAnsi="Open Sans"/>
    </w:rPr>
  </w:style>
  <w:style w:type="paragraph" w:styleId="HTMLAddress">
    <w:name w:val="HTML Address"/>
    <w:basedOn w:val="Normal"/>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semiHidden/>
    <w:rsid w:val="005C2ECF"/>
    <w:rPr>
      <w:rFonts w:cs="Courier New"/>
      <w:sz w:val="20"/>
      <w:szCs w:val="20"/>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locked/>
    <w:rsid w:val="005C2ECF"/>
    <w:pPr>
      <w:ind w:left="283" w:hanging="283"/>
    </w:p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qFormat/>
    <w:rsid w:val="00DC307B"/>
    <w:pPr>
      <w:numPr>
        <w:numId w:val="7"/>
      </w:numPr>
      <w:spacing w:before="0"/>
    </w:pPr>
  </w:style>
  <w:style w:type="paragraph" w:styleId="ListBullet2">
    <w:name w:val="List Bullet 2"/>
    <w:basedOn w:val="Normal"/>
    <w:semiHidden/>
    <w:locked/>
    <w:rsid w:val="005C2ECF"/>
    <w:pPr>
      <w:numPr>
        <w:numId w:val="8"/>
      </w:numPr>
    </w:pPr>
  </w:style>
  <w:style w:type="paragraph" w:styleId="ListBullet3">
    <w:name w:val="List Bullet 3"/>
    <w:basedOn w:val="Normal"/>
    <w:semiHidden/>
    <w:locked/>
    <w:rsid w:val="005C2ECF"/>
    <w:pPr>
      <w:numPr>
        <w:numId w:val="9"/>
      </w:numPr>
    </w:pPr>
  </w:style>
  <w:style w:type="paragraph" w:styleId="ListBullet4">
    <w:name w:val="List Bullet 4"/>
    <w:basedOn w:val="Normal"/>
    <w:semiHidden/>
    <w:locked/>
    <w:rsid w:val="005C2ECF"/>
    <w:pPr>
      <w:numPr>
        <w:numId w:val="10"/>
      </w:numPr>
    </w:pPr>
  </w:style>
  <w:style w:type="paragraph" w:styleId="ListBullet5">
    <w:name w:val="List Bullet 5"/>
    <w:basedOn w:val="Normal"/>
    <w:semiHidden/>
    <w:locked/>
    <w:rsid w:val="005C2ECF"/>
    <w:pPr>
      <w:numPr>
        <w:numId w:val="11"/>
      </w:numPr>
    </w:p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Normal"/>
    <w:qFormat/>
    <w:rsid w:val="007B06EA"/>
    <w:pPr>
      <w:numPr>
        <w:numId w:val="12"/>
      </w:numPr>
      <w:tabs>
        <w:tab w:val="clear" w:pos="360"/>
        <w:tab w:val="left" w:pos="1134"/>
      </w:tabs>
      <w:spacing w:before="120" w:after="120"/>
      <w:ind w:left="1094" w:hanging="737"/>
    </w:pPr>
  </w:style>
  <w:style w:type="paragraph" w:styleId="ListNumber2">
    <w:name w:val="List Number 2"/>
    <w:basedOn w:val="Normal"/>
    <w:semiHidden/>
    <w:locked/>
    <w:rsid w:val="005C2ECF"/>
    <w:pPr>
      <w:numPr>
        <w:numId w:val="15"/>
      </w:numPr>
    </w:pPr>
  </w:style>
  <w:style w:type="paragraph" w:styleId="ListNumber3">
    <w:name w:val="List Number 3"/>
    <w:basedOn w:val="Normal"/>
    <w:semiHidden/>
    <w:locked/>
    <w:rsid w:val="005C2ECF"/>
    <w:pPr>
      <w:numPr>
        <w:numId w:val="16"/>
      </w:numPr>
    </w:pPr>
  </w:style>
  <w:style w:type="paragraph" w:styleId="ListNumber4">
    <w:name w:val="List Number 4"/>
    <w:basedOn w:val="Normal"/>
    <w:semiHidden/>
    <w:locked/>
    <w:rsid w:val="005C2ECF"/>
    <w:pPr>
      <w:numPr>
        <w:numId w:val="13"/>
      </w:numPr>
    </w:pPr>
  </w:style>
  <w:style w:type="paragraph" w:styleId="ListNumber5">
    <w:name w:val="List Number 5"/>
    <w:basedOn w:val="Normal"/>
    <w:semiHidden/>
    <w:locked/>
    <w:rsid w:val="005C2ECF"/>
    <w:pPr>
      <w:numPr>
        <w:numId w:val="14"/>
      </w:numPr>
    </w:pPr>
  </w:style>
  <w:style w:type="paragraph" w:styleId="MessageHeader">
    <w:name w:val="Message Header"/>
    <w:basedOn w:val="Normal"/>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5C2ECF"/>
  </w:style>
  <w:style w:type="paragraph" w:styleId="NormalIndent">
    <w:name w:val="Normal Indent"/>
    <w:basedOn w:val="Normal"/>
    <w:semiHidden/>
    <w:rsid w:val="005C2ECF"/>
    <w:pPr>
      <w:ind w:left="720"/>
    </w:pPr>
  </w:style>
  <w:style w:type="paragraph" w:styleId="NoteHeading">
    <w:name w:val="Note Heading"/>
    <w:basedOn w:val="Normal"/>
    <w:next w:val="Normal"/>
    <w:semiHidden/>
    <w:rsid w:val="00E45954"/>
  </w:style>
  <w:style w:type="character" w:styleId="PageNumber">
    <w:name w:val="page number"/>
    <w:semiHidden/>
    <w:rsid w:val="00471BB7"/>
    <w:rPr>
      <w:rFonts w:ascii="Open Sans" w:hAnsi="Open Sans"/>
      <w:sz w:val="24"/>
    </w:rPr>
  </w:style>
  <w:style w:type="paragraph" w:styleId="PlainText">
    <w:name w:val="Plain Text"/>
    <w:basedOn w:val="Normal"/>
    <w:semiHidden/>
    <w:rsid w:val="00471BB7"/>
    <w:rPr>
      <w:rFonts w:cs="Courier New"/>
      <w:szCs w:val="20"/>
    </w:rPr>
  </w:style>
  <w:style w:type="paragraph" w:styleId="Salutation">
    <w:name w:val="Salutation"/>
    <w:basedOn w:val="Normal"/>
    <w:next w:val="Normal"/>
    <w:semiHidden/>
    <w:locked/>
    <w:rsid w:val="00471BB7"/>
  </w:style>
  <w:style w:type="paragraph" w:styleId="Signature">
    <w:name w:val="Signature"/>
    <w:basedOn w:val="Normal"/>
    <w:semiHidden/>
    <w:locked/>
    <w:rsid w:val="00E45954"/>
    <w:pPr>
      <w:ind w:left="4252"/>
    </w:pPr>
  </w:style>
  <w:style w:type="paragraph" w:styleId="Subtitle">
    <w:name w:val="Subtitle"/>
    <w:basedOn w:val="Normal"/>
    <w:link w:val="SubtitleChar"/>
    <w:rsid w:val="000E4837"/>
    <w:pPr>
      <w:jc w:val="right"/>
      <w:outlineLvl w:val="1"/>
    </w:pPr>
    <w:rPr>
      <w:rFonts w:cs="Arial"/>
      <w:color w:val="237BBC"/>
      <w:sz w:val="28"/>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E45954"/>
    <w:pPr>
      <w:spacing w:after="60"/>
      <w:jc w:val="center"/>
      <w:outlineLvl w:val="0"/>
    </w:pPr>
    <w:rPr>
      <w:rFonts w:cs="Arial"/>
      <w:b/>
      <w:bCs/>
      <w:kern w:val="28"/>
      <w:sz w:val="32"/>
      <w:szCs w:val="32"/>
    </w:rPr>
  </w:style>
  <w:style w:type="character" w:styleId="FollowedHyperlink">
    <w:name w:val="FollowedHyperlink"/>
    <w:semiHidden/>
    <w:rsid w:val="00045C4B"/>
    <w:rPr>
      <w:rFonts w:ascii="Open Sans" w:hAnsi="Open Sans"/>
      <w:color w:val="800080"/>
      <w:u w:val="single"/>
    </w:rPr>
  </w:style>
  <w:style w:type="paragraph" w:customStyle="1" w:styleId="MainTitle">
    <w:name w:val="Main Title"/>
    <w:next w:val="Subtitle"/>
    <w:qFormat/>
    <w:rsid w:val="00A355F9"/>
    <w:pPr>
      <w:spacing w:before="240" w:after="240" w:line="740" w:lineRule="exact"/>
      <w:contextualSpacing/>
      <w:jc w:val="right"/>
    </w:pPr>
    <w:rPr>
      <w:rFonts w:ascii="Open Sans" w:hAnsi="Open Sans"/>
      <w:bCs/>
      <w:color w:val="237BBC"/>
      <w:kern w:val="32"/>
      <w:sz w:val="56"/>
      <w:szCs w:val="32"/>
    </w:rPr>
  </w:style>
  <w:style w:type="paragraph" w:customStyle="1" w:styleId="HeaderFooter">
    <w:name w:val="Header &amp; Footer"/>
    <w:basedOn w:val="Normal"/>
    <w:semiHidden/>
    <w:locked/>
    <w:rsid w:val="005C2ECF"/>
    <w:pPr>
      <w:spacing w:line="200" w:lineRule="exact"/>
      <w:jc w:val="both"/>
    </w:pPr>
    <w:rPr>
      <w:rFonts w:eastAsia="Times New Roman" w:cs="ArialMT"/>
      <w:sz w:val="16"/>
      <w:lang w:eastAsia="en-US"/>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paragraph" w:styleId="BalloonText">
    <w:name w:val="Balloon Text"/>
    <w:basedOn w:val="Normal"/>
    <w:link w:val="BalloonTextChar"/>
    <w:semiHidden/>
    <w:rsid w:val="00045C4B"/>
    <w:pPr>
      <w:spacing w:before="0" w:after="0"/>
    </w:pPr>
    <w:rPr>
      <w:rFonts w:cs="Tahoma"/>
      <w:sz w:val="16"/>
      <w:szCs w:val="16"/>
    </w:rPr>
  </w:style>
  <w:style w:type="character" w:customStyle="1" w:styleId="BalloonTextChar">
    <w:name w:val="Balloon Text Char"/>
    <w:link w:val="BalloonText"/>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semiHidden/>
    <w:locked/>
    <w:rsid w:val="00045C4B"/>
    <w:rPr>
      <w:rFonts w:ascii="Open Sans" w:hAnsi="Open Sans"/>
      <w:sz w:val="20"/>
      <w:lang w:bidi="ar-SA"/>
    </w:rPr>
  </w:style>
  <w:style w:type="character" w:customStyle="1" w:styleId="SubtitleChar">
    <w:name w:val="Subtitle Char"/>
    <w:link w:val="Subtitle"/>
    <w:rsid w:val="000E4837"/>
    <w:rPr>
      <w:rFonts w:ascii="Open Sans" w:eastAsia="MS Mincho" w:hAnsi="Open Sans" w:cs="Arial"/>
      <w:color w:val="237BBC"/>
      <w:sz w:val="28"/>
      <w:szCs w:val="24"/>
    </w:rPr>
  </w:style>
  <w:style w:type="paragraph" w:customStyle="1" w:styleId="SubmissionNormal">
    <w:name w:val="Submission Normal"/>
    <w:basedOn w:val="Normal"/>
    <w:link w:val="SubmissionNormalChar"/>
    <w:locked/>
    <w:rsid w:val="00B34946"/>
    <w:pPr>
      <w:numPr>
        <w:numId w:val="36"/>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semiHidden/>
    <w:unhideWhenUsed/>
    <w:qFormat/>
    <w:rsid w:val="00045C4B"/>
    <w:rPr>
      <w:b/>
      <w:bCs/>
      <w:sz w:val="20"/>
      <w:szCs w:val="20"/>
    </w:rPr>
  </w:style>
  <w:style w:type="character" w:styleId="CommentReference">
    <w:name w:val="annotation reference"/>
    <w:rsid w:val="00045C4B"/>
    <w:rPr>
      <w:rFonts w:ascii="Open Sans" w:hAnsi="Open Sans"/>
      <w:sz w:val="16"/>
      <w:szCs w:val="16"/>
    </w:rPr>
  </w:style>
  <w:style w:type="paragraph" w:styleId="CommentText">
    <w:name w:val="annotation text"/>
    <w:basedOn w:val="Normal"/>
    <w:link w:val="CommentTextChar"/>
    <w:rsid w:val="00045C4B"/>
    <w:rPr>
      <w:sz w:val="20"/>
      <w:szCs w:val="20"/>
    </w:rPr>
  </w:style>
  <w:style w:type="character" w:customStyle="1" w:styleId="CommentTextChar">
    <w:name w:val="Comment Text Char"/>
    <w:link w:val="CommentText"/>
    <w:rsid w:val="00045C4B"/>
    <w:rPr>
      <w:rFonts w:ascii="Open Sans" w:eastAsia="MS Mincho" w:hAnsi="Open Sans"/>
    </w:rPr>
  </w:style>
  <w:style w:type="paragraph" w:styleId="CommentSubject">
    <w:name w:val="annotation subject"/>
    <w:basedOn w:val="CommentText"/>
    <w:next w:val="CommentText"/>
    <w:link w:val="CommentSubjectChar"/>
    <w:rsid w:val="00045C4B"/>
    <w:rPr>
      <w:b/>
      <w:bCs/>
    </w:rPr>
  </w:style>
  <w:style w:type="character" w:customStyle="1" w:styleId="CommentSubjectChar">
    <w:name w:val="Comment Subject Char"/>
    <w:link w:val="CommentSubject"/>
    <w:rsid w:val="00045C4B"/>
    <w:rPr>
      <w:rFonts w:ascii="Open Sans" w:eastAsia="MS Mincho" w:hAnsi="Open Sans"/>
      <w:b/>
      <w:bCs/>
    </w:rPr>
  </w:style>
  <w:style w:type="paragraph" w:styleId="DocumentMap">
    <w:name w:val="Document Map"/>
    <w:basedOn w:val="Normal"/>
    <w:link w:val="DocumentMapChar"/>
    <w:rsid w:val="00045C4B"/>
    <w:rPr>
      <w:rFonts w:cs="Segoe UI"/>
      <w:sz w:val="16"/>
      <w:szCs w:val="16"/>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ind w:left="240" w:hanging="240"/>
    </w:pPr>
  </w:style>
  <w:style w:type="paragraph" w:styleId="Index2">
    <w:name w:val="index 2"/>
    <w:basedOn w:val="Normal"/>
    <w:next w:val="Normal"/>
    <w:rsid w:val="005C2ECF"/>
    <w:pPr>
      <w:ind w:left="480" w:hanging="240"/>
    </w:pPr>
  </w:style>
  <w:style w:type="paragraph" w:styleId="Index3">
    <w:name w:val="index 3"/>
    <w:basedOn w:val="Normal"/>
    <w:next w:val="Normal"/>
    <w:rsid w:val="005C2ECF"/>
    <w:pPr>
      <w:ind w:left="720" w:hanging="240"/>
    </w:pPr>
  </w:style>
  <w:style w:type="paragraph" w:styleId="Index4">
    <w:name w:val="index 4"/>
    <w:basedOn w:val="Normal"/>
    <w:next w:val="Normal"/>
    <w:rsid w:val="005C2ECF"/>
    <w:pPr>
      <w:ind w:left="960" w:hanging="240"/>
    </w:pPr>
  </w:style>
  <w:style w:type="paragraph" w:styleId="Index5">
    <w:name w:val="index 5"/>
    <w:basedOn w:val="Normal"/>
    <w:next w:val="Normal"/>
    <w:rsid w:val="005C2ECF"/>
    <w:pPr>
      <w:ind w:left="1200" w:hanging="240"/>
    </w:pPr>
  </w:style>
  <w:style w:type="paragraph" w:styleId="Index6">
    <w:name w:val="index 6"/>
    <w:basedOn w:val="Normal"/>
    <w:next w:val="Normal"/>
    <w:rsid w:val="005C2ECF"/>
    <w:pPr>
      <w:ind w:left="1440" w:hanging="240"/>
    </w:pPr>
  </w:style>
  <w:style w:type="paragraph" w:styleId="Index7">
    <w:name w:val="index 7"/>
    <w:basedOn w:val="Normal"/>
    <w:next w:val="Normal"/>
    <w:rsid w:val="005C2ECF"/>
    <w:pPr>
      <w:ind w:left="1680" w:hanging="240"/>
    </w:pPr>
  </w:style>
  <w:style w:type="paragraph" w:styleId="Index8">
    <w:name w:val="index 8"/>
    <w:basedOn w:val="Normal"/>
    <w:next w:val="Normal"/>
    <w:rsid w:val="005C2ECF"/>
    <w:pPr>
      <w:ind w:left="1920" w:hanging="240"/>
    </w:pPr>
  </w:style>
  <w:style w:type="paragraph" w:styleId="Index9">
    <w:name w:val="index 9"/>
    <w:basedOn w:val="Normal"/>
    <w:next w:val="Normal"/>
    <w:rsid w:val="005C2ECF"/>
    <w:pPr>
      <w:ind w:left="2160" w:hanging="240"/>
    </w:pPr>
  </w:style>
  <w:style w:type="paragraph" w:styleId="IndexHeading">
    <w:name w:val="index heading"/>
    <w:basedOn w:val="Normal"/>
    <w:next w:val="Index1"/>
    <w:rsid w:val="005C2ECF"/>
    <w:rPr>
      <w:rFonts w:eastAsia="Times New Roman"/>
      <w:b/>
      <w:bCs/>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ind w:left="240" w:hanging="240"/>
    </w:pPr>
  </w:style>
  <w:style w:type="paragraph" w:styleId="TableofFigures">
    <w:name w:val="table of figures"/>
    <w:basedOn w:val="Normal"/>
    <w:next w:val="Normal"/>
    <w:locked/>
    <w:rsid w:val="00471BB7"/>
  </w:style>
  <w:style w:type="paragraph" w:styleId="TOAHeading">
    <w:name w:val="toa heading"/>
    <w:basedOn w:val="Normal"/>
    <w:next w:val="Normal"/>
    <w:locked/>
    <w:rsid w:val="00471BB7"/>
    <w:pPr>
      <w:spacing w:before="120"/>
    </w:pPr>
    <w:rPr>
      <w:rFonts w:eastAsia="Times New Roman"/>
      <w:b/>
      <w:bCs/>
    </w:rPr>
  </w:style>
  <w:style w:type="paragraph" w:styleId="TOC5">
    <w:name w:val="toc 5"/>
    <w:basedOn w:val="Normal"/>
    <w:next w:val="Normal"/>
    <w:semiHidden/>
    <w:locked/>
    <w:rsid w:val="00471BB7"/>
    <w:pPr>
      <w:ind w:left="960"/>
    </w:pPr>
  </w:style>
  <w:style w:type="paragraph" w:styleId="TOC6">
    <w:name w:val="toc 6"/>
    <w:basedOn w:val="Normal"/>
    <w:next w:val="Normal"/>
    <w:semiHidden/>
    <w:locked/>
    <w:rsid w:val="00471BB7"/>
    <w:pPr>
      <w:ind w:left="1200"/>
    </w:pPr>
  </w:style>
  <w:style w:type="paragraph" w:styleId="TOC7">
    <w:name w:val="toc 7"/>
    <w:basedOn w:val="Normal"/>
    <w:next w:val="Normal"/>
    <w:semiHidden/>
    <w:locked/>
    <w:rsid w:val="00471BB7"/>
    <w:pPr>
      <w:ind w:left="1440"/>
    </w:pPr>
  </w:style>
  <w:style w:type="paragraph" w:styleId="TOC8">
    <w:name w:val="toc 8"/>
    <w:basedOn w:val="Normal"/>
    <w:next w:val="Normal"/>
    <w:semiHidden/>
    <w:locked/>
    <w:rsid w:val="00471BB7"/>
    <w:pPr>
      <w:ind w:left="1680"/>
    </w:pPr>
  </w:style>
  <w:style w:type="paragraph" w:styleId="TOC9">
    <w:name w:val="toc 9"/>
    <w:basedOn w:val="Normal"/>
    <w:next w:val="Normal"/>
    <w:semiHidden/>
    <w:locked/>
    <w:rsid w:val="00471BB7"/>
    <w:pPr>
      <w:ind w:left="1920"/>
    </w:pPr>
  </w:style>
  <w:style w:type="paragraph" w:styleId="NoSpacing">
    <w:name w:val="No Spacing"/>
    <w:uiPriority w:val="1"/>
    <w:rsid w:val="00471BB7"/>
    <w:rPr>
      <w:rFonts w:ascii="Open Sans" w:eastAsia="MS Mincho" w:hAnsi="Open Sans"/>
      <w:sz w:val="24"/>
      <w:szCs w:val="24"/>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471BB7"/>
    <w:rPr>
      <w:rFonts w:ascii="Open Sans" w:hAnsi="Open Sans"/>
      <w:i w:val="0"/>
      <w:iCs/>
      <w:color w:val="auto"/>
    </w:rPr>
  </w:style>
  <w:style w:type="paragraph" w:styleId="Quote">
    <w:name w:val="Quote"/>
    <w:basedOn w:val="Normal"/>
    <w:next w:val="Normal"/>
    <w:link w:val="QuoteChar"/>
    <w:uiPriority w:val="29"/>
    <w:rsid w:val="000C5DA6"/>
    <w:pPr>
      <w:spacing w:before="200" w:after="160"/>
      <w:ind w:left="1440"/>
    </w:pPr>
    <w:rPr>
      <w:iCs/>
      <w:sz w:val="22"/>
    </w:rPr>
  </w:style>
  <w:style w:type="character" w:customStyle="1" w:styleId="QuoteChar">
    <w:name w:val="Quote Char"/>
    <w:link w:val="Quote"/>
    <w:uiPriority w:val="29"/>
    <w:rsid w:val="000C5DA6"/>
    <w:rPr>
      <w:rFonts w:ascii="Open Sans" w:eastAsia="MS Mincho" w:hAnsi="Open Sans"/>
      <w:iCs/>
      <w:sz w:val="22"/>
      <w:szCs w:val="24"/>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31"/>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basedOn w:val="Normal"/>
    <w:uiPriority w:val="34"/>
    <w:qFormat/>
    <w:locked/>
    <w:rsid w:val="007D79FD"/>
    <w:pPr>
      <w:spacing w:before="120" w:after="120"/>
      <w:ind w:left="720"/>
    </w:p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HeaderDocumentTitle">
    <w:name w:val="Header Document Title"/>
    <w:uiPriority w:val="1"/>
    <w:qFormat/>
    <w:rsid w:val="001F62CC"/>
    <w:rPr>
      <w:rFonts w:ascii="Open Sans" w:hAnsi="Open Sans"/>
      <w:b/>
      <w:noProof/>
      <w:sz w:val="18"/>
    </w:rPr>
  </w:style>
  <w:style w:type="paragraph" w:customStyle="1" w:styleId="HeaderDocumentDate">
    <w:name w:val="Header Document Date"/>
    <w:basedOn w:val="Footer"/>
    <w:qFormat/>
    <w:rsid w:val="002850B0"/>
    <w:pPr>
      <w:jc w:val="right"/>
    </w:p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character" w:customStyle="1" w:styleId="BodyTextChar">
    <w:name w:val="Body Text Char"/>
    <w:link w:val="BodyText"/>
    <w:rsid w:val="00127AB4"/>
    <w:rPr>
      <w:rFonts w:ascii="Open Sans" w:eastAsia="MS Mincho" w:hAnsi="Open Sans"/>
      <w:szCs w:val="24"/>
    </w:rPr>
  </w:style>
  <w:style w:type="paragraph" w:customStyle="1" w:styleId="Copyright">
    <w:name w:val="Copyright"/>
    <w:basedOn w:val="Normal"/>
    <w:rsid w:val="005C4174"/>
    <w:rPr>
      <w:rFonts w:eastAsia="Arial" w:cstheme="majorHAnsi"/>
      <w:sz w:val="18"/>
      <w:szCs w:val="18"/>
      <w:lang w:val="en-GB"/>
    </w:rPr>
  </w:style>
  <w:style w:type="character" w:styleId="UnresolvedMention">
    <w:name w:val="Unresolved Mention"/>
    <w:basedOn w:val="DefaultParagraphFont"/>
    <w:uiPriority w:val="99"/>
    <w:semiHidden/>
    <w:unhideWhenUsed/>
    <w:rsid w:val="00CA3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communications@humanrights.gov.au"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tech.humanrights.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aus01.safelinks.protection.outlook.com/?url=https%3A%2F%2Fwww.myidentifiers.com.au%2Fmyaccount_manageisbns_titlereg%3Fisbn%3D978-1-925917-34-5%26icon_type%3Dnew&amp;data=04%7C01%7Czoe.paleologos%40humanrights.gov.au%7C5653fbff68d34251bf2808d8ea9f04d9%7Cea4cdebd454f4218919b7adc32bf1549%7C0%7C0%7C637517315983930621%7CUnknown%7CTWFpbGZsb3d8eyJWIjoiMC4wLjAwMDAiLCJQIjoiV2luMzIiLCJBTiI6Ik1haWwiLCJXVCI6Mn0%3D%7C1000&amp;sdata=MHaxuf43cZCF2sdkbcKkdB4uAt1L3dOYn5SkZLWj5wY%3D&amp;reserved=0" TargetMode="External"/><Relationship Id="rId25" Type="http://schemas.openxmlformats.org/officeDocument/2006/relationships/image" Target="media/image7.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reativecommons.org/licenses/by/3.0/au/" TargetMode="External"/><Relationship Id="rId20" Type="http://schemas.openxmlformats.org/officeDocument/2006/relationships/image" Target="media/image3.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5.emf"/><Relationship Id="rId28"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s://humanrights.gov.au/about"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4.emf"/><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hyperlink" Target="https://www.tech.humanrights.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Submission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975c5ac6-a0cc-43ed-b850-4a2ae59237b6"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fbe8333e833142b1aa4e528d7d71931d xmlns="f38bc97f-71db-45c8-93e4-332747d752e1">
      <Terms xmlns="http://schemas.microsoft.com/office/infopath/2007/PartnerControls"/>
    </fbe8333e833142b1aa4e528d7d71931d>
    <To xmlns="f38bc97f-71db-45c8-93e4-332747d752e1" xsi:nil="true"/>
    <TaxCatchAll xmlns="6500fe01-343b-4fb9-a1b0-68ac19d62e01"/>
    <Has_x0020_Attachments xmlns="f38bc97f-71db-45c8-93e4-332747d752e1" xsi:nil="true"/>
    <TaxKeywordTaxHTField xmlns="6500fe01-343b-4fb9-a1b0-68ac19d62e01">
      <Terms xmlns="http://schemas.microsoft.com/office/infopath/2007/PartnerControls"/>
    </TaxKeywordTaxHTField>
    <Download xmlns="f38bc97f-71db-45c8-93e4-332747d752e1" xsi:nil="true"/>
    <Received_x002f_Sent xmlns="f38bc97f-71db-45c8-93e4-332747d752e1" xsi:nil="true"/>
    <Open_x0020_in_x0020_Outlook xmlns="f38bc97f-71db-45c8-93e4-332747d752e1" xsi:nil="true"/>
    <From1 xmlns="f38bc97f-71db-45c8-93e4-332747d752e1" xsi:nil="true"/>
    <_dlc_DocId xmlns="6500fe01-343b-4fb9-a1b0-68ac19d62e01">DGE6U7RJ2EFV-1624406353-11235</_dlc_DocId>
    <_dlc_DocIdUrl xmlns="6500fe01-343b-4fb9-a1b0-68ac19d62e01">
      <Url>https://australianhrc.sharepoint.com/sites/PolicyExternalProjects/_layouts/15/DocIdRedir.aspx?ID=DGE6U7RJ2EFV-1624406353-11235</Url>
      <Description>DGE6U7RJ2EFV-1624406353-11235</Description>
    </_dlc_DocIdUrl>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3814F0FF30BCCD48A789763FC8227192" ma:contentTypeVersion="1726" ma:contentTypeDescription="Create a new document." ma:contentTypeScope="" ma:versionID="8696ff02dffbb9cab082ee6896ec37ff">
  <xsd:schema xmlns:xsd="http://www.w3.org/2001/XMLSchema" xmlns:xs="http://www.w3.org/2001/XMLSchema" xmlns:p="http://schemas.microsoft.com/office/2006/metadata/properties" xmlns:ns2="f38bc97f-71db-45c8-93e4-332747d752e1" xmlns:ns3="6500fe01-343b-4fb9-a1b0-68ac19d62e01" xmlns:ns4="eae30cb6-2cdb-4b28-9016-905f841c3fc0" targetNamespace="http://schemas.microsoft.com/office/2006/metadata/properties" ma:root="true" ma:fieldsID="0fb05afed969a6db035f299626bd03ca" ns2:_="" ns3:_="" ns4:_="">
    <xsd:import namespace="f38bc97f-71db-45c8-93e4-332747d752e1"/>
    <xsd:import namespace="6500fe01-343b-4fb9-a1b0-68ac19d62e01"/>
    <xsd:import namespace="eae30cb6-2cdb-4b28-9016-905f841c3fc0"/>
    <xsd:element name="properties">
      <xsd:complexType>
        <xsd:sequence>
          <xsd:element name="documentManagement">
            <xsd:complexType>
              <xsd:all>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fbe8333e833142b1aa4e528d7d71931d" minOccurs="0"/>
                <xsd:element ref="ns2:From1" minOccurs="0"/>
                <xsd:element ref="ns2:Has_x0020_Attachments" minOccurs="0"/>
                <xsd:element ref="ns2:Received_x002f_Sent" minOccurs="0"/>
                <xsd:element ref="ns2:To" minOccurs="0"/>
                <xsd:element ref="ns2:Download" minOccurs="0"/>
                <xsd:element ref="ns2:Open_x0020_in_x0020_Outlook"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2:SharedWithUsers" minOccurs="0"/>
                <xsd:element ref="ns2:SharedWithDetails"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fbe8333e833142b1aa4e528d7d71931d" ma:index="17"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18" nillable="true" ma:displayName="From" ma:hidden="true" ma:indexed="true" ma:internalName="From1" ma:readOnly="false">
      <xsd:simpleType>
        <xsd:restriction base="dms:Text">
          <xsd:maxLength value="255"/>
        </xsd:restriction>
      </xsd:simpleType>
    </xsd:element>
    <xsd:element name="Has_x0020_Attachments" ma:index="19" nillable="true" ma:displayName="Has Attachments" ma:hidden="true" ma:indexed="true" ma:internalName="Has_x0020_Attachments" ma:readOnly="false">
      <xsd:simpleType>
        <xsd:restriction base="dms:Text">
          <xsd:maxLength value="255"/>
        </xsd:restriction>
      </xsd:simpleType>
    </xsd:element>
    <xsd:element name="Received_x002f_Sent" ma:index="20" nillable="true" ma:displayName="Received/Sent" ma:format="DateOnly" ma:hidden="true" ma:indexed="true" ma:internalName="Received_x002F_Sent" ma:readOnly="false">
      <xsd:simpleType>
        <xsd:restriction base="dms:DateTime"/>
      </xsd:simpleType>
    </xsd:element>
    <xsd:element name="To" ma:index="21" nillable="true" ma:displayName="To" ma:hidden="true" ma:indexed="true" ma:internalName="To" ma:readOnly="false">
      <xsd:simpleType>
        <xsd:restriction base="dms:Text">
          <xsd:maxLength value="255"/>
        </xsd:restriction>
      </xsd:simpleType>
    </xsd:element>
    <xsd:element name="Download" ma:index="22" nillable="true" ma:displayName="Download" ma:hidden="true" ma:internalName="Download" ma:readOnly="false">
      <xsd:simpleType>
        <xsd:restriction base="dms:Text">
          <xsd:maxLength value="255"/>
        </xsd:restriction>
      </xsd:simpleType>
    </xsd:element>
    <xsd:element name="Open_x0020_in_x0020_Outlook" ma:index="23" nillable="true" ma:displayName="Open in Outlook" ma:hidden="true" ma:internalName="Open_x0020_in_x0020_Outlook" ma:readOnly="false">
      <xsd:simpleType>
        <xsd:restriction base="dms:Text">
          <xsd:maxLength value="255"/>
        </xsd:restrictio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ae30cb6-2cdb-4b28-9016-905f841c3fc0"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Tags" ma:index="27" nillable="true" ma:displayName="Tags" ma:internalName="MediaServiceAutoTag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65C80F-DE00-42C0-94F3-32B75A194C29}">
  <ds:schemaRefs>
    <ds:schemaRef ds:uri="Microsoft.SharePoint.Taxonomy.ContentTypeSync"/>
  </ds:schemaRefs>
</ds:datastoreItem>
</file>

<file path=customXml/itemProps2.xml><?xml version="1.0" encoding="utf-8"?>
<ds:datastoreItem xmlns:ds="http://schemas.openxmlformats.org/officeDocument/2006/customXml" ds:itemID="{CA713BCB-BEBB-4744-9AF5-916B10DDA000}">
  <ds:schemaRefs>
    <ds:schemaRef ds:uri="http://schemas.microsoft.com/office/2006/metadata/properties"/>
    <ds:schemaRef ds:uri="http://schemas.microsoft.com/office/infopath/2007/PartnerControls"/>
    <ds:schemaRef ds:uri="f38bc97f-71db-45c8-93e4-332747d752e1"/>
    <ds:schemaRef ds:uri="6500fe01-343b-4fb9-a1b0-68ac19d62e01"/>
  </ds:schemaRefs>
</ds:datastoreItem>
</file>

<file path=customXml/itemProps3.xml><?xml version="1.0" encoding="utf-8"?>
<ds:datastoreItem xmlns:ds="http://schemas.openxmlformats.org/officeDocument/2006/customXml" ds:itemID="{77763A83-2FEF-41E4-941B-C2BBCB0DEC9D}">
  <ds:schemaRefs>
    <ds:schemaRef ds:uri="http://schemas.microsoft.com/office/2006/metadata/customXsn"/>
  </ds:schemaRefs>
</ds:datastoreItem>
</file>

<file path=customXml/itemProps4.xml><?xml version="1.0" encoding="utf-8"?>
<ds:datastoreItem xmlns:ds="http://schemas.openxmlformats.org/officeDocument/2006/customXml" ds:itemID="{57822922-2FD1-43A4-B010-653AC25C03B5}">
  <ds:schemaRefs>
    <ds:schemaRef ds:uri="http://schemas.openxmlformats.org/officeDocument/2006/bibliography"/>
  </ds:schemaRefs>
</ds:datastoreItem>
</file>

<file path=customXml/itemProps5.xml><?xml version="1.0" encoding="utf-8"?>
<ds:datastoreItem xmlns:ds="http://schemas.openxmlformats.org/officeDocument/2006/customXml" ds:itemID="{629A97EE-9869-45DE-B14E-053200A45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8bc97f-71db-45c8-93e4-332747d752e1"/>
    <ds:schemaRef ds:uri="6500fe01-343b-4fb9-a1b0-68ac19d62e01"/>
    <ds:schemaRef ds:uri="eae30cb6-2cdb-4b28-9016-905f841c3f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14137C1-4046-4AA4-8850-C892FD372359}">
  <ds:schemaRefs>
    <ds:schemaRef ds:uri="http://schemas.microsoft.com/sharepoint/events"/>
  </ds:schemaRefs>
</ds:datastoreItem>
</file>

<file path=customXml/itemProps7.xml><?xml version="1.0" encoding="utf-8"?>
<ds:datastoreItem xmlns:ds="http://schemas.openxmlformats.org/officeDocument/2006/customXml" ds:itemID="{96A05EC8-4DEA-4777-9252-99ECA668C2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Submission_New.dotx</Template>
  <TotalTime>61</TotalTime>
  <Pages>29</Pages>
  <Words>5304</Words>
  <Characters>30239</Characters>
  <Application>Microsoft Office Word</Application>
  <DocSecurity>0</DocSecurity>
  <Lines>251</Lines>
  <Paragraphs>70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35473</CharactersWithSpaces>
  <SharedDoc>false</SharedDoc>
  <HLinks>
    <vt:vector size="60" baseType="variant">
      <vt:variant>
        <vt:i4>1048639</vt:i4>
      </vt:variant>
      <vt:variant>
        <vt:i4>44</vt:i4>
      </vt:variant>
      <vt:variant>
        <vt:i4>0</vt:i4>
      </vt:variant>
      <vt:variant>
        <vt:i4>5</vt:i4>
      </vt:variant>
      <vt:variant>
        <vt:lpwstr/>
      </vt:variant>
      <vt:variant>
        <vt:lpwstr>_Toc67579057</vt:lpwstr>
      </vt:variant>
      <vt:variant>
        <vt:i4>1114175</vt:i4>
      </vt:variant>
      <vt:variant>
        <vt:i4>38</vt:i4>
      </vt:variant>
      <vt:variant>
        <vt:i4>0</vt:i4>
      </vt:variant>
      <vt:variant>
        <vt:i4>5</vt:i4>
      </vt:variant>
      <vt:variant>
        <vt:lpwstr/>
      </vt:variant>
      <vt:variant>
        <vt:lpwstr>_Toc67579056</vt:lpwstr>
      </vt:variant>
      <vt:variant>
        <vt:i4>1179711</vt:i4>
      </vt:variant>
      <vt:variant>
        <vt:i4>32</vt:i4>
      </vt:variant>
      <vt:variant>
        <vt:i4>0</vt:i4>
      </vt:variant>
      <vt:variant>
        <vt:i4>5</vt:i4>
      </vt:variant>
      <vt:variant>
        <vt:lpwstr/>
      </vt:variant>
      <vt:variant>
        <vt:lpwstr>_Toc67579055</vt:lpwstr>
      </vt:variant>
      <vt:variant>
        <vt:i4>1245247</vt:i4>
      </vt:variant>
      <vt:variant>
        <vt:i4>26</vt:i4>
      </vt:variant>
      <vt:variant>
        <vt:i4>0</vt:i4>
      </vt:variant>
      <vt:variant>
        <vt:i4>5</vt:i4>
      </vt:variant>
      <vt:variant>
        <vt:lpwstr/>
      </vt:variant>
      <vt:variant>
        <vt:lpwstr>_Toc67579054</vt:lpwstr>
      </vt:variant>
      <vt:variant>
        <vt:i4>1310783</vt:i4>
      </vt:variant>
      <vt:variant>
        <vt:i4>20</vt:i4>
      </vt:variant>
      <vt:variant>
        <vt:i4>0</vt:i4>
      </vt:variant>
      <vt:variant>
        <vt:i4>5</vt:i4>
      </vt:variant>
      <vt:variant>
        <vt:lpwstr/>
      </vt:variant>
      <vt:variant>
        <vt:lpwstr>_Toc67579053</vt:lpwstr>
      </vt:variant>
      <vt:variant>
        <vt:i4>1376319</vt:i4>
      </vt:variant>
      <vt:variant>
        <vt:i4>14</vt:i4>
      </vt:variant>
      <vt:variant>
        <vt:i4>0</vt:i4>
      </vt:variant>
      <vt:variant>
        <vt:i4>5</vt:i4>
      </vt:variant>
      <vt:variant>
        <vt:lpwstr/>
      </vt:variant>
      <vt:variant>
        <vt:lpwstr>_Toc67579052</vt:lpwstr>
      </vt:variant>
      <vt:variant>
        <vt:i4>262161</vt:i4>
      </vt:variant>
      <vt:variant>
        <vt:i4>9</vt:i4>
      </vt:variant>
      <vt:variant>
        <vt:i4>0</vt:i4>
      </vt:variant>
      <vt:variant>
        <vt:i4>5</vt:i4>
      </vt:variant>
      <vt:variant>
        <vt:lpwstr>https://humanrights.gov.au/about</vt:lpwstr>
      </vt:variant>
      <vt:variant>
        <vt:lpwstr/>
      </vt:variant>
      <vt:variant>
        <vt:i4>3735620</vt:i4>
      </vt:variant>
      <vt:variant>
        <vt:i4>6</vt:i4>
      </vt:variant>
      <vt:variant>
        <vt:i4>0</vt:i4>
      </vt:variant>
      <vt:variant>
        <vt:i4>5</vt:i4>
      </vt:variant>
      <vt:variant>
        <vt:lpwstr>mailto:communications@humanrights.gov.au</vt:lpwstr>
      </vt:variant>
      <vt:variant>
        <vt:lpwstr/>
      </vt:variant>
      <vt:variant>
        <vt:i4>5242916</vt:i4>
      </vt:variant>
      <vt:variant>
        <vt:i4>3</vt:i4>
      </vt:variant>
      <vt:variant>
        <vt:i4>0</vt:i4>
      </vt:variant>
      <vt:variant>
        <vt:i4>5</vt:i4>
      </vt:variant>
      <vt:variant>
        <vt:lpwstr>https://aus01.safelinks.protection.outlook.com/?url=https%3A%2F%2Fwww.myidentifiers.com.au%2Fmyaccount_manageisbns_titlereg%3Fisbn%3D978-1-925917-34-5%26icon_type%3Dnew&amp;data=04%7C01%7Czoe.paleologos%40humanrights.gov.au%7C5653fbff68d34251bf2808d8ea9f04d9%7Cea4cdebd454f4218919b7adc32bf1549%7C0%7C0%7C637517315983930621%7CUnknown%7CTWFpbGZsb3d8eyJWIjoiMC4wLjAwMDAiLCJQIjoiV2luMzIiLCJBTiI6Ik1haWwiLCJXVCI6Mn0%3D%7C1000&amp;sdata=MHaxuf43cZCF2sdkbcKkdB4uAt1L3dOYn5SkZLWj5wY%3D&amp;reserved=0</vt:lpwstr>
      </vt:variant>
      <vt:variant>
        <vt:lpwstr/>
      </vt:variant>
      <vt:variant>
        <vt:i4>2359406</vt:i4>
      </vt:variant>
      <vt:variant>
        <vt:i4>0</vt:i4>
      </vt:variant>
      <vt:variant>
        <vt:i4>0</vt:i4>
      </vt:variant>
      <vt:variant>
        <vt:i4>5</vt:i4>
      </vt:variant>
      <vt:variant>
        <vt:lpwstr>https://creativecommons.org/licenses/by/3.0/au/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Zoe Paleologos</dc:creator>
  <cp:keywords/>
  <cp:lastModifiedBy>Natasha Rose</cp:lastModifiedBy>
  <cp:revision>17</cp:revision>
  <cp:lastPrinted>1901-01-02T02:00:00Z</cp:lastPrinted>
  <dcterms:created xsi:type="dcterms:W3CDTF">2021-03-26T18:39:00Z</dcterms:created>
  <dcterms:modified xsi:type="dcterms:W3CDTF">2021-05-20T07:29:00Z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0x0101003814F0FF30BCCD48A789763FC8227192</vt:lpwstr>
  </property>
  <property fmtid="{D5CDD505-2E9C-101B-9397-08002B2CF9AE}" pid="3" name="_dlc_DocIdItemGuid">
    <vt:lpwstr>eebf0f74-f7dc-4fd7-9d72-1d82fc573f54</vt:lpwstr>
  </property>
  <property fmtid="{D5CDD505-2E9C-101B-9397-08002B2CF9AE}" pid="4" name="TaxKeyword">
    <vt:lpwstr/>
  </property>
  <property fmtid="{D5CDD505-2E9C-101B-9397-08002B2CF9AE}" pid="5" name="Document Type">
    <vt:lpwstr/>
  </property>
</Properties>
</file>