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B901A" w14:textId="77777777" w:rsidR="00484EF1" w:rsidRPr="00E121DB" w:rsidRDefault="00484EF1" w:rsidP="00484EF1">
      <w:pPr>
        <w:pStyle w:val="MainTitle"/>
        <w:rPr>
          <w:sz w:val="48"/>
          <w:szCs w:val="48"/>
        </w:rPr>
      </w:pPr>
      <w:r w:rsidRPr="00E121DB">
        <w:rPr>
          <w:sz w:val="48"/>
          <w:szCs w:val="48"/>
        </w:rPr>
        <w:t>Mr BX v Commonwealth of Australia</w:t>
      </w:r>
    </w:p>
    <w:p w14:paraId="03B1DDFD" w14:textId="77777777" w:rsidR="00484EF1" w:rsidRPr="00E121DB" w:rsidRDefault="00484EF1" w:rsidP="00484EF1">
      <w:pPr>
        <w:pStyle w:val="MainTitle"/>
        <w:rPr>
          <w:sz w:val="48"/>
          <w:szCs w:val="48"/>
        </w:rPr>
      </w:pPr>
      <w:r w:rsidRPr="00E121DB">
        <w:rPr>
          <w:sz w:val="48"/>
          <w:szCs w:val="48"/>
        </w:rPr>
        <w:t>(Department of Home Affairs)</w:t>
      </w:r>
    </w:p>
    <w:p w14:paraId="16F224FE" w14:textId="77777777" w:rsidR="00484EF1" w:rsidRPr="00E121DB" w:rsidRDefault="00484EF1" w:rsidP="00484EF1">
      <w:pPr>
        <w:jc w:val="right"/>
        <w:rPr>
          <w:b/>
          <w:bCs/>
        </w:rPr>
      </w:pPr>
      <w:r w:rsidRPr="00E121DB">
        <w:rPr>
          <w:rFonts w:cs="Arial"/>
          <w:b/>
          <w:bCs/>
          <w:sz w:val="28"/>
        </w:rPr>
        <w:t xml:space="preserve">[2024] </w:t>
      </w:r>
      <w:proofErr w:type="spellStart"/>
      <w:r w:rsidRPr="00E121DB">
        <w:rPr>
          <w:rFonts w:cs="Arial"/>
          <w:b/>
          <w:bCs/>
          <w:sz w:val="28"/>
        </w:rPr>
        <w:t>AusHRC</w:t>
      </w:r>
      <w:proofErr w:type="spellEnd"/>
      <w:r w:rsidRPr="00E121DB">
        <w:rPr>
          <w:rFonts w:cs="Arial"/>
          <w:b/>
          <w:bCs/>
          <w:sz w:val="28"/>
        </w:rPr>
        <w:t xml:space="preserve"> 163</w:t>
      </w:r>
    </w:p>
    <w:p w14:paraId="11F945EF" w14:textId="65EBE7DB" w:rsidR="00AC636D" w:rsidRDefault="00484EF1" w:rsidP="008A7305">
      <w:pPr>
        <w:jc w:val="right"/>
      </w:pPr>
      <w:r w:rsidRPr="00E121DB">
        <w:rPr>
          <w:rFonts w:cs="Open Sans"/>
          <w:sz w:val="28"/>
          <w:szCs w:val="28"/>
        </w:rPr>
        <w:t>April 2024</w:t>
      </w:r>
      <w:r w:rsidR="008A7305">
        <w:rPr>
          <w:rFonts w:cs="Arial"/>
          <w:color w:val="237BBC"/>
          <w:sz w:val="28"/>
        </w:rPr>
        <w:fldChar w:fldCharType="begin"/>
      </w:r>
      <w:r w:rsidR="008A7305">
        <w:rPr>
          <w:rFonts w:cs="Arial"/>
          <w:color w:val="237BBC"/>
          <w:sz w:val="28"/>
        </w:rPr>
        <w:instrText xml:space="preserve"> CREATEDATE  \@ "MMMM yyyy"  \* MERGEFORMAT </w:instrText>
      </w:r>
      <w:r w:rsidR="00000000">
        <w:rPr>
          <w:rFonts w:cs="Arial"/>
          <w:color w:val="237BBC"/>
          <w:sz w:val="28"/>
        </w:rPr>
        <w:fldChar w:fldCharType="separate"/>
      </w:r>
      <w:r w:rsidR="008A7305">
        <w:rPr>
          <w:rFonts w:cs="Arial"/>
          <w:color w:val="237BBC"/>
          <w:sz w:val="28"/>
        </w:rPr>
        <w:fldChar w:fldCharType="end"/>
      </w:r>
    </w:p>
    <w:p w14:paraId="22FC9334" w14:textId="38B884CE" w:rsidR="009E4BD0" w:rsidRPr="00AC636D" w:rsidRDefault="00961135" w:rsidP="00961135">
      <w:pPr>
        <w:jc w:val="right"/>
        <w:sectPr w:rsidR="009E4BD0" w:rsidRPr="00AC636D" w:rsidSect="00B02E31">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4316B63B" w14:textId="77777777" w:rsidR="00484EF1" w:rsidRDefault="00484EF1" w:rsidP="00C60343">
      <w:pPr>
        <w:pStyle w:val="TOC1"/>
      </w:pPr>
      <w:bookmarkStart w:id="0" w:name="_Toc209316062"/>
      <w:bookmarkEnd w:id="0"/>
    </w:p>
    <w:p w14:paraId="64B3CAA3" w14:textId="77777777" w:rsidR="00484EF1" w:rsidRDefault="00484EF1" w:rsidP="00C60343">
      <w:pPr>
        <w:pStyle w:val="TOC1"/>
      </w:pPr>
    </w:p>
    <w:p w14:paraId="03E24A97" w14:textId="77777777" w:rsidR="00484EF1" w:rsidRDefault="00484EF1" w:rsidP="00C60343">
      <w:pPr>
        <w:pStyle w:val="TOC1"/>
      </w:pPr>
    </w:p>
    <w:p w14:paraId="7D87CBCD" w14:textId="77777777" w:rsidR="00484EF1" w:rsidRPr="000A6408" w:rsidRDefault="00484EF1" w:rsidP="00484EF1">
      <w:pPr>
        <w:spacing w:before="360"/>
        <w:rPr>
          <w:b/>
          <w:bCs/>
        </w:rPr>
      </w:pPr>
    </w:p>
    <w:p w14:paraId="66E73D49" w14:textId="77777777" w:rsidR="00484EF1" w:rsidRDefault="00484EF1" w:rsidP="00484EF1">
      <w:pPr>
        <w:spacing w:before="360"/>
        <w:rPr>
          <w:b/>
          <w:bCs/>
          <w:sz w:val="36"/>
          <w:szCs w:val="36"/>
        </w:rPr>
      </w:pPr>
    </w:p>
    <w:p w14:paraId="5DA2708E" w14:textId="5026F741" w:rsidR="00484EF1" w:rsidRPr="00E131E0" w:rsidRDefault="00484EF1" w:rsidP="00484EF1">
      <w:pPr>
        <w:spacing w:before="360"/>
        <w:rPr>
          <w:b/>
          <w:bCs/>
          <w:sz w:val="36"/>
          <w:szCs w:val="36"/>
        </w:rPr>
      </w:pPr>
      <w:r w:rsidRPr="00E131E0">
        <w:rPr>
          <w:b/>
          <w:bCs/>
          <w:sz w:val="36"/>
          <w:szCs w:val="36"/>
        </w:rPr>
        <w:t xml:space="preserve">Mr </w:t>
      </w:r>
      <w:r>
        <w:rPr>
          <w:b/>
          <w:bCs/>
          <w:sz w:val="36"/>
          <w:szCs w:val="36"/>
        </w:rPr>
        <w:t>BX</w:t>
      </w:r>
      <w:r w:rsidRPr="00E131E0">
        <w:rPr>
          <w:b/>
          <w:bCs/>
          <w:sz w:val="36"/>
          <w:szCs w:val="36"/>
        </w:rPr>
        <w:t xml:space="preserve"> v Commonwealth of Australia </w:t>
      </w:r>
      <w:r>
        <w:rPr>
          <w:b/>
          <w:bCs/>
          <w:sz w:val="36"/>
          <w:szCs w:val="36"/>
        </w:rPr>
        <w:br/>
      </w:r>
      <w:r w:rsidRPr="00E131E0">
        <w:rPr>
          <w:b/>
          <w:bCs/>
          <w:sz w:val="36"/>
          <w:szCs w:val="36"/>
        </w:rPr>
        <w:t xml:space="preserve">(Department of Home Affairs) </w:t>
      </w:r>
    </w:p>
    <w:p w14:paraId="3BC4E5CE" w14:textId="77777777" w:rsidR="00484EF1" w:rsidRPr="00E131E0" w:rsidRDefault="00484EF1" w:rsidP="00484EF1">
      <w:pPr>
        <w:spacing w:before="360"/>
        <w:rPr>
          <w:sz w:val="32"/>
          <w:szCs w:val="32"/>
        </w:rPr>
      </w:pPr>
      <w:r w:rsidRPr="00E131E0">
        <w:rPr>
          <w:sz w:val="32"/>
          <w:szCs w:val="32"/>
        </w:rPr>
        <w:t>[202</w:t>
      </w:r>
      <w:r>
        <w:rPr>
          <w:sz w:val="32"/>
          <w:szCs w:val="32"/>
        </w:rPr>
        <w:t>4</w:t>
      </w:r>
      <w:r w:rsidRPr="00E131E0">
        <w:rPr>
          <w:sz w:val="32"/>
          <w:szCs w:val="32"/>
        </w:rPr>
        <w:t xml:space="preserve">] </w:t>
      </w:r>
      <w:proofErr w:type="spellStart"/>
      <w:r w:rsidRPr="00E131E0">
        <w:rPr>
          <w:sz w:val="32"/>
          <w:szCs w:val="32"/>
        </w:rPr>
        <w:t>AusHRC</w:t>
      </w:r>
      <w:proofErr w:type="spellEnd"/>
      <w:r w:rsidRPr="00E131E0">
        <w:rPr>
          <w:sz w:val="32"/>
          <w:szCs w:val="32"/>
        </w:rPr>
        <w:t xml:space="preserve"> 1</w:t>
      </w:r>
      <w:r>
        <w:rPr>
          <w:sz w:val="32"/>
          <w:szCs w:val="32"/>
        </w:rPr>
        <w:t>63</w:t>
      </w:r>
    </w:p>
    <w:p w14:paraId="0BB0F119" w14:textId="77777777" w:rsidR="00484EF1" w:rsidRPr="00E131E0" w:rsidRDefault="00484EF1" w:rsidP="00484EF1">
      <w:pPr>
        <w:spacing w:before="360"/>
        <w:rPr>
          <w:i/>
          <w:iCs/>
        </w:rPr>
      </w:pPr>
      <w:r w:rsidRPr="00E131E0">
        <w:rPr>
          <w:i/>
          <w:iCs/>
        </w:rPr>
        <w:t>Report into</w:t>
      </w:r>
      <w:r>
        <w:rPr>
          <w:i/>
          <w:iCs/>
        </w:rPr>
        <w:t xml:space="preserve"> the use of force </w:t>
      </w:r>
    </w:p>
    <w:p w14:paraId="1E1DF6B8" w14:textId="77777777" w:rsidR="00484EF1" w:rsidRPr="00E575B6" w:rsidRDefault="00484EF1" w:rsidP="00484EF1">
      <w:pPr>
        <w:pStyle w:val="TOC1"/>
        <w:rPr>
          <w:b w:val="0"/>
          <w:bCs/>
        </w:rPr>
      </w:pPr>
      <w:r w:rsidRPr="00E575B6">
        <w:rPr>
          <w:b w:val="0"/>
          <w:bCs/>
        </w:rPr>
        <w:t>Australian Human Rights Commission 2024</w:t>
      </w:r>
    </w:p>
    <w:p w14:paraId="06EF00FD" w14:textId="77777777" w:rsidR="00484EF1" w:rsidRDefault="00484EF1" w:rsidP="00C60343">
      <w:pPr>
        <w:pStyle w:val="TOC1"/>
      </w:pPr>
    </w:p>
    <w:p w14:paraId="643A3339" w14:textId="77777777" w:rsidR="00484EF1" w:rsidRDefault="00484EF1" w:rsidP="00C60343">
      <w:pPr>
        <w:pStyle w:val="TOC1"/>
      </w:pPr>
    </w:p>
    <w:p w14:paraId="55E1627A" w14:textId="77777777" w:rsidR="00484EF1" w:rsidRDefault="00484EF1" w:rsidP="00C60343">
      <w:pPr>
        <w:pStyle w:val="TOC1"/>
      </w:pPr>
    </w:p>
    <w:p w14:paraId="08702388" w14:textId="77777777" w:rsidR="00484EF1" w:rsidRDefault="00484EF1" w:rsidP="00C60343">
      <w:pPr>
        <w:pStyle w:val="TOC1"/>
      </w:pPr>
    </w:p>
    <w:p w14:paraId="673E2110" w14:textId="77777777" w:rsidR="00484EF1" w:rsidRDefault="00484EF1" w:rsidP="00C60343">
      <w:pPr>
        <w:pStyle w:val="TOC1"/>
      </w:pPr>
    </w:p>
    <w:p w14:paraId="43A3FC82" w14:textId="77777777" w:rsidR="00484EF1" w:rsidRDefault="00484EF1" w:rsidP="00C60343">
      <w:pPr>
        <w:pStyle w:val="TOC1"/>
      </w:pPr>
    </w:p>
    <w:p w14:paraId="72A96150" w14:textId="77777777" w:rsidR="00484EF1" w:rsidRDefault="00484EF1" w:rsidP="00C60343">
      <w:pPr>
        <w:pStyle w:val="TOC1"/>
      </w:pPr>
    </w:p>
    <w:p w14:paraId="17A43EDF" w14:textId="77777777" w:rsidR="00484EF1" w:rsidRDefault="00484EF1" w:rsidP="00C60343">
      <w:pPr>
        <w:pStyle w:val="TOC1"/>
      </w:pPr>
    </w:p>
    <w:p w14:paraId="6962264F" w14:textId="77777777" w:rsidR="00484EF1" w:rsidRDefault="00484EF1" w:rsidP="00C60343">
      <w:pPr>
        <w:pStyle w:val="TOC1"/>
      </w:pPr>
    </w:p>
    <w:p w14:paraId="2FA9F404" w14:textId="77777777" w:rsidR="00484EF1" w:rsidRDefault="00484EF1" w:rsidP="00C60343">
      <w:pPr>
        <w:pStyle w:val="TOC1"/>
      </w:pPr>
    </w:p>
    <w:p w14:paraId="5D85023B" w14:textId="77777777" w:rsidR="00484EF1" w:rsidRDefault="00484EF1" w:rsidP="00C60343">
      <w:pPr>
        <w:pStyle w:val="TOC1"/>
      </w:pPr>
    </w:p>
    <w:p w14:paraId="3D62D08A" w14:textId="77777777" w:rsidR="00290AE1" w:rsidRDefault="00290AE1" w:rsidP="00290AE1"/>
    <w:p w14:paraId="4889665E" w14:textId="77777777" w:rsidR="00290AE1" w:rsidRPr="00290AE1" w:rsidRDefault="00290AE1" w:rsidP="00290AE1"/>
    <w:p w14:paraId="493561F2" w14:textId="77777777" w:rsidR="00484EF1" w:rsidRDefault="00484EF1" w:rsidP="00C60343">
      <w:pPr>
        <w:pStyle w:val="TOC1"/>
      </w:pPr>
    </w:p>
    <w:p w14:paraId="08347708" w14:textId="77777777" w:rsidR="00484EF1" w:rsidRDefault="00484EF1" w:rsidP="00C60343">
      <w:pPr>
        <w:pStyle w:val="TOC1"/>
      </w:pPr>
    </w:p>
    <w:p w14:paraId="755E3E03" w14:textId="77777777" w:rsidR="00484EF1" w:rsidRDefault="00484EF1" w:rsidP="00C60343">
      <w:pPr>
        <w:pStyle w:val="TOC1"/>
      </w:pPr>
    </w:p>
    <w:p w14:paraId="13BEFF6D" w14:textId="77777777" w:rsidR="00484EF1" w:rsidRDefault="00484EF1" w:rsidP="00484EF1">
      <w:pPr>
        <w:contextualSpacing/>
        <w:rPr>
          <w:rFonts w:cs="Open Sans"/>
        </w:rPr>
      </w:pPr>
      <w:r>
        <w:rPr>
          <w:rFonts w:cs="Open Sans"/>
        </w:rPr>
        <w:lastRenderedPageBreak/>
        <w:t>The Hon Mark Dreyfus KC MP</w:t>
      </w:r>
    </w:p>
    <w:p w14:paraId="2159B00C" w14:textId="77777777" w:rsidR="00484EF1" w:rsidRDefault="00484EF1" w:rsidP="00484EF1">
      <w:pPr>
        <w:contextualSpacing/>
        <w:rPr>
          <w:rFonts w:cs="Open Sans"/>
        </w:rPr>
      </w:pPr>
      <w:r>
        <w:rPr>
          <w:rFonts w:cs="Open Sans"/>
        </w:rPr>
        <w:t>Attorney-General</w:t>
      </w:r>
    </w:p>
    <w:p w14:paraId="08C37FB9" w14:textId="77777777" w:rsidR="00484EF1" w:rsidRDefault="00484EF1" w:rsidP="00484EF1">
      <w:pPr>
        <w:contextualSpacing/>
        <w:rPr>
          <w:rFonts w:cs="Open Sans"/>
        </w:rPr>
      </w:pPr>
      <w:r>
        <w:rPr>
          <w:rFonts w:cs="Open Sans"/>
        </w:rPr>
        <w:t>Parliament House</w:t>
      </w:r>
    </w:p>
    <w:p w14:paraId="4F079AFF" w14:textId="77777777" w:rsidR="00484EF1" w:rsidRDefault="00484EF1" w:rsidP="00484EF1">
      <w:pPr>
        <w:contextualSpacing/>
        <w:rPr>
          <w:rFonts w:cs="Open Sans"/>
        </w:rPr>
      </w:pPr>
      <w:r>
        <w:rPr>
          <w:rFonts w:cs="Open Sans"/>
        </w:rPr>
        <w:t>Canberra ACT 2600</w:t>
      </w:r>
    </w:p>
    <w:p w14:paraId="71D20AB7" w14:textId="77777777" w:rsidR="00484EF1" w:rsidRDefault="00484EF1" w:rsidP="00484EF1">
      <w:pPr>
        <w:rPr>
          <w:rFonts w:cs="Open Sans"/>
        </w:rPr>
      </w:pPr>
    </w:p>
    <w:p w14:paraId="21F205C5" w14:textId="77777777" w:rsidR="00484EF1" w:rsidRDefault="00484EF1" w:rsidP="00484EF1">
      <w:r>
        <w:t>Dear Attorney</w:t>
      </w:r>
    </w:p>
    <w:p w14:paraId="5CD410A2" w14:textId="77777777" w:rsidR="00484EF1" w:rsidRDefault="00484EF1" w:rsidP="00484EF1">
      <w:r>
        <w:t xml:space="preserve">I have completed my report pursuant to s 11(1)(f) of the </w:t>
      </w:r>
      <w:r w:rsidRPr="00632289">
        <w:rPr>
          <w:i/>
          <w:iCs/>
        </w:rPr>
        <w:t>Australian Human Rights Commission Act 1986</w:t>
      </w:r>
      <w:r>
        <w:t xml:space="preserve"> (</w:t>
      </w:r>
      <w:proofErr w:type="spellStart"/>
      <w:r>
        <w:t>Cth</w:t>
      </w:r>
      <w:proofErr w:type="spellEnd"/>
      <w:r>
        <w:t xml:space="preserve">) (AHRC Act) into the human rights complaint of Mr BX, alleging a breach of his human rights by the Department of Home Affairs (Department). </w:t>
      </w:r>
    </w:p>
    <w:p w14:paraId="31C7A55F" w14:textId="3068AA58" w:rsidR="004C3AD7" w:rsidRPr="00EF53FB" w:rsidRDefault="004C3AD7" w:rsidP="004C3AD7">
      <w:pPr>
        <w:rPr>
          <w:rFonts w:cs="Open Sans"/>
        </w:rPr>
      </w:pPr>
      <w:r w:rsidRPr="000C5540">
        <w:rPr>
          <w:rFonts w:cs="Open Sans"/>
        </w:rPr>
        <w:t xml:space="preserve">Mr </w:t>
      </w:r>
      <w:r>
        <w:rPr>
          <w:rFonts w:cs="Open Sans"/>
        </w:rPr>
        <w:t>BX</w:t>
      </w:r>
      <w:r w:rsidRPr="000C5540">
        <w:rPr>
          <w:rFonts w:cs="Open Sans"/>
        </w:rPr>
        <w:t xml:space="preserve"> complains that</w:t>
      </w:r>
      <w:r>
        <w:rPr>
          <w:rFonts w:cs="Open Sans"/>
        </w:rPr>
        <w:t>,</w:t>
      </w:r>
      <w:r w:rsidRPr="000C5540">
        <w:rPr>
          <w:rFonts w:cs="Open Sans"/>
        </w:rPr>
        <w:t xml:space="preserve"> as a result of </w:t>
      </w:r>
      <w:r>
        <w:rPr>
          <w:rFonts w:cs="Open Sans"/>
        </w:rPr>
        <w:t xml:space="preserve">a use of force </w:t>
      </w:r>
      <w:r w:rsidRPr="000C5540">
        <w:rPr>
          <w:rFonts w:cs="Open Sans"/>
        </w:rPr>
        <w:t xml:space="preserve">by staff of Serco Australia Pty Ltd (Serco) while </w:t>
      </w:r>
      <w:r>
        <w:rPr>
          <w:rFonts w:cs="Open Sans"/>
        </w:rPr>
        <w:t xml:space="preserve">Mr BX was </w:t>
      </w:r>
      <w:r w:rsidRPr="000C5540">
        <w:rPr>
          <w:rFonts w:cs="Open Sans"/>
        </w:rPr>
        <w:t xml:space="preserve">detained at </w:t>
      </w:r>
      <w:r>
        <w:rPr>
          <w:rFonts w:cs="Open Sans"/>
        </w:rPr>
        <w:t>Villawood Immigration Detention Centre (VIDC)</w:t>
      </w:r>
      <w:r w:rsidRPr="000C5540">
        <w:rPr>
          <w:rFonts w:cs="Open Sans"/>
        </w:rPr>
        <w:t xml:space="preserve"> he </w:t>
      </w:r>
      <w:r>
        <w:rPr>
          <w:rFonts w:cs="Open Sans"/>
        </w:rPr>
        <w:t xml:space="preserve">was rendered unconscious on two separate occasions, incurring </w:t>
      </w:r>
      <w:r w:rsidR="0074485C">
        <w:rPr>
          <w:rFonts w:cs="Open Sans"/>
        </w:rPr>
        <w:t>injuries</w:t>
      </w:r>
      <w:r w:rsidR="003176BF">
        <w:rPr>
          <w:rFonts w:cs="Open Sans"/>
        </w:rPr>
        <w:t xml:space="preserve">, </w:t>
      </w:r>
      <w:r w:rsidR="00402D5B">
        <w:rPr>
          <w:rFonts w:cs="Open Sans"/>
        </w:rPr>
        <w:t>including</w:t>
      </w:r>
      <w:r w:rsidR="0032006D">
        <w:rPr>
          <w:rFonts w:cs="Open Sans"/>
        </w:rPr>
        <w:t xml:space="preserve"> nasal bone fracture</w:t>
      </w:r>
      <w:r w:rsidR="00F55B9B">
        <w:rPr>
          <w:rFonts w:cs="Open Sans"/>
        </w:rPr>
        <w:t>s</w:t>
      </w:r>
      <w:r w:rsidR="00FB5893">
        <w:rPr>
          <w:rFonts w:cs="Open Sans"/>
        </w:rPr>
        <w:t xml:space="preserve"> and</w:t>
      </w:r>
      <w:r w:rsidR="0032006D">
        <w:rPr>
          <w:rFonts w:cs="Open Sans"/>
        </w:rPr>
        <w:t xml:space="preserve"> a perforated ear drum </w:t>
      </w:r>
      <w:r w:rsidR="00FB5893">
        <w:rPr>
          <w:rFonts w:cs="Open Sans"/>
        </w:rPr>
        <w:t xml:space="preserve">in relation to </w:t>
      </w:r>
      <w:r w:rsidR="00A42AD9">
        <w:rPr>
          <w:rFonts w:cs="Open Sans"/>
        </w:rPr>
        <w:t xml:space="preserve">one of the </w:t>
      </w:r>
      <w:proofErr w:type="gramStart"/>
      <w:r w:rsidR="00A42AD9">
        <w:rPr>
          <w:rFonts w:cs="Open Sans"/>
        </w:rPr>
        <w:t>use</w:t>
      </w:r>
      <w:proofErr w:type="gramEnd"/>
      <w:r w:rsidR="00A42AD9">
        <w:rPr>
          <w:rFonts w:cs="Open Sans"/>
        </w:rPr>
        <w:t xml:space="preserve"> of force incidents</w:t>
      </w:r>
      <w:r w:rsidRPr="000C5540">
        <w:rPr>
          <w:rFonts w:cs="Open Sans"/>
        </w:rPr>
        <w:t>.</w:t>
      </w:r>
      <w:r>
        <w:rPr>
          <w:rFonts w:cs="Open Sans"/>
        </w:rPr>
        <w:t xml:space="preserve"> Consequently, </w:t>
      </w:r>
      <w:r w:rsidRPr="000C5540">
        <w:rPr>
          <w:rFonts w:cs="Open Sans"/>
        </w:rPr>
        <w:t xml:space="preserve">Mr </w:t>
      </w:r>
      <w:r>
        <w:rPr>
          <w:rFonts w:cs="Open Sans"/>
        </w:rPr>
        <w:t>BX</w:t>
      </w:r>
      <w:r w:rsidRPr="000C5540">
        <w:rPr>
          <w:rFonts w:cs="Open Sans"/>
        </w:rPr>
        <w:t xml:space="preserve"> complains that the </w:t>
      </w:r>
      <w:r>
        <w:rPr>
          <w:rFonts w:cs="Open Sans"/>
        </w:rPr>
        <w:t>force used</w:t>
      </w:r>
      <w:r w:rsidRPr="000C5540">
        <w:rPr>
          <w:rFonts w:cs="Open Sans"/>
        </w:rPr>
        <w:t xml:space="preserve"> against him contravened article 10</w:t>
      </w:r>
      <w:r>
        <w:rPr>
          <w:rFonts w:cs="Open Sans"/>
        </w:rPr>
        <w:t>(1)</w:t>
      </w:r>
      <w:r w:rsidRPr="000C5540">
        <w:rPr>
          <w:rFonts w:cs="Open Sans"/>
        </w:rPr>
        <w:t xml:space="preserve"> of the</w:t>
      </w:r>
      <w:r w:rsidRPr="000C5540">
        <w:rPr>
          <w:rFonts w:cs="Open Sans"/>
          <w:i/>
        </w:rPr>
        <w:t xml:space="preserve"> International Covenant on Civil and Political Rights</w:t>
      </w:r>
      <w:r w:rsidRPr="000C5540">
        <w:rPr>
          <w:rFonts w:cs="Open Sans"/>
        </w:rPr>
        <w:t xml:space="preserve"> (ICCPR)</w:t>
      </w:r>
      <w:r>
        <w:rPr>
          <w:rFonts w:cs="Open Sans"/>
        </w:rPr>
        <w:t>.</w:t>
      </w:r>
      <w:r>
        <w:rPr>
          <w:rFonts w:eastAsia="Times New Roman"/>
          <w:spacing w:val="-5"/>
        </w:rPr>
        <w:t xml:space="preserve"> </w:t>
      </w:r>
    </w:p>
    <w:p w14:paraId="531FFE95" w14:textId="17FCA688" w:rsidR="004C3AD7" w:rsidRDefault="004C3AD7" w:rsidP="004C3AD7">
      <w:pPr>
        <w:rPr>
          <w:rFonts w:cs="Open Sans"/>
        </w:rPr>
      </w:pPr>
      <w:r>
        <w:rPr>
          <w:rFonts w:eastAsia="Times New Roman"/>
          <w:spacing w:val="-5"/>
        </w:rPr>
        <w:t xml:space="preserve">As a result of this inquiry, I </w:t>
      </w:r>
      <w:r>
        <w:t xml:space="preserve">have found </w:t>
      </w:r>
      <w:r w:rsidRPr="003961A7">
        <w:t>that</w:t>
      </w:r>
      <w:r>
        <w:t xml:space="preserve"> the use of force </w:t>
      </w:r>
      <w:r w:rsidR="006B6918">
        <w:t xml:space="preserve">on 22 November 2020, </w:t>
      </w:r>
      <w:r>
        <w:t>was excessive, and the prolonged use of restraints on Mr BX in his subsequent transit to hospital was unreasonable and disproportionate in the circumstances. I find that these actions were inconsistent with, or contrary to Mr BX’s right under article 10(1) of the ICCPR to be treated with humanity and respect for his inherent dignity when deprived of liberty.</w:t>
      </w:r>
    </w:p>
    <w:p w14:paraId="38534BB4" w14:textId="77777777" w:rsidR="000051E8" w:rsidRDefault="00484EF1" w:rsidP="00E30EC9">
      <w:pPr>
        <w:rPr>
          <w:rFonts w:eastAsia="Times New Roman"/>
          <w:spacing w:val="-5"/>
        </w:rPr>
      </w:pPr>
      <w:r>
        <w:rPr>
          <w:rFonts w:eastAsia="Times New Roman"/>
          <w:spacing w:val="-5"/>
        </w:rPr>
        <w:t xml:space="preserve">On 25 January 2024, I provided the Department with a notice issued under s 29(2) of the AHRC Act setting out my findings and recommendations in this matter. The Department provided its response to my findings and recommendations on 12 March 2024. That response can be found in Part 10 of this report. </w:t>
      </w:r>
    </w:p>
    <w:p w14:paraId="2B724D5C" w14:textId="1EBD8AA9" w:rsidR="00290AE1" w:rsidRDefault="00484EF1" w:rsidP="00290AE1">
      <w:pPr>
        <w:rPr>
          <w:rFonts w:eastAsia="Times New Roman"/>
          <w:spacing w:val="-5"/>
        </w:rPr>
      </w:pPr>
      <w:r>
        <w:rPr>
          <w:rFonts w:eastAsia="Times New Roman"/>
          <w:spacing w:val="-5"/>
        </w:rPr>
        <w:t xml:space="preserve">I enclose a copy of my report. </w:t>
      </w:r>
    </w:p>
    <w:p w14:paraId="06AA54F5" w14:textId="68F18F73" w:rsidR="00484EF1" w:rsidRDefault="00484EF1" w:rsidP="00484EF1">
      <w:pPr>
        <w:keepNext/>
        <w:rPr>
          <w:rFonts w:eastAsia="Times New Roman"/>
          <w:spacing w:val="-5"/>
        </w:rPr>
      </w:pPr>
      <w:r>
        <w:rPr>
          <w:rFonts w:eastAsia="Times New Roman"/>
          <w:spacing w:val="-5"/>
        </w:rPr>
        <w:t>Yours sincerely,</w:t>
      </w:r>
    </w:p>
    <w:p w14:paraId="6D24F554" w14:textId="57BF9E32" w:rsidR="00E30EC9" w:rsidRDefault="726ECA0B" w:rsidP="23DDDEB2">
      <w:pPr>
        <w:keepNext/>
        <w:spacing w:line="259" w:lineRule="auto"/>
        <w:contextualSpacing/>
      </w:pPr>
      <w:r>
        <w:rPr>
          <w:noProof/>
        </w:rPr>
        <w:drawing>
          <wp:inline distT="0" distB="0" distL="0" distR="0" wp14:anchorId="172478DC" wp14:editId="5ED8BBB4">
            <wp:extent cx="2619375" cy="581025"/>
            <wp:effectExtent l="0" t="0" r="0" b="0"/>
            <wp:docPr id="806254146" name="Picture 80625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19375" cy="581025"/>
                    </a:xfrm>
                    <a:prstGeom prst="rect">
                      <a:avLst/>
                    </a:prstGeom>
                  </pic:spPr>
                </pic:pic>
              </a:graphicData>
            </a:graphic>
          </wp:inline>
        </w:drawing>
      </w:r>
      <w:r w:rsidR="00E30EC9">
        <w:br/>
      </w:r>
    </w:p>
    <w:p w14:paraId="6AA05B8D" w14:textId="1713C979" w:rsidR="00484EF1" w:rsidRPr="004B7651" w:rsidRDefault="00484EF1" w:rsidP="00484EF1">
      <w:pPr>
        <w:spacing w:line="259" w:lineRule="auto"/>
        <w:contextualSpacing/>
        <w:rPr>
          <w:rFonts w:cs="Open Sans"/>
          <w:szCs w:val="28"/>
        </w:rPr>
      </w:pPr>
      <w:r w:rsidRPr="004B7651">
        <w:rPr>
          <w:rFonts w:cs="Open Sans"/>
          <w:szCs w:val="28"/>
        </w:rPr>
        <w:t>Emeritus Professor Rosalind Croucher AM</w:t>
      </w:r>
      <w:r>
        <w:rPr>
          <w:rFonts w:cs="Open Sans"/>
          <w:szCs w:val="28"/>
        </w:rPr>
        <w:t xml:space="preserve"> FAAL</w:t>
      </w:r>
    </w:p>
    <w:p w14:paraId="24E50DF6" w14:textId="77777777" w:rsidR="00484EF1" w:rsidRPr="004B7651" w:rsidRDefault="00484EF1" w:rsidP="00484EF1">
      <w:pPr>
        <w:spacing w:line="259" w:lineRule="auto"/>
        <w:contextualSpacing/>
        <w:rPr>
          <w:rFonts w:cs="Open Sans"/>
          <w:b/>
          <w:szCs w:val="28"/>
        </w:rPr>
      </w:pPr>
      <w:r w:rsidRPr="004B7651">
        <w:rPr>
          <w:rFonts w:cs="Open Sans"/>
          <w:b/>
          <w:szCs w:val="28"/>
        </w:rPr>
        <w:t xml:space="preserve">President </w:t>
      </w:r>
    </w:p>
    <w:p w14:paraId="025552C3" w14:textId="77777777" w:rsidR="00484EF1" w:rsidRPr="00033A73" w:rsidRDefault="00484EF1" w:rsidP="00484EF1">
      <w:pPr>
        <w:spacing w:line="259" w:lineRule="auto"/>
        <w:contextualSpacing/>
        <w:rPr>
          <w:rFonts w:cs="Open Sans"/>
          <w:szCs w:val="28"/>
        </w:rPr>
      </w:pPr>
      <w:r w:rsidRPr="004B7651">
        <w:rPr>
          <w:rFonts w:cs="Open Sans"/>
          <w:szCs w:val="28"/>
        </w:rPr>
        <w:t>Australian Human Rights Commission</w:t>
      </w:r>
      <w:r>
        <w:rPr>
          <w:rFonts w:cs="Open Sans"/>
          <w:szCs w:val="28"/>
        </w:rPr>
        <w:br/>
      </w:r>
      <w:r>
        <w:rPr>
          <w:rFonts w:cs="Open Sans"/>
        </w:rPr>
        <w:t>April</w:t>
      </w:r>
      <w:r w:rsidRPr="00A0069E">
        <w:rPr>
          <w:rFonts w:cs="Open Sans"/>
        </w:rPr>
        <w:t xml:space="preserve"> 2024</w:t>
      </w:r>
    </w:p>
    <w:p w14:paraId="285359A9" w14:textId="77777777" w:rsidR="00484EF1" w:rsidRDefault="00484EF1" w:rsidP="004C3AD7">
      <w:pPr>
        <w:pStyle w:val="TOC1"/>
        <w:ind w:left="0" w:firstLine="0"/>
      </w:pPr>
    </w:p>
    <w:p w14:paraId="30265E9E" w14:textId="77777777" w:rsidR="000051E8" w:rsidRDefault="000051E8" w:rsidP="000051E8"/>
    <w:p w14:paraId="01B950CB" w14:textId="77777777" w:rsidR="000051E8" w:rsidRDefault="000051E8" w:rsidP="000051E8"/>
    <w:p w14:paraId="2498A48E" w14:textId="77777777" w:rsidR="00290AE1" w:rsidRPr="000051E8" w:rsidRDefault="00290AE1" w:rsidP="000051E8"/>
    <w:p w14:paraId="1990918B" w14:textId="77777777" w:rsidR="00A51863" w:rsidRDefault="000B5B68" w:rsidP="00C60343">
      <w:pPr>
        <w:pStyle w:val="TOC1"/>
      </w:pPr>
      <w:r>
        <w:t>Contents</w:t>
      </w:r>
      <w:r w:rsidRPr="000465F1">
        <w:fldChar w:fldCharType="begin"/>
      </w:r>
      <w:r>
        <w:instrText xml:space="preserve"> TOC \o "1-3" \h \z \u </w:instrText>
      </w:r>
      <w:r w:rsidRPr="000465F1">
        <w:fldChar w:fldCharType="separate"/>
      </w:r>
    </w:p>
    <w:p w14:paraId="5A2C4FB8" w14:textId="3F580FD4" w:rsidR="00A51863" w:rsidRDefault="00000000">
      <w:pPr>
        <w:pStyle w:val="TOC1"/>
        <w:rPr>
          <w:rFonts w:asciiTheme="minorHAnsi" w:eastAsiaTheme="minorEastAsia" w:hAnsiTheme="minorHAnsi" w:cstheme="minorBidi"/>
          <w:b w:val="0"/>
          <w:kern w:val="2"/>
          <w14:ligatures w14:val="standardContextual"/>
        </w:rPr>
      </w:pPr>
      <w:hyperlink w:anchor="_Toc164768967" w:history="1">
        <w:r w:rsidR="00A51863" w:rsidRPr="002013A3">
          <w:rPr>
            <w:rStyle w:val="Hyperlink"/>
          </w:rPr>
          <w:t>1</w:t>
        </w:r>
        <w:r w:rsidR="00A51863">
          <w:rPr>
            <w:rFonts w:asciiTheme="minorHAnsi" w:eastAsiaTheme="minorEastAsia" w:hAnsiTheme="minorHAnsi" w:cstheme="minorBidi"/>
            <w:b w:val="0"/>
            <w:kern w:val="2"/>
            <w14:ligatures w14:val="standardContextual"/>
          </w:rPr>
          <w:tab/>
        </w:r>
        <w:r w:rsidR="00A51863" w:rsidRPr="002013A3">
          <w:rPr>
            <w:rStyle w:val="Hyperlink"/>
          </w:rPr>
          <w:t>Introduction</w:t>
        </w:r>
        <w:r w:rsidR="00A51863">
          <w:rPr>
            <w:webHidden/>
          </w:rPr>
          <w:tab/>
        </w:r>
        <w:r w:rsidR="00D07C57">
          <w:rPr>
            <w:webHidden/>
          </w:rPr>
          <w:t>5</w:t>
        </w:r>
      </w:hyperlink>
    </w:p>
    <w:p w14:paraId="70FB37F5" w14:textId="0BEDDAA3" w:rsidR="00A51863" w:rsidRDefault="00000000">
      <w:pPr>
        <w:pStyle w:val="TOC1"/>
        <w:rPr>
          <w:rFonts w:asciiTheme="minorHAnsi" w:eastAsiaTheme="minorEastAsia" w:hAnsiTheme="minorHAnsi" w:cstheme="minorBidi"/>
          <w:b w:val="0"/>
          <w:kern w:val="2"/>
          <w14:ligatures w14:val="standardContextual"/>
        </w:rPr>
      </w:pPr>
      <w:hyperlink w:anchor="_Toc164768968" w:history="1">
        <w:r w:rsidR="00A51863" w:rsidRPr="002013A3">
          <w:rPr>
            <w:rStyle w:val="Hyperlink"/>
          </w:rPr>
          <w:t>2</w:t>
        </w:r>
        <w:r w:rsidR="00A51863">
          <w:rPr>
            <w:rFonts w:asciiTheme="minorHAnsi" w:eastAsiaTheme="minorEastAsia" w:hAnsiTheme="minorHAnsi" w:cstheme="minorBidi"/>
            <w:b w:val="0"/>
            <w:kern w:val="2"/>
            <w14:ligatures w14:val="standardContextual"/>
          </w:rPr>
          <w:tab/>
        </w:r>
        <w:r w:rsidR="00A51863" w:rsidRPr="002013A3">
          <w:rPr>
            <w:rStyle w:val="Hyperlink"/>
          </w:rPr>
          <w:t>Summary of findings and recommendations</w:t>
        </w:r>
        <w:r w:rsidR="00A51863">
          <w:rPr>
            <w:webHidden/>
          </w:rPr>
          <w:tab/>
        </w:r>
        <w:r w:rsidR="00D07C57">
          <w:rPr>
            <w:webHidden/>
          </w:rPr>
          <w:t>5</w:t>
        </w:r>
      </w:hyperlink>
    </w:p>
    <w:p w14:paraId="709EA458" w14:textId="185DFEBE" w:rsidR="00A51863" w:rsidRDefault="00000000">
      <w:pPr>
        <w:pStyle w:val="TOC1"/>
        <w:rPr>
          <w:rFonts w:asciiTheme="minorHAnsi" w:eastAsiaTheme="minorEastAsia" w:hAnsiTheme="minorHAnsi" w:cstheme="minorBidi"/>
          <w:b w:val="0"/>
          <w:kern w:val="2"/>
          <w14:ligatures w14:val="standardContextual"/>
        </w:rPr>
      </w:pPr>
      <w:hyperlink w:anchor="_Toc164768969" w:history="1">
        <w:r w:rsidR="00A51863" w:rsidRPr="002013A3">
          <w:rPr>
            <w:rStyle w:val="Hyperlink"/>
          </w:rPr>
          <w:t>3</w:t>
        </w:r>
        <w:r w:rsidR="00A51863">
          <w:rPr>
            <w:rFonts w:asciiTheme="minorHAnsi" w:eastAsiaTheme="minorEastAsia" w:hAnsiTheme="minorHAnsi" w:cstheme="minorBidi"/>
            <w:b w:val="0"/>
            <w:kern w:val="2"/>
            <w14:ligatures w14:val="standardContextual"/>
          </w:rPr>
          <w:tab/>
        </w:r>
        <w:r w:rsidR="00A51863" w:rsidRPr="002013A3">
          <w:rPr>
            <w:rStyle w:val="Hyperlink"/>
            <w:rFonts w:cs="Open Sans"/>
          </w:rPr>
          <w:t>Background</w:t>
        </w:r>
        <w:r w:rsidR="00A51863">
          <w:rPr>
            <w:webHidden/>
          </w:rPr>
          <w:tab/>
        </w:r>
        <w:r w:rsidR="00D07C57">
          <w:rPr>
            <w:webHidden/>
          </w:rPr>
          <w:t>6</w:t>
        </w:r>
      </w:hyperlink>
    </w:p>
    <w:p w14:paraId="1113A501" w14:textId="1FACF621" w:rsidR="00A51863" w:rsidRDefault="00000000">
      <w:pPr>
        <w:pStyle w:val="TOC2"/>
        <w:rPr>
          <w:rFonts w:asciiTheme="minorHAnsi" w:eastAsiaTheme="minorEastAsia" w:hAnsiTheme="minorHAnsi" w:cstheme="minorBidi"/>
          <w:b w:val="0"/>
          <w:i w:val="0"/>
          <w:kern w:val="2"/>
          <w14:ligatures w14:val="standardContextual"/>
        </w:rPr>
      </w:pPr>
      <w:hyperlink w:anchor="_Toc164768970" w:history="1">
        <w:r w:rsidR="00A51863" w:rsidRPr="002013A3">
          <w:rPr>
            <w:rStyle w:val="Hyperlink"/>
          </w:rPr>
          <w:t>3.1</w:t>
        </w:r>
        <w:r w:rsidR="00A51863">
          <w:rPr>
            <w:rFonts w:asciiTheme="minorHAnsi" w:eastAsiaTheme="minorEastAsia" w:hAnsiTheme="minorHAnsi" w:cstheme="minorBidi"/>
            <w:b w:val="0"/>
            <w:i w:val="0"/>
            <w:kern w:val="2"/>
            <w14:ligatures w14:val="standardContextual"/>
          </w:rPr>
          <w:tab/>
        </w:r>
        <w:r w:rsidR="00A51863" w:rsidRPr="002013A3">
          <w:rPr>
            <w:rStyle w:val="Hyperlink"/>
          </w:rPr>
          <w:t>Immigration detention</w:t>
        </w:r>
        <w:r w:rsidR="00A51863">
          <w:rPr>
            <w:webHidden/>
          </w:rPr>
          <w:tab/>
        </w:r>
        <w:r w:rsidR="00D07C57">
          <w:rPr>
            <w:webHidden/>
          </w:rPr>
          <w:t>6</w:t>
        </w:r>
      </w:hyperlink>
    </w:p>
    <w:p w14:paraId="39ADD388" w14:textId="09A07802" w:rsidR="00A51863" w:rsidRDefault="00000000">
      <w:pPr>
        <w:pStyle w:val="TOC2"/>
        <w:rPr>
          <w:rFonts w:asciiTheme="minorHAnsi" w:eastAsiaTheme="minorEastAsia" w:hAnsiTheme="minorHAnsi" w:cstheme="minorBidi"/>
          <w:b w:val="0"/>
          <w:i w:val="0"/>
          <w:kern w:val="2"/>
          <w14:ligatures w14:val="standardContextual"/>
        </w:rPr>
      </w:pPr>
      <w:hyperlink w:anchor="_Toc164768971" w:history="1">
        <w:r w:rsidR="00A51863" w:rsidRPr="002013A3">
          <w:rPr>
            <w:rStyle w:val="Hyperlink"/>
          </w:rPr>
          <w:t>3.2</w:t>
        </w:r>
        <w:r w:rsidR="00A51863">
          <w:rPr>
            <w:rFonts w:asciiTheme="minorHAnsi" w:eastAsiaTheme="minorEastAsia" w:hAnsiTheme="minorHAnsi" w:cstheme="minorBidi"/>
            <w:b w:val="0"/>
            <w:i w:val="0"/>
            <w:kern w:val="2"/>
            <w14:ligatures w14:val="standardContextual"/>
          </w:rPr>
          <w:tab/>
        </w:r>
        <w:r w:rsidR="00A51863" w:rsidRPr="002013A3">
          <w:rPr>
            <w:rStyle w:val="Hyperlink"/>
          </w:rPr>
          <w:t>Events of 22 July 2020</w:t>
        </w:r>
        <w:r w:rsidR="00A51863">
          <w:rPr>
            <w:webHidden/>
          </w:rPr>
          <w:tab/>
        </w:r>
        <w:r w:rsidR="00D07C57">
          <w:rPr>
            <w:webHidden/>
          </w:rPr>
          <w:t>7</w:t>
        </w:r>
      </w:hyperlink>
    </w:p>
    <w:p w14:paraId="5C98DCC6" w14:textId="6AF9A4DB" w:rsidR="00A51863" w:rsidRDefault="00000000">
      <w:pPr>
        <w:pStyle w:val="TOC2"/>
        <w:rPr>
          <w:rFonts w:asciiTheme="minorHAnsi" w:eastAsiaTheme="minorEastAsia" w:hAnsiTheme="minorHAnsi" w:cstheme="minorBidi"/>
          <w:b w:val="0"/>
          <w:i w:val="0"/>
          <w:kern w:val="2"/>
          <w14:ligatures w14:val="standardContextual"/>
        </w:rPr>
      </w:pPr>
      <w:hyperlink w:anchor="_Toc164768972" w:history="1">
        <w:r w:rsidR="00A51863" w:rsidRPr="002013A3">
          <w:rPr>
            <w:rStyle w:val="Hyperlink"/>
          </w:rPr>
          <w:t>3.3</w:t>
        </w:r>
        <w:r w:rsidR="00A51863">
          <w:rPr>
            <w:rFonts w:asciiTheme="minorHAnsi" w:eastAsiaTheme="minorEastAsia" w:hAnsiTheme="minorHAnsi" w:cstheme="minorBidi"/>
            <w:b w:val="0"/>
            <w:i w:val="0"/>
            <w:kern w:val="2"/>
            <w14:ligatures w14:val="standardContextual"/>
          </w:rPr>
          <w:tab/>
        </w:r>
        <w:r w:rsidR="00A51863" w:rsidRPr="002013A3">
          <w:rPr>
            <w:rStyle w:val="Hyperlink"/>
          </w:rPr>
          <w:t>Events of 22 November 2020</w:t>
        </w:r>
        <w:r w:rsidR="00A51863">
          <w:rPr>
            <w:webHidden/>
          </w:rPr>
          <w:tab/>
        </w:r>
        <w:r w:rsidR="00D07C57">
          <w:rPr>
            <w:webHidden/>
          </w:rPr>
          <w:t>8</w:t>
        </w:r>
      </w:hyperlink>
    </w:p>
    <w:p w14:paraId="6F5A85FF" w14:textId="4DE976D6" w:rsidR="00A51863" w:rsidRDefault="00000000">
      <w:pPr>
        <w:pStyle w:val="TOC1"/>
        <w:rPr>
          <w:rFonts w:asciiTheme="minorHAnsi" w:eastAsiaTheme="minorEastAsia" w:hAnsiTheme="minorHAnsi" w:cstheme="minorBidi"/>
          <w:b w:val="0"/>
          <w:kern w:val="2"/>
          <w14:ligatures w14:val="standardContextual"/>
        </w:rPr>
      </w:pPr>
      <w:hyperlink w:anchor="_Toc164768973" w:history="1">
        <w:r w:rsidR="00A51863" w:rsidRPr="002013A3">
          <w:rPr>
            <w:rStyle w:val="Hyperlink"/>
          </w:rPr>
          <w:t>4</w:t>
        </w:r>
        <w:r w:rsidR="00A51863">
          <w:rPr>
            <w:rFonts w:asciiTheme="minorHAnsi" w:eastAsiaTheme="minorEastAsia" w:hAnsiTheme="minorHAnsi" w:cstheme="minorBidi"/>
            <w:b w:val="0"/>
            <w:kern w:val="2"/>
            <w14:ligatures w14:val="standardContextual"/>
          </w:rPr>
          <w:tab/>
        </w:r>
        <w:r w:rsidR="00A51863" w:rsidRPr="002013A3">
          <w:rPr>
            <w:rStyle w:val="Hyperlink"/>
          </w:rPr>
          <w:t>Legal framework for human rights inquiry</w:t>
        </w:r>
        <w:r w:rsidR="00A51863">
          <w:rPr>
            <w:webHidden/>
          </w:rPr>
          <w:tab/>
        </w:r>
        <w:r w:rsidR="00A51863">
          <w:rPr>
            <w:webHidden/>
          </w:rPr>
          <w:fldChar w:fldCharType="begin"/>
        </w:r>
        <w:r w:rsidR="00A51863">
          <w:rPr>
            <w:webHidden/>
          </w:rPr>
          <w:instrText xml:space="preserve"> PAGEREF _Toc164768973 \h </w:instrText>
        </w:r>
        <w:r w:rsidR="00A51863">
          <w:rPr>
            <w:webHidden/>
          </w:rPr>
        </w:r>
        <w:r w:rsidR="00A51863">
          <w:rPr>
            <w:webHidden/>
          </w:rPr>
          <w:fldChar w:fldCharType="separate"/>
        </w:r>
        <w:r w:rsidR="00F34A0D">
          <w:rPr>
            <w:webHidden/>
          </w:rPr>
          <w:t>10</w:t>
        </w:r>
        <w:r w:rsidR="00A51863">
          <w:rPr>
            <w:webHidden/>
          </w:rPr>
          <w:fldChar w:fldCharType="end"/>
        </w:r>
      </w:hyperlink>
    </w:p>
    <w:p w14:paraId="7ED38151" w14:textId="788538E6" w:rsidR="00A51863" w:rsidRDefault="00000000">
      <w:pPr>
        <w:pStyle w:val="TOC2"/>
        <w:rPr>
          <w:rFonts w:asciiTheme="minorHAnsi" w:eastAsiaTheme="minorEastAsia" w:hAnsiTheme="minorHAnsi" w:cstheme="minorBidi"/>
          <w:b w:val="0"/>
          <w:i w:val="0"/>
          <w:kern w:val="2"/>
          <w14:ligatures w14:val="standardContextual"/>
        </w:rPr>
      </w:pPr>
      <w:hyperlink w:anchor="_Toc164768974" w:history="1">
        <w:r w:rsidR="00A51863" w:rsidRPr="002013A3">
          <w:rPr>
            <w:rStyle w:val="Hyperlink"/>
          </w:rPr>
          <w:t>4.1</w:t>
        </w:r>
        <w:r w:rsidR="00A51863">
          <w:rPr>
            <w:rFonts w:asciiTheme="minorHAnsi" w:eastAsiaTheme="minorEastAsia" w:hAnsiTheme="minorHAnsi" w:cstheme="minorBidi"/>
            <w:b w:val="0"/>
            <w:i w:val="0"/>
            <w:kern w:val="2"/>
            <w14:ligatures w14:val="standardContextual"/>
          </w:rPr>
          <w:tab/>
        </w:r>
        <w:r w:rsidR="00A51863" w:rsidRPr="002013A3">
          <w:rPr>
            <w:rStyle w:val="Hyperlink"/>
          </w:rPr>
          <w:t>Functions of the Commission</w:t>
        </w:r>
        <w:r w:rsidR="00A51863">
          <w:rPr>
            <w:webHidden/>
          </w:rPr>
          <w:tab/>
        </w:r>
        <w:r w:rsidR="00A51863">
          <w:rPr>
            <w:webHidden/>
          </w:rPr>
          <w:fldChar w:fldCharType="begin"/>
        </w:r>
        <w:r w:rsidR="00A51863">
          <w:rPr>
            <w:webHidden/>
          </w:rPr>
          <w:instrText xml:space="preserve"> PAGEREF _Toc164768974 \h </w:instrText>
        </w:r>
        <w:r w:rsidR="00A51863">
          <w:rPr>
            <w:webHidden/>
          </w:rPr>
        </w:r>
        <w:r w:rsidR="00A51863">
          <w:rPr>
            <w:webHidden/>
          </w:rPr>
          <w:fldChar w:fldCharType="separate"/>
        </w:r>
        <w:r w:rsidR="00F34A0D">
          <w:rPr>
            <w:webHidden/>
          </w:rPr>
          <w:t>10</w:t>
        </w:r>
        <w:r w:rsidR="00A51863">
          <w:rPr>
            <w:webHidden/>
          </w:rPr>
          <w:fldChar w:fldCharType="end"/>
        </w:r>
      </w:hyperlink>
    </w:p>
    <w:p w14:paraId="13150008" w14:textId="482E8C3A" w:rsidR="00A51863" w:rsidRDefault="00000000">
      <w:pPr>
        <w:pStyle w:val="TOC2"/>
        <w:rPr>
          <w:rFonts w:asciiTheme="minorHAnsi" w:eastAsiaTheme="minorEastAsia" w:hAnsiTheme="minorHAnsi" w:cstheme="minorBidi"/>
          <w:b w:val="0"/>
          <w:i w:val="0"/>
          <w:kern w:val="2"/>
          <w14:ligatures w14:val="standardContextual"/>
        </w:rPr>
      </w:pPr>
      <w:hyperlink w:anchor="_Toc164768975" w:history="1">
        <w:r w:rsidR="00A51863" w:rsidRPr="002013A3">
          <w:rPr>
            <w:rStyle w:val="Hyperlink"/>
          </w:rPr>
          <w:t>4.2</w:t>
        </w:r>
        <w:r w:rsidR="00A51863">
          <w:rPr>
            <w:rFonts w:asciiTheme="minorHAnsi" w:eastAsiaTheme="minorEastAsia" w:hAnsiTheme="minorHAnsi" w:cstheme="minorBidi"/>
            <w:b w:val="0"/>
            <w:i w:val="0"/>
            <w:kern w:val="2"/>
            <w14:ligatures w14:val="standardContextual"/>
          </w:rPr>
          <w:tab/>
        </w:r>
        <w:r w:rsidR="00A51863" w:rsidRPr="002013A3">
          <w:rPr>
            <w:rStyle w:val="Hyperlink"/>
          </w:rPr>
          <w:t>Scope of ‘act’ and ‘practice’</w:t>
        </w:r>
        <w:r w:rsidR="00A51863">
          <w:rPr>
            <w:webHidden/>
          </w:rPr>
          <w:tab/>
        </w:r>
        <w:r w:rsidR="00A51863">
          <w:rPr>
            <w:webHidden/>
          </w:rPr>
          <w:fldChar w:fldCharType="begin"/>
        </w:r>
        <w:r w:rsidR="00A51863">
          <w:rPr>
            <w:webHidden/>
          </w:rPr>
          <w:instrText xml:space="preserve"> PAGEREF _Toc164768975 \h </w:instrText>
        </w:r>
        <w:r w:rsidR="00A51863">
          <w:rPr>
            <w:webHidden/>
          </w:rPr>
        </w:r>
        <w:r w:rsidR="00A51863">
          <w:rPr>
            <w:webHidden/>
          </w:rPr>
          <w:fldChar w:fldCharType="separate"/>
        </w:r>
        <w:r w:rsidR="00F34A0D">
          <w:rPr>
            <w:webHidden/>
          </w:rPr>
          <w:t>10</w:t>
        </w:r>
        <w:r w:rsidR="00A51863">
          <w:rPr>
            <w:webHidden/>
          </w:rPr>
          <w:fldChar w:fldCharType="end"/>
        </w:r>
      </w:hyperlink>
    </w:p>
    <w:p w14:paraId="27AEF345" w14:textId="2543C957" w:rsidR="00A51863" w:rsidRDefault="00000000">
      <w:pPr>
        <w:pStyle w:val="TOC2"/>
        <w:rPr>
          <w:rFonts w:asciiTheme="minorHAnsi" w:eastAsiaTheme="minorEastAsia" w:hAnsiTheme="minorHAnsi" w:cstheme="minorBidi"/>
          <w:b w:val="0"/>
          <w:i w:val="0"/>
          <w:kern w:val="2"/>
          <w14:ligatures w14:val="standardContextual"/>
        </w:rPr>
      </w:pPr>
      <w:hyperlink w:anchor="_Toc164768976" w:history="1">
        <w:r w:rsidR="00A51863" w:rsidRPr="002013A3">
          <w:rPr>
            <w:rStyle w:val="Hyperlink"/>
          </w:rPr>
          <w:t>4.3</w:t>
        </w:r>
        <w:r w:rsidR="00A51863">
          <w:rPr>
            <w:rFonts w:asciiTheme="minorHAnsi" w:eastAsiaTheme="minorEastAsia" w:hAnsiTheme="minorHAnsi" w:cstheme="minorBidi"/>
            <w:b w:val="0"/>
            <w:i w:val="0"/>
            <w:kern w:val="2"/>
            <w14:ligatures w14:val="standardContextual"/>
          </w:rPr>
          <w:tab/>
        </w:r>
        <w:r w:rsidR="00A51863" w:rsidRPr="002013A3">
          <w:rPr>
            <w:rStyle w:val="Hyperlink"/>
          </w:rPr>
          <w:t>Rig</w:t>
        </w:r>
        <w:r w:rsidR="00A51863" w:rsidRPr="002013A3">
          <w:rPr>
            <w:rStyle w:val="Hyperlink"/>
          </w:rPr>
          <w:t>h</w:t>
        </w:r>
        <w:r w:rsidR="00A51863" w:rsidRPr="002013A3">
          <w:rPr>
            <w:rStyle w:val="Hyperlink"/>
          </w:rPr>
          <w:t>t of detainees</w:t>
        </w:r>
        <w:r w:rsidR="00A51863">
          <w:rPr>
            <w:webHidden/>
          </w:rPr>
          <w:tab/>
        </w:r>
        <w:r w:rsidR="00A51863">
          <w:rPr>
            <w:webHidden/>
          </w:rPr>
          <w:fldChar w:fldCharType="begin"/>
        </w:r>
        <w:r w:rsidR="00A51863">
          <w:rPr>
            <w:webHidden/>
          </w:rPr>
          <w:instrText xml:space="preserve"> PAGEREF _Toc164768976 \h </w:instrText>
        </w:r>
        <w:r w:rsidR="00A51863">
          <w:rPr>
            <w:webHidden/>
          </w:rPr>
        </w:r>
        <w:r w:rsidR="00A51863">
          <w:rPr>
            <w:webHidden/>
          </w:rPr>
          <w:fldChar w:fldCharType="separate"/>
        </w:r>
        <w:r w:rsidR="00F34A0D">
          <w:rPr>
            <w:webHidden/>
          </w:rPr>
          <w:t>10</w:t>
        </w:r>
        <w:r w:rsidR="00A51863">
          <w:rPr>
            <w:webHidden/>
          </w:rPr>
          <w:fldChar w:fldCharType="end"/>
        </w:r>
      </w:hyperlink>
    </w:p>
    <w:p w14:paraId="7DB77907" w14:textId="0D8229DC" w:rsidR="00A51863" w:rsidRDefault="00000000">
      <w:pPr>
        <w:pStyle w:val="TOC1"/>
        <w:rPr>
          <w:rFonts w:asciiTheme="minorHAnsi" w:eastAsiaTheme="minorEastAsia" w:hAnsiTheme="minorHAnsi" w:cstheme="minorBidi"/>
          <w:b w:val="0"/>
          <w:kern w:val="2"/>
          <w14:ligatures w14:val="standardContextual"/>
        </w:rPr>
      </w:pPr>
      <w:hyperlink w:anchor="_Toc164768977" w:history="1">
        <w:r w:rsidR="00A51863" w:rsidRPr="002013A3">
          <w:rPr>
            <w:rStyle w:val="Hyperlink"/>
          </w:rPr>
          <w:t>5</w:t>
        </w:r>
        <w:r w:rsidR="00A51863">
          <w:rPr>
            <w:rFonts w:asciiTheme="minorHAnsi" w:eastAsiaTheme="minorEastAsia" w:hAnsiTheme="minorHAnsi" w:cstheme="minorBidi"/>
            <w:b w:val="0"/>
            <w:kern w:val="2"/>
            <w14:ligatures w14:val="standardContextual"/>
          </w:rPr>
          <w:tab/>
        </w:r>
        <w:r w:rsidR="00A51863" w:rsidRPr="002013A3">
          <w:rPr>
            <w:rStyle w:val="Hyperlink"/>
          </w:rPr>
          <w:t>Legal framework for use of force in immigration detention</w:t>
        </w:r>
        <w:r w:rsidR="00A51863">
          <w:rPr>
            <w:webHidden/>
          </w:rPr>
          <w:tab/>
        </w:r>
        <w:r w:rsidR="00A51863">
          <w:rPr>
            <w:webHidden/>
          </w:rPr>
          <w:fldChar w:fldCharType="begin"/>
        </w:r>
        <w:r w:rsidR="00A51863">
          <w:rPr>
            <w:webHidden/>
          </w:rPr>
          <w:instrText xml:space="preserve"> PAGEREF _Toc164768977 \h </w:instrText>
        </w:r>
        <w:r w:rsidR="00A51863">
          <w:rPr>
            <w:webHidden/>
          </w:rPr>
        </w:r>
        <w:r w:rsidR="00A51863">
          <w:rPr>
            <w:webHidden/>
          </w:rPr>
          <w:fldChar w:fldCharType="separate"/>
        </w:r>
        <w:r w:rsidR="00F34A0D">
          <w:rPr>
            <w:webHidden/>
          </w:rPr>
          <w:t>12</w:t>
        </w:r>
        <w:r w:rsidR="00A51863">
          <w:rPr>
            <w:webHidden/>
          </w:rPr>
          <w:fldChar w:fldCharType="end"/>
        </w:r>
      </w:hyperlink>
    </w:p>
    <w:p w14:paraId="02AAEF04" w14:textId="0DD6FBDC" w:rsidR="00A51863" w:rsidRDefault="00000000">
      <w:pPr>
        <w:pStyle w:val="TOC1"/>
        <w:rPr>
          <w:rFonts w:asciiTheme="minorHAnsi" w:eastAsiaTheme="minorEastAsia" w:hAnsiTheme="minorHAnsi" w:cstheme="minorBidi"/>
          <w:b w:val="0"/>
          <w:kern w:val="2"/>
          <w14:ligatures w14:val="standardContextual"/>
        </w:rPr>
      </w:pPr>
      <w:hyperlink w:anchor="_Toc164768978" w:history="1">
        <w:r w:rsidR="00A51863" w:rsidRPr="002013A3">
          <w:rPr>
            <w:rStyle w:val="Hyperlink"/>
          </w:rPr>
          <w:t>6</w:t>
        </w:r>
        <w:r w:rsidR="00A51863">
          <w:rPr>
            <w:rFonts w:asciiTheme="minorHAnsi" w:eastAsiaTheme="minorEastAsia" w:hAnsiTheme="minorHAnsi" w:cstheme="minorBidi"/>
            <w:b w:val="0"/>
            <w:kern w:val="2"/>
            <w14:ligatures w14:val="standardContextual"/>
          </w:rPr>
          <w:tab/>
        </w:r>
        <w:r w:rsidR="00A51863" w:rsidRPr="002013A3">
          <w:rPr>
            <w:rStyle w:val="Hyperlink"/>
          </w:rPr>
          <w:t>Act or practice of the Commonwealth</w:t>
        </w:r>
        <w:r w:rsidR="00A51863">
          <w:rPr>
            <w:webHidden/>
          </w:rPr>
          <w:tab/>
        </w:r>
        <w:r w:rsidR="00A51863">
          <w:rPr>
            <w:webHidden/>
          </w:rPr>
          <w:fldChar w:fldCharType="begin"/>
        </w:r>
        <w:r w:rsidR="00A51863">
          <w:rPr>
            <w:webHidden/>
          </w:rPr>
          <w:instrText xml:space="preserve"> PAGEREF _Toc164768978 \h </w:instrText>
        </w:r>
        <w:r w:rsidR="00A51863">
          <w:rPr>
            <w:webHidden/>
          </w:rPr>
        </w:r>
        <w:r w:rsidR="00A51863">
          <w:rPr>
            <w:webHidden/>
          </w:rPr>
          <w:fldChar w:fldCharType="separate"/>
        </w:r>
        <w:r w:rsidR="00F34A0D">
          <w:rPr>
            <w:webHidden/>
          </w:rPr>
          <w:t>14</w:t>
        </w:r>
        <w:r w:rsidR="00A51863">
          <w:rPr>
            <w:webHidden/>
          </w:rPr>
          <w:fldChar w:fldCharType="end"/>
        </w:r>
      </w:hyperlink>
    </w:p>
    <w:p w14:paraId="72A02E76" w14:textId="1A15C4EA" w:rsidR="00A51863" w:rsidRDefault="00000000">
      <w:pPr>
        <w:pStyle w:val="TOC1"/>
        <w:rPr>
          <w:rFonts w:asciiTheme="minorHAnsi" w:eastAsiaTheme="minorEastAsia" w:hAnsiTheme="minorHAnsi" w:cstheme="minorBidi"/>
          <w:b w:val="0"/>
          <w:kern w:val="2"/>
          <w14:ligatures w14:val="standardContextual"/>
        </w:rPr>
      </w:pPr>
      <w:hyperlink w:anchor="_Toc164768979" w:history="1">
        <w:r w:rsidR="00A51863" w:rsidRPr="002013A3">
          <w:rPr>
            <w:rStyle w:val="Hyperlink"/>
          </w:rPr>
          <w:t>7</w:t>
        </w:r>
        <w:r w:rsidR="00A51863">
          <w:rPr>
            <w:rFonts w:asciiTheme="minorHAnsi" w:eastAsiaTheme="minorEastAsia" w:hAnsiTheme="minorHAnsi" w:cstheme="minorBidi"/>
            <w:b w:val="0"/>
            <w:kern w:val="2"/>
            <w14:ligatures w14:val="standardContextual"/>
          </w:rPr>
          <w:tab/>
        </w:r>
        <w:r w:rsidR="00A51863" w:rsidRPr="002013A3">
          <w:rPr>
            <w:rStyle w:val="Hyperlink"/>
          </w:rPr>
          <w:t>Consideration of records of incidents</w:t>
        </w:r>
        <w:r w:rsidR="00A51863">
          <w:rPr>
            <w:webHidden/>
          </w:rPr>
          <w:tab/>
        </w:r>
        <w:r w:rsidR="00A51863">
          <w:rPr>
            <w:webHidden/>
          </w:rPr>
          <w:fldChar w:fldCharType="begin"/>
        </w:r>
        <w:r w:rsidR="00A51863">
          <w:rPr>
            <w:webHidden/>
          </w:rPr>
          <w:instrText xml:space="preserve"> PAGEREF _Toc164768979 \h </w:instrText>
        </w:r>
        <w:r w:rsidR="00A51863">
          <w:rPr>
            <w:webHidden/>
          </w:rPr>
        </w:r>
        <w:r w:rsidR="00A51863">
          <w:rPr>
            <w:webHidden/>
          </w:rPr>
          <w:fldChar w:fldCharType="separate"/>
        </w:r>
        <w:r w:rsidR="00F34A0D">
          <w:rPr>
            <w:webHidden/>
          </w:rPr>
          <w:t>14</w:t>
        </w:r>
        <w:r w:rsidR="00A51863">
          <w:rPr>
            <w:webHidden/>
          </w:rPr>
          <w:fldChar w:fldCharType="end"/>
        </w:r>
      </w:hyperlink>
    </w:p>
    <w:p w14:paraId="0623660D" w14:textId="5BCC99AC" w:rsidR="00A51863" w:rsidRDefault="00000000">
      <w:pPr>
        <w:pStyle w:val="TOC2"/>
        <w:rPr>
          <w:rFonts w:asciiTheme="minorHAnsi" w:eastAsiaTheme="minorEastAsia" w:hAnsiTheme="minorHAnsi" w:cstheme="minorBidi"/>
          <w:b w:val="0"/>
          <w:i w:val="0"/>
          <w:kern w:val="2"/>
          <w14:ligatures w14:val="standardContextual"/>
        </w:rPr>
      </w:pPr>
      <w:hyperlink w:anchor="_Toc164768980" w:history="1">
        <w:r w:rsidR="00A51863" w:rsidRPr="002013A3">
          <w:rPr>
            <w:rStyle w:val="Hyperlink"/>
          </w:rPr>
          <w:t>7.1</w:t>
        </w:r>
        <w:r w:rsidR="00A51863">
          <w:rPr>
            <w:rFonts w:asciiTheme="minorHAnsi" w:eastAsiaTheme="minorEastAsia" w:hAnsiTheme="minorHAnsi" w:cstheme="minorBidi"/>
            <w:b w:val="0"/>
            <w:i w:val="0"/>
            <w:kern w:val="2"/>
            <w14:ligatures w14:val="standardContextual"/>
          </w:rPr>
          <w:tab/>
        </w:r>
        <w:r w:rsidR="00A51863" w:rsidRPr="002013A3">
          <w:rPr>
            <w:rStyle w:val="Hyperlink"/>
          </w:rPr>
          <w:t>U</w:t>
        </w:r>
        <w:r w:rsidR="00A51863" w:rsidRPr="002013A3">
          <w:rPr>
            <w:rStyle w:val="Hyperlink"/>
          </w:rPr>
          <w:t>se of force on 22 July 2020</w:t>
        </w:r>
        <w:r w:rsidR="00A51863">
          <w:rPr>
            <w:webHidden/>
          </w:rPr>
          <w:tab/>
        </w:r>
        <w:r w:rsidR="00A51863">
          <w:rPr>
            <w:webHidden/>
          </w:rPr>
          <w:fldChar w:fldCharType="begin"/>
        </w:r>
        <w:r w:rsidR="00A51863">
          <w:rPr>
            <w:webHidden/>
          </w:rPr>
          <w:instrText xml:space="preserve"> PAGEREF _Toc164768980 \h </w:instrText>
        </w:r>
        <w:r w:rsidR="00A51863">
          <w:rPr>
            <w:webHidden/>
          </w:rPr>
        </w:r>
        <w:r w:rsidR="00A51863">
          <w:rPr>
            <w:webHidden/>
          </w:rPr>
          <w:fldChar w:fldCharType="separate"/>
        </w:r>
        <w:r w:rsidR="00F34A0D">
          <w:rPr>
            <w:webHidden/>
          </w:rPr>
          <w:t>14</w:t>
        </w:r>
        <w:r w:rsidR="00A51863">
          <w:rPr>
            <w:webHidden/>
          </w:rPr>
          <w:fldChar w:fldCharType="end"/>
        </w:r>
      </w:hyperlink>
    </w:p>
    <w:p w14:paraId="170EAA9C" w14:textId="5BFEFE15" w:rsidR="00A51863" w:rsidRDefault="00000000">
      <w:pPr>
        <w:pStyle w:val="TOC2"/>
        <w:rPr>
          <w:rFonts w:asciiTheme="minorHAnsi" w:eastAsiaTheme="minorEastAsia" w:hAnsiTheme="minorHAnsi" w:cstheme="minorBidi"/>
          <w:b w:val="0"/>
          <w:i w:val="0"/>
          <w:kern w:val="2"/>
          <w14:ligatures w14:val="standardContextual"/>
        </w:rPr>
      </w:pPr>
      <w:hyperlink w:anchor="_Toc164768981" w:history="1">
        <w:r w:rsidR="00A51863" w:rsidRPr="002013A3">
          <w:rPr>
            <w:rStyle w:val="Hyperlink"/>
          </w:rPr>
          <w:t>7.2</w:t>
        </w:r>
        <w:r w:rsidR="00A51863">
          <w:rPr>
            <w:rFonts w:asciiTheme="minorHAnsi" w:eastAsiaTheme="minorEastAsia" w:hAnsiTheme="minorHAnsi" w:cstheme="minorBidi"/>
            <w:b w:val="0"/>
            <w:i w:val="0"/>
            <w:kern w:val="2"/>
            <w14:ligatures w14:val="standardContextual"/>
          </w:rPr>
          <w:tab/>
        </w:r>
        <w:r w:rsidR="00A51863" w:rsidRPr="002013A3">
          <w:rPr>
            <w:rStyle w:val="Hyperlink"/>
          </w:rPr>
          <w:t>Use of force on 22 November 2020</w:t>
        </w:r>
        <w:r w:rsidR="00A51863">
          <w:rPr>
            <w:webHidden/>
          </w:rPr>
          <w:tab/>
        </w:r>
        <w:r w:rsidR="00D07C57">
          <w:rPr>
            <w:webHidden/>
          </w:rPr>
          <w:t>18</w:t>
        </w:r>
      </w:hyperlink>
    </w:p>
    <w:p w14:paraId="28B3EAC1" w14:textId="00122DEF" w:rsidR="00A51863" w:rsidRDefault="00000000">
      <w:pPr>
        <w:pStyle w:val="TOC2"/>
        <w:rPr>
          <w:rFonts w:asciiTheme="minorHAnsi" w:eastAsiaTheme="minorEastAsia" w:hAnsiTheme="minorHAnsi" w:cstheme="minorBidi"/>
          <w:b w:val="0"/>
          <w:i w:val="0"/>
          <w:kern w:val="2"/>
          <w14:ligatures w14:val="standardContextual"/>
        </w:rPr>
      </w:pPr>
      <w:hyperlink w:anchor="_Toc164768982" w:history="1">
        <w:r w:rsidR="00A51863" w:rsidRPr="002013A3">
          <w:rPr>
            <w:rStyle w:val="Hyperlink"/>
          </w:rPr>
          <w:t>7.3</w:t>
        </w:r>
        <w:r w:rsidR="00A51863">
          <w:rPr>
            <w:rFonts w:asciiTheme="minorHAnsi" w:eastAsiaTheme="minorEastAsia" w:hAnsiTheme="minorHAnsi" w:cstheme="minorBidi"/>
            <w:b w:val="0"/>
            <w:i w:val="0"/>
            <w:kern w:val="2"/>
            <w14:ligatures w14:val="standardContextual"/>
          </w:rPr>
          <w:tab/>
        </w:r>
        <w:r w:rsidR="00A51863" w:rsidRPr="002013A3">
          <w:rPr>
            <w:rStyle w:val="Hyperlink"/>
          </w:rPr>
          <w:t>Use of restraints on 22 November 2020</w:t>
        </w:r>
        <w:r w:rsidR="00A51863">
          <w:rPr>
            <w:webHidden/>
          </w:rPr>
          <w:tab/>
        </w:r>
        <w:r w:rsidR="00A51863">
          <w:rPr>
            <w:webHidden/>
          </w:rPr>
          <w:fldChar w:fldCharType="begin"/>
        </w:r>
        <w:r w:rsidR="00A51863">
          <w:rPr>
            <w:webHidden/>
          </w:rPr>
          <w:instrText xml:space="preserve"> PAGEREF _Toc164768982 \h </w:instrText>
        </w:r>
        <w:r w:rsidR="00A51863">
          <w:rPr>
            <w:webHidden/>
          </w:rPr>
        </w:r>
        <w:r w:rsidR="00A51863">
          <w:rPr>
            <w:webHidden/>
          </w:rPr>
          <w:fldChar w:fldCharType="separate"/>
        </w:r>
        <w:r w:rsidR="00F34A0D">
          <w:rPr>
            <w:webHidden/>
          </w:rPr>
          <w:t>24</w:t>
        </w:r>
        <w:r w:rsidR="00A51863">
          <w:rPr>
            <w:webHidden/>
          </w:rPr>
          <w:fldChar w:fldCharType="end"/>
        </w:r>
      </w:hyperlink>
    </w:p>
    <w:p w14:paraId="1941BDEA" w14:textId="545231CB" w:rsidR="00A51863" w:rsidRDefault="00000000">
      <w:pPr>
        <w:pStyle w:val="TOC1"/>
        <w:rPr>
          <w:rFonts w:asciiTheme="minorHAnsi" w:eastAsiaTheme="minorEastAsia" w:hAnsiTheme="minorHAnsi" w:cstheme="minorBidi"/>
          <w:b w:val="0"/>
          <w:kern w:val="2"/>
          <w14:ligatures w14:val="standardContextual"/>
        </w:rPr>
      </w:pPr>
      <w:hyperlink w:anchor="_Toc164768983" w:history="1">
        <w:r w:rsidR="00A51863" w:rsidRPr="002013A3">
          <w:rPr>
            <w:rStyle w:val="Hyperlink"/>
          </w:rPr>
          <w:t>8</w:t>
        </w:r>
        <w:r w:rsidR="00A51863">
          <w:rPr>
            <w:rFonts w:asciiTheme="minorHAnsi" w:eastAsiaTheme="minorEastAsia" w:hAnsiTheme="minorHAnsi" w:cstheme="minorBidi"/>
            <w:b w:val="0"/>
            <w:kern w:val="2"/>
            <w14:ligatures w14:val="standardContextual"/>
          </w:rPr>
          <w:tab/>
        </w:r>
        <w:r w:rsidR="00A51863" w:rsidRPr="002013A3">
          <w:rPr>
            <w:rStyle w:val="Hyperlink"/>
          </w:rPr>
          <w:t>Fin</w:t>
        </w:r>
        <w:r w:rsidR="00A51863" w:rsidRPr="002013A3">
          <w:rPr>
            <w:rStyle w:val="Hyperlink"/>
          </w:rPr>
          <w:t>d</w:t>
        </w:r>
        <w:r w:rsidR="00A51863" w:rsidRPr="002013A3">
          <w:rPr>
            <w:rStyle w:val="Hyperlink"/>
          </w:rPr>
          <w:t>ings</w:t>
        </w:r>
        <w:r w:rsidR="00A51863">
          <w:rPr>
            <w:webHidden/>
          </w:rPr>
          <w:tab/>
        </w:r>
        <w:r w:rsidR="00D07C57">
          <w:rPr>
            <w:webHidden/>
          </w:rPr>
          <w:t>25</w:t>
        </w:r>
      </w:hyperlink>
    </w:p>
    <w:p w14:paraId="0A1F7EA5" w14:textId="55CC7C4F" w:rsidR="00A51863" w:rsidRDefault="00000000">
      <w:pPr>
        <w:pStyle w:val="TOC2"/>
        <w:rPr>
          <w:rFonts w:asciiTheme="minorHAnsi" w:eastAsiaTheme="minorEastAsia" w:hAnsiTheme="minorHAnsi" w:cstheme="minorBidi"/>
          <w:b w:val="0"/>
          <w:i w:val="0"/>
          <w:kern w:val="2"/>
          <w14:ligatures w14:val="standardContextual"/>
        </w:rPr>
      </w:pPr>
      <w:hyperlink w:anchor="_Toc164768984" w:history="1">
        <w:r w:rsidR="00A51863" w:rsidRPr="002013A3">
          <w:rPr>
            <w:rStyle w:val="Hyperlink"/>
          </w:rPr>
          <w:t>8.1</w:t>
        </w:r>
        <w:r w:rsidR="00A51863">
          <w:rPr>
            <w:rFonts w:asciiTheme="minorHAnsi" w:eastAsiaTheme="minorEastAsia" w:hAnsiTheme="minorHAnsi" w:cstheme="minorBidi"/>
            <w:b w:val="0"/>
            <w:i w:val="0"/>
            <w:kern w:val="2"/>
            <w14:ligatures w14:val="standardContextual"/>
          </w:rPr>
          <w:tab/>
        </w:r>
        <w:r w:rsidR="00A51863" w:rsidRPr="002013A3">
          <w:rPr>
            <w:rStyle w:val="Hyperlink"/>
          </w:rPr>
          <w:t>Use of force on 22 July 2020</w:t>
        </w:r>
        <w:r w:rsidR="00A51863">
          <w:rPr>
            <w:webHidden/>
          </w:rPr>
          <w:tab/>
        </w:r>
        <w:r w:rsidR="00D07C57">
          <w:rPr>
            <w:webHidden/>
          </w:rPr>
          <w:t>25</w:t>
        </w:r>
      </w:hyperlink>
    </w:p>
    <w:p w14:paraId="754A421A" w14:textId="3984F158" w:rsidR="00A51863" w:rsidRDefault="00000000">
      <w:pPr>
        <w:pStyle w:val="TOC2"/>
        <w:rPr>
          <w:rFonts w:asciiTheme="minorHAnsi" w:eastAsiaTheme="minorEastAsia" w:hAnsiTheme="minorHAnsi" w:cstheme="minorBidi"/>
          <w:b w:val="0"/>
          <w:i w:val="0"/>
          <w:kern w:val="2"/>
          <w14:ligatures w14:val="standardContextual"/>
        </w:rPr>
      </w:pPr>
      <w:hyperlink w:anchor="_Toc164768985" w:history="1">
        <w:r w:rsidR="00A51863" w:rsidRPr="002013A3">
          <w:rPr>
            <w:rStyle w:val="Hyperlink"/>
          </w:rPr>
          <w:t>8.2</w:t>
        </w:r>
        <w:r w:rsidR="00A51863">
          <w:rPr>
            <w:rFonts w:asciiTheme="minorHAnsi" w:eastAsiaTheme="minorEastAsia" w:hAnsiTheme="minorHAnsi" w:cstheme="minorBidi"/>
            <w:b w:val="0"/>
            <w:i w:val="0"/>
            <w:kern w:val="2"/>
            <w14:ligatures w14:val="standardContextual"/>
          </w:rPr>
          <w:tab/>
        </w:r>
        <w:r w:rsidR="00A51863" w:rsidRPr="002013A3">
          <w:rPr>
            <w:rStyle w:val="Hyperlink"/>
          </w:rPr>
          <w:t>Use of force on 22 November 2020</w:t>
        </w:r>
        <w:r w:rsidR="00A51863">
          <w:rPr>
            <w:webHidden/>
          </w:rPr>
          <w:tab/>
        </w:r>
        <w:r w:rsidR="00D07C57">
          <w:rPr>
            <w:webHidden/>
          </w:rPr>
          <w:t>26</w:t>
        </w:r>
      </w:hyperlink>
    </w:p>
    <w:p w14:paraId="3CD6C832" w14:textId="3C1C4128" w:rsidR="00A51863" w:rsidRDefault="00000000">
      <w:pPr>
        <w:pStyle w:val="TOC2"/>
        <w:rPr>
          <w:rFonts w:asciiTheme="minorHAnsi" w:eastAsiaTheme="minorEastAsia" w:hAnsiTheme="minorHAnsi" w:cstheme="minorBidi"/>
          <w:b w:val="0"/>
          <w:i w:val="0"/>
          <w:kern w:val="2"/>
          <w14:ligatures w14:val="standardContextual"/>
        </w:rPr>
      </w:pPr>
      <w:hyperlink w:anchor="_Toc164768986" w:history="1">
        <w:r w:rsidR="00A51863" w:rsidRPr="002013A3">
          <w:rPr>
            <w:rStyle w:val="Hyperlink"/>
          </w:rPr>
          <w:t>8.3</w:t>
        </w:r>
        <w:r w:rsidR="00A51863">
          <w:rPr>
            <w:rFonts w:asciiTheme="minorHAnsi" w:eastAsiaTheme="minorEastAsia" w:hAnsiTheme="minorHAnsi" w:cstheme="minorBidi"/>
            <w:b w:val="0"/>
            <w:i w:val="0"/>
            <w:kern w:val="2"/>
            <w14:ligatures w14:val="standardContextual"/>
          </w:rPr>
          <w:tab/>
        </w:r>
        <w:r w:rsidR="00A51863" w:rsidRPr="002013A3">
          <w:rPr>
            <w:rStyle w:val="Hyperlink"/>
          </w:rPr>
          <w:t>Use of restraints on 22 Novembe</w:t>
        </w:r>
        <w:r w:rsidR="00A51863" w:rsidRPr="002013A3">
          <w:rPr>
            <w:rStyle w:val="Hyperlink"/>
          </w:rPr>
          <w:t>r</w:t>
        </w:r>
        <w:r w:rsidR="00A51863" w:rsidRPr="002013A3">
          <w:rPr>
            <w:rStyle w:val="Hyperlink"/>
          </w:rPr>
          <w:t xml:space="preserve"> 2020</w:t>
        </w:r>
        <w:r w:rsidR="00A51863">
          <w:rPr>
            <w:webHidden/>
          </w:rPr>
          <w:tab/>
        </w:r>
        <w:r w:rsidR="00A51863">
          <w:rPr>
            <w:webHidden/>
          </w:rPr>
          <w:fldChar w:fldCharType="begin"/>
        </w:r>
        <w:r w:rsidR="00A51863">
          <w:rPr>
            <w:webHidden/>
          </w:rPr>
          <w:instrText xml:space="preserve"> PAGEREF _Toc164768986 \h </w:instrText>
        </w:r>
        <w:r w:rsidR="00A51863">
          <w:rPr>
            <w:webHidden/>
          </w:rPr>
        </w:r>
        <w:r w:rsidR="00A51863">
          <w:rPr>
            <w:webHidden/>
          </w:rPr>
          <w:fldChar w:fldCharType="separate"/>
        </w:r>
        <w:r w:rsidR="00F34A0D">
          <w:rPr>
            <w:webHidden/>
          </w:rPr>
          <w:t>30</w:t>
        </w:r>
        <w:r w:rsidR="00A51863">
          <w:rPr>
            <w:webHidden/>
          </w:rPr>
          <w:fldChar w:fldCharType="end"/>
        </w:r>
      </w:hyperlink>
    </w:p>
    <w:p w14:paraId="16CAFD9C" w14:textId="46FC540B" w:rsidR="00A51863" w:rsidRDefault="00000000">
      <w:pPr>
        <w:pStyle w:val="TOC1"/>
        <w:rPr>
          <w:rFonts w:asciiTheme="minorHAnsi" w:eastAsiaTheme="minorEastAsia" w:hAnsiTheme="minorHAnsi" w:cstheme="minorBidi"/>
          <w:b w:val="0"/>
          <w:kern w:val="2"/>
          <w14:ligatures w14:val="standardContextual"/>
        </w:rPr>
      </w:pPr>
      <w:hyperlink w:anchor="_Toc164768987" w:history="1">
        <w:r w:rsidR="00A51863" w:rsidRPr="002013A3">
          <w:rPr>
            <w:rStyle w:val="Hyperlink"/>
          </w:rPr>
          <w:t>9</w:t>
        </w:r>
        <w:r w:rsidR="00A51863">
          <w:rPr>
            <w:rFonts w:asciiTheme="minorHAnsi" w:eastAsiaTheme="minorEastAsia" w:hAnsiTheme="minorHAnsi" w:cstheme="minorBidi"/>
            <w:b w:val="0"/>
            <w:kern w:val="2"/>
            <w14:ligatures w14:val="standardContextual"/>
          </w:rPr>
          <w:tab/>
        </w:r>
        <w:r w:rsidR="00A51863" w:rsidRPr="002013A3">
          <w:rPr>
            <w:rStyle w:val="Hyperlink"/>
          </w:rPr>
          <w:t>Recommendations</w:t>
        </w:r>
        <w:r w:rsidR="00A51863">
          <w:rPr>
            <w:webHidden/>
          </w:rPr>
          <w:tab/>
        </w:r>
        <w:r w:rsidR="00A51863">
          <w:rPr>
            <w:webHidden/>
          </w:rPr>
          <w:fldChar w:fldCharType="begin"/>
        </w:r>
        <w:r w:rsidR="00A51863">
          <w:rPr>
            <w:webHidden/>
          </w:rPr>
          <w:instrText xml:space="preserve"> PAGEREF _Toc164768987 \h </w:instrText>
        </w:r>
        <w:r w:rsidR="00A51863">
          <w:rPr>
            <w:webHidden/>
          </w:rPr>
        </w:r>
        <w:r w:rsidR="00A51863">
          <w:rPr>
            <w:webHidden/>
          </w:rPr>
          <w:fldChar w:fldCharType="separate"/>
        </w:r>
        <w:r w:rsidR="00F34A0D">
          <w:rPr>
            <w:webHidden/>
          </w:rPr>
          <w:t>32</w:t>
        </w:r>
        <w:r w:rsidR="00A51863">
          <w:rPr>
            <w:webHidden/>
          </w:rPr>
          <w:fldChar w:fldCharType="end"/>
        </w:r>
      </w:hyperlink>
    </w:p>
    <w:p w14:paraId="046FFC2D" w14:textId="462574AB" w:rsidR="00A51863" w:rsidRDefault="00A51863">
      <w:pPr>
        <w:pStyle w:val="TOC1"/>
        <w:rPr>
          <w:rStyle w:val="Hyperlink"/>
        </w:rPr>
      </w:pPr>
      <w:r w:rsidRPr="00D07C57">
        <w:t>10</w:t>
      </w:r>
      <w:r>
        <w:rPr>
          <w:rFonts w:asciiTheme="minorHAnsi" w:eastAsiaTheme="minorEastAsia" w:hAnsiTheme="minorHAnsi" w:cstheme="minorBidi"/>
          <w:b w:val="0"/>
          <w:kern w:val="2"/>
          <w14:ligatures w14:val="standardContextual"/>
        </w:rPr>
        <w:tab/>
      </w:r>
      <w:r w:rsidRPr="00D07C57">
        <w:t>The Department’s response to my findings and recommendations</w:t>
      </w:r>
      <w:r>
        <w:rPr>
          <w:webHidden/>
        </w:rPr>
        <w:tab/>
      </w:r>
      <w:r>
        <w:rPr>
          <w:webHidden/>
        </w:rPr>
        <w:fldChar w:fldCharType="begin"/>
      </w:r>
      <w:r>
        <w:rPr>
          <w:webHidden/>
        </w:rPr>
        <w:instrText xml:space="preserve"> PAGEREF _Toc164768988 \h </w:instrText>
      </w:r>
      <w:r>
        <w:rPr>
          <w:webHidden/>
        </w:rPr>
      </w:r>
      <w:r>
        <w:rPr>
          <w:webHidden/>
        </w:rPr>
        <w:fldChar w:fldCharType="separate"/>
      </w:r>
      <w:r w:rsidR="00F34A0D">
        <w:rPr>
          <w:webHidden/>
        </w:rPr>
        <w:t>32</w:t>
      </w:r>
      <w:r>
        <w:rPr>
          <w:webHidden/>
        </w:rPr>
        <w:fldChar w:fldCharType="end"/>
      </w:r>
    </w:p>
    <w:p w14:paraId="5774EF6F" w14:textId="77777777" w:rsidR="00A51863" w:rsidRDefault="00A51863" w:rsidP="00A51863"/>
    <w:p w14:paraId="29E05CFA" w14:textId="77777777" w:rsidR="00A51863" w:rsidRDefault="00A51863" w:rsidP="00A51863"/>
    <w:p w14:paraId="26B9794E" w14:textId="77777777" w:rsidR="00290AE1" w:rsidRDefault="00290AE1" w:rsidP="00A51863"/>
    <w:p w14:paraId="2FABE9DB" w14:textId="77777777" w:rsidR="00290AE1" w:rsidRDefault="00290AE1" w:rsidP="00A51863"/>
    <w:p w14:paraId="6F680981" w14:textId="77777777" w:rsidR="00290AE1" w:rsidRDefault="00290AE1" w:rsidP="00A51863"/>
    <w:p w14:paraId="3E30ED69" w14:textId="77777777" w:rsidR="00290AE1" w:rsidRDefault="00290AE1" w:rsidP="00A51863"/>
    <w:p w14:paraId="1B730750" w14:textId="77777777" w:rsidR="00A51863" w:rsidRDefault="00A51863" w:rsidP="00A51863"/>
    <w:p w14:paraId="52611006" w14:textId="77777777" w:rsidR="00A51863" w:rsidRPr="00A51863" w:rsidRDefault="00A51863" w:rsidP="00A51863"/>
    <w:p w14:paraId="3AA2AF2D" w14:textId="621DEE2D" w:rsidR="003026A0" w:rsidRDefault="000B5B68" w:rsidP="00484EF1">
      <w:pPr>
        <w:pStyle w:val="AHRCHeading1"/>
      </w:pPr>
      <w:r w:rsidRPr="000465F1">
        <w:lastRenderedPageBreak/>
        <w:fldChar w:fldCharType="end"/>
      </w:r>
      <w:bookmarkStart w:id="1" w:name="_Toc164768967"/>
      <w:bookmarkStart w:id="2" w:name="_Toc207761830"/>
      <w:bookmarkStart w:id="3" w:name="_Toc209578266"/>
      <w:bookmarkStart w:id="4" w:name="_Toc209941766"/>
      <w:r w:rsidR="00484EF1">
        <w:t>Introduction</w:t>
      </w:r>
      <w:bookmarkEnd w:id="1"/>
    </w:p>
    <w:p w14:paraId="2E77F6C6" w14:textId="012A5F0C" w:rsidR="00484EF1" w:rsidRPr="001253CA" w:rsidRDefault="00484EF1" w:rsidP="00F02D5A">
      <w:pPr>
        <w:numPr>
          <w:ilvl w:val="0"/>
          <w:numId w:val="20"/>
        </w:numPr>
        <w:rPr>
          <w:rFonts w:cs="Open Sans"/>
        </w:rPr>
      </w:pPr>
      <w:r w:rsidRPr="001253CA">
        <w:rPr>
          <w:rFonts w:cs="Open Sans"/>
        </w:rPr>
        <w:t xml:space="preserve">The Australian Human Rights Commission (Commission) has conducted an inquiry into a complaint by </w:t>
      </w:r>
      <w:r w:rsidR="00A97AAF">
        <w:rPr>
          <w:rFonts w:cs="Open Sans"/>
        </w:rPr>
        <w:t>Mr</w:t>
      </w:r>
      <w:r w:rsidRPr="001253CA">
        <w:rPr>
          <w:rFonts w:cs="Open Sans"/>
        </w:rPr>
        <w:t xml:space="preserve"> BX against the Commonwealth Department of Home Affairs (the Department) alleging a breach of his human rights. The inquiry was undertaken pursuant to s 11(1)(f) of the </w:t>
      </w:r>
      <w:r w:rsidRPr="001253CA">
        <w:rPr>
          <w:rFonts w:cs="Open Sans"/>
          <w:i/>
        </w:rPr>
        <w:t>Australian Human Rights Commission Act 1986</w:t>
      </w:r>
      <w:r w:rsidRPr="001253CA">
        <w:rPr>
          <w:rFonts w:cs="Open Sans"/>
        </w:rPr>
        <w:t xml:space="preserve"> (</w:t>
      </w:r>
      <w:proofErr w:type="spellStart"/>
      <w:r w:rsidRPr="001253CA">
        <w:rPr>
          <w:rFonts w:cs="Open Sans"/>
        </w:rPr>
        <w:t>Cth</w:t>
      </w:r>
      <w:proofErr w:type="spellEnd"/>
      <w:r w:rsidRPr="001253CA">
        <w:rPr>
          <w:rFonts w:cs="Open Sans"/>
        </w:rPr>
        <w:t>) (AHRC Act).</w:t>
      </w:r>
    </w:p>
    <w:p w14:paraId="4B42DBAD" w14:textId="1F94FE26" w:rsidR="00484EF1" w:rsidRPr="001253CA" w:rsidRDefault="00675EF2" w:rsidP="00F02D5A">
      <w:pPr>
        <w:numPr>
          <w:ilvl w:val="0"/>
          <w:numId w:val="20"/>
        </w:numPr>
        <w:rPr>
          <w:rFonts w:cs="Open Sans"/>
        </w:rPr>
      </w:pPr>
      <w:r>
        <w:rPr>
          <w:rFonts w:cs="Open Sans"/>
        </w:rPr>
        <w:t xml:space="preserve">Mr </w:t>
      </w:r>
      <w:r w:rsidR="00484EF1" w:rsidRPr="001253CA">
        <w:rPr>
          <w:rFonts w:cs="Open Sans"/>
        </w:rPr>
        <w:t xml:space="preserve">BX complains that force was used against him on two separate occasions by staff of Serco Australia Pty Ltd (Serco) while detained at Villawood Immigration Detention Centre (VIDC). </w:t>
      </w:r>
    </w:p>
    <w:p w14:paraId="5EF25C34" w14:textId="4073F143" w:rsidR="00484EF1" w:rsidRPr="001253CA" w:rsidRDefault="00675EF2" w:rsidP="00F02D5A">
      <w:pPr>
        <w:numPr>
          <w:ilvl w:val="0"/>
          <w:numId w:val="20"/>
        </w:numPr>
        <w:rPr>
          <w:rFonts w:cs="Open Sans"/>
        </w:rPr>
      </w:pPr>
      <w:r>
        <w:rPr>
          <w:rFonts w:cs="Open Sans"/>
        </w:rPr>
        <w:t xml:space="preserve">Mr </w:t>
      </w:r>
      <w:r w:rsidR="00484EF1" w:rsidRPr="001253CA">
        <w:rPr>
          <w:rFonts w:cs="Open Sans"/>
        </w:rPr>
        <w:t>BX’s complaint raises possible breaches of articles 7 and 10 of the</w:t>
      </w:r>
      <w:r w:rsidR="00484EF1" w:rsidRPr="001253CA">
        <w:rPr>
          <w:rFonts w:cs="Open Sans"/>
          <w:i/>
        </w:rPr>
        <w:t xml:space="preserve"> International Covenant on Civil and Political Rights</w:t>
      </w:r>
      <w:r w:rsidR="00484EF1" w:rsidRPr="001253CA">
        <w:rPr>
          <w:rFonts w:cs="Open Sans"/>
        </w:rPr>
        <w:t xml:space="preserve"> (ICCPR).</w:t>
      </w:r>
      <w:r w:rsidR="00484EF1" w:rsidRPr="001253CA">
        <w:rPr>
          <w:rStyle w:val="EndnoteReference"/>
          <w:rFonts w:cs="Open Sans"/>
        </w:rPr>
        <w:endnoteReference w:id="2"/>
      </w:r>
      <w:r w:rsidR="00484EF1" w:rsidRPr="001253CA">
        <w:rPr>
          <w:rFonts w:cs="Open Sans"/>
        </w:rPr>
        <w:t xml:space="preserve"> </w:t>
      </w:r>
    </w:p>
    <w:p w14:paraId="12C8275C" w14:textId="1369ECB9" w:rsidR="00484EF1" w:rsidRPr="001253CA" w:rsidRDefault="00675EF2" w:rsidP="00F02D5A">
      <w:pPr>
        <w:numPr>
          <w:ilvl w:val="0"/>
          <w:numId w:val="20"/>
        </w:numPr>
        <w:rPr>
          <w:rFonts w:cs="Open Sans"/>
        </w:rPr>
      </w:pPr>
      <w:r>
        <w:rPr>
          <w:rFonts w:cs="Open Sans"/>
        </w:rPr>
        <w:t xml:space="preserve">Mr </w:t>
      </w:r>
      <w:r w:rsidR="00484EF1" w:rsidRPr="001253CA">
        <w:rPr>
          <w:rFonts w:cs="Open Sans"/>
        </w:rPr>
        <w:t xml:space="preserve">BX complains that on 22 July 2020, he was taken to the ground by Emergency Response Team (ERT) officers using excessive force, after he asked ERT officers to stop holding another detainee to the ground. </w:t>
      </w:r>
      <w:r>
        <w:rPr>
          <w:rFonts w:cs="Open Sans"/>
        </w:rPr>
        <w:t xml:space="preserve">Mr </w:t>
      </w:r>
      <w:r w:rsidR="00484EF1" w:rsidRPr="001253CA">
        <w:rPr>
          <w:rFonts w:cs="Open Sans"/>
        </w:rPr>
        <w:t xml:space="preserve">BX complains that his head hit the ground and he fell unconscious. He was also handcuffed and later taken to hospital with a gash to his head and pain in his right wrist.  </w:t>
      </w:r>
    </w:p>
    <w:p w14:paraId="239AC08D" w14:textId="1FD9F4D4" w:rsidR="00484EF1" w:rsidRPr="001253CA" w:rsidRDefault="00675EF2" w:rsidP="00F02D5A">
      <w:pPr>
        <w:numPr>
          <w:ilvl w:val="0"/>
          <w:numId w:val="20"/>
        </w:numPr>
        <w:rPr>
          <w:rFonts w:cs="Open Sans"/>
        </w:rPr>
      </w:pPr>
      <w:r>
        <w:rPr>
          <w:rFonts w:cs="Open Sans"/>
        </w:rPr>
        <w:t xml:space="preserve">Mr </w:t>
      </w:r>
      <w:r w:rsidR="00484EF1" w:rsidRPr="001253CA">
        <w:rPr>
          <w:rFonts w:cs="Open Sans"/>
        </w:rPr>
        <w:t xml:space="preserve">BX also complains that on 22 November 2020, approximately </w:t>
      </w:r>
      <w:r w:rsidR="00F0189C">
        <w:rPr>
          <w:rFonts w:cs="Open Sans"/>
        </w:rPr>
        <w:t>eight</w:t>
      </w:r>
      <w:r w:rsidR="00484EF1" w:rsidRPr="001253CA">
        <w:rPr>
          <w:rFonts w:cs="Open Sans"/>
        </w:rPr>
        <w:t xml:space="preserve"> ERT officers came to his room. He alleges a series of events that followed. He alleges that one of the officers punched him on the chin. He was handcuffed, kneed to the head</w:t>
      </w:r>
      <w:r w:rsidR="00E951DB">
        <w:rPr>
          <w:rFonts w:cs="Open Sans"/>
        </w:rPr>
        <w:t>,</w:t>
      </w:r>
      <w:r w:rsidR="00484EF1" w:rsidRPr="001253CA">
        <w:rPr>
          <w:rFonts w:cs="Open Sans"/>
        </w:rPr>
        <w:t xml:space="preserve"> and punched again. He became unconscious and was carried out of the room, put to the </w:t>
      </w:r>
      <w:proofErr w:type="gramStart"/>
      <w:r w:rsidR="00484EF1" w:rsidRPr="001253CA">
        <w:rPr>
          <w:rFonts w:cs="Open Sans"/>
        </w:rPr>
        <w:t>ground</w:t>
      </w:r>
      <w:proofErr w:type="gramEnd"/>
      <w:r w:rsidR="00484EF1" w:rsidRPr="001253CA">
        <w:rPr>
          <w:rFonts w:cs="Open Sans"/>
        </w:rPr>
        <w:t xml:space="preserve"> and punched and kicked. He fell unconscious a second time. An ambulance came to take him to the hospital</w:t>
      </w:r>
      <w:r w:rsidR="00C43492">
        <w:rPr>
          <w:rFonts w:cs="Open Sans"/>
        </w:rPr>
        <w:t>,</w:t>
      </w:r>
      <w:r w:rsidR="00484EF1" w:rsidRPr="001253CA">
        <w:rPr>
          <w:rFonts w:cs="Open Sans"/>
        </w:rPr>
        <w:t xml:space="preserve"> but the officers refused to take off his handcuffs. </w:t>
      </w:r>
    </w:p>
    <w:p w14:paraId="02D9A9AF" w14:textId="77777777" w:rsidR="00484EF1" w:rsidRPr="001253CA" w:rsidRDefault="00484EF1" w:rsidP="00F02D5A">
      <w:pPr>
        <w:numPr>
          <w:ilvl w:val="0"/>
          <w:numId w:val="20"/>
        </w:numPr>
        <w:rPr>
          <w:rFonts w:cs="Open Sans"/>
        </w:rPr>
      </w:pPr>
      <w:r w:rsidRPr="001253CA">
        <w:rPr>
          <w:rFonts w:cs="Open Sans"/>
        </w:rPr>
        <w:t xml:space="preserve">At the hospital, a CT scan was taken and showed fractures to his nasal bone. A subsequent GP review also noted a perforated eardrum in his left ear and multiple bruises around his eyes, </w:t>
      </w:r>
      <w:proofErr w:type="gramStart"/>
      <w:r w:rsidRPr="001253CA">
        <w:rPr>
          <w:rFonts w:cs="Open Sans"/>
        </w:rPr>
        <w:t>face</w:t>
      </w:r>
      <w:proofErr w:type="gramEnd"/>
      <w:r w:rsidRPr="001253CA">
        <w:rPr>
          <w:rFonts w:cs="Open Sans"/>
        </w:rPr>
        <w:t xml:space="preserve"> and scalp.    </w:t>
      </w:r>
    </w:p>
    <w:p w14:paraId="734F447C" w14:textId="50A7CEF5" w:rsidR="00484EF1" w:rsidRPr="001253CA" w:rsidRDefault="00484EF1" w:rsidP="00F02D5A">
      <w:pPr>
        <w:numPr>
          <w:ilvl w:val="0"/>
          <w:numId w:val="20"/>
        </w:numPr>
        <w:rPr>
          <w:rFonts w:cs="Open Sans"/>
        </w:rPr>
      </w:pPr>
      <w:r w:rsidRPr="001253CA">
        <w:rPr>
          <w:rFonts w:cs="Open Sans"/>
        </w:rPr>
        <w:t xml:space="preserve">This </w:t>
      </w:r>
      <w:r w:rsidR="004026E9">
        <w:rPr>
          <w:rFonts w:cs="Open Sans"/>
        </w:rPr>
        <w:t>report</w:t>
      </w:r>
      <w:r w:rsidR="004026E9" w:rsidRPr="001253CA">
        <w:rPr>
          <w:rFonts w:cs="Open Sans"/>
        </w:rPr>
        <w:t xml:space="preserve"> </w:t>
      </w:r>
      <w:r w:rsidRPr="001253CA">
        <w:rPr>
          <w:rFonts w:cs="Open Sans"/>
        </w:rPr>
        <w:t xml:space="preserve">is issued pursuant to s 29(2) of the AHRC Act setting out the findings of the Commission in relation to </w:t>
      </w:r>
      <w:r w:rsidR="00E229C6">
        <w:rPr>
          <w:rFonts w:cs="Open Sans"/>
        </w:rPr>
        <w:t xml:space="preserve">Mr </w:t>
      </w:r>
      <w:r w:rsidRPr="001253CA">
        <w:rPr>
          <w:rFonts w:cs="Open Sans"/>
        </w:rPr>
        <w:t xml:space="preserve">BX’s complaint. </w:t>
      </w:r>
    </w:p>
    <w:p w14:paraId="430345CE" w14:textId="289809CC" w:rsidR="00484EF1" w:rsidRPr="001253CA" w:rsidRDefault="00484EF1" w:rsidP="00F02D5A">
      <w:pPr>
        <w:numPr>
          <w:ilvl w:val="0"/>
          <w:numId w:val="20"/>
        </w:numPr>
        <w:rPr>
          <w:rFonts w:cs="Open Sans"/>
        </w:rPr>
      </w:pPr>
      <w:r w:rsidRPr="001253CA">
        <w:rPr>
          <w:rFonts w:cs="Open Sans"/>
        </w:rPr>
        <w:t xml:space="preserve">Mr BX has requested that his name not be published in connection with this inquiry. I consider that the preservation of his anonymity is necessary to protect his privacy and human rights. Accordingly, I have given a direction under s 14(2) of the AHRC Act </w:t>
      </w:r>
      <w:r w:rsidR="005C33FA">
        <w:rPr>
          <w:rFonts w:cs="Open Sans"/>
        </w:rPr>
        <w:t xml:space="preserve">prohibiting disclosure of his </w:t>
      </w:r>
      <w:proofErr w:type="gramStart"/>
      <w:r w:rsidR="005C33FA">
        <w:rPr>
          <w:rFonts w:cs="Open Sans"/>
        </w:rPr>
        <w:t xml:space="preserve">identity, </w:t>
      </w:r>
      <w:r w:rsidRPr="001253CA">
        <w:rPr>
          <w:rFonts w:cs="Open Sans"/>
        </w:rPr>
        <w:t>and</w:t>
      </w:r>
      <w:proofErr w:type="gramEnd"/>
      <w:r w:rsidRPr="001253CA">
        <w:rPr>
          <w:rFonts w:cs="Open Sans"/>
        </w:rPr>
        <w:t xml:space="preserve"> refer to him as ‘Mr BX’ in this document. </w:t>
      </w:r>
    </w:p>
    <w:p w14:paraId="7362AAAE" w14:textId="298EC020" w:rsidR="00826B0B" w:rsidRPr="00F90D34" w:rsidRDefault="001816E3" w:rsidP="00F90D34">
      <w:pPr>
        <w:pStyle w:val="AHRCHeading1"/>
      </w:pPr>
      <w:bookmarkStart w:id="5" w:name="_Toc164768968"/>
      <w:r w:rsidRPr="00F90D34">
        <w:t>Summary of findings and recommendations</w:t>
      </w:r>
      <w:bookmarkEnd w:id="5"/>
      <w:r w:rsidRPr="00F90D34">
        <w:t xml:space="preserve"> </w:t>
      </w:r>
    </w:p>
    <w:p w14:paraId="2F391407" w14:textId="77777777" w:rsidR="001816E3" w:rsidRPr="001253CA" w:rsidRDefault="001816E3" w:rsidP="00F02D5A">
      <w:pPr>
        <w:numPr>
          <w:ilvl w:val="0"/>
          <w:numId w:val="20"/>
        </w:numPr>
        <w:rPr>
          <w:rFonts w:cs="Open Sans"/>
        </w:rPr>
      </w:pPr>
      <w:r w:rsidRPr="001253CA">
        <w:rPr>
          <w:rFonts w:cs="Open Sans"/>
          <w:color w:val="000000"/>
          <w:lang w:val="en-US" w:bidi="en-US"/>
        </w:rPr>
        <w:t xml:space="preserve">As a result of this inquiry, I find the following:  </w:t>
      </w:r>
    </w:p>
    <w:p w14:paraId="3BC22463" w14:textId="1D5D97AD" w:rsidR="001816E3" w:rsidRPr="001253CA" w:rsidRDefault="001816E3" w:rsidP="001816E3">
      <w:pPr>
        <w:pStyle w:val="Style2"/>
      </w:pPr>
      <w:r w:rsidRPr="001253CA">
        <w:t xml:space="preserve">excessive force was used on </w:t>
      </w:r>
      <w:r w:rsidR="0007489A">
        <w:t xml:space="preserve">Mr </w:t>
      </w:r>
      <w:r w:rsidRPr="001253CA">
        <w:t>BX by ERT officers in relation to the second incident on 22 November 2020</w:t>
      </w:r>
    </w:p>
    <w:p w14:paraId="21FACD9F" w14:textId="77777777" w:rsidR="001816E3" w:rsidRPr="001253CA" w:rsidRDefault="001816E3" w:rsidP="001816E3">
      <w:pPr>
        <w:pStyle w:val="Style2"/>
      </w:pPr>
      <w:r w:rsidRPr="001253CA">
        <w:lastRenderedPageBreak/>
        <w:t xml:space="preserve">the </w:t>
      </w:r>
      <w:proofErr w:type="gramStart"/>
      <w:r w:rsidRPr="001253CA">
        <w:t>manner in which</w:t>
      </w:r>
      <w:proofErr w:type="gramEnd"/>
      <w:r w:rsidRPr="001253CA">
        <w:t xml:space="preserve"> one of the ERT officers forcibly grabbed both sides of his head to bring him to the ground was disproportionate to the need to protect him, the safety of staff and to maintain good order at the centre</w:t>
      </w:r>
    </w:p>
    <w:p w14:paraId="2DAF1691" w14:textId="1403181E" w:rsidR="001816E3" w:rsidRPr="001253CA" w:rsidRDefault="001816E3" w:rsidP="001816E3">
      <w:pPr>
        <w:pStyle w:val="Style2"/>
      </w:pPr>
      <w:r w:rsidRPr="001253CA">
        <w:rPr>
          <w:color w:val="000000"/>
          <w:lang w:val="en-US" w:bidi="en-US"/>
        </w:rPr>
        <w:t>t</w:t>
      </w:r>
      <w:r w:rsidRPr="001253CA">
        <w:t xml:space="preserve">he serious injuries sustained to </w:t>
      </w:r>
      <w:r w:rsidR="002615A8">
        <w:t xml:space="preserve">Mr </w:t>
      </w:r>
      <w:r w:rsidRPr="001253CA">
        <w:t xml:space="preserve">BX’s nose and ear, occurred as a result of the force used to bring him to the ground and during his subsequent </w:t>
      </w:r>
      <w:proofErr w:type="gramStart"/>
      <w:r w:rsidRPr="001253CA">
        <w:t>stabilisation</w:t>
      </w:r>
      <w:proofErr w:type="gramEnd"/>
    </w:p>
    <w:p w14:paraId="31018F4B" w14:textId="77777777" w:rsidR="001816E3" w:rsidRPr="001253CA" w:rsidRDefault="001816E3" w:rsidP="001816E3">
      <w:pPr>
        <w:pStyle w:val="Style2"/>
      </w:pPr>
      <w:r w:rsidRPr="001253CA">
        <w:t xml:space="preserve">the level of force was not used as a last resort and escalated the physicality of the situation including the involvement of other detainees – further communication, negotiation and conflict de-escalation strategies could and should have been attempted </w:t>
      </w:r>
    </w:p>
    <w:p w14:paraId="23E30930" w14:textId="7A7D58EA" w:rsidR="001816E3" w:rsidRPr="001253CA" w:rsidRDefault="001816E3" w:rsidP="001816E3">
      <w:pPr>
        <w:pStyle w:val="Style2"/>
      </w:pPr>
      <w:r w:rsidRPr="001253CA">
        <w:t xml:space="preserve">the use of handcuffs for almost 6 hours following the use of force incident was unreasonable and disproportionate to the risk </w:t>
      </w:r>
      <w:r w:rsidR="0051338C">
        <w:t xml:space="preserve">Mr </w:t>
      </w:r>
      <w:r w:rsidRPr="001253CA">
        <w:t xml:space="preserve">BX </w:t>
      </w:r>
      <w:proofErr w:type="gramStart"/>
      <w:r w:rsidRPr="001253CA">
        <w:t>presented</w:t>
      </w:r>
      <w:r w:rsidR="0051338C">
        <w:t>,</w:t>
      </w:r>
      <w:r w:rsidRPr="001253CA">
        <w:t xml:space="preserve"> and</w:t>
      </w:r>
      <w:proofErr w:type="gramEnd"/>
      <w:r w:rsidRPr="001253CA">
        <w:t xml:space="preserve"> contributed to his pain and discomfort.  </w:t>
      </w:r>
    </w:p>
    <w:p w14:paraId="57E44137" w14:textId="3B0D25B1" w:rsidR="001816E3" w:rsidRDefault="001816E3" w:rsidP="00F02D5A">
      <w:pPr>
        <w:pStyle w:val="SubmissionNormal"/>
        <w:numPr>
          <w:ilvl w:val="0"/>
          <w:numId w:val="20"/>
        </w:numPr>
        <w:rPr>
          <w:rFonts w:cs="Open Sans"/>
        </w:rPr>
      </w:pPr>
      <w:r w:rsidRPr="001253CA">
        <w:rPr>
          <w:rFonts w:cs="Open Sans"/>
        </w:rPr>
        <w:t xml:space="preserve">These actions are contrary to </w:t>
      </w:r>
      <w:r w:rsidR="0051338C">
        <w:rPr>
          <w:rFonts w:cs="Open Sans"/>
        </w:rPr>
        <w:t xml:space="preserve">Mr </w:t>
      </w:r>
      <w:r w:rsidRPr="001253CA">
        <w:rPr>
          <w:rFonts w:cs="Open Sans"/>
        </w:rPr>
        <w:t>BX’s rights under article 10 of the ICCPR, to be treated with humanity and with respect for his inherent dignity when deprived of liberty.</w:t>
      </w:r>
    </w:p>
    <w:p w14:paraId="4879D446" w14:textId="44B7912E" w:rsidR="001816E3" w:rsidRDefault="001816E3" w:rsidP="00F02D5A">
      <w:pPr>
        <w:pStyle w:val="SubmissionNormal"/>
        <w:numPr>
          <w:ilvl w:val="0"/>
          <w:numId w:val="20"/>
        </w:numPr>
        <w:rPr>
          <w:rFonts w:cs="Open Sans"/>
        </w:rPr>
      </w:pPr>
      <w:r>
        <w:rPr>
          <w:rFonts w:cs="Open Sans"/>
        </w:rPr>
        <w:t>I make the following recommendations:</w:t>
      </w:r>
    </w:p>
    <w:p w14:paraId="065624C3" w14:textId="4F3DBB5C" w:rsidR="001816E3" w:rsidRPr="001816E3" w:rsidRDefault="001816E3" w:rsidP="001816E3">
      <w:pPr>
        <w:pStyle w:val="ListParagraph"/>
        <w:keepNext/>
        <w:rPr>
          <w:rFonts w:cs="Open Sans"/>
          <w:b/>
          <w:bCs/>
        </w:rPr>
      </w:pPr>
      <w:r w:rsidRPr="001253CA">
        <w:rPr>
          <w:rFonts w:cs="Open Sans"/>
          <w:b/>
          <w:bCs/>
        </w:rPr>
        <w:t xml:space="preserve">Recommendation 1 </w:t>
      </w:r>
    </w:p>
    <w:p w14:paraId="23385694" w14:textId="47E048C6" w:rsidR="001816E3" w:rsidRPr="001816E3" w:rsidRDefault="001816E3" w:rsidP="001816E3">
      <w:pPr>
        <w:pStyle w:val="ListParagraph"/>
        <w:keepNext/>
        <w:rPr>
          <w:rFonts w:cs="Open Sans"/>
        </w:rPr>
      </w:pPr>
      <w:r w:rsidRPr="001253CA">
        <w:rPr>
          <w:rFonts w:cs="Open Sans"/>
        </w:rPr>
        <w:t xml:space="preserve">The Commonwealth pay to </w:t>
      </w:r>
      <w:r w:rsidR="0051338C">
        <w:rPr>
          <w:rFonts w:cs="Open Sans"/>
        </w:rPr>
        <w:t>Mr</w:t>
      </w:r>
      <w:r w:rsidRPr="001253CA">
        <w:rPr>
          <w:rFonts w:cs="Open Sans"/>
        </w:rPr>
        <w:t xml:space="preserve"> BX an appropriate amount of compensation to reflect the loss and damage he suffered </w:t>
      </w:r>
      <w:proofErr w:type="gramStart"/>
      <w:r w:rsidRPr="001253CA">
        <w:rPr>
          <w:rFonts w:cs="Open Sans"/>
        </w:rPr>
        <w:t>as a result of</w:t>
      </w:r>
      <w:proofErr w:type="gramEnd"/>
      <w:r w:rsidRPr="001253CA">
        <w:rPr>
          <w:rFonts w:cs="Open Sans"/>
        </w:rPr>
        <w:t xml:space="preserve"> the breach of his human rights identified by this inquiry, being the pain and suffering he experienced as a result of the use of force against him. </w:t>
      </w:r>
    </w:p>
    <w:p w14:paraId="108A750A" w14:textId="418DEB95" w:rsidR="001816E3" w:rsidRPr="001816E3" w:rsidRDefault="001816E3" w:rsidP="001816E3">
      <w:pPr>
        <w:pStyle w:val="ListParagraph"/>
        <w:keepNext/>
        <w:rPr>
          <w:rFonts w:cs="Open Sans"/>
          <w:b/>
          <w:bCs/>
        </w:rPr>
      </w:pPr>
      <w:r w:rsidRPr="001253CA">
        <w:rPr>
          <w:rFonts w:cs="Open Sans"/>
          <w:b/>
          <w:bCs/>
        </w:rPr>
        <w:t>Recommendation 2</w:t>
      </w:r>
    </w:p>
    <w:p w14:paraId="0AB469EB" w14:textId="4CD4AC95" w:rsidR="001816E3" w:rsidRPr="00F90D34" w:rsidRDefault="001816E3" w:rsidP="00F90D34">
      <w:pPr>
        <w:pStyle w:val="ListParagraph"/>
        <w:keepNext/>
        <w:rPr>
          <w:rFonts w:cs="Open Sans"/>
        </w:rPr>
      </w:pPr>
      <w:r w:rsidRPr="001253CA">
        <w:rPr>
          <w:rFonts w:cs="Open Sans"/>
        </w:rPr>
        <w:t>The Department and Serco ensure that officers who may be required to use force in their roles be appropriately and periodically trained on how to</w:t>
      </w:r>
      <w:r>
        <w:rPr>
          <w:rFonts w:cs="Open Sans"/>
        </w:rPr>
        <w:t xml:space="preserve"> </w:t>
      </w:r>
      <w:r w:rsidRPr="001253CA">
        <w:rPr>
          <w:rFonts w:cs="Open Sans"/>
        </w:rPr>
        <w:t xml:space="preserve">select and properly deploy use of force techniques, </w:t>
      </w:r>
      <w:proofErr w:type="gramStart"/>
      <w:r w:rsidRPr="001253CA">
        <w:rPr>
          <w:rFonts w:cs="Open Sans"/>
        </w:rPr>
        <w:t>so as to</w:t>
      </w:r>
      <w:proofErr w:type="gramEnd"/>
      <w:r w:rsidRPr="001253CA">
        <w:rPr>
          <w:rFonts w:cs="Open Sans"/>
        </w:rPr>
        <w:t xml:space="preserve"> avoid harm to the person against whom force is used.  </w:t>
      </w:r>
    </w:p>
    <w:p w14:paraId="06CD9CE8" w14:textId="20D693FE" w:rsidR="001816E3" w:rsidRPr="00F90D34" w:rsidRDefault="001816E3" w:rsidP="00F90D34">
      <w:pPr>
        <w:pStyle w:val="ListParagraph"/>
        <w:keepNext/>
        <w:rPr>
          <w:rFonts w:cs="Open Sans"/>
          <w:b/>
          <w:bCs/>
        </w:rPr>
      </w:pPr>
      <w:r w:rsidRPr="001253CA">
        <w:rPr>
          <w:rFonts w:cs="Open Sans"/>
          <w:b/>
          <w:bCs/>
        </w:rPr>
        <w:t>Rec</w:t>
      </w:r>
      <w:r w:rsidR="00F90D34">
        <w:rPr>
          <w:rFonts w:cs="Open Sans"/>
          <w:b/>
          <w:bCs/>
        </w:rPr>
        <w:t>o</w:t>
      </w:r>
      <w:r w:rsidRPr="001253CA">
        <w:rPr>
          <w:rFonts w:cs="Open Sans"/>
          <w:b/>
          <w:bCs/>
        </w:rPr>
        <w:t>mmendation 3</w:t>
      </w:r>
    </w:p>
    <w:p w14:paraId="40463168" w14:textId="6173F3B4" w:rsidR="001816E3" w:rsidRPr="00F90D34" w:rsidRDefault="001816E3" w:rsidP="00F90D34">
      <w:pPr>
        <w:pStyle w:val="ListParagraph"/>
        <w:widowControl w:val="0"/>
        <w:rPr>
          <w:rFonts w:cs="Open Sans"/>
        </w:rPr>
      </w:pPr>
      <w:r w:rsidRPr="001253CA">
        <w:rPr>
          <w:rFonts w:cs="Open Sans"/>
        </w:rPr>
        <w:t xml:space="preserve">The Department and Serco ensure that officers who may be required to use force in their roles be appropriately and periodically trained on communication, </w:t>
      </w:r>
      <w:proofErr w:type="gramStart"/>
      <w:r w:rsidRPr="001253CA">
        <w:rPr>
          <w:rFonts w:cs="Open Sans"/>
        </w:rPr>
        <w:t>negotiation</w:t>
      </w:r>
      <w:proofErr w:type="gramEnd"/>
      <w:r w:rsidRPr="001253CA">
        <w:rPr>
          <w:rFonts w:cs="Open Sans"/>
        </w:rPr>
        <w:t xml:space="preserve"> and conflict de-escalation strategies as alternatives to the use of force. </w:t>
      </w:r>
    </w:p>
    <w:p w14:paraId="502853D9" w14:textId="1D669195" w:rsidR="003724A9" w:rsidRPr="00F90D34" w:rsidRDefault="00F90D34" w:rsidP="001816E3">
      <w:pPr>
        <w:pStyle w:val="AHRCHeading1"/>
      </w:pPr>
      <w:bookmarkStart w:id="6" w:name="_Toc164768969"/>
      <w:r>
        <w:rPr>
          <w:rFonts w:cs="Open Sans"/>
        </w:rPr>
        <w:t>Background</w:t>
      </w:r>
      <w:bookmarkEnd w:id="6"/>
    </w:p>
    <w:p w14:paraId="566440EB" w14:textId="7F91ECAD" w:rsidR="00F90D34" w:rsidRDefault="00F90D34" w:rsidP="00F90D34">
      <w:pPr>
        <w:pStyle w:val="AHRCHeading2"/>
      </w:pPr>
      <w:bookmarkStart w:id="7" w:name="_Toc164768970"/>
      <w:r>
        <w:t>Immigration detention</w:t>
      </w:r>
      <w:bookmarkEnd w:id="7"/>
    </w:p>
    <w:p w14:paraId="03C0BF05" w14:textId="423F5BB7"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On 2 July 2008, </w:t>
      </w:r>
      <w:proofErr w:type="spellStart"/>
      <w:r w:rsidR="0077354C">
        <w:rPr>
          <w:rFonts w:ascii="Open Sans" w:hAnsi="Open Sans" w:cs="Open Sans"/>
        </w:rPr>
        <w:t>Mr</w:t>
      </w:r>
      <w:proofErr w:type="spellEnd"/>
      <w:r w:rsidRPr="001253CA">
        <w:rPr>
          <w:rFonts w:ascii="Open Sans" w:hAnsi="Open Sans" w:cs="Open Sans"/>
        </w:rPr>
        <w:t xml:space="preserve"> BX entered Australia as a holder of a Global Special Humanitarian visa. At the time, he was approximately 13 years old. On 18 February 2014, he acquired Australian citizenship by conferral. </w:t>
      </w:r>
    </w:p>
    <w:p w14:paraId="146CDCE4" w14:textId="39845F93"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lastRenderedPageBreak/>
        <w:t xml:space="preserve">On 14 October 2015, he was convicted of four counts of ‘robbery in company’ and was sentenced to a term of imprisonment of 8 years and 2 months with the offences being committed on various dates between 7 January 2014 and July 2015. On 21 June 2018, his Australian citizenship was revoked by the Minister for Immigration, using his discretionary power and on the same day, he was granted an Ex-Citizen visa. </w:t>
      </w:r>
      <w:proofErr w:type="spellStart"/>
      <w:r w:rsidR="008A2C52">
        <w:rPr>
          <w:rFonts w:ascii="Open Sans" w:hAnsi="Open Sans" w:cs="Open Sans"/>
        </w:rPr>
        <w:t>Mr</w:t>
      </w:r>
      <w:proofErr w:type="spellEnd"/>
      <w:r w:rsidR="008A2C52">
        <w:rPr>
          <w:rFonts w:ascii="Open Sans" w:hAnsi="Open Sans" w:cs="Open Sans"/>
        </w:rPr>
        <w:t xml:space="preserve"> </w:t>
      </w:r>
      <w:r w:rsidRPr="001253CA">
        <w:rPr>
          <w:rFonts w:ascii="Open Sans" w:hAnsi="Open Sans" w:cs="Open Sans"/>
        </w:rPr>
        <w:t xml:space="preserve">BX sought review of the decision to revoke his Australian citizenship. </w:t>
      </w:r>
    </w:p>
    <w:p w14:paraId="2F62C18A" w14:textId="4606FCB1"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On 6 March 2019, </w:t>
      </w:r>
      <w:proofErr w:type="spellStart"/>
      <w:r w:rsidR="002D2DE3">
        <w:rPr>
          <w:rFonts w:ascii="Open Sans" w:hAnsi="Open Sans" w:cs="Open Sans"/>
        </w:rPr>
        <w:t>Mr</w:t>
      </w:r>
      <w:proofErr w:type="spellEnd"/>
      <w:r w:rsidR="002D2DE3">
        <w:rPr>
          <w:rFonts w:ascii="Open Sans" w:hAnsi="Open Sans" w:cs="Open Sans"/>
        </w:rPr>
        <w:t xml:space="preserve"> </w:t>
      </w:r>
      <w:r w:rsidRPr="001253CA">
        <w:rPr>
          <w:rFonts w:ascii="Open Sans" w:hAnsi="Open Sans" w:cs="Open Sans"/>
        </w:rPr>
        <w:t xml:space="preserve">BX’s Ex-Citizen visa was mandatorily cancelled </w:t>
      </w:r>
      <w:proofErr w:type="gramStart"/>
      <w:r w:rsidRPr="001253CA">
        <w:rPr>
          <w:rFonts w:ascii="Open Sans" w:hAnsi="Open Sans" w:cs="Open Sans"/>
        </w:rPr>
        <w:t>on the basis of</w:t>
      </w:r>
      <w:proofErr w:type="gramEnd"/>
      <w:r w:rsidRPr="001253CA">
        <w:rPr>
          <w:rFonts w:ascii="Open Sans" w:hAnsi="Open Sans" w:cs="Open Sans"/>
        </w:rPr>
        <w:t xml:space="preserve"> his substantial criminal record and full-time imprisonment. He applied for revocation of the cancellation decision, however the application was lodged outside of time and found to be invalid. </w:t>
      </w:r>
    </w:p>
    <w:p w14:paraId="7AA79323" w14:textId="4B21010A"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On 8 July 2019, the AAT affirmed the Minister for Immigration’s decision to revoke </w:t>
      </w:r>
      <w:proofErr w:type="spellStart"/>
      <w:r w:rsidR="002D2DE3">
        <w:rPr>
          <w:rFonts w:ascii="Open Sans" w:hAnsi="Open Sans" w:cs="Open Sans"/>
        </w:rPr>
        <w:t>Mr</w:t>
      </w:r>
      <w:proofErr w:type="spellEnd"/>
      <w:r w:rsidR="002D2DE3">
        <w:rPr>
          <w:rFonts w:ascii="Open Sans" w:hAnsi="Open Sans" w:cs="Open Sans"/>
        </w:rPr>
        <w:t xml:space="preserve"> </w:t>
      </w:r>
      <w:r w:rsidRPr="001253CA">
        <w:rPr>
          <w:rFonts w:ascii="Open Sans" w:hAnsi="Open Sans" w:cs="Open Sans"/>
        </w:rPr>
        <w:t xml:space="preserve">BX’s Australian citizenship. </w:t>
      </w:r>
      <w:proofErr w:type="spellStart"/>
      <w:r w:rsidR="002D2DE3">
        <w:rPr>
          <w:rFonts w:ascii="Open Sans" w:hAnsi="Open Sans" w:cs="Open Sans"/>
        </w:rPr>
        <w:t>Mr</w:t>
      </w:r>
      <w:proofErr w:type="spellEnd"/>
      <w:r w:rsidR="002D2DE3">
        <w:rPr>
          <w:rFonts w:ascii="Open Sans" w:hAnsi="Open Sans" w:cs="Open Sans"/>
        </w:rPr>
        <w:t xml:space="preserve"> </w:t>
      </w:r>
      <w:r w:rsidRPr="001253CA">
        <w:rPr>
          <w:rFonts w:ascii="Open Sans" w:hAnsi="Open Sans" w:cs="Open Sans"/>
        </w:rPr>
        <w:t xml:space="preserve">BX sought judicial review of his Ex-Citizen visa </w:t>
      </w:r>
      <w:proofErr w:type="gramStart"/>
      <w:r w:rsidRPr="001253CA">
        <w:rPr>
          <w:rFonts w:ascii="Open Sans" w:hAnsi="Open Sans" w:cs="Open Sans"/>
        </w:rPr>
        <w:t>cancellation</w:t>
      </w:r>
      <w:proofErr w:type="gramEnd"/>
      <w:r w:rsidRPr="001253CA">
        <w:rPr>
          <w:rFonts w:ascii="Open Sans" w:hAnsi="Open Sans" w:cs="Open Sans"/>
        </w:rPr>
        <w:t xml:space="preserve"> but his appeal was dismissed by the Full Court of the Federal Court on 15 August 2023. </w:t>
      </w:r>
      <w:proofErr w:type="spellStart"/>
      <w:r w:rsidR="001F489E">
        <w:rPr>
          <w:rFonts w:ascii="Open Sans" w:hAnsi="Open Sans" w:cs="Open Sans"/>
        </w:rPr>
        <w:t>Mr</w:t>
      </w:r>
      <w:proofErr w:type="spellEnd"/>
      <w:r w:rsidR="001F489E">
        <w:rPr>
          <w:rFonts w:ascii="Open Sans" w:hAnsi="Open Sans" w:cs="Open Sans"/>
        </w:rPr>
        <w:t xml:space="preserve"> </w:t>
      </w:r>
      <w:r w:rsidRPr="001253CA">
        <w:rPr>
          <w:rFonts w:ascii="Open Sans" w:hAnsi="Open Sans" w:cs="Open Sans"/>
        </w:rPr>
        <w:t>BX has an ongoing protection visa application before the Department and has made representations for ministerial intervention.</w:t>
      </w:r>
    </w:p>
    <w:p w14:paraId="09C494E9" w14:textId="6EFC97DD"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On 8 April 2020, </w:t>
      </w:r>
      <w:proofErr w:type="spellStart"/>
      <w:r w:rsidR="001F489E">
        <w:rPr>
          <w:rFonts w:ascii="Open Sans" w:hAnsi="Open Sans" w:cs="Open Sans"/>
        </w:rPr>
        <w:t>Mr</w:t>
      </w:r>
      <w:proofErr w:type="spellEnd"/>
      <w:r w:rsidR="001F489E">
        <w:rPr>
          <w:rFonts w:ascii="Open Sans" w:hAnsi="Open Sans" w:cs="Open Sans"/>
        </w:rPr>
        <w:t xml:space="preserve"> </w:t>
      </w:r>
      <w:r w:rsidRPr="001253CA">
        <w:rPr>
          <w:rFonts w:ascii="Open Sans" w:hAnsi="Open Sans" w:cs="Open Sans"/>
        </w:rPr>
        <w:t xml:space="preserve">BX was released from criminal custody and transferred to VIDC. On 3 January 2023, he was released briefly from VIDC following the decision in </w:t>
      </w:r>
      <w:r w:rsidRPr="001253CA">
        <w:rPr>
          <w:rFonts w:ascii="Open Sans" w:hAnsi="Open Sans" w:cs="Open Sans"/>
          <w:i/>
          <w:iCs/>
        </w:rPr>
        <w:t>Pearson v Minister for Home Affairs</w:t>
      </w:r>
      <w:r w:rsidRPr="001253CA">
        <w:rPr>
          <w:rFonts w:ascii="Open Sans" w:hAnsi="Open Sans" w:cs="Open Sans"/>
        </w:rPr>
        <w:t>,</w:t>
      </w:r>
      <w:r w:rsidRPr="001253CA">
        <w:rPr>
          <w:rStyle w:val="EndnoteReference"/>
          <w:rFonts w:eastAsia="MS Mincho" w:cs="Open Sans"/>
        </w:rPr>
        <w:endnoteReference w:id="3"/>
      </w:r>
      <w:r w:rsidRPr="001253CA">
        <w:rPr>
          <w:rFonts w:ascii="Open Sans" w:hAnsi="Open Sans" w:cs="Open Sans"/>
        </w:rPr>
        <w:t xml:space="preserve"> but was re-detained there on 19 April 2023 following legislative amendments that re-validated his visa cancellation.</w:t>
      </w:r>
      <w:r w:rsidRPr="001253CA">
        <w:rPr>
          <w:rStyle w:val="EndnoteReference"/>
          <w:rFonts w:eastAsia="MS Mincho" w:cs="Open Sans"/>
        </w:rPr>
        <w:endnoteReference w:id="4"/>
      </w:r>
      <w:r w:rsidRPr="001253CA">
        <w:rPr>
          <w:rFonts w:ascii="Open Sans" w:hAnsi="Open Sans" w:cs="Open Sans"/>
        </w:rPr>
        <w:t xml:space="preserve"> </w:t>
      </w:r>
    </w:p>
    <w:p w14:paraId="55917766" w14:textId="7A96B907" w:rsidR="00F90D34" w:rsidRPr="001253CA" w:rsidRDefault="00F90D34" w:rsidP="00F02D5A">
      <w:pPr>
        <w:pStyle w:val="NameInsert"/>
        <w:numPr>
          <w:ilvl w:val="0"/>
          <w:numId w:val="20"/>
        </w:numPr>
        <w:spacing w:before="240" w:after="240"/>
        <w:jc w:val="left"/>
        <w:rPr>
          <w:rFonts w:ascii="Open Sans" w:hAnsi="Open Sans" w:cs="Open Sans"/>
          <w:color w:val="auto"/>
        </w:rPr>
      </w:pPr>
      <w:r w:rsidRPr="001253CA">
        <w:rPr>
          <w:rFonts w:ascii="Open Sans" w:hAnsi="Open Sans" w:cs="Open Sans"/>
          <w:color w:val="auto"/>
        </w:rPr>
        <w:t xml:space="preserve">On 10 August 2023, </w:t>
      </w:r>
      <w:proofErr w:type="spellStart"/>
      <w:r w:rsidR="0009753C">
        <w:rPr>
          <w:rFonts w:ascii="Open Sans" w:hAnsi="Open Sans" w:cs="Open Sans"/>
          <w:color w:val="auto"/>
        </w:rPr>
        <w:t>Mr</w:t>
      </w:r>
      <w:proofErr w:type="spellEnd"/>
      <w:r w:rsidR="0009753C">
        <w:rPr>
          <w:rFonts w:ascii="Open Sans" w:hAnsi="Open Sans" w:cs="Open Sans"/>
          <w:color w:val="auto"/>
        </w:rPr>
        <w:t xml:space="preserve"> </w:t>
      </w:r>
      <w:r w:rsidRPr="001253CA">
        <w:rPr>
          <w:rFonts w:ascii="Open Sans" w:hAnsi="Open Sans" w:cs="Open Sans"/>
          <w:color w:val="auto"/>
        </w:rPr>
        <w:t xml:space="preserve">BX was transferred from VIDC to Yongah Hill Immigration Detention Centre. </w:t>
      </w:r>
      <w:proofErr w:type="spellStart"/>
      <w:r w:rsidR="0009753C">
        <w:rPr>
          <w:rFonts w:ascii="Open Sans" w:hAnsi="Open Sans" w:cs="Open Sans"/>
          <w:color w:val="auto"/>
        </w:rPr>
        <w:t>Mr</w:t>
      </w:r>
      <w:proofErr w:type="spellEnd"/>
      <w:r w:rsidR="0009753C">
        <w:rPr>
          <w:rFonts w:ascii="Open Sans" w:hAnsi="Open Sans" w:cs="Open Sans"/>
          <w:color w:val="auto"/>
        </w:rPr>
        <w:t xml:space="preserve"> </w:t>
      </w:r>
      <w:r w:rsidRPr="001253CA">
        <w:rPr>
          <w:rFonts w:ascii="Open Sans" w:hAnsi="Open Sans" w:cs="Open Sans"/>
          <w:color w:val="auto"/>
        </w:rPr>
        <w:t xml:space="preserve">BX advises through his solicitor that this occurred without notice and no explanation was given for his transfer. On 18 December 2023, </w:t>
      </w:r>
      <w:proofErr w:type="spellStart"/>
      <w:r w:rsidR="0009753C">
        <w:rPr>
          <w:rFonts w:ascii="Open Sans" w:hAnsi="Open Sans" w:cs="Open Sans"/>
          <w:color w:val="auto"/>
        </w:rPr>
        <w:t>Mr</w:t>
      </w:r>
      <w:proofErr w:type="spellEnd"/>
      <w:r w:rsidR="0009753C">
        <w:rPr>
          <w:rFonts w:ascii="Open Sans" w:hAnsi="Open Sans" w:cs="Open Sans"/>
          <w:color w:val="auto"/>
        </w:rPr>
        <w:t xml:space="preserve"> </w:t>
      </w:r>
      <w:r w:rsidRPr="001253CA">
        <w:rPr>
          <w:rFonts w:ascii="Open Sans" w:hAnsi="Open Sans" w:cs="Open Sans"/>
          <w:color w:val="auto"/>
        </w:rPr>
        <w:t>BX was transferred back to VIDC from Yongah Hill.</w:t>
      </w:r>
    </w:p>
    <w:p w14:paraId="5B3D89DC" w14:textId="031E6852" w:rsidR="001664F5" w:rsidRPr="00826B0B" w:rsidRDefault="00F90D34" w:rsidP="001664F5">
      <w:pPr>
        <w:pStyle w:val="AHRCHeading2"/>
      </w:pPr>
      <w:bookmarkStart w:id="8" w:name="_Toc164768971"/>
      <w:r>
        <w:t>Events of 22 July 2020</w:t>
      </w:r>
      <w:bookmarkEnd w:id="8"/>
    </w:p>
    <w:p w14:paraId="6CCC253F" w14:textId="188AF915"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The circumstances leading up to the first use of force incident do not appear to be contested between the Department and </w:t>
      </w:r>
      <w:proofErr w:type="spellStart"/>
      <w:r w:rsidR="00F23393">
        <w:rPr>
          <w:rFonts w:ascii="Open Sans" w:hAnsi="Open Sans" w:cs="Open Sans"/>
        </w:rPr>
        <w:t>Mr</w:t>
      </w:r>
      <w:proofErr w:type="spellEnd"/>
      <w:r w:rsidR="00F23393">
        <w:rPr>
          <w:rFonts w:ascii="Open Sans" w:hAnsi="Open Sans" w:cs="Open Sans"/>
        </w:rPr>
        <w:t xml:space="preserve"> </w:t>
      </w:r>
      <w:r w:rsidRPr="001253CA">
        <w:rPr>
          <w:rFonts w:ascii="Open Sans" w:hAnsi="Open Sans" w:cs="Open Sans"/>
        </w:rPr>
        <w:t xml:space="preserve">BX, rather the matter of the level of force used and whether this was excessive.  </w:t>
      </w:r>
    </w:p>
    <w:p w14:paraId="6EBDC2C4" w14:textId="5153F381"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On 22 July 2020, </w:t>
      </w:r>
      <w:proofErr w:type="spellStart"/>
      <w:r w:rsidR="00F23393">
        <w:rPr>
          <w:rFonts w:ascii="Open Sans" w:hAnsi="Open Sans" w:cs="Open Sans"/>
        </w:rPr>
        <w:t>Mr</w:t>
      </w:r>
      <w:proofErr w:type="spellEnd"/>
      <w:r w:rsidR="00F23393">
        <w:rPr>
          <w:rFonts w:ascii="Open Sans" w:hAnsi="Open Sans" w:cs="Open Sans"/>
        </w:rPr>
        <w:t xml:space="preserve"> </w:t>
      </w:r>
      <w:r w:rsidRPr="001253CA">
        <w:rPr>
          <w:rFonts w:ascii="Open Sans" w:hAnsi="Open Sans" w:cs="Open Sans"/>
        </w:rPr>
        <w:t xml:space="preserve">BX was with another detainee in the outdoor Hume A compound at VIDC. At this time, </w:t>
      </w:r>
      <w:proofErr w:type="spellStart"/>
      <w:r w:rsidR="00F23393">
        <w:rPr>
          <w:rFonts w:ascii="Open Sans" w:hAnsi="Open Sans" w:cs="Open Sans"/>
        </w:rPr>
        <w:t>Mr</w:t>
      </w:r>
      <w:proofErr w:type="spellEnd"/>
      <w:r w:rsidR="00F23393">
        <w:rPr>
          <w:rFonts w:ascii="Open Sans" w:hAnsi="Open Sans" w:cs="Open Sans"/>
        </w:rPr>
        <w:t xml:space="preserve"> </w:t>
      </w:r>
      <w:r w:rsidRPr="001253CA">
        <w:rPr>
          <w:rFonts w:ascii="Open Sans" w:hAnsi="Open Sans" w:cs="Open Sans"/>
        </w:rPr>
        <w:t>BX had been detained in immigration detention at VIDC for over 3 months.</w:t>
      </w:r>
    </w:p>
    <w:p w14:paraId="00E5D42A" w14:textId="64780F03" w:rsidR="00F90D34" w:rsidRPr="001253CA" w:rsidRDefault="00AE6E6E" w:rsidP="00F02D5A">
      <w:pPr>
        <w:pStyle w:val="NameInsert"/>
        <w:numPr>
          <w:ilvl w:val="0"/>
          <w:numId w:val="20"/>
        </w:numPr>
        <w:spacing w:before="240" w:after="240"/>
        <w:jc w:val="left"/>
        <w:rPr>
          <w:rFonts w:ascii="Open Sans" w:hAnsi="Open Sans" w:cs="Open Sans"/>
        </w:rPr>
      </w:pPr>
      <w:proofErr w:type="spellStart"/>
      <w:r>
        <w:rPr>
          <w:rFonts w:ascii="Open Sans" w:hAnsi="Open Sans" w:cs="Open Sans"/>
        </w:rPr>
        <w:t>Mr</w:t>
      </w:r>
      <w:proofErr w:type="spellEnd"/>
      <w:r>
        <w:rPr>
          <w:rFonts w:ascii="Open Sans" w:hAnsi="Open Sans" w:cs="Open Sans"/>
        </w:rPr>
        <w:t xml:space="preserve"> </w:t>
      </w:r>
      <w:r w:rsidR="00F90D34" w:rsidRPr="001253CA">
        <w:rPr>
          <w:rFonts w:ascii="Open Sans" w:hAnsi="Open Sans" w:cs="Open Sans"/>
        </w:rPr>
        <w:t>BX states in his complaint to the Commission, that he was sitting next to the kitchen in Hume A with another detainee when ERT officers used force to bring the other detainee to the ground. He states that this other detainee was yelling and couldn’t breathe so he walked up to the officers involved and asked them to stop.</w:t>
      </w:r>
    </w:p>
    <w:p w14:paraId="0C090596" w14:textId="77777777"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He further states that ERT officers then used force to bring him to the ground, with two officers on his shoulders and one officer on his legs. He says that his head hit the ground and he fell unconscious. </w:t>
      </w:r>
    </w:p>
    <w:p w14:paraId="5127F30E" w14:textId="3A39B342" w:rsidR="00F90D34" w:rsidRPr="001253CA" w:rsidRDefault="00AB6773" w:rsidP="00F02D5A">
      <w:pPr>
        <w:pStyle w:val="NameInsert"/>
        <w:numPr>
          <w:ilvl w:val="0"/>
          <w:numId w:val="20"/>
        </w:numPr>
        <w:spacing w:before="240" w:after="240"/>
        <w:jc w:val="left"/>
        <w:rPr>
          <w:rFonts w:ascii="Open Sans" w:hAnsi="Open Sans" w:cs="Open Sans"/>
        </w:rPr>
      </w:pPr>
      <w:proofErr w:type="spellStart"/>
      <w:r>
        <w:rPr>
          <w:rFonts w:ascii="Open Sans" w:hAnsi="Open Sans" w:cs="Open Sans"/>
        </w:rPr>
        <w:lastRenderedPageBreak/>
        <w:t>Mr</w:t>
      </w:r>
      <w:proofErr w:type="spellEnd"/>
      <w:r>
        <w:rPr>
          <w:rFonts w:ascii="Open Sans" w:hAnsi="Open Sans" w:cs="Open Sans"/>
        </w:rPr>
        <w:t xml:space="preserve"> </w:t>
      </w:r>
      <w:r w:rsidR="00F90D34" w:rsidRPr="001253CA">
        <w:rPr>
          <w:rFonts w:ascii="Open Sans" w:hAnsi="Open Sans" w:cs="Open Sans"/>
        </w:rPr>
        <w:t xml:space="preserve">BX claims he woke up in the International Health Medical Services (IHMS) clinic at VIDC and had a ‘gash’ to his head. He noticed that his handcuffs were tight and hurting his shoulders. The next night, he felt </w:t>
      </w:r>
      <w:proofErr w:type="gramStart"/>
      <w:r w:rsidR="00F90D34" w:rsidRPr="001253CA">
        <w:rPr>
          <w:rFonts w:ascii="Open Sans" w:hAnsi="Open Sans" w:cs="Open Sans"/>
        </w:rPr>
        <w:t>dizzy</w:t>
      </w:r>
      <w:proofErr w:type="gramEnd"/>
      <w:r w:rsidR="00F90D34" w:rsidRPr="001253CA">
        <w:rPr>
          <w:rFonts w:ascii="Open Sans" w:hAnsi="Open Sans" w:cs="Open Sans"/>
        </w:rPr>
        <w:t xml:space="preserve"> and his hands, neck and legs were hurting. He was taken by ambulance to hospital and diagnosed with pain </w:t>
      </w:r>
      <w:proofErr w:type="gramStart"/>
      <w:r w:rsidR="00F90D34" w:rsidRPr="001253CA">
        <w:rPr>
          <w:rFonts w:ascii="Open Sans" w:hAnsi="Open Sans" w:cs="Open Sans"/>
        </w:rPr>
        <w:t>to</w:t>
      </w:r>
      <w:proofErr w:type="gramEnd"/>
      <w:r w:rsidR="00F90D34" w:rsidRPr="001253CA">
        <w:rPr>
          <w:rFonts w:ascii="Open Sans" w:hAnsi="Open Sans" w:cs="Open Sans"/>
        </w:rPr>
        <w:t xml:space="preserve"> his right wrist. He was discharged the next day on 23 July 2020. </w:t>
      </w:r>
    </w:p>
    <w:p w14:paraId="04A441D5" w14:textId="12A65CFA"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In its response to </w:t>
      </w:r>
      <w:proofErr w:type="spellStart"/>
      <w:r w:rsidR="00325351">
        <w:rPr>
          <w:rFonts w:ascii="Open Sans" w:hAnsi="Open Sans" w:cs="Open Sans"/>
        </w:rPr>
        <w:t>Mr</w:t>
      </w:r>
      <w:proofErr w:type="spellEnd"/>
      <w:r w:rsidRPr="001253CA">
        <w:rPr>
          <w:rFonts w:ascii="Open Sans" w:hAnsi="Open Sans" w:cs="Open Sans"/>
        </w:rPr>
        <w:t xml:space="preserve"> BX’s complaint, the Department states that on 22 July 2020, ERT officers were called in response to an incident involving another detainee in the Hume A compound. It says that the other detainee had requested to borrow a broom at the officer’s station but when informed that there was none, punched a window and pushed over a computer monitor. </w:t>
      </w:r>
      <w:proofErr w:type="spellStart"/>
      <w:r w:rsidR="00017566">
        <w:rPr>
          <w:rFonts w:ascii="Open Sans" w:hAnsi="Open Sans" w:cs="Open Sans"/>
        </w:rPr>
        <w:t>Mr</w:t>
      </w:r>
      <w:proofErr w:type="spellEnd"/>
      <w:r w:rsidR="00017566">
        <w:rPr>
          <w:rFonts w:ascii="Open Sans" w:hAnsi="Open Sans" w:cs="Open Sans"/>
        </w:rPr>
        <w:t xml:space="preserve"> </w:t>
      </w:r>
      <w:r w:rsidRPr="001253CA">
        <w:rPr>
          <w:rFonts w:ascii="Open Sans" w:hAnsi="Open Sans" w:cs="Open Sans"/>
        </w:rPr>
        <w:t xml:space="preserve">BX alleges that a Serco officer had been sleeping in the officer’s station. </w:t>
      </w:r>
    </w:p>
    <w:p w14:paraId="2C7E4D2A" w14:textId="50BB5BAE"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The Department alleges that the other detainee who was with </w:t>
      </w:r>
      <w:proofErr w:type="spellStart"/>
      <w:r w:rsidR="00017566">
        <w:rPr>
          <w:rFonts w:ascii="Open Sans" w:hAnsi="Open Sans" w:cs="Open Sans"/>
        </w:rPr>
        <w:t>Mr</w:t>
      </w:r>
      <w:proofErr w:type="spellEnd"/>
      <w:r w:rsidR="00017566">
        <w:rPr>
          <w:rFonts w:ascii="Open Sans" w:hAnsi="Open Sans" w:cs="Open Sans"/>
        </w:rPr>
        <w:t xml:space="preserve"> </w:t>
      </w:r>
      <w:r w:rsidRPr="001253CA">
        <w:rPr>
          <w:rFonts w:ascii="Open Sans" w:hAnsi="Open Sans" w:cs="Open Sans"/>
        </w:rPr>
        <w:t xml:space="preserve">BX, became abusive, </w:t>
      </w:r>
      <w:proofErr w:type="gramStart"/>
      <w:r w:rsidRPr="001253CA">
        <w:rPr>
          <w:rFonts w:ascii="Open Sans" w:hAnsi="Open Sans" w:cs="Open Sans"/>
        </w:rPr>
        <w:t>aggressive</w:t>
      </w:r>
      <w:proofErr w:type="gramEnd"/>
      <w:r w:rsidRPr="001253CA">
        <w:rPr>
          <w:rFonts w:ascii="Open Sans" w:hAnsi="Open Sans" w:cs="Open Sans"/>
        </w:rPr>
        <w:t xml:space="preserve"> and non-compliant by sitting and kicking the ERT officers and was therefore ground </w:t>
      </w:r>
      <w:proofErr w:type="spellStart"/>
      <w:r w:rsidRPr="001253CA">
        <w:rPr>
          <w:rFonts w:ascii="Open Sans" w:hAnsi="Open Sans" w:cs="Open Sans"/>
        </w:rPr>
        <w:t>stabilised</w:t>
      </w:r>
      <w:proofErr w:type="spellEnd"/>
      <w:r w:rsidRPr="001253CA">
        <w:rPr>
          <w:rFonts w:ascii="Open Sans" w:hAnsi="Open Sans" w:cs="Open Sans"/>
        </w:rPr>
        <w:t xml:space="preserve"> to ensure the safety, security and good order of the </w:t>
      </w:r>
      <w:r w:rsidR="005C776D">
        <w:rPr>
          <w:rFonts w:ascii="Open Sans" w:hAnsi="Open Sans" w:cs="Open Sans"/>
        </w:rPr>
        <w:t>C</w:t>
      </w:r>
      <w:r w:rsidRPr="001253CA">
        <w:rPr>
          <w:rFonts w:ascii="Open Sans" w:hAnsi="Open Sans" w:cs="Open Sans"/>
        </w:rPr>
        <w:t xml:space="preserve">entre.  </w:t>
      </w:r>
    </w:p>
    <w:p w14:paraId="0463145C" w14:textId="4FBDC697" w:rsidR="00F90D34"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Upon doing so, the Department alleges that </w:t>
      </w:r>
      <w:proofErr w:type="spellStart"/>
      <w:r w:rsidR="005C776D">
        <w:rPr>
          <w:rFonts w:ascii="Open Sans" w:hAnsi="Open Sans" w:cs="Open Sans"/>
        </w:rPr>
        <w:t>Mr</w:t>
      </w:r>
      <w:proofErr w:type="spellEnd"/>
      <w:r w:rsidR="005C776D">
        <w:rPr>
          <w:rFonts w:ascii="Open Sans" w:hAnsi="Open Sans" w:cs="Open Sans"/>
        </w:rPr>
        <w:t xml:space="preserve"> </w:t>
      </w:r>
      <w:r w:rsidRPr="001253CA">
        <w:rPr>
          <w:rFonts w:ascii="Open Sans" w:hAnsi="Open Sans" w:cs="Open Sans"/>
        </w:rPr>
        <w:t xml:space="preserve">BX also became abusive and aggressive by yelling at the ERT officers who were attempting to move the other detainee out of the area for safety reasons. </w:t>
      </w:r>
    </w:p>
    <w:p w14:paraId="13FC206D" w14:textId="32C1B165"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The Department states that </w:t>
      </w:r>
      <w:proofErr w:type="spellStart"/>
      <w:r w:rsidR="005C776D">
        <w:rPr>
          <w:rFonts w:ascii="Open Sans" w:hAnsi="Open Sans" w:cs="Open Sans"/>
        </w:rPr>
        <w:t>Mr</w:t>
      </w:r>
      <w:proofErr w:type="spellEnd"/>
      <w:r w:rsidR="005C776D">
        <w:rPr>
          <w:rFonts w:ascii="Open Sans" w:hAnsi="Open Sans" w:cs="Open Sans"/>
        </w:rPr>
        <w:t xml:space="preserve"> </w:t>
      </w:r>
      <w:r w:rsidRPr="001253CA">
        <w:rPr>
          <w:rFonts w:ascii="Open Sans" w:hAnsi="Open Sans" w:cs="Open Sans"/>
        </w:rPr>
        <w:t xml:space="preserve">BX was verbally directed on several occasions to calm down and stay back, however he attempted to physically push through two ERT officers. </w:t>
      </w:r>
    </w:p>
    <w:p w14:paraId="4A74B416" w14:textId="759C295A"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ERT officers escorted </w:t>
      </w:r>
      <w:proofErr w:type="spellStart"/>
      <w:r w:rsidR="005C776D">
        <w:rPr>
          <w:rFonts w:ascii="Open Sans" w:hAnsi="Open Sans" w:cs="Open Sans"/>
        </w:rPr>
        <w:t>Mr</w:t>
      </w:r>
      <w:proofErr w:type="spellEnd"/>
      <w:r w:rsidR="005C776D">
        <w:rPr>
          <w:rFonts w:ascii="Open Sans" w:hAnsi="Open Sans" w:cs="Open Sans"/>
        </w:rPr>
        <w:t xml:space="preserve"> </w:t>
      </w:r>
      <w:r w:rsidRPr="001253CA">
        <w:rPr>
          <w:rFonts w:ascii="Open Sans" w:hAnsi="Open Sans" w:cs="Open Sans"/>
        </w:rPr>
        <w:t xml:space="preserve">BX out of the compound, however after a short distance, he became non-compliant by resisting the officers. The ERT </w:t>
      </w:r>
      <w:proofErr w:type="gramStart"/>
      <w:r w:rsidRPr="001253CA">
        <w:rPr>
          <w:rFonts w:ascii="Open Sans" w:hAnsi="Open Sans" w:cs="Open Sans"/>
        </w:rPr>
        <w:t>officers</w:t>
      </w:r>
      <w:proofErr w:type="gramEnd"/>
      <w:r w:rsidRPr="001253CA">
        <w:rPr>
          <w:rFonts w:ascii="Open Sans" w:hAnsi="Open Sans" w:cs="Open Sans"/>
        </w:rPr>
        <w:t xml:space="preserve"> ground </w:t>
      </w:r>
      <w:proofErr w:type="spellStart"/>
      <w:r w:rsidRPr="001253CA">
        <w:rPr>
          <w:rFonts w:ascii="Open Sans" w:hAnsi="Open Sans" w:cs="Open Sans"/>
        </w:rPr>
        <w:t>stabilised</w:t>
      </w:r>
      <w:proofErr w:type="spellEnd"/>
      <w:r w:rsidRPr="001253CA">
        <w:rPr>
          <w:rFonts w:ascii="Open Sans" w:hAnsi="Open Sans" w:cs="Open Sans"/>
        </w:rPr>
        <w:t xml:space="preserve"> </w:t>
      </w:r>
      <w:proofErr w:type="spellStart"/>
      <w:r w:rsidR="005C776D">
        <w:rPr>
          <w:rFonts w:ascii="Open Sans" w:hAnsi="Open Sans" w:cs="Open Sans"/>
        </w:rPr>
        <w:t>Mr</w:t>
      </w:r>
      <w:proofErr w:type="spellEnd"/>
      <w:r w:rsidR="005C776D">
        <w:rPr>
          <w:rFonts w:ascii="Open Sans" w:hAnsi="Open Sans" w:cs="Open Sans"/>
        </w:rPr>
        <w:t xml:space="preserve"> </w:t>
      </w:r>
      <w:r w:rsidRPr="001253CA">
        <w:rPr>
          <w:rFonts w:ascii="Open Sans" w:hAnsi="Open Sans" w:cs="Open Sans"/>
        </w:rPr>
        <w:t xml:space="preserve">BX to prevent him from harming himself or the officers and handcuffs were applied.   </w:t>
      </w:r>
    </w:p>
    <w:p w14:paraId="7A2D9C8F" w14:textId="43BC3848"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While being escorted to the property department, the Department states that </w:t>
      </w:r>
      <w:proofErr w:type="spellStart"/>
      <w:r w:rsidR="005C776D">
        <w:rPr>
          <w:rFonts w:ascii="Open Sans" w:hAnsi="Open Sans" w:cs="Open Sans"/>
        </w:rPr>
        <w:t>Mr</w:t>
      </w:r>
      <w:proofErr w:type="spellEnd"/>
      <w:r w:rsidR="005C776D">
        <w:rPr>
          <w:rFonts w:ascii="Open Sans" w:hAnsi="Open Sans" w:cs="Open Sans"/>
        </w:rPr>
        <w:t xml:space="preserve"> </w:t>
      </w:r>
      <w:r w:rsidRPr="001253CA">
        <w:rPr>
          <w:rFonts w:ascii="Open Sans" w:hAnsi="Open Sans" w:cs="Open Sans"/>
        </w:rPr>
        <w:t>BX became limp but remained conscious. ERT officers called IHMS to attend</w:t>
      </w:r>
      <w:r w:rsidR="00C46952">
        <w:rPr>
          <w:rFonts w:ascii="Open Sans" w:hAnsi="Open Sans" w:cs="Open Sans"/>
        </w:rPr>
        <w:t>,</w:t>
      </w:r>
      <w:r w:rsidRPr="001253CA">
        <w:rPr>
          <w:rFonts w:ascii="Open Sans" w:hAnsi="Open Sans" w:cs="Open Sans"/>
        </w:rPr>
        <w:t xml:space="preserve"> and </w:t>
      </w:r>
      <w:proofErr w:type="spellStart"/>
      <w:r w:rsidR="00C46952">
        <w:rPr>
          <w:rFonts w:ascii="Open Sans" w:hAnsi="Open Sans" w:cs="Open Sans"/>
        </w:rPr>
        <w:t>Mr</w:t>
      </w:r>
      <w:proofErr w:type="spellEnd"/>
      <w:r w:rsidRPr="001253CA">
        <w:rPr>
          <w:rFonts w:ascii="Open Sans" w:hAnsi="Open Sans" w:cs="Open Sans"/>
        </w:rPr>
        <w:t xml:space="preserve"> BX was escorted to the IHMS clinic for assessment.  </w:t>
      </w:r>
    </w:p>
    <w:p w14:paraId="42DC21B8" w14:textId="7F3D614D"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On 24 July 2020, </w:t>
      </w:r>
      <w:proofErr w:type="spellStart"/>
      <w:r w:rsidR="00C46952">
        <w:rPr>
          <w:rFonts w:ascii="Open Sans" w:hAnsi="Open Sans" w:cs="Open Sans"/>
        </w:rPr>
        <w:t>Mr</w:t>
      </w:r>
      <w:proofErr w:type="spellEnd"/>
      <w:r w:rsidR="00C46952">
        <w:rPr>
          <w:rFonts w:ascii="Open Sans" w:hAnsi="Open Sans" w:cs="Open Sans"/>
        </w:rPr>
        <w:t xml:space="preserve"> </w:t>
      </w:r>
      <w:r w:rsidRPr="001253CA">
        <w:rPr>
          <w:rFonts w:ascii="Open Sans" w:hAnsi="Open Sans" w:cs="Open Sans"/>
        </w:rPr>
        <w:t xml:space="preserve">BX made a complaint regarding this first use of force incident to the Department’s Global Feedback Unit. They referred the complaint to the Australian Border Force (ABF) at VIDC. </w:t>
      </w:r>
    </w:p>
    <w:p w14:paraId="4ED31C93" w14:textId="57E458F7" w:rsidR="00F90D34" w:rsidRPr="00F90D34"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On 25 August 2020, Serco provided a response to </w:t>
      </w:r>
      <w:proofErr w:type="spellStart"/>
      <w:r w:rsidR="00C46952">
        <w:rPr>
          <w:rFonts w:ascii="Open Sans" w:hAnsi="Open Sans" w:cs="Open Sans"/>
        </w:rPr>
        <w:t>Mr</w:t>
      </w:r>
      <w:proofErr w:type="spellEnd"/>
      <w:r w:rsidR="00C46952">
        <w:rPr>
          <w:rFonts w:ascii="Open Sans" w:hAnsi="Open Sans" w:cs="Open Sans"/>
        </w:rPr>
        <w:t xml:space="preserve"> </w:t>
      </w:r>
      <w:r w:rsidRPr="001253CA">
        <w:rPr>
          <w:rFonts w:ascii="Open Sans" w:hAnsi="Open Sans" w:cs="Open Sans"/>
        </w:rPr>
        <w:t xml:space="preserve">BX, advising that the complaint was found to be unsubstantiated. It found that at no time had ERT officers used inappropriate force on him. </w:t>
      </w:r>
    </w:p>
    <w:p w14:paraId="790A30AB" w14:textId="00FA109E" w:rsidR="00A372B3" w:rsidRDefault="00F90D34" w:rsidP="00A372B3">
      <w:pPr>
        <w:pStyle w:val="AHRCHeading2"/>
      </w:pPr>
      <w:bookmarkStart w:id="9" w:name="_Toc164768972"/>
      <w:r>
        <w:t>Events of 22 November 2020</w:t>
      </w:r>
      <w:bookmarkEnd w:id="9"/>
    </w:p>
    <w:p w14:paraId="199791D2" w14:textId="71A91BF5" w:rsidR="00F90D34" w:rsidRPr="001253CA" w:rsidRDefault="00F90D34" w:rsidP="00F02D5A">
      <w:pPr>
        <w:pStyle w:val="NameInsert"/>
        <w:numPr>
          <w:ilvl w:val="0"/>
          <w:numId w:val="20"/>
        </w:numPr>
        <w:spacing w:before="240" w:after="240"/>
        <w:jc w:val="left"/>
        <w:rPr>
          <w:rFonts w:ascii="Open Sans" w:hAnsi="Open Sans" w:cs="Open Sans"/>
          <w:szCs w:val="24"/>
        </w:rPr>
      </w:pPr>
      <w:r w:rsidRPr="001253CA">
        <w:rPr>
          <w:rFonts w:ascii="Open Sans" w:hAnsi="Open Sans" w:cs="Open Sans"/>
          <w:szCs w:val="24"/>
        </w:rPr>
        <w:t xml:space="preserve">The version of events for the second use of force incident on 22 November 2020, differs significantly between </w:t>
      </w:r>
      <w:proofErr w:type="spellStart"/>
      <w:r w:rsidR="006F115B">
        <w:rPr>
          <w:rFonts w:ascii="Open Sans" w:hAnsi="Open Sans" w:cs="Open Sans"/>
          <w:szCs w:val="24"/>
        </w:rPr>
        <w:t>Mr</w:t>
      </w:r>
      <w:proofErr w:type="spellEnd"/>
      <w:r w:rsidR="006F115B">
        <w:rPr>
          <w:rFonts w:ascii="Open Sans" w:hAnsi="Open Sans" w:cs="Open Sans"/>
          <w:szCs w:val="24"/>
        </w:rPr>
        <w:t xml:space="preserve"> </w:t>
      </w:r>
      <w:r w:rsidRPr="001253CA">
        <w:rPr>
          <w:rFonts w:ascii="Open Sans" w:hAnsi="Open Sans" w:cs="Open Sans"/>
          <w:szCs w:val="24"/>
        </w:rPr>
        <w:t xml:space="preserve">BX and the Department. The Department states in its response to the complaint, that on 22 November 2020, a suspicious package was observed being thrown over the fence from Hume B to Hume A compound and was picked up by </w:t>
      </w:r>
      <w:proofErr w:type="spellStart"/>
      <w:r w:rsidR="00E229C6">
        <w:rPr>
          <w:rFonts w:ascii="Open Sans" w:hAnsi="Open Sans" w:cs="Open Sans"/>
          <w:szCs w:val="24"/>
        </w:rPr>
        <w:t>Mr</w:t>
      </w:r>
      <w:proofErr w:type="spellEnd"/>
      <w:r w:rsidR="00E229C6">
        <w:rPr>
          <w:rFonts w:ascii="Open Sans" w:hAnsi="Open Sans" w:cs="Open Sans"/>
          <w:szCs w:val="24"/>
        </w:rPr>
        <w:t xml:space="preserve"> </w:t>
      </w:r>
      <w:r w:rsidRPr="001253CA">
        <w:rPr>
          <w:rFonts w:ascii="Open Sans" w:hAnsi="Open Sans" w:cs="Open Sans"/>
          <w:szCs w:val="24"/>
        </w:rPr>
        <w:t xml:space="preserve">BX. </w:t>
      </w:r>
    </w:p>
    <w:p w14:paraId="66C1F755" w14:textId="062B9532" w:rsidR="00F90D34" w:rsidRPr="001253CA" w:rsidRDefault="00F90D34" w:rsidP="00F02D5A">
      <w:pPr>
        <w:pStyle w:val="NameInsert"/>
        <w:numPr>
          <w:ilvl w:val="0"/>
          <w:numId w:val="20"/>
        </w:numPr>
        <w:spacing w:before="240" w:after="240"/>
        <w:jc w:val="left"/>
        <w:rPr>
          <w:rFonts w:ascii="Open Sans" w:hAnsi="Open Sans" w:cs="Open Sans"/>
          <w:szCs w:val="24"/>
        </w:rPr>
      </w:pPr>
      <w:r w:rsidRPr="001253CA">
        <w:rPr>
          <w:rFonts w:ascii="Open Sans" w:hAnsi="Open Sans" w:cs="Open Sans"/>
          <w:szCs w:val="24"/>
        </w:rPr>
        <w:lastRenderedPageBreak/>
        <w:t xml:space="preserve">As a result, ERT officers conducted a targeted room search of </w:t>
      </w:r>
      <w:proofErr w:type="spellStart"/>
      <w:r w:rsidR="006F115B">
        <w:rPr>
          <w:rFonts w:ascii="Open Sans" w:hAnsi="Open Sans" w:cs="Open Sans"/>
          <w:szCs w:val="24"/>
        </w:rPr>
        <w:t>Mr</w:t>
      </w:r>
      <w:proofErr w:type="spellEnd"/>
      <w:r w:rsidR="006F115B">
        <w:rPr>
          <w:rFonts w:ascii="Open Sans" w:hAnsi="Open Sans" w:cs="Open Sans"/>
          <w:szCs w:val="24"/>
        </w:rPr>
        <w:t xml:space="preserve"> </w:t>
      </w:r>
      <w:r w:rsidRPr="001253CA">
        <w:rPr>
          <w:rFonts w:ascii="Open Sans" w:hAnsi="Open Sans" w:cs="Open Sans"/>
          <w:szCs w:val="24"/>
        </w:rPr>
        <w:t xml:space="preserve">BX’s room. Upon entering his room, </w:t>
      </w:r>
      <w:proofErr w:type="spellStart"/>
      <w:r w:rsidR="006F115B">
        <w:rPr>
          <w:rFonts w:ascii="Open Sans" w:hAnsi="Open Sans" w:cs="Open Sans"/>
          <w:szCs w:val="24"/>
        </w:rPr>
        <w:t>Mr</w:t>
      </w:r>
      <w:proofErr w:type="spellEnd"/>
      <w:r w:rsidR="006F115B">
        <w:rPr>
          <w:rFonts w:ascii="Open Sans" w:hAnsi="Open Sans" w:cs="Open Sans"/>
          <w:szCs w:val="24"/>
        </w:rPr>
        <w:t xml:space="preserve"> </w:t>
      </w:r>
      <w:r w:rsidRPr="001253CA">
        <w:rPr>
          <w:rFonts w:ascii="Open Sans" w:hAnsi="Open Sans" w:cs="Open Sans"/>
          <w:szCs w:val="24"/>
        </w:rPr>
        <w:t>BX was found to be with other detainees and observed to be smoking. He was instructed not to do so.</w:t>
      </w:r>
    </w:p>
    <w:p w14:paraId="3A3A741C" w14:textId="3EB8F169" w:rsidR="00F90D34" w:rsidRPr="001253CA" w:rsidRDefault="00F90D34" w:rsidP="00F02D5A">
      <w:pPr>
        <w:pStyle w:val="NameInsert"/>
        <w:numPr>
          <w:ilvl w:val="0"/>
          <w:numId w:val="20"/>
        </w:numPr>
        <w:spacing w:before="240" w:after="240"/>
        <w:jc w:val="left"/>
        <w:rPr>
          <w:rFonts w:ascii="Open Sans" w:hAnsi="Open Sans" w:cs="Open Sans"/>
          <w:szCs w:val="24"/>
        </w:rPr>
      </w:pPr>
      <w:r w:rsidRPr="001253CA">
        <w:rPr>
          <w:rFonts w:ascii="Open Sans" w:hAnsi="Open Sans" w:cs="Open Sans"/>
          <w:szCs w:val="24"/>
        </w:rPr>
        <w:t xml:space="preserve">The Department states that </w:t>
      </w:r>
      <w:proofErr w:type="spellStart"/>
      <w:r w:rsidR="006F115B">
        <w:rPr>
          <w:rFonts w:ascii="Open Sans" w:hAnsi="Open Sans" w:cs="Open Sans"/>
          <w:szCs w:val="24"/>
        </w:rPr>
        <w:t>Mr</w:t>
      </w:r>
      <w:proofErr w:type="spellEnd"/>
      <w:r w:rsidR="006F115B">
        <w:rPr>
          <w:rFonts w:ascii="Open Sans" w:hAnsi="Open Sans" w:cs="Open Sans"/>
          <w:szCs w:val="24"/>
        </w:rPr>
        <w:t xml:space="preserve"> </w:t>
      </w:r>
      <w:r w:rsidRPr="001253CA">
        <w:rPr>
          <w:rFonts w:ascii="Open Sans" w:hAnsi="Open Sans" w:cs="Open Sans"/>
          <w:szCs w:val="24"/>
        </w:rPr>
        <w:t xml:space="preserve">BX then became aggressive and non-compliant by attempting to close the door to his room, which was being held open by an ERT officer. It states, ‘in an effort to maintain safety, security and good order, the ERT applied reasonable, justified and proportionate force to ground </w:t>
      </w:r>
      <w:proofErr w:type="spellStart"/>
      <w:r w:rsidRPr="001253CA">
        <w:rPr>
          <w:rFonts w:ascii="Open Sans" w:hAnsi="Open Sans" w:cs="Open Sans"/>
          <w:szCs w:val="24"/>
        </w:rPr>
        <w:t>stabilise</w:t>
      </w:r>
      <w:proofErr w:type="spellEnd"/>
      <w:r w:rsidRPr="001253CA">
        <w:rPr>
          <w:rFonts w:ascii="Open Sans" w:hAnsi="Open Sans" w:cs="Open Sans"/>
          <w:szCs w:val="24"/>
        </w:rPr>
        <w:t xml:space="preserve"> </w:t>
      </w:r>
      <w:proofErr w:type="spellStart"/>
      <w:r w:rsidR="005B0BA8">
        <w:rPr>
          <w:rFonts w:ascii="Open Sans" w:hAnsi="Open Sans" w:cs="Open Sans"/>
          <w:szCs w:val="24"/>
        </w:rPr>
        <w:t>Mr</w:t>
      </w:r>
      <w:proofErr w:type="spellEnd"/>
      <w:r w:rsidR="005B0BA8">
        <w:rPr>
          <w:rFonts w:ascii="Open Sans" w:hAnsi="Open Sans" w:cs="Open Sans"/>
          <w:szCs w:val="24"/>
        </w:rPr>
        <w:t xml:space="preserve"> </w:t>
      </w:r>
      <w:r w:rsidRPr="001253CA">
        <w:rPr>
          <w:rFonts w:ascii="Open Sans" w:hAnsi="Open Sans" w:cs="Open Sans"/>
          <w:szCs w:val="24"/>
        </w:rPr>
        <w:t>BX’.</w:t>
      </w:r>
    </w:p>
    <w:p w14:paraId="6F853627" w14:textId="426C2C3A" w:rsidR="00F90D34" w:rsidRPr="001253CA" w:rsidRDefault="00F90D34" w:rsidP="00F02D5A">
      <w:pPr>
        <w:pStyle w:val="NameInsert"/>
        <w:numPr>
          <w:ilvl w:val="0"/>
          <w:numId w:val="20"/>
        </w:numPr>
        <w:spacing w:before="240" w:after="240"/>
        <w:jc w:val="left"/>
        <w:rPr>
          <w:rFonts w:ascii="Open Sans" w:hAnsi="Open Sans" w:cs="Open Sans"/>
          <w:szCs w:val="24"/>
        </w:rPr>
      </w:pPr>
      <w:r w:rsidRPr="001253CA">
        <w:rPr>
          <w:rFonts w:ascii="Open Sans" w:hAnsi="Open Sans" w:cs="Open Sans"/>
          <w:szCs w:val="24"/>
        </w:rPr>
        <w:t xml:space="preserve">The Department also alleges that during the use of force incident, </w:t>
      </w:r>
      <w:proofErr w:type="spellStart"/>
      <w:r w:rsidR="005B0BA8">
        <w:rPr>
          <w:rFonts w:ascii="Open Sans" w:hAnsi="Open Sans" w:cs="Open Sans"/>
          <w:szCs w:val="24"/>
        </w:rPr>
        <w:t>Mr</w:t>
      </w:r>
      <w:proofErr w:type="spellEnd"/>
      <w:r w:rsidR="005B0BA8">
        <w:rPr>
          <w:rFonts w:ascii="Open Sans" w:hAnsi="Open Sans" w:cs="Open Sans"/>
          <w:szCs w:val="24"/>
        </w:rPr>
        <w:t xml:space="preserve"> </w:t>
      </w:r>
      <w:r w:rsidRPr="001253CA">
        <w:rPr>
          <w:rFonts w:ascii="Open Sans" w:hAnsi="Open Sans" w:cs="Open Sans"/>
          <w:szCs w:val="24"/>
        </w:rPr>
        <w:t>BX picked up a handheld wand (used to detect metal) and assaulted an ERT officer by striking him multiple times on his leg.</w:t>
      </w:r>
      <w:r w:rsidRPr="001253CA">
        <w:rPr>
          <w:rFonts w:ascii="Open Sans" w:hAnsi="Open Sans" w:cs="Open Sans"/>
          <w:sz w:val="22"/>
          <w:szCs w:val="22"/>
        </w:rPr>
        <w:t xml:space="preserve"> </w:t>
      </w:r>
    </w:p>
    <w:p w14:paraId="647B6A28" w14:textId="581222C2" w:rsidR="00F90D34" w:rsidRPr="001253CA" w:rsidRDefault="00F90D34" w:rsidP="00F02D5A">
      <w:pPr>
        <w:pStyle w:val="NameInsert"/>
        <w:numPr>
          <w:ilvl w:val="0"/>
          <w:numId w:val="20"/>
        </w:numPr>
        <w:spacing w:before="240" w:after="240"/>
        <w:jc w:val="left"/>
        <w:rPr>
          <w:rFonts w:ascii="Open Sans" w:hAnsi="Open Sans" w:cs="Open Sans"/>
          <w:szCs w:val="24"/>
        </w:rPr>
      </w:pPr>
      <w:r w:rsidRPr="001253CA">
        <w:rPr>
          <w:rFonts w:ascii="Open Sans" w:hAnsi="Open Sans" w:cs="Open Sans"/>
          <w:szCs w:val="24"/>
        </w:rPr>
        <w:t xml:space="preserve">In his complaint to the Commission, </w:t>
      </w:r>
      <w:proofErr w:type="spellStart"/>
      <w:r w:rsidR="005B0BA8">
        <w:rPr>
          <w:rFonts w:ascii="Open Sans" w:hAnsi="Open Sans" w:cs="Open Sans"/>
          <w:szCs w:val="24"/>
        </w:rPr>
        <w:t>Mr</w:t>
      </w:r>
      <w:proofErr w:type="spellEnd"/>
      <w:r w:rsidR="005B0BA8">
        <w:rPr>
          <w:rFonts w:ascii="Open Sans" w:hAnsi="Open Sans" w:cs="Open Sans"/>
          <w:szCs w:val="24"/>
        </w:rPr>
        <w:t xml:space="preserve"> </w:t>
      </w:r>
      <w:r w:rsidRPr="001253CA">
        <w:rPr>
          <w:rFonts w:ascii="Open Sans" w:hAnsi="Open Sans" w:cs="Open Sans"/>
          <w:szCs w:val="24"/>
        </w:rPr>
        <w:t xml:space="preserve">BX states that at the time of the incident, he was in his room when approximately </w:t>
      </w:r>
      <w:r w:rsidR="00F0189C">
        <w:rPr>
          <w:rFonts w:ascii="Open Sans" w:hAnsi="Open Sans" w:cs="Open Sans"/>
          <w:szCs w:val="24"/>
        </w:rPr>
        <w:t>eight</w:t>
      </w:r>
      <w:r w:rsidRPr="001253CA">
        <w:rPr>
          <w:rFonts w:ascii="Open Sans" w:hAnsi="Open Sans" w:cs="Open Sans"/>
          <w:szCs w:val="24"/>
        </w:rPr>
        <w:t xml:space="preserve"> ERT officers came in. He alleges that one officer </w:t>
      </w:r>
      <w:r w:rsidRPr="001253CA">
        <w:rPr>
          <w:rFonts w:ascii="Open Sans" w:hAnsi="Open Sans" w:cs="Open Sans"/>
        </w:rPr>
        <w:t xml:space="preserve">punched him </w:t>
      </w:r>
      <w:proofErr w:type="gramStart"/>
      <w:r w:rsidRPr="001253CA">
        <w:rPr>
          <w:rFonts w:ascii="Open Sans" w:hAnsi="Open Sans" w:cs="Open Sans"/>
        </w:rPr>
        <w:t>on</w:t>
      </w:r>
      <w:proofErr w:type="gramEnd"/>
      <w:r w:rsidRPr="001253CA">
        <w:rPr>
          <w:rFonts w:ascii="Open Sans" w:hAnsi="Open Sans" w:cs="Open Sans"/>
        </w:rPr>
        <w:t xml:space="preserve"> the </w:t>
      </w:r>
      <w:proofErr w:type="gramStart"/>
      <w:r w:rsidRPr="001253CA">
        <w:rPr>
          <w:rFonts w:ascii="Open Sans" w:hAnsi="Open Sans" w:cs="Open Sans"/>
        </w:rPr>
        <w:t>chin</w:t>
      </w:r>
      <w:proofErr w:type="gramEnd"/>
      <w:r w:rsidRPr="001253CA">
        <w:rPr>
          <w:rFonts w:ascii="Open Sans" w:hAnsi="Open Sans" w:cs="Open Sans"/>
        </w:rPr>
        <w:t xml:space="preserve"> and he fell to the floor. The officers closed the door to the </w:t>
      </w:r>
      <w:proofErr w:type="gramStart"/>
      <w:r w:rsidRPr="001253CA">
        <w:rPr>
          <w:rFonts w:ascii="Open Sans" w:hAnsi="Open Sans" w:cs="Open Sans"/>
        </w:rPr>
        <w:t>room</w:t>
      </w:r>
      <w:proofErr w:type="gramEnd"/>
      <w:r w:rsidRPr="001253CA">
        <w:rPr>
          <w:rFonts w:ascii="Open Sans" w:hAnsi="Open Sans" w:cs="Open Sans"/>
        </w:rPr>
        <w:t xml:space="preserve"> and he was handcuffed on the floor. He states that </w:t>
      </w:r>
      <w:r w:rsidR="00793A3C">
        <w:rPr>
          <w:rFonts w:ascii="Open Sans" w:hAnsi="Open Sans" w:cs="Open Sans"/>
        </w:rPr>
        <w:t>two</w:t>
      </w:r>
      <w:r w:rsidRPr="001253CA">
        <w:rPr>
          <w:rFonts w:ascii="Open Sans" w:hAnsi="Open Sans" w:cs="Open Sans"/>
        </w:rPr>
        <w:t xml:space="preserve"> or </w:t>
      </w:r>
      <w:r w:rsidR="00793A3C">
        <w:rPr>
          <w:rFonts w:ascii="Open Sans" w:hAnsi="Open Sans" w:cs="Open Sans"/>
        </w:rPr>
        <w:t>three</w:t>
      </w:r>
      <w:r w:rsidRPr="001253CA">
        <w:rPr>
          <w:rFonts w:ascii="Open Sans" w:hAnsi="Open Sans" w:cs="Open Sans"/>
        </w:rPr>
        <w:t xml:space="preserve"> ERT officers were on top of </w:t>
      </w:r>
      <w:proofErr w:type="gramStart"/>
      <w:r w:rsidRPr="001253CA">
        <w:rPr>
          <w:rFonts w:ascii="Open Sans" w:hAnsi="Open Sans" w:cs="Open Sans"/>
        </w:rPr>
        <w:t>him</w:t>
      </w:r>
      <w:proofErr w:type="gramEnd"/>
      <w:r w:rsidRPr="001253CA">
        <w:rPr>
          <w:rFonts w:ascii="Open Sans" w:hAnsi="Open Sans" w:cs="Open Sans"/>
        </w:rPr>
        <w:t xml:space="preserve"> and he was kneed to the head. He also alleges that another officer ran in and punched him. He fell unconscious. He says that he was carried out of the room towards the property department, put to the ground and punched and kicked. He fell unconscious again and was taken to hospital by ambulance. </w:t>
      </w:r>
    </w:p>
    <w:p w14:paraId="6DA46143" w14:textId="781B3BC2" w:rsidR="00F90D34" w:rsidRPr="001253CA" w:rsidRDefault="00F90D34" w:rsidP="00F02D5A">
      <w:pPr>
        <w:pStyle w:val="NameInsert"/>
        <w:numPr>
          <w:ilvl w:val="0"/>
          <w:numId w:val="20"/>
        </w:numPr>
        <w:spacing w:before="240" w:after="240"/>
        <w:jc w:val="left"/>
        <w:rPr>
          <w:rFonts w:ascii="Open Sans" w:hAnsi="Open Sans" w:cs="Open Sans"/>
          <w:szCs w:val="24"/>
        </w:rPr>
      </w:pPr>
      <w:r w:rsidRPr="001253CA">
        <w:rPr>
          <w:rFonts w:ascii="Open Sans" w:hAnsi="Open Sans" w:cs="Open Sans"/>
        </w:rPr>
        <w:t xml:space="preserve">A CT scan taken at the hospital showed fractures </w:t>
      </w:r>
      <w:proofErr w:type="gramStart"/>
      <w:r w:rsidRPr="001253CA">
        <w:rPr>
          <w:rFonts w:ascii="Open Sans" w:hAnsi="Open Sans" w:cs="Open Sans"/>
        </w:rPr>
        <w:t>to</w:t>
      </w:r>
      <w:proofErr w:type="gramEnd"/>
      <w:r w:rsidRPr="001253CA">
        <w:rPr>
          <w:rFonts w:ascii="Open Sans" w:hAnsi="Open Sans" w:cs="Open Sans"/>
        </w:rPr>
        <w:t xml:space="preserve"> his nose. A follow up review with an IHMS </w:t>
      </w:r>
      <w:proofErr w:type="gramStart"/>
      <w:r w:rsidRPr="001253CA">
        <w:rPr>
          <w:rFonts w:ascii="Open Sans" w:hAnsi="Open Sans" w:cs="Open Sans"/>
        </w:rPr>
        <w:t>GP,</w:t>
      </w:r>
      <w:proofErr w:type="gramEnd"/>
      <w:r w:rsidRPr="001253CA">
        <w:rPr>
          <w:rFonts w:ascii="Open Sans" w:hAnsi="Open Sans" w:cs="Open Sans"/>
        </w:rPr>
        <w:t xml:space="preserve"> also noted a perforation of </w:t>
      </w:r>
      <w:proofErr w:type="spellStart"/>
      <w:r w:rsidR="000322D1">
        <w:rPr>
          <w:rFonts w:ascii="Open Sans" w:hAnsi="Open Sans" w:cs="Open Sans"/>
        </w:rPr>
        <w:t>Mr</w:t>
      </w:r>
      <w:proofErr w:type="spellEnd"/>
      <w:r w:rsidR="000322D1">
        <w:rPr>
          <w:rFonts w:ascii="Open Sans" w:hAnsi="Open Sans" w:cs="Open Sans"/>
        </w:rPr>
        <w:t xml:space="preserve"> </w:t>
      </w:r>
      <w:r w:rsidRPr="001253CA">
        <w:rPr>
          <w:rFonts w:ascii="Open Sans" w:hAnsi="Open Sans" w:cs="Open Sans"/>
        </w:rPr>
        <w:t xml:space="preserve">BX’s left eardrum. </w:t>
      </w:r>
    </w:p>
    <w:p w14:paraId="56343449" w14:textId="438CAAD4"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On 26 November 2020, </w:t>
      </w:r>
      <w:proofErr w:type="spellStart"/>
      <w:r w:rsidR="000322D1">
        <w:rPr>
          <w:rFonts w:ascii="Open Sans" w:hAnsi="Open Sans" w:cs="Open Sans"/>
        </w:rPr>
        <w:t>Mr</w:t>
      </w:r>
      <w:proofErr w:type="spellEnd"/>
      <w:r w:rsidR="000322D1">
        <w:rPr>
          <w:rFonts w:ascii="Open Sans" w:hAnsi="Open Sans" w:cs="Open Sans"/>
        </w:rPr>
        <w:t xml:space="preserve"> </w:t>
      </w:r>
      <w:r w:rsidRPr="001253CA">
        <w:rPr>
          <w:rFonts w:ascii="Open Sans" w:hAnsi="Open Sans" w:cs="Open Sans"/>
        </w:rPr>
        <w:t xml:space="preserve">BX made a complaint concerning the second use of force incident to the Department’s Global Feedback Unit which was referred </w:t>
      </w:r>
      <w:proofErr w:type="gramStart"/>
      <w:r w:rsidRPr="001253CA">
        <w:rPr>
          <w:rFonts w:ascii="Open Sans" w:hAnsi="Open Sans" w:cs="Open Sans"/>
        </w:rPr>
        <w:t>to</w:t>
      </w:r>
      <w:proofErr w:type="gramEnd"/>
      <w:r w:rsidRPr="001253CA">
        <w:rPr>
          <w:rFonts w:ascii="Open Sans" w:hAnsi="Open Sans" w:cs="Open Sans"/>
        </w:rPr>
        <w:t xml:space="preserve"> the ABF. </w:t>
      </w:r>
    </w:p>
    <w:p w14:paraId="2BC6B28E" w14:textId="32EAF67A"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On 8 December 2020, the ABF responded to </w:t>
      </w:r>
      <w:proofErr w:type="spellStart"/>
      <w:r w:rsidR="00E25B45">
        <w:rPr>
          <w:rFonts w:ascii="Open Sans" w:hAnsi="Open Sans" w:cs="Open Sans"/>
        </w:rPr>
        <w:t>Mr</w:t>
      </w:r>
      <w:proofErr w:type="spellEnd"/>
      <w:r w:rsidR="00E25B45">
        <w:rPr>
          <w:rFonts w:ascii="Open Sans" w:hAnsi="Open Sans" w:cs="Open Sans"/>
        </w:rPr>
        <w:t xml:space="preserve"> </w:t>
      </w:r>
      <w:r w:rsidRPr="001253CA">
        <w:rPr>
          <w:rFonts w:ascii="Open Sans" w:hAnsi="Open Sans" w:cs="Open Sans"/>
        </w:rPr>
        <w:t xml:space="preserve">BX, advising that the matter had been referred to the Australian Federal Police (AFP). </w:t>
      </w:r>
    </w:p>
    <w:p w14:paraId="00BCC9DB" w14:textId="0305EE35" w:rsidR="00F90D34" w:rsidRPr="001253CA" w:rsidRDefault="00E8776C" w:rsidP="00F02D5A">
      <w:pPr>
        <w:pStyle w:val="NameInsert"/>
        <w:numPr>
          <w:ilvl w:val="0"/>
          <w:numId w:val="20"/>
        </w:numPr>
        <w:spacing w:before="240" w:after="240"/>
        <w:jc w:val="left"/>
        <w:rPr>
          <w:rFonts w:ascii="Open Sans" w:hAnsi="Open Sans" w:cs="Open Sans"/>
        </w:rPr>
      </w:pPr>
      <w:proofErr w:type="spellStart"/>
      <w:r>
        <w:rPr>
          <w:rFonts w:ascii="Open Sans" w:hAnsi="Open Sans" w:cs="Open Sans"/>
        </w:rPr>
        <w:t>Mr</w:t>
      </w:r>
      <w:proofErr w:type="spellEnd"/>
      <w:r>
        <w:rPr>
          <w:rFonts w:ascii="Open Sans" w:hAnsi="Open Sans" w:cs="Open Sans"/>
        </w:rPr>
        <w:t xml:space="preserve"> </w:t>
      </w:r>
      <w:r w:rsidR="00F90D34" w:rsidRPr="001253CA">
        <w:rPr>
          <w:rFonts w:ascii="Open Sans" w:hAnsi="Open Sans" w:cs="Open Sans"/>
        </w:rPr>
        <w:t xml:space="preserve">BX’s complaint to the Commission regarding </w:t>
      </w:r>
      <w:proofErr w:type="gramStart"/>
      <w:r w:rsidR="00F90D34" w:rsidRPr="001253CA">
        <w:rPr>
          <w:rFonts w:ascii="Open Sans" w:hAnsi="Open Sans" w:cs="Open Sans"/>
        </w:rPr>
        <w:t>both use</w:t>
      </w:r>
      <w:proofErr w:type="gramEnd"/>
      <w:r w:rsidR="00F90D34" w:rsidRPr="001253CA">
        <w:rPr>
          <w:rFonts w:ascii="Open Sans" w:hAnsi="Open Sans" w:cs="Open Sans"/>
        </w:rPr>
        <w:t xml:space="preserve"> of force incidents was lodged on 8 December 2020. </w:t>
      </w:r>
    </w:p>
    <w:p w14:paraId="659888FC" w14:textId="252B1B1B"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It is important to note that </w:t>
      </w:r>
      <w:proofErr w:type="spellStart"/>
      <w:r w:rsidR="00E8776C">
        <w:rPr>
          <w:rFonts w:ascii="Open Sans" w:hAnsi="Open Sans" w:cs="Open Sans"/>
        </w:rPr>
        <w:t>Mr</w:t>
      </w:r>
      <w:proofErr w:type="spellEnd"/>
      <w:r w:rsidR="00E8776C">
        <w:rPr>
          <w:rFonts w:ascii="Open Sans" w:hAnsi="Open Sans" w:cs="Open Sans"/>
        </w:rPr>
        <w:t xml:space="preserve"> </w:t>
      </w:r>
      <w:r w:rsidRPr="001253CA">
        <w:rPr>
          <w:rFonts w:ascii="Open Sans" w:hAnsi="Open Sans" w:cs="Open Sans"/>
        </w:rPr>
        <w:t xml:space="preserve">BX also alleges that some of the ERT officers involved in the second </w:t>
      </w:r>
      <w:proofErr w:type="gramStart"/>
      <w:r w:rsidRPr="001253CA">
        <w:rPr>
          <w:rFonts w:ascii="Open Sans" w:hAnsi="Open Sans" w:cs="Open Sans"/>
        </w:rPr>
        <w:t>use</w:t>
      </w:r>
      <w:proofErr w:type="gramEnd"/>
      <w:r w:rsidRPr="001253CA">
        <w:rPr>
          <w:rFonts w:ascii="Open Sans" w:hAnsi="Open Sans" w:cs="Open Sans"/>
        </w:rPr>
        <w:t xml:space="preserve"> force incident were the same officers involved in the first use of force incident. He alleges that these officers warned him not to make a complaint and that he felt threatened and intimidated.  </w:t>
      </w:r>
    </w:p>
    <w:p w14:paraId="27CC0EC1" w14:textId="77777777" w:rsidR="00F90D34" w:rsidRPr="001253CA" w:rsidRDefault="00F90D34"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In response to my preliminary view, the Department stated:</w:t>
      </w:r>
    </w:p>
    <w:p w14:paraId="03201940" w14:textId="77777777" w:rsidR="00A5784C" w:rsidRDefault="00F90D34" w:rsidP="00F90D34">
      <w:pPr>
        <w:pStyle w:val="Style3"/>
      </w:pPr>
      <w:r w:rsidRPr="001253CA">
        <w:t>In respect to [</w:t>
      </w:r>
      <w:proofErr w:type="spellStart"/>
      <w:r w:rsidR="00A5784C">
        <w:t>Mr</w:t>
      </w:r>
      <w:proofErr w:type="spellEnd"/>
      <w:r w:rsidR="00A5784C">
        <w:t xml:space="preserve"> </w:t>
      </w:r>
      <w:r w:rsidRPr="001253CA">
        <w:t xml:space="preserve">BX’s] claims of misconduct by FDSP [Facilities and Detention Service Provider] officers, the Department advises the Commission that the powers exercised by Australian Border Force (ABF) and FDSP officers working in immigration detention are underpinned by clear risk-based policy guidance, training and decision making by senior officers to maintain the objective of safe, secure and sustainable IDCs for all detainees, staff and visitors. </w:t>
      </w:r>
    </w:p>
    <w:p w14:paraId="5A5ED3EF" w14:textId="70E45865" w:rsidR="00F90D34" w:rsidRPr="001253CA" w:rsidRDefault="00F90D34" w:rsidP="00F90D34">
      <w:pPr>
        <w:pStyle w:val="Style3"/>
      </w:pPr>
      <w:r w:rsidRPr="001253CA">
        <w:lastRenderedPageBreak/>
        <w:t>…</w:t>
      </w:r>
    </w:p>
    <w:p w14:paraId="02F55F28" w14:textId="77777777" w:rsidR="00F90D34" w:rsidRPr="001253CA" w:rsidRDefault="00F90D34" w:rsidP="00F90D34">
      <w:pPr>
        <w:pStyle w:val="Style3"/>
      </w:pPr>
      <w:r w:rsidRPr="001253CA">
        <w:t>All personnel working in IDCs must abide by a code of conduct. Allegations of staff misconduct are investigated and any cases that may involve criminal, corrupt and/or serious misconduct are referred to Police, or to the National Anti-Corruption Commission. In any case where a referral is made to law enforcement, the Department refers the Commission to the relevant law enforcement agency for any information sought pertaining to that investigation.</w:t>
      </w:r>
    </w:p>
    <w:p w14:paraId="1A502127" w14:textId="54512BFC" w:rsidR="00F90D34" w:rsidRPr="001253CA" w:rsidRDefault="00A5784C" w:rsidP="00F02D5A">
      <w:pPr>
        <w:pStyle w:val="NameInsert"/>
        <w:numPr>
          <w:ilvl w:val="0"/>
          <w:numId w:val="20"/>
        </w:numPr>
        <w:spacing w:before="240" w:after="240"/>
        <w:jc w:val="left"/>
        <w:rPr>
          <w:rFonts w:ascii="Open Sans" w:hAnsi="Open Sans" w:cs="Open Sans"/>
        </w:rPr>
      </w:pPr>
      <w:proofErr w:type="spellStart"/>
      <w:r>
        <w:rPr>
          <w:rFonts w:ascii="Open Sans" w:hAnsi="Open Sans" w:cs="Open Sans"/>
        </w:rPr>
        <w:t>Mr</w:t>
      </w:r>
      <w:proofErr w:type="spellEnd"/>
      <w:r>
        <w:rPr>
          <w:rFonts w:ascii="Open Sans" w:hAnsi="Open Sans" w:cs="Open Sans"/>
        </w:rPr>
        <w:t xml:space="preserve"> </w:t>
      </w:r>
      <w:r w:rsidR="00F90D34" w:rsidRPr="001253CA">
        <w:rPr>
          <w:rFonts w:ascii="Open Sans" w:hAnsi="Open Sans" w:cs="Open Sans"/>
        </w:rPr>
        <w:t xml:space="preserve">BX’s legal representative has said that </w:t>
      </w:r>
      <w:proofErr w:type="spellStart"/>
      <w:r>
        <w:rPr>
          <w:rFonts w:ascii="Open Sans" w:hAnsi="Open Sans" w:cs="Open Sans"/>
        </w:rPr>
        <w:t>Mr</w:t>
      </w:r>
      <w:proofErr w:type="spellEnd"/>
      <w:r>
        <w:rPr>
          <w:rFonts w:ascii="Open Sans" w:hAnsi="Open Sans" w:cs="Open Sans"/>
        </w:rPr>
        <w:t xml:space="preserve"> </w:t>
      </w:r>
      <w:r w:rsidR="00F90D34" w:rsidRPr="001253CA">
        <w:rPr>
          <w:rFonts w:ascii="Open Sans" w:hAnsi="Open Sans" w:cs="Open Sans"/>
        </w:rPr>
        <w:t xml:space="preserve">BX has yet to receive any outcome (whether from the Department or from the AFP), from the referral of the use of force incident on 22 November 2020, to the AFP. </w:t>
      </w:r>
    </w:p>
    <w:p w14:paraId="109385DF" w14:textId="65F5956A" w:rsidR="00E1290D" w:rsidRDefault="00F90D34" w:rsidP="00E1290D">
      <w:pPr>
        <w:pStyle w:val="AHRCHeading1"/>
      </w:pPr>
      <w:bookmarkStart w:id="10" w:name="_Toc164768973"/>
      <w:r>
        <w:t>Legal framework for human rights inquiry</w:t>
      </w:r>
      <w:bookmarkEnd w:id="10"/>
    </w:p>
    <w:p w14:paraId="415684B8" w14:textId="4489848F" w:rsidR="00F90D34" w:rsidRDefault="00F90D34" w:rsidP="00F90D34">
      <w:pPr>
        <w:pStyle w:val="AHRCHeading2"/>
      </w:pPr>
      <w:bookmarkStart w:id="11" w:name="_Toc164768974"/>
      <w:r>
        <w:t>Functions of the Commission</w:t>
      </w:r>
      <w:bookmarkEnd w:id="11"/>
      <w:r>
        <w:t xml:space="preserve"> </w:t>
      </w:r>
    </w:p>
    <w:p w14:paraId="1A0DFB78" w14:textId="77777777" w:rsidR="00F90D34" w:rsidRPr="001253CA" w:rsidRDefault="00F90D34" w:rsidP="00F02D5A">
      <w:pPr>
        <w:numPr>
          <w:ilvl w:val="0"/>
          <w:numId w:val="20"/>
        </w:numPr>
        <w:rPr>
          <w:rFonts w:cs="Open Sans"/>
        </w:rPr>
      </w:pPr>
      <w:r w:rsidRPr="001253CA">
        <w:rPr>
          <w:rFonts w:cs="Open Sans"/>
        </w:rPr>
        <w:t xml:space="preserve">Section 11(1) of the AHRC Act provides that the Commission has the function to inquire into any act or practice that may be inconsistent with or contrary to any human right. </w:t>
      </w:r>
    </w:p>
    <w:p w14:paraId="2574DDB2" w14:textId="77777777" w:rsidR="00F90D34" w:rsidRPr="001253CA" w:rsidRDefault="00F90D34" w:rsidP="00F02D5A">
      <w:pPr>
        <w:numPr>
          <w:ilvl w:val="0"/>
          <w:numId w:val="20"/>
        </w:numPr>
        <w:rPr>
          <w:rFonts w:cs="Open Sans"/>
        </w:rPr>
      </w:pPr>
      <w:r w:rsidRPr="001253CA">
        <w:rPr>
          <w:rFonts w:cs="Open Sans"/>
        </w:rPr>
        <w:t>Section 20(1)(b) of the AHRC Act requires the Commission to perform its function when a complaint is made in writing alleging that an act or practice is inconsistent with or contrary to any human right.</w:t>
      </w:r>
    </w:p>
    <w:p w14:paraId="0F69CADC" w14:textId="77777777" w:rsidR="00F90D34" w:rsidRPr="001253CA" w:rsidRDefault="00F90D34" w:rsidP="00F02D5A">
      <w:pPr>
        <w:numPr>
          <w:ilvl w:val="0"/>
          <w:numId w:val="20"/>
        </w:numPr>
        <w:rPr>
          <w:rFonts w:cs="Open Sans"/>
        </w:rPr>
      </w:pPr>
      <w:r w:rsidRPr="001253CA">
        <w:rPr>
          <w:rFonts w:cs="Open Sans"/>
        </w:rPr>
        <w:t>Section 8(6) of the AHRC Act provides that the functions of the Commission under s 11(1)(f) are to be performed by the President.</w:t>
      </w:r>
    </w:p>
    <w:p w14:paraId="6898218D" w14:textId="77777777" w:rsidR="00F90D34" w:rsidRPr="001253CA" w:rsidRDefault="00F90D34" w:rsidP="00F02D5A">
      <w:pPr>
        <w:numPr>
          <w:ilvl w:val="0"/>
          <w:numId w:val="20"/>
        </w:numPr>
        <w:rPr>
          <w:rFonts w:cs="Open Sans"/>
        </w:rPr>
      </w:pPr>
      <w:r w:rsidRPr="001253CA">
        <w:rPr>
          <w:rFonts w:cs="Open Sans"/>
        </w:rPr>
        <w:t>The rights and freedoms enumerated in the ICCPR are ‘human rights’ within the meaning of the AHRC Act.</w:t>
      </w:r>
      <w:r w:rsidRPr="001253CA">
        <w:rPr>
          <w:rFonts w:cs="Open Sans"/>
          <w:vertAlign w:val="superscript"/>
        </w:rPr>
        <w:endnoteReference w:id="5"/>
      </w:r>
      <w:r w:rsidRPr="001253CA">
        <w:rPr>
          <w:rFonts w:cs="Open Sans"/>
        </w:rPr>
        <w:t xml:space="preserve"> </w:t>
      </w:r>
    </w:p>
    <w:p w14:paraId="4B33EFA4" w14:textId="31936390" w:rsidR="00F90D34" w:rsidRDefault="00F90D34" w:rsidP="00F90D34">
      <w:pPr>
        <w:pStyle w:val="AHRCHeading2"/>
      </w:pPr>
      <w:bookmarkStart w:id="12" w:name="_Toc164768975"/>
      <w:r>
        <w:t>Scope of ‘act’ and ‘practice’</w:t>
      </w:r>
      <w:bookmarkEnd w:id="12"/>
    </w:p>
    <w:p w14:paraId="05391A7E" w14:textId="77777777" w:rsidR="00F90D34" w:rsidRPr="001253CA" w:rsidRDefault="00F90D34" w:rsidP="00F02D5A">
      <w:pPr>
        <w:numPr>
          <w:ilvl w:val="0"/>
          <w:numId w:val="20"/>
        </w:numPr>
        <w:rPr>
          <w:rFonts w:cs="Open Sans"/>
        </w:rPr>
      </w:pPr>
      <w:r w:rsidRPr="001253CA">
        <w:rPr>
          <w:rFonts w:cs="Open Sans"/>
        </w:rPr>
        <w:t>The terms ‘act’ and ‘practice’ are defined in s 3(1) of the AHRC Act to include an act done or a practice engaged in by or on behalf of the Commonwealth or an authority of the Commonwealth, or under an enactment.</w:t>
      </w:r>
    </w:p>
    <w:p w14:paraId="7ABA0DD7" w14:textId="77777777" w:rsidR="00F90D34" w:rsidRPr="001253CA" w:rsidRDefault="00F90D34" w:rsidP="00F02D5A">
      <w:pPr>
        <w:numPr>
          <w:ilvl w:val="0"/>
          <w:numId w:val="20"/>
        </w:numPr>
        <w:rPr>
          <w:rFonts w:cs="Open Sans"/>
        </w:rPr>
      </w:pPr>
      <w:r w:rsidRPr="001253CA">
        <w:rPr>
          <w:rFonts w:cs="Open Sans"/>
        </w:rPr>
        <w:t>Section 3(3) of the AHRC Act provides that the reference to, or to the doing of, an ‘act’ includes a reference to a refusal or failure to do an act.</w:t>
      </w:r>
    </w:p>
    <w:p w14:paraId="4EB1E88A" w14:textId="77777777" w:rsidR="00F90D34" w:rsidRPr="001253CA" w:rsidRDefault="00F90D34" w:rsidP="00F02D5A">
      <w:pPr>
        <w:numPr>
          <w:ilvl w:val="0"/>
          <w:numId w:val="20"/>
        </w:numPr>
        <w:rPr>
          <w:rFonts w:cs="Open Sans"/>
        </w:rPr>
      </w:pPr>
      <w:r w:rsidRPr="001253CA">
        <w:rPr>
          <w:rFonts w:cs="Open Sans"/>
        </w:rPr>
        <w:t>The functions of the Commission identified in s 11(1)(f) of the AHRC Act are only engaged where the act complained of is not one required by law to be taken,</w:t>
      </w:r>
      <w:r w:rsidRPr="001253CA">
        <w:rPr>
          <w:rFonts w:cs="Open Sans"/>
          <w:vertAlign w:val="superscript"/>
        </w:rPr>
        <w:endnoteReference w:id="6"/>
      </w:r>
      <w:r w:rsidRPr="001253CA">
        <w:rPr>
          <w:rFonts w:cs="Open Sans"/>
        </w:rPr>
        <w:t xml:space="preserve"> that is, where the relevant act or practice is within the discretion of the Commonwealth, its </w:t>
      </w:r>
      <w:proofErr w:type="gramStart"/>
      <w:r w:rsidRPr="001253CA">
        <w:rPr>
          <w:rFonts w:cs="Open Sans"/>
        </w:rPr>
        <w:t>officers</w:t>
      </w:r>
      <w:proofErr w:type="gramEnd"/>
      <w:r w:rsidRPr="001253CA">
        <w:rPr>
          <w:rFonts w:cs="Open Sans"/>
        </w:rPr>
        <w:t xml:space="preserve"> or agents.</w:t>
      </w:r>
    </w:p>
    <w:p w14:paraId="2DC68EAF" w14:textId="6156DCA4" w:rsidR="00F90D34" w:rsidRDefault="00F90D34" w:rsidP="00F90D34">
      <w:pPr>
        <w:pStyle w:val="AHRCHeading2"/>
      </w:pPr>
      <w:bookmarkStart w:id="13" w:name="_Toc164768976"/>
      <w:r>
        <w:t>Right of detainees</w:t>
      </w:r>
      <w:bookmarkEnd w:id="13"/>
    </w:p>
    <w:p w14:paraId="79B3958D" w14:textId="77777777" w:rsidR="00F90D34" w:rsidRPr="001253CA" w:rsidRDefault="00F90D34" w:rsidP="00F02D5A">
      <w:pPr>
        <w:numPr>
          <w:ilvl w:val="0"/>
          <w:numId w:val="20"/>
        </w:numPr>
        <w:rPr>
          <w:rFonts w:cs="Open Sans"/>
        </w:rPr>
      </w:pPr>
      <w:r w:rsidRPr="001253CA">
        <w:rPr>
          <w:rFonts w:cs="Open Sans"/>
        </w:rPr>
        <w:t xml:space="preserve">Persons subject to immigration detention enjoy </w:t>
      </w:r>
      <w:proofErr w:type="gramStart"/>
      <w:r w:rsidRPr="001253CA">
        <w:rPr>
          <w:rFonts w:cs="Open Sans"/>
        </w:rPr>
        <w:t>all of</w:t>
      </w:r>
      <w:proofErr w:type="gramEnd"/>
      <w:r w:rsidRPr="001253CA">
        <w:rPr>
          <w:rFonts w:cs="Open Sans"/>
        </w:rPr>
        <w:t xml:space="preserve"> the human rights protected by the ICCPR, including special protections as persons deprived of their liberty by the state. </w:t>
      </w:r>
    </w:p>
    <w:p w14:paraId="797D4292" w14:textId="77777777" w:rsidR="00F90D34" w:rsidRPr="001253CA" w:rsidRDefault="00F90D34" w:rsidP="00F02D5A">
      <w:pPr>
        <w:keepNext/>
        <w:numPr>
          <w:ilvl w:val="0"/>
          <w:numId w:val="20"/>
        </w:numPr>
        <w:rPr>
          <w:rFonts w:cs="Open Sans"/>
        </w:rPr>
      </w:pPr>
      <w:r w:rsidRPr="001253CA">
        <w:rPr>
          <w:rFonts w:cs="Open Sans"/>
        </w:rPr>
        <w:lastRenderedPageBreak/>
        <w:t>Article 7 of the ICCPR provides:</w:t>
      </w:r>
    </w:p>
    <w:p w14:paraId="556FE116" w14:textId="77777777" w:rsidR="00F90D34" w:rsidRPr="001253CA" w:rsidRDefault="00F90D34" w:rsidP="00F90D34">
      <w:pPr>
        <w:pStyle w:val="Style3"/>
      </w:pPr>
      <w:r w:rsidRPr="001253CA">
        <w:t xml:space="preserve">No one shall be subjected to torture or to cruel, inhuman or degrading treatment or punishment. In particular, no one </w:t>
      </w:r>
      <w:proofErr w:type="gramStart"/>
      <w:r w:rsidRPr="001253CA">
        <w:t>shall</w:t>
      </w:r>
      <w:proofErr w:type="gramEnd"/>
      <w:r w:rsidRPr="001253CA">
        <w:t xml:space="preserve"> be subjected without his free consent to medical or scientific experimentation.</w:t>
      </w:r>
    </w:p>
    <w:p w14:paraId="401AE12F" w14:textId="77777777" w:rsidR="00F90D34" w:rsidRPr="001253CA" w:rsidRDefault="00F90D34" w:rsidP="00F02D5A">
      <w:pPr>
        <w:keepNext/>
        <w:numPr>
          <w:ilvl w:val="0"/>
          <w:numId w:val="20"/>
        </w:numPr>
        <w:rPr>
          <w:rFonts w:cs="Open Sans"/>
        </w:rPr>
      </w:pPr>
      <w:r w:rsidRPr="001253CA">
        <w:rPr>
          <w:rFonts w:cs="Open Sans"/>
        </w:rPr>
        <w:t>Article 10(1) of the ICCPR provides:</w:t>
      </w:r>
    </w:p>
    <w:p w14:paraId="623D99E5" w14:textId="77777777" w:rsidR="00F90D34" w:rsidRPr="001253CA" w:rsidRDefault="00F90D34" w:rsidP="00F90D34">
      <w:pPr>
        <w:pStyle w:val="Style3"/>
      </w:pPr>
      <w:r w:rsidRPr="001253CA">
        <w:t>All persons deprived of their liberty shall be treated with humanity and with respect for the inherent dignity of the human person.</w:t>
      </w:r>
    </w:p>
    <w:p w14:paraId="7045CD84" w14:textId="77777777" w:rsidR="00F90D34" w:rsidRPr="001253CA" w:rsidRDefault="00F90D34" w:rsidP="00F02D5A">
      <w:pPr>
        <w:numPr>
          <w:ilvl w:val="0"/>
          <w:numId w:val="20"/>
        </w:numPr>
        <w:rPr>
          <w:rFonts w:cs="Open Sans"/>
        </w:rPr>
      </w:pPr>
      <w:r w:rsidRPr="001253CA">
        <w:rPr>
          <w:rFonts w:cs="Open Sans"/>
        </w:rPr>
        <w:t xml:space="preserve">States have a responsibility to ensure that the rights guaranteed in articles 7 and 10 of the ICCPR are accorded to detainees in privately run detention facilities. </w:t>
      </w:r>
    </w:p>
    <w:p w14:paraId="40EA2D4D" w14:textId="77777777" w:rsidR="00F90D34" w:rsidRPr="001253CA" w:rsidRDefault="00F90D34" w:rsidP="00F02D5A">
      <w:pPr>
        <w:pStyle w:val="NumberedParagraph"/>
        <w:numPr>
          <w:ilvl w:val="0"/>
          <w:numId w:val="20"/>
        </w:numPr>
      </w:pPr>
      <w:r w:rsidRPr="001253CA">
        <w:t>Article 10(1) imposes a positive obligation on States to ensure that detainees are treated with humanity and respect for their inherent dignity.</w:t>
      </w:r>
      <w:r w:rsidRPr="001253CA">
        <w:rPr>
          <w:sz w:val="20"/>
          <w:szCs w:val="20"/>
          <w:vertAlign w:val="superscript"/>
        </w:rPr>
        <w:endnoteReference w:id="7"/>
      </w:r>
      <w:r w:rsidRPr="001253CA">
        <w:t xml:space="preserve"> This is in recognition of the fact that detained persons are particularly vulnerable because they are wholly reliant on a relevant authority to provide for their basic needs.</w:t>
      </w:r>
      <w:r w:rsidRPr="001253CA">
        <w:rPr>
          <w:sz w:val="20"/>
          <w:szCs w:val="20"/>
          <w:vertAlign w:val="superscript"/>
        </w:rPr>
        <w:endnoteReference w:id="8"/>
      </w:r>
      <w:r w:rsidRPr="001253CA">
        <w:rPr>
          <w:sz w:val="20"/>
          <w:szCs w:val="20"/>
        </w:rPr>
        <w:t xml:space="preserve"> </w:t>
      </w:r>
      <w:r w:rsidRPr="001253CA">
        <w:t>In this case, the relevant authority is the Commonwealth of Australia through the Department and the service providers who act on its behalf.</w:t>
      </w:r>
    </w:p>
    <w:p w14:paraId="72D8AF9F" w14:textId="77777777" w:rsidR="00F90D34" w:rsidRPr="001253CA" w:rsidRDefault="00F90D34" w:rsidP="00F02D5A">
      <w:pPr>
        <w:pStyle w:val="NumberedParagraph"/>
        <w:numPr>
          <w:ilvl w:val="0"/>
          <w:numId w:val="20"/>
        </w:numPr>
      </w:pPr>
      <w:r w:rsidRPr="001253CA">
        <w:t>Professor Manfred Nowak has commented on the threshold for establishing a breach of article 10(1), when compared to the related prohibition against ‘cruel, inhuman or degrading treatment’ in article 7 of the ICCPR, as follows:</w:t>
      </w:r>
    </w:p>
    <w:p w14:paraId="7D65A8D9" w14:textId="36A07A98" w:rsidR="00BB31B6" w:rsidRDefault="00F90D34" w:rsidP="006F1A68">
      <w:pPr>
        <w:pStyle w:val="Style3"/>
      </w:pPr>
      <w:r w:rsidRPr="001253CA">
        <w:t xml:space="preserve">In contrast to article 7, article 10 relates only to the treatment of persons who have been deprived of their liberty. Whereas article 7 primarily is directed at specific, usually violent attacks on personal integrity, article 10 relates more to the general state of a detention facility or some other closed institution and to the specific conditions of detention. As a result, article 10 primarily imposes on States parties a positive obligation to ensure human dignity. Regardless of economic difficulties, the State must establish a minimum standard for humane conditions of detention (requirement of humane treatment). In other words, it must provide detainees and prisoners with a minimum of services to satisfy their basic needs and human rights (food, clothing, medical care, sanitary facilities, education, work, recreation, communication, light, opportunity to move about, privacy, </w:t>
      </w:r>
      <w:r w:rsidR="00A87173" w:rsidRPr="001253CA">
        <w:t>etc.</w:t>
      </w:r>
      <w:r w:rsidRPr="001253CA">
        <w:t xml:space="preserve">). </w:t>
      </w:r>
    </w:p>
    <w:p w14:paraId="7F47D51F" w14:textId="5214A75E" w:rsidR="00345F2E" w:rsidRDefault="00F90D34" w:rsidP="00F90D34">
      <w:pPr>
        <w:pStyle w:val="Style3"/>
      </w:pPr>
      <w:r w:rsidRPr="001253CA">
        <w:t xml:space="preserve">… </w:t>
      </w:r>
    </w:p>
    <w:p w14:paraId="7DD65FFE" w14:textId="6E885593" w:rsidR="00F90D34" w:rsidRPr="001253CA" w:rsidRDefault="00F90D34" w:rsidP="00F90D34">
      <w:pPr>
        <w:pStyle w:val="Style3"/>
      </w:pPr>
      <w:proofErr w:type="gramStart"/>
      <w:r w:rsidRPr="001253CA">
        <w:t>Finally</w:t>
      </w:r>
      <w:proofErr w:type="gramEnd"/>
      <w:r w:rsidRPr="001253CA">
        <w:t xml:space="preserve"> it is again stressed that the requirement of humane treatment pursuant to article 10 goes beyond the mere prohibition of inhuman treatment under article 7 with regard to the extent of the necessary ‘respect for the inherent dignity of the human person’.</w:t>
      </w:r>
      <w:r w:rsidRPr="001253CA">
        <w:rPr>
          <w:rStyle w:val="EndnoteReference"/>
          <w:rFonts w:eastAsia="MS Mincho"/>
        </w:rPr>
        <w:endnoteReference w:id="9"/>
      </w:r>
    </w:p>
    <w:p w14:paraId="242D8F95" w14:textId="77777777" w:rsidR="00F90D34" w:rsidRPr="001253CA" w:rsidRDefault="00F90D34" w:rsidP="00F02D5A">
      <w:pPr>
        <w:pStyle w:val="NumberedParagraph"/>
        <w:numPr>
          <w:ilvl w:val="0"/>
          <w:numId w:val="20"/>
        </w:numPr>
      </w:pPr>
      <w:r w:rsidRPr="001253CA">
        <w:t>These conclusions are also evident in the jurisprudence of the United Nations Human Rights Committee, which discusses the positive obligation on relevant authorities to treat detainees with humanity and respect for their dignity.</w:t>
      </w:r>
      <w:r w:rsidRPr="001253CA">
        <w:rPr>
          <w:sz w:val="20"/>
          <w:szCs w:val="20"/>
          <w:vertAlign w:val="superscript"/>
        </w:rPr>
        <w:endnoteReference w:id="10"/>
      </w:r>
    </w:p>
    <w:p w14:paraId="02EA07CC" w14:textId="77777777" w:rsidR="00F90D34" w:rsidRPr="001253CA" w:rsidRDefault="00F90D34" w:rsidP="00F02D5A">
      <w:pPr>
        <w:pStyle w:val="NumberedParagraph"/>
        <w:numPr>
          <w:ilvl w:val="0"/>
          <w:numId w:val="20"/>
        </w:numPr>
      </w:pPr>
      <w:r w:rsidRPr="001253CA">
        <w:t xml:space="preserve">The content of article 10(1) has been developed through </w:t>
      </w:r>
      <w:proofErr w:type="gramStart"/>
      <w:r w:rsidRPr="001253CA">
        <w:t>a number of</w:t>
      </w:r>
      <w:proofErr w:type="gramEnd"/>
      <w:r w:rsidRPr="001253CA">
        <w:t xml:space="preserve"> United Nations instruments that articulate minimum international standards in relation to people deprived of their liberty,</w:t>
      </w:r>
      <w:r w:rsidRPr="001253CA">
        <w:rPr>
          <w:sz w:val="20"/>
          <w:szCs w:val="20"/>
          <w:vertAlign w:val="superscript"/>
        </w:rPr>
        <w:endnoteReference w:id="11"/>
      </w:r>
      <w:r w:rsidRPr="001253CA">
        <w:t xml:space="preserve"> including:</w:t>
      </w:r>
    </w:p>
    <w:p w14:paraId="6739C738" w14:textId="77777777" w:rsidR="00F90D34" w:rsidRPr="001253CA" w:rsidRDefault="00F90D34" w:rsidP="00F90D34">
      <w:pPr>
        <w:pStyle w:val="Style2"/>
      </w:pPr>
      <w:r w:rsidRPr="001253CA">
        <w:lastRenderedPageBreak/>
        <w:t>the Standard Minimum Rules for the Treatment of Prisoners (Nelson Mandela Rules),</w:t>
      </w:r>
      <w:r w:rsidRPr="001253CA">
        <w:rPr>
          <w:rStyle w:val="EndnoteReference"/>
        </w:rPr>
        <w:endnoteReference w:id="12"/>
      </w:r>
      <w:r w:rsidRPr="001253CA">
        <w:t xml:space="preserve"> and </w:t>
      </w:r>
    </w:p>
    <w:p w14:paraId="2E9C8C55" w14:textId="77777777" w:rsidR="00F90D34" w:rsidRPr="001253CA" w:rsidRDefault="00F90D34" w:rsidP="00F90D34">
      <w:pPr>
        <w:pStyle w:val="Style2"/>
      </w:pPr>
      <w:r w:rsidRPr="001253CA">
        <w:t>the Body of Principles for the Protection of all Persons under Any Form of Detention (Body of Principles).</w:t>
      </w:r>
      <w:r w:rsidRPr="001253CA">
        <w:rPr>
          <w:rStyle w:val="EndnoteReference"/>
        </w:rPr>
        <w:endnoteReference w:id="13"/>
      </w:r>
    </w:p>
    <w:p w14:paraId="46C07351" w14:textId="77777777" w:rsidR="00F90D34" w:rsidRPr="001253CA" w:rsidRDefault="00F90D34" w:rsidP="00F02D5A">
      <w:pPr>
        <w:pStyle w:val="NumberedParagraph"/>
        <w:numPr>
          <w:ilvl w:val="0"/>
          <w:numId w:val="20"/>
        </w:numPr>
      </w:pPr>
      <w:bookmarkStart w:id="14" w:name="_Ref505955631"/>
      <w:r w:rsidRPr="001253CA">
        <w:t xml:space="preserve">In 2015, the Mandela Rules were adopted by the United Nations. They provide a restatement of </w:t>
      </w:r>
      <w:proofErr w:type="gramStart"/>
      <w:r w:rsidRPr="001253CA">
        <w:t>a number of</w:t>
      </w:r>
      <w:proofErr w:type="gramEnd"/>
      <w:r w:rsidRPr="001253CA">
        <w:t xml:space="preserve"> United Nations instruments that set out the standards and norms for the treatment of prisoners.</w:t>
      </w:r>
      <w:r w:rsidRPr="001253CA">
        <w:rPr>
          <w:sz w:val="20"/>
          <w:szCs w:val="20"/>
          <w:vertAlign w:val="superscript"/>
        </w:rPr>
        <w:endnoteReference w:id="14"/>
      </w:r>
      <w:r w:rsidRPr="001253CA">
        <w:rPr>
          <w:sz w:val="20"/>
          <w:szCs w:val="20"/>
        </w:rPr>
        <w:t xml:space="preserve"> </w:t>
      </w:r>
      <w:r w:rsidRPr="001253CA">
        <w:t>At least some of these principles have been determined to be minimum standards regarding the conditions of detention that must be observed regardless of a State Party’s level of development.</w:t>
      </w:r>
    </w:p>
    <w:bookmarkEnd w:id="14"/>
    <w:p w14:paraId="191BC678" w14:textId="2C325A4A" w:rsidR="00F90D34" w:rsidRPr="00F90D34" w:rsidRDefault="00F90D34" w:rsidP="00F02D5A">
      <w:pPr>
        <w:pStyle w:val="ListParagraph"/>
        <w:numPr>
          <w:ilvl w:val="0"/>
          <w:numId w:val="20"/>
        </w:numPr>
        <w:spacing w:before="0" w:after="0"/>
        <w:contextualSpacing/>
        <w:textAlignment w:val="baseline"/>
        <w:rPr>
          <w:rFonts w:cs="Open Sans"/>
        </w:rPr>
      </w:pPr>
      <w:r w:rsidRPr="001253CA">
        <w:rPr>
          <w:rFonts w:cs="Open Sans"/>
        </w:rPr>
        <w:t>Several of the Mandela Rules are relevant to the use of force on detainees by detaining officers. Rule 82(1) of the Mandela Rules provides: </w:t>
      </w:r>
    </w:p>
    <w:p w14:paraId="5999BAD1" w14:textId="77777777" w:rsidR="00F90D34" w:rsidRPr="001253CA" w:rsidRDefault="00F90D34" w:rsidP="00F90D34">
      <w:pPr>
        <w:pStyle w:val="Style3"/>
      </w:pPr>
      <w:r w:rsidRPr="001253CA">
        <w:t xml:space="preserve">Prison staff shall not, in their relations with the prisoners, use force except in </w:t>
      </w:r>
      <w:proofErr w:type="spellStart"/>
      <w:r w:rsidRPr="001253CA">
        <w:t>self-defence</w:t>
      </w:r>
      <w:proofErr w:type="spellEnd"/>
      <w:r w:rsidRPr="001253CA">
        <w:t xml:space="preserve"> or in cases of attempted escape, or active or passive physical resistance to an order based on law or regulations. Prison staff who have recourse to force must use no more than is strictly necessary and must report the incident immediately to the prison director. </w:t>
      </w:r>
    </w:p>
    <w:p w14:paraId="79A0B9DE" w14:textId="77777777" w:rsidR="00F90D34" w:rsidRPr="001253CA" w:rsidRDefault="00F90D34" w:rsidP="00F02D5A">
      <w:pPr>
        <w:pStyle w:val="NumberedParagraph"/>
        <w:numPr>
          <w:ilvl w:val="0"/>
          <w:numId w:val="20"/>
        </w:numPr>
      </w:pPr>
      <w:r w:rsidRPr="001253CA">
        <w:t>This rule provides limits on the circumstances in which force may be used and limits the use of force in those circumstances to what is necessary.</w:t>
      </w:r>
    </w:p>
    <w:p w14:paraId="2607609A" w14:textId="77777777" w:rsidR="00F90D34" w:rsidRPr="001253CA" w:rsidRDefault="00F90D34" w:rsidP="00F02D5A">
      <w:pPr>
        <w:pStyle w:val="NumberedParagraph"/>
        <w:numPr>
          <w:ilvl w:val="0"/>
          <w:numId w:val="20"/>
        </w:numPr>
      </w:pPr>
      <w:r w:rsidRPr="001253CA">
        <w:t xml:space="preserve">Rule 121 requires that civil prisoners ‘shall not be subjected to any greater restriction or severity than is necessary to ensure safe custody and good order’. </w:t>
      </w:r>
    </w:p>
    <w:p w14:paraId="0411BD9B" w14:textId="77777777" w:rsidR="00F90D34" w:rsidRPr="001253CA" w:rsidRDefault="00F90D34" w:rsidP="00F02D5A">
      <w:pPr>
        <w:pStyle w:val="NumberedParagraph"/>
        <w:numPr>
          <w:ilvl w:val="0"/>
          <w:numId w:val="20"/>
        </w:numPr>
      </w:pPr>
      <w:r w:rsidRPr="001253CA">
        <w:t>From the above, the following conclusions may be drawn:</w:t>
      </w:r>
    </w:p>
    <w:p w14:paraId="37A385A0" w14:textId="77777777" w:rsidR="00F90D34" w:rsidRPr="001253CA" w:rsidRDefault="00F90D34" w:rsidP="00F90D34">
      <w:pPr>
        <w:pStyle w:val="Style2"/>
      </w:pPr>
      <w:r w:rsidRPr="001253CA">
        <w:t>article 10(1) of the ICCPR imposes a positive</w:t>
      </w:r>
      <w:r w:rsidRPr="001253CA">
        <w:rPr>
          <w:i/>
          <w:iCs/>
        </w:rPr>
        <w:t xml:space="preserve"> </w:t>
      </w:r>
      <w:r w:rsidRPr="001253CA">
        <w:t>obligation on State parties to take action to ensure that detained persons are treated with humanity and dignity</w:t>
      </w:r>
    </w:p>
    <w:p w14:paraId="174A2C4F" w14:textId="77777777" w:rsidR="00F90D34" w:rsidRPr="001253CA" w:rsidRDefault="00F90D34" w:rsidP="00F90D34">
      <w:pPr>
        <w:pStyle w:val="Style2"/>
      </w:pPr>
      <w:r w:rsidRPr="001253CA">
        <w:t>the threshold for establishing a breach of article 10(1) of the ICCPR is lower than the threshold for establishing ‘cruel, inhuman or degrading treatment’ within the meaning of article 7 of the ICCPR, which is a negative obligation to refrain from such treatment</w:t>
      </w:r>
    </w:p>
    <w:p w14:paraId="13929CBB" w14:textId="77777777" w:rsidR="00F90D34" w:rsidRPr="001253CA" w:rsidRDefault="00F90D34" w:rsidP="00F90D34">
      <w:pPr>
        <w:pStyle w:val="Style2"/>
      </w:pPr>
      <w:r w:rsidRPr="001253CA">
        <w:t>article 10(1) of the ICCPR may be breached if a detainee’s rights, protected by one of the other articles of the ICCPR, are breached – unless that breach is necessitated by the deprivation of liberty</w:t>
      </w:r>
    </w:p>
    <w:p w14:paraId="38E2A7D3" w14:textId="472A738E" w:rsidR="00F90D34" w:rsidRPr="00F90D34" w:rsidRDefault="00F90D34" w:rsidP="00F90D34">
      <w:pPr>
        <w:pStyle w:val="Style2"/>
      </w:pPr>
      <w:r w:rsidRPr="001253CA">
        <w:t xml:space="preserve">minimum standards of humane treatment must be observed in detention conditions, including immigration detention. </w:t>
      </w:r>
    </w:p>
    <w:p w14:paraId="1C598359" w14:textId="0961B2EF" w:rsidR="00467F2E" w:rsidRDefault="00F90D34" w:rsidP="00467F2E">
      <w:pPr>
        <w:pStyle w:val="AHRCHeading1"/>
      </w:pPr>
      <w:bookmarkStart w:id="15" w:name="_Toc164768977"/>
      <w:r>
        <w:t>Legal framework for use of force in immigration detention</w:t>
      </w:r>
      <w:bookmarkEnd w:id="15"/>
      <w:r>
        <w:t xml:space="preserve"> </w:t>
      </w:r>
    </w:p>
    <w:p w14:paraId="3391583E" w14:textId="77777777" w:rsidR="00F90D34" w:rsidRPr="001253CA" w:rsidRDefault="00F90D34" w:rsidP="00F02D5A">
      <w:pPr>
        <w:pStyle w:val="SubmissionNormal"/>
        <w:numPr>
          <w:ilvl w:val="0"/>
          <w:numId w:val="20"/>
        </w:numPr>
        <w:tabs>
          <w:tab w:val="clear" w:pos="720"/>
          <w:tab w:val="num" w:pos="1080"/>
        </w:tabs>
        <w:rPr>
          <w:rStyle w:val="normaltextrun"/>
          <w:rFonts w:eastAsia="MS Mincho" w:cs="Open Sans"/>
        </w:rPr>
      </w:pPr>
      <w:r w:rsidRPr="001253CA">
        <w:rPr>
          <w:rStyle w:val="normaltextrun"/>
          <w:rFonts w:eastAsia="MS Mincho" w:cs="Open Sans"/>
          <w:color w:val="000000"/>
          <w:shd w:val="clear" w:color="auto" w:fill="FFFFFF"/>
          <w:lang w:val="en-GB"/>
        </w:rPr>
        <w:t xml:space="preserve">The Serco contract with the Department to run immigration detention facilities, and the Department’s Detention Services Manual (DSM) are the primary documents that set out the obligations of Serco and departmental staff with respect to use of force. </w:t>
      </w:r>
    </w:p>
    <w:p w14:paraId="69F30EE0" w14:textId="77777777" w:rsidR="00F90D34" w:rsidRPr="001253CA" w:rsidRDefault="00F90D34" w:rsidP="00F02D5A">
      <w:pPr>
        <w:pStyle w:val="SubmissionNormal"/>
        <w:numPr>
          <w:ilvl w:val="0"/>
          <w:numId w:val="20"/>
        </w:numPr>
        <w:tabs>
          <w:tab w:val="clear" w:pos="720"/>
          <w:tab w:val="num" w:pos="1080"/>
        </w:tabs>
        <w:rPr>
          <w:rFonts w:cs="Open Sans"/>
        </w:rPr>
      </w:pPr>
      <w:r w:rsidRPr="001253CA">
        <w:rPr>
          <w:rStyle w:val="normaltextrun"/>
          <w:rFonts w:eastAsia="MS Mincho" w:cs="Open Sans"/>
          <w:color w:val="000000"/>
          <w:shd w:val="clear" w:color="auto" w:fill="FFFFFF"/>
          <w:lang w:val="en-GB"/>
        </w:rPr>
        <w:lastRenderedPageBreak/>
        <w:t xml:space="preserve">The Serco contract </w:t>
      </w:r>
      <w:r w:rsidRPr="001253CA">
        <w:rPr>
          <w:rFonts w:cs="Open Sans"/>
        </w:rPr>
        <w:t>provides that Serco must ensure that force is not used unless as a measure of last resort, and then only with the reasonable level of force necessary. It further states that all reasonable precautionary measures must be taken to ensure the safety of detainees. It requires personnel who use force to be properly trained and accredited</w:t>
      </w:r>
      <w:r w:rsidRPr="001253CA">
        <w:rPr>
          <w:rFonts w:cs="Open Sans"/>
          <w:sz w:val="22"/>
          <w:szCs w:val="22"/>
        </w:rPr>
        <w:t>.</w:t>
      </w:r>
      <w:r w:rsidRPr="001253CA">
        <w:rPr>
          <w:rStyle w:val="EndnoteReference"/>
          <w:rFonts w:eastAsia="MS Mincho" w:cs="Open Sans"/>
          <w:szCs w:val="20"/>
        </w:rPr>
        <w:endnoteReference w:id="15"/>
      </w:r>
    </w:p>
    <w:p w14:paraId="2C8E84BD" w14:textId="77777777" w:rsidR="00F90D34" w:rsidRPr="001253CA" w:rsidRDefault="00F90D34" w:rsidP="00F02D5A">
      <w:pPr>
        <w:pStyle w:val="SubmissionNormal"/>
        <w:numPr>
          <w:ilvl w:val="0"/>
          <w:numId w:val="20"/>
        </w:numPr>
        <w:tabs>
          <w:tab w:val="clear" w:pos="720"/>
          <w:tab w:val="num" w:pos="1080"/>
        </w:tabs>
        <w:rPr>
          <w:rFonts w:cs="Open Sans"/>
        </w:rPr>
      </w:pPr>
      <w:r w:rsidRPr="001253CA">
        <w:rPr>
          <w:rFonts w:cs="Open Sans"/>
        </w:rPr>
        <w:t>When Serco has used force or instruments of restraint such as handcuffs on a detainee, it must prepare an incident report for the Department and refer the detainees to the Detention Health Services Provider for a medical examination immediately after the use of force or restraints.</w:t>
      </w:r>
      <w:r w:rsidRPr="001253CA">
        <w:rPr>
          <w:rStyle w:val="EndnoteReference"/>
          <w:rFonts w:eastAsia="MS Mincho" w:cs="Open Sans"/>
        </w:rPr>
        <w:endnoteReference w:id="16"/>
      </w:r>
      <w:r w:rsidRPr="001253CA">
        <w:rPr>
          <w:rFonts w:cs="Open Sans"/>
        </w:rPr>
        <w:t xml:space="preserve"> </w:t>
      </w:r>
    </w:p>
    <w:p w14:paraId="72870692" w14:textId="77777777" w:rsidR="00F90D34" w:rsidRPr="001253CA" w:rsidRDefault="00F90D34" w:rsidP="00F02D5A">
      <w:pPr>
        <w:pStyle w:val="SubmissionNormal"/>
        <w:numPr>
          <w:ilvl w:val="0"/>
          <w:numId w:val="20"/>
        </w:numPr>
        <w:tabs>
          <w:tab w:val="clear" w:pos="720"/>
          <w:tab w:val="num" w:pos="1080"/>
        </w:tabs>
        <w:rPr>
          <w:rFonts w:cs="Open Sans"/>
        </w:rPr>
      </w:pPr>
      <w:r w:rsidRPr="001253CA">
        <w:rPr>
          <w:rFonts w:cs="Open Sans"/>
        </w:rPr>
        <w:t>As described in the Department’s DSM, both the Department and its service providers owe a duty of care to all persons held in immigration detention. This means that they are legally obliged to exercise reasonable care to prevent detainees from suffering reasonably foreseeable harm.</w:t>
      </w:r>
      <w:r w:rsidRPr="001253CA">
        <w:rPr>
          <w:rStyle w:val="EndnoteReference"/>
          <w:rFonts w:eastAsia="MS Mincho" w:cs="Open Sans"/>
        </w:rPr>
        <w:endnoteReference w:id="17"/>
      </w:r>
      <w:r w:rsidRPr="001253CA">
        <w:rPr>
          <w:rFonts w:cs="Open Sans"/>
        </w:rPr>
        <w:t xml:space="preserve"> The Department’s duty of care is non-delegable.</w:t>
      </w:r>
      <w:r w:rsidRPr="001253CA">
        <w:rPr>
          <w:rStyle w:val="EndnoteReference"/>
          <w:rFonts w:eastAsia="MS Mincho" w:cs="Open Sans"/>
        </w:rPr>
        <w:endnoteReference w:id="18"/>
      </w:r>
      <w:r w:rsidRPr="001253CA">
        <w:rPr>
          <w:rFonts w:cs="Open Sans"/>
        </w:rPr>
        <w:t xml:space="preserve"> </w:t>
      </w:r>
    </w:p>
    <w:p w14:paraId="41140CEB" w14:textId="77777777" w:rsidR="00F90D34" w:rsidRPr="001253CA" w:rsidRDefault="00F90D34" w:rsidP="00F02D5A">
      <w:pPr>
        <w:pStyle w:val="SubmissionNormal"/>
        <w:numPr>
          <w:ilvl w:val="0"/>
          <w:numId w:val="20"/>
        </w:numPr>
        <w:tabs>
          <w:tab w:val="clear" w:pos="720"/>
          <w:tab w:val="num" w:pos="1080"/>
        </w:tabs>
        <w:rPr>
          <w:rFonts w:cs="Open Sans"/>
        </w:rPr>
      </w:pPr>
      <w:r w:rsidRPr="001253CA">
        <w:rPr>
          <w:rFonts w:cs="Open Sans"/>
        </w:rPr>
        <w:t xml:space="preserve">When the Department contracts out the provision of services to people in held detention to third parties, it has a responsibility to ensure the contracted service providers are qualified and can meet the standards outlined in the contract. </w:t>
      </w:r>
    </w:p>
    <w:p w14:paraId="39407335" w14:textId="77777777" w:rsidR="00F90D34" w:rsidRPr="001253CA" w:rsidRDefault="00F90D34" w:rsidP="00F02D5A">
      <w:pPr>
        <w:pStyle w:val="SubmissionNormal"/>
        <w:numPr>
          <w:ilvl w:val="0"/>
          <w:numId w:val="20"/>
        </w:numPr>
        <w:tabs>
          <w:tab w:val="clear" w:pos="720"/>
          <w:tab w:val="num" w:pos="1080"/>
        </w:tabs>
        <w:rPr>
          <w:rFonts w:cs="Open Sans"/>
        </w:rPr>
      </w:pPr>
      <w:r w:rsidRPr="001253CA">
        <w:rPr>
          <w:rFonts w:cs="Open Sans"/>
        </w:rPr>
        <w:t>While these third parties must also discharge their own duty of care obligations to a detainee in held detention, this duty is additional to, and is not a substitute for, the Department’s duty of care.</w:t>
      </w:r>
      <w:r w:rsidRPr="001253CA">
        <w:rPr>
          <w:rStyle w:val="EndnoteReference"/>
          <w:rFonts w:eastAsia="MS Mincho" w:cs="Open Sans"/>
          <w:szCs w:val="20"/>
        </w:rPr>
        <w:endnoteReference w:id="19"/>
      </w:r>
    </w:p>
    <w:p w14:paraId="789077F1" w14:textId="77777777" w:rsidR="00F90D34" w:rsidRPr="001253CA" w:rsidRDefault="00F90D34" w:rsidP="00F02D5A">
      <w:pPr>
        <w:pStyle w:val="SubmissionNormal"/>
        <w:numPr>
          <w:ilvl w:val="0"/>
          <w:numId w:val="20"/>
        </w:numPr>
        <w:tabs>
          <w:tab w:val="clear" w:pos="720"/>
          <w:tab w:val="num" w:pos="1080"/>
        </w:tabs>
        <w:rPr>
          <w:rFonts w:cs="Open Sans"/>
        </w:rPr>
      </w:pPr>
      <w:r w:rsidRPr="001253CA">
        <w:rPr>
          <w:rFonts w:cs="Open Sans"/>
        </w:rPr>
        <w:t>In addition to the Department’s duty of care, the Department recognises that international human rights standards can inform the standard of care a detainee is to receive while detained in an immigration detention facility.</w:t>
      </w:r>
      <w:r w:rsidRPr="001253CA">
        <w:rPr>
          <w:rStyle w:val="EndnoteReference"/>
          <w:rFonts w:eastAsia="MS Mincho" w:cs="Open Sans"/>
          <w:szCs w:val="20"/>
        </w:rPr>
        <w:endnoteReference w:id="20"/>
      </w:r>
    </w:p>
    <w:p w14:paraId="59564186" w14:textId="77777777" w:rsidR="00F90D34" w:rsidRPr="001253CA" w:rsidRDefault="00F90D34" w:rsidP="00F02D5A">
      <w:pPr>
        <w:pStyle w:val="SubmissionNormal"/>
        <w:numPr>
          <w:ilvl w:val="0"/>
          <w:numId w:val="20"/>
        </w:numPr>
        <w:tabs>
          <w:tab w:val="clear" w:pos="720"/>
          <w:tab w:val="num" w:pos="1080"/>
        </w:tabs>
        <w:rPr>
          <w:rFonts w:cs="Open Sans"/>
        </w:rPr>
      </w:pPr>
      <w:r w:rsidRPr="001253CA">
        <w:rPr>
          <w:rFonts w:cs="Open Sans"/>
        </w:rPr>
        <w:t>The Department’s DSM gives policy and procedural guidance to the ABF and Serco officers on the use of force in immigration detention facilities. The following principles, taken from the manual, are consistent with the Commonwealth’s human rights obligations in relation to the use of force on detainees in their care:</w:t>
      </w:r>
    </w:p>
    <w:p w14:paraId="5D1C9DF3" w14:textId="77777777" w:rsidR="00F90D34" w:rsidRPr="001253CA" w:rsidRDefault="00F90D34" w:rsidP="00F90D34">
      <w:pPr>
        <w:pStyle w:val="Style2"/>
      </w:pPr>
      <w:r w:rsidRPr="001253CA">
        <w:rPr>
          <w:b/>
          <w:bCs/>
        </w:rPr>
        <w:t>there is a presumption against the use of force</w:t>
      </w:r>
      <w:r w:rsidRPr="001253CA">
        <w:t>, including restraints, during movements within an IDF, transfers between IDFs, and during transport and escort activities outside of IDFs</w:t>
      </w:r>
    </w:p>
    <w:p w14:paraId="2DE45F2D" w14:textId="77777777" w:rsidR="00F90D34" w:rsidRPr="001253CA" w:rsidRDefault="00F90D34" w:rsidP="00F90D34">
      <w:pPr>
        <w:pStyle w:val="Style2"/>
      </w:pPr>
      <w:r w:rsidRPr="001253CA">
        <w:t xml:space="preserve">conflict resolution through </w:t>
      </w:r>
      <w:r w:rsidRPr="001253CA">
        <w:rPr>
          <w:b/>
          <w:bCs/>
        </w:rPr>
        <w:t>negotiation and de-escalation, where practicable, must be considered</w:t>
      </w:r>
      <w:r w:rsidRPr="001253CA">
        <w:t xml:space="preserve"> before the </w:t>
      </w:r>
      <w:proofErr w:type="spellStart"/>
      <w:r w:rsidRPr="001253CA">
        <w:t>UoF</w:t>
      </w:r>
      <w:proofErr w:type="spellEnd"/>
      <w:r w:rsidRPr="001253CA">
        <w:t xml:space="preserve"> and/or restraint is used</w:t>
      </w:r>
    </w:p>
    <w:p w14:paraId="2D240A67" w14:textId="77777777" w:rsidR="00F90D34" w:rsidRPr="001253CA" w:rsidRDefault="00F90D34" w:rsidP="00F90D34">
      <w:pPr>
        <w:pStyle w:val="Style2"/>
      </w:pPr>
      <w:proofErr w:type="spellStart"/>
      <w:r w:rsidRPr="001253CA">
        <w:t>UoF</w:t>
      </w:r>
      <w:proofErr w:type="spellEnd"/>
      <w:r w:rsidRPr="001253CA">
        <w:t xml:space="preserve"> and/or restraint should </w:t>
      </w:r>
      <w:r w:rsidRPr="001253CA">
        <w:rPr>
          <w:b/>
          <w:bCs/>
        </w:rPr>
        <w:t>only be used as a last resort</w:t>
      </w:r>
    </w:p>
    <w:p w14:paraId="5AAFEF14" w14:textId="77777777" w:rsidR="00F90D34" w:rsidRPr="001253CA" w:rsidRDefault="00F90D34" w:rsidP="00F90D34">
      <w:pPr>
        <w:pStyle w:val="Style2"/>
      </w:pPr>
      <w:r w:rsidRPr="001253CA">
        <w:t xml:space="preserve">the amount of force </w:t>
      </w:r>
      <w:proofErr w:type="gramStart"/>
      <w:r w:rsidRPr="001253CA">
        <w:t>used</w:t>
      </w:r>
      <w:proofErr w:type="gramEnd"/>
      <w:r w:rsidRPr="001253CA">
        <w:t xml:space="preserve"> and the application of restraints </w:t>
      </w:r>
      <w:r w:rsidRPr="001253CA">
        <w:rPr>
          <w:b/>
          <w:bCs/>
        </w:rPr>
        <w:t>must be reasonable</w:t>
      </w:r>
      <w:r w:rsidRPr="001253CA">
        <w:t>.</w:t>
      </w:r>
      <w:r w:rsidRPr="001253CA">
        <w:rPr>
          <w:rStyle w:val="EndnoteReference"/>
        </w:rPr>
        <w:endnoteReference w:id="21"/>
      </w:r>
    </w:p>
    <w:p w14:paraId="2A73AE0E" w14:textId="77777777" w:rsidR="00F90D34" w:rsidRPr="001253CA" w:rsidRDefault="00F90D34" w:rsidP="00F90D34">
      <w:pPr>
        <w:pStyle w:val="NumberedParagraph"/>
        <w:tabs>
          <w:tab w:val="clear" w:pos="720"/>
        </w:tabs>
        <w:ind w:left="1080" w:firstLine="360"/>
      </w:pPr>
      <w:r w:rsidRPr="001253CA">
        <w:t>[emphasis in original]</w:t>
      </w:r>
    </w:p>
    <w:p w14:paraId="32E9161E" w14:textId="77777777" w:rsidR="00F90D34" w:rsidRPr="001253CA" w:rsidRDefault="00F90D34" w:rsidP="00F02D5A">
      <w:pPr>
        <w:pStyle w:val="ListParagraph"/>
        <w:numPr>
          <w:ilvl w:val="0"/>
          <w:numId w:val="20"/>
        </w:numPr>
        <w:contextualSpacing/>
        <w:rPr>
          <w:rFonts w:cs="Open Sans"/>
        </w:rPr>
      </w:pPr>
      <w:r w:rsidRPr="001253CA">
        <w:rPr>
          <w:rFonts w:cs="Open Sans"/>
        </w:rPr>
        <w:lastRenderedPageBreak/>
        <w:t>In relation to the use of restraints, the Department’s DSM provides that instruments of restraint must:</w:t>
      </w:r>
      <w:r w:rsidRPr="001253CA">
        <w:rPr>
          <w:rStyle w:val="EndnoteReference"/>
          <w:rFonts w:cs="Open Sans"/>
        </w:rPr>
        <w:endnoteReference w:id="22"/>
      </w:r>
    </w:p>
    <w:p w14:paraId="33025E3B" w14:textId="77777777" w:rsidR="00F90D34" w:rsidRPr="001253CA" w:rsidRDefault="00F90D34" w:rsidP="00271BF6">
      <w:pPr>
        <w:pStyle w:val="Style2"/>
      </w:pPr>
      <w:r w:rsidRPr="001253CA">
        <w:t>never be applied as a punishment or for discipline</w:t>
      </w:r>
    </w:p>
    <w:p w14:paraId="7CE5D565" w14:textId="77777777" w:rsidR="00F90D34" w:rsidRPr="001253CA" w:rsidRDefault="00F90D34" w:rsidP="00271BF6">
      <w:pPr>
        <w:pStyle w:val="Style2"/>
      </w:pPr>
      <w:r w:rsidRPr="001253CA">
        <w:t>never be applied as a substitute for medical treatment</w:t>
      </w:r>
    </w:p>
    <w:p w14:paraId="18388D56" w14:textId="77777777" w:rsidR="00F90D34" w:rsidRPr="001253CA" w:rsidRDefault="00F90D34" w:rsidP="00271BF6">
      <w:pPr>
        <w:pStyle w:val="Style2"/>
      </w:pPr>
      <w:r w:rsidRPr="001253CA">
        <w:t>never be used for convenience or as an alternative to reasonable staffing</w:t>
      </w:r>
    </w:p>
    <w:p w14:paraId="4C92E9A5" w14:textId="77777777" w:rsidR="00F90D34" w:rsidRPr="001253CA" w:rsidRDefault="00F90D34" w:rsidP="00271BF6">
      <w:pPr>
        <w:pStyle w:val="Style2"/>
      </w:pPr>
      <w:r w:rsidRPr="001253CA">
        <w:t xml:space="preserve">be removed once the threat has diminished and the officer believes that the detainee is no longer a threat to themselves, </w:t>
      </w:r>
      <w:proofErr w:type="gramStart"/>
      <w:r w:rsidRPr="001253CA">
        <w:t>others</w:t>
      </w:r>
      <w:proofErr w:type="gramEnd"/>
      <w:r w:rsidRPr="001253CA">
        <w:t xml:space="preserve"> or property.</w:t>
      </w:r>
      <w:r w:rsidRPr="001253CA">
        <w:rPr>
          <w:rStyle w:val="EndnoteReference"/>
        </w:rPr>
        <w:endnoteReference w:id="23"/>
      </w:r>
    </w:p>
    <w:p w14:paraId="5A68B45A" w14:textId="4EA87F4E" w:rsidR="00F90D34" w:rsidRPr="00271BF6" w:rsidRDefault="00F90D34" w:rsidP="00C127C3">
      <w:pPr>
        <w:pStyle w:val="ListParagraph"/>
        <w:numPr>
          <w:ilvl w:val="0"/>
          <w:numId w:val="20"/>
        </w:numPr>
      </w:pPr>
      <w:r w:rsidRPr="00271BF6">
        <w:t>Serco’s contract with the Department provides that Serco must ‘ensure that restraints are not used in a manner which is likely to cause injury, serious discomfort or potential danger to a Detainee’.</w:t>
      </w:r>
      <w:r w:rsidRPr="00271BF6">
        <w:rPr>
          <w:rStyle w:val="EndnoteReference"/>
          <w:rFonts w:cs="Open Sans"/>
          <w:b/>
          <w:bCs/>
        </w:rPr>
        <w:endnoteReference w:id="24"/>
      </w:r>
    </w:p>
    <w:p w14:paraId="38C2C940" w14:textId="77777777" w:rsidR="00271BF6" w:rsidRPr="001253CA" w:rsidRDefault="00271BF6" w:rsidP="00271BF6">
      <w:pPr>
        <w:pStyle w:val="AHRCHeading1"/>
      </w:pPr>
      <w:bookmarkStart w:id="16" w:name="_Toc155191191"/>
      <w:bookmarkStart w:id="17" w:name="_Toc164768978"/>
      <w:r w:rsidRPr="001253CA">
        <w:t>Act or practice of the Commonwealth</w:t>
      </w:r>
      <w:bookmarkEnd w:id="16"/>
      <w:bookmarkEnd w:id="17"/>
      <w:r w:rsidRPr="001253CA">
        <w:t xml:space="preserve"> </w:t>
      </w:r>
    </w:p>
    <w:p w14:paraId="72D84228" w14:textId="77777777" w:rsidR="00271BF6" w:rsidRPr="001253CA" w:rsidRDefault="00271BF6" w:rsidP="00F02D5A">
      <w:pPr>
        <w:numPr>
          <w:ilvl w:val="0"/>
          <w:numId w:val="20"/>
        </w:numPr>
        <w:rPr>
          <w:rFonts w:cs="Open Sans"/>
        </w:rPr>
      </w:pPr>
      <w:r w:rsidRPr="001253CA">
        <w:rPr>
          <w:rFonts w:cs="Open Sans"/>
        </w:rPr>
        <w:t>The relevant acts or practices of the Commonwealth for the purpose of this inquiry are:</w:t>
      </w:r>
    </w:p>
    <w:p w14:paraId="6D6EF79B" w14:textId="16F6ECDA" w:rsidR="00271BF6" w:rsidRPr="001253CA" w:rsidRDefault="00271BF6" w:rsidP="00271BF6">
      <w:pPr>
        <w:pStyle w:val="Style2"/>
      </w:pPr>
      <w:r w:rsidRPr="001253CA">
        <w:t xml:space="preserve">the decision to use force against </w:t>
      </w:r>
      <w:r w:rsidR="00097E36">
        <w:t>Mr</w:t>
      </w:r>
      <w:r w:rsidRPr="001253CA">
        <w:t xml:space="preserve"> BX on 22 July 2020</w:t>
      </w:r>
    </w:p>
    <w:p w14:paraId="551DF7E8" w14:textId="765E9728" w:rsidR="00271BF6" w:rsidRPr="001253CA" w:rsidRDefault="00271BF6" w:rsidP="00271BF6">
      <w:pPr>
        <w:pStyle w:val="Style2"/>
      </w:pPr>
      <w:r w:rsidRPr="001253CA">
        <w:t xml:space="preserve">the decision to use force against </w:t>
      </w:r>
      <w:r w:rsidR="00097E36">
        <w:t xml:space="preserve">Mr </w:t>
      </w:r>
      <w:r w:rsidRPr="001253CA">
        <w:t xml:space="preserve">BX on 22 November 2020 </w:t>
      </w:r>
    </w:p>
    <w:p w14:paraId="79BC7032" w14:textId="6232FA71" w:rsidR="00271BF6" w:rsidRPr="001253CA" w:rsidRDefault="00271BF6" w:rsidP="00271BF6">
      <w:pPr>
        <w:pStyle w:val="Style2"/>
      </w:pPr>
      <w:r w:rsidRPr="001253CA">
        <w:t xml:space="preserve">the decision to use restraints against </w:t>
      </w:r>
      <w:r w:rsidR="00097E36">
        <w:t>Mr</w:t>
      </w:r>
      <w:r w:rsidRPr="001253CA">
        <w:t xml:space="preserve"> BX on 22 November 2020</w:t>
      </w:r>
      <w:r w:rsidR="007836F5">
        <w:t>.</w:t>
      </w:r>
    </w:p>
    <w:p w14:paraId="4D29241A" w14:textId="77777777" w:rsidR="00271BF6" w:rsidRPr="001253CA" w:rsidRDefault="00271BF6" w:rsidP="00F02D5A">
      <w:pPr>
        <w:numPr>
          <w:ilvl w:val="0"/>
          <w:numId w:val="20"/>
        </w:numPr>
        <w:rPr>
          <w:rFonts w:cs="Open Sans"/>
        </w:rPr>
      </w:pPr>
      <w:r w:rsidRPr="001253CA">
        <w:rPr>
          <w:rFonts w:cs="Open Sans"/>
        </w:rPr>
        <w:t xml:space="preserve">The Department has provided bodycam footage from ERT officers involved in both use of force incidents. I have noted where there is no footage capturing the alleged use of force. This is particularly so in relation to some aspects of the second use of force incident. </w:t>
      </w:r>
    </w:p>
    <w:p w14:paraId="3E5ACFB0" w14:textId="77777777" w:rsidR="00271BF6" w:rsidRPr="001253CA" w:rsidRDefault="00271BF6" w:rsidP="00F02D5A">
      <w:pPr>
        <w:numPr>
          <w:ilvl w:val="0"/>
          <w:numId w:val="20"/>
        </w:numPr>
        <w:rPr>
          <w:rFonts w:cs="Open Sans"/>
        </w:rPr>
      </w:pPr>
      <w:r w:rsidRPr="001253CA">
        <w:rPr>
          <w:rFonts w:cs="Open Sans"/>
        </w:rPr>
        <w:t>The documents provided by the Department, which include incident detail reports, service provider reports, use of force records and medical records, also record key events on 22 July 2020 and 22 November 2020.</w:t>
      </w:r>
    </w:p>
    <w:p w14:paraId="608EBBB1" w14:textId="4A7950BB" w:rsidR="008A7EFF" w:rsidRDefault="00271BF6" w:rsidP="008A7EFF">
      <w:pPr>
        <w:pStyle w:val="AHRCHeading1"/>
      </w:pPr>
      <w:bookmarkStart w:id="18" w:name="_Toc164768979"/>
      <w:r>
        <w:t>Consideration of records of incidents</w:t>
      </w:r>
      <w:bookmarkEnd w:id="18"/>
      <w:r>
        <w:t xml:space="preserve"> </w:t>
      </w:r>
    </w:p>
    <w:p w14:paraId="4555FA9E" w14:textId="0CBF1D3B" w:rsidR="00271BF6" w:rsidRDefault="00271BF6" w:rsidP="00271BF6">
      <w:pPr>
        <w:pStyle w:val="AHRCHeading2"/>
      </w:pPr>
      <w:bookmarkStart w:id="19" w:name="_Toc164768980"/>
      <w:r>
        <w:t>Use of force on 22 July 2020</w:t>
      </w:r>
      <w:bookmarkEnd w:id="19"/>
    </w:p>
    <w:p w14:paraId="094B6754" w14:textId="60523D95" w:rsidR="009A33DD" w:rsidRPr="007F3365" w:rsidRDefault="00271BF6" w:rsidP="009A33DD">
      <w:pPr>
        <w:numPr>
          <w:ilvl w:val="0"/>
          <w:numId w:val="20"/>
        </w:numPr>
        <w:rPr>
          <w:rFonts w:cs="Open Sans"/>
        </w:rPr>
      </w:pPr>
      <w:r w:rsidRPr="001253CA">
        <w:rPr>
          <w:rFonts w:cs="Open Sans"/>
        </w:rPr>
        <w:t xml:space="preserve">On 22 July 2020 at approximately 4.13 pm, Department incident reports state that ERT officers were called to Hume A compound in response to another detainee (not </w:t>
      </w:r>
      <w:r w:rsidR="00CC3A35">
        <w:rPr>
          <w:rFonts w:cs="Open Sans"/>
        </w:rPr>
        <w:t xml:space="preserve">Mr </w:t>
      </w:r>
      <w:r w:rsidRPr="001253CA">
        <w:rPr>
          <w:rFonts w:cs="Open Sans"/>
        </w:rPr>
        <w:t xml:space="preserve">BX) displaying abusive and aggressive behaviour. That detainee had presented at the officer’s station wanting to borrow a broom but was informed by the Detainee Services Officer that there was none. The Department alleges that the detainee became aggressive and punched the window in front of the officer’s station and pushed over a computer monitor. I note that there is no footage of this incident and recordings provided to the Commission commence shortly after ERT officers are called to assist.  </w:t>
      </w:r>
    </w:p>
    <w:p w14:paraId="6A7E3F91" w14:textId="41941EA3" w:rsidR="00FD5DB5" w:rsidRPr="009E1AEE" w:rsidRDefault="00870C9C" w:rsidP="002361BD">
      <w:pPr>
        <w:numPr>
          <w:ilvl w:val="0"/>
          <w:numId w:val="20"/>
        </w:numPr>
        <w:rPr>
          <w:rFonts w:cs="Open Sans"/>
        </w:rPr>
      </w:pPr>
      <w:r>
        <w:rPr>
          <w:noProof/>
        </w:rPr>
        <w:lastRenderedPageBreak/>
        <w:drawing>
          <wp:anchor distT="0" distB="0" distL="0" distR="0" simplePos="0" relativeHeight="251658240" behindDoc="1" locked="0" layoutInCell="1" allowOverlap="1" wp14:anchorId="7A893C75" wp14:editId="6063BD76">
            <wp:simplePos x="0" y="0"/>
            <wp:positionH relativeFrom="page">
              <wp:posOffset>2161540</wp:posOffset>
            </wp:positionH>
            <wp:positionV relativeFrom="paragraph">
              <wp:posOffset>1129030</wp:posOffset>
            </wp:positionV>
            <wp:extent cx="3841115" cy="1871980"/>
            <wp:effectExtent l="0" t="0" r="6985" b="0"/>
            <wp:wrapSquare wrapText="bothSides"/>
            <wp:docPr id="4" name="Image 4" descr="A group of people walking on a football field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group of people walking on a football field  Description automatically generated "/>
                    <pic:cNvPicPr/>
                  </pic:nvPicPr>
                  <pic:blipFill>
                    <a:blip r:embed="rId19" cstate="print"/>
                    <a:stretch>
                      <a:fillRect/>
                    </a:stretch>
                  </pic:blipFill>
                  <pic:spPr>
                    <a:xfrm>
                      <a:off x="0" y="0"/>
                      <a:ext cx="3841115" cy="1871980"/>
                    </a:xfrm>
                    <a:prstGeom prst="rect">
                      <a:avLst/>
                    </a:prstGeom>
                  </pic:spPr>
                </pic:pic>
              </a:graphicData>
            </a:graphic>
            <wp14:sizeRelH relativeFrom="margin">
              <wp14:pctWidth>0</wp14:pctWidth>
            </wp14:sizeRelH>
            <wp14:sizeRelV relativeFrom="margin">
              <wp14:pctHeight>0</wp14:pctHeight>
            </wp14:sizeRelV>
          </wp:anchor>
        </w:drawing>
      </w:r>
      <w:r w:rsidR="00271BF6" w:rsidRPr="001253CA">
        <w:rPr>
          <w:rFonts w:cs="Open Sans"/>
        </w:rPr>
        <w:t xml:space="preserve">At approximately 4.16 pm, footage records two ERT officers entering Hume A compound. They are followed shortly after by approximately </w:t>
      </w:r>
      <w:r w:rsidR="000F379B">
        <w:rPr>
          <w:rFonts w:cs="Open Sans"/>
        </w:rPr>
        <w:t>seven</w:t>
      </w:r>
      <w:r w:rsidR="00271BF6" w:rsidRPr="001253CA">
        <w:rPr>
          <w:rFonts w:cs="Open Sans"/>
        </w:rPr>
        <w:t xml:space="preserve"> other ERT officers (Figure 1). </w:t>
      </w:r>
      <w:r w:rsidR="00CF6F19">
        <w:rPr>
          <w:rFonts w:cs="Open Sans"/>
        </w:rPr>
        <w:t xml:space="preserve">Mr </w:t>
      </w:r>
      <w:r w:rsidR="00271BF6" w:rsidRPr="001253CA">
        <w:rPr>
          <w:rFonts w:cs="Open Sans"/>
        </w:rPr>
        <w:t xml:space="preserve">BX can be seen standing next to the other detainee who is seated in front of the officer’s station (Figure 2).  </w:t>
      </w:r>
      <w:r w:rsidR="009E1AEE">
        <w:rPr>
          <w:rFonts w:cs="Open Sans"/>
        </w:rPr>
        <w:br/>
      </w:r>
      <w:r w:rsidR="009E1AEE">
        <w:rPr>
          <w:rFonts w:cs="Open Sans"/>
        </w:rPr>
        <w:br/>
      </w:r>
    </w:p>
    <w:p w14:paraId="52807378" w14:textId="798D6CCE" w:rsidR="009A33DD" w:rsidRDefault="00E4586B" w:rsidP="00E4586B">
      <w:pPr>
        <w:pStyle w:val="ListBullet"/>
        <w:numPr>
          <w:ilvl w:val="0"/>
          <w:numId w:val="0"/>
        </w:numPr>
        <w:tabs>
          <w:tab w:val="clear" w:pos="1134"/>
        </w:tabs>
        <w:ind w:left="1985" w:firstLine="891"/>
        <w:jc w:val="both"/>
        <w:rPr>
          <w:b/>
          <w:bCs/>
          <w:sz w:val="22"/>
          <w:szCs w:val="22"/>
        </w:rPr>
      </w:pPr>
      <w:r>
        <w:rPr>
          <w:b/>
          <w:bCs/>
          <w:sz w:val="22"/>
          <w:szCs w:val="22"/>
        </w:rPr>
        <w:br/>
      </w:r>
    </w:p>
    <w:p w14:paraId="49D08BED" w14:textId="77777777" w:rsidR="009A33DD" w:rsidRDefault="009A33DD" w:rsidP="009A33DD">
      <w:pPr>
        <w:pStyle w:val="ListBullet"/>
        <w:numPr>
          <w:ilvl w:val="0"/>
          <w:numId w:val="0"/>
        </w:numPr>
        <w:tabs>
          <w:tab w:val="clear" w:pos="1134"/>
        </w:tabs>
        <w:ind w:left="1094" w:hanging="737"/>
        <w:jc w:val="both"/>
        <w:rPr>
          <w:b/>
          <w:bCs/>
          <w:sz w:val="22"/>
          <w:szCs w:val="22"/>
        </w:rPr>
      </w:pPr>
    </w:p>
    <w:p w14:paraId="4C651868" w14:textId="77777777" w:rsidR="009A33DD" w:rsidRDefault="009A33DD" w:rsidP="009A33DD">
      <w:pPr>
        <w:pStyle w:val="ListBullet"/>
        <w:numPr>
          <w:ilvl w:val="0"/>
          <w:numId w:val="0"/>
        </w:numPr>
        <w:tabs>
          <w:tab w:val="clear" w:pos="1134"/>
        </w:tabs>
        <w:ind w:left="1094" w:hanging="737"/>
        <w:jc w:val="both"/>
        <w:rPr>
          <w:b/>
          <w:bCs/>
          <w:sz w:val="22"/>
          <w:szCs w:val="22"/>
        </w:rPr>
      </w:pPr>
    </w:p>
    <w:p w14:paraId="3515F8E6" w14:textId="77777777" w:rsidR="009A33DD" w:rsidRDefault="009A33DD" w:rsidP="009A33DD">
      <w:pPr>
        <w:pStyle w:val="ListBullet"/>
        <w:numPr>
          <w:ilvl w:val="0"/>
          <w:numId w:val="0"/>
        </w:numPr>
        <w:tabs>
          <w:tab w:val="clear" w:pos="1134"/>
        </w:tabs>
        <w:ind w:left="1094" w:hanging="737"/>
        <w:jc w:val="both"/>
        <w:rPr>
          <w:b/>
          <w:bCs/>
          <w:sz w:val="22"/>
          <w:szCs w:val="22"/>
        </w:rPr>
      </w:pPr>
    </w:p>
    <w:p w14:paraId="6C6E3E9B" w14:textId="77777777" w:rsidR="009A33DD" w:rsidRDefault="009A33DD" w:rsidP="009A33DD">
      <w:pPr>
        <w:pStyle w:val="ListBullet"/>
        <w:numPr>
          <w:ilvl w:val="0"/>
          <w:numId w:val="0"/>
        </w:numPr>
        <w:tabs>
          <w:tab w:val="clear" w:pos="1134"/>
        </w:tabs>
        <w:ind w:left="1094" w:hanging="737"/>
        <w:jc w:val="both"/>
        <w:rPr>
          <w:b/>
          <w:bCs/>
          <w:sz w:val="22"/>
          <w:szCs w:val="22"/>
        </w:rPr>
      </w:pPr>
    </w:p>
    <w:p w14:paraId="1FCCF841" w14:textId="77777777" w:rsidR="009A33DD" w:rsidRDefault="009A33DD" w:rsidP="009A33DD">
      <w:pPr>
        <w:pStyle w:val="ListBullet"/>
        <w:numPr>
          <w:ilvl w:val="0"/>
          <w:numId w:val="0"/>
        </w:numPr>
        <w:tabs>
          <w:tab w:val="clear" w:pos="1134"/>
        </w:tabs>
        <w:ind w:left="1094" w:hanging="737"/>
        <w:jc w:val="both"/>
        <w:rPr>
          <w:b/>
          <w:bCs/>
          <w:sz w:val="22"/>
          <w:szCs w:val="22"/>
        </w:rPr>
      </w:pPr>
    </w:p>
    <w:p w14:paraId="1B76D859" w14:textId="77777777" w:rsidR="009A33DD" w:rsidRDefault="009A33DD" w:rsidP="009A33DD">
      <w:pPr>
        <w:pStyle w:val="ListBullet"/>
        <w:numPr>
          <w:ilvl w:val="0"/>
          <w:numId w:val="0"/>
        </w:numPr>
        <w:tabs>
          <w:tab w:val="clear" w:pos="1134"/>
        </w:tabs>
        <w:ind w:left="1094" w:hanging="737"/>
        <w:jc w:val="both"/>
        <w:rPr>
          <w:b/>
          <w:bCs/>
          <w:sz w:val="22"/>
          <w:szCs w:val="22"/>
        </w:rPr>
      </w:pPr>
    </w:p>
    <w:p w14:paraId="477F4B35" w14:textId="77777777" w:rsidR="00271BF6" w:rsidRDefault="00271BF6" w:rsidP="009A33DD">
      <w:pPr>
        <w:pStyle w:val="ListBullet"/>
        <w:numPr>
          <w:ilvl w:val="0"/>
          <w:numId w:val="0"/>
        </w:numPr>
        <w:tabs>
          <w:tab w:val="clear" w:pos="1134"/>
        </w:tabs>
        <w:ind w:left="1094" w:hanging="737"/>
        <w:jc w:val="both"/>
        <w:rPr>
          <w:b/>
          <w:sz w:val="22"/>
          <w:szCs w:val="22"/>
        </w:rPr>
      </w:pPr>
    </w:p>
    <w:p w14:paraId="551BF253" w14:textId="77777777" w:rsidR="00870C9C" w:rsidRDefault="00F96A74" w:rsidP="00F96A74">
      <w:pPr>
        <w:pStyle w:val="ListBullet"/>
        <w:numPr>
          <w:ilvl w:val="0"/>
          <w:numId w:val="0"/>
        </w:numPr>
        <w:tabs>
          <w:tab w:val="clear" w:pos="1134"/>
        </w:tabs>
        <w:ind w:left="1985"/>
        <w:jc w:val="both"/>
        <w:rPr>
          <w:b/>
          <w:sz w:val="22"/>
          <w:szCs w:val="22"/>
        </w:rPr>
      </w:pPr>
      <w:r>
        <w:rPr>
          <w:b/>
          <w:sz w:val="22"/>
          <w:szCs w:val="22"/>
        </w:rPr>
        <w:br/>
      </w:r>
      <w:r>
        <w:rPr>
          <w:b/>
          <w:sz w:val="22"/>
          <w:szCs w:val="22"/>
        </w:rPr>
        <w:br/>
      </w:r>
      <w:r>
        <w:rPr>
          <w:b/>
          <w:sz w:val="22"/>
          <w:szCs w:val="22"/>
        </w:rPr>
        <w:br/>
      </w:r>
      <w:r>
        <w:rPr>
          <w:b/>
          <w:sz w:val="22"/>
          <w:szCs w:val="22"/>
        </w:rPr>
        <w:br/>
      </w:r>
      <w:r>
        <w:rPr>
          <w:b/>
          <w:sz w:val="22"/>
          <w:szCs w:val="22"/>
        </w:rPr>
        <w:br/>
      </w:r>
    </w:p>
    <w:p w14:paraId="323902A5" w14:textId="6D684B41" w:rsidR="00EC65F2" w:rsidRDefault="00271BF6" w:rsidP="00F96A74">
      <w:pPr>
        <w:pStyle w:val="ListBullet"/>
        <w:numPr>
          <w:ilvl w:val="0"/>
          <w:numId w:val="0"/>
        </w:numPr>
        <w:tabs>
          <w:tab w:val="clear" w:pos="1134"/>
        </w:tabs>
        <w:ind w:left="1985"/>
        <w:jc w:val="both"/>
        <w:rPr>
          <w:sz w:val="22"/>
          <w:szCs w:val="22"/>
        </w:rPr>
      </w:pPr>
      <w:r w:rsidRPr="00FD5DB5">
        <w:rPr>
          <w:b/>
          <w:sz w:val="22"/>
          <w:szCs w:val="22"/>
        </w:rPr>
        <w:t>Figure 1:</w:t>
      </w:r>
      <w:r w:rsidRPr="00FD5DB5">
        <w:rPr>
          <w:sz w:val="22"/>
          <w:szCs w:val="22"/>
        </w:rPr>
        <w:t xml:space="preserve"> Some of the ERT officers approaching the officer’s </w:t>
      </w:r>
    </w:p>
    <w:p w14:paraId="1B5E8387" w14:textId="411A8A50" w:rsidR="00271BF6" w:rsidRPr="00FD5DB5" w:rsidRDefault="00271BF6" w:rsidP="009A33DD">
      <w:pPr>
        <w:pStyle w:val="ListBullet"/>
        <w:numPr>
          <w:ilvl w:val="0"/>
          <w:numId w:val="0"/>
        </w:numPr>
        <w:tabs>
          <w:tab w:val="clear" w:pos="1134"/>
        </w:tabs>
        <w:ind w:left="1094" w:firstLine="891"/>
        <w:jc w:val="both"/>
        <w:rPr>
          <w:sz w:val="22"/>
          <w:szCs w:val="22"/>
        </w:rPr>
      </w:pPr>
      <w:r w:rsidRPr="00FD5DB5">
        <w:rPr>
          <w:sz w:val="22"/>
          <w:szCs w:val="22"/>
        </w:rPr>
        <w:t>station</w:t>
      </w:r>
    </w:p>
    <w:p w14:paraId="4F2C9D65" w14:textId="787C1B98" w:rsidR="005B5EF1" w:rsidRDefault="00CD5BB8" w:rsidP="00BB476A">
      <w:pPr>
        <w:tabs>
          <w:tab w:val="left" w:pos="709"/>
        </w:tabs>
        <w:rPr>
          <w:rFonts w:cs="Open Sans"/>
        </w:rPr>
      </w:pPr>
      <w:r>
        <w:rPr>
          <w:noProof/>
          <w:sz w:val="20"/>
        </w:rPr>
        <w:drawing>
          <wp:anchor distT="0" distB="0" distL="114300" distR="114300" simplePos="0" relativeHeight="251658241" behindDoc="0" locked="0" layoutInCell="1" allowOverlap="1" wp14:anchorId="7E81B40F" wp14:editId="7B25F582">
            <wp:simplePos x="0" y="0"/>
            <wp:positionH relativeFrom="column">
              <wp:posOffset>1242060</wp:posOffset>
            </wp:positionH>
            <wp:positionV relativeFrom="paragraph">
              <wp:posOffset>252730</wp:posOffset>
            </wp:positionV>
            <wp:extent cx="3801110" cy="1871980"/>
            <wp:effectExtent l="0" t="0" r="8890" b="0"/>
            <wp:wrapSquare wrapText="bothSides"/>
            <wp:docPr id="5" name="Image 5" descr="A group of people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group of people in a roo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01110" cy="1871980"/>
                    </a:xfrm>
                    <a:prstGeom prst="rect">
                      <a:avLst/>
                    </a:prstGeom>
                  </pic:spPr>
                </pic:pic>
              </a:graphicData>
            </a:graphic>
            <wp14:sizeRelH relativeFrom="page">
              <wp14:pctWidth>0</wp14:pctWidth>
            </wp14:sizeRelH>
            <wp14:sizeRelV relativeFrom="page">
              <wp14:pctHeight>0</wp14:pctHeight>
            </wp14:sizeRelV>
          </wp:anchor>
        </w:drawing>
      </w:r>
    </w:p>
    <w:p w14:paraId="26932D23" w14:textId="77777777" w:rsidR="000A05AE" w:rsidRDefault="000A05AE" w:rsidP="000A05AE">
      <w:pPr>
        <w:rPr>
          <w:rFonts w:cs="Open Sans"/>
        </w:rPr>
      </w:pPr>
    </w:p>
    <w:p w14:paraId="21493196" w14:textId="77777777" w:rsidR="000A05AE" w:rsidRDefault="000A05AE" w:rsidP="000A05AE">
      <w:pPr>
        <w:rPr>
          <w:rFonts w:cs="Open Sans"/>
        </w:rPr>
      </w:pPr>
    </w:p>
    <w:p w14:paraId="6A294F51" w14:textId="77777777" w:rsidR="000A05AE" w:rsidRDefault="000A05AE" w:rsidP="000A05AE">
      <w:pPr>
        <w:rPr>
          <w:rFonts w:cs="Open Sans"/>
        </w:rPr>
      </w:pPr>
    </w:p>
    <w:p w14:paraId="75132002" w14:textId="77777777" w:rsidR="000A05AE" w:rsidRDefault="000A05AE" w:rsidP="000A05AE">
      <w:pPr>
        <w:rPr>
          <w:rFonts w:cs="Open Sans"/>
        </w:rPr>
      </w:pPr>
    </w:p>
    <w:p w14:paraId="45EF7A6F" w14:textId="77777777" w:rsidR="00271BF6" w:rsidRDefault="00271BF6" w:rsidP="000A05AE">
      <w:pPr>
        <w:rPr>
          <w:rFonts w:cs="Open Sans"/>
        </w:rPr>
      </w:pPr>
    </w:p>
    <w:p w14:paraId="03636C8D" w14:textId="77777777" w:rsidR="00E0108B" w:rsidRDefault="00E0108B" w:rsidP="00E0108B">
      <w:pPr>
        <w:pStyle w:val="ListBullet"/>
        <w:numPr>
          <w:ilvl w:val="0"/>
          <w:numId w:val="0"/>
        </w:numPr>
        <w:tabs>
          <w:tab w:val="clear" w:pos="1134"/>
        </w:tabs>
        <w:ind w:left="1094" w:hanging="737"/>
        <w:jc w:val="both"/>
        <w:rPr>
          <w:b/>
          <w:sz w:val="22"/>
          <w:szCs w:val="22"/>
        </w:rPr>
      </w:pPr>
    </w:p>
    <w:p w14:paraId="35BA807D" w14:textId="5375E684" w:rsidR="00224EB6" w:rsidRDefault="00271BF6" w:rsidP="00E0108B">
      <w:pPr>
        <w:pStyle w:val="ListBullet"/>
        <w:numPr>
          <w:ilvl w:val="0"/>
          <w:numId w:val="0"/>
        </w:numPr>
        <w:tabs>
          <w:tab w:val="clear" w:pos="1134"/>
        </w:tabs>
        <w:ind w:left="1985"/>
        <w:jc w:val="both"/>
        <w:rPr>
          <w:sz w:val="22"/>
          <w:szCs w:val="22"/>
        </w:rPr>
      </w:pPr>
      <w:r w:rsidRPr="00CC2EA3">
        <w:rPr>
          <w:b/>
          <w:sz w:val="22"/>
          <w:szCs w:val="22"/>
        </w:rPr>
        <w:t>Figure 2:</w:t>
      </w:r>
      <w:r w:rsidRPr="00CC2EA3">
        <w:rPr>
          <w:sz w:val="22"/>
          <w:szCs w:val="22"/>
        </w:rPr>
        <w:t xml:space="preserve"> </w:t>
      </w:r>
      <w:r w:rsidR="00F44396">
        <w:rPr>
          <w:sz w:val="22"/>
          <w:szCs w:val="22"/>
        </w:rPr>
        <w:t xml:space="preserve">Mr </w:t>
      </w:r>
      <w:r w:rsidRPr="00CC2EA3">
        <w:rPr>
          <w:sz w:val="22"/>
          <w:szCs w:val="22"/>
        </w:rPr>
        <w:t xml:space="preserve">BX (in the white t-shirt), with the other </w:t>
      </w:r>
    </w:p>
    <w:p w14:paraId="081017E8" w14:textId="3D17778D" w:rsidR="00271BF6" w:rsidRPr="00CC2EA3" w:rsidRDefault="00271BF6" w:rsidP="00224EB6">
      <w:pPr>
        <w:pStyle w:val="ListBullet"/>
        <w:numPr>
          <w:ilvl w:val="0"/>
          <w:numId w:val="0"/>
        </w:numPr>
        <w:tabs>
          <w:tab w:val="clear" w:pos="1134"/>
        </w:tabs>
        <w:ind w:firstLine="1985"/>
        <w:jc w:val="both"/>
        <w:rPr>
          <w:sz w:val="22"/>
          <w:szCs w:val="22"/>
        </w:rPr>
      </w:pPr>
      <w:r w:rsidRPr="00CC2EA3">
        <w:rPr>
          <w:sz w:val="22"/>
          <w:szCs w:val="22"/>
        </w:rPr>
        <w:t xml:space="preserve">detainee </w:t>
      </w:r>
      <w:r>
        <w:rPr>
          <w:sz w:val="22"/>
          <w:szCs w:val="22"/>
        </w:rPr>
        <w:t>i</w:t>
      </w:r>
      <w:r w:rsidRPr="00CC2EA3">
        <w:rPr>
          <w:sz w:val="22"/>
          <w:szCs w:val="22"/>
        </w:rPr>
        <w:t>n front of the officer’s station</w:t>
      </w:r>
    </w:p>
    <w:p w14:paraId="5AED7487" w14:textId="77777777" w:rsidR="00271BF6" w:rsidRPr="001253CA" w:rsidRDefault="00271BF6" w:rsidP="00271BF6">
      <w:pPr>
        <w:pStyle w:val="ListBullet"/>
        <w:numPr>
          <w:ilvl w:val="0"/>
          <w:numId w:val="0"/>
        </w:numPr>
        <w:ind w:left="1094"/>
      </w:pPr>
    </w:p>
    <w:p w14:paraId="6C71CA96" w14:textId="00397DC7" w:rsidR="00271BF6" w:rsidRPr="001253CA" w:rsidRDefault="00271BF6" w:rsidP="00F02D5A">
      <w:pPr>
        <w:numPr>
          <w:ilvl w:val="0"/>
          <w:numId w:val="20"/>
        </w:numPr>
        <w:rPr>
          <w:rFonts w:cs="Open Sans"/>
        </w:rPr>
      </w:pPr>
      <w:r w:rsidRPr="001253CA">
        <w:rPr>
          <w:rFonts w:cs="Open Sans"/>
        </w:rPr>
        <w:t xml:space="preserve">As the first two ERT officers approach </w:t>
      </w:r>
      <w:r w:rsidR="00F44396">
        <w:rPr>
          <w:rFonts w:cs="Open Sans"/>
        </w:rPr>
        <w:t xml:space="preserve">Mr </w:t>
      </w:r>
      <w:r w:rsidRPr="001253CA">
        <w:rPr>
          <w:rFonts w:cs="Open Sans"/>
        </w:rPr>
        <w:t xml:space="preserve">BX and the other detainee, a Serco officer is seen coming out of the officer’s station. He explains to the ERT officers that the other detainee was ‘upset because of the broom’. One of the ERT officers enters the station and returns saying, ‘apparently, he went to the thing and threw everything out’, as he points to the station window and then at the other detainee. </w:t>
      </w:r>
    </w:p>
    <w:p w14:paraId="6475DC3E" w14:textId="55A5C11E" w:rsidR="00271BF6" w:rsidRPr="001253CA" w:rsidRDefault="00271BF6" w:rsidP="00F02D5A">
      <w:pPr>
        <w:numPr>
          <w:ilvl w:val="0"/>
          <w:numId w:val="20"/>
        </w:numPr>
        <w:rPr>
          <w:rFonts w:cs="Open Sans"/>
        </w:rPr>
      </w:pPr>
      <w:r w:rsidRPr="001253CA">
        <w:rPr>
          <w:rFonts w:cs="Open Sans"/>
        </w:rPr>
        <w:t xml:space="preserve">The ERT officer then asks the other detainee what happened. He replies, ‘it’s got nothing to do with you, just go and get your manager’. </w:t>
      </w:r>
      <w:r w:rsidR="00F44396">
        <w:rPr>
          <w:rFonts w:cs="Open Sans"/>
        </w:rPr>
        <w:t xml:space="preserve">Mr </w:t>
      </w:r>
      <w:r w:rsidRPr="001253CA">
        <w:rPr>
          <w:rFonts w:cs="Open Sans"/>
        </w:rPr>
        <w:t>BX points to the Serco officer and alleges that he was sleeping on the chair and would not wake up. The Serco officer shakes his head in disagreement.</w:t>
      </w:r>
    </w:p>
    <w:p w14:paraId="188F2B31" w14:textId="71678F2A" w:rsidR="00271BF6" w:rsidRPr="001253CA" w:rsidRDefault="00271BF6" w:rsidP="00F02D5A">
      <w:pPr>
        <w:numPr>
          <w:ilvl w:val="0"/>
          <w:numId w:val="20"/>
        </w:numPr>
        <w:rPr>
          <w:rFonts w:cs="Open Sans"/>
        </w:rPr>
      </w:pPr>
      <w:r w:rsidRPr="001253CA">
        <w:rPr>
          <w:rFonts w:cs="Open Sans"/>
        </w:rPr>
        <w:lastRenderedPageBreak/>
        <w:t xml:space="preserve">Another ERT officer directs </w:t>
      </w:r>
      <w:r w:rsidR="001E7420">
        <w:rPr>
          <w:rFonts w:cs="Open Sans"/>
        </w:rPr>
        <w:t xml:space="preserve">Mr </w:t>
      </w:r>
      <w:r w:rsidRPr="001253CA">
        <w:rPr>
          <w:rFonts w:cs="Open Sans"/>
        </w:rPr>
        <w:t xml:space="preserve">BX to move away from the other detainee and tells him, </w:t>
      </w:r>
      <w:proofErr w:type="gramStart"/>
      <w:r w:rsidRPr="001253CA">
        <w:rPr>
          <w:rFonts w:cs="Open Sans"/>
        </w:rPr>
        <w:t>‘you</w:t>
      </w:r>
      <w:proofErr w:type="gramEnd"/>
      <w:r w:rsidRPr="001253CA">
        <w:rPr>
          <w:rFonts w:cs="Open Sans"/>
        </w:rPr>
        <w:t xml:space="preserve"> don’t need to be here’. </w:t>
      </w:r>
      <w:r w:rsidR="001E7420">
        <w:rPr>
          <w:rFonts w:cs="Open Sans"/>
        </w:rPr>
        <w:t xml:space="preserve">Mr </w:t>
      </w:r>
      <w:r w:rsidRPr="001253CA">
        <w:rPr>
          <w:rFonts w:cs="Open Sans"/>
        </w:rPr>
        <w:t xml:space="preserve">BX complies and sits on a nearby table. </w:t>
      </w:r>
    </w:p>
    <w:p w14:paraId="4778A329" w14:textId="1B16D310" w:rsidR="00271BF6" w:rsidRPr="001253CA" w:rsidRDefault="00271BF6" w:rsidP="00F02D5A">
      <w:pPr>
        <w:numPr>
          <w:ilvl w:val="0"/>
          <w:numId w:val="20"/>
        </w:numPr>
        <w:rPr>
          <w:rFonts w:cs="Open Sans"/>
        </w:rPr>
      </w:pPr>
      <w:r w:rsidRPr="001253CA">
        <w:rPr>
          <w:rFonts w:cs="Open Sans"/>
        </w:rPr>
        <w:t xml:space="preserve">At approximately 4.18 pm, ERT officers can be seen speaking with the other detainee who is asking to see the manager. ERT officers direct the other detainee to walk with them, but he replies, ‘I’m not going nowhere, fuck you’ and appears to sit to the ground. Other footage at this point shows the other detainee on the ground, being restrained by approximately </w:t>
      </w:r>
      <w:r w:rsidR="00204E68">
        <w:rPr>
          <w:rFonts w:cs="Open Sans"/>
        </w:rPr>
        <w:t>five</w:t>
      </w:r>
      <w:r w:rsidRPr="001253CA">
        <w:rPr>
          <w:rFonts w:cs="Open Sans"/>
        </w:rPr>
        <w:t xml:space="preserve"> ERT officers. </w:t>
      </w:r>
    </w:p>
    <w:p w14:paraId="7A1823BF" w14:textId="646A0E66" w:rsidR="00271BF6" w:rsidRDefault="001E7420" w:rsidP="00F02D5A">
      <w:pPr>
        <w:numPr>
          <w:ilvl w:val="0"/>
          <w:numId w:val="20"/>
        </w:numPr>
        <w:rPr>
          <w:rFonts w:cs="Open Sans"/>
        </w:rPr>
      </w:pPr>
      <w:r>
        <w:rPr>
          <w:rFonts w:cs="Open Sans"/>
        </w:rPr>
        <w:t xml:space="preserve">Mr </w:t>
      </w:r>
      <w:r w:rsidR="00271BF6" w:rsidRPr="001253CA">
        <w:rPr>
          <w:rFonts w:cs="Open Sans"/>
        </w:rPr>
        <w:t xml:space="preserve">BX appears to go to the other detainee’s aid and tells the ERT officers, ‘just let him go bro, he’s </w:t>
      </w:r>
      <w:proofErr w:type="spellStart"/>
      <w:r w:rsidR="00271BF6" w:rsidRPr="001253CA">
        <w:rPr>
          <w:rFonts w:cs="Open Sans"/>
        </w:rPr>
        <w:t>gonna</w:t>
      </w:r>
      <w:proofErr w:type="spellEnd"/>
      <w:r w:rsidR="00271BF6" w:rsidRPr="001253CA">
        <w:rPr>
          <w:rFonts w:cs="Open Sans"/>
        </w:rPr>
        <w:t xml:space="preserve"> go by himself … you don’t need to do this, be professional’. </w:t>
      </w:r>
      <w:r w:rsidR="007C215B">
        <w:rPr>
          <w:rFonts w:cs="Open Sans"/>
        </w:rPr>
        <w:t xml:space="preserve">Mr </w:t>
      </w:r>
      <w:r w:rsidR="00271BF6" w:rsidRPr="001253CA">
        <w:rPr>
          <w:rFonts w:cs="Open Sans"/>
        </w:rPr>
        <w:t xml:space="preserve">BX is directed by ERT officers not to get involved and to walk with them out of the compound.  </w:t>
      </w:r>
    </w:p>
    <w:p w14:paraId="44838B82" w14:textId="5EDDADA4" w:rsidR="00271BF6" w:rsidRPr="001253CA" w:rsidRDefault="00271BF6" w:rsidP="00F02D5A">
      <w:pPr>
        <w:numPr>
          <w:ilvl w:val="0"/>
          <w:numId w:val="20"/>
        </w:numPr>
        <w:rPr>
          <w:rFonts w:cs="Open Sans"/>
        </w:rPr>
      </w:pPr>
      <w:r w:rsidRPr="001253CA">
        <w:rPr>
          <w:rFonts w:cs="Open Sans"/>
        </w:rPr>
        <w:t xml:space="preserve">At approximately 4.20 pm, </w:t>
      </w:r>
      <w:r w:rsidR="007C215B">
        <w:rPr>
          <w:rFonts w:cs="Open Sans"/>
        </w:rPr>
        <w:t xml:space="preserve">Mr </w:t>
      </w:r>
      <w:r w:rsidRPr="001253CA">
        <w:rPr>
          <w:rFonts w:cs="Open Sans"/>
        </w:rPr>
        <w:t xml:space="preserve">BX is held by two ERT officers either side of him and led through a secure gate out of the compound. There is some calm but firm interaction by one of the ERT officers who directs </w:t>
      </w:r>
      <w:r w:rsidR="007C215B">
        <w:rPr>
          <w:rFonts w:cs="Open Sans"/>
        </w:rPr>
        <w:t xml:space="preserve">Mr </w:t>
      </w:r>
      <w:r w:rsidRPr="001253CA">
        <w:rPr>
          <w:rFonts w:cs="Open Sans"/>
        </w:rPr>
        <w:t xml:space="preserve">BX to walk with them and to, ‘listen to me … walk </w:t>
      </w:r>
      <w:proofErr w:type="spellStart"/>
      <w:r w:rsidRPr="001253CA">
        <w:rPr>
          <w:rFonts w:cs="Open Sans"/>
        </w:rPr>
        <w:t>cuz</w:t>
      </w:r>
      <w:proofErr w:type="spellEnd"/>
      <w:r w:rsidRPr="001253CA">
        <w:rPr>
          <w:rFonts w:cs="Open Sans"/>
        </w:rPr>
        <w:t xml:space="preserve"> walk’. He tells the ERT officers, ‘I’m not </w:t>
      </w:r>
      <w:proofErr w:type="spellStart"/>
      <w:r w:rsidRPr="001253CA">
        <w:rPr>
          <w:rFonts w:cs="Open Sans"/>
        </w:rPr>
        <w:t>gonna</w:t>
      </w:r>
      <w:proofErr w:type="spellEnd"/>
      <w:r w:rsidRPr="001253CA">
        <w:rPr>
          <w:rFonts w:cs="Open Sans"/>
        </w:rPr>
        <w:t xml:space="preserve"> fucking walk alright, you can’t make me walk, fuck off’.</w:t>
      </w:r>
    </w:p>
    <w:p w14:paraId="058BDD10" w14:textId="0F8A1FBD" w:rsidR="00271BF6" w:rsidRPr="001253CA" w:rsidRDefault="00271BF6" w:rsidP="00F02D5A">
      <w:pPr>
        <w:numPr>
          <w:ilvl w:val="0"/>
          <w:numId w:val="20"/>
        </w:numPr>
        <w:rPr>
          <w:rFonts w:cs="Open Sans"/>
        </w:rPr>
      </w:pPr>
      <w:r w:rsidRPr="001253CA">
        <w:rPr>
          <w:rFonts w:cs="Open Sans"/>
        </w:rPr>
        <w:t xml:space="preserve">As he is led out of the gate, he resists the ERT officers’ attempts to pull him forward and is taken to the ground with one of the ERT officers placing his hand on the back of </w:t>
      </w:r>
      <w:r w:rsidR="00E229C6">
        <w:rPr>
          <w:rFonts w:cs="Open Sans"/>
        </w:rPr>
        <w:t xml:space="preserve">Mr </w:t>
      </w:r>
      <w:r w:rsidRPr="001253CA">
        <w:rPr>
          <w:rFonts w:cs="Open Sans"/>
        </w:rPr>
        <w:t xml:space="preserve">BX’s head and forcing it to the ground (Figures 3 and 4). An ERT officer says, ‘why didn’t you listen </w:t>
      </w:r>
      <w:proofErr w:type="spellStart"/>
      <w:r w:rsidRPr="001253CA">
        <w:rPr>
          <w:rFonts w:cs="Open Sans"/>
        </w:rPr>
        <w:t>cuz</w:t>
      </w:r>
      <w:proofErr w:type="spellEnd"/>
      <w:r w:rsidRPr="001253CA">
        <w:rPr>
          <w:rFonts w:cs="Open Sans"/>
        </w:rPr>
        <w:t xml:space="preserve">’, to which </w:t>
      </w:r>
      <w:r w:rsidR="00314AC1">
        <w:rPr>
          <w:rFonts w:cs="Open Sans"/>
        </w:rPr>
        <w:t xml:space="preserve">Mr </w:t>
      </w:r>
      <w:r w:rsidRPr="001253CA">
        <w:rPr>
          <w:rFonts w:cs="Open Sans"/>
        </w:rPr>
        <w:t xml:space="preserve">BX replies, ‘fuck you, fuck you up’. </w:t>
      </w:r>
      <w:r w:rsidR="00314AC1">
        <w:rPr>
          <w:rFonts w:cs="Open Sans"/>
        </w:rPr>
        <w:t>He</w:t>
      </w:r>
      <w:r w:rsidRPr="001253CA">
        <w:rPr>
          <w:rFonts w:cs="Open Sans"/>
        </w:rPr>
        <w:t xml:space="preserve"> is then handcuffed with his hands behind his back. This takes some time as they tighten the handcuffs. </w:t>
      </w:r>
      <w:r w:rsidR="00486BA7">
        <w:rPr>
          <w:rFonts w:cs="Open Sans"/>
        </w:rPr>
        <w:t>Mr</w:t>
      </w:r>
      <w:r w:rsidRPr="001253CA">
        <w:rPr>
          <w:rFonts w:cs="Open Sans"/>
        </w:rPr>
        <w:t xml:space="preserve"> BX is brought up to his knees and approximately </w:t>
      </w:r>
      <w:r w:rsidR="00204E68">
        <w:rPr>
          <w:rFonts w:cs="Open Sans"/>
        </w:rPr>
        <w:t>three</w:t>
      </w:r>
      <w:r w:rsidR="00A87173">
        <w:rPr>
          <w:rFonts w:cs="Open Sans"/>
        </w:rPr>
        <w:t xml:space="preserve"> </w:t>
      </w:r>
      <w:r w:rsidRPr="001253CA">
        <w:rPr>
          <w:rFonts w:cs="Open Sans"/>
        </w:rPr>
        <w:t>ERT officers proceed to carry him.</w:t>
      </w:r>
    </w:p>
    <w:p w14:paraId="78D1EE0E" w14:textId="77777777" w:rsidR="00486BA7" w:rsidRPr="001253CA" w:rsidRDefault="00486BA7" w:rsidP="00486BA7">
      <w:pPr>
        <w:ind w:left="720"/>
        <w:rPr>
          <w:rFonts w:cs="Open Sans"/>
        </w:rPr>
      </w:pPr>
    </w:p>
    <w:p w14:paraId="61AC5254" w14:textId="018E8FA2" w:rsidR="00271BF6" w:rsidRPr="001253CA" w:rsidRDefault="00BB476A" w:rsidP="00271BF6">
      <w:pPr>
        <w:jc w:val="right"/>
        <w:rPr>
          <w:rFonts w:cs="Open Sans"/>
        </w:rPr>
      </w:pPr>
      <w:r>
        <w:rPr>
          <w:noProof/>
        </w:rPr>
        <w:drawing>
          <wp:anchor distT="0" distB="0" distL="0" distR="0" simplePos="0" relativeHeight="251658242" behindDoc="1" locked="0" layoutInCell="1" allowOverlap="1" wp14:anchorId="1728D61B" wp14:editId="24D94B4D">
            <wp:simplePos x="0" y="0"/>
            <wp:positionH relativeFrom="column">
              <wp:posOffset>1242060</wp:posOffset>
            </wp:positionH>
            <wp:positionV relativeFrom="paragraph">
              <wp:posOffset>158115</wp:posOffset>
            </wp:positionV>
            <wp:extent cx="3841200" cy="1872000"/>
            <wp:effectExtent l="0" t="0" r="6985" b="0"/>
            <wp:wrapSquare wrapText="bothSides"/>
            <wp:docPr id="6" name="Image 6" descr="A person in a white shir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person in a white shirt  Description automatically generated "/>
                    <pic:cNvPicPr/>
                  </pic:nvPicPr>
                  <pic:blipFill>
                    <a:blip r:embed="rId21" cstate="print"/>
                    <a:stretch>
                      <a:fillRect/>
                    </a:stretch>
                  </pic:blipFill>
                  <pic:spPr>
                    <a:xfrm>
                      <a:off x="0" y="0"/>
                      <a:ext cx="3841200" cy="1872000"/>
                    </a:xfrm>
                    <a:prstGeom prst="rect">
                      <a:avLst/>
                    </a:prstGeom>
                  </pic:spPr>
                </pic:pic>
              </a:graphicData>
            </a:graphic>
            <wp14:sizeRelH relativeFrom="margin">
              <wp14:pctWidth>0</wp14:pctWidth>
            </wp14:sizeRelH>
            <wp14:sizeRelV relativeFrom="margin">
              <wp14:pctHeight>0</wp14:pctHeight>
            </wp14:sizeRelV>
          </wp:anchor>
        </w:drawing>
      </w:r>
    </w:p>
    <w:p w14:paraId="6BD88233" w14:textId="3084AF69" w:rsidR="00271BF6" w:rsidRDefault="00271BF6" w:rsidP="00271BF6">
      <w:pPr>
        <w:jc w:val="center"/>
        <w:rPr>
          <w:rFonts w:cs="Open Sans"/>
          <w:b/>
          <w:bCs/>
        </w:rPr>
      </w:pPr>
    </w:p>
    <w:p w14:paraId="00E22CC2" w14:textId="70EBCD4B" w:rsidR="00271BF6" w:rsidRDefault="00271BF6" w:rsidP="00271BF6">
      <w:pPr>
        <w:jc w:val="center"/>
        <w:rPr>
          <w:rFonts w:cs="Open Sans"/>
          <w:b/>
          <w:bCs/>
        </w:rPr>
      </w:pPr>
    </w:p>
    <w:p w14:paraId="2E3EED36" w14:textId="77777777" w:rsidR="00271BF6" w:rsidRDefault="00271BF6" w:rsidP="00271BF6">
      <w:pPr>
        <w:jc w:val="center"/>
        <w:rPr>
          <w:rFonts w:cs="Open Sans"/>
          <w:b/>
          <w:bCs/>
        </w:rPr>
      </w:pPr>
    </w:p>
    <w:p w14:paraId="20912DD7" w14:textId="4CC1436F" w:rsidR="00271BF6" w:rsidRDefault="00271BF6" w:rsidP="00271BF6">
      <w:pPr>
        <w:jc w:val="center"/>
        <w:rPr>
          <w:rFonts w:cs="Open Sans"/>
          <w:b/>
          <w:bCs/>
        </w:rPr>
      </w:pPr>
    </w:p>
    <w:p w14:paraId="2552A859" w14:textId="77777777" w:rsidR="00BB3B0A" w:rsidRDefault="00BB3B0A" w:rsidP="00BB3B0A">
      <w:pPr>
        <w:pStyle w:val="ListBullet"/>
        <w:numPr>
          <w:ilvl w:val="0"/>
          <w:numId w:val="0"/>
        </w:numPr>
        <w:tabs>
          <w:tab w:val="clear" w:pos="1134"/>
        </w:tabs>
        <w:rPr>
          <w:b/>
          <w:sz w:val="22"/>
          <w:szCs w:val="22"/>
        </w:rPr>
      </w:pPr>
    </w:p>
    <w:p w14:paraId="7DCAF986" w14:textId="77777777" w:rsidR="00BB3B0A" w:rsidRDefault="00BB3B0A" w:rsidP="00BB3B0A">
      <w:pPr>
        <w:pStyle w:val="ListBullet"/>
        <w:numPr>
          <w:ilvl w:val="0"/>
          <w:numId w:val="0"/>
        </w:numPr>
        <w:tabs>
          <w:tab w:val="clear" w:pos="1134"/>
        </w:tabs>
        <w:rPr>
          <w:b/>
          <w:sz w:val="22"/>
          <w:szCs w:val="22"/>
        </w:rPr>
      </w:pPr>
    </w:p>
    <w:p w14:paraId="3EA3375F" w14:textId="23A122F1" w:rsidR="001171DA" w:rsidRDefault="00BB3B0A" w:rsidP="00BB3B0A">
      <w:pPr>
        <w:pStyle w:val="ListBullet"/>
        <w:numPr>
          <w:ilvl w:val="0"/>
          <w:numId w:val="0"/>
        </w:numPr>
        <w:tabs>
          <w:tab w:val="clear" w:pos="1134"/>
        </w:tabs>
        <w:ind w:left="1985"/>
        <w:rPr>
          <w:sz w:val="22"/>
          <w:szCs w:val="22"/>
        </w:rPr>
      </w:pPr>
      <w:r>
        <w:rPr>
          <w:b/>
          <w:sz w:val="22"/>
          <w:szCs w:val="22"/>
        </w:rPr>
        <w:br/>
      </w:r>
      <w:r w:rsidR="00271BF6" w:rsidRPr="00BB476A">
        <w:rPr>
          <w:b/>
          <w:sz w:val="22"/>
          <w:szCs w:val="22"/>
        </w:rPr>
        <w:t>Figure 3:</w:t>
      </w:r>
      <w:r w:rsidR="00271BF6" w:rsidRPr="00BB476A">
        <w:rPr>
          <w:sz w:val="22"/>
          <w:szCs w:val="22"/>
        </w:rPr>
        <w:t xml:space="preserve"> ERT officer moving to place his hand on </w:t>
      </w:r>
      <w:r w:rsidR="001171DA">
        <w:rPr>
          <w:sz w:val="22"/>
          <w:szCs w:val="22"/>
        </w:rPr>
        <w:t xml:space="preserve">Mr </w:t>
      </w:r>
      <w:r w:rsidR="00271BF6" w:rsidRPr="00BB476A">
        <w:rPr>
          <w:sz w:val="22"/>
          <w:szCs w:val="22"/>
        </w:rPr>
        <w:t xml:space="preserve">BX’s </w:t>
      </w:r>
    </w:p>
    <w:p w14:paraId="2ADF3E1A" w14:textId="778B97EA" w:rsidR="00271BF6" w:rsidRDefault="00942CAC" w:rsidP="001171DA">
      <w:pPr>
        <w:pStyle w:val="ListBullet"/>
        <w:numPr>
          <w:ilvl w:val="0"/>
          <w:numId w:val="0"/>
        </w:numPr>
        <w:tabs>
          <w:tab w:val="clear" w:pos="1134"/>
        </w:tabs>
        <w:ind w:left="1985"/>
        <w:rPr>
          <w:sz w:val="22"/>
          <w:szCs w:val="22"/>
        </w:rPr>
      </w:pPr>
      <w:r w:rsidRPr="00BB476A">
        <w:rPr>
          <w:sz w:val="22"/>
          <w:szCs w:val="22"/>
        </w:rPr>
        <w:t>H</w:t>
      </w:r>
      <w:r w:rsidR="00271BF6" w:rsidRPr="00BB476A">
        <w:rPr>
          <w:sz w:val="22"/>
          <w:szCs w:val="22"/>
        </w:rPr>
        <w:t>ead</w:t>
      </w:r>
    </w:p>
    <w:p w14:paraId="58A6214E" w14:textId="77777777" w:rsidR="00942CAC" w:rsidRPr="001253CA" w:rsidRDefault="00942CAC" w:rsidP="001171DA">
      <w:pPr>
        <w:pStyle w:val="ListBullet"/>
        <w:numPr>
          <w:ilvl w:val="0"/>
          <w:numId w:val="0"/>
        </w:numPr>
        <w:tabs>
          <w:tab w:val="clear" w:pos="1134"/>
        </w:tabs>
        <w:ind w:left="1985"/>
      </w:pPr>
    </w:p>
    <w:p w14:paraId="515E4043" w14:textId="35346EF3" w:rsidR="00271BF6" w:rsidRPr="001253CA" w:rsidRDefault="00D43512" w:rsidP="00D43512">
      <w:pPr>
        <w:rPr>
          <w:rFonts w:cs="Open Sans"/>
        </w:rPr>
      </w:pPr>
      <w:r>
        <w:rPr>
          <w:noProof/>
        </w:rPr>
        <w:lastRenderedPageBreak/>
        <w:drawing>
          <wp:anchor distT="0" distB="0" distL="0" distR="0" simplePos="0" relativeHeight="251658243" behindDoc="1" locked="0" layoutInCell="1" allowOverlap="1" wp14:anchorId="396945BA" wp14:editId="4043ECBE">
            <wp:simplePos x="0" y="0"/>
            <wp:positionH relativeFrom="column">
              <wp:posOffset>1242060</wp:posOffset>
            </wp:positionH>
            <wp:positionV relativeFrom="paragraph">
              <wp:posOffset>158115</wp:posOffset>
            </wp:positionV>
            <wp:extent cx="3841115" cy="1871980"/>
            <wp:effectExtent l="0" t="0" r="6985" b="0"/>
            <wp:wrapSquare wrapText="bothSides"/>
            <wp:docPr id="7" name="Image 7" descr="A close-up of a person's face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A close-up of a person's face  Description automatically generated "/>
                    <pic:cNvPicPr/>
                  </pic:nvPicPr>
                  <pic:blipFill>
                    <a:blip r:embed="rId22" cstate="print"/>
                    <a:stretch>
                      <a:fillRect/>
                    </a:stretch>
                  </pic:blipFill>
                  <pic:spPr>
                    <a:xfrm>
                      <a:off x="0" y="0"/>
                      <a:ext cx="3841115" cy="1871980"/>
                    </a:xfrm>
                    <a:prstGeom prst="rect">
                      <a:avLst/>
                    </a:prstGeom>
                  </pic:spPr>
                </pic:pic>
              </a:graphicData>
            </a:graphic>
            <wp14:sizeRelH relativeFrom="margin">
              <wp14:pctWidth>0</wp14:pctWidth>
            </wp14:sizeRelH>
            <wp14:sizeRelV relativeFrom="margin">
              <wp14:pctHeight>0</wp14:pctHeight>
            </wp14:sizeRelV>
          </wp:anchor>
        </w:drawing>
      </w:r>
    </w:p>
    <w:p w14:paraId="51D6EB41" w14:textId="77777777" w:rsidR="00D43512" w:rsidRDefault="00D43512" w:rsidP="00271BF6">
      <w:pPr>
        <w:pStyle w:val="ListBullet"/>
        <w:numPr>
          <w:ilvl w:val="0"/>
          <w:numId w:val="0"/>
        </w:numPr>
        <w:ind w:left="1094"/>
        <w:rPr>
          <w:b/>
          <w:bCs/>
          <w:sz w:val="22"/>
          <w:szCs w:val="22"/>
        </w:rPr>
      </w:pPr>
    </w:p>
    <w:p w14:paraId="0DDB1EC0" w14:textId="77777777" w:rsidR="00D43512" w:rsidRDefault="00D43512" w:rsidP="00271BF6">
      <w:pPr>
        <w:pStyle w:val="ListBullet"/>
        <w:numPr>
          <w:ilvl w:val="0"/>
          <w:numId w:val="0"/>
        </w:numPr>
        <w:ind w:left="1094"/>
        <w:rPr>
          <w:b/>
          <w:bCs/>
          <w:sz w:val="22"/>
          <w:szCs w:val="22"/>
        </w:rPr>
      </w:pPr>
    </w:p>
    <w:p w14:paraId="27C05797" w14:textId="77777777" w:rsidR="00D43512" w:rsidRDefault="00D43512" w:rsidP="00271BF6">
      <w:pPr>
        <w:pStyle w:val="ListBullet"/>
        <w:numPr>
          <w:ilvl w:val="0"/>
          <w:numId w:val="0"/>
        </w:numPr>
        <w:ind w:left="1094"/>
        <w:rPr>
          <w:b/>
          <w:bCs/>
          <w:sz w:val="22"/>
          <w:szCs w:val="22"/>
        </w:rPr>
      </w:pPr>
    </w:p>
    <w:p w14:paraId="59522BC0" w14:textId="77777777" w:rsidR="00D43512" w:rsidRDefault="00D43512" w:rsidP="00271BF6">
      <w:pPr>
        <w:pStyle w:val="ListBullet"/>
        <w:numPr>
          <w:ilvl w:val="0"/>
          <w:numId w:val="0"/>
        </w:numPr>
        <w:ind w:left="1094"/>
        <w:rPr>
          <w:b/>
          <w:bCs/>
          <w:sz w:val="22"/>
          <w:szCs w:val="22"/>
        </w:rPr>
      </w:pPr>
    </w:p>
    <w:p w14:paraId="08D9A49D" w14:textId="77777777" w:rsidR="00D43512" w:rsidRDefault="00D43512" w:rsidP="00271BF6">
      <w:pPr>
        <w:pStyle w:val="ListBullet"/>
        <w:numPr>
          <w:ilvl w:val="0"/>
          <w:numId w:val="0"/>
        </w:numPr>
        <w:ind w:left="1094"/>
        <w:rPr>
          <w:b/>
          <w:bCs/>
          <w:sz w:val="22"/>
          <w:szCs w:val="22"/>
        </w:rPr>
      </w:pPr>
    </w:p>
    <w:p w14:paraId="576AABC6" w14:textId="77777777" w:rsidR="00D43512" w:rsidRDefault="00D43512" w:rsidP="00271BF6">
      <w:pPr>
        <w:pStyle w:val="ListBullet"/>
        <w:numPr>
          <w:ilvl w:val="0"/>
          <w:numId w:val="0"/>
        </w:numPr>
        <w:ind w:left="1094"/>
        <w:rPr>
          <w:b/>
          <w:bCs/>
          <w:sz w:val="22"/>
          <w:szCs w:val="22"/>
        </w:rPr>
      </w:pPr>
    </w:p>
    <w:p w14:paraId="44340A64" w14:textId="77777777" w:rsidR="00D43512" w:rsidRDefault="00D43512" w:rsidP="00271BF6">
      <w:pPr>
        <w:pStyle w:val="ListBullet"/>
        <w:numPr>
          <w:ilvl w:val="0"/>
          <w:numId w:val="0"/>
        </w:numPr>
        <w:ind w:left="1094"/>
        <w:rPr>
          <w:b/>
          <w:bCs/>
          <w:sz w:val="22"/>
          <w:szCs w:val="22"/>
        </w:rPr>
      </w:pPr>
    </w:p>
    <w:p w14:paraId="027CEEF4" w14:textId="77777777" w:rsidR="00D43512" w:rsidRDefault="00D43512" w:rsidP="00271BF6">
      <w:pPr>
        <w:pStyle w:val="ListBullet"/>
        <w:numPr>
          <w:ilvl w:val="0"/>
          <w:numId w:val="0"/>
        </w:numPr>
        <w:ind w:left="1094"/>
        <w:rPr>
          <w:b/>
          <w:bCs/>
          <w:sz w:val="22"/>
          <w:szCs w:val="22"/>
        </w:rPr>
      </w:pPr>
    </w:p>
    <w:p w14:paraId="0FAD8DA0" w14:textId="77777777" w:rsidR="00D43512" w:rsidRDefault="00D43512" w:rsidP="00271BF6">
      <w:pPr>
        <w:pStyle w:val="ListBullet"/>
        <w:numPr>
          <w:ilvl w:val="0"/>
          <w:numId w:val="0"/>
        </w:numPr>
        <w:ind w:left="1094"/>
        <w:rPr>
          <w:b/>
          <w:bCs/>
          <w:sz w:val="22"/>
          <w:szCs w:val="22"/>
        </w:rPr>
      </w:pPr>
    </w:p>
    <w:p w14:paraId="16976ECF" w14:textId="77777777" w:rsidR="003879B2" w:rsidRDefault="00D43512" w:rsidP="003879B2">
      <w:pPr>
        <w:pStyle w:val="ListBullet"/>
        <w:numPr>
          <w:ilvl w:val="0"/>
          <w:numId w:val="0"/>
        </w:numPr>
        <w:tabs>
          <w:tab w:val="clear" w:pos="1134"/>
          <w:tab w:val="left" w:pos="1985"/>
        </w:tabs>
        <w:ind w:left="1985"/>
        <w:rPr>
          <w:b/>
          <w:bCs/>
          <w:sz w:val="22"/>
          <w:szCs w:val="22"/>
        </w:rPr>
      </w:pPr>
      <w:r>
        <w:rPr>
          <w:b/>
          <w:bCs/>
          <w:sz w:val="22"/>
          <w:szCs w:val="22"/>
        </w:rPr>
        <w:t xml:space="preserve"> </w:t>
      </w:r>
    </w:p>
    <w:p w14:paraId="27D43BDC" w14:textId="6812DA48" w:rsidR="00271BF6" w:rsidRPr="003879B2" w:rsidRDefault="00870C9C" w:rsidP="003879B2">
      <w:pPr>
        <w:pStyle w:val="ListBullet"/>
        <w:numPr>
          <w:ilvl w:val="0"/>
          <w:numId w:val="0"/>
        </w:numPr>
        <w:tabs>
          <w:tab w:val="clear" w:pos="1134"/>
          <w:tab w:val="left" w:pos="1985"/>
        </w:tabs>
        <w:ind w:left="1985"/>
        <w:rPr>
          <w:b/>
          <w:bCs/>
          <w:sz w:val="22"/>
          <w:szCs w:val="22"/>
        </w:rPr>
      </w:pPr>
      <w:r>
        <w:rPr>
          <w:b/>
          <w:bCs/>
          <w:sz w:val="22"/>
          <w:szCs w:val="22"/>
        </w:rPr>
        <w:br/>
      </w:r>
      <w:r w:rsidR="00271BF6" w:rsidRPr="00BB476A">
        <w:rPr>
          <w:b/>
          <w:sz w:val="22"/>
          <w:szCs w:val="22"/>
        </w:rPr>
        <w:t>Figure 4:</w:t>
      </w:r>
      <w:r w:rsidR="00271BF6" w:rsidRPr="00BB476A">
        <w:rPr>
          <w:sz w:val="22"/>
          <w:szCs w:val="22"/>
        </w:rPr>
        <w:t xml:space="preserve"> ERT officer forcing </w:t>
      </w:r>
      <w:r w:rsidR="001171DA">
        <w:rPr>
          <w:sz w:val="22"/>
          <w:szCs w:val="22"/>
        </w:rPr>
        <w:t xml:space="preserve">Mr </w:t>
      </w:r>
      <w:r w:rsidR="00271BF6" w:rsidRPr="00BB476A">
        <w:rPr>
          <w:sz w:val="22"/>
          <w:szCs w:val="22"/>
        </w:rPr>
        <w:t>BX’s head to the ground</w:t>
      </w:r>
    </w:p>
    <w:p w14:paraId="14092185" w14:textId="037D57B4" w:rsidR="00271BF6" w:rsidRPr="001253CA" w:rsidRDefault="00271BF6" w:rsidP="00F02D5A">
      <w:pPr>
        <w:numPr>
          <w:ilvl w:val="0"/>
          <w:numId w:val="20"/>
        </w:numPr>
        <w:rPr>
          <w:rFonts w:cs="Open Sans"/>
        </w:rPr>
      </w:pPr>
      <w:r w:rsidRPr="001253CA">
        <w:rPr>
          <w:rFonts w:cs="Open Sans"/>
        </w:rPr>
        <w:t xml:space="preserve">At approximately 4.24 pm, an ERT officer directs them to stop walking and </w:t>
      </w:r>
      <w:r w:rsidR="00886DA6">
        <w:rPr>
          <w:rFonts w:cs="Open Sans"/>
        </w:rPr>
        <w:t xml:space="preserve">Mr </w:t>
      </w:r>
      <w:r w:rsidRPr="001253CA">
        <w:rPr>
          <w:rFonts w:cs="Open Sans"/>
        </w:rPr>
        <w:t xml:space="preserve">BX is briefly placed to the ground. An ERT officer is heard trying to speak to him, but he is unresponsive. The ERT officer says to call a nurse. </w:t>
      </w:r>
      <w:r w:rsidR="00DC173D">
        <w:rPr>
          <w:rFonts w:cs="Open Sans"/>
        </w:rPr>
        <w:t xml:space="preserve"> Mr </w:t>
      </w:r>
      <w:r w:rsidRPr="001253CA">
        <w:rPr>
          <w:rFonts w:cs="Open Sans"/>
        </w:rPr>
        <w:t xml:space="preserve">BX is directed to sit up and not to drop his weight. The officers proceed to escort him to the IHMS clinic. </w:t>
      </w:r>
      <w:r w:rsidR="00E12A53">
        <w:rPr>
          <w:rFonts w:cs="Open Sans"/>
        </w:rPr>
        <w:t xml:space="preserve">Mr </w:t>
      </w:r>
      <w:r w:rsidRPr="001253CA">
        <w:rPr>
          <w:rFonts w:cs="Open Sans"/>
        </w:rPr>
        <w:t xml:space="preserve">BX can be seen standing and walking as he enters the clinic at approximately 4.25 pm.  </w:t>
      </w:r>
    </w:p>
    <w:p w14:paraId="3D57A071" w14:textId="64EE096A" w:rsidR="00271BF6" w:rsidRPr="001253CA" w:rsidRDefault="00271BF6" w:rsidP="00F02D5A">
      <w:pPr>
        <w:numPr>
          <w:ilvl w:val="0"/>
          <w:numId w:val="20"/>
        </w:numPr>
        <w:rPr>
          <w:rFonts w:cs="Open Sans"/>
        </w:rPr>
      </w:pPr>
      <w:r w:rsidRPr="001253CA">
        <w:rPr>
          <w:rFonts w:cs="Open Sans"/>
        </w:rPr>
        <w:t xml:space="preserve">As he enters the clinic, </w:t>
      </w:r>
      <w:r w:rsidR="00E12A53">
        <w:rPr>
          <w:rFonts w:cs="Open Sans"/>
        </w:rPr>
        <w:t>Mr</w:t>
      </w:r>
      <w:r w:rsidRPr="001253CA">
        <w:rPr>
          <w:rFonts w:cs="Open Sans"/>
        </w:rPr>
        <w:t xml:space="preserve"> BX appears to go to the ground. An ERT officer tells him to breathe. The ERT officer explains to medical staff that the ‘abrasion to his head happened when he went down to the floor … resisting’. He explains that while they were walking him to the property department, he thinks </w:t>
      </w:r>
      <w:r w:rsidR="00E12A53">
        <w:rPr>
          <w:rFonts w:cs="Open Sans"/>
        </w:rPr>
        <w:t xml:space="preserve">Mr </w:t>
      </w:r>
      <w:r w:rsidRPr="001253CA">
        <w:rPr>
          <w:rFonts w:cs="Open Sans"/>
        </w:rPr>
        <w:t xml:space="preserve">BX became ‘catatonic’ and in a ‘slump’. </w:t>
      </w:r>
    </w:p>
    <w:p w14:paraId="65B2E092" w14:textId="0D0EA7AB" w:rsidR="00271BF6" w:rsidRPr="001253CA" w:rsidRDefault="00E12A53" w:rsidP="00F02D5A">
      <w:pPr>
        <w:numPr>
          <w:ilvl w:val="0"/>
          <w:numId w:val="20"/>
        </w:numPr>
        <w:rPr>
          <w:rFonts w:cs="Open Sans"/>
        </w:rPr>
      </w:pPr>
      <w:r>
        <w:rPr>
          <w:rFonts w:cs="Open Sans"/>
        </w:rPr>
        <w:t xml:space="preserve">Mr </w:t>
      </w:r>
      <w:r w:rsidR="00271BF6" w:rsidRPr="001253CA">
        <w:rPr>
          <w:rFonts w:cs="Open Sans"/>
        </w:rPr>
        <w:t>BX is assisted up and seated on a bed. He asks for his cuffs to be taken off. There is no response from ERT officers. Medical staff attend to him. A gash is seen on his forehead and a staff member comments that it is ‘very swollen’.</w:t>
      </w:r>
    </w:p>
    <w:p w14:paraId="1A5E32DC" w14:textId="6B57ED42" w:rsidR="00271BF6" w:rsidRPr="001253CA" w:rsidRDefault="00271BF6" w:rsidP="00F02D5A">
      <w:pPr>
        <w:numPr>
          <w:ilvl w:val="0"/>
          <w:numId w:val="20"/>
        </w:numPr>
        <w:rPr>
          <w:rFonts w:cs="Open Sans"/>
        </w:rPr>
      </w:pPr>
      <w:r w:rsidRPr="001253CA">
        <w:rPr>
          <w:rFonts w:cs="Open Sans"/>
        </w:rPr>
        <w:t xml:space="preserve">An IHMS clinical record dated 22 July 2020, notes that </w:t>
      </w:r>
      <w:r w:rsidR="00E12A53">
        <w:rPr>
          <w:rFonts w:cs="Open Sans"/>
        </w:rPr>
        <w:t xml:space="preserve">Mr </w:t>
      </w:r>
      <w:r w:rsidRPr="001253CA">
        <w:rPr>
          <w:rFonts w:cs="Open Sans"/>
        </w:rPr>
        <w:t xml:space="preserve">BX has a ‘3-4mm haematoma’ in the left part of his forehead which is ‘slightly tender to touch’. </w:t>
      </w:r>
    </w:p>
    <w:p w14:paraId="2AD1D207" w14:textId="02210BAB" w:rsidR="00271BF6" w:rsidRPr="001253CA" w:rsidRDefault="00271BF6" w:rsidP="00F02D5A">
      <w:pPr>
        <w:numPr>
          <w:ilvl w:val="0"/>
          <w:numId w:val="20"/>
        </w:numPr>
        <w:rPr>
          <w:rFonts w:cs="Open Sans"/>
        </w:rPr>
      </w:pPr>
      <w:r w:rsidRPr="001253CA">
        <w:rPr>
          <w:rFonts w:cs="Open Sans"/>
        </w:rPr>
        <w:t xml:space="preserve">A Department incident detail report dated 28 July 2020, states that after being assessed by IHMS, </w:t>
      </w:r>
      <w:r w:rsidR="002E2B16">
        <w:rPr>
          <w:rFonts w:cs="Open Sans"/>
        </w:rPr>
        <w:t xml:space="preserve">Mr </w:t>
      </w:r>
      <w:r w:rsidRPr="001253CA">
        <w:rPr>
          <w:rFonts w:cs="Open Sans"/>
        </w:rPr>
        <w:t xml:space="preserve">BX was escorted to the property department to be interviewed. At approximately 4.35 pm, his handcuffs were removed. In total, </w:t>
      </w:r>
      <w:r w:rsidR="006E2DA2">
        <w:rPr>
          <w:rFonts w:cs="Open Sans"/>
        </w:rPr>
        <w:t xml:space="preserve">Mr </w:t>
      </w:r>
      <w:r w:rsidRPr="001253CA">
        <w:rPr>
          <w:rFonts w:cs="Open Sans"/>
        </w:rPr>
        <w:t xml:space="preserve">BX was handcuffed for approximately 15 minutes. </w:t>
      </w:r>
    </w:p>
    <w:p w14:paraId="4E73218C" w14:textId="1390E83E" w:rsidR="00271BF6" w:rsidRPr="001253CA" w:rsidRDefault="00271BF6" w:rsidP="00F02D5A">
      <w:pPr>
        <w:numPr>
          <w:ilvl w:val="0"/>
          <w:numId w:val="20"/>
        </w:numPr>
        <w:rPr>
          <w:rFonts w:cs="Open Sans"/>
        </w:rPr>
      </w:pPr>
      <w:r w:rsidRPr="001253CA">
        <w:rPr>
          <w:rFonts w:cs="Open Sans"/>
        </w:rPr>
        <w:t xml:space="preserve">Serco’s post incident review dated 22 July 2020, states that at approximately 7.00 pm, </w:t>
      </w:r>
      <w:r w:rsidR="006E2DA2">
        <w:rPr>
          <w:rFonts w:cs="Open Sans"/>
        </w:rPr>
        <w:t xml:space="preserve">Mr </w:t>
      </w:r>
      <w:r w:rsidRPr="001253CA">
        <w:rPr>
          <w:rFonts w:cs="Open Sans"/>
        </w:rPr>
        <w:t xml:space="preserve">BX was returned to Hume A compound after his behaviour was considered safe for staff and detainees. </w:t>
      </w:r>
    </w:p>
    <w:p w14:paraId="31DACAE2" w14:textId="63AF6FE3" w:rsidR="00271BF6" w:rsidRPr="001253CA" w:rsidRDefault="00271BF6" w:rsidP="00F02D5A">
      <w:pPr>
        <w:numPr>
          <w:ilvl w:val="0"/>
          <w:numId w:val="20"/>
        </w:numPr>
        <w:rPr>
          <w:rFonts w:cs="Open Sans"/>
        </w:rPr>
      </w:pPr>
      <w:r w:rsidRPr="001253CA">
        <w:rPr>
          <w:rFonts w:cs="Open Sans"/>
        </w:rPr>
        <w:t xml:space="preserve">The Department’s response to </w:t>
      </w:r>
      <w:r w:rsidR="00325C1E">
        <w:rPr>
          <w:rFonts w:cs="Open Sans"/>
        </w:rPr>
        <w:t xml:space="preserve">Mr </w:t>
      </w:r>
      <w:r w:rsidRPr="001253CA">
        <w:rPr>
          <w:rFonts w:cs="Open Sans"/>
        </w:rPr>
        <w:t xml:space="preserve">BX’s complaint provides a summary of his medical injuries and treatment relating to the use of force incident: </w:t>
      </w:r>
    </w:p>
    <w:p w14:paraId="31A5FD78" w14:textId="787C767B" w:rsidR="00271BF6" w:rsidRPr="001253CA" w:rsidRDefault="00271BF6" w:rsidP="00271BF6">
      <w:pPr>
        <w:pStyle w:val="Style3"/>
      </w:pPr>
      <w:r w:rsidRPr="001253CA">
        <w:t>Following the incident, [</w:t>
      </w:r>
      <w:proofErr w:type="spellStart"/>
      <w:r w:rsidR="00325C1E">
        <w:t>Mr</w:t>
      </w:r>
      <w:proofErr w:type="spellEnd"/>
      <w:r w:rsidR="00325C1E">
        <w:t xml:space="preserve"> </w:t>
      </w:r>
      <w:r w:rsidRPr="001253CA">
        <w:t>BX] was brought to the IHMS Clinic on 22 July 2020 by Serco staff. [</w:t>
      </w:r>
      <w:proofErr w:type="spellStart"/>
      <w:r w:rsidR="00325C1E">
        <w:t>Mr</w:t>
      </w:r>
      <w:proofErr w:type="spellEnd"/>
      <w:r w:rsidR="00325C1E">
        <w:t xml:space="preserve"> </w:t>
      </w:r>
      <w:r w:rsidRPr="001253CA">
        <w:t>BX] was ambulant and handcuffed. [</w:t>
      </w:r>
      <w:proofErr w:type="spellStart"/>
      <w:r w:rsidR="00325C1E">
        <w:t>Mr</w:t>
      </w:r>
      <w:proofErr w:type="spellEnd"/>
      <w:r w:rsidR="00325C1E">
        <w:t xml:space="preserve"> </w:t>
      </w:r>
      <w:r w:rsidRPr="001253CA">
        <w:t>BX] had a noted injury (</w:t>
      </w:r>
      <w:proofErr w:type="spellStart"/>
      <w:r w:rsidRPr="001253CA">
        <w:t>haematoma</w:t>
      </w:r>
      <w:proofErr w:type="spellEnd"/>
      <w:r w:rsidRPr="001253CA">
        <w:t xml:space="preserve">) to the left side of his forehead and superficial abrasion, injuries were likely sustained during </w:t>
      </w:r>
      <w:proofErr w:type="spellStart"/>
      <w:r w:rsidRPr="001253CA">
        <w:t>stabilisation</w:t>
      </w:r>
      <w:proofErr w:type="spellEnd"/>
      <w:r w:rsidRPr="001253CA">
        <w:t>. [</w:t>
      </w:r>
      <w:proofErr w:type="spellStart"/>
      <w:r w:rsidR="00325C1E">
        <w:t>Mr</w:t>
      </w:r>
      <w:proofErr w:type="spellEnd"/>
      <w:r w:rsidR="00325C1E">
        <w:t xml:space="preserve"> </w:t>
      </w:r>
      <w:r w:rsidRPr="001253CA">
        <w:t>BX] denied any symptoms of headache, dizziness nausea or vomiting. [</w:t>
      </w:r>
      <w:proofErr w:type="spellStart"/>
      <w:r w:rsidR="00325C1E">
        <w:t>Mr</w:t>
      </w:r>
      <w:proofErr w:type="spellEnd"/>
      <w:r w:rsidR="00325C1E">
        <w:t xml:space="preserve"> </w:t>
      </w:r>
      <w:r w:rsidRPr="001253CA">
        <w:t xml:space="preserve">BX’s] wound </w:t>
      </w:r>
      <w:r w:rsidRPr="001253CA">
        <w:lastRenderedPageBreak/>
        <w:t>was cleaned by an IHMS nurse. [</w:t>
      </w:r>
      <w:proofErr w:type="spellStart"/>
      <w:r w:rsidR="00325C1E">
        <w:t>Mr</w:t>
      </w:r>
      <w:proofErr w:type="spellEnd"/>
      <w:r w:rsidR="00325C1E">
        <w:t xml:space="preserve"> </w:t>
      </w:r>
      <w:r w:rsidRPr="001253CA">
        <w:t>BX] was examined by an IHMS General Practitioner (GP) who reported that [</w:t>
      </w:r>
      <w:proofErr w:type="spellStart"/>
      <w:r w:rsidR="00325C1E">
        <w:t>Mr</w:t>
      </w:r>
      <w:proofErr w:type="spellEnd"/>
      <w:r w:rsidR="00325C1E">
        <w:t xml:space="preserve"> </w:t>
      </w:r>
      <w:r w:rsidRPr="001253CA">
        <w:t>BX] had a bruised left forehead. The IHMS GP recommended [</w:t>
      </w:r>
      <w:proofErr w:type="spellStart"/>
      <w:r w:rsidR="00325C1E">
        <w:t>Mr</w:t>
      </w:r>
      <w:proofErr w:type="spellEnd"/>
      <w:r w:rsidR="00325C1E">
        <w:t xml:space="preserve"> </w:t>
      </w:r>
      <w:r w:rsidRPr="001253CA">
        <w:t>BX] for a compression bandage, an ice pack and simple analgesia. [</w:t>
      </w:r>
      <w:proofErr w:type="spellStart"/>
      <w:r w:rsidR="00710AA3">
        <w:t>Mr</w:t>
      </w:r>
      <w:proofErr w:type="spellEnd"/>
      <w:r w:rsidR="00710AA3">
        <w:t xml:space="preserve"> </w:t>
      </w:r>
      <w:r w:rsidRPr="001253CA">
        <w:t xml:space="preserve">BX] was recommended for review as required by the IHMS GP. </w:t>
      </w:r>
    </w:p>
    <w:p w14:paraId="47F9B55E" w14:textId="0CF5CE5E" w:rsidR="00271BF6" w:rsidRPr="001253CA" w:rsidRDefault="00271BF6" w:rsidP="00F02D5A">
      <w:pPr>
        <w:pStyle w:val="ListParagraph"/>
        <w:numPr>
          <w:ilvl w:val="0"/>
          <w:numId w:val="20"/>
        </w:numPr>
        <w:contextualSpacing/>
        <w:rPr>
          <w:rFonts w:cs="Open Sans"/>
        </w:rPr>
      </w:pPr>
      <w:r w:rsidRPr="001253CA">
        <w:rPr>
          <w:rFonts w:cs="Open Sans"/>
        </w:rPr>
        <w:t xml:space="preserve">Later that day, at approximately 11.00 pm, IHMS were contacted by Serco staff in relation to </w:t>
      </w:r>
      <w:r w:rsidR="00710AA3">
        <w:rPr>
          <w:rFonts w:cs="Open Sans"/>
        </w:rPr>
        <w:t xml:space="preserve">Mr </w:t>
      </w:r>
      <w:r w:rsidRPr="001253CA">
        <w:rPr>
          <w:rFonts w:cs="Open Sans"/>
        </w:rPr>
        <w:t xml:space="preserve">BX reporting further symptoms. </w:t>
      </w:r>
      <w:r w:rsidR="00710AA3">
        <w:rPr>
          <w:rFonts w:cs="Open Sans"/>
        </w:rPr>
        <w:t xml:space="preserve">Mr </w:t>
      </w:r>
      <w:r w:rsidRPr="001253CA">
        <w:rPr>
          <w:rFonts w:cs="Open Sans"/>
        </w:rPr>
        <w:t xml:space="preserve">BX was taken by ambulance to the Liverpool Hospital and discharged the next day. The Department’s response summarises this event: </w:t>
      </w:r>
    </w:p>
    <w:p w14:paraId="51AFA9A5" w14:textId="381DF125" w:rsidR="00271BF6" w:rsidRPr="001253CA" w:rsidRDefault="00271BF6" w:rsidP="00271BF6">
      <w:pPr>
        <w:pStyle w:val="Style3"/>
      </w:pPr>
      <w:r w:rsidRPr="001253CA">
        <w:t>On the same day, at approximately 23:00 the IHMS Health Advice Service (HAS) were contacted by Serco staff. It was reported that [</w:t>
      </w:r>
      <w:proofErr w:type="spellStart"/>
      <w:r w:rsidR="00710AA3">
        <w:t>Mr</w:t>
      </w:r>
      <w:proofErr w:type="spellEnd"/>
      <w:r w:rsidR="00710AA3">
        <w:t xml:space="preserve"> </w:t>
      </w:r>
      <w:r w:rsidRPr="001253CA">
        <w:t>BX] had symptoms of dizziness, double vision, abdominal pain, nausea and vomiting and flu and fever symptoms. An ambulance was called and [</w:t>
      </w:r>
      <w:proofErr w:type="spellStart"/>
      <w:r w:rsidR="00710AA3">
        <w:t>Mr</w:t>
      </w:r>
      <w:proofErr w:type="spellEnd"/>
      <w:r w:rsidR="00710AA3">
        <w:t xml:space="preserve"> </w:t>
      </w:r>
      <w:r w:rsidRPr="001253CA">
        <w:t>BX] transferred to Liverpool Hospital for assessment. A Computed Tomography (CT) scan of [</w:t>
      </w:r>
      <w:proofErr w:type="spellStart"/>
      <w:r w:rsidR="00710AA3">
        <w:t>Mr</w:t>
      </w:r>
      <w:proofErr w:type="spellEnd"/>
      <w:r w:rsidR="00710AA3">
        <w:t xml:space="preserve"> </w:t>
      </w:r>
      <w:r w:rsidRPr="001253CA">
        <w:t>BX’s] brain and cervical spine was attended which did not show any evidence of a fracture or bleed. A chest x-ray and x-ray of right wrist was also attended which did not show any new fractures (an old fracture of the right wrist was identified). [</w:t>
      </w:r>
      <w:proofErr w:type="spellStart"/>
      <w:r w:rsidR="00710AA3">
        <w:t>Mr</w:t>
      </w:r>
      <w:proofErr w:type="spellEnd"/>
      <w:r w:rsidR="00710AA3">
        <w:t xml:space="preserve"> </w:t>
      </w:r>
      <w:r w:rsidRPr="001253CA">
        <w:t xml:space="preserve">BX] was diagnosed with pain </w:t>
      </w:r>
      <w:proofErr w:type="gramStart"/>
      <w:r w:rsidRPr="001253CA">
        <w:t>to</w:t>
      </w:r>
      <w:proofErr w:type="gramEnd"/>
      <w:r w:rsidRPr="001253CA">
        <w:t xml:space="preserve"> his wrist by hospital staff and discharged from hospital on 23 July 2020.</w:t>
      </w:r>
    </w:p>
    <w:p w14:paraId="5B0BF841" w14:textId="6A2422B9" w:rsidR="00271BF6" w:rsidRPr="001253CA" w:rsidRDefault="00271BF6" w:rsidP="00F02D5A">
      <w:pPr>
        <w:numPr>
          <w:ilvl w:val="0"/>
          <w:numId w:val="20"/>
        </w:numPr>
        <w:rPr>
          <w:rFonts w:cs="Open Sans"/>
        </w:rPr>
      </w:pPr>
      <w:r w:rsidRPr="001253CA">
        <w:rPr>
          <w:rFonts w:cs="Open Sans"/>
        </w:rPr>
        <w:t xml:space="preserve">IHMS clinical records state that on 24 July 2020, </w:t>
      </w:r>
      <w:r w:rsidR="00710AA3">
        <w:rPr>
          <w:rFonts w:cs="Open Sans"/>
        </w:rPr>
        <w:t xml:space="preserve">Mr </w:t>
      </w:r>
      <w:r w:rsidRPr="001253CA">
        <w:rPr>
          <w:rFonts w:cs="Open Sans"/>
        </w:rPr>
        <w:t xml:space="preserve">BX attended a GP consultation. It was noted that his left forehead haematoma was ‘diminishing and healing’. His right wrist was examined and noted to have its ‘range of motion intact’ and ‘no elbow tenderness’. The GP recommended simple analgesia and review as required. </w:t>
      </w:r>
    </w:p>
    <w:p w14:paraId="753FC33B" w14:textId="0ABD4507" w:rsidR="00271BF6" w:rsidRPr="001253CA" w:rsidRDefault="00271BF6" w:rsidP="00F02D5A">
      <w:pPr>
        <w:numPr>
          <w:ilvl w:val="0"/>
          <w:numId w:val="20"/>
        </w:numPr>
        <w:rPr>
          <w:rFonts w:cs="Open Sans"/>
        </w:rPr>
      </w:pPr>
      <w:r w:rsidRPr="001253CA">
        <w:rPr>
          <w:rFonts w:cs="Open Sans"/>
        </w:rPr>
        <w:t xml:space="preserve">On 28 July 2020, </w:t>
      </w:r>
      <w:r w:rsidR="003F1E45">
        <w:rPr>
          <w:rFonts w:cs="Open Sans"/>
        </w:rPr>
        <w:t>Mr</w:t>
      </w:r>
      <w:r w:rsidRPr="001253CA">
        <w:rPr>
          <w:rFonts w:cs="Open Sans"/>
        </w:rPr>
        <w:t xml:space="preserve"> BX attended a GP consultation on referral by the IHMS psychologist, due to pain in his ankle, </w:t>
      </w:r>
      <w:proofErr w:type="gramStart"/>
      <w:r w:rsidRPr="001253CA">
        <w:rPr>
          <w:rFonts w:cs="Open Sans"/>
        </w:rPr>
        <w:t>wrist</w:t>
      </w:r>
      <w:proofErr w:type="gramEnd"/>
      <w:r w:rsidRPr="001253CA">
        <w:rPr>
          <w:rFonts w:cs="Open Sans"/>
        </w:rPr>
        <w:t xml:space="preserve"> and scalp. A physical examination by the GP was reported as unremarkable. </w:t>
      </w:r>
      <w:r w:rsidR="00095E81">
        <w:rPr>
          <w:rFonts w:cs="Open Sans"/>
        </w:rPr>
        <w:t xml:space="preserve">Mr </w:t>
      </w:r>
      <w:r w:rsidRPr="001253CA">
        <w:rPr>
          <w:rFonts w:cs="Open Sans"/>
        </w:rPr>
        <w:t xml:space="preserve">BX was reassured regarding the settling of his pain and soft tissue injuries and advised to take Panadol. </w:t>
      </w:r>
    </w:p>
    <w:p w14:paraId="32C82D6D" w14:textId="00400871" w:rsidR="00271BF6" w:rsidRDefault="00271BF6" w:rsidP="00271BF6">
      <w:pPr>
        <w:pStyle w:val="AHRCHeading2"/>
      </w:pPr>
      <w:bookmarkStart w:id="20" w:name="_Toc164768981"/>
      <w:r>
        <w:t>Use of force on 22 November 2020</w:t>
      </w:r>
      <w:bookmarkEnd w:id="20"/>
    </w:p>
    <w:p w14:paraId="11FF5115" w14:textId="289ED4E6" w:rsidR="00271BF6" w:rsidRPr="001253CA" w:rsidRDefault="00271BF6" w:rsidP="00F02D5A">
      <w:pPr>
        <w:numPr>
          <w:ilvl w:val="0"/>
          <w:numId w:val="20"/>
        </w:numPr>
        <w:rPr>
          <w:rFonts w:cs="Open Sans"/>
        </w:rPr>
      </w:pPr>
      <w:r w:rsidRPr="001253CA">
        <w:rPr>
          <w:rFonts w:cs="Open Sans"/>
        </w:rPr>
        <w:t xml:space="preserve">The Department’s incident detail report dated 23 November 2020, states that at approximately 3.38 pm, on 22 November 2020, a suspicious item was observed by a Detainee Services Officer being thrown over the fence from Hume B compound to Hume A compound and was picked up by </w:t>
      </w:r>
      <w:r w:rsidR="002B45C2">
        <w:rPr>
          <w:rFonts w:cs="Open Sans"/>
        </w:rPr>
        <w:t xml:space="preserve">Mr </w:t>
      </w:r>
      <w:r w:rsidRPr="001253CA">
        <w:rPr>
          <w:rFonts w:cs="Open Sans"/>
        </w:rPr>
        <w:t xml:space="preserve">BX. No footage has been provided by the Department, capturing this event.  </w:t>
      </w:r>
    </w:p>
    <w:p w14:paraId="0AD64882" w14:textId="497067EA" w:rsidR="00271BF6" w:rsidRPr="001253CA" w:rsidRDefault="00271BF6" w:rsidP="00F02D5A">
      <w:pPr>
        <w:numPr>
          <w:ilvl w:val="0"/>
          <w:numId w:val="20"/>
        </w:numPr>
        <w:rPr>
          <w:rFonts w:cs="Open Sans"/>
        </w:rPr>
      </w:pPr>
      <w:r w:rsidRPr="001253CA">
        <w:rPr>
          <w:rFonts w:cs="Open Sans"/>
        </w:rPr>
        <w:t xml:space="preserve">A file note provided by the Department from the law firm, ‘Human Rights for All’, describes </w:t>
      </w:r>
      <w:r w:rsidR="002B45C2">
        <w:rPr>
          <w:rFonts w:cs="Open Sans"/>
        </w:rPr>
        <w:t xml:space="preserve">Mr </w:t>
      </w:r>
      <w:r w:rsidRPr="001253CA">
        <w:rPr>
          <w:rFonts w:cs="Open Sans"/>
        </w:rPr>
        <w:t xml:space="preserve">BX’s version of events. He claims that he had asked a Serco officer to pass him a packet of tobacco from his friend in Hume B to Hume A, where he was located. The officer refused to do </w:t>
      </w:r>
      <w:proofErr w:type="gramStart"/>
      <w:r w:rsidRPr="001253CA">
        <w:rPr>
          <w:rFonts w:cs="Open Sans"/>
        </w:rPr>
        <w:t>so</w:t>
      </w:r>
      <w:proofErr w:type="gramEnd"/>
      <w:r w:rsidRPr="001253CA">
        <w:rPr>
          <w:rFonts w:cs="Open Sans"/>
        </w:rPr>
        <w:t xml:space="preserve"> and his friend threw the tobacco pack over the fence. </w:t>
      </w:r>
      <w:r w:rsidR="000F3CBB">
        <w:rPr>
          <w:rFonts w:cs="Open Sans"/>
        </w:rPr>
        <w:t xml:space="preserve">Mr </w:t>
      </w:r>
      <w:r w:rsidRPr="001253CA">
        <w:rPr>
          <w:rFonts w:cs="Open Sans"/>
        </w:rPr>
        <w:t xml:space="preserve">BX picked it up off the grass, went to his room and rolled a cigarette. </w:t>
      </w:r>
    </w:p>
    <w:p w14:paraId="59A84757" w14:textId="54A67897" w:rsidR="00271BF6" w:rsidRPr="001253CA" w:rsidRDefault="00271BF6" w:rsidP="00F02D5A">
      <w:pPr>
        <w:numPr>
          <w:ilvl w:val="0"/>
          <w:numId w:val="20"/>
        </w:numPr>
        <w:rPr>
          <w:rFonts w:cs="Open Sans"/>
        </w:rPr>
      </w:pPr>
      <w:r w:rsidRPr="001253CA">
        <w:rPr>
          <w:rFonts w:cs="Open Sans"/>
        </w:rPr>
        <w:t xml:space="preserve">The Department’s incident detail reports state that in response to this event, ERT officers attended at </w:t>
      </w:r>
      <w:r w:rsidR="000F3CBB">
        <w:rPr>
          <w:rFonts w:cs="Open Sans"/>
        </w:rPr>
        <w:t xml:space="preserve">Mr </w:t>
      </w:r>
      <w:r w:rsidRPr="001253CA">
        <w:rPr>
          <w:rFonts w:cs="Open Sans"/>
        </w:rPr>
        <w:t xml:space="preserve">BX’s room at approximately 4.00 pm to conduct a targeted room search.  </w:t>
      </w:r>
    </w:p>
    <w:p w14:paraId="27C5C393" w14:textId="21EC9F96" w:rsidR="00271BF6" w:rsidRPr="001253CA" w:rsidRDefault="00271BF6" w:rsidP="00F02D5A">
      <w:pPr>
        <w:numPr>
          <w:ilvl w:val="0"/>
          <w:numId w:val="20"/>
        </w:numPr>
        <w:rPr>
          <w:rFonts w:cs="Open Sans"/>
        </w:rPr>
      </w:pPr>
      <w:r w:rsidRPr="001253CA">
        <w:rPr>
          <w:rFonts w:cs="Open Sans"/>
        </w:rPr>
        <w:t xml:space="preserve">Bodycam footage shows approximately </w:t>
      </w:r>
      <w:r w:rsidR="00F0189C">
        <w:rPr>
          <w:rFonts w:cs="Open Sans"/>
        </w:rPr>
        <w:t>nine</w:t>
      </w:r>
      <w:r w:rsidRPr="001253CA">
        <w:rPr>
          <w:rFonts w:cs="Open Sans"/>
        </w:rPr>
        <w:t xml:space="preserve"> ERT officers approaching </w:t>
      </w:r>
      <w:r w:rsidR="001331E9">
        <w:rPr>
          <w:rFonts w:cs="Open Sans"/>
        </w:rPr>
        <w:t xml:space="preserve">Mr </w:t>
      </w:r>
      <w:r w:rsidRPr="001253CA">
        <w:rPr>
          <w:rFonts w:cs="Open Sans"/>
        </w:rPr>
        <w:t xml:space="preserve">BX’s room (Figure 5). An ERT officer is seen at the front of </w:t>
      </w:r>
      <w:r w:rsidR="001331E9">
        <w:rPr>
          <w:rFonts w:cs="Open Sans"/>
        </w:rPr>
        <w:t xml:space="preserve">Mr </w:t>
      </w:r>
      <w:r w:rsidRPr="001253CA">
        <w:rPr>
          <w:rFonts w:cs="Open Sans"/>
        </w:rPr>
        <w:t xml:space="preserve">BX’s door, </w:t>
      </w:r>
      <w:r w:rsidRPr="001253CA">
        <w:rPr>
          <w:rFonts w:cs="Open Sans"/>
        </w:rPr>
        <w:lastRenderedPageBreak/>
        <w:t xml:space="preserve">which is closed. The door opens and </w:t>
      </w:r>
      <w:r w:rsidR="001331E9">
        <w:rPr>
          <w:rFonts w:cs="Open Sans"/>
        </w:rPr>
        <w:t>Mr</w:t>
      </w:r>
      <w:r w:rsidRPr="001253CA">
        <w:rPr>
          <w:rFonts w:cs="Open Sans"/>
        </w:rPr>
        <w:t xml:space="preserve"> BX can be seen with two other detainees in the room (Figure 6). He is smoking. </w:t>
      </w:r>
    </w:p>
    <w:p w14:paraId="4463F34A" w14:textId="43C1A734" w:rsidR="00AD6AD8" w:rsidRDefault="00870C9C" w:rsidP="00AD6AD8">
      <w:pPr>
        <w:rPr>
          <w:rFonts w:cs="Open Sans"/>
        </w:rPr>
      </w:pPr>
      <w:r>
        <w:rPr>
          <w:noProof/>
          <w:sz w:val="20"/>
        </w:rPr>
        <w:drawing>
          <wp:anchor distT="0" distB="0" distL="114300" distR="114300" simplePos="0" relativeHeight="251658244" behindDoc="0" locked="0" layoutInCell="1" allowOverlap="1" wp14:anchorId="118AE23D" wp14:editId="7DCD086D">
            <wp:simplePos x="0" y="0"/>
            <wp:positionH relativeFrom="column">
              <wp:posOffset>1242060</wp:posOffset>
            </wp:positionH>
            <wp:positionV relativeFrom="paragraph">
              <wp:posOffset>301625</wp:posOffset>
            </wp:positionV>
            <wp:extent cx="3841115" cy="1871980"/>
            <wp:effectExtent l="0" t="0" r="6985" b="0"/>
            <wp:wrapSquare wrapText="bothSides"/>
            <wp:docPr id="8" name="Image 8" descr="A group of people walking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A group of people walking in a roo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41115" cy="1871980"/>
                    </a:xfrm>
                    <a:prstGeom prst="rect">
                      <a:avLst/>
                    </a:prstGeom>
                  </pic:spPr>
                </pic:pic>
              </a:graphicData>
            </a:graphic>
            <wp14:sizeRelH relativeFrom="page">
              <wp14:pctWidth>0</wp14:pctWidth>
            </wp14:sizeRelH>
            <wp14:sizeRelV relativeFrom="page">
              <wp14:pctHeight>0</wp14:pctHeight>
            </wp14:sizeRelV>
          </wp:anchor>
        </w:drawing>
      </w:r>
    </w:p>
    <w:p w14:paraId="00616362" w14:textId="21F4B49D" w:rsidR="00AD6AD8" w:rsidRPr="001253CA" w:rsidRDefault="00AD6AD8" w:rsidP="00AD6AD8">
      <w:pPr>
        <w:rPr>
          <w:rFonts w:cs="Open Sans"/>
        </w:rPr>
      </w:pPr>
    </w:p>
    <w:p w14:paraId="68ECB89D" w14:textId="65D4D5BA" w:rsidR="00271BF6" w:rsidRPr="001253CA" w:rsidRDefault="00271BF6" w:rsidP="00271BF6">
      <w:pPr>
        <w:jc w:val="right"/>
        <w:rPr>
          <w:rFonts w:cs="Open Sans"/>
        </w:rPr>
      </w:pPr>
    </w:p>
    <w:p w14:paraId="42B720CD" w14:textId="77777777" w:rsidR="00AD6AD8" w:rsidRDefault="00AD6AD8" w:rsidP="00271BF6">
      <w:pPr>
        <w:pStyle w:val="ListBullet"/>
        <w:numPr>
          <w:ilvl w:val="0"/>
          <w:numId w:val="0"/>
        </w:numPr>
        <w:ind w:left="1094"/>
        <w:rPr>
          <w:b/>
          <w:bCs/>
          <w:sz w:val="22"/>
          <w:szCs w:val="22"/>
        </w:rPr>
      </w:pPr>
    </w:p>
    <w:p w14:paraId="65268290" w14:textId="77777777" w:rsidR="00AD6AD8" w:rsidRDefault="00AD6AD8" w:rsidP="00271BF6">
      <w:pPr>
        <w:pStyle w:val="ListBullet"/>
        <w:numPr>
          <w:ilvl w:val="0"/>
          <w:numId w:val="0"/>
        </w:numPr>
        <w:ind w:left="1094"/>
        <w:rPr>
          <w:b/>
          <w:bCs/>
          <w:sz w:val="22"/>
          <w:szCs w:val="22"/>
        </w:rPr>
      </w:pPr>
    </w:p>
    <w:p w14:paraId="6AFEE7C0" w14:textId="77777777" w:rsidR="00AD6AD8" w:rsidRDefault="00AD6AD8" w:rsidP="00271BF6">
      <w:pPr>
        <w:pStyle w:val="ListBullet"/>
        <w:numPr>
          <w:ilvl w:val="0"/>
          <w:numId w:val="0"/>
        </w:numPr>
        <w:ind w:left="1094"/>
        <w:rPr>
          <w:b/>
          <w:bCs/>
          <w:sz w:val="22"/>
          <w:szCs w:val="22"/>
        </w:rPr>
      </w:pPr>
    </w:p>
    <w:p w14:paraId="360B6C41" w14:textId="77777777" w:rsidR="00AD6AD8" w:rsidRDefault="00AD6AD8" w:rsidP="00271BF6">
      <w:pPr>
        <w:pStyle w:val="ListBullet"/>
        <w:numPr>
          <w:ilvl w:val="0"/>
          <w:numId w:val="0"/>
        </w:numPr>
        <w:ind w:left="1094"/>
        <w:rPr>
          <w:b/>
          <w:bCs/>
          <w:sz w:val="22"/>
          <w:szCs w:val="22"/>
        </w:rPr>
      </w:pPr>
    </w:p>
    <w:p w14:paraId="3C7411B4" w14:textId="77777777" w:rsidR="00AD6AD8" w:rsidRDefault="00AD6AD8" w:rsidP="00271BF6">
      <w:pPr>
        <w:pStyle w:val="ListBullet"/>
        <w:numPr>
          <w:ilvl w:val="0"/>
          <w:numId w:val="0"/>
        </w:numPr>
        <w:ind w:left="1094"/>
        <w:rPr>
          <w:b/>
          <w:bCs/>
          <w:sz w:val="22"/>
          <w:szCs w:val="22"/>
        </w:rPr>
      </w:pPr>
    </w:p>
    <w:p w14:paraId="389368D9" w14:textId="77777777" w:rsidR="00AD6AD8" w:rsidRDefault="00AD6AD8" w:rsidP="00271BF6">
      <w:pPr>
        <w:pStyle w:val="ListBullet"/>
        <w:numPr>
          <w:ilvl w:val="0"/>
          <w:numId w:val="0"/>
        </w:numPr>
        <w:ind w:left="1094"/>
        <w:rPr>
          <w:b/>
          <w:bCs/>
          <w:sz w:val="22"/>
          <w:szCs w:val="22"/>
        </w:rPr>
      </w:pPr>
    </w:p>
    <w:p w14:paraId="66075C1F" w14:textId="68EB89DC" w:rsidR="006616E9" w:rsidRDefault="000D6018" w:rsidP="000D6018">
      <w:pPr>
        <w:pStyle w:val="ListBullet"/>
        <w:numPr>
          <w:ilvl w:val="0"/>
          <w:numId w:val="0"/>
        </w:numPr>
        <w:ind w:left="1094" w:hanging="737"/>
        <w:rPr>
          <w:b/>
          <w:bCs/>
          <w:sz w:val="22"/>
          <w:szCs w:val="22"/>
        </w:rPr>
      </w:pPr>
      <w:r>
        <w:rPr>
          <w:b/>
          <w:bCs/>
          <w:sz w:val="22"/>
          <w:szCs w:val="22"/>
        </w:rPr>
        <w:br/>
      </w:r>
      <w:r>
        <w:rPr>
          <w:b/>
          <w:bCs/>
          <w:sz w:val="22"/>
          <w:szCs w:val="22"/>
        </w:rPr>
        <w:br/>
      </w:r>
    </w:p>
    <w:p w14:paraId="18BD171C" w14:textId="493DE1AC" w:rsidR="00AD6AD8" w:rsidRDefault="00271BF6" w:rsidP="00AD6AD8">
      <w:pPr>
        <w:pStyle w:val="ListBullet"/>
        <w:numPr>
          <w:ilvl w:val="0"/>
          <w:numId w:val="0"/>
        </w:numPr>
        <w:ind w:left="1094" w:firstLine="891"/>
        <w:rPr>
          <w:sz w:val="22"/>
          <w:szCs w:val="22"/>
        </w:rPr>
      </w:pPr>
      <w:r w:rsidRPr="00C25F43">
        <w:rPr>
          <w:b/>
          <w:bCs/>
          <w:sz w:val="22"/>
          <w:szCs w:val="22"/>
        </w:rPr>
        <w:t>Figure 5:</w:t>
      </w:r>
      <w:r w:rsidRPr="00C25F43">
        <w:rPr>
          <w:sz w:val="22"/>
          <w:szCs w:val="22"/>
        </w:rPr>
        <w:t xml:space="preserve"> Some of the ERT officers captured approaching </w:t>
      </w:r>
    </w:p>
    <w:p w14:paraId="4F590D02" w14:textId="76385C49" w:rsidR="00271BF6" w:rsidRPr="001331E9" w:rsidRDefault="001331E9" w:rsidP="001331E9">
      <w:pPr>
        <w:pStyle w:val="ListBullet"/>
        <w:numPr>
          <w:ilvl w:val="0"/>
          <w:numId w:val="0"/>
        </w:numPr>
        <w:ind w:left="1094" w:firstLine="891"/>
        <w:rPr>
          <w:sz w:val="22"/>
          <w:szCs w:val="22"/>
        </w:rPr>
      </w:pPr>
      <w:r>
        <w:rPr>
          <w:sz w:val="22"/>
          <w:szCs w:val="22"/>
        </w:rPr>
        <w:t xml:space="preserve">Mr </w:t>
      </w:r>
      <w:r w:rsidR="00271BF6" w:rsidRPr="00C25F43">
        <w:rPr>
          <w:sz w:val="22"/>
          <w:szCs w:val="22"/>
        </w:rPr>
        <w:t>BX’s room</w:t>
      </w:r>
    </w:p>
    <w:p w14:paraId="1DBE4461" w14:textId="05AED502" w:rsidR="00AD7F51" w:rsidRPr="001253CA" w:rsidRDefault="000D6018" w:rsidP="00271BF6">
      <w:pPr>
        <w:jc w:val="right"/>
        <w:rPr>
          <w:rFonts w:cs="Open Sans"/>
        </w:rPr>
      </w:pPr>
      <w:r>
        <w:rPr>
          <w:noProof/>
        </w:rPr>
        <w:drawing>
          <wp:anchor distT="0" distB="0" distL="0" distR="0" simplePos="0" relativeHeight="251658245" behindDoc="1" locked="0" layoutInCell="1" allowOverlap="1" wp14:anchorId="4585C759" wp14:editId="11509173">
            <wp:simplePos x="0" y="0"/>
            <wp:positionH relativeFrom="column">
              <wp:posOffset>1242695</wp:posOffset>
            </wp:positionH>
            <wp:positionV relativeFrom="paragraph">
              <wp:posOffset>364490</wp:posOffset>
            </wp:positionV>
            <wp:extent cx="3841115" cy="1871980"/>
            <wp:effectExtent l="0" t="0" r="6985" b="0"/>
            <wp:wrapSquare wrapText="bothSides"/>
            <wp:docPr id="9" name="Image 9" descr="A blurry image of a person in a room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A blurry image of a person in a room  Description automatically generated "/>
                    <pic:cNvPicPr/>
                  </pic:nvPicPr>
                  <pic:blipFill>
                    <a:blip r:embed="rId24" cstate="print"/>
                    <a:stretch>
                      <a:fillRect/>
                    </a:stretch>
                  </pic:blipFill>
                  <pic:spPr>
                    <a:xfrm>
                      <a:off x="0" y="0"/>
                      <a:ext cx="3841115" cy="1871980"/>
                    </a:xfrm>
                    <a:prstGeom prst="rect">
                      <a:avLst/>
                    </a:prstGeom>
                  </pic:spPr>
                </pic:pic>
              </a:graphicData>
            </a:graphic>
            <wp14:sizeRelH relativeFrom="margin">
              <wp14:pctWidth>0</wp14:pctWidth>
            </wp14:sizeRelH>
            <wp14:sizeRelV relativeFrom="margin">
              <wp14:pctHeight>0</wp14:pctHeight>
            </wp14:sizeRelV>
          </wp:anchor>
        </w:drawing>
      </w:r>
    </w:p>
    <w:p w14:paraId="666C0FE3" w14:textId="6843A21B" w:rsidR="000D6018" w:rsidRDefault="00AD7F51" w:rsidP="00AD7F51">
      <w:pPr>
        <w:pStyle w:val="ListBullet"/>
        <w:numPr>
          <w:ilvl w:val="0"/>
          <w:numId w:val="0"/>
        </w:numPr>
        <w:tabs>
          <w:tab w:val="clear" w:pos="1134"/>
          <w:tab w:val="left" w:pos="2127"/>
        </w:tabs>
        <w:ind w:left="1985" w:firstLine="891"/>
        <w:rPr>
          <w:b/>
          <w:sz w:val="22"/>
          <w:szCs w:val="22"/>
        </w:rPr>
      </w:pPr>
      <w:r>
        <w:rPr>
          <w:b/>
          <w:bCs/>
          <w:sz w:val="22"/>
          <w:szCs w:val="22"/>
        </w:rPr>
        <w:br/>
      </w:r>
    </w:p>
    <w:p w14:paraId="54D839AB" w14:textId="77777777" w:rsidR="000D6018" w:rsidRDefault="000D6018" w:rsidP="000D6018">
      <w:pPr>
        <w:pStyle w:val="ListBullet"/>
        <w:numPr>
          <w:ilvl w:val="0"/>
          <w:numId w:val="0"/>
        </w:numPr>
        <w:tabs>
          <w:tab w:val="clear" w:pos="1134"/>
          <w:tab w:val="left" w:pos="2127"/>
        </w:tabs>
        <w:ind w:left="1094" w:hanging="737"/>
        <w:rPr>
          <w:b/>
          <w:sz w:val="22"/>
          <w:szCs w:val="22"/>
        </w:rPr>
      </w:pPr>
    </w:p>
    <w:p w14:paraId="767F7394" w14:textId="77777777" w:rsidR="000D6018" w:rsidRDefault="000D6018" w:rsidP="000D6018">
      <w:pPr>
        <w:pStyle w:val="ListBullet"/>
        <w:numPr>
          <w:ilvl w:val="0"/>
          <w:numId w:val="0"/>
        </w:numPr>
        <w:tabs>
          <w:tab w:val="clear" w:pos="1134"/>
          <w:tab w:val="left" w:pos="2127"/>
        </w:tabs>
        <w:ind w:left="1094" w:hanging="737"/>
        <w:rPr>
          <w:b/>
          <w:sz w:val="22"/>
          <w:szCs w:val="22"/>
        </w:rPr>
      </w:pPr>
    </w:p>
    <w:p w14:paraId="1BABA1C8" w14:textId="77777777" w:rsidR="000D6018" w:rsidRDefault="000D6018" w:rsidP="000D6018">
      <w:pPr>
        <w:pStyle w:val="ListBullet"/>
        <w:numPr>
          <w:ilvl w:val="0"/>
          <w:numId w:val="0"/>
        </w:numPr>
        <w:tabs>
          <w:tab w:val="clear" w:pos="1134"/>
          <w:tab w:val="left" w:pos="2127"/>
        </w:tabs>
        <w:ind w:left="1094" w:hanging="737"/>
        <w:rPr>
          <w:b/>
          <w:sz w:val="22"/>
          <w:szCs w:val="22"/>
        </w:rPr>
      </w:pPr>
    </w:p>
    <w:p w14:paraId="5F1A5F1D" w14:textId="77777777" w:rsidR="000D6018" w:rsidRDefault="000D6018" w:rsidP="000D6018">
      <w:pPr>
        <w:pStyle w:val="ListBullet"/>
        <w:numPr>
          <w:ilvl w:val="0"/>
          <w:numId w:val="0"/>
        </w:numPr>
        <w:tabs>
          <w:tab w:val="clear" w:pos="1134"/>
          <w:tab w:val="left" w:pos="2127"/>
        </w:tabs>
        <w:ind w:left="1094" w:hanging="737"/>
        <w:rPr>
          <w:b/>
          <w:sz w:val="22"/>
          <w:szCs w:val="22"/>
        </w:rPr>
      </w:pPr>
    </w:p>
    <w:p w14:paraId="07132235" w14:textId="77777777" w:rsidR="000D6018" w:rsidRDefault="000D6018" w:rsidP="000D6018">
      <w:pPr>
        <w:pStyle w:val="ListBullet"/>
        <w:numPr>
          <w:ilvl w:val="0"/>
          <w:numId w:val="0"/>
        </w:numPr>
        <w:tabs>
          <w:tab w:val="clear" w:pos="1134"/>
          <w:tab w:val="left" w:pos="2127"/>
        </w:tabs>
        <w:ind w:left="1094" w:hanging="737"/>
        <w:rPr>
          <w:b/>
          <w:sz w:val="22"/>
          <w:szCs w:val="22"/>
        </w:rPr>
      </w:pPr>
    </w:p>
    <w:p w14:paraId="101726FA" w14:textId="77777777" w:rsidR="000D6018" w:rsidRDefault="000D6018" w:rsidP="000D6018">
      <w:pPr>
        <w:pStyle w:val="ListBullet"/>
        <w:numPr>
          <w:ilvl w:val="0"/>
          <w:numId w:val="0"/>
        </w:numPr>
        <w:tabs>
          <w:tab w:val="clear" w:pos="1134"/>
          <w:tab w:val="left" w:pos="2127"/>
        </w:tabs>
        <w:ind w:left="1094" w:hanging="737"/>
        <w:rPr>
          <w:b/>
          <w:sz w:val="22"/>
          <w:szCs w:val="22"/>
        </w:rPr>
      </w:pPr>
    </w:p>
    <w:p w14:paraId="02DF20BE" w14:textId="77777777" w:rsidR="000D6018" w:rsidRDefault="000D6018" w:rsidP="000D6018">
      <w:pPr>
        <w:pStyle w:val="ListBullet"/>
        <w:numPr>
          <w:ilvl w:val="0"/>
          <w:numId w:val="0"/>
        </w:numPr>
        <w:tabs>
          <w:tab w:val="clear" w:pos="1134"/>
          <w:tab w:val="left" w:pos="2127"/>
        </w:tabs>
        <w:ind w:left="1094" w:hanging="737"/>
        <w:rPr>
          <w:b/>
          <w:sz w:val="22"/>
          <w:szCs w:val="22"/>
        </w:rPr>
      </w:pPr>
    </w:p>
    <w:p w14:paraId="6EF1D8C1" w14:textId="77777777" w:rsidR="000D6018" w:rsidRDefault="000D6018" w:rsidP="000D6018">
      <w:pPr>
        <w:pStyle w:val="ListBullet"/>
        <w:numPr>
          <w:ilvl w:val="0"/>
          <w:numId w:val="0"/>
        </w:numPr>
        <w:tabs>
          <w:tab w:val="clear" w:pos="1134"/>
          <w:tab w:val="left" w:pos="2127"/>
        </w:tabs>
        <w:ind w:left="1094" w:hanging="737"/>
        <w:rPr>
          <w:b/>
          <w:sz w:val="22"/>
          <w:szCs w:val="22"/>
        </w:rPr>
      </w:pPr>
    </w:p>
    <w:p w14:paraId="7ED975A8" w14:textId="77777777" w:rsidR="000D6018" w:rsidRDefault="000D6018" w:rsidP="000D6018">
      <w:pPr>
        <w:pStyle w:val="ListBullet"/>
        <w:numPr>
          <w:ilvl w:val="0"/>
          <w:numId w:val="0"/>
        </w:numPr>
        <w:tabs>
          <w:tab w:val="clear" w:pos="1134"/>
          <w:tab w:val="left" w:pos="2127"/>
        </w:tabs>
        <w:ind w:left="1094" w:hanging="737"/>
        <w:rPr>
          <w:b/>
          <w:sz w:val="22"/>
          <w:szCs w:val="22"/>
        </w:rPr>
      </w:pPr>
    </w:p>
    <w:p w14:paraId="12751D79" w14:textId="77777777" w:rsidR="000D6018" w:rsidRDefault="000D6018" w:rsidP="000D6018">
      <w:pPr>
        <w:pStyle w:val="ListBullet"/>
        <w:numPr>
          <w:ilvl w:val="0"/>
          <w:numId w:val="0"/>
        </w:numPr>
        <w:tabs>
          <w:tab w:val="clear" w:pos="1134"/>
          <w:tab w:val="left" w:pos="2127"/>
        </w:tabs>
        <w:ind w:left="1094" w:hanging="737"/>
        <w:rPr>
          <w:b/>
          <w:sz w:val="22"/>
          <w:szCs w:val="22"/>
        </w:rPr>
      </w:pPr>
    </w:p>
    <w:p w14:paraId="2654D5D4" w14:textId="2B1AE021" w:rsidR="00271BF6" w:rsidRPr="00AD7F51" w:rsidRDefault="000D6018" w:rsidP="000D6018">
      <w:pPr>
        <w:pStyle w:val="ListBullet"/>
        <w:numPr>
          <w:ilvl w:val="0"/>
          <w:numId w:val="0"/>
        </w:numPr>
        <w:tabs>
          <w:tab w:val="clear" w:pos="1134"/>
          <w:tab w:val="left" w:pos="2127"/>
        </w:tabs>
        <w:ind w:left="1094" w:hanging="737"/>
        <w:rPr>
          <w:sz w:val="22"/>
          <w:szCs w:val="22"/>
        </w:rPr>
      </w:pPr>
      <w:r>
        <w:rPr>
          <w:b/>
          <w:sz w:val="22"/>
          <w:szCs w:val="22"/>
        </w:rPr>
        <w:tab/>
        <w:t xml:space="preserve">              </w:t>
      </w:r>
      <w:r w:rsidR="00271BF6" w:rsidRPr="00AD7F51">
        <w:rPr>
          <w:b/>
          <w:sz w:val="22"/>
          <w:szCs w:val="22"/>
        </w:rPr>
        <w:t>Figure 6:</w:t>
      </w:r>
      <w:r w:rsidR="00271BF6" w:rsidRPr="00AD7F51">
        <w:rPr>
          <w:sz w:val="22"/>
          <w:szCs w:val="22"/>
        </w:rPr>
        <w:t xml:space="preserve"> </w:t>
      </w:r>
      <w:r w:rsidR="001331E9">
        <w:rPr>
          <w:sz w:val="22"/>
          <w:szCs w:val="22"/>
        </w:rPr>
        <w:t xml:space="preserve">Mr </w:t>
      </w:r>
      <w:r w:rsidR="00271BF6" w:rsidRPr="00AD7F51">
        <w:rPr>
          <w:sz w:val="22"/>
          <w:szCs w:val="22"/>
        </w:rPr>
        <w:t>BX is with the other detainees in his room</w:t>
      </w:r>
    </w:p>
    <w:p w14:paraId="1F9BE02A" w14:textId="18B3A1FF" w:rsidR="00271BF6" w:rsidRDefault="00271BF6" w:rsidP="00F02D5A">
      <w:pPr>
        <w:numPr>
          <w:ilvl w:val="0"/>
          <w:numId w:val="20"/>
        </w:numPr>
        <w:rPr>
          <w:rFonts w:cs="Open Sans"/>
        </w:rPr>
      </w:pPr>
      <w:r w:rsidRPr="001253CA">
        <w:rPr>
          <w:rFonts w:cs="Open Sans"/>
        </w:rPr>
        <w:t xml:space="preserve">Footage records the detainees being directed to leave the room and </w:t>
      </w:r>
      <w:r w:rsidR="00AF0A73">
        <w:rPr>
          <w:rFonts w:cs="Open Sans"/>
        </w:rPr>
        <w:t xml:space="preserve">Mr </w:t>
      </w:r>
      <w:r w:rsidRPr="001253CA">
        <w:rPr>
          <w:rFonts w:cs="Open Sans"/>
        </w:rPr>
        <w:t xml:space="preserve">BX responding, ‘yep, just one sec please’, as he prepares to go. He appears calm and compliant. That ERT officer tells him, </w:t>
      </w:r>
      <w:proofErr w:type="gramStart"/>
      <w:r w:rsidRPr="001253CA">
        <w:rPr>
          <w:rFonts w:cs="Open Sans"/>
        </w:rPr>
        <w:t>‘you’re</w:t>
      </w:r>
      <w:proofErr w:type="gramEnd"/>
      <w:r w:rsidRPr="001253CA">
        <w:rPr>
          <w:rFonts w:cs="Open Sans"/>
        </w:rPr>
        <w:t xml:space="preserve"> not supposed to be smoking anyway, put your smoke out’.</w:t>
      </w:r>
    </w:p>
    <w:p w14:paraId="43F2B4BD" w14:textId="1B0799DD" w:rsidR="00271BF6" w:rsidRPr="001253CA" w:rsidRDefault="00271BF6" w:rsidP="00F02D5A">
      <w:pPr>
        <w:numPr>
          <w:ilvl w:val="0"/>
          <w:numId w:val="20"/>
        </w:numPr>
        <w:rPr>
          <w:rFonts w:cs="Open Sans"/>
        </w:rPr>
      </w:pPr>
      <w:r w:rsidRPr="001253CA">
        <w:rPr>
          <w:rFonts w:cs="Open Sans"/>
        </w:rPr>
        <w:t xml:space="preserve">A second ERT officer enters the room and appears to direct all the detainees out of the room as he holds the door open. The ERT officer is wearing sunglasses. One detainee leaves the room and is given a wand and pat search while another is standing at the door, with </w:t>
      </w:r>
      <w:r w:rsidR="00AF0A73">
        <w:rPr>
          <w:rFonts w:cs="Open Sans"/>
        </w:rPr>
        <w:t xml:space="preserve">Mr </w:t>
      </w:r>
      <w:r w:rsidRPr="001253CA">
        <w:rPr>
          <w:rFonts w:cs="Open Sans"/>
        </w:rPr>
        <w:t xml:space="preserve">BX behind him. As </w:t>
      </w:r>
      <w:r w:rsidR="00AF0A73">
        <w:rPr>
          <w:rFonts w:cs="Open Sans"/>
        </w:rPr>
        <w:t>Mr</w:t>
      </w:r>
      <w:r w:rsidRPr="001253CA">
        <w:rPr>
          <w:rFonts w:cs="Open Sans"/>
        </w:rPr>
        <w:t xml:space="preserve"> BX goes to leave, he appears to raise his right closed fist, up in front of the ERT officer’s face who is holding the door open (Figure 7). The ERT officer immediately grabs </w:t>
      </w:r>
      <w:r w:rsidR="00E25552">
        <w:rPr>
          <w:rFonts w:cs="Open Sans"/>
        </w:rPr>
        <w:t xml:space="preserve">Mr </w:t>
      </w:r>
      <w:r w:rsidRPr="001253CA">
        <w:rPr>
          <w:rFonts w:cs="Open Sans"/>
        </w:rPr>
        <w:t xml:space="preserve">BX’s head forcibly on both sides and thrusts him to the ground (Figure 8). </w:t>
      </w:r>
    </w:p>
    <w:p w14:paraId="510C7DC4" w14:textId="629ECEF1" w:rsidR="00271BF6" w:rsidRPr="001253CA" w:rsidRDefault="001D05F0" w:rsidP="001D05F0">
      <w:pPr>
        <w:ind w:left="720"/>
        <w:rPr>
          <w:rFonts w:cs="Open Sans"/>
        </w:rPr>
      </w:pPr>
      <w:r>
        <w:rPr>
          <w:noProof/>
          <w:sz w:val="20"/>
        </w:rPr>
        <w:lastRenderedPageBreak/>
        <w:drawing>
          <wp:anchor distT="0" distB="0" distL="114300" distR="114300" simplePos="0" relativeHeight="251658246" behindDoc="0" locked="0" layoutInCell="1" allowOverlap="1" wp14:anchorId="4F853B84" wp14:editId="2A57C13D">
            <wp:simplePos x="0" y="0"/>
            <wp:positionH relativeFrom="column">
              <wp:posOffset>1242060</wp:posOffset>
            </wp:positionH>
            <wp:positionV relativeFrom="paragraph">
              <wp:posOffset>71755</wp:posOffset>
            </wp:positionV>
            <wp:extent cx="3841115" cy="1871980"/>
            <wp:effectExtent l="0" t="0" r="6985" b="0"/>
            <wp:wrapSquare wrapText="bothSides"/>
            <wp:docPr id="10" name="Image 10" descr="A blurry image of a be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A blurry image of a bear&#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41115" cy="1871980"/>
                    </a:xfrm>
                    <a:prstGeom prst="rect">
                      <a:avLst/>
                    </a:prstGeom>
                  </pic:spPr>
                </pic:pic>
              </a:graphicData>
            </a:graphic>
            <wp14:sizeRelH relativeFrom="page">
              <wp14:pctWidth>0</wp14:pctWidth>
            </wp14:sizeRelH>
            <wp14:sizeRelV relativeFrom="page">
              <wp14:pctHeight>0</wp14:pctHeight>
            </wp14:sizeRelV>
          </wp:anchor>
        </w:drawing>
      </w:r>
    </w:p>
    <w:p w14:paraId="6741B080" w14:textId="65A37A2F" w:rsidR="00271BF6" w:rsidRPr="001253CA" w:rsidRDefault="00271BF6" w:rsidP="00271BF6">
      <w:pPr>
        <w:ind w:left="720"/>
        <w:jc w:val="right"/>
        <w:rPr>
          <w:rFonts w:cs="Open Sans"/>
          <w:b/>
          <w:bCs/>
        </w:rPr>
      </w:pPr>
    </w:p>
    <w:p w14:paraId="618F7170" w14:textId="77777777" w:rsidR="001D05F0" w:rsidRDefault="001D05F0" w:rsidP="00271BF6">
      <w:pPr>
        <w:pStyle w:val="ListBullet"/>
        <w:numPr>
          <w:ilvl w:val="0"/>
          <w:numId w:val="0"/>
        </w:numPr>
        <w:ind w:left="1094"/>
        <w:rPr>
          <w:b/>
          <w:bCs/>
        </w:rPr>
      </w:pPr>
    </w:p>
    <w:p w14:paraId="2EA0CA4E" w14:textId="77777777" w:rsidR="001D05F0" w:rsidRDefault="001D05F0" w:rsidP="00271BF6">
      <w:pPr>
        <w:pStyle w:val="ListBullet"/>
        <w:numPr>
          <w:ilvl w:val="0"/>
          <w:numId w:val="0"/>
        </w:numPr>
        <w:ind w:left="1094"/>
        <w:rPr>
          <w:b/>
          <w:bCs/>
        </w:rPr>
      </w:pPr>
    </w:p>
    <w:p w14:paraId="1CAF84FB" w14:textId="77777777" w:rsidR="001D05F0" w:rsidRDefault="001D05F0" w:rsidP="00271BF6">
      <w:pPr>
        <w:pStyle w:val="ListBullet"/>
        <w:numPr>
          <w:ilvl w:val="0"/>
          <w:numId w:val="0"/>
        </w:numPr>
        <w:ind w:left="1094"/>
        <w:rPr>
          <w:b/>
          <w:bCs/>
        </w:rPr>
      </w:pPr>
    </w:p>
    <w:p w14:paraId="0EB48959" w14:textId="77777777" w:rsidR="001D05F0" w:rsidRDefault="001D05F0" w:rsidP="00271BF6">
      <w:pPr>
        <w:pStyle w:val="ListBullet"/>
        <w:numPr>
          <w:ilvl w:val="0"/>
          <w:numId w:val="0"/>
        </w:numPr>
        <w:ind w:left="1094"/>
        <w:rPr>
          <w:b/>
          <w:bCs/>
        </w:rPr>
      </w:pPr>
    </w:p>
    <w:p w14:paraId="5EDE35B8" w14:textId="77777777" w:rsidR="001D05F0" w:rsidRDefault="001D05F0" w:rsidP="00271BF6">
      <w:pPr>
        <w:pStyle w:val="ListBullet"/>
        <w:numPr>
          <w:ilvl w:val="0"/>
          <w:numId w:val="0"/>
        </w:numPr>
        <w:ind w:left="1094"/>
        <w:rPr>
          <w:b/>
          <w:bCs/>
        </w:rPr>
      </w:pPr>
    </w:p>
    <w:p w14:paraId="11D511F1" w14:textId="77777777" w:rsidR="001D05F0" w:rsidRDefault="001D05F0" w:rsidP="00271BF6">
      <w:pPr>
        <w:pStyle w:val="ListBullet"/>
        <w:numPr>
          <w:ilvl w:val="0"/>
          <w:numId w:val="0"/>
        </w:numPr>
        <w:ind w:left="1094"/>
        <w:rPr>
          <w:b/>
          <w:bCs/>
        </w:rPr>
      </w:pPr>
    </w:p>
    <w:p w14:paraId="38CF36E5" w14:textId="77777777" w:rsidR="001D05F0" w:rsidRDefault="001D05F0" w:rsidP="00271BF6">
      <w:pPr>
        <w:pStyle w:val="ListBullet"/>
        <w:numPr>
          <w:ilvl w:val="0"/>
          <w:numId w:val="0"/>
        </w:numPr>
        <w:ind w:left="1094"/>
        <w:rPr>
          <w:b/>
          <w:bCs/>
        </w:rPr>
      </w:pPr>
    </w:p>
    <w:p w14:paraId="3F9C1B50" w14:textId="77777777" w:rsidR="009C0C47" w:rsidRDefault="009C0C47" w:rsidP="00870C9C">
      <w:pPr>
        <w:pStyle w:val="ListBullet"/>
        <w:numPr>
          <w:ilvl w:val="0"/>
          <w:numId w:val="0"/>
        </w:numPr>
        <w:ind w:left="1094" w:hanging="737"/>
        <w:rPr>
          <w:b/>
          <w:bCs/>
          <w:sz w:val="22"/>
          <w:szCs w:val="22"/>
        </w:rPr>
      </w:pPr>
    </w:p>
    <w:p w14:paraId="464644D8" w14:textId="3D85585F" w:rsidR="003802E1" w:rsidRPr="00E25552" w:rsidRDefault="00271BF6" w:rsidP="00E25552">
      <w:pPr>
        <w:pStyle w:val="ListBullet"/>
        <w:numPr>
          <w:ilvl w:val="0"/>
          <w:numId w:val="0"/>
        </w:numPr>
        <w:ind w:left="1094" w:firstLine="891"/>
        <w:rPr>
          <w:sz w:val="22"/>
          <w:szCs w:val="22"/>
        </w:rPr>
      </w:pPr>
      <w:r w:rsidRPr="001D05F0">
        <w:rPr>
          <w:b/>
          <w:bCs/>
          <w:sz w:val="22"/>
          <w:szCs w:val="22"/>
        </w:rPr>
        <w:t>Figure 7:</w:t>
      </w:r>
      <w:r w:rsidRPr="001D05F0">
        <w:rPr>
          <w:sz w:val="22"/>
          <w:szCs w:val="22"/>
        </w:rPr>
        <w:t xml:space="preserve"> </w:t>
      </w:r>
      <w:r w:rsidR="00E25552">
        <w:rPr>
          <w:sz w:val="22"/>
          <w:szCs w:val="22"/>
        </w:rPr>
        <w:t xml:space="preserve">Mr </w:t>
      </w:r>
      <w:r w:rsidRPr="001D05F0">
        <w:rPr>
          <w:sz w:val="22"/>
          <w:szCs w:val="22"/>
        </w:rPr>
        <w:t>BX raises his right fist up to the ERT officer</w:t>
      </w:r>
    </w:p>
    <w:p w14:paraId="7A5502F2" w14:textId="190F5E18" w:rsidR="003802E1" w:rsidRDefault="00870C9C" w:rsidP="00271BF6">
      <w:pPr>
        <w:ind w:left="720"/>
        <w:jc w:val="right"/>
        <w:rPr>
          <w:rFonts w:eastAsia="Calibri" w:cs="Open Sans"/>
          <w:b/>
          <w:bCs/>
          <w:noProof/>
          <w:kern w:val="2"/>
          <w14:ligatures w14:val="standardContextual"/>
        </w:rPr>
      </w:pPr>
      <w:r>
        <w:rPr>
          <w:noProof/>
        </w:rPr>
        <w:drawing>
          <wp:anchor distT="0" distB="0" distL="0" distR="0" simplePos="0" relativeHeight="251658247" behindDoc="1" locked="0" layoutInCell="1" allowOverlap="1" wp14:anchorId="0F8E9A79" wp14:editId="024B203D">
            <wp:simplePos x="0" y="0"/>
            <wp:positionH relativeFrom="column">
              <wp:posOffset>1244600</wp:posOffset>
            </wp:positionH>
            <wp:positionV relativeFrom="paragraph">
              <wp:posOffset>335280</wp:posOffset>
            </wp:positionV>
            <wp:extent cx="3841115" cy="1871980"/>
            <wp:effectExtent l="0" t="0" r="6985" b="0"/>
            <wp:wrapSquare wrapText="bothSides"/>
            <wp:docPr id="11" name="Image 11" descr="A black cat with a white background&#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A black cat with a white background&#10;&#10;Description automatically generated with medium confidence"/>
                    <pic:cNvPicPr/>
                  </pic:nvPicPr>
                  <pic:blipFill>
                    <a:blip r:embed="rId26" cstate="print"/>
                    <a:stretch>
                      <a:fillRect/>
                    </a:stretch>
                  </pic:blipFill>
                  <pic:spPr>
                    <a:xfrm>
                      <a:off x="0" y="0"/>
                      <a:ext cx="3841115" cy="1871980"/>
                    </a:xfrm>
                    <a:prstGeom prst="rect">
                      <a:avLst/>
                    </a:prstGeom>
                  </pic:spPr>
                </pic:pic>
              </a:graphicData>
            </a:graphic>
            <wp14:sizeRelH relativeFrom="margin">
              <wp14:pctWidth>0</wp14:pctWidth>
            </wp14:sizeRelH>
            <wp14:sizeRelV relativeFrom="margin">
              <wp14:pctHeight>0</wp14:pctHeight>
            </wp14:sizeRelV>
          </wp:anchor>
        </w:drawing>
      </w:r>
    </w:p>
    <w:p w14:paraId="30C35F0B" w14:textId="699876B8" w:rsidR="003802E1" w:rsidRPr="001253CA" w:rsidRDefault="003802E1" w:rsidP="008B0E92">
      <w:pPr>
        <w:rPr>
          <w:rFonts w:cs="Open Sans"/>
        </w:rPr>
      </w:pPr>
    </w:p>
    <w:p w14:paraId="05B42E7D" w14:textId="77777777" w:rsidR="008B0E92" w:rsidRDefault="008B0E92" w:rsidP="008B0E92">
      <w:pPr>
        <w:pStyle w:val="ListBullet"/>
        <w:numPr>
          <w:ilvl w:val="0"/>
          <w:numId w:val="0"/>
        </w:numPr>
        <w:ind w:left="1094" w:firstLine="891"/>
        <w:rPr>
          <w:b/>
          <w:bCs/>
          <w:sz w:val="22"/>
          <w:szCs w:val="22"/>
        </w:rPr>
      </w:pPr>
      <w:r>
        <w:rPr>
          <w:b/>
          <w:bCs/>
          <w:sz w:val="22"/>
          <w:szCs w:val="22"/>
        </w:rPr>
        <w:br/>
      </w:r>
    </w:p>
    <w:p w14:paraId="7486B12D" w14:textId="77777777" w:rsidR="008B0E92" w:rsidRDefault="008B0E92" w:rsidP="008B0E92">
      <w:pPr>
        <w:pStyle w:val="ListBullet"/>
        <w:numPr>
          <w:ilvl w:val="0"/>
          <w:numId w:val="0"/>
        </w:numPr>
        <w:ind w:left="1094" w:firstLine="891"/>
        <w:rPr>
          <w:b/>
          <w:bCs/>
          <w:sz w:val="22"/>
          <w:szCs w:val="22"/>
        </w:rPr>
      </w:pPr>
    </w:p>
    <w:p w14:paraId="77CFF255" w14:textId="77777777" w:rsidR="009C0C47" w:rsidRDefault="008B0E92" w:rsidP="009C0C47">
      <w:pPr>
        <w:pStyle w:val="ListBullet"/>
        <w:numPr>
          <w:ilvl w:val="0"/>
          <w:numId w:val="0"/>
        </w:numPr>
        <w:tabs>
          <w:tab w:val="clear" w:pos="1134"/>
          <w:tab w:val="left" w:pos="2127"/>
        </w:tabs>
        <w:ind w:left="1985" w:firstLine="142"/>
        <w:rPr>
          <w:b/>
          <w:bCs/>
          <w:sz w:val="22"/>
          <w:szCs w:val="22"/>
        </w:rPr>
      </w:pPr>
      <w:r>
        <w:rPr>
          <w:b/>
          <w:bCs/>
          <w:sz w:val="22"/>
          <w:szCs w:val="22"/>
        </w:rPr>
        <w:br/>
      </w:r>
      <w:r>
        <w:rPr>
          <w:b/>
          <w:bCs/>
          <w:sz w:val="22"/>
          <w:szCs w:val="22"/>
        </w:rPr>
        <w:br/>
      </w:r>
      <w:r>
        <w:rPr>
          <w:b/>
          <w:bCs/>
          <w:sz w:val="22"/>
          <w:szCs w:val="22"/>
        </w:rPr>
        <w:br/>
      </w:r>
      <w:r>
        <w:rPr>
          <w:b/>
          <w:bCs/>
          <w:sz w:val="22"/>
          <w:szCs w:val="22"/>
        </w:rPr>
        <w:br/>
      </w:r>
      <w:r>
        <w:rPr>
          <w:b/>
          <w:bCs/>
          <w:sz w:val="22"/>
          <w:szCs w:val="22"/>
        </w:rPr>
        <w:br/>
      </w:r>
    </w:p>
    <w:p w14:paraId="09D5DAD7" w14:textId="308FD32A" w:rsidR="009C0C47" w:rsidRDefault="009C0C47" w:rsidP="009C0C47">
      <w:pPr>
        <w:pStyle w:val="ListBullet"/>
        <w:numPr>
          <w:ilvl w:val="0"/>
          <w:numId w:val="0"/>
        </w:numPr>
        <w:tabs>
          <w:tab w:val="clear" w:pos="1134"/>
          <w:tab w:val="left" w:pos="2127"/>
        </w:tabs>
        <w:rPr>
          <w:b/>
          <w:bCs/>
          <w:sz w:val="22"/>
          <w:szCs w:val="22"/>
        </w:rPr>
      </w:pPr>
    </w:p>
    <w:p w14:paraId="30A774F3" w14:textId="37EFF2B8" w:rsidR="00271BF6" w:rsidRPr="009C0C47" w:rsidRDefault="009C0C47" w:rsidP="009C0C47">
      <w:pPr>
        <w:pStyle w:val="ListBullet"/>
        <w:numPr>
          <w:ilvl w:val="0"/>
          <w:numId w:val="0"/>
        </w:numPr>
        <w:tabs>
          <w:tab w:val="clear" w:pos="1134"/>
          <w:tab w:val="left" w:pos="2127"/>
        </w:tabs>
        <w:ind w:left="1094" w:hanging="737"/>
        <w:rPr>
          <w:b/>
          <w:sz w:val="22"/>
          <w:szCs w:val="22"/>
        </w:rPr>
      </w:pPr>
      <w:r>
        <w:rPr>
          <w:b/>
          <w:sz w:val="22"/>
          <w:szCs w:val="22"/>
        </w:rPr>
        <w:t xml:space="preserve">                          </w:t>
      </w:r>
      <w:r w:rsidR="00271BF6" w:rsidRPr="008B0E92">
        <w:rPr>
          <w:b/>
          <w:sz w:val="22"/>
          <w:szCs w:val="22"/>
        </w:rPr>
        <w:t>Figure 8:</w:t>
      </w:r>
      <w:r w:rsidR="00271BF6" w:rsidRPr="008B0E92">
        <w:rPr>
          <w:sz w:val="22"/>
          <w:szCs w:val="22"/>
        </w:rPr>
        <w:t xml:space="preserve"> The ERT officer grabs both sides of </w:t>
      </w:r>
      <w:r w:rsidR="00E25552">
        <w:rPr>
          <w:sz w:val="22"/>
          <w:szCs w:val="22"/>
        </w:rPr>
        <w:t xml:space="preserve">Mr </w:t>
      </w:r>
      <w:r w:rsidR="00271BF6" w:rsidRPr="008B0E92">
        <w:rPr>
          <w:sz w:val="22"/>
          <w:szCs w:val="22"/>
        </w:rPr>
        <w:t>BX’s head</w:t>
      </w:r>
    </w:p>
    <w:p w14:paraId="08CD3C2F" w14:textId="77777777" w:rsidR="00271BF6" w:rsidRPr="001253CA" w:rsidRDefault="00271BF6" w:rsidP="00F02D5A">
      <w:pPr>
        <w:numPr>
          <w:ilvl w:val="0"/>
          <w:numId w:val="20"/>
        </w:numPr>
        <w:rPr>
          <w:rFonts w:cs="Open Sans"/>
        </w:rPr>
      </w:pPr>
      <w:r w:rsidRPr="001253CA">
        <w:rPr>
          <w:rFonts w:cs="Open Sans"/>
        </w:rPr>
        <w:t xml:space="preserve">The ERT officer concerned, states in his Serco Officer’s report dated 22 November 2020: </w:t>
      </w:r>
    </w:p>
    <w:p w14:paraId="10C72259" w14:textId="355DE279" w:rsidR="00271BF6" w:rsidRPr="00271BF6" w:rsidRDefault="00271BF6" w:rsidP="0069740B">
      <w:pPr>
        <w:pStyle w:val="Style3"/>
      </w:pPr>
      <w:r w:rsidRPr="001253CA">
        <w:t xml:space="preserve">When I entered the </w:t>
      </w:r>
      <w:proofErr w:type="gramStart"/>
      <w:r w:rsidRPr="001253CA">
        <w:t>room</w:t>
      </w:r>
      <w:proofErr w:type="gramEnd"/>
      <w:r w:rsidRPr="001253CA">
        <w:t xml:space="preserve"> I saw [</w:t>
      </w:r>
      <w:proofErr w:type="spellStart"/>
      <w:r w:rsidR="005D54F1">
        <w:t>Mr</w:t>
      </w:r>
      <w:proofErr w:type="spellEnd"/>
      <w:r w:rsidR="005D54F1">
        <w:t xml:space="preserve"> </w:t>
      </w:r>
      <w:r w:rsidRPr="001253CA">
        <w:t xml:space="preserve">BX] smoking a cigarette. I then instructed him to put the smoke </w:t>
      </w:r>
      <w:proofErr w:type="gramStart"/>
      <w:r w:rsidRPr="001253CA">
        <w:t>away</w:t>
      </w:r>
      <w:proofErr w:type="gramEnd"/>
      <w:r w:rsidRPr="001253CA">
        <w:t xml:space="preserve"> but he became </w:t>
      </w:r>
      <w:proofErr w:type="gramStart"/>
      <w:r w:rsidRPr="001253CA">
        <w:t>abusive</w:t>
      </w:r>
      <w:proofErr w:type="gramEnd"/>
      <w:r w:rsidRPr="001253CA">
        <w:t xml:space="preserve"> aggressive towards me. He </w:t>
      </w:r>
      <w:proofErr w:type="gramStart"/>
      <w:r w:rsidRPr="001253CA">
        <w:t>stated</w:t>
      </w:r>
      <w:proofErr w:type="gramEnd"/>
      <w:r w:rsidRPr="001253CA">
        <w:t xml:space="preserve"> ‘What’s your fucking problem’ I then gave him a verbal warning ‘You are not allow to smoke in the room’. [</w:t>
      </w:r>
      <w:proofErr w:type="spellStart"/>
      <w:r w:rsidR="005D54F1">
        <w:t>Mr</w:t>
      </w:r>
      <w:proofErr w:type="spellEnd"/>
      <w:r w:rsidR="005D54F1">
        <w:t xml:space="preserve"> </w:t>
      </w:r>
      <w:r w:rsidRPr="001253CA">
        <w:t>BX] continued to show signs of agitation and abusive aggressive towards me. [</w:t>
      </w:r>
      <w:proofErr w:type="spellStart"/>
      <w:r w:rsidR="005D54F1">
        <w:t>Mr</w:t>
      </w:r>
      <w:proofErr w:type="spellEnd"/>
      <w:r w:rsidR="005D54F1">
        <w:t xml:space="preserve"> </w:t>
      </w:r>
      <w:r w:rsidRPr="001253CA">
        <w:t>BX] took a step forward towards me at the same time he attempted to close the door in a very aggressive manner. I then initiated a spontaneous use of force by controlling his head to the ground stabilize position as per ERT approved training technic. [ERT officer] took control of his left arm and [ERT officer] took control of his legs. [</w:t>
      </w:r>
      <w:proofErr w:type="spellStart"/>
      <w:r w:rsidR="005D54F1">
        <w:t>Mr</w:t>
      </w:r>
      <w:proofErr w:type="spellEnd"/>
      <w:r w:rsidR="005D54F1">
        <w:t xml:space="preserve"> </w:t>
      </w:r>
      <w:r w:rsidRPr="001253CA">
        <w:t>BX] resisted and refused instructions to stop resisting.</w:t>
      </w:r>
    </w:p>
    <w:p w14:paraId="60568344" w14:textId="38EB290B" w:rsidR="00271BF6" w:rsidRPr="00271BF6" w:rsidRDefault="00271BF6" w:rsidP="0069740B">
      <w:pPr>
        <w:pStyle w:val="Style3"/>
      </w:pPr>
      <w:r w:rsidRPr="001253CA">
        <w:t>[</w:t>
      </w:r>
      <w:proofErr w:type="spellStart"/>
      <w:r w:rsidR="005D54F1">
        <w:t>Mr</w:t>
      </w:r>
      <w:proofErr w:type="spellEnd"/>
      <w:r w:rsidR="005D54F1">
        <w:t xml:space="preserve"> </w:t>
      </w:r>
      <w:r w:rsidRPr="001253CA">
        <w:t xml:space="preserve">BX] managed to get hold of the wand that was on the floor and strikes [ERT officer] a few times. Through the struggle on the ground due to his </w:t>
      </w:r>
      <w:proofErr w:type="spellStart"/>
      <w:proofErr w:type="gramStart"/>
      <w:r w:rsidRPr="001253CA">
        <w:t>non compliant</w:t>
      </w:r>
      <w:proofErr w:type="spellEnd"/>
      <w:proofErr w:type="gramEnd"/>
      <w:r w:rsidRPr="001253CA">
        <w:t xml:space="preserve"> and the small space in the </w:t>
      </w:r>
      <w:proofErr w:type="gramStart"/>
      <w:r w:rsidRPr="001253CA">
        <w:t>room</w:t>
      </w:r>
      <w:proofErr w:type="gramEnd"/>
      <w:r w:rsidRPr="001253CA">
        <w:t xml:space="preserve"> I ended up controlling both arms where [</w:t>
      </w:r>
      <w:proofErr w:type="spellStart"/>
      <w:r w:rsidR="005D54F1">
        <w:t>Mr</w:t>
      </w:r>
      <w:proofErr w:type="spellEnd"/>
      <w:r w:rsidR="005D54F1">
        <w:t xml:space="preserve"> </w:t>
      </w:r>
      <w:r w:rsidRPr="001253CA">
        <w:t xml:space="preserve">BX] attempted to strike me on my left side. [ERT officer] gained control of his left arm again and removed the wand away from him.     </w:t>
      </w:r>
    </w:p>
    <w:p w14:paraId="71F6A86F" w14:textId="259D5E11" w:rsidR="00271BF6" w:rsidRPr="001253CA" w:rsidRDefault="00271BF6" w:rsidP="0069740B">
      <w:pPr>
        <w:pStyle w:val="Style3"/>
      </w:pPr>
      <w:r w:rsidRPr="001253CA">
        <w:t xml:space="preserve">[ERT officer] assisted us and took control of his legs and mechanical [restraints] </w:t>
      </w:r>
      <w:proofErr w:type="gramStart"/>
      <w:r w:rsidRPr="001253CA">
        <w:t>was</w:t>
      </w:r>
      <w:proofErr w:type="gramEnd"/>
      <w:r w:rsidRPr="001253CA">
        <w:t xml:space="preserve"> then placed on [</w:t>
      </w:r>
      <w:proofErr w:type="spellStart"/>
      <w:r w:rsidR="00624FF1">
        <w:t>Mr</w:t>
      </w:r>
      <w:proofErr w:type="spellEnd"/>
      <w:r w:rsidR="00624FF1">
        <w:t xml:space="preserve"> </w:t>
      </w:r>
      <w:r w:rsidRPr="001253CA">
        <w:t>BX]. He was then placed on recovery position while waiting for further instructions as other ERT officers tried to clear the room so we can transfer him to Property holding room.</w:t>
      </w:r>
    </w:p>
    <w:p w14:paraId="1EA89746" w14:textId="691ECBFB" w:rsidR="00271BF6" w:rsidRPr="001253CA" w:rsidRDefault="00271BF6" w:rsidP="00F02D5A">
      <w:pPr>
        <w:numPr>
          <w:ilvl w:val="0"/>
          <w:numId w:val="20"/>
        </w:numPr>
        <w:rPr>
          <w:rFonts w:cs="Open Sans"/>
        </w:rPr>
      </w:pPr>
      <w:r w:rsidRPr="001253CA">
        <w:rPr>
          <w:rFonts w:cs="Open Sans"/>
        </w:rPr>
        <w:lastRenderedPageBreak/>
        <w:t xml:space="preserve">I note that footage shows this ERT officer speaking to </w:t>
      </w:r>
      <w:r w:rsidR="00624FF1">
        <w:rPr>
          <w:rFonts w:cs="Open Sans"/>
        </w:rPr>
        <w:t xml:space="preserve">Mr </w:t>
      </w:r>
      <w:r w:rsidRPr="001253CA">
        <w:rPr>
          <w:rFonts w:cs="Open Sans"/>
        </w:rPr>
        <w:t xml:space="preserve">BX when he first enters the room, however there is a delay in the sound commencing and his conversation is not clearly recorded. </w:t>
      </w:r>
    </w:p>
    <w:p w14:paraId="44C0101A" w14:textId="6125A962" w:rsidR="00271BF6" w:rsidRPr="001253CA" w:rsidRDefault="00271BF6" w:rsidP="00F02D5A">
      <w:pPr>
        <w:numPr>
          <w:ilvl w:val="0"/>
          <w:numId w:val="20"/>
        </w:numPr>
        <w:rPr>
          <w:rFonts w:cs="Open Sans"/>
        </w:rPr>
      </w:pPr>
      <w:r w:rsidRPr="001253CA">
        <w:rPr>
          <w:rFonts w:cs="Open Sans"/>
        </w:rPr>
        <w:t xml:space="preserve">I also note that the footage does not appear to show </w:t>
      </w:r>
      <w:r w:rsidR="00624FF1">
        <w:rPr>
          <w:rFonts w:cs="Open Sans"/>
        </w:rPr>
        <w:t xml:space="preserve">Mr </w:t>
      </w:r>
      <w:r w:rsidRPr="001253CA">
        <w:rPr>
          <w:rFonts w:cs="Open Sans"/>
        </w:rPr>
        <w:t xml:space="preserve">BX attempting to close the door, or that he did so in a ‘very aggressive manner’. It is the ERT officer that is the one holding the door open the whole time as </w:t>
      </w:r>
      <w:r w:rsidR="00624FF1">
        <w:rPr>
          <w:rFonts w:cs="Open Sans"/>
        </w:rPr>
        <w:t xml:space="preserve">Mr </w:t>
      </w:r>
      <w:r w:rsidRPr="001253CA">
        <w:rPr>
          <w:rFonts w:cs="Open Sans"/>
        </w:rPr>
        <w:t xml:space="preserve">BX goes to leave. </w:t>
      </w:r>
    </w:p>
    <w:p w14:paraId="17368DB7" w14:textId="2E798F97" w:rsidR="00271BF6" w:rsidRPr="001253CA" w:rsidRDefault="00271BF6" w:rsidP="00F02D5A">
      <w:pPr>
        <w:numPr>
          <w:ilvl w:val="0"/>
          <w:numId w:val="20"/>
        </w:numPr>
        <w:rPr>
          <w:rFonts w:cs="Open Sans"/>
        </w:rPr>
      </w:pPr>
      <w:r w:rsidRPr="001253CA">
        <w:rPr>
          <w:rFonts w:cs="Open Sans"/>
        </w:rPr>
        <w:t xml:space="preserve">After the use of force incident occurs and </w:t>
      </w:r>
      <w:r w:rsidR="00AF55A5">
        <w:rPr>
          <w:rFonts w:cs="Open Sans"/>
        </w:rPr>
        <w:t xml:space="preserve">Mr </w:t>
      </w:r>
      <w:r w:rsidRPr="001253CA">
        <w:rPr>
          <w:rFonts w:cs="Open Sans"/>
        </w:rPr>
        <w:t xml:space="preserve">BX is brought to the ground, the detainee who is at the door appears to go to his aid and asks the ERT officer, ‘what are you doing?’. ERT officers attempt to restrain that detainee. </w:t>
      </w:r>
    </w:p>
    <w:p w14:paraId="22E757E9" w14:textId="4E1163DB" w:rsidR="00271BF6" w:rsidRPr="001253CA" w:rsidRDefault="00271BF6" w:rsidP="00F02D5A">
      <w:pPr>
        <w:numPr>
          <w:ilvl w:val="0"/>
          <w:numId w:val="20"/>
        </w:numPr>
        <w:rPr>
          <w:rFonts w:cs="Open Sans"/>
        </w:rPr>
      </w:pPr>
      <w:r w:rsidRPr="001253CA">
        <w:rPr>
          <w:rFonts w:cs="Open Sans"/>
        </w:rPr>
        <w:t xml:space="preserve">Footage from another angle appears to show approximately </w:t>
      </w:r>
      <w:r w:rsidR="000F379B">
        <w:rPr>
          <w:rFonts w:cs="Open Sans"/>
        </w:rPr>
        <w:t>seven</w:t>
      </w:r>
      <w:r w:rsidR="007F3365">
        <w:rPr>
          <w:rFonts w:cs="Open Sans"/>
        </w:rPr>
        <w:t xml:space="preserve"> </w:t>
      </w:r>
      <w:r w:rsidRPr="001253CA">
        <w:rPr>
          <w:rFonts w:cs="Open Sans"/>
        </w:rPr>
        <w:t xml:space="preserve">of the ERT officers quickly entering the room. One of those officers is tasked with holding the door open. Another detainee is seen to walk by the door, peer in and enter. The ERT officer who is now holding the door, goes to restrain this detainee. There are now three detainees being restrained in the room, including </w:t>
      </w:r>
      <w:r w:rsidR="00AF55A5">
        <w:rPr>
          <w:rFonts w:cs="Open Sans"/>
        </w:rPr>
        <w:t xml:space="preserve">Mr </w:t>
      </w:r>
      <w:r w:rsidRPr="001253CA">
        <w:rPr>
          <w:rFonts w:cs="Open Sans"/>
        </w:rPr>
        <w:t xml:space="preserve">BX. </w:t>
      </w:r>
      <w:r w:rsidRPr="001253CA">
        <w:rPr>
          <w:rFonts w:cs="Open Sans"/>
          <w:b/>
          <w:bCs/>
          <w:i/>
          <w:iCs/>
        </w:rPr>
        <w:t xml:space="preserve"> </w:t>
      </w:r>
    </w:p>
    <w:p w14:paraId="2024427D" w14:textId="0C30A386" w:rsidR="00271BF6" w:rsidRPr="001253CA" w:rsidRDefault="00271BF6" w:rsidP="00F02D5A">
      <w:pPr>
        <w:numPr>
          <w:ilvl w:val="0"/>
          <w:numId w:val="20"/>
        </w:numPr>
        <w:rPr>
          <w:rFonts w:cs="Open Sans"/>
        </w:rPr>
      </w:pPr>
      <w:r w:rsidRPr="001253CA">
        <w:rPr>
          <w:rFonts w:cs="Open Sans"/>
        </w:rPr>
        <w:t xml:space="preserve">At this point, the footage turns shaky as all </w:t>
      </w:r>
      <w:r w:rsidR="00204E68">
        <w:rPr>
          <w:rFonts w:cs="Open Sans"/>
        </w:rPr>
        <w:t>three</w:t>
      </w:r>
      <w:r w:rsidR="007F3365">
        <w:rPr>
          <w:rFonts w:cs="Open Sans"/>
        </w:rPr>
        <w:t xml:space="preserve"> </w:t>
      </w:r>
      <w:r w:rsidRPr="001253CA">
        <w:rPr>
          <w:rFonts w:cs="Open Sans"/>
        </w:rPr>
        <w:t xml:space="preserve">detainees are ground stabilised. The door of the room is now seen closed. It is difficult to determine exactly what actions are being taken, given the number of officers exercising force and their positioning in a way that blocks visibility of their specific actions and of </w:t>
      </w:r>
      <w:r w:rsidR="00E2023D">
        <w:rPr>
          <w:rFonts w:cs="Open Sans"/>
        </w:rPr>
        <w:t xml:space="preserve">Mr </w:t>
      </w:r>
      <w:r w:rsidRPr="001253CA">
        <w:rPr>
          <w:rFonts w:cs="Open Sans"/>
        </w:rPr>
        <w:t xml:space="preserve">BX. Both the detainees and ERT officers can be heard yelling in the background. The ERT officers can be heard yelling out, ‘stop resisting’. </w:t>
      </w:r>
    </w:p>
    <w:p w14:paraId="2A177BC5" w14:textId="77777777" w:rsidR="00271BF6" w:rsidRPr="001253CA" w:rsidRDefault="00271BF6" w:rsidP="00F02D5A">
      <w:pPr>
        <w:numPr>
          <w:ilvl w:val="0"/>
          <w:numId w:val="20"/>
        </w:numPr>
        <w:rPr>
          <w:rFonts w:cs="Open Sans"/>
        </w:rPr>
      </w:pPr>
      <w:r w:rsidRPr="001253CA">
        <w:rPr>
          <w:rFonts w:cs="Open Sans"/>
        </w:rPr>
        <w:t xml:space="preserve">A Serco Officer’s report dated 22 November 2020, records: </w:t>
      </w:r>
    </w:p>
    <w:p w14:paraId="6852BA8D" w14:textId="1B2B32FB" w:rsidR="00271BF6" w:rsidRPr="0069740B" w:rsidRDefault="00271BF6" w:rsidP="0069740B">
      <w:pPr>
        <w:pStyle w:val="Style3"/>
      </w:pPr>
      <w:r w:rsidRPr="001253CA">
        <w:t xml:space="preserve">At approximately 1602 </w:t>
      </w:r>
      <w:proofErr w:type="spellStart"/>
      <w:r w:rsidRPr="001253CA">
        <w:t>hrs</w:t>
      </w:r>
      <w:proofErr w:type="spellEnd"/>
      <w:r w:rsidRPr="001253CA">
        <w:t xml:space="preserve"> I heard commotion coming from the room to which I entered and witnessed a struggle for control by [ERT officer] on [</w:t>
      </w:r>
      <w:proofErr w:type="spellStart"/>
      <w:r w:rsidR="00E2023D">
        <w:t>Mr</w:t>
      </w:r>
      <w:proofErr w:type="spellEnd"/>
      <w:r w:rsidR="00E2023D">
        <w:t xml:space="preserve"> </w:t>
      </w:r>
      <w:r w:rsidRPr="001253CA">
        <w:t xml:space="preserve">BX] … I assisted [ERT officer] by ground </w:t>
      </w:r>
      <w:proofErr w:type="spellStart"/>
      <w:r w:rsidRPr="001253CA">
        <w:t>stabilising</w:t>
      </w:r>
      <w:proofErr w:type="spellEnd"/>
      <w:r w:rsidRPr="001253CA">
        <w:t xml:space="preserve"> [</w:t>
      </w:r>
      <w:proofErr w:type="spellStart"/>
      <w:r w:rsidR="00E2023D">
        <w:t>Mr</w:t>
      </w:r>
      <w:proofErr w:type="spellEnd"/>
      <w:r w:rsidR="00E2023D">
        <w:t xml:space="preserve"> </w:t>
      </w:r>
      <w:r w:rsidRPr="001253CA">
        <w:t xml:space="preserve">BX] and I attempted to secure his left arm and apply Mechanical Restraints (MR’s). I witnessed [ERT officer] </w:t>
      </w:r>
      <w:proofErr w:type="gramStart"/>
      <w:r w:rsidRPr="001253CA">
        <w:t>was</w:t>
      </w:r>
      <w:proofErr w:type="gramEnd"/>
      <w:r w:rsidRPr="001253CA">
        <w:t xml:space="preserve"> situated on top of [</w:t>
      </w:r>
      <w:proofErr w:type="spellStart"/>
      <w:r w:rsidR="00E2023D">
        <w:t>Mr</w:t>
      </w:r>
      <w:proofErr w:type="spellEnd"/>
      <w:r w:rsidR="00E2023D">
        <w:t xml:space="preserve"> </w:t>
      </w:r>
      <w:r w:rsidRPr="001253CA">
        <w:t xml:space="preserve">BX] attempting to gain control and secure the right arm. </w:t>
      </w:r>
    </w:p>
    <w:p w14:paraId="44D84602" w14:textId="5238190B" w:rsidR="00271BF6" w:rsidRPr="001253CA" w:rsidRDefault="00271BF6" w:rsidP="0069740B">
      <w:pPr>
        <w:pStyle w:val="Style3"/>
      </w:pPr>
      <w:r w:rsidRPr="001253CA">
        <w:t xml:space="preserve">At that </w:t>
      </w:r>
      <w:proofErr w:type="gramStart"/>
      <w:r w:rsidRPr="001253CA">
        <w:t>time</w:t>
      </w:r>
      <w:proofErr w:type="gramEnd"/>
      <w:r w:rsidRPr="001253CA">
        <w:t xml:space="preserve"> I saw [detainee] enter the room in an aggressive manner to which I saw [ERT officer] assist [Team Leader] to ground </w:t>
      </w:r>
      <w:proofErr w:type="spellStart"/>
      <w:r w:rsidRPr="001253CA">
        <w:t>stabilise</w:t>
      </w:r>
      <w:proofErr w:type="spellEnd"/>
      <w:r w:rsidRPr="001253CA">
        <w:t xml:space="preserve"> [detainee] and bumped into me as I lost control of [</w:t>
      </w:r>
      <w:proofErr w:type="spellStart"/>
      <w:r w:rsidR="00760CF6">
        <w:t>Mr</w:t>
      </w:r>
      <w:proofErr w:type="spellEnd"/>
      <w:r w:rsidR="00760CF6">
        <w:t xml:space="preserve"> </w:t>
      </w:r>
      <w:r w:rsidRPr="001253CA">
        <w:t>BX’s] arm. I then witnessed [</w:t>
      </w:r>
      <w:proofErr w:type="spellStart"/>
      <w:r w:rsidR="00760CF6">
        <w:t>Mr</w:t>
      </w:r>
      <w:proofErr w:type="spellEnd"/>
      <w:r w:rsidR="00760CF6">
        <w:t xml:space="preserve"> </w:t>
      </w:r>
      <w:r w:rsidRPr="001253CA">
        <w:t>BX] who was situated on the ground take control of the wand which dropped out of my left pocket and used it as a weapon to strike [ERT officer]. I witnessed [</w:t>
      </w:r>
      <w:proofErr w:type="spellStart"/>
      <w:r w:rsidR="00760CF6">
        <w:t>Mr</w:t>
      </w:r>
      <w:proofErr w:type="spellEnd"/>
      <w:r w:rsidR="00760CF6">
        <w:t xml:space="preserve"> </w:t>
      </w:r>
      <w:r w:rsidRPr="001253CA">
        <w:t xml:space="preserve">BX] strike </w:t>
      </w:r>
      <w:proofErr w:type="gramStart"/>
      <w:r w:rsidRPr="001253CA">
        <w:t>my</w:t>
      </w:r>
      <w:proofErr w:type="gramEnd"/>
      <w:r w:rsidRPr="001253CA">
        <w:t xml:space="preserve"> left side of my lower leg on multiple occasions. Due to the threat that was presented I initiated an open hand strike towards the chest area of [</w:t>
      </w:r>
      <w:proofErr w:type="spellStart"/>
      <w:r w:rsidR="00760CF6">
        <w:t>Mr</w:t>
      </w:r>
      <w:proofErr w:type="spellEnd"/>
      <w:r w:rsidR="00760CF6">
        <w:t xml:space="preserve"> </w:t>
      </w:r>
      <w:r w:rsidRPr="001253CA">
        <w:t xml:space="preserve">BX] and attempted to secure and gain control of the right wrist. Through the struggle, [ERT officer] and I were able to secure both arms and gain control in which the wand was retrieved. </w:t>
      </w:r>
    </w:p>
    <w:p w14:paraId="38029F95" w14:textId="407887A7" w:rsidR="00271BF6" w:rsidRPr="001253CA" w:rsidRDefault="00271BF6" w:rsidP="0069740B">
      <w:pPr>
        <w:pStyle w:val="Style3"/>
      </w:pPr>
      <w:r w:rsidRPr="001253CA">
        <w:t>At approximately 1605hrs, I applied MR’s to both wrists with the assistance of [T/L] and [ERT officer] … to [</w:t>
      </w:r>
      <w:proofErr w:type="spellStart"/>
      <w:r w:rsidR="00DC5B24">
        <w:t>Mr</w:t>
      </w:r>
      <w:proofErr w:type="spellEnd"/>
      <w:r w:rsidR="00DC5B24">
        <w:t xml:space="preserve"> </w:t>
      </w:r>
      <w:r w:rsidRPr="001253CA">
        <w:t xml:space="preserve">BX] who appeared to be </w:t>
      </w:r>
      <w:proofErr w:type="gramStart"/>
      <w:r w:rsidRPr="001253CA">
        <w:t>unconscious</w:t>
      </w:r>
      <w:proofErr w:type="gramEnd"/>
      <w:r w:rsidRPr="001253CA">
        <w:t xml:space="preserve"> but breathing was in recovery position to allow for breathing. </w:t>
      </w:r>
    </w:p>
    <w:p w14:paraId="57B0DD56" w14:textId="496F0528" w:rsidR="00271BF6" w:rsidRPr="001253CA" w:rsidRDefault="00271BF6" w:rsidP="00F02D5A">
      <w:pPr>
        <w:numPr>
          <w:ilvl w:val="0"/>
          <w:numId w:val="20"/>
        </w:numPr>
        <w:rPr>
          <w:rFonts w:cs="Open Sans"/>
        </w:rPr>
      </w:pPr>
      <w:r w:rsidRPr="001253CA">
        <w:rPr>
          <w:rFonts w:cs="Open Sans"/>
        </w:rPr>
        <w:t xml:space="preserve">The footage, although blurry, shows </w:t>
      </w:r>
      <w:r w:rsidR="00DC5B24">
        <w:rPr>
          <w:rFonts w:cs="Open Sans"/>
        </w:rPr>
        <w:t xml:space="preserve">Mr </w:t>
      </w:r>
      <w:r w:rsidRPr="001253CA">
        <w:rPr>
          <w:rFonts w:cs="Open Sans"/>
        </w:rPr>
        <w:t xml:space="preserve">BX appearing to hold a wand in his hand and waving it at the ERT officer who is restraining him (Figure 9). The </w:t>
      </w:r>
      <w:r w:rsidRPr="001253CA">
        <w:rPr>
          <w:rFonts w:cs="Open Sans"/>
        </w:rPr>
        <w:lastRenderedPageBreak/>
        <w:t xml:space="preserve">ERT officer is heard saying, ‘you hit me, you just hit me’. </w:t>
      </w:r>
      <w:r w:rsidR="00DC5B24">
        <w:rPr>
          <w:rFonts w:cs="Open Sans"/>
        </w:rPr>
        <w:t xml:space="preserve">Mr </w:t>
      </w:r>
      <w:r w:rsidRPr="001253CA">
        <w:rPr>
          <w:rFonts w:cs="Open Sans"/>
        </w:rPr>
        <w:t xml:space="preserve">BX appears to yell out, ‘you </w:t>
      </w:r>
      <w:proofErr w:type="gramStart"/>
      <w:r w:rsidRPr="001253CA">
        <w:rPr>
          <w:rFonts w:cs="Open Sans"/>
        </w:rPr>
        <w:t>fucking</w:t>
      </w:r>
      <w:proofErr w:type="gramEnd"/>
      <w:r w:rsidRPr="001253CA">
        <w:rPr>
          <w:rFonts w:cs="Open Sans"/>
        </w:rPr>
        <w:t xml:space="preserve"> punch me, you fucking dog’. Shortly afterwards, the ERT officer appears to be over </w:t>
      </w:r>
      <w:r w:rsidR="00142F43">
        <w:rPr>
          <w:rFonts w:cs="Open Sans"/>
        </w:rPr>
        <w:t xml:space="preserve">Mr </w:t>
      </w:r>
      <w:r w:rsidRPr="001253CA">
        <w:rPr>
          <w:rFonts w:cs="Open Sans"/>
        </w:rPr>
        <w:t xml:space="preserve">BX’s body, holding him down with his back to the camera. Another ERT officer moves in and directs </w:t>
      </w:r>
      <w:r w:rsidR="00142F43">
        <w:rPr>
          <w:rFonts w:cs="Open Sans"/>
        </w:rPr>
        <w:t xml:space="preserve">Mr </w:t>
      </w:r>
      <w:r w:rsidRPr="001253CA">
        <w:rPr>
          <w:rFonts w:cs="Open Sans"/>
        </w:rPr>
        <w:t xml:space="preserve">BX to ‘give me your fucking arm’. Handcuffs are applied as his arms are held behind his back. An ERT officer asks </w:t>
      </w:r>
      <w:r w:rsidR="00F6159A">
        <w:rPr>
          <w:rFonts w:cs="Open Sans"/>
        </w:rPr>
        <w:t xml:space="preserve">Mr </w:t>
      </w:r>
      <w:r w:rsidRPr="001253CA">
        <w:rPr>
          <w:rFonts w:cs="Open Sans"/>
        </w:rPr>
        <w:t xml:space="preserve">BX if he is breathing, </w:t>
      </w:r>
      <w:r w:rsidR="00F6159A">
        <w:rPr>
          <w:rFonts w:cs="Open Sans"/>
        </w:rPr>
        <w:t xml:space="preserve">but </w:t>
      </w:r>
      <w:r w:rsidRPr="001253CA">
        <w:rPr>
          <w:rFonts w:cs="Open Sans"/>
        </w:rPr>
        <w:t>no response is heard.</w:t>
      </w:r>
    </w:p>
    <w:p w14:paraId="37280DA6" w14:textId="4325BC8D" w:rsidR="00271BF6" w:rsidRPr="001253CA" w:rsidRDefault="00F6159A" w:rsidP="00271BF6">
      <w:pPr>
        <w:ind w:left="720"/>
        <w:jc w:val="right"/>
        <w:rPr>
          <w:rFonts w:cs="Open Sans"/>
          <w:b/>
          <w:bCs/>
        </w:rPr>
      </w:pPr>
      <w:r w:rsidRPr="001253CA">
        <w:rPr>
          <w:rFonts w:eastAsia="Calibri" w:cs="Open Sans"/>
          <w:b/>
          <w:bCs/>
          <w:noProof/>
          <w:kern w:val="2"/>
          <w14:ligatures w14:val="standardContextual"/>
        </w:rPr>
        <w:drawing>
          <wp:anchor distT="0" distB="0" distL="114300" distR="114300" simplePos="0" relativeHeight="251658248" behindDoc="0" locked="0" layoutInCell="1" allowOverlap="1" wp14:anchorId="7B20667D" wp14:editId="6F4B59FC">
            <wp:simplePos x="0" y="0"/>
            <wp:positionH relativeFrom="column">
              <wp:posOffset>1242060</wp:posOffset>
            </wp:positionH>
            <wp:positionV relativeFrom="paragraph">
              <wp:posOffset>5862</wp:posOffset>
            </wp:positionV>
            <wp:extent cx="3841200" cy="1890000"/>
            <wp:effectExtent l="0" t="0" r="6985" b="0"/>
            <wp:wrapSquare wrapText="bothSides"/>
            <wp:docPr id="1336255488" name="Picture 1336255488" descr="A blurry image of a person holding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55488" name="Picture 1336255488" descr="A blurry image of a person holding a bottl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41200" cy="189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167DC" w14:textId="77777777" w:rsidR="00F6159A" w:rsidRDefault="00F6159A" w:rsidP="0069740B">
      <w:pPr>
        <w:pStyle w:val="ListBullet"/>
        <w:numPr>
          <w:ilvl w:val="0"/>
          <w:numId w:val="0"/>
        </w:numPr>
        <w:ind w:left="1094"/>
        <w:rPr>
          <w:b/>
          <w:bCs/>
        </w:rPr>
      </w:pPr>
    </w:p>
    <w:p w14:paraId="3655F7BC" w14:textId="77777777" w:rsidR="00F6159A" w:rsidRDefault="00F6159A" w:rsidP="0069740B">
      <w:pPr>
        <w:pStyle w:val="ListBullet"/>
        <w:numPr>
          <w:ilvl w:val="0"/>
          <w:numId w:val="0"/>
        </w:numPr>
        <w:ind w:left="1094"/>
        <w:rPr>
          <w:b/>
          <w:bCs/>
        </w:rPr>
      </w:pPr>
    </w:p>
    <w:p w14:paraId="766453AA" w14:textId="77777777" w:rsidR="00F6159A" w:rsidRDefault="00F6159A" w:rsidP="0069740B">
      <w:pPr>
        <w:pStyle w:val="ListBullet"/>
        <w:numPr>
          <w:ilvl w:val="0"/>
          <w:numId w:val="0"/>
        </w:numPr>
        <w:ind w:left="1094"/>
        <w:rPr>
          <w:b/>
          <w:bCs/>
        </w:rPr>
      </w:pPr>
    </w:p>
    <w:p w14:paraId="1FF19D58" w14:textId="77777777" w:rsidR="00F6159A" w:rsidRDefault="00F6159A" w:rsidP="0069740B">
      <w:pPr>
        <w:pStyle w:val="ListBullet"/>
        <w:numPr>
          <w:ilvl w:val="0"/>
          <w:numId w:val="0"/>
        </w:numPr>
        <w:ind w:left="1094"/>
        <w:rPr>
          <w:b/>
          <w:bCs/>
        </w:rPr>
      </w:pPr>
    </w:p>
    <w:p w14:paraId="63C09AFE" w14:textId="77777777" w:rsidR="00F6159A" w:rsidRDefault="00F6159A" w:rsidP="0069740B">
      <w:pPr>
        <w:pStyle w:val="ListBullet"/>
        <w:numPr>
          <w:ilvl w:val="0"/>
          <w:numId w:val="0"/>
        </w:numPr>
        <w:ind w:left="1094"/>
        <w:rPr>
          <w:b/>
          <w:bCs/>
        </w:rPr>
      </w:pPr>
    </w:p>
    <w:p w14:paraId="781CB4D6" w14:textId="77777777" w:rsidR="00F6159A" w:rsidRDefault="00F6159A" w:rsidP="0069740B">
      <w:pPr>
        <w:pStyle w:val="ListBullet"/>
        <w:numPr>
          <w:ilvl w:val="0"/>
          <w:numId w:val="0"/>
        </w:numPr>
        <w:ind w:left="1094"/>
        <w:rPr>
          <w:b/>
          <w:bCs/>
        </w:rPr>
      </w:pPr>
    </w:p>
    <w:p w14:paraId="7816048D" w14:textId="77777777" w:rsidR="00F6159A" w:rsidRDefault="00F6159A" w:rsidP="0069740B">
      <w:pPr>
        <w:pStyle w:val="ListBullet"/>
        <w:numPr>
          <w:ilvl w:val="0"/>
          <w:numId w:val="0"/>
        </w:numPr>
        <w:ind w:left="1094"/>
        <w:rPr>
          <w:b/>
          <w:bCs/>
        </w:rPr>
      </w:pPr>
    </w:p>
    <w:p w14:paraId="0E66EDFF" w14:textId="77777777" w:rsidR="00F6159A" w:rsidRDefault="00F6159A" w:rsidP="0069740B">
      <w:pPr>
        <w:pStyle w:val="ListBullet"/>
        <w:numPr>
          <w:ilvl w:val="0"/>
          <w:numId w:val="0"/>
        </w:numPr>
        <w:ind w:left="1094"/>
        <w:rPr>
          <w:b/>
          <w:bCs/>
        </w:rPr>
      </w:pPr>
    </w:p>
    <w:p w14:paraId="10FE9BDF" w14:textId="77777777" w:rsidR="00CA411E" w:rsidRDefault="00CA411E" w:rsidP="00F6159A">
      <w:pPr>
        <w:pStyle w:val="ListBullet"/>
        <w:numPr>
          <w:ilvl w:val="0"/>
          <w:numId w:val="0"/>
        </w:numPr>
        <w:ind w:left="1985"/>
        <w:rPr>
          <w:b/>
          <w:bCs/>
          <w:sz w:val="22"/>
          <w:szCs w:val="22"/>
        </w:rPr>
      </w:pPr>
    </w:p>
    <w:p w14:paraId="497A1CC5" w14:textId="77777777" w:rsidR="00CA411E" w:rsidRDefault="00CA411E" w:rsidP="00F6159A">
      <w:pPr>
        <w:pStyle w:val="ListBullet"/>
        <w:numPr>
          <w:ilvl w:val="0"/>
          <w:numId w:val="0"/>
        </w:numPr>
        <w:ind w:left="1985"/>
        <w:rPr>
          <w:b/>
          <w:bCs/>
          <w:sz w:val="22"/>
          <w:szCs w:val="22"/>
        </w:rPr>
      </w:pPr>
    </w:p>
    <w:p w14:paraId="16A0783E" w14:textId="12AE72E3" w:rsidR="00271BF6" w:rsidRPr="00205489" w:rsidRDefault="00271BF6" w:rsidP="00F6159A">
      <w:pPr>
        <w:pStyle w:val="ListBullet"/>
        <w:numPr>
          <w:ilvl w:val="0"/>
          <w:numId w:val="0"/>
        </w:numPr>
        <w:ind w:left="1985"/>
        <w:rPr>
          <w:sz w:val="22"/>
          <w:szCs w:val="22"/>
        </w:rPr>
      </w:pPr>
      <w:r w:rsidRPr="00205489">
        <w:rPr>
          <w:b/>
          <w:bCs/>
          <w:sz w:val="22"/>
          <w:szCs w:val="22"/>
        </w:rPr>
        <w:t>Figure 9:</w:t>
      </w:r>
      <w:r w:rsidRPr="00205489">
        <w:rPr>
          <w:sz w:val="22"/>
          <w:szCs w:val="22"/>
        </w:rPr>
        <w:t xml:space="preserve"> </w:t>
      </w:r>
      <w:r w:rsidR="00F6159A" w:rsidRPr="00205489">
        <w:rPr>
          <w:sz w:val="22"/>
          <w:szCs w:val="22"/>
        </w:rPr>
        <w:t xml:space="preserve">Mr </w:t>
      </w:r>
      <w:r w:rsidRPr="00205489">
        <w:rPr>
          <w:sz w:val="22"/>
          <w:szCs w:val="22"/>
        </w:rPr>
        <w:t>BX appears to be holding a wand</w:t>
      </w:r>
    </w:p>
    <w:p w14:paraId="25319B52" w14:textId="7278A687" w:rsidR="00271BF6" w:rsidRPr="001253CA" w:rsidRDefault="00271BF6" w:rsidP="00F02D5A">
      <w:pPr>
        <w:numPr>
          <w:ilvl w:val="0"/>
          <w:numId w:val="20"/>
        </w:numPr>
        <w:rPr>
          <w:rFonts w:cs="Open Sans"/>
        </w:rPr>
      </w:pPr>
      <w:r w:rsidRPr="001253CA">
        <w:rPr>
          <w:rFonts w:cs="Open Sans"/>
        </w:rPr>
        <w:t xml:space="preserve">After a few minutes, the detainees appear to have been stabilised and clearer footage shows that one detainee is positioned near the front door and another to the rear of the room. </w:t>
      </w:r>
      <w:r w:rsidR="00491839">
        <w:rPr>
          <w:rFonts w:cs="Open Sans"/>
        </w:rPr>
        <w:t xml:space="preserve">Mr </w:t>
      </w:r>
      <w:r w:rsidRPr="001253CA">
        <w:rPr>
          <w:rFonts w:cs="Open Sans"/>
        </w:rPr>
        <w:t xml:space="preserve">BX is lying on the ground at the right of the door. His eyes are </w:t>
      </w:r>
      <w:proofErr w:type="gramStart"/>
      <w:r w:rsidRPr="001253CA">
        <w:rPr>
          <w:rFonts w:cs="Open Sans"/>
        </w:rPr>
        <w:t>closed</w:t>
      </w:r>
      <w:proofErr w:type="gramEnd"/>
      <w:r w:rsidRPr="001253CA">
        <w:rPr>
          <w:rFonts w:cs="Open Sans"/>
        </w:rPr>
        <w:t xml:space="preserve"> and he appears motionless. An ERT officer looks towards him while another ERT officer comments, ‘he’s breathing, he’s fantastic’. </w:t>
      </w:r>
    </w:p>
    <w:p w14:paraId="2305EF0B" w14:textId="77777777" w:rsidR="0069740B" w:rsidRPr="001253CA" w:rsidRDefault="0069740B" w:rsidP="00F02D5A">
      <w:pPr>
        <w:numPr>
          <w:ilvl w:val="0"/>
          <w:numId w:val="20"/>
        </w:numPr>
        <w:rPr>
          <w:rFonts w:cs="Open Sans"/>
        </w:rPr>
      </w:pPr>
      <w:r w:rsidRPr="001253CA">
        <w:rPr>
          <w:rFonts w:cs="Open Sans"/>
        </w:rPr>
        <w:t xml:space="preserve">ERT officers prepare to remove the detainees from the room and to clear a pathway for them. Footage switches to other detainees in the compound, who are seen gathered outside the screen door of the common area. They are directed to move away. </w:t>
      </w:r>
    </w:p>
    <w:p w14:paraId="35B03517" w14:textId="7636D67E" w:rsidR="0069740B" w:rsidRPr="001253CA" w:rsidRDefault="0069740B" w:rsidP="00F02D5A">
      <w:pPr>
        <w:numPr>
          <w:ilvl w:val="0"/>
          <w:numId w:val="20"/>
        </w:numPr>
        <w:rPr>
          <w:rFonts w:cs="Open Sans"/>
        </w:rPr>
      </w:pPr>
      <w:r w:rsidRPr="001253CA">
        <w:rPr>
          <w:rFonts w:cs="Open Sans"/>
        </w:rPr>
        <w:t xml:space="preserve">The first detainee is led out, followed by the second. </w:t>
      </w:r>
      <w:r w:rsidR="00C23395">
        <w:rPr>
          <w:rFonts w:cs="Open Sans"/>
        </w:rPr>
        <w:t xml:space="preserve">Mr </w:t>
      </w:r>
      <w:r w:rsidRPr="001253CA">
        <w:rPr>
          <w:rFonts w:cs="Open Sans"/>
        </w:rPr>
        <w:t xml:space="preserve">BX is the last detainee to be removed at approximately 4.12 pm. </w:t>
      </w:r>
    </w:p>
    <w:p w14:paraId="43F180C2" w14:textId="73361683" w:rsidR="0069740B" w:rsidRPr="001253CA" w:rsidRDefault="0069740B" w:rsidP="00F02D5A">
      <w:pPr>
        <w:numPr>
          <w:ilvl w:val="0"/>
          <w:numId w:val="20"/>
        </w:numPr>
        <w:rPr>
          <w:rFonts w:cs="Open Sans"/>
        </w:rPr>
      </w:pPr>
      <w:r w:rsidRPr="001253CA">
        <w:rPr>
          <w:rFonts w:cs="Open Sans"/>
        </w:rPr>
        <w:t xml:space="preserve">The ERT officers lift </w:t>
      </w:r>
      <w:r w:rsidR="00C23395">
        <w:rPr>
          <w:rFonts w:cs="Open Sans"/>
        </w:rPr>
        <w:t>Mr</w:t>
      </w:r>
      <w:r w:rsidRPr="001253CA">
        <w:rPr>
          <w:rFonts w:cs="Open Sans"/>
        </w:rPr>
        <w:t xml:space="preserve"> BX up but he appears </w:t>
      </w:r>
      <w:proofErr w:type="gramStart"/>
      <w:r w:rsidRPr="001253CA">
        <w:rPr>
          <w:rFonts w:cs="Open Sans"/>
        </w:rPr>
        <w:t>limp</w:t>
      </w:r>
      <w:proofErr w:type="gramEnd"/>
      <w:r w:rsidRPr="001253CA">
        <w:rPr>
          <w:rFonts w:cs="Open Sans"/>
        </w:rPr>
        <w:t xml:space="preserve"> and his head hangs forward. There is some blood around his nose. He is directed to stand up. As ERT officers lead him outside, he appears to fall to the ground. Another detainee who is observing, calls out to the ERT officers, ‘look at him brother, he’s fucking dying … let him walk … this is fucking bullshit’.</w:t>
      </w:r>
      <w:r w:rsidRPr="001253CA">
        <w:rPr>
          <w:rFonts w:cs="Open Sans"/>
          <w:i/>
          <w:iCs/>
        </w:rPr>
        <w:t xml:space="preserve"> </w:t>
      </w:r>
      <w:r w:rsidRPr="001253CA">
        <w:rPr>
          <w:rFonts w:cs="Open Sans"/>
        </w:rPr>
        <w:t>An ERT officer replies, ‘we’re trying to hold him up ok’.</w:t>
      </w:r>
      <w:r w:rsidRPr="001253CA">
        <w:rPr>
          <w:rFonts w:cs="Open Sans"/>
          <w:b/>
          <w:bCs/>
          <w:i/>
          <w:iCs/>
        </w:rPr>
        <w:t xml:space="preserve"> </w:t>
      </w:r>
    </w:p>
    <w:p w14:paraId="22E55E4E" w14:textId="25A3C942" w:rsidR="0069740B" w:rsidRPr="001253CA" w:rsidRDefault="0069740B" w:rsidP="00F02D5A">
      <w:pPr>
        <w:numPr>
          <w:ilvl w:val="0"/>
          <w:numId w:val="20"/>
        </w:numPr>
        <w:rPr>
          <w:rFonts w:cs="Open Sans"/>
        </w:rPr>
      </w:pPr>
      <w:r w:rsidRPr="001253CA">
        <w:rPr>
          <w:rFonts w:cs="Open Sans"/>
        </w:rPr>
        <w:t xml:space="preserve">He is picked up again and escorted out of the compound gate. He is heard yelling out, ‘let me go’. While walking, the ERT officers stop </w:t>
      </w:r>
      <w:proofErr w:type="gramStart"/>
      <w:r w:rsidRPr="001253CA">
        <w:rPr>
          <w:rFonts w:cs="Open Sans"/>
        </w:rPr>
        <w:t>briefly</w:t>
      </w:r>
      <w:proofErr w:type="gramEnd"/>
      <w:r w:rsidRPr="001253CA">
        <w:rPr>
          <w:rFonts w:cs="Open Sans"/>
        </w:rPr>
        <w:t xml:space="preserve"> and </w:t>
      </w:r>
      <w:r w:rsidR="00A31C8C">
        <w:rPr>
          <w:rFonts w:cs="Open Sans"/>
        </w:rPr>
        <w:t xml:space="preserve">Mr </w:t>
      </w:r>
      <w:r w:rsidRPr="001253CA">
        <w:rPr>
          <w:rFonts w:cs="Open Sans"/>
        </w:rPr>
        <w:t xml:space="preserve">BX can be seen face down on the ground again. An ERT officer asks him, ‘are you going to stop resisting?’, </w:t>
      </w:r>
      <w:r w:rsidR="00A31C8C">
        <w:rPr>
          <w:rFonts w:cs="Open Sans"/>
        </w:rPr>
        <w:t xml:space="preserve">Mr </w:t>
      </w:r>
      <w:r w:rsidRPr="001253CA">
        <w:rPr>
          <w:rFonts w:cs="Open Sans"/>
        </w:rPr>
        <w:t xml:space="preserve">BX replies repeatedly, ‘I can’t breathe’ and is yelling out in distress. The ERT officers lift him up again and continue to carry him forward. </w:t>
      </w:r>
      <w:r w:rsidRPr="001253CA">
        <w:rPr>
          <w:rFonts w:cs="Open Sans"/>
          <w:b/>
          <w:bCs/>
        </w:rPr>
        <w:t xml:space="preserve"> </w:t>
      </w:r>
    </w:p>
    <w:p w14:paraId="545FA948" w14:textId="706A0BC6" w:rsidR="0069740B" w:rsidRPr="001253CA" w:rsidRDefault="0069740B" w:rsidP="00F02D5A">
      <w:pPr>
        <w:numPr>
          <w:ilvl w:val="0"/>
          <w:numId w:val="20"/>
        </w:numPr>
        <w:rPr>
          <w:rFonts w:cs="Open Sans"/>
        </w:rPr>
      </w:pPr>
      <w:r w:rsidRPr="001253CA">
        <w:rPr>
          <w:rFonts w:cs="Open Sans"/>
        </w:rPr>
        <w:t>Seconds later, the ERT officers place him to the ground. One of the officers says, ‘he doesn’t want to walk’, and medical assistance is requested. An ERT officer says, ‘[</w:t>
      </w:r>
      <w:r w:rsidR="00D86190">
        <w:rPr>
          <w:rFonts w:cs="Open Sans"/>
        </w:rPr>
        <w:t xml:space="preserve">Mr </w:t>
      </w:r>
      <w:r w:rsidRPr="001253CA">
        <w:rPr>
          <w:rFonts w:cs="Open Sans"/>
        </w:rPr>
        <w:t xml:space="preserve">BX], you brought this on yourself alright, you assaulted </w:t>
      </w:r>
      <w:proofErr w:type="gramStart"/>
      <w:r w:rsidRPr="001253CA">
        <w:rPr>
          <w:rFonts w:cs="Open Sans"/>
        </w:rPr>
        <w:t>officers</w:t>
      </w:r>
      <w:proofErr w:type="gramEnd"/>
      <w:r w:rsidRPr="001253CA">
        <w:rPr>
          <w:rFonts w:cs="Open Sans"/>
        </w:rPr>
        <w:t xml:space="preserve"> mate’. No response is heard from </w:t>
      </w:r>
      <w:r w:rsidR="00D86190">
        <w:rPr>
          <w:rFonts w:cs="Open Sans"/>
        </w:rPr>
        <w:t xml:space="preserve">Mr </w:t>
      </w:r>
      <w:r w:rsidRPr="001253CA">
        <w:rPr>
          <w:rFonts w:cs="Open Sans"/>
        </w:rPr>
        <w:t xml:space="preserve">BX. Officers lift him up again, he </w:t>
      </w:r>
      <w:r w:rsidRPr="001253CA">
        <w:rPr>
          <w:rFonts w:cs="Open Sans"/>
        </w:rPr>
        <w:lastRenderedPageBreak/>
        <w:t xml:space="preserve">is walked a little further and placed on a grassed area to wait for medical assistance. </w:t>
      </w:r>
    </w:p>
    <w:p w14:paraId="74EE0BEA" w14:textId="77777777" w:rsidR="0069740B" w:rsidRPr="001253CA" w:rsidRDefault="0069740B" w:rsidP="00F02D5A">
      <w:pPr>
        <w:numPr>
          <w:ilvl w:val="0"/>
          <w:numId w:val="20"/>
        </w:numPr>
        <w:rPr>
          <w:rFonts w:cs="Open Sans"/>
        </w:rPr>
      </w:pPr>
      <w:r w:rsidRPr="001253CA">
        <w:rPr>
          <w:rFonts w:cs="Open Sans"/>
        </w:rPr>
        <w:t xml:space="preserve">Soon after, nurses arrive at the scene and ask what happened. An ERT officer explains, ‘we had to break him off from his room cos we did a targeted room search on them’. Another officer says, ‘we got to do a search and they started assaulting </w:t>
      </w:r>
      <w:proofErr w:type="gramStart"/>
      <w:r w:rsidRPr="001253CA">
        <w:rPr>
          <w:rFonts w:cs="Open Sans"/>
        </w:rPr>
        <w:t>us’</w:t>
      </w:r>
      <w:proofErr w:type="gramEnd"/>
      <w:r w:rsidRPr="001253CA">
        <w:rPr>
          <w:rFonts w:cs="Open Sans"/>
        </w:rPr>
        <w:t xml:space="preserve">. </w:t>
      </w:r>
    </w:p>
    <w:p w14:paraId="6B4C0B43" w14:textId="1972FD6E" w:rsidR="0069740B" w:rsidRPr="001253CA" w:rsidRDefault="0069740B" w:rsidP="00F02D5A">
      <w:pPr>
        <w:numPr>
          <w:ilvl w:val="0"/>
          <w:numId w:val="20"/>
        </w:numPr>
        <w:rPr>
          <w:rFonts w:cs="Open Sans"/>
        </w:rPr>
      </w:pPr>
      <w:r w:rsidRPr="001253CA">
        <w:rPr>
          <w:rFonts w:cs="Open Sans"/>
        </w:rPr>
        <w:t xml:space="preserve">The nurse asks </w:t>
      </w:r>
      <w:r w:rsidR="00D86190">
        <w:rPr>
          <w:rFonts w:cs="Open Sans"/>
        </w:rPr>
        <w:t xml:space="preserve">Mr </w:t>
      </w:r>
      <w:r w:rsidRPr="001253CA">
        <w:rPr>
          <w:rFonts w:cs="Open Sans"/>
        </w:rPr>
        <w:t xml:space="preserve">BX if he can get up and to squeeze his hand. </w:t>
      </w:r>
      <w:r w:rsidR="00D86190">
        <w:rPr>
          <w:rFonts w:cs="Open Sans"/>
        </w:rPr>
        <w:t xml:space="preserve">Mr </w:t>
      </w:r>
      <w:r w:rsidRPr="001253CA">
        <w:rPr>
          <w:rFonts w:cs="Open Sans"/>
        </w:rPr>
        <w:t>BX cannot be seen in the footage due to the positioning of the camera. The nurse comments that his heart rate is ‘very fast’.</w:t>
      </w:r>
    </w:p>
    <w:p w14:paraId="5F5901E6" w14:textId="63D54E81" w:rsidR="0069740B" w:rsidRPr="001253CA" w:rsidRDefault="0069740B" w:rsidP="00F02D5A">
      <w:pPr>
        <w:numPr>
          <w:ilvl w:val="0"/>
          <w:numId w:val="20"/>
        </w:numPr>
        <w:rPr>
          <w:rFonts w:cs="Open Sans"/>
        </w:rPr>
      </w:pPr>
      <w:r w:rsidRPr="001253CA">
        <w:rPr>
          <w:rFonts w:cs="Open Sans"/>
        </w:rPr>
        <w:t xml:space="preserve">A nurse asks if his handcuffs can be released but this request is refused by the ERT officer who replies, ‘there’s a reason why we’ve got cuffs there, he’s just assaulted an officer … you’re </w:t>
      </w:r>
      <w:proofErr w:type="spellStart"/>
      <w:r w:rsidRPr="001253CA">
        <w:rPr>
          <w:rFonts w:cs="Open Sans"/>
        </w:rPr>
        <w:t>gonna</w:t>
      </w:r>
      <w:proofErr w:type="spellEnd"/>
      <w:r w:rsidRPr="001253CA">
        <w:rPr>
          <w:rFonts w:cs="Open Sans"/>
        </w:rPr>
        <w:t xml:space="preserve"> have to get permission from our FOM to release the cuffs, we’re not </w:t>
      </w:r>
      <w:proofErr w:type="spellStart"/>
      <w:r w:rsidRPr="001253CA">
        <w:rPr>
          <w:rFonts w:cs="Open Sans"/>
        </w:rPr>
        <w:t>gonna</w:t>
      </w:r>
      <w:proofErr w:type="spellEnd"/>
      <w:r w:rsidRPr="001253CA">
        <w:rPr>
          <w:rFonts w:cs="Open Sans"/>
        </w:rPr>
        <w:t xml:space="preserve"> release the cuffs, well I’m not anyway … he could kick off in a second’. </w:t>
      </w:r>
      <w:r w:rsidR="00834952">
        <w:rPr>
          <w:rFonts w:cs="Open Sans"/>
        </w:rPr>
        <w:t xml:space="preserve">Mr </w:t>
      </w:r>
      <w:r w:rsidRPr="001253CA">
        <w:rPr>
          <w:rFonts w:cs="Open Sans"/>
        </w:rPr>
        <w:t xml:space="preserve">BX is seen lying on the ground, motionless.   </w:t>
      </w:r>
    </w:p>
    <w:p w14:paraId="74AAB86E" w14:textId="77777777" w:rsidR="0069740B" w:rsidRPr="001253CA" w:rsidRDefault="0069740B" w:rsidP="00F02D5A">
      <w:pPr>
        <w:numPr>
          <w:ilvl w:val="0"/>
          <w:numId w:val="20"/>
        </w:numPr>
        <w:rPr>
          <w:rFonts w:cs="Open Sans"/>
        </w:rPr>
      </w:pPr>
      <w:r w:rsidRPr="001253CA">
        <w:rPr>
          <w:rFonts w:cs="Open Sans"/>
        </w:rPr>
        <w:t>The Department’s response to the Commission, further describes IHMS’s response:</w:t>
      </w:r>
    </w:p>
    <w:p w14:paraId="54725908" w14:textId="79C9F9B9" w:rsidR="0069740B" w:rsidRPr="001253CA" w:rsidRDefault="0069740B" w:rsidP="0069740B">
      <w:pPr>
        <w:pStyle w:val="Style3"/>
      </w:pPr>
      <w:r w:rsidRPr="001253CA">
        <w:t>On 22 November 2020, IHMS staff responded to a code blue (ME) call at approximately 16:30. [</w:t>
      </w:r>
      <w:proofErr w:type="spellStart"/>
      <w:r w:rsidR="00834952">
        <w:t>Mr</w:t>
      </w:r>
      <w:proofErr w:type="spellEnd"/>
      <w:r w:rsidR="00834952">
        <w:t xml:space="preserve"> </w:t>
      </w:r>
      <w:r w:rsidRPr="001253CA">
        <w:t xml:space="preserve">BX] was noted to be breathing heavily, had an elevated heart rate and blood pressure and verbally non-responsive. An ambulance was called for </w:t>
      </w:r>
      <w:proofErr w:type="gramStart"/>
      <w:r w:rsidRPr="001253CA">
        <w:t>transfer</w:t>
      </w:r>
      <w:proofErr w:type="gramEnd"/>
      <w:r w:rsidRPr="001253CA">
        <w:t xml:space="preserve"> of [</w:t>
      </w:r>
      <w:proofErr w:type="spellStart"/>
      <w:r w:rsidR="00834952">
        <w:t>Mr</w:t>
      </w:r>
      <w:proofErr w:type="spellEnd"/>
      <w:r w:rsidR="00834952">
        <w:t xml:space="preserve"> </w:t>
      </w:r>
      <w:r w:rsidRPr="001253CA">
        <w:t>BX] to Bankstown Hospital. [</w:t>
      </w:r>
      <w:proofErr w:type="spellStart"/>
      <w:r w:rsidR="00834952">
        <w:t>Mr</w:t>
      </w:r>
      <w:proofErr w:type="spellEnd"/>
      <w:r w:rsidR="00834952">
        <w:t xml:space="preserve"> </w:t>
      </w:r>
      <w:r w:rsidRPr="001253CA">
        <w:t>BX] had a CT scan of his head and facial bones which showed bilateral nasal bone fractures. The hospital staff arranged for ear nose and throat (ENT) specialist follow-up, recommended [</w:t>
      </w:r>
      <w:proofErr w:type="spellStart"/>
      <w:r w:rsidR="0088772B">
        <w:t>Mr</w:t>
      </w:r>
      <w:proofErr w:type="spellEnd"/>
      <w:r w:rsidR="0088772B">
        <w:t xml:space="preserve"> </w:t>
      </w:r>
      <w:r w:rsidRPr="001253CA">
        <w:t>BX] for a GP consultation, and analgesia and review as required for any ongoing issues. On 22 November 2020 [</w:t>
      </w:r>
      <w:proofErr w:type="spellStart"/>
      <w:r w:rsidR="0088772B">
        <w:t>Mr</w:t>
      </w:r>
      <w:proofErr w:type="spellEnd"/>
      <w:r w:rsidR="0088772B">
        <w:t xml:space="preserve"> </w:t>
      </w:r>
      <w:r w:rsidRPr="001253CA">
        <w:t xml:space="preserve">BX] was discharged. </w:t>
      </w:r>
    </w:p>
    <w:p w14:paraId="41CE7886" w14:textId="270C5D26" w:rsidR="0069740B" w:rsidRPr="001253CA" w:rsidRDefault="0069740B" w:rsidP="00F02D5A">
      <w:pPr>
        <w:numPr>
          <w:ilvl w:val="0"/>
          <w:numId w:val="20"/>
        </w:numPr>
        <w:rPr>
          <w:rFonts w:cs="Open Sans"/>
        </w:rPr>
      </w:pPr>
      <w:r w:rsidRPr="001253CA">
        <w:rPr>
          <w:rFonts w:cs="Open Sans"/>
        </w:rPr>
        <w:t xml:space="preserve">After he is checked by nurses, footage shows </w:t>
      </w:r>
      <w:r w:rsidR="0088772B">
        <w:rPr>
          <w:rFonts w:cs="Open Sans"/>
        </w:rPr>
        <w:t xml:space="preserve">Mr </w:t>
      </w:r>
      <w:r w:rsidRPr="001253CA">
        <w:rPr>
          <w:rFonts w:cs="Open Sans"/>
        </w:rPr>
        <w:t xml:space="preserve">BX being </w:t>
      </w:r>
      <w:proofErr w:type="gramStart"/>
      <w:r w:rsidRPr="001253CA">
        <w:rPr>
          <w:rFonts w:cs="Open Sans"/>
        </w:rPr>
        <w:t>lifted up</w:t>
      </w:r>
      <w:proofErr w:type="gramEnd"/>
      <w:r w:rsidRPr="001253CA">
        <w:rPr>
          <w:rFonts w:cs="Open Sans"/>
        </w:rPr>
        <w:t xml:space="preserve"> by </w:t>
      </w:r>
      <w:r w:rsidR="0088772B">
        <w:rPr>
          <w:rFonts w:cs="Open Sans"/>
        </w:rPr>
        <w:t>five</w:t>
      </w:r>
      <w:r w:rsidR="00A71820">
        <w:rPr>
          <w:rFonts w:cs="Open Sans"/>
        </w:rPr>
        <w:t xml:space="preserve"> </w:t>
      </w:r>
      <w:r w:rsidRPr="001253CA">
        <w:rPr>
          <w:rFonts w:cs="Open Sans"/>
        </w:rPr>
        <w:t xml:space="preserve">officers and carried off to the property department. During this time, they take a short break, place him down and confirm that he is breathing. He is then placed into one of the rooms in the property department. </w:t>
      </w:r>
    </w:p>
    <w:p w14:paraId="28F286BF" w14:textId="3F155C84" w:rsidR="0069740B" w:rsidRPr="001253CA" w:rsidRDefault="0069740B" w:rsidP="00F02D5A">
      <w:pPr>
        <w:numPr>
          <w:ilvl w:val="0"/>
          <w:numId w:val="20"/>
        </w:numPr>
        <w:rPr>
          <w:rFonts w:cs="Open Sans"/>
        </w:rPr>
      </w:pPr>
      <w:r w:rsidRPr="001253CA">
        <w:rPr>
          <w:rFonts w:cs="Open Sans"/>
        </w:rPr>
        <w:t xml:space="preserve">Department incident detail reports state that </w:t>
      </w:r>
      <w:r w:rsidR="00D555DA">
        <w:rPr>
          <w:rFonts w:cs="Open Sans"/>
        </w:rPr>
        <w:t xml:space="preserve">Mr </w:t>
      </w:r>
      <w:r w:rsidRPr="001253CA">
        <w:rPr>
          <w:rFonts w:cs="Open Sans"/>
        </w:rPr>
        <w:t xml:space="preserve">BX was taken to hospital at approximately 5.00 pm. The hospital discharge summary shows that he was discharged at 8.27 pm. </w:t>
      </w:r>
    </w:p>
    <w:p w14:paraId="7B280D99" w14:textId="68078988" w:rsidR="0069740B" w:rsidRPr="001253CA" w:rsidRDefault="0069740B" w:rsidP="00F02D5A">
      <w:pPr>
        <w:numPr>
          <w:ilvl w:val="0"/>
          <w:numId w:val="20"/>
        </w:numPr>
        <w:rPr>
          <w:rFonts w:cs="Open Sans"/>
        </w:rPr>
      </w:pPr>
      <w:r w:rsidRPr="001253CA">
        <w:rPr>
          <w:rFonts w:cs="Open Sans"/>
        </w:rPr>
        <w:t xml:space="preserve">IHMS clinical records indicate that </w:t>
      </w:r>
      <w:r w:rsidR="00D555DA">
        <w:rPr>
          <w:rFonts w:cs="Open Sans"/>
        </w:rPr>
        <w:t xml:space="preserve">Mr </w:t>
      </w:r>
      <w:r w:rsidRPr="001253CA">
        <w:rPr>
          <w:rFonts w:cs="Open Sans"/>
        </w:rPr>
        <w:t xml:space="preserve">BX was reviewed on 25 November 2020 by the IHMS GP, who noted that he had ‘multiple bruising, blood, swelling around eyes, face, scalp’ and a perforated tympanic membrane in the left ear. </w:t>
      </w:r>
      <w:r w:rsidR="00D555DA">
        <w:rPr>
          <w:rFonts w:cs="Open Sans"/>
        </w:rPr>
        <w:t xml:space="preserve">Mr </w:t>
      </w:r>
      <w:r w:rsidRPr="001253CA">
        <w:rPr>
          <w:rFonts w:cs="Open Sans"/>
        </w:rPr>
        <w:t xml:space="preserve">BX also reported a loss of hearing to his left ear, extreme pain and that he was unable to sleep due to the pain. He was prescribed a course of oral antibiotic medication for infection prevention and analgesia medication. </w:t>
      </w:r>
    </w:p>
    <w:p w14:paraId="4A9E99F9" w14:textId="77777777" w:rsidR="0069740B" w:rsidRPr="001253CA" w:rsidRDefault="0069740B" w:rsidP="00F02D5A">
      <w:pPr>
        <w:numPr>
          <w:ilvl w:val="0"/>
          <w:numId w:val="20"/>
        </w:numPr>
        <w:rPr>
          <w:rFonts w:cs="Open Sans"/>
        </w:rPr>
      </w:pPr>
      <w:r w:rsidRPr="001253CA">
        <w:rPr>
          <w:rFonts w:cs="Open Sans"/>
        </w:rPr>
        <w:t>On 30 November 2020, he attended an outpatient ENT consultation at Bankstown Hospital.</w:t>
      </w:r>
    </w:p>
    <w:p w14:paraId="4185B4CE" w14:textId="77777777" w:rsidR="0069740B" w:rsidRPr="001253CA" w:rsidRDefault="0069740B" w:rsidP="00F02D5A">
      <w:pPr>
        <w:numPr>
          <w:ilvl w:val="0"/>
          <w:numId w:val="20"/>
        </w:numPr>
        <w:rPr>
          <w:rFonts w:cs="Open Sans"/>
        </w:rPr>
      </w:pPr>
      <w:r w:rsidRPr="001253CA">
        <w:rPr>
          <w:rFonts w:cs="Open Sans"/>
        </w:rPr>
        <w:t xml:space="preserve">On 17 December 2020, he was reviewed by the IHMS GP and reported that difficulties breathing through his nose had worsened since his nasal fracture.  </w:t>
      </w:r>
    </w:p>
    <w:p w14:paraId="41762A63" w14:textId="77777777" w:rsidR="0069740B" w:rsidRPr="001253CA" w:rsidRDefault="0069740B" w:rsidP="00F02D5A">
      <w:pPr>
        <w:numPr>
          <w:ilvl w:val="0"/>
          <w:numId w:val="20"/>
        </w:numPr>
        <w:rPr>
          <w:rFonts w:cs="Open Sans"/>
        </w:rPr>
      </w:pPr>
      <w:r w:rsidRPr="001253CA">
        <w:rPr>
          <w:rFonts w:cs="Open Sans"/>
        </w:rPr>
        <w:lastRenderedPageBreak/>
        <w:t>On 14 January 2021, he attended a consultation with an IHMS mental health nurse and reported being ‘stressed out’ and not sleeping and ‘always worried’. He also reported that he was unable to breathe with his broken nose and was waiting on surgery to fix this.</w:t>
      </w:r>
    </w:p>
    <w:p w14:paraId="6D44F2DA" w14:textId="46864CFF" w:rsidR="0069740B" w:rsidRPr="001253CA" w:rsidRDefault="0069740B" w:rsidP="00F02D5A">
      <w:pPr>
        <w:numPr>
          <w:ilvl w:val="0"/>
          <w:numId w:val="20"/>
        </w:numPr>
        <w:rPr>
          <w:rFonts w:cs="Open Sans"/>
        </w:rPr>
      </w:pPr>
      <w:r w:rsidRPr="001253CA">
        <w:rPr>
          <w:rFonts w:cs="Open Sans"/>
        </w:rPr>
        <w:t xml:space="preserve">The Department’s response to </w:t>
      </w:r>
      <w:r w:rsidR="00DA65B0">
        <w:rPr>
          <w:rFonts w:cs="Open Sans"/>
        </w:rPr>
        <w:t xml:space="preserve">Mr </w:t>
      </w:r>
      <w:r w:rsidRPr="001253CA">
        <w:rPr>
          <w:rFonts w:cs="Open Sans"/>
        </w:rPr>
        <w:t xml:space="preserve">BX’s complaint, states that on 11 March 2021, the ENT report was received which stated that antibiotics and surgery were not </w:t>
      </w:r>
      <w:proofErr w:type="gramStart"/>
      <w:r w:rsidRPr="001253CA">
        <w:rPr>
          <w:rFonts w:cs="Open Sans"/>
        </w:rPr>
        <w:t>required</w:t>
      </w:r>
      <w:proofErr w:type="gramEnd"/>
      <w:r w:rsidRPr="001253CA">
        <w:rPr>
          <w:rFonts w:cs="Open Sans"/>
        </w:rPr>
        <w:t xml:space="preserve"> and the treatment plan was to provide assurance. </w:t>
      </w:r>
    </w:p>
    <w:p w14:paraId="09257BB3" w14:textId="431BB3FE" w:rsidR="0069740B" w:rsidRPr="001253CA" w:rsidRDefault="0069740B" w:rsidP="00F02D5A">
      <w:pPr>
        <w:numPr>
          <w:ilvl w:val="0"/>
          <w:numId w:val="20"/>
        </w:numPr>
        <w:rPr>
          <w:rFonts w:cs="Open Sans"/>
        </w:rPr>
      </w:pPr>
      <w:r w:rsidRPr="001253CA">
        <w:rPr>
          <w:rFonts w:cs="Open Sans"/>
        </w:rPr>
        <w:t xml:space="preserve">The Department also states that on 16 March 2021, </w:t>
      </w:r>
      <w:r w:rsidR="001411DF">
        <w:rPr>
          <w:rFonts w:cs="Open Sans"/>
        </w:rPr>
        <w:t xml:space="preserve">Mr </w:t>
      </w:r>
      <w:r w:rsidRPr="001253CA">
        <w:rPr>
          <w:rFonts w:cs="Open Sans"/>
        </w:rPr>
        <w:t xml:space="preserve">BX was referred to an ENT surgeon for review due to ongoing nasal pain and trouble breathing. </w:t>
      </w:r>
      <w:r w:rsidR="001411DF">
        <w:rPr>
          <w:rFonts w:cs="Open Sans"/>
        </w:rPr>
        <w:t xml:space="preserve">Mr </w:t>
      </w:r>
      <w:r w:rsidRPr="001253CA">
        <w:rPr>
          <w:rFonts w:cs="Open Sans"/>
        </w:rPr>
        <w:t xml:space="preserve">BX advises, through his legal representative, that he continues to </w:t>
      </w:r>
      <w:proofErr w:type="gramStart"/>
      <w:r w:rsidRPr="001253CA">
        <w:rPr>
          <w:rFonts w:cs="Open Sans"/>
        </w:rPr>
        <w:t>experience difficulty</w:t>
      </w:r>
      <w:proofErr w:type="gramEnd"/>
      <w:r w:rsidRPr="001253CA">
        <w:rPr>
          <w:rFonts w:cs="Open Sans"/>
        </w:rPr>
        <w:t xml:space="preserve"> breathing and sleeping and is still awaiting results from a medical assessment. </w:t>
      </w:r>
    </w:p>
    <w:p w14:paraId="4E02D798" w14:textId="63918EBF" w:rsidR="00271BF6" w:rsidRDefault="0069740B" w:rsidP="0069740B">
      <w:pPr>
        <w:pStyle w:val="AHRCHeading2"/>
      </w:pPr>
      <w:bookmarkStart w:id="21" w:name="_Toc164768982"/>
      <w:r>
        <w:t>Use of restraints on 22 November 2020</w:t>
      </w:r>
      <w:bookmarkEnd w:id="21"/>
    </w:p>
    <w:p w14:paraId="3526E46E" w14:textId="70A853E4" w:rsidR="0069740B" w:rsidRPr="001253CA" w:rsidRDefault="0069740B" w:rsidP="00F02D5A">
      <w:pPr>
        <w:numPr>
          <w:ilvl w:val="0"/>
          <w:numId w:val="20"/>
        </w:numPr>
        <w:rPr>
          <w:rFonts w:cs="Open Sans"/>
          <w:b/>
          <w:bCs/>
        </w:rPr>
      </w:pPr>
      <w:r w:rsidRPr="001253CA">
        <w:rPr>
          <w:rFonts w:cs="Open Sans"/>
        </w:rPr>
        <w:t xml:space="preserve">The Department’s response to </w:t>
      </w:r>
      <w:r w:rsidR="000F43D4">
        <w:rPr>
          <w:rFonts w:cs="Open Sans"/>
        </w:rPr>
        <w:t xml:space="preserve">Mr </w:t>
      </w:r>
      <w:r w:rsidRPr="001253CA">
        <w:rPr>
          <w:rFonts w:cs="Open Sans"/>
        </w:rPr>
        <w:t xml:space="preserve">BX’s complaint states that </w:t>
      </w:r>
      <w:r w:rsidR="000F43D4">
        <w:rPr>
          <w:rFonts w:cs="Open Sans"/>
        </w:rPr>
        <w:t xml:space="preserve">Mr </w:t>
      </w:r>
      <w:r w:rsidRPr="001253CA">
        <w:rPr>
          <w:rFonts w:cs="Open Sans"/>
        </w:rPr>
        <w:t>BX was restrained using mechanical restraints ‘to ensure his own safety and the safety of the Serco officers attempting to escort him out of the room for the room search’. They state that he was also handcuffed during his transport to Bankstown Hospital, citing this as ‘standard procedure for [</w:t>
      </w:r>
      <w:r w:rsidR="0027357E">
        <w:rPr>
          <w:rFonts w:cs="Open Sans"/>
        </w:rPr>
        <w:t xml:space="preserve">Mr </w:t>
      </w:r>
      <w:r w:rsidRPr="001253CA">
        <w:rPr>
          <w:rFonts w:cs="Open Sans"/>
        </w:rPr>
        <w:t xml:space="preserve">BX’s] escort risk rating’. The handcuffs remained on him throughout his hospital stay. </w:t>
      </w:r>
    </w:p>
    <w:p w14:paraId="30162036" w14:textId="24A82523" w:rsidR="0069740B" w:rsidRPr="001253CA" w:rsidRDefault="0069740B" w:rsidP="00F02D5A">
      <w:pPr>
        <w:numPr>
          <w:ilvl w:val="0"/>
          <w:numId w:val="20"/>
        </w:numPr>
        <w:rPr>
          <w:rFonts w:cs="Open Sans"/>
          <w:b/>
          <w:bCs/>
        </w:rPr>
      </w:pPr>
      <w:r w:rsidRPr="001253CA">
        <w:rPr>
          <w:rFonts w:cs="Open Sans"/>
        </w:rPr>
        <w:t xml:space="preserve">The Department’s incident detail reports and hospital records, set out the following approximate timeline for the use of handcuffs on </w:t>
      </w:r>
      <w:r w:rsidR="0027357E">
        <w:rPr>
          <w:rFonts w:cs="Open Sans"/>
        </w:rPr>
        <w:t xml:space="preserve">Mr </w:t>
      </w:r>
      <w:r w:rsidRPr="001253CA">
        <w:rPr>
          <w:rFonts w:cs="Open Sans"/>
        </w:rPr>
        <w:t>BX:</w:t>
      </w:r>
    </w:p>
    <w:p w14:paraId="5BDE7FB2" w14:textId="56787F3F" w:rsidR="0069740B" w:rsidRPr="001253CA" w:rsidRDefault="0069740B" w:rsidP="0069740B">
      <w:pPr>
        <w:pStyle w:val="Style3"/>
      </w:pPr>
      <w:r w:rsidRPr="001253CA">
        <w:t xml:space="preserve">4.05 pm </w:t>
      </w:r>
      <w:r w:rsidRPr="001253CA">
        <w:tab/>
        <w:t xml:space="preserve">handcuffs are applied to </w:t>
      </w:r>
      <w:proofErr w:type="spellStart"/>
      <w:r w:rsidR="0027357E">
        <w:t>Mr</w:t>
      </w:r>
      <w:proofErr w:type="spellEnd"/>
      <w:r w:rsidR="0027357E">
        <w:t xml:space="preserve"> </w:t>
      </w:r>
      <w:r w:rsidRPr="001253CA">
        <w:t>BX</w:t>
      </w:r>
    </w:p>
    <w:p w14:paraId="01D5C5D5" w14:textId="77777777" w:rsidR="0069740B" w:rsidRPr="001253CA" w:rsidRDefault="0069740B" w:rsidP="0069740B">
      <w:pPr>
        <w:pStyle w:val="Style3"/>
      </w:pPr>
      <w:r w:rsidRPr="001253CA">
        <w:t>4.25 pm</w:t>
      </w:r>
      <w:r w:rsidRPr="001253CA">
        <w:tab/>
        <w:t xml:space="preserve">IHMS call the </w:t>
      </w:r>
      <w:proofErr w:type="gramStart"/>
      <w:r w:rsidRPr="001253CA">
        <w:t>ambulance</w:t>
      </w:r>
      <w:proofErr w:type="gramEnd"/>
      <w:r w:rsidRPr="001253CA">
        <w:t xml:space="preserve"> </w:t>
      </w:r>
    </w:p>
    <w:p w14:paraId="01131AA7" w14:textId="77777777" w:rsidR="0069740B" w:rsidRPr="001253CA" w:rsidRDefault="0069740B" w:rsidP="0069740B">
      <w:pPr>
        <w:pStyle w:val="Style3"/>
      </w:pPr>
      <w:r w:rsidRPr="001253CA">
        <w:t xml:space="preserve">4.50 pm </w:t>
      </w:r>
      <w:r w:rsidRPr="001253CA">
        <w:tab/>
        <w:t xml:space="preserve">ambulance arrives at </w:t>
      </w:r>
      <w:proofErr w:type="gramStart"/>
      <w:r w:rsidRPr="001253CA">
        <w:t>VIDC</w:t>
      </w:r>
      <w:proofErr w:type="gramEnd"/>
      <w:r w:rsidRPr="001253CA">
        <w:t xml:space="preserve"> </w:t>
      </w:r>
    </w:p>
    <w:p w14:paraId="54F23AD5" w14:textId="13D3443C" w:rsidR="0069740B" w:rsidRPr="001253CA" w:rsidRDefault="0069740B" w:rsidP="0069740B">
      <w:pPr>
        <w:pStyle w:val="Style3"/>
      </w:pPr>
      <w:r w:rsidRPr="001253CA">
        <w:t>5.00 pm</w:t>
      </w:r>
      <w:r w:rsidRPr="001253CA">
        <w:tab/>
      </w:r>
      <w:proofErr w:type="spellStart"/>
      <w:r w:rsidR="0027357E">
        <w:t>Mr</w:t>
      </w:r>
      <w:proofErr w:type="spellEnd"/>
      <w:r w:rsidR="0027357E">
        <w:t xml:space="preserve"> </w:t>
      </w:r>
      <w:r w:rsidRPr="001253CA">
        <w:t xml:space="preserve">BX is taken to </w:t>
      </w:r>
      <w:proofErr w:type="gramStart"/>
      <w:r w:rsidRPr="001253CA">
        <w:t>hospital</w:t>
      </w:r>
      <w:proofErr w:type="gramEnd"/>
      <w:r w:rsidRPr="001253CA">
        <w:t xml:space="preserve"> </w:t>
      </w:r>
    </w:p>
    <w:p w14:paraId="6BC7D6C3" w14:textId="73FE9134" w:rsidR="0069740B" w:rsidRPr="001253CA" w:rsidRDefault="0069740B" w:rsidP="0069740B">
      <w:pPr>
        <w:pStyle w:val="Style3"/>
      </w:pPr>
      <w:r w:rsidRPr="001253CA">
        <w:t>8.27 pm</w:t>
      </w:r>
      <w:r w:rsidRPr="001253CA">
        <w:tab/>
      </w:r>
      <w:proofErr w:type="spellStart"/>
      <w:r w:rsidR="0027357E">
        <w:t>Mr</w:t>
      </w:r>
      <w:proofErr w:type="spellEnd"/>
      <w:r w:rsidR="0027357E">
        <w:t xml:space="preserve"> </w:t>
      </w:r>
      <w:r w:rsidRPr="001253CA">
        <w:t xml:space="preserve">BX is discharged from </w:t>
      </w:r>
      <w:proofErr w:type="gramStart"/>
      <w:r w:rsidRPr="001253CA">
        <w:t>hospital</w:t>
      </w:r>
      <w:proofErr w:type="gramEnd"/>
      <w:r w:rsidRPr="001253CA">
        <w:t xml:space="preserve"> </w:t>
      </w:r>
    </w:p>
    <w:p w14:paraId="6C86D852" w14:textId="541D1A2F" w:rsidR="0069740B" w:rsidRPr="001253CA" w:rsidRDefault="0069740B" w:rsidP="0069740B">
      <w:pPr>
        <w:pStyle w:val="Style3"/>
      </w:pPr>
      <w:r w:rsidRPr="001253CA">
        <w:t>9.50 pm</w:t>
      </w:r>
      <w:r w:rsidRPr="001253CA">
        <w:tab/>
      </w:r>
      <w:proofErr w:type="spellStart"/>
      <w:r w:rsidR="0027357E">
        <w:t>Mr</w:t>
      </w:r>
      <w:proofErr w:type="spellEnd"/>
      <w:r w:rsidR="0027357E">
        <w:t xml:space="preserve"> </w:t>
      </w:r>
      <w:r w:rsidRPr="001253CA">
        <w:t xml:space="preserve">BX returns to </w:t>
      </w:r>
      <w:proofErr w:type="gramStart"/>
      <w:r w:rsidRPr="001253CA">
        <w:t>VIDC</w:t>
      </w:r>
      <w:proofErr w:type="gramEnd"/>
      <w:r w:rsidRPr="001253CA">
        <w:t xml:space="preserve"> and handcuffs are removed  </w:t>
      </w:r>
    </w:p>
    <w:p w14:paraId="0C25A7C5" w14:textId="2E92E59F" w:rsidR="0069740B" w:rsidRPr="001253CA" w:rsidRDefault="0069740B" w:rsidP="00F02D5A">
      <w:pPr>
        <w:numPr>
          <w:ilvl w:val="0"/>
          <w:numId w:val="20"/>
        </w:numPr>
        <w:rPr>
          <w:rFonts w:cs="Open Sans"/>
          <w:b/>
          <w:bCs/>
        </w:rPr>
      </w:pPr>
      <w:r w:rsidRPr="001253CA">
        <w:rPr>
          <w:rFonts w:cs="Open Sans"/>
        </w:rPr>
        <w:t xml:space="preserve">From this timeline, it appears that the handcuffs remained on </w:t>
      </w:r>
      <w:r w:rsidR="0027357E">
        <w:rPr>
          <w:rFonts w:cs="Open Sans"/>
        </w:rPr>
        <w:t xml:space="preserve">Mr </w:t>
      </w:r>
      <w:r w:rsidRPr="001253CA">
        <w:rPr>
          <w:rFonts w:cs="Open Sans"/>
        </w:rPr>
        <w:t xml:space="preserve">BX for a total of almost 6 hours, and including while he underwent a CT scan of his head and facial bones. </w:t>
      </w:r>
    </w:p>
    <w:p w14:paraId="1BA1EC49" w14:textId="2F6328D6" w:rsidR="0069740B" w:rsidRPr="001253CA" w:rsidRDefault="0069740B" w:rsidP="00F02D5A">
      <w:pPr>
        <w:numPr>
          <w:ilvl w:val="0"/>
          <w:numId w:val="20"/>
        </w:numPr>
        <w:rPr>
          <w:rFonts w:cs="Open Sans"/>
          <w:b/>
          <w:bCs/>
        </w:rPr>
      </w:pPr>
      <w:r w:rsidRPr="001253CA">
        <w:rPr>
          <w:rFonts w:cs="Open Sans"/>
        </w:rPr>
        <w:t xml:space="preserve">In his complaint to the Commission, </w:t>
      </w:r>
      <w:r w:rsidR="000842D4">
        <w:rPr>
          <w:rFonts w:cs="Open Sans"/>
        </w:rPr>
        <w:t xml:space="preserve">Mr </w:t>
      </w:r>
      <w:r w:rsidRPr="001253CA">
        <w:rPr>
          <w:rFonts w:cs="Open Sans"/>
        </w:rPr>
        <w:t xml:space="preserve">BX also states that there were approximately four officers around him in the hospital and that he did not get an opportunity to talk to a doctor without the officers present. </w:t>
      </w:r>
    </w:p>
    <w:p w14:paraId="481431C3" w14:textId="4B3E291D" w:rsidR="00271BF6" w:rsidRPr="0069740B" w:rsidRDefault="0069740B" w:rsidP="00F02D5A">
      <w:pPr>
        <w:numPr>
          <w:ilvl w:val="0"/>
          <w:numId w:val="20"/>
        </w:numPr>
        <w:rPr>
          <w:rFonts w:cs="Open Sans"/>
          <w:b/>
          <w:bCs/>
        </w:rPr>
      </w:pPr>
      <w:r w:rsidRPr="001253CA">
        <w:rPr>
          <w:rFonts w:cs="Open Sans"/>
        </w:rPr>
        <w:t>I note that the Commission has previously undertaken an inquiry into the use of force in immigration detention and I refer to the comments made as part of that inquiry regarding the use of security risk assessments and</w:t>
      </w:r>
      <w:r w:rsidR="007613FF">
        <w:rPr>
          <w:rFonts w:cs="Open Sans"/>
        </w:rPr>
        <w:t xml:space="preserve"> </w:t>
      </w:r>
      <w:r w:rsidRPr="001253CA">
        <w:rPr>
          <w:rFonts w:cs="Open Sans"/>
        </w:rPr>
        <w:t>the use of handcuffs during medical escort, without repeating them here.</w:t>
      </w:r>
      <w:r w:rsidRPr="001253CA">
        <w:rPr>
          <w:rFonts w:ascii="ZWAdobeF" w:hAnsi="ZWAdobeF" w:cs="ZWAdobeF"/>
          <w:sz w:val="2"/>
          <w:szCs w:val="2"/>
        </w:rPr>
        <w:t>1F</w:t>
      </w:r>
      <w:r w:rsidRPr="001253CA">
        <w:rPr>
          <w:rFonts w:cs="Open Sans"/>
          <w:vertAlign w:val="superscript"/>
        </w:rPr>
        <w:endnoteReference w:id="25"/>
      </w:r>
      <w:r w:rsidRPr="001253CA">
        <w:rPr>
          <w:rFonts w:cs="Open Sans"/>
        </w:rPr>
        <w:t xml:space="preserve">  </w:t>
      </w:r>
    </w:p>
    <w:p w14:paraId="540E73CC" w14:textId="147E12D8" w:rsidR="002845A6" w:rsidRDefault="0069740B" w:rsidP="00494AAE">
      <w:pPr>
        <w:pStyle w:val="AHRCHeading1"/>
      </w:pPr>
      <w:bookmarkStart w:id="22" w:name="_Toc164768983"/>
      <w:r>
        <w:lastRenderedPageBreak/>
        <w:t>Findings</w:t>
      </w:r>
      <w:bookmarkEnd w:id="22"/>
    </w:p>
    <w:p w14:paraId="420EF397" w14:textId="0D49E3D1" w:rsidR="0069740B" w:rsidRDefault="0069740B" w:rsidP="0069740B">
      <w:pPr>
        <w:pStyle w:val="AHRCHeading2"/>
      </w:pPr>
      <w:bookmarkStart w:id="23" w:name="_Toc164768984"/>
      <w:r>
        <w:t>Use of force on 22 July 2020</w:t>
      </w:r>
      <w:bookmarkEnd w:id="23"/>
    </w:p>
    <w:p w14:paraId="6949E26A" w14:textId="640E5773" w:rsidR="0069740B" w:rsidRPr="001253CA" w:rsidRDefault="0069740B" w:rsidP="00F02D5A">
      <w:pPr>
        <w:numPr>
          <w:ilvl w:val="0"/>
          <w:numId w:val="20"/>
        </w:numPr>
        <w:rPr>
          <w:rFonts w:cs="Open Sans"/>
        </w:rPr>
      </w:pPr>
      <w:r w:rsidRPr="001253CA">
        <w:rPr>
          <w:rFonts w:cs="Open Sans"/>
        </w:rPr>
        <w:t xml:space="preserve">I find the use of force on 22 July 2020 to ground stabilise </w:t>
      </w:r>
      <w:r w:rsidR="00D07989">
        <w:rPr>
          <w:rFonts w:cs="Open Sans"/>
        </w:rPr>
        <w:t xml:space="preserve">Mr </w:t>
      </w:r>
      <w:r w:rsidRPr="001253CA">
        <w:rPr>
          <w:rFonts w:cs="Open Sans"/>
        </w:rPr>
        <w:t xml:space="preserve">BX after exiting the compound, was reasonable, </w:t>
      </w:r>
      <w:proofErr w:type="gramStart"/>
      <w:r w:rsidRPr="001253CA">
        <w:rPr>
          <w:rFonts w:cs="Open Sans"/>
        </w:rPr>
        <w:t>necessary</w:t>
      </w:r>
      <w:proofErr w:type="gramEnd"/>
      <w:r w:rsidRPr="001253CA">
        <w:rPr>
          <w:rFonts w:cs="Open Sans"/>
        </w:rPr>
        <w:t xml:space="preserve"> and proportionate to the need to protect </w:t>
      </w:r>
      <w:r w:rsidR="00D07989">
        <w:rPr>
          <w:rFonts w:cs="Open Sans"/>
        </w:rPr>
        <w:t xml:space="preserve">Mr </w:t>
      </w:r>
      <w:r w:rsidRPr="001253CA">
        <w:rPr>
          <w:rFonts w:cs="Open Sans"/>
        </w:rPr>
        <w:t xml:space="preserve">BX, the safety of the staff and to maintain good order in the detention centre. </w:t>
      </w:r>
    </w:p>
    <w:p w14:paraId="527FDC57" w14:textId="44D8610C" w:rsidR="0069740B" w:rsidRPr="001253CA" w:rsidRDefault="0069740B" w:rsidP="00F02D5A">
      <w:pPr>
        <w:numPr>
          <w:ilvl w:val="0"/>
          <w:numId w:val="20"/>
        </w:numPr>
        <w:rPr>
          <w:rFonts w:cs="Open Sans"/>
        </w:rPr>
      </w:pPr>
      <w:r w:rsidRPr="001253CA">
        <w:rPr>
          <w:rFonts w:cs="Open Sans"/>
        </w:rPr>
        <w:t xml:space="preserve">I consider ERT officers reasonably believed that he was at risk of escalating the physicality of the other detainee’s situation and that this may have had an unintended flow-on effect to the other detainees in the compound. I accept that it was reasonable to remove </w:t>
      </w:r>
      <w:r w:rsidR="004F1878">
        <w:rPr>
          <w:rFonts w:cs="Open Sans"/>
        </w:rPr>
        <w:t xml:space="preserve">Mr </w:t>
      </w:r>
      <w:r w:rsidRPr="001253CA">
        <w:rPr>
          <w:rFonts w:cs="Open Sans"/>
        </w:rPr>
        <w:t>BX from the compound to maintain good order.</w:t>
      </w:r>
    </w:p>
    <w:p w14:paraId="0E34DBA9" w14:textId="45453529" w:rsidR="0069740B" w:rsidRPr="001253CA" w:rsidRDefault="0069740B" w:rsidP="00F02D5A">
      <w:pPr>
        <w:numPr>
          <w:ilvl w:val="0"/>
          <w:numId w:val="20"/>
        </w:numPr>
        <w:rPr>
          <w:rFonts w:cs="Open Sans"/>
        </w:rPr>
      </w:pPr>
      <w:r w:rsidRPr="001253CA">
        <w:rPr>
          <w:rFonts w:cs="Open Sans"/>
        </w:rPr>
        <w:t xml:space="preserve">While I am concerned about the application of downward force to </w:t>
      </w:r>
      <w:r w:rsidR="004F1878">
        <w:rPr>
          <w:rFonts w:cs="Open Sans"/>
        </w:rPr>
        <w:t xml:space="preserve">Mr </w:t>
      </w:r>
      <w:r w:rsidRPr="001253CA">
        <w:rPr>
          <w:rFonts w:cs="Open Sans"/>
        </w:rPr>
        <w:t xml:space="preserve">BX’s head by the ERT officer concerned, footage shows that by this point, </w:t>
      </w:r>
      <w:r w:rsidR="004F1878">
        <w:rPr>
          <w:rFonts w:cs="Open Sans"/>
        </w:rPr>
        <w:t xml:space="preserve">Mr </w:t>
      </w:r>
      <w:r w:rsidRPr="001253CA">
        <w:rPr>
          <w:rFonts w:cs="Open Sans"/>
        </w:rPr>
        <w:t xml:space="preserve">BX was heavily resisting ERT officers’ attempts to walk him through the compound gate and to comply with their directions. I consider that ERT officers reasonably believed he was at risk of harm to himself and to others and I consider that force was used as a last resort.  </w:t>
      </w:r>
    </w:p>
    <w:p w14:paraId="1CDBA502" w14:textId="3C2D7159" w:rsidR="0069740B" w:rsidRPr="001253CA" w:rsidRDefault="0069740B" w:rsidP="00F02D5A">
      <w:pPr>
        <w:numPr>
          <w:ilvl w:val="0"/>
          <w:numId w:val="20"/>
        </w:numPr>
        <w:rPr>
          <w:rFonts w:cs="Open Sans"/>
        </w:rPr>
      </w:pPr>
      <w:r w:rsidRPr="001253CA">
        <w:rPr>
          <w:rFonts w:cs="Open Sans"/>
        </w:rPr>
        <w:t>I note however, that</w:t>
      </w:r>
      <w:r w:rsidR="004F1878">
        <w:rPr>
          <w:rFonts w:cs="Open Sans"/>
        </w:rPr>
        <w:t xml:space="preserve"> Mr</w:t>
      </w:r>
      <w:r w:rsidRPr="001253CA">
        <w:rPr>
          <w:rFonts w:cs="Open Sans"/>
        </w:rPr>
        <w:t xml:space="preserve"> BX’s resisting and lack of compliance was in direct response to the </w:t>
      </w:r>
      <w:proofErr w:type="gramStart"/>
      <w:r w:rsidRPr="001253CA">
        <w:rPr>
          <w:rFonts w:cs="Open Sans"/>
        </w:rPr>
        <w:t>manner in which</w:t>
      </w:r>
      <w:proofErr w:type="gramEnd"/>
      <w:r w:rsidRPr="001253CA">
        <w:rPr>
          <w:rFonts w:cs="Open Sans"/>
        </w:rPr>
        <w:t xml:space="preserve"> ERT officers were treating the other detainee. ERT officers appear to have made little attempt to de-escalate the situation with that detainee when they arrived at the scene. They spoke briefly with the other Serco officers involved and then directed the other detainee to walk with them shortly afterwards. </w:t>
      </w:r>
    </w:p>
    <w:p w14:paraId="31560390" w14:textId="78E3BAC6" w:rsidR="0069740B" w:rsidRPr="001253CA" w:rsidRDefault="0069740B" w:rsidP="00F02D5A">
      <w:pPr>
        <w:numPr>
          <w:ilvl w:val="0"/>
          <w:numId w:val="20"/>
        </w:numPr>
        <w:rPr>
          <w:rFonts w:cs="Open Sans"/>
        </w:rPr>
      </w:pPr>
      <w:r w:rsidRPr="001253CA">
        <w:rPr>
          <w:rFonts w:cs="Open Sans"/>
        </w:rPr>
        <w:t xml:space="preserve">By the time the other detainee was ground stabilised, there was little opportunity to de-escalate the conflict with </w:t>
      </w:r>
      <w:r w:rsidR="00662D5C">
        <w:rPr>
          <w:rFonts w:cs="Open Sans"/>
        </w:rPr>
        <w:t>Mr</w:t>
      </w:r>
      <w:r w:rsidRPr="001253CA">
        <w:rPr>
          <w:rFonts w:cs="Open Sans"/>
        </w:rPr>
        <w:t xml:space="preserve"> BX. His behaviour had already </w:t>
      </w:r>
      <w:proofErr w:type="gramStart"/>
      <w:r w:rsidRPr="001253CA">
        <w:rPr>
          <w:rFonts w:cs="Open Sans"/>
        </w:rPr>
        <w:t>escalated</w:t>
      </w:r>
      <w:proofErr w:type="gramEnd"/>
      <w:r w:rsidRPr="001253CA">
        <w:rPr>
          <w:rFonts w:cs="Open Sans"/>
        </w:rPr>
        <w:t xml:space="preserve"> and footage shows a growing level of physical aggression towards the ERT officers. </w:t>
      </w:r>
    </w:p>
    <w:p w14:paraId="4BD369E1" w14:textId="61FFA44B" w:rsidR="0069740B" w:rsidRPr="001253CA" w:rsidRDefault="0069740B" w:rsidP="00F02D5A">
      <w:pPr>
        <w:numPr>
          <w:ilvl w:val="0"/>
          <w:numId w:val="20"/>
        </w:numPr>
        <w:rPr>
          <w:rFonts w:cs="Open Sans"/>
        </w:rPr>
      </w:pPr>
      <w:r w:rsidRPr="001253CA">
        <w:rPr>
          <w:rFonts w:cs="Open Sans"/>
        </w:rPr>
        <w:t xml:space="preserve">I consider that the number of ERT officers that attended at the scene may have been excessive and may have escalated the physicality of the situation. Footage shows approximately </w:t>
      </w:r>
      <w:r w:rsidR="000F379B">
        <w:rPr>
          <w:rFonts w:cs="Open Sans"/>
        </w:rPr>
        <w:t>seven</w:t>
      </w:r>
      <w:r w:rsidRPr="001253CA">
        <w:rPr>
          <w:rFonts w:cs="Open Sans"/>
        </w:rPr>
        <w:t xml:space="preserve"> ERT officers entering the compound and circling around </w:t>
      </w:r>
      <w:r w:rsidR="00662D5C">
        <w:rPr>
          <w:rFonts w:cs="Open Sans"/>
        </w:rPr>
        <w:t xml:space="preserve">Mr </w:t>
      </w:r>
      <w:r w:rsidRPr="001253CA">
        <w:rPr>
          <w:rFonts w:cs="Open Sans"/>
        </w:rPr>
        <w:t>BX and the other detainee. I accept that they were called in response to a detainee being abusive and aggressive in an outdoor area amongst other detainees. However, I consider that the presence of multiple officers in protective gear, responding to the actions of a single detainee, may have undermined efforts to de-escalate the situation.</w:t>
      </w:r>
    </w:p>
    <w:p w14:paraId="0891A9EB" w14:textId="29AE6A14" w:rsidR="0069740B" w:rsidRPr="001253CA" w:rsidRDefault="0069740B" w:rsidP="00F02D5A">
      <w:pPr>
        <w:numPr>
          <w:ilvl w:val="0"/>
          <w:numId w:val="20"/>
        </w:numPr>
        <w:rPr>
          <w:rFonts w:cs="Open Sans"/>
        </w:rPr>
      </w:pPr>
      <w:r w:rsidRPr="001253CA">
        <w:rPr>
          <w:rFonts w:cs="Open Sans"/>
        </w:rPr>
        <w:t xml:space="preserve">I find that the injuries of the haematoma and abrasion to </w:t>
      </w:r>
      <w:r w:rsidR="00662D5C">
        <w:rPr>
          <w:rFonts w:cs="Open Sans"/>
        </w:rPr>
        <w:t xml:space="preserve">Mr </w:t>
      </w:r>
      <w:r w:rsidRPr="001253CA">
        <w:rPr>
          <w:rFonts w:cs="Open Sans"/>
        </w:rPr>
        <w:t xml:space="preserve">BX’s forehead were caused </w:t>
      </w:r>
      <w:proofErr w:type="gramStart"/>
      <w:r w:rsidRPr="001253CA">
        <w:rPr>
          <w:rFonts w:cs="Open Sans"/>
        </w:rPr>
        <w:t>by the use of</w:t>
      </w:r>
      <w:proofErr w:type="gramEnd"/>
      <w:r w:rsidRPr="001253CA">
        <w:rPr>
          <w:rFonts w:cs="Open Sans"/>
        </w:rPr>
        <w:t xml:space="preserve"> force. I note that the Department acknowledges in its response to the complaint, that the ‘injuries were likely sustained during stabilisation’. Further, the pain to </w:t>
      </w:r>
      <w:r w:rsidR="00471E55">
        <w:rPr>
          <w:rFonts w:cs="Open Sans"/>
        </w:rPr>
        <w:t xml:space="preserve">Mr </w:t>
      </w:r>
      <w:r w:rsidRPr="001253CA">
        <w:rPr>
          <w:rFonts w:cs="Open Sans"/>
        </w:rPr>
        <w:t xml:space="preserve">BX’s right wrist may have been caused by ERT officer’s attempts to escort him to the property department and the application and use of restraints after he was ground stabilised. I note that </w:t>
      </w:r>
      <w:r w:rsidR="00471E55">
        <w:rPr>
          <w:rFonts w:cs="Open Sans"/>
        </w:rPr>
        <w:t>Mr</w:t>
      </w:r>
      <w:r w:rsidRPr="001253CA">
        <w:rPr>
          <w:rFonts w:cs="Open Sans"/>
        </w:rPr>
        <w:t xml:space="preserve"> BX presented to the hospital on the same day as the use of force incident and </w:t>
      </w:r>
      <w:r w:rsidRPr="001253CA">
        <w:rPr>
          <w:rFonts w:cs="Open Sans"/>
        </w:rPr>
        <w:lastRenderedPageBreak/>
        <w:t xml:space="preserve">was diagnosed with pain to his wrist. At the very least, the pre-existing injury to his right wrist was likely to have been exacerbated.    </w:t>
      </w:r>
    </w:p>
    <w:p w14:paraId="5730534B" w14:textId="77777777" w:rsidR="0069740B" w:rsidRPr="001253CA" w:rsidRDefault="0069740B" w:rsidP="00F02D5A">
      <w:pPr>
        <w:numPr>
          <w:ilvl w:val="0"/>
          <w:numId w:val="20"/>
        </w:numPr>
        <w:rPr>
          <w:rFonts w:cs="Open Sans"/>
        </w:rPr>
      </w:pPr>
      <w:r w:rsidRPr="001253CA">
        <w:rPr>
          <w:rFonts w:cs="Open Sans"/>
        </w:rPr>
        <w:t>In response to my preliminary view, the Department stated:</w:t>
      </w:r>
    </w:p>
    <w:p w14:paraId="73F8438D" w14:textId="76039CDE" w:rsidR="0069740B" w:rsidRPr="001253CA" w:rsidRDefault="0069740B" w:rsidP="0069740B">
      <w:pPr>
        <w:ind w:left="1440"/>
        <w:rPr>
          <w:rFonts w:cs="Open Sans"/>
          <w:sz w:val="22"/>
          <w:szCs w:val="22"/>
        </w:rPr>
      </w:pPr>
      <w:r w:rsidRPr="001253CA">
        <w:rPr>
          <w:rFonts w:cs="Open Sans"/>
          <w:sz w:val="22"/>
          <w:szCs w:val="22"/>
        </w:rPr>
        <w:t>The Department notes the Commission’s view that [</w:t>
      </w:r>
      <w:r w:rsidR="00471E55">
        <w:rPr>
          <w:rFonts w:cs="Open Sans"/>
          <w:sz w:val="22"/>
          <w:szCs w:val="22"/>
        </w:rPr>
        <w:t xml:space="preserve">Mr </w:t>
      </w:r>
      <w:r w:rsidRPr="001253CA">
        <w:rPr>
          <w:rFonts w:cs="Open Sans"/>
          <w:sz w:val="22"/>
          <w:szCs w:val="22"/>
        </w:rPr>
        <w:t>BX] may have suffered a wrist injury or exacerbated a pre-existing wrist injury, to the extent that it maintains that the use of force was reasonable and appropriate in the circumstances. Where increasingly non-complaint [sic] behaviour is exhibited during the application of force, there is an increased risk of injury to both the detainee and officers.</w:t>
      </w:r>
    </w:p>
    <w:p w14:paraId="34054879" w14:textId="55AB5F07" w:rsidR="0069740B" w:rsidRPr="0069740B" w:rsidRDefault="0069740B" w:rsidP="00F02D5A">
      <w:pPr>
        <w:pStyle w:val="NameInsert"/>
        <w:numPr>
          <w:ilvl w:val="0"/>
          <w:numId w:val="20"/>
        </w:numPr>
        <w:spacing w:before="240" w:after="240"/>
        <w:jc w:val="left"/>
        <w:rPr>
          <w:rFonts w:ascii="Open Sans" w:hAnsi="Open Sans" w:cs="Open Sans"/>
        </w:rPr>
      </w:pPr>
      <w:r w:rsidRPr="001253CA">
        <w:rPr>
          <w:rFonts w:ascii="Open Sans" w:hAnsi="Open Sans" w:cs="Open Sans"/>
        </w:rPr>
        <w:t xml:space="preserve">I am not satisfied that </w:t>
      </w:r>
      <w:proofErr w:type="spellStart"/>
      <w:r w:rsidR="00471E55">
        <w:rPr>
          <w:rFonts w:ascii="Open Sans" w:hAnsi="Open Sans" w:cs="Open Sans"/>
        </w:rPr>
        <w:t>Mr</w:t>
      </w:r>
      <w:proofErr w:type="spellEnd"/>
      <w:r w:rsidRPr="001253CA">
        <w:rPr>
          <w:rFonts w:ascii="Open Sans" w:hAnsi="Open Sans" w:cs="Open Sans"/>
        </w:rPr>
        <w:t xml:space="preserve"> BX became unconscious when his head hit the ground after being ground </w:t>
      </w:r>
      <w:proofErr w:type="spellStart"/>
      <w:r w:rsidRPr="001253CA">
        <w:rPr>
          <w:rFonts w:ascii="Open Sans" w:hAnsi="Open Sans" w:cs="Open Sans"/>
        </w:rPr>
        <w:t>stabilised</w:t>
      </w:r>
      <w:proofErr w:type="spellEnd"/>
      <w:r w:rsidRPr="001253CA">
        <w:rPr>
          <w:rFonts w:ascii="Open Sans" w:hAnsi="Open Sans" w:cs="Open Sans"/>
        </w:rPr>
        <w:t xml:space="preserve">. Footage records him swearing at the ERT officers while on the ground and as they carry him to the property department. At approximately 4.24 pm, ERT officers stop walking and place </w:t>
      </w:r>
      <w:proofErr w:type="spellStart"/>
      <w:r w:rsidR="002A5C46">
        <w:rPr>
          <w:rFonts w:ascii="Open Sans" w:hAnsi="Open Sans" w:cs="Open Sans"/>
        </w:rPr>
        <w:t>Mr</w:t>
      </w:r>
      <w:proofErr w:type="spellEnd"/>
      <w:r w:rsidR="002A5C46">
        <w:rPr>
          <w:rFonts w:ascii="Open Sans" w:hAnsi="Open Sans" w:cs="Open Sans"/>
        </w:rPr>
        <w:t xml:space="preserve"> </w:t>
      </w:r>
      <w:r w:rsidRPr="001253CA">
        <w:rPr>
          <w:rFonts w:ascii="Open Sans" w:hAnsi="Open Sans" w:cs="Open Sans"/>
        </w:rPr>
        <w:t xml:space="preserve">BX on the ground. He appears unresponsive. It is possible that he lost consciousness briefly at this point until approximately 4.25 pm, when footage shows him </w:t>
      </w:r>
      <w:r w:rsidRPr="001253CA">
        <w:rPr>
          <w:rFonts w:ascii="Open Sans" w:hAnsi="Open Sans" w:cs="Open Sans"/>
          <w:szCs w:val="24"/>
        </w:rPr>
        <w:t>standing and walking as he enters the IHMS clinic.</w:t>
      </w:r>
    </w:p>
    <w:p w14:paraId="6C356D0E" w14:textId="1D3D1229" w:rsidR="0069740B" w:rsidRDefault="0069740B" w:rsidP="0069740B">
      <w:pPr>
        <w:pStyle w:val="AHRCHeading2"/>
      </w:pPr>
      <w:bookmarkStart w:id="24" w:name="_Toc164768985"/>
      <w:r>
        <w:t>Use of force on 22 November 2020</w:t>
      </w:r>
      <w:bookmarkEnd w:id="24"/>
    </w:p>
    <w:p w14:paraId="0A4946AE" w14:textId="380F4B2A" w:rsidR="0069740B" w:rsidRPr="001253CA" w:rsidRDefault="0069740B" w:rsidP="00F02D5A">
      <w:pPr>
        <w:numPr>
          <w:ilvl w:val="0"/>
          <w:numId w:val="20"/>
        </w:numPr>
        <w:rPr>
          <w:rFonts w:cs="Open Sans"/>
        </w:rPr>
      </w:pPr>
      <w:r w:rsidRPr="001253CA">
        <w:rPr>
          <w:rFonts w:cs="Open Sans"/>
        </w:rPr>
        <w:t xml:space="preserve">I find that the second use of force incident involved treatment contrary to article 10(1) of the ICCPR and was not reasonable, </w:t>
      </w:r>
      <w:proofErr w:type="gramStart"/>
      <w:r w:rsidRPr="001253CA">
        <w:rPr>
          <w:rFonts w:cs="Open Sans"/>
        </w:rPr>
        <w:t>necessary</w:t>
      </w:r>
      <w:proofErr w:type="gramEnd"/>
      <w:r w:rsidRPr="001253CA">
        <w:rPr>
          <w:rFonts w:cs="Open Sans"/>
        </w:rPr>
        <w:t xml:space="preserve"> or proportionate to the need to protect </w:t>
      </w:r>
      <w:r w:rsidR="002A5C46">
        <w:rPr>
          <w:rFonts w:cs="Open Sans"/>
        </w:rPr>
        <w:t xml:space="preserve">Mr </w:t>
      </w:r>
      <w:r w:rsidRPr="001253CA">
        <w:rPr>
          <w:rFonts w:cs="Open Sans"/>
        </w:rPr>
        <w:t xml:space="preserve">BX, the safety of the staff and to maintain good order in the detention centre. </w:t>
      </w:r>
    </w:p>
    <w:p w14:paraId="382925DA" w14:textId="0B0AF50D" w:rsidR="0069740B" w:rsidRPr="001253CA" w:rsidRDefault="0069740B" w:rsidP="00F02D5A">
      <w:pPr>
        <w:numPr>
          <w:ilvl w:val="0"/>
          <w:numId w:val="20"/>
        </w:numPr>
        <w:rPr>
          <w:rFonts w:cs="Open Sans"/>
        </w:rPr>
      </w:pPr>
      <w:r w:rsidRPr="001253CA">
        <w:rPr>
          <w:rFonts w:cs="Open Sans"/>
        </w:rPr>
        <w:t xml:space="preserve">I find that the ‘spontaneous’ control and restraint technique used on </w:t>
      </w:r>
      <w:r w:rsidR="002A5C46">
        <w:rPr>
          <w:rFonts w:cs="Open Sans"/>
        </w:rPr>
        <w:t xml:space="preserve">Mr </w:t>
      </w:r>
      <w:r w:rsidRPr="001253CA">
        <w:rPr>
          <w:rFonts w:cs="Open Sans"/>
        </w:rPr>
        <w:t xml:space="preserve">BX by the ERT officer grabbing both sides of this head and bringing him to the ground with significant force, was not necessary and appropriate in the circumstances. This technique was highly forceful, </w:t>
      </w:r>
      <w:proofErr w:type="gramStart"/>
      <w:r w:rsidRPr="001253CA">
        <w:rPr>
          <w:rFonts w:cs="Open Sans"/>
        </w:rPr>
        <w:t>hostile</w:t>
      </w:r>
      <w:proofErr w:type="gramEnd"/>
      <w:r w:rsidRPr="001253CA">
        <w:rPr>
          <w:rFonts w:cs="Open Sans"/>
        </w:rPr>
        <w:t xml:space="preserve"> and intimidating, and led to </w:t>
      </w:r>
      <w:r w:rsidR="002A5C46">
        <w:rPr>
          <w:rFonts w:cs="Open Sans"/>
        </w:rPr>
        <w:t xml:space="preserve">Mr </w:t>
      </w:r>
      <w:r w:rsidRPr="001253CA">
        <w:rPr>
          <w:rFonts w:cs="Open Sans"/>
        </w:rPr>
        <w:t xml:space="preserve">BX being held face down on the floor by up to </w:t>
      </w:r>
      <w:r w:rsidR="000F379B">
        <w:rPr>
          <w:rFonts w:cs="Open Sans"/>
        </w:rPr>
        <w:t>three</w:t>
      </w:r>
      <w:r w:rsidR="00A87173">
        <w:rPr>
          <w:rFonts w:cs="Open Sans"/>
        </w:rPr>
        <w:t xml:space="preserve"> </w:t>
      </w:r>
      <w:r w:rsidRPr="001253CA">
        <w:rPr>
          <w:rFonts w:cs="Open Sans"/>
        </w:rPr>
        <w:t xml:space="preserve">ERT officers. It also triggered the involvement of </w:t>
      </w:r>
      <w:r w:rsidR="00793A3C">
        <w:rPr>
          <w:rFonts w:cs="Open Sans"/>
        </w:rPr>
        <w:t>two</w:t>
      </w:r>
      <w:r w:rsidRPr="001253CA">
        <w:rPr>
          <w:rFonts w:cs="Open Sans"/>
        </w:rPr>
        <w:t xml:space="preserve"> other detainees in the incident. I find it concerning that this technique was cited to be, ‘as per ERT approved training technic’. </w:t>
      </w:r>
    </w:p>
    <w:p w14:paraId="1D9DEF38" w14:textId="6E8D7DD3" w:rsidR="0069740B" w:rsidRPr="001253CA" w:rsidRDefault="0069740B" w:rsidP="00F02D5A">
      <w:pPr>
        <w:numPr>
          <w:ilvl w:val="0"/>
          <w:numId w:val="20"/>
        </w:numPr>
        <w:rPr>
          <w:rFonts w:cs="Open Sans"/>
        </w:rPr>
      </w:pPr>
      <w:r w:rsidRPr="001253CA">
        <w:rPr>
          <w:rFonts w:cs="Open Sans"/>
        </w:rPr>
        <w:t xml:space="preserve">In response to my preliminary view, the Department stated that at the time of the decision to use force, </w:t>
      </w:r>
      <w:r w:rsidR="007F38A4">
        <w:rPr>
          <w:rFonts w:cs="Open Sans"/>
        </w:rPr>
        <w:t xml:space="preserve">Mr </w:t>
      </w:r>
      <w:r w:rsidRPr="001253CA">
        <w:rPr>
          <w:rFonts w:cs="Open Sans"/>
        </w:rPr>
        <w:t>BX was ‘positioned face-toward a responding officer’:</w:t>
      </w:r>
    </w:p>
    <w:p w14:paraId="4EEEF4B6" w14:textId="6297372D" w:rsidR="0069740B" w:rsidRPr="001253CA" w:rsidRDefault="0069740B" w:rsidP="0069740B">
      <w:pPr>
        <w:ind w:left="1440"/>
        <w:rPr>
          <w:rFonts w:cs="Open Sans"/>
          <w:sz w:val="22"/>
          <w:szCs w:val="22"/>
        </w:rPr>
      </w:pPr>
      <w:r w:rsidRPr="001253CA">
        <w:rPr>
          <w:rFonts w:cs="Open Sans"/>
          <w:sz w:val="22"/>
          <w:szCs w:val="22"/>
        </w:rPr>
        <w:t xml:space="preserve">Where this is the case, FDSP officers are appropriately trained to employ a technique whereby an officer’s hands are placed on the sides and or back of the detainee’s head, leading the detainee forward and downwards in a controlled manner while additional </w:t>
      </w:r>
      <w:proofErr w:type="gramStart"/>
      <w:r w:rsidRPr="001253CA">
        <w:rPr>
          <w:rFonts w:cs="Open Sans"/>
          <w:sz w:val="22"/>
          <w:szCs w:val="22"/>
        </w:rPr>
        <w:t>officers</w:t>
      </w:r>
      <w:proofErr w:type="gramEnd"/>
      <w:r w:rsidRPr="001253CA">
        <w:rPr>
          <w:rFonts w:cs="Open Sans"/>
          <w:sz w:val="22"/>
          <w:szCs w:val="22"/>
        </w:rPr>
        <w:t xml:space="preserve"> step in to support arm and leg control so that ground stabilisation can occur. This technique requires rapid action </w:t>
      </w:r>
      <w:proofErr w:type="gramStart"/>
      <w:r w:rsidRPr="001253CA">
        <w:rPr>
          <w:rFonts w:cs="Open Sans"/>
          <w:sz w:val="22"/>
          <w:szCs w:val="22"/>
        </w:rPr>
        <w:t>in order to</w:t>
      </w:r>
      <w:proofErr w:type="gramEnd"/>
      <w:r w:rsidRPr="001253CA">
        <w:rPr>
          <w:rFonts w:cs="Open Sans"/>
          <w:sz w:val="22"/>
          <w:szCs w:val="22"/>
        </w:rPr>
        <w:t xml:space="preserve"> establish ground stabilisation prior to the detainee striking, or otherwise inflicting harm to an officer. During the application of this technique, FDSP officers attempted to control [</w:t>
      </w:r>
      <w:r w:rsidR="007F38A4">
        <w:rPr>
          <w:rFonts w:cs="Open Sans"/>
          <w:sz w:val="22"/>
          <w:szCs w:val="22"/>
        </w:rPr>
        <w:t xml:space="preserve">Mr </w:t>
      </w:r>
      <w:r w:rsidRPr="001253CA">
        <w:rPr>
          <w:rFonts w:cs="Open Sans"/>
          <w:sz w:val="22"/>
          <w:szCs w:val="22"/>
        </w:rPr>
        <w:t>BX] with the least amount of force possible, however, [</w:t>
      </w:r>
      <w:r w:rsidR="007F38A4">
        <w:rPr>
          <w:rFonts w:cs="Open Sans"/>
          <w:sz w:val="22"/>
          <w:szCs w:val="22"/>
        </w:rPr>
        <w:t xml:space="preserve">Mr </w:t>
      </w:r>
      <w:r w:rsidRPr="001253CA">
        <w:rPr>
          <w:rFonts w:cs="Open Sans"/>
          <w:sz w:val="22"/>
          <w:szCs w:val="22"/>
        </w:rPr>
        <w:t>BX] accelerated his trajectory of non-compliance.</w:t>
      </w:r>
    </w:p>
    <w:p w14:paraId="402EBAE4" w14:textId="77A2D5CA" w:rsidR="0069740B" w:rsidRPr="001253CA" w:rsidRDefault="0069740B" w:rsidP="00F02D5A">
      <w:pPr>
        <w:numPr>
          <w:ilvl w:val="0"/>
          <w:numId w:val="20"/>
        </w:numPr>
        <w:rPr>
          <w:rFonts w:cs="Open Sans"/>
        </w:rPr>
      </w:pPr>
      <w:r w:rsidRPr="001253CA">
        <w:rPr>
          <w:rFonts w:cs="Open Sans"/>
        </w:rPr>
        <w:t xml:space="preserve">I am not persuaded that this technique was necessary or that the level of force used to execute it was proportionate to </w:t>
      </w:r>
      <w:r w:rsidR="00762D40">
        <w:rPr>
          <w:rFonts w:cs="Open Sans"/>
        </w:rPr>
        <w:t xml:space="preserve">Mr </w:t>
      </w:r>
      <w:r w:rsidRPr="001253CA">
        <w:rPr>
          <w:rFonts w:cs="Open Sans"/>
        </w:rPr>
        <w:t xml:space="preserve">BX’s perceived risk. I find that it was the use of force itself that ‘accelerated his trajectory of non-compliance’. </w:t>
      </w:r>
    </w:p>
    <w:p w14:paraId="5BC48F53" w14:textId="520193D0" w:rsidR="0069740B" w:rsidRPr="001253CA" w:rsidRDefault="0069740B" w:rsidP="00F02D5A">
      <w:pPr>
        <w:numPr>
          <w:ilvl w:val="0"/>
          <w:numId w:val="20"/>
        </w:numPr>
        <w:rPr>
          <w:rFonts w:cs="Open Sans"/>
        </w:rPr>
      </w:pPr>
      <w:r w:rsidRPr="001253CA">
        <w:rPr>
          <w:rFonts w:cs="Open Sans"/>
        </w:rPr>
        <w:lastRenderedPageBreak/>
        <w:t xml:space="preserve">I further find that force was not used as a last resort. The ERT officer’s use of force occurred in immediate response to </w:t>
      </w:r>
      <w:r w:rsidR="00762D40">
        <w:rPr>
          <w:rFonts w:cs="Open Sans"/>
        </w:rPr>
        <w:t xml:space="preserve">Mr </w:t>
      </w:r>
      <w:r w:rsidRPr="001253CA">
        <w:rPr>
          <w:rFonts w:cs="Open Sans"/>
        </w:rPr>
        <w:t xml:space="preserve">BX raising his right fist up, in front of the officer’s face. I accept that the ERT officer may have reacted in response to perceiving an immediate threat of physical violence by </w:t>
      </w:r>
      <w:r w:rsidR="00762D40">
        <w:rPr>
          <w:rFonts w:cs="Open Sans"/>
        </w:rPr>
        <w:t xml:space="preserve">Mr </w:t>
      </w:r>
      <w:r w:rsidRPr="001253CA">
        <w:rPr>
          <w:rFonts w:cs="Open Sans"/>
        </w:rPr>
        <w:t xml:space="preserve">BX. However, the footage does not show </w:t>
      </w:r>
      <w:r w:rsidR="00762D40">
        <w:rPr>
          <w:rFonts w:cs="Open Sans"/>
        </w:rPr>
        <w:t>Mr</w:t>
      </w:r>
      <w:r w:rsidRPr="001253CA">
        <w:rPr>
          <w:rFonts w:cs="Open Sans"/>
        </w:rPr>
        <w:t xml:space="preserve"> BX being aggressive when he is initially directed to leave the room. He verbally agrees to do so and appears visibly calm as he moves around his belongings. Footage shows him raising his fist up to the ERT officer, but the </w:t>
      </w:r>
      <w:proofErr w:type="gramStart"/>
      <w:r w:rsidRPr="001253CA">
        <w:rPr>
          <w:rFonts w:cs="Open Sans"/>
        </w:rPr>
        <w:t>manner in which</w:t>
      </w:r>
      <w:proofErr w:type="gramEnd"/>
      <w:r w:rsidRPr="001253CA">
        <w:rPr>
          <w:rFonts w:cs="Open Sans"/>
        </w:rPr>
        <w:t xml:space="preserve"> he does so, appears to be more of a gesture as he goes to leave, rather than an actual attempt to make contact. The ERT officer responds immediately by using force. He does not attempt to communicate with </w:t>
      </w:r>
      <w:r w:rsidR="00265540">
        <w:rPr>
          <w:rFonts w:cs="Open Sans"/>
        </w:rPr>
        <w:t xml:space="preserve">Mr </w:t>
      </w:r>
      <w:r w:rsidRPr="001253CA">
        <w:rPr>
          <w:rFonts w:cs="Open Sans"/>
        </w:rPr>
        <w:t xml:space="preserve">BX at all or deploy any negotiation or de-escalation techniques. </w:t>
      </w:r>
    </w:p>
    <w:p w14:paraId="1EBB3C78" w14:textId="2ADDCCEF" w:rsidR="0069740B" w:rsidRPr="001253CA" w:rsidRDefault="0069740B" w:rsidP="00F02D5A">
      <w:pPr>
        <w:numPr>
          <w:ilvl w:val="0"/>
          <w:numId w:val="20"/>
        </w:numPr>
        <w:rPr>
          <w:rFonts w:cs="Open Sans"/>
        </w:rPr>
      </w:pPr>
      <w:r w:rsidRPr="001253CA">
        <w:rPr>
          <w:rFonts w:cs="Open Sans"/>
        </w:rPr>
        <w:t xml:space="preserve">In response to my preliminary view, the Department describes that, upon commencing the targeted room search, </w:t>
      </w:r>
      <w:r w:rsidR="00265540">
        <w:rPr>
          <w:rFonts w:cs="Open Sans"/>
        </w:rPr>
        <w:t xml:space="preserve">Mr </w:t>
      </w:r>
      <w:r w:rsidRPr="001253CA">
        <w:rPr>
          <w:rFonts w:cs="Open Sans"/>
        </w:rPr>
        <w:t xml:space="preserve">BX began ‘displaying intimidating, aggressive and abusive behaviour towards FDSP officers’, including attempting to close the door on officers. As previously indicated however, the footage does not support this version of events. </w:t>
      </w:r>
      <w:r w:rsidR="00265540">
        <w:rPr>
          <w:rFonts w:cs="Open Sans"/>
        </w:rPr>
        <w:t xml:space="preserve">Mr </w:t>
      </w:r>
      <w:r w:rsidRPr="001253CA">
        <w:rPr>
          <w:rFonts w:cs="Open Sans"/>
        </w:rPr>
        <w:t>BX is both seen and heard to comply with the ERT officer’s direction to leave the room. Footage also shows Mr BX situated near the back of the room when the door opens</w:t>
      </w:r>
      <w:r w:rsidR="00265540">
        <w:rPr>
          <w:rFonts w:cs="Open Sans"/>
        </w:rPr>
        <w:t>,</w:t>
      </w:r>
      <w:r w:rsidRPr="001253CA">
        <w:rPr>
          <w:rFonts w:cs="Open Sans"/>
        </w:rPr>
        <w:t xml:space="preserve"> and it is the ERT officer who is the one holding the door open as the detainees go to leave. </w:t>
      </w:r>
    </w:p>
    <w:p w14:paraId="100B8EDB" w14:textId="011D1185" w:rsidR="0069740B" w:rsidRPr="001253CA" w:rsidRDefault="0069740B" w:rsidP="00F02D5A">
      <w:pPr>
        <w:numPr>
          <w:ilvl w:val="0"/>
          <w:numId w:val="20"/>
        </w:numPr>
        <w:rPr>
          <w:rFonts w:cs="Open Sans"/>
        </w:rPr>
      </w:pPr>
      <w:r w:rsidRPr="001253CA">
        <w:rPr>
          <w:rFonts w:cs="Open Sans"/>
        </w:rPr>
        <w:t xml:space="preserve">In relation to the very serious allegations made by </w:t>
      </w:r>
      <w:r w:rsidR="00265540">
        <w:rPr>
          <w:rFonts w:cs="Open Sans"/>
        </w:rPr>
        <w:t>Mr</w:t>
      </w:r>
      <w:r w:rsidRPr="001253CA">
        <w:rPr>
          <w:rFonts w:cs="Open Sans"/>
        </w:rPr>
        <w:t xml:space="preserve"> BX that he was kneed to the head during his subsequent ground stabilisation and punched by another officer who ran into the room, I am not able to be satisfied that these actions occurred. The footage does not capture the specific actions of the ERT officers involved in restraining </w:t>
      </w:r>
      <w:r w:rsidR="00265540">
        <w:rPr>
          <w:rFonts w:cs="Open Sans"/>
        </w:rPr>
        <w:t xml:space="preserve">Mr </w:t>
      </w:r>
      <w:r w:rsidRPr="001253CA">
        <w:rPr>
          <w:rFonts w:cs="Open Sans"/>
        </w:rPr>
        <w:t xml:space="preserve">BX. Neither does it capture the alleged actions of </w:t>
      </w:r>
      <w:r w:rsidR="00265540">
        <w:rPr>
          <w:rFonts w:cs="Open Sans"/>
        </w:rPr>
        <w:t xml:space="preserve">Mr </w:t>
      </w:r>
      <w:r w:rsidRPr="001253CA">
        <w:rPr>
          <w:rFonts w:cs="Open Sans"/>
        </w:rPr>
        <w:t xml:space="preserve">BX striking ERT officers. </w:t>
      </w:r>
    </w:p>
    <w:p w14:paraId="26741112" w14:textId="152221D3" w:rsidR="0069740B" w:rsidRPr="001253CA" w:rsidRDefault="0069740B" w:rsidP="00F02D5A">
      <w:pPr>
        <w:numPr>
          <w:ilvl w:val="0"/>
          <w:numId w:val="20"/>
        </w:numPr>
        <w:rPr>
          <w:rFonts w:cs="Open Sans"/>
          <w:sz w:val="22"/>
          <w:szCs w:val="22"/>
        </w:rPr>
      </w:pPr>
      <w:r w:rsidRPr="001253CA">
        <w:rPr>
          <w:rFonts w:cs="Open Sans"/>
        </w:rPr>
        <w:t xml:space="preserve">I am concerned regarding the actions of the ERT officer who initiated an open hand strike towards </w:t>
      </w:r>
      <w:r w:rsidR="008B4107">
        <w:rPr>
          <w:rFonts w:cs="Open Sans"/>
        </w:rPr>
        <w:t xml:space="preserve">Mr </w:t>
      </w:r>
      <w:r w:rsidRPr="001253CA">
        <w:rPr>
          <w:rFonts w:cs="Open Sans"/>
        </w:rPr>
        <w:t xml:space="preserve">BX’s chest area, in response to the threat presented by him. It is unclear why a strike of this manner to his chest was necessary to gain control of his right wrist, even where he was holding the wand in his right hand. At that point, there appear to have been </w:t>
      </w:r>
      <w:r w:rsidR="008B4107">
        <w:rPr>
          <w:rFonts w:cs="Open Sans"/>
        </w:rPr>
        <w:t>two</w:t>
      </w:r>
      <w:r w:rsidRPr="001253CA">
        <w:rPr>
          <w:rFonts w:cs="Open Sans"/>
        </w:rPr>
        <w:t xml:space="preserve"> ERT officers on top of </w:t>
      </w:r>
      <w:r w:rsidR="00E229C6">
        <w:rPr>
          <w:rFonts w:cs="Open Sans"/>
        </w:rPr>
        <w:t xml:space="preserve">Mr </w:t>
      </w:r>
      <w:r w:rsidRPr="001253CA">
        <w:rPr>
          <w:rFonts w:cs="Open Sans"/>
        </w:rPr>
        <w:t xml:space="preserve">BX, restraining him. </w:t>
      </w:r>
    </w:p>
    <w:p w14:paraId="4DBFAB24" w14:textId="77777777" w:rsidR="0069740B" w:rsidRPr="001253CA" w:rsidRDefault="0069740B" w:rsidP="00F02D5A">
      <w:pPr>
        <w:numPr>
          <w:ilvl w:val="0"/>
          <w:numId w:val="20"/>
        </w:numPr>
        <w:rPr>
          <w:rFonts w:cs="Open Sans"/>
          <w:sz w:val="22"/>
          <w:szCs w:val="22"/>
        </w:rPr>
      </w:pPr>
      <w:r w:rsidRPr="001253CA">
        <w:rPr>
          <w:rFonts w:cs="Open Sans"/>
        </w:rPr>
        <w:t xml:space="preserve">In response to my preliminary view, the Department stated: </w:t>
      </w:r>
    </w:p>
    <w:p w14:paraId="4D15687B" w14:textId="3B68F052" w:rsidR="0069740B" w:rsidRPr="001253CA" w:rsidRDefault="0069740B" w:rsidP="0069740B">
      <w:pPr>
        <w:ind w:left="1440"/>
        <w:rPr>
          <w:rFonts w:cs="Open Sans"/>
          <w:sz w:val="22"/>
          <w:szCs w:val="22"/>
        </w:rPr>
      </w:pPr>
      <w:r w:rsidRPr="001253CA">
        <w:rPr>
          <w:rFonts w:cs="Open Sans"/>
          <w:sz w:val="22"/>
          <w:szCs w:val="22"/>
        </w:rPr>
        <w:t xml:space="preserve">During the FDSP officers’ attempt to implement ground stabilisation, </w:t>
      </w:r>
      <w:r w:rsidR="008B4107">
        <w:rPr>
          <w:rFonts w:cs="Open Sans"/>
          <w:sz w:val="22"/>
          <w:szCs w:val="22"/>
        </w:rPr>
        <w:t xml:space="preserve">Mr </w:t>
      </w:r>
      <w:r w:rsidRPr="001253CA">
        <w:rPr>
          <w:rFonts w:cs="Open Sans"/>
          <w:sz w:val="22"/>
          <w:szCs w:val="22"/>
        </w:rPr>
        <w:t>BX picked up a fallen search wand and progressed to utilise the search wand as a weapon to strike an officer repeatedly and attempted to strike another, while concurrently kicking his legs and flailing his arms. As soon as officers were able to gain control of [</w:t>
      </w:r>
      <w:r w:rsidR="008B4107">
        <w:rPr>
          <w:rFonts w:cs="Open Sans"/>
          <w:sz w:val="22"/>
          <w:szCs w:val="22"/>
        </w:rPr>
        <w:t xml:space="preserve">Mr </w:t>
      </w:r>
      <w:r w:rsidRPr="001253CA">
        <w:rPr>
          <w:rFonts w:cs="Open Sans"/>
          <w:sz w:val="22"/>
          <w:szCs w:val="22"/>
        </w:rPr>
        <w:t>BX], mechanical restraints were applied in a reasonable and proportionate response to [</w:t>
      </w:r>
      <w:r w:rsidR="008B4107">
        <w:rPr>
          <w:rFonts w:cs="Open Sans"/>
          <w:sz w:val="22"/>
          <w:szCs w:val="22"/>
        </w:rPr>
        <w:t xml:space="preserve">Mr </w:t>
      </w:r>
      <w:r w:rsidRPr="001253CA">
        <w:rPr>
          <w:rFonts w:cs="Open Sans"/>
          <w:sz w:val="22"/>
          <w:szCs w:val="22"/>
        </w:rPr>
        <w:t>BX’s] erratic and unpredictable behaviour. The actions of [</w:t>
      </w:r>
      <w:r w:rsidR="008B4107">
        <w:rPr>
          <w:rFonts w:cs="Open Sans"/>
          <w:sz w:val="22"/>
          <w:szCs w:val="22"/>
        </w:rPr>
        <w:t xml:space="preserve">Mr </w:t>
      </w:r>
      <w:r w:rsidRPr="001253CA">
        <w:rPr>
          <w:rFonts w:cs="Open Sans"/>
          <w:sz w:val="22"/>
          <w:szCs w:val="22"/>
        </w:rPr>
        <w:t>BX], including the intimidation and aggression he displayed towards officers at the beginning of the incident, were such that multiple FDSP officers reported to be in fear and danger of being assaulted by [</w:t>
      </w:r>
      <w:r w:rsidR="008B4107">
        <w:rPr>
          <w:rFonts w:cs="Open Sans"/>
          <w:sz w:val="22"/>
          <w:szCs w:val="22"/>
        </w:rPr>
        <w:t xml:space="preserve">Mr </w:t>
      </w:r>
      <w:r w:rsidRPr="001253CA">
        <w:rPr>
          <w:rFonts w:cs="Open Sans"/>
          <w:sz w:val="22"/>
          <w:szCs w:val="22"/>
        </w:rPr>
        <w:t>BX].</w:t>
      </w:r>
    </w:p>
    <w:p w14:paraId="49561FCF" w14:textId="59785366" w:rsidR="0069740B" w:rsidRPr="001253CA" w:rsidRDefault="0069740B" w:rsidP="00F02D5A">
      <w:pPr>
        <w:numPr>
          <w:ilvl w:val="0"/>
          <w:numId w:val="20"/>
        </w:numPr>
        <w:rPr>
          <w:rFonts w:cs="Open Sans"/>
          <w:sz w:val="22"/>
          <w:szCs w:val="22"/>
        </w:rPr>
      </w:pPr>
      <w:r w:rsidRPr="001253CA">
        <w:rPr>
          <w:rFonts w:cs="Open Sans"/>
        </w:rPr>
        <w:lastRenderedPageBreak/>
        <w:t xml:space="preserve">It </w:t>
      </w:r>
      <w:proofErr w:type="gramStart"/>
      <w:r w:rsidRPr="001253CA">
        <w:rPr>
          <w:rFonts w:cs="Open Sans"/>
        </w:rPr>
        <w:t>still remains</w:t>
      </w:r>
      <w:proofErr w:type="gramEnd"/>
      <w:r w:rsidRPr="001253CA">
        <w:rPr>
          <w:rFonts w:cs="Open Sans"/>
        </w:rPr>
        <w:t xml:space="preserve"> unclear however, why an ‘open hand strike’ to </w:t>
      </w:r>
      <w:r w:rsidR="00991527">
        <w:rPr>
          <w:rFonts w:cs="Open Sans"/>
        </w:rPr>
        <w:t xml:space="preserve">Mr </w:t>
      </w:r>
      <w:r w:rsidRPr="001253CA">
        <w:rPr>
          <w:rFonts w:cs="Open Sans"/>
        </w:rPr>
        <w:t xml:space="preserve">BX’s chest area was necessary and reasonable to extract the wand from his right hand, particularly where </w:t>
      </w:r>
      <w:r w:rsidR="00991527">
        <w:rPr>
          <w:rFonts w:cs="Open Sans"/>
        </w:rPr>
        <w:t>two</w:t>
      </w:r>
      <w:r w:rsidRPr="001253CA">
        <w:rPr>
          <w:rFonts w:cs="Open Sans"/>
        </w:rPr>
        <w:t xml:space="preserve"> ERT officers were on top of </w:t>
      </w:r>
      <w:r w:rsidR="00991527">
        <w:rPr>
          <w:rFonts w:cs="Open Sans"/>
        </w:rPr>
        <w:t xml:space="preserve">Mr </w:t>
      </w:r>
      <w:r w:rsidRPr="001253CA">
        <w:rPr>
          <w:rFonts w:cs="Open Sans"/>
        </w:rPr>
        <w:t xml:space="preserve">BX. </w:t>
      </w:r>
    </w:p>
    <w:p w14:paraId="080F1BF9" w14:textId="77777777" w:rsidR="0069740B" w:rsidRPr="001253CA" w:rsidRDefault="0069740B" w:rsidP="00F02D5A">
      <w:pPr>
        <w:numPr>
          <w:ilvl w:val="0"/>
          <w:numId w:val="20"/>
        </w:numPr>
        <w:rPr>
          <w:rFonts w:cs="Open Sans"/>
        </w:rPr>
      </w:pPr>
      <w:r w:rsidRPr="001253CA">
        <w:rPr>
          <w:rFonts w:cs="Open Sans"/>
        </w:rPr>
        <w:t xml:space="preserve">I also find it concerning that the door to the room was closed shortly after the third detainee walked in and remained closed for approximately 4 minutes while all three detainees were being restrained. As this was an accommodation room, it did not have any CCTV coverage. I accept this was an unplanned use of force in a fast-moving situation, however closing the door was more likely to result in the absence of clear footage with multiple officers and detainees being held together in a tight space with no clear external lines of sight. </w:t>
      </w:r>
    </w:p>
    <w:p w14:paraId="46B0D5C8" w14:textId="78244F49" w:rsidR="0069740B" w:rsidRPr="001253CA" w:rsidRDefault="0069740B" w:rsidP="00F02D5A">
      <w:pPr>
        <w:numPr>
          <w:ilvl w:val="0"/>
          <w:numId w:val="20"/>
        </w:numPr>
        <w:rPr>
          <w:rFonts w:cs="Open Sans"/>
        </w:rPr>
      </w:pPr>
      <w:r w:rsidRPr="001253CA">
        <w:rPr>
          <w:rFonts w:cs="Open Sans"/>
        </w:rPr>
        <w:t xml:space="preserve">Although the number of ERT officers initially deployed to the scene (approximately </w:t>
      </w:r>
      <w:r w:rsidR="00E15A24">
        <w:rPr>
          <w:rFonts w:cs="Open Sans"/>
        </w:rPr>
        <w:t>nine</w:t>
      </w:r>
      <w:r w:rsidRPr="001253CA">
        <w:rPr>
          <w:rFonts w:cs="Open Sans"/>
        </w:rPr>
        <w:t xml:space="preserve"> in total), appears excessive based on the room search of one detainee, I consider this number then became reasonable, </w:t>
      </w:r>
      <w:proofErr w:type="gramStart"/>
      <w:r w:rsidRPr="001253CA">
        <w:rPr>
          <w:rFonts w:cs="Open Sans"/>
        </w:rPr>
        <w:t>in light of</w:t>
      </w:r>
      <w:proofErr w:type="gramEnd"/>
      <w:r w:rsidRPr="001253CA">
        <w:rPr>
          <w:rFonts w:cs="Open Sans"/>
        </w:rPr>
        <w:t xml:space="preserve"> the subsequent ground stabilisation of all three detainees.  </w:t>
      </w:r>
    </w:p>
    <w:p w14:paraId="09062796" w14:textId="3F921C2A" w:rsidR="0069740B" w:rsidRPr="001253CA" w:rsidRDefault="0069740B" w:rsidP="00F02D5A">
      <w:pPr>
        <w:numPr>
          <w:ilvl w:val="0"/>
          <w:numId w:val="20"/>
        </w:numPr>
        <w:rPr>
          <w:rFonts w:cs="Open Sans"/>
          <w:sz w:val="22"/>
          <w:szCs w:val="22"/>
        </w:rPr>
      </w:pPr>
      <w:r w:rsidRPr="001253CA">
        <w:rPr>
          <w:rFonts w:cs="Open Sans"/>
        </w:rPr>
        <w:t xml:space="preserve">I find that </w:t>
      </w:r>
      <w:r w:rsidR="00E67301">
        <w:rPr>
          <w:rFonts w:cs="Open Sans"/>
        </w:rPr>
        <w:t>Mr</w:t>
      </w:r>
      <w:r w:rsidRPr="001253CA">
        <w:rPr>
          <w:rFonts w:cs="Open Sans"/>
        </w:rPr>
        <w:t xml:space="preserve"> BX’s complaint that once he was carried out of the room towards property, he was placed to the ground and punched and kicked, is not supported by the footage. </w:t>
      </w:r>
    </w:p>
    <w:p w14:paraId="4C29555F" w14:textId="6728F156" w:rsidR="0069740B" w:rsidRPr="001253CA" w:rsidRDefault="0069740B" w:rsidP="00F02D5A">
      <w:pPr>
        <w:numPr>
          <w:ilvl w:val="0"/>
          <w:numId w:val="20"/>
        </w:numPr>
        <w:rPr>
          <w:rFonts w:cs="Open Sans"/>
          <w:sz w:val="22"/>
          <w:szCs w:val="22"/>
        </w:rPr>
      </w:pPr>
      <w:r w:rsidRPr="001253CA">
        <w:rPr>
          <w:rFonts w:cs="Open Sans"/>
        </w:rPr>
        <w:t xml:space="preserve">In response to my preliminary view, the Department submitted that Serco officers did not use excessive force on </w:t>
      </w:r>
      <w:r w:rsidR="00E67301">
        <w:rPr>
          <w:rFonts w:cs="Open Sans"/>
        </w:rPr>
        <w:t xml:space="preserve">Mr </w:t>
      </w:r>
      <w:r w:rsidRPr="001253CA">
        <w:rPr>
          <w:rFonts w:cs="Open Sans"/>
        </w:rPr>
        <w:t xml:space="preserve">BX during the incident on 22 November 2020, and that the force was used as a last resort. The Department highlighted </w:t>
      </w:r>
      <w:r w:rsidR="004328B9">
        <w:rPr>
          <w:rFonts w:cs="Open Sans"/>
        </w:rPr>
        <w:t>Mr</w:t>
      </w:r>
      <w:r w:rsidRPr="001253CA">
        <w:rPr>
          <w:rFonts w:cs="Open Sans"/>
        </w:rPr>
        <w:t xml:space="preserve"> BX’s ‘extensive history of serious violence’ and provided his Security Risk Assessment which shows a ‘high’ risk for aggression/violence and criminal profile. I note that this was an unplanned use of force event and consider the assessment is of less significance in these circumstances. </w:t>
      </w:r>
    </w:p>
    <w:p w14:paraId="68BCF9F9" w14:textId="110DF4DC" w:rsidR="0069740B" w:rsidRPr="001253CA" w:rsidRDefault="0069740B" w:rsidP="00F02D5A">
      <w:pPr>
        <w:numPr>
          <w:ilvl w:val="0"/>
          <w:numId w:val="20"/>
        </w:numPr>
        <w:rPr>
          <w:rFonts w:cs="Open Sans"/>
        </w:rPr>
      </w:pPr>
      <w:r w:rsidRPr="001253CA">
        <w:rPr>
          <w:rFonts w:cs="Open Sans"/>
        </w:rPr>
        <w:t xml:space="preserve">I find that the injuries </w:t>
      </w:r>
      <w:r w:rsidR="00E67301">
        <w:rPr>
          <w:rFonts w:cs="Open Sans"/>
        </w:rPr>
        <w:t>Mr</w:t>
      </w:r>
      <w:r w:rsidRPr="001253CA">
        <w:rPr>
          <w:rFonts w:cs="Open Sans"/>
        </w:rPr>
        <w:t xml:space="preserve"> BX sustained were a result of the use of force. I note that the Department acknowledges that, ‘it is likely that injuries occurred during ground stabilisation while the detainee continued to physically resist the officer’s attempt to stabilise him. Serco cannot confirm the exact point of injuries occurring during the control and restraint of the detainee.’</w:t>
      </w:r>
    </w:p>
    <w:p w14:paraId="34CEA4D7" w14:textId="7B90B5A6" w:rsidR="0069740B" w:rsidRPr="001253CA" w:rsidRDefault="0069740B" w:rsidP="00F02D5A">
      <w:pPr>
        <w:numPr>
          <w:ilvl w:val="0"/>
          <w:numId w:val="20"/>
        </w:numPr>
        <w:rPr>
          <w:rFonts w:cs="Open Sans"/>
        </w:rPr>
      </w:pPr>
      <w:r w:rsidRPr="001253CA">
        <w:rPr>
          <w:rFonts w:cs="Open Sans"/>
        </w:rPr>
        <w:t xml:space="preserve">In response to my preliminary view, the Department reaffirmed its view that </w:t>
      </w:r>
      <w:r w:rsidR="00203389">
        <w:rPr>
          <w:rFonts w:cs="Open Sans"/>
        </w:rPr>
        <w:t>Mr</w:t>
      </w:r>
      <w:r w:rsidRPr="001253CA">
        <w:rPr>
          <w:rFonts w:cs="Open Sans"/>
        </w:rPr>
        <w:t xml:space="preserve"> BX obtained his facial injuries whilst being ground stabilised, but reiterated its view that the use of force was reasonable and appropriate </w:t>
      </w:r>
      <w:proofErr w:type="gramStart"/>
      <w:r w:rsidRPr="001253CA">
        <w:rPr>
          <w:rFonts w:cs="Open Sans"/>
        </w:rPr>
        <w:t>in light of</w:t>
      </w:r>
      <w:proofErr w:type="gramEnd"/>
      <w:r w:rsidRPr="001253CA">
        <w:rPr>
          <w:rFonts w:cs="Open Sans"/>
        </w:rPr>
        <w:t xml:space="preserve"> </w:t>
      </w:r>
      <w:r w:rsidR="00203389">
        <w:rPr>
          <w:rFonts w:cs="Open Sans"/>
        </w:rPr>
        <w:t xml:space="preserve">Mr </w:t>
      </w:r>
      <w:r w:rsidRPr="001253CA">
        <w:rPr>
          <w:rFonts w:cs="Open Sans"/>
        </w:rPr>
        <w:t xml:space="preserve">BX’s escalating and threatening behaviour. </w:t>
      </w:r>
    </w:p>
    <w:p w14:paraId="7696AEB5" w14:textId="4A2E1615" w:rsidR="0069740B" w:rsidRPr="001253CA" w:rsidRDefault="00203389" w:rsidP="00F02D5A">
      <w:pPr>
        <w:numPr>
          <w:ilvl w:val="0"/>
          <w:numId w:val="20"/>
        </w:numPr>
        <w:rPr>
          <w:rFonts w:cs="Open Sans"/>
        </w:rPr>
      </w:pPr>
      <w:r>
        <w:rPr>
          <w:rFonts w:cs="Open Sans"/>
        </w:rPr>
        <w:t xml:space="preserve">Mr </w:t>
      </w:r>
      <w:r w:rsidR="0069740B" w:rsidRPr="001253CA">
        <w:rPr>
          <w:rFonts w:cs="Open Sans"/>
        </w:rPr>
        <w:t xml:space="preserve">BX’s injuries are serious and consist of bilateral nasal bone fractures, a left ear tympanic membrane perforation and multiple bruises around his eyes, </w:t>
      </w:r>
      <w:proofErr w:type="gramStart"/>
      <w:r w:rsidR="0069740B" w:rsidRPr="001253CA">
        <w:rPr>
          <w:rFonts w:cs="Open Sans"/>
        </w:rPr>
        <w:t>face</w:t>
      </w:r>
      <w:proofErr w:type="gramEnd"/>
      <w:r w:rsidR="0069740B" w:rsidRPr="001253CA">
        <w:rPr>
          <w:rFonts w:cs="Open Sans"/>
        </w:rPr>
        <w:t xml:space="preserve"> and scalp. I note that there are no photos of his injuries, despite their seriousness. He has also reported difficulties with breathing and </w:t>
      </w:r>
      <w:proofErr w:type="gramStart"/>
      <w:r w:rsidR="0069740B" w:rsidRPr="001253CA">
        <w:rPr>
          <w:rFonts w:cs="Open Sans"/>
        </w:rPr>
        <w:t>pain</w:t>
      </w:r>
      <w:r w:rsidR="00134A33">
        <w:rPr>
          <w:rFonts w:cs="Open Sans"/>
        </w:rPr>
        <w:t>,</w:t>
      </w:r>
      <w:r w:rsidR="0069740B" w:rsidRPr="001253CA">
        <w:rPr>
          <w:rFonts w:cs="Open Sans"/>
        </w:rPr>
        <w:t xml:space="preserve"> and</w:t>
      </w:r>
      <w:proofErr w:type="gramEnd"/>
      <w:r w:rsidR="0069740B" w:rsidRPr="001253CA">
        <w:rPr>
          <w:rFonts w:cs="Open Sans"/>
        </w:rPr>
        <w:t xml:space="preserve"> was referred for counselling due to feeling anxious and stressed about the incident. </w:t>
      </w:r>
    </w:p>
    <w:p w14:paraId="0DB95775" w14:textId="01D2FF2C" w:rsidR="0069740B" w:rsidRPr="001253CA" w:rsidRDefault="0069740B" w:rsidP="00F02D5A">
      <w:pPr>
        <w:numPr>
          <w:ilvl w:val="0"/>
          <w:numId w:val="20"/>
        </w:numPr>
        <w:rPr>
          <w:rFonts w:cs="Open Sans"/>
        </w:rPr>
      </w:pPr>
      <w:r w:rsidRPr="001253CA">
        <w:rPr>
          <w:rFonts w:cs="Open Sans"/>
        </w:rPr>
        <w:t xml:space="preserve">The seriousness of his injuries suggests at the very least, that a significant level of force was used to restrain him. I note that </w:t>
      </w:r>
      <w:r w:rsidR="00134A33">
        <w:rPr>
          <w:rFonts w:cs="Open Sans"/>
        </w:rPr>
        <w:t>Mr</w:t>
      </w:r>
      <w:r w:rsidRPr="001253CA">
        <w:rPr>
          <w:rFonts w:cs="Open Sans"/>
        </w:rPr>
        <w:t xml:space="preserve"> BX is not of large build. Documents provided to the Department on his behalf and subsequently provided to the Commission indicate that he is 170cm and 65kg. The perforation of his ear drum may have been caused by the ERT officer grabbing the sides of his head, however the fractures to his nose and bruising </w:t>
      </w:r>
      <w:r w:rsidRPr="001253CA">
        <w:rPr>
          <w:rFonts w:cs="Open Sans"/>
        </w:rPr>
        <w:lastRenderedPageBreak/>
        <w:t xml:space="preserve">around his eyes and face, cannot as easily be explained and raises serious questions. </w:t>
      </w:r>
    </w:p>
    <w:p w14:paraId="1A5CE72B" w14:textId="300D8FC8" w:rsidR="0069740B" w:rsidRPr="001253CA" w:rsidRDefault="0069740B" w:rsidP="00F02D5A">
      <w:pPr>
        <w:numPr>
          <w:ilvl w:val="0"/>
          <w:numId w:val="20"/>
        </w:numPr>
        <w:rPr>
          <w:rFonts w:cs="Open Sans"/>
        </w:rPr>
      </w:pPr>
      <w:r w:rsidRPr="001253CA">
        <w:rPr>
          <w:rFonts w:cs="Open Sans"/>
        </w:rPr>
        <w:t xml:space="preserve">I consider that </w:t>
      </w:r>
      <w:r w:rsidR="00134A33">
        <w:rPr>
          <w:rFonts w:cs="Open Sans"/>
        </w:rPr>
        <w:t>Mr</w:t>
      </w:r>
      <w:r w:rsidRPr="001253CA">
        <w:rPr>
          <w:rFonts w:cs="Open Sans"/>
        </w:rPr>
        <w:t xml:space="preserve"> BX may have lost consciousness at some point shortly after being ground stabilised. Footage shows his head on the floor with his eyes closed and his body still. After being carried out of the room, his head is seen hanging forward. Shortly after, </w:t>
      </w:r>
      <w:r w:rsidR="00134A33">
        <w:rPr>
          <w:rFonts w:cs="Open Sans"/>
        </w:rPr>
        <w:t>Mr</w:t>
      </w:r>
      <w:r w:rsidRPr="001253CA">
        <w:rPr>
          <w:rFonts w:cs="Open Sans"/>
        </w:rPr>
        <w:t xml:space="preserve"> BX is placed to the ground in a recovery position, medical assistance is requested and a Serco officer’s report states that he appears ‘unconscious’ but breathing. It is unclear at what point </w:t>
      </w:r>
      <w:r w:rsidR="008246AD">
        <w:rPr>
          <w:rFonts w:cs="Open Sans"/>
        </w:rPr>
        <w:t xml:space="preserve">Mr </w:t>
      </w:r>
      <w:r w:rsidRPr="001253CA">
        <w:rPr>
          <w:rFonts w:cs="Open Sans"/>
        </w:rPr>
        <w:t xml:space="preserve">BX regained consciousness, but I note that later footage of ambulance officers arriving at VIDC, suggests some responsiveness on his part. </w:t>
      </w:r>
    </w:p>
    <w:p w14:paraId="791D10EB" w14:textId="77777777" w:rsidR="0069740B" w:rsidRPr="001253CA" w:rsidRDefault="0069740B" w:rsidP="00F02D5A">
      <w:pPr>
        <w:numPr>
          <w:ilvl w:val="0"/>
          <w:numId w:val="20"/>
        </w:numPr>
        <w:rPr>
          <w:rFonts w:cs="Open Sans"/>
        </w:rPr>
      </w:pPr>
      <w:r w:rsidRPr="001253CA">
        <w:rPr>
          <w:rFonts w:cs="Open Sans"/>
        </w:rPr>
        <w:t>In response to my preliminary view, the Department stated that:</w:t>
      </w:r>
    </w:p>
    <w:p w14:paraId="54436B6E" w14:textId="77777777" w:rsidR="00C77C57" w:rsidRDefault="0069740B" w:rsidP="0069740B">
      <w:pPr>
        <w:ind w:left="1440"/>
        <w:rPr>
          <w:rFonts w:cs="Open Sans"/>
          <w:sz w:val="22"/>
          <w:szCs w:val="22"/>
        </w:rPr>
      </w:pPr>
      <w:r w:rsidRPr="001253CA">
        <w:rPr>
          <w:rFonts w:cs="Open Sans"/>
          <w:sz w:val="22"/>
          <w:szCs w:val="22"/>
        </w:rPr>
        <w:t>FDSP officers escorting [</w:t>
      </w:r>
      <w:r w:rsidR="00C77C57">
        <w:rPr>
          <w:rFonts w:cs="Open Sans"/>
          <w:sz w:val="22"/>
          <w:szCs w:val="22"/>
        </w:rPr>
        <w:t xml:space="preserve">Mr </w:t>
      </w:r>
      <w:r w:rsidRPr="001253CA">
        <w:rPr>
          <w:rFonts w:cs="Open Sans"/>
          <w:sz w:val="22"/>
          <w:szCs w:val="22"/>
        </w:rPr>
        <w:t>BX] to the property room immediately following the incident reported that [</w:t>
      </w:r>
      <w:r w:rsidR="00C77C57">
        <w:rPr>
          <w:rFonts w:cs="Open Sans"/>
          <w:sz w:val="22"/>
          <w:szCs w:val="22"/>
        </w:rPr>
        <w:t xml:space="preserve">Mr </w:t>
      </w:r>
      <w:r w:rsidRPr="001253CA">
        <w:rPr>
          <w:rFonts w:cs="Open Sans"/>
          <w:sz w:val="22"/>
          <w:szCs w:val="22"/>
        </w:rPr>
        <w:t>BX] continued to display resistance and non-compliance during the escort, including attempting to trip an officer, dropping his (body) weight and dragging his feet. FDSP officers temporarily ceased the escort, placing [</w:t>
      </w:r>
      <w:r w:rsidR="00C77C57">
        <w:rPr>
          <w:rFonts w:cs="Open Sans"/>
          <w:sz w:val="22"/>
          <w:szCs w:val="22"/>
        </w:rPr>
        <w:t xml:space="preserve">Mr </w:t>
      </w:r>
      <w:r w:rsidRPr="001253CA">
        <w:rPr>
          <w:rFonts w:cs="Open Sans"/>
          <w:sz w:val="22"/>
          <w:szCs w:val="22"/>
        </w:rPr>
        <w:t xml:space="preserve">BX] down on a grassed area of a compound, </w:t>
      </w:r>
      <w:proofErr w:type="gramStart"/>
      <w:r w:rsidRPr="001253CA">
        <w:rPr>
          <w:rFonts w:cs="Open Sans"/>
          <w:sz w:val="22"/>
          <w:szCs w:val="22"/>
        </w:rPr>
        <w:t>in order to</w:t>
      </w:r>
      <w:proofErr w:type="gramEnd"/>
      <w:r w:rsidRPr="001253CA">
        <w:rPr>
          <w:rFonts w:cs="Open Sans"/>
          <w:sz w:val="22"/>
          <w:szCs w:val="22"/>
        </w:rPr>
        <w:t xml:space="preserve"> rest due to his challenging presentation and to ensure his wellbeing </w:t>
      </w:r>
    </w:p>
    <w:p w14:paraId="6B1EFF54" w14:textId="36A0DCCD" w:rsidR="0069740B" w:rsidRPr="001253CA" w:rsidRDefault="0069740B" w:rsidP="0069740B">
      <w:pPr>
        <w:ind w:left="1440"/>
        <w:rPr>
          <w:rFonts w:cs="Open Sans"/>
          <w:sz w:val="22"/>
          <w:szCs w:val="22"/>
        </w:rPr>
      </w:pPr>
      <w:r w:rsidRPr="001253CA">
        <w:rPr>
          <w:rFonts w:cs="Open Sans"/>
          <w:sz w:val="22"/>
          <w:szCs w:val="22"/>
        </w:rPr>
        <w:t xml:space="preserve">… </w:t>
      </w:r>
    </w:p>
    <w:p w14:paraId="1F363261" w14:textId="0DD3E0AC" w:rsidR="0069740B" w:rsidRPr="001253CA" w:rsidRDefault="0069740B" w:rsidP="0069740B">
      <w:pPr>
        <w:ind w:left="1440"/>
        <w:rPr>
          <w:rFonts w:cs="Open Sans"/>
          <w:sz w:val="22"/>
          <w:szCs w:val="22"/>
        </w:rPr>
      </w:pPr>
      <w:r w:rsidRPr="001253CA">
        <w:rPr>
          <w:rFonts w:cs="Open Sans"/>
          <w:sz w:val="22"/>
          <w:szCs w:val="22"/>
        </w:rPr>
        <w:t>During this time, the FDSP called for the assistance of the Detention Health Service Provider (DHSP) to assess [</w:t>
      </w:r>
      <w:r w:rsidR="00C77C57">
        <w:rPr>
          <w:rFonts w:cs="Open Sans"/>
          <w:sz w:val="22"/>
          <w:szCs w:val="22"/>
        </w:rPr>
        <w:t xml:space="preserve">Mr </w:t>
      </w:r>
      <w:r w:rsidRPr="001253CA">
        <w:rPr>
          <w:rFonts w:cs="Open Sans"/>
          <w:sz w:val="22"/>
          <w:szCs w:val="22"/>
        </w:rPr>
        <w:t>BX]. The DHSP responded and reported that [</w:t>
      </w:r>
      <w:r w:rsidR="008246AD">
        <w:rPr>
          <w:rFonts w:cs="Open Sans"/>
          <w:sz w:val="22"/>
          <w:szCs w:val="22"/>
        </w:rPr>
        <w:t xml:space="preserve">Mr </w:t>
      </w:r>
      <w:r w:rsidRPr="001253CA">
        <w:rPr>
          <w:rFonts w:cs="Open Sans"/>
          <w:sz w:val="22"/>
          <w:szCs w:val="22"/>
        </w:rPr>
        <w:t>BX] was breathing heavily with an elevated heart rate and normal eye response to light, however, [</w:t>
      </w:r>
      <w:r w:rsidR="00C77C57">
        <w:rPr>
          <w:rFonts w:cs="Open Sans"/>
          <w:sz w:val="22"/>
          <w:szCs w:val="22"/>
        </w:rPr>
        <w:t xml:space="preserve">Mr </w:t>
      </w:r>
      <w:r w:rsidRPr="001253CA">
        <w:rPr>
          <w:rFonts w:cs="Open Sans"/>
          <w:sz w:val="22"/>
          <w:szCs w:val="22"/>
        </w:rPr>
        <w:t>BX] was non-verbal in responding to the DHSP which triggered a recommendation that an ambulance attend to further assess [</w:t>
      </w:r>
      <w:r w:rsidR="00C77C57">
        <w:rPr>
          <w:rFonts w:cs="Open Sans"/>
          <w:sz w:val="22"/>
          <w:szCs w:val="22"/>
        </w:rPr>
        <w:t xml:space="preserve">Mr </w:t>
      </w:r>
      <w:r w:rsidRPr="001253CA">
        <w:rPr>
          <w:rFonts w:cs="Open Sans"/>
          <w:sz w:val="22"/>
          <w:szCs w:val="22"/>
        </w:rPr>
        <w:t xml:space="preserve">BX’s] wellbeing. </w:t>
      </w:r>
    </w:p>
    <w:p w14:paraId="7D376643" w14:textId="22A4B72F" w:rsidR="0069740B" w:rsidRDefault="0069740B" w:rsidP="00F02D5A">
      <w:pPr>
        <w:pStyle w:val="ListParagraph"/>
        <w:numPr>
          <w:ilvl w:val="0"/>
          <w:numId w:val="20"/>
        </w:numPr>
        <w:contextualSpacing/>
        <w:rPr>
          <w:rFonts w:cs="Open Sans"/>
        </w:rPr>
      </w:pPr>
      <w:r w:rsidRPr="001253CA">
        <w:rPr>
          <w:rFonts w:cs="Open Sans"/>
        </w:rPr>
        <w:t xml:space="preserve">The Department also sought to highlight the similarities between the use of force incidents on 22 July 2020 and 22 November 2020, describing </w:t>
      </w:r>
      <w:r w:rsidR="00CA5095">
        <w:rPr>
          <w:rFonts w:cs="Open Sans"/>
        </w:rPr>
        <w:t xml:space="preserve">Mr </w:t>
      </w:r>
      <w:r w:rsidRPr="001253CA">
        <w:rPr>
          <w:rFonts w:cs="Open Sans"/>
        </w:rPr>
        <w:t xml:space="preserve">BX’s aggressive and threatening behaviour and non-compliance before ‘allegedly becoming limp, and lacking indications of verbal responsiveness’, during escort to the property room. </w:t>
      </w:r>
    </w:p>
    <w:p w14:paraId="5BA5C0F7" w14:textId="77777777" w:rsidR="0069740B" w:rsidRDefault="0069740B" w:rsidP="0069740B">
      <w:pPr>
        <w:pStyle w:val="ListParagraph"/>
        <w:contextualSpacing/>
        <w:rPr>
          <w:rFonts w:cs="Open Sans"/>
        </w:rPr>
      </w:pPr>
    </w:p>
    <w:p w14:paraId="36F93F9F" w14:textId="770E159B" w:rsidR="0069740B" w:rsidRPr="0069740B" w:rsidRDefault="0069740B" w:rsidP="00F02D5A">
      <w:pPr>
        <w:pStyle w:val="ListParagraph"/>
        <w:numPr>
          <w:ilvl w:val="0"/>
          <w:numId w:val="20"/>
        </w:numPr>
        <w:contextualSpacing/>
        <w:rPr>
          <w:rFonts w:cs="Open Sans"/>
        </w:rPr>
      </w:pPr>
      <w:r w:rsidRPr="001253CA">
        <w:rPr>
          <w:rFonts w:cs="Open Sans"/>
        </w:rPr>
        <w:t xml:space="preserve">The Department submitted that in both incidents, Serco staff used reasonable and proportionate force to manage </w:t>
      </w:r>
      <w:r w:rsidR="00CA5095">
        <w:rPr>
          <w:rFonts w:cs="Open Sans"/>
        </w:rPr>
        <w:t xml:space="preserve">Mr </w:t>
      </w:r>
      <w:r w:rsidRPr="001253CA">
        <w:rPr>
          <w:rFonts w:cs="Open Sans"/>
        </w:rPr>
        <w:t xml:space="preserve">BX’s adverse behaviour when verbal de-escalation tactics were no longer appropriate and responded swiftly by seeking the assistance of IHMS.  </w:t>
      </w:r>
      <w:r>
        <w:rPr>
          <w:rFonts w:cs="Open Sans"/>
        </w:rPr>
        <w:br/>
      </w:r>
    </w:p>
    <w:p w14:paraId="7BA90564" w14:textId="4E384EF9" w:rsidR="0069740B" w:rsidRPr="001253CA" w:rsidRDefault="0069740B" w:rsidP="00F02D5A">
      <w:pPr>
        <w:pStyle w:val="ListParagraph"/>
        <w:numPr>
          <w:ilvl w:val="0"/>
          <w:numId w:val="20"/>
        </w:numPr>
        <w:contextualSpacing/>
        <w:rPr>
          <w:rFonts w:cs="Open Sans"/>
        </w:rPr>
      </w:pPr>
      <w:r w:rsidRPr="001253CA">
        <w:rPr>
          <w:rFonts w:cs="Open Sans"/>
        </w:rPr>
        <w:t xml:space="preserve">I note the Department’s response, however </w:t>
      </w:r>
      <w:r w:rsidR="00CA5095">
        <w:rPr>
          <w:rFonts w:cs="Open Sans"/>
        </w:rPr>
        <w:t>Mr</w:t>
      </w:r>
      <w:r w:rsidRPr="001253CA">
        <w:rPr>
          <w:rFonts w:cs="Open Sans"/>
        </w:rPr>
        <w:t xml:space="preserve"> BX’s complaint concerns two separate use of force incidents, each with very different circumstances. While I have found that the first incident did not amount to a breach of article 10 of the ICCPR, the second incident was more serious. In the second incident, force was not used as a last resort, the use of force techniques used were not necessary in the circumstances, and more force was used than was necessary in the circumstances resulting in serious injuries to </w:t>
      </w:r>
      <w:r w:rsidR="00FF03AD">
        <w:rPr>
          <w:rFonts w:cs="Open Sans"/>
        </w:rPr>
        <w:t xml:space="preserve">Mr </w:t>
      </w:r>
      <w:r w:rsidRPr="001253CA">
        <w:rPr>
          <w:rFonts w:cs="Open Sans"/>
        </w:rPr>
        <w:t xml:space="preserve">BX. </w:t>
      </w:r>
    </w:p>
    <w:p w14:paraId="51D27D5D" w14:textId="0F22DC43" w:rsidR="0069740B" w:rsidRDefault="0069740B" w:rsidP="0069740B">
      <w:pPr>
        <w:pStyle w:val="AHRCHeading2"/>
      </w:pPr>
      <w:bookmarkStart w:id="25" w:name="_Toc164768986"/>
      <w:r>
        <w:lastRenderedPageBreak/>
        <w:t>Use of restraints on 22 November 2020</w:t>
      </w:r>
      <w:bookmarkEnd w:id="25"/>
    </w:p>
    <w:p w14:paraId="6E583289" w14:textId="2BD84987" w:rsidR="0069740B" w:rsidRPr="001253CA" w:rsidRDefault="0069740B" w:rsidP="00F02D5A">
      <w:pPr>
        <w:numPr>
          <w:ilvl w:val="0"/>
          <w:numId w:val="20"/>
        </w:numPr>
        <w:rPr>
          <w:rFonts w:cs="Open Sans"/>
        </w:rPr>
      </w:pPr>
      <w:r w:rsidRPr="001253CA">
        <w:rPr>
          <w:rFonts w:cs="Open Sans"/>
        </w:rPr>
        <w:t xml:space="preserve">I find that although the initial use of handcuffs was reasonable in the circumstances, the use of mechanical restraints on </w:t>
      </w:r>
      <w:r w:rsidR="00FF03AD">
        <w:rPr>
          <w:rFonts w:cs="Open Sans"/>
        </w:rPr>
        <w:t xml:space="preserve">Mr </w:t>
      </w:r>
      <w:r w:rsidRPr="001253CA">
        <w:rPr>
          <w:rFonts w:cs="Open Sans"/>
        </w:rPr>
        <w:t xml:space="preserve">BX for almost 6 hours while being treated in hospital for very serious injuries, was not reasonable, </w:t>
      </w:r>
      <w:proofErr w:type="gramStart"/>
      <w:r w:rsidRPr="001253CA">
        <w:rPr>
          <w:rFonts w:cs="Open Sans"/>
        </w:rPr>
        <w:t>necessary</w:t>
      </w:r>
      <w:proofErr w:type="gramEnd"/>
      <w:r w:rsidRPr="001253CA">
        <w:rPr>
          <w:rFonts w:cs="Open Sans"/>
        </w:rPr>
        <w:t xml:space="preserve"> or proportionate to the need to protect </w:t>
      </w:r>
      <w:r w:rsidR="00FF03AD">
        <w:rPr>
          <w:rFonts w:cs="Open Sans"/>
        </w:rPr>
        <w:t xml:space="preserve">Mr </w:t>
      </w:r>
      <w:r w:rsidRPr="001253CA">
        <w:rPr>
          <w:rFonts w:cs="Open Sans"/>
        </w:rPr>
        <w:t xml:space="preserve">BX and the safety of others. </w:t>
      </w:r>
    </w:p>
    <w:p w14:paraId="4897A9E1" w14:textId="77777777" w:rsidR="0069740B" w:rsidRPr="001253CA" w:rsidRDefault="0069740B" w:rsidP="00F02D5A">
      <w:pPr>
        <w:numPr>
          <w:ilvl w:val="0"/>
          <w:numId w:val="20"/>
        </w:numPr>
        <w:rPr>
          <w:rFonts w:cs="Open Sans"/>
        </w:rPr>
      </w:pPr>
      <w:r w:rsidRPr="001253CA">
        <w:rPr>
          <w:rFonts w:cs="Open Sans"/>
        </w:rPr>
        <w:t>I find that the use of handcuffs in these circumstances, was contrary to his rights under article 10(1) of the ICCPR to be treated with humanity and with respect for his inherent dignity.</w:t>
      </w:r>
    </w:p>
    <w:p w14:paraId="7D5CFD2B" w14:textId="3E67AB8B" w:rsidR="0069740B" w:rsidRPr="001253CA" w:rsidRDefault="0069740B" w:rsidP="00F02D5A">
      <w:pPr>
        <w:numPr>
          <w:ilvl w:val="0"/>
          <w:numId w:val="20"/>
        </w:numPr>
        <w:rPr>
          <w:rFonts w:cs="Open Sans"/>
        </w:rPr>
      </w:pPr>
      <w:r w:rsidRPr="001253CA">
        <w:rPr>
          <w:rFonts w:cs="Open Sans"/>
        </w:rPr>
        <w:t xml:space="preserve">The use of restraints should only be used for the shortest amount of time possible and be removed once the threat has diminished. I note that even before </w:t>
      </w:r>
      <w:r w:rsidR="00FF03AD">
        <w:rPr>
          <w:rFonts w:cs="Open Sans"/>
        </w:rPr>
        <w:t>Mr</w:t>
      </w:r>
      <w:r w:rsidRPr="001253CA">
        <w:rPr>
          <w:rFonts w:cs="Open Sans"/>
        </w:rPr>
        <w:t xml:space="preserve"> BX was taken to the hospital, a nurse had asked for his handcuffs to be released but this was refused by an ERT officer. At that point, </w:t>
      </w:r>
      <w:r w:rsidR="00FF03AD">
        <w:rPr>
          <w:rFonts w:cs="Open Sans"/>
        </w:rPr>
        <w:t xml:space="preserve">Mr </w:t>
      </w:r>
      <w:r w:rsidRPr="001253CA">
        <w:rPr>
          <w:rFonts w:cs="Open Sans"/>
        </w:rPr>
        <w:t xml:space="preserve">BX was lying motionless on the ground and appeared non-responsive. He then had to be physically </w:t>
      </w:r>
      <w:proofErr w:type="gramStart"/>
      <w:r w:rsidRPr="001253CA">
        <w:rPr>
          <w:rFonts w:cs="Open Sans"/>
        </w:rPr>
        <w:t>lifted up</w:t>
      </w:r>
      <w:proofErr w:type="gramEnd"/>
      <w:r w:rsidRPr="001253CA">
        <w:rPr>
          <w:rFonts w:cs="Open Sans"/>
        </w:rPr>
        <w:t xml:space="preserve"> and carried by </w:t>
      </w:r>
      <w:r w:rsidR="00FF03AD">
        <w:rPr>
          <w:rFonts w:cs="Open Sans"/>
        </w:rPr>
        <w:t>five</w:t>
      </w:r>
      <w:r w:rsidR="00A87173">
        <w:rPr>
          <w:rFonts w:cs="Open Sans"/>
        </w:rPr>
        <w:t xml:space="preserve"> </w:t>
      </w:r>
      <w:r w:rsidRPr="001253CA">
        <w:rPr>
          <w:rFonts w:cs="Open Sans"/>
        </w:rPr>
        <w:t xml:space="preserve">officers to the property department. </w:t>
      </w:r>
    </w:p>
    <w:p w14:paraId="7369520E" w14:textId="34013F7B" w:rsidR="0069740B" w:rsidRPr="001253CA" w:rsidRDefault="0069740B" w:rsidP="00F02D5A">
      <w:pPr>
        <w:numPr>
          <w:ilvl w:val="0"/>
          <w:numId w:val="20"/>
        </w:numPr>
        <w:rPr>
          <w:rFonts w:cs="Open Sans"/>
        </w:rPr>
      </w:pPr>
      <w:r w:rsidRPr="001253CA">
        <w:rPr>
          <w:rFonts w:cs="Open Sans"/>
        </w:rPr>
        <w:t xml:space="preserve">Given his physical state and the time that passed until the ambulance arrived (approximately 25 minutes), I consider he was no longer likely to be a threat to others or to himself and ERT officers should have considered removing the handcuffs at that point. After he arrived at hospital, it is even less clear why it was necessary for the handcuffs to remain on </w:t>
      </w:r>
      <w:r w:rsidR="00FC7F4C">
        <w:rPr>
          <w:rFonts w:cs="Open Sans"/>
        </w:rPr>
        <w:t xml:space="preserve">Mr </w:t>
      </w:r>
      <w:r w:rsidRPr="001253CA">
        <w:rPr>
          <w:rFonts w:cs="Open Sans"/>
        </w:rPr>
        <w:t xml:space="preserve">BX for a further 5 hours until his return to VIDC. </w:t>
      </w:r>
    </w:p>
    <w:p w14:paraId="2A7DD19B" w14:textId="0FC3EF02" w:rsidR="0069740B" w:rsidRPr="001253CA" w:rsidRDefault="0069740B" w:rsidP="00F02D5A">
      <w:pPr>
        <w:numPr>
          <w:ilvl w:val="0"/>
          <w:numId w:val="20"/>
        </w:numPr>
        <w:rPr>
          <w:rFonts w:cs="Open Sans"/>
        </w:rPr>
      </w:pPr>
      <w:r w:rsidRPr="001253CA">
        <w:rPr>
          <w:rFonts w:cs="Open Sans"/>
        </w:rPr>
        <w:t xml:space="preserve">In response to my preliminary view, the Department reiterated </w:t>
      </w:r>
      <w:r w:rsidR="00FC7F4C">
        <w:rPr>
          <w:rFonts w:cs="Open Sans"/>
        </w:rPr>
        <w:t xml:space="preserve">Mr </w:t>
      </w:r>
      <w:r w:rsidRPr="001253CA">
        <w:rPr>
          <w:rFonts w:cs="Open Sans"/>
        </w:rPr>
        <w:t xml:space="preserve">BX’s extensive history of adverse behaviour and violent criminal history reflected in his Security Risk Assessment. </w:t>
      </w:r>
    </w:p>
    <w:p w14:paraId="37DEFE27" w14:textId="11F05418" w:rsidR="0069740B" w:rsidRPr="001253CA" w:rsidRDefault="0069740B" w:rsidP="0069740B">
      <w:pPr>
        <w:pStyle w:val="Style3"/>
      </w:pPr>
      <w:r w:rsidRPr="001253CA">
        <w:t>The use of mechanical restraints for the duration of [</w:t>
      </w:r>
      <w:proofErr w:type="spellStart"/>
      <w:r w:rsidR="00FC7F4C">
        <w:t>Mr</w:t>
      </w:r>
      <w:proofErr w:type="spellEnd"/>
      <w:r w:rsidR="00FC7F4C">
        <w:t xml:space="preserve"> </w:t>
      </w:r>
      <w:r w:rsidRPr="001253CA">
        <w:t xml:space="preserve">BX’s] escort remained appropriate on this basis and under the circumstances of his </w:t>
      </w:r>
      <w:proofErr w:type="spellStart"/>
      <w:r w:rsidRPr="001253CA">
        <w:t>actualised</w:t>
      </w:r>
      <w:proofErr w:type="spellEnd"/>
      <w:r w:rsidRPr="001253CA">
        <w:t xml:space="preserve"> physical violence towards FDSP officers immediately prior to the escort. Additionally, the Department notes that at no point while in the ED did any medical professional assess [</w:t>
      </w:r>
      <w:proofErr w:type="spellStart"/>
      <w:r w:rsidR="00FC7F4C">
        <w:t>Mr</w:t>
      </w:r>
      <w:proofErr w:type="spellEnd"/>
      <w:r w:rsidR="00FC7F4C">
        <w:t xml:space="preserve"> </w:t>
      </w:r>
      <w:r w:rsidRPr="001253CA">
        <w:t>BX] as experiencing exacerbated pain due to the mechanical restraints. [</w:t>
      </w:r>
      <w:proofErr w:type="spellStart"/>
      <w:r w:rsidR="00FC7F4C">
        <w:t>Mr</w:t>
      </w:r>
      <w:proofErr w:type="spellEnd"/>
      <w:r w:rsidR="00FC7F4C">
        <w:t xml:space="preserve"> </w:t>
      </w:r>
      <w:r w:rsidRPr="001253CA">
        <w:t>BX] was offered medical review upon return to the IDC and following the removal of the mechanical restraints, however, [</w:t>
      </w:r>
      <w:proofErr w:type="spellStart"/>
      <w:r w:rsidR="00FC7F4C">
        <w:t>Mr</w:t>
      </w:r>
      <w:proofErr w:type="spellEnd"/>
      <w:r w:rsidR="00FC7F4C">
        <w:t xml:space="preserve"> </w:t>
      </w:r>
      <w:r w:rsidRPr="001253CA">
        <w:t>BX] declined. On this basis, the Department disagrees with the Commission’s preliminary view that the use of mechanical restraints on [</w:t>
      </w:r>
      <w:proofErr w:type="spellStart"/>
      <w:r w:rsidR="00FC7F4C">
        <w:t>Mr</w:t>
      </w:r>
      <w:proofErr w:type="spellEnd"/>
      <w:r w:rsidR="00FC7F4C">
        <w:t xml:space="preserve"> </w:t>
      </w:r>
      <w:r w:rsidRPr="001253CA">
        <w:t>BX] was contrary to his rights under article 10(1) of the ICCPR.</w:t>
      </w:r>
    </w:p>
    <w:p w14:paraId="361EF616" w14:textId="0E59E677" w:rsidR="0069740B" w:rsidRPr="0069740B" w:rsidRDefault="0069740B" w:rsidP="00F02D5A">
      <w:pPr>
        <w:pStyle w:val="ListParagraph"/>
        <w:numPr>
          <w:ilvl w:val="0"/>
          <w:numId w:val="20"/>
        </w:numPr>
        <w:contextualSpacing/>
        <w:rPr>
          <w:rFonts w:cs="Open Sans"/>
        </w:rPr>
      </w:pPr>
      <w:r w:rsidRPr="001253CA">
        <w:rPr>
          <w:rFonts w:cs="Open Sans"/>
        </w:rPr>
        <w:t xml:space="preserve">The Department also referred to its DSM in relation to use of force and that Facilities and Detention Service Provider (FDSP) officers acted in accordance with the policy in using mechanical restraints for the duration of </w:t>
      </w:r>
      <w:r w:rsidR="00B94246">
        <w:rPr>
          <w:rFonts w:cs="Open Sans"/>
        </w:rPr>
        <w:t xml:space="preserve">Mr </w:t>
      </w:r>
      <w:r w:rsidRPr="001253CA">
        <w:rPr>
          <w:rFonts w:cs="Open Sans"/>
        </w:rPr>
        <w:t>BX’s escort to the hospital. The DSM provides that ‘physical restraints during transport and escort applies for those for whom the risk assessment indicates that they potentially pose a high risk or above’, including for detainees having an ‘adverse behavioural or violent criminal history’.</w:t>
      </w:r>
      <w:r w:rsidRPr="001253CA">
        <w:rPr>
          <w:rStyle w:val="EndnoteReference"/>
        </w:rPr>
        <w:endnoteReference w:id="26"/>
      </w:r>
      <w:r w:rsidRPr="001253CA">
        <w:rPr>
          <w:rFonts w:cs="Open Sans"/>
        </w:rPr>
        <w:t xml:space="preserve">  </w:t>
      </w:r>
      <w:r>
        <w:rPr>
          <w:rFonts w:cs="Open Sans"/>
        </w:rPr>
        <w:br/>
      </w:r>
    </w:p>
    <w:p w14:paraId="3578ED6D" w14:textId="44AD8D55" w:rsidR="0069740B" w:rsidRPr="0069740B" w:rsidRDefault="0069740B" w:rsidP="00F02D5A">
      <w:pPr>
        <w:pStyle w:val="ListParagraph"/>
        <w:numPr>
          <w:ilvl w:val="0"/>
          <w:numId w:val="20"/>
        </w:numPr>
        <w:contextualSpacing/>
        <w:rPr>
          <w:rFonts w:cs="Open Sans"/>
        </w:rPr>
      </w:pPr>
      <w:r w:rsidRPr="001253CA">
        <w:rPr>
          <w:rFonts w:cs="Open Sans"/>
        </w:rPr>
        <w:t>I note, however, that the DSM also provides that if a detainee is restrained, an officer must:</w:t>
      </w:r>
    </w:p>
    <w:p w14:paraId="5F1E480C" w14:textId="21350604" w:rsidR="0069740B" w:rsidRPr="001253CA" w:rsidRDefault="0069740B" w:rsidP="00F02D5A">
      <w:pPr>
        <w:pStyle w:val="Style2"/>
      </w:pPr>
      <w:r w:rsidRPr="001253CA">
        <w:t>conduct checks at regular intervals</w:t>
      </w:r>
    </w:p>
    <w:p w14:paraId="621B1C9B" w14:textId="4D26D767" w:rsidR="0069740B" w:rsidRPr="001253CA" w:rsidRDefault="0069740B" w:rsidP="00F02D5A">
      <w:pPr>
        <w:pStyle w:val="Style2"/>
      </w:pPr>
      <w:r w:rsidRPr="001253CA">
        <w:lastRenderedPageBreak/>
        <w:t>be aware at all times of the safety of the detainee including while travelling in a restrained manner in a motor vehicl</w:t>
      </w:r>
      <w:r>
        <w:t>e</w:t>
      </w:r>
    </w:p>
    <w:p w14:paraId="43BB6537" w14:textId="33074AAC" w:rsidR="0069740B" w:rsidRPr="0069740B" w:rsidRDefault="0069740B" w:rsidP="0069740B">
      <w:pPr>
        <w:pStyle w:val="Style2"/>
      </w:pPr>
      <w:r w:rsidRPr="001253CA">
        <w:t>take special account of the detainee’s comfort and dignity, particularly when there is a need to apply restraints to the detainee for a lengthy period.</w:t>
      </w:r>
      <w:r w:rsidRPr="001253CA">
        <w:rPr>
          <w:rStyle w:val="EndnoteReference"/>
        </w:rPr>
        <w:endnoteReference w:id="27"/>
      </w:r>
    </w:p>
    <w:p w14:paraId="75187BC9" w14:textId="0395BCB5" w:rsidR="0069740B" w:rsidRPr="001253CA" w:rsidRDefault="0069740B" w:rsidP="0064009A">
      <w:pPr>
        <w:pStyle w:val="ListParagraph"/>
        <w:numPr>
          <w:ilvl w:val="0"/>
          <w:numId w:val="20"/>
        </w:numPr>
        <w:contextualSpacing/>
        <w:rPr>
          <w:rFonts w:cs="Open Sans"/>
        </w:rPr>
      </w:pPr>
      <w:r w:rsidRPr="001253CA">
        <w:rPr>
          <w:rFonts w:cs="Open Sans"/>
        </w:rPr>
        <w:t xml:space="preserve">In response to my preliminary view, </w:t>
      </w:r>
      <w:r w:rsidR="0064009A">
        <w:rPr>
          <w:rFonts w:cs="Open Sans"/>
        </w:rPr>
        <w:t xml:space="preserve">Mr </w:t>
      </w:r>
      <w:r w:rsidRPr="001253CA">
        <w:rPr>
          <w:rFonts w:cs="Open Sans"/>
        </w:rPr>
        <w:t>BX’s legal representative stated:</w:t>
      </w:r>
    </w:p>
    <w:p w14:paraId="4751D411" w14:textId="450C96E4" w:rsidR="0069740B" w:rsidRPr="001253CA" w:rsidRDefault="0069740B" w:rsidP="0069740B">
      <w:pPr>
        <w:pStyle w:val="Style3"/>
      </w:pPr>
      <w:r w:rsidRPr="001253CA">
        <w:t>In our submission, it is relevant to the assessment of whether the prolonged use of restraints was unreasonable and disproportionate that the Department was aware that [</w:t>
      </w:r>
      <w:proofErr w:type="spellStart"/>
      <w:r w:rsidR="0064009A">
        <w:t>Mr</w:t>
      </w:r>
      <w:proofErr w:type="spellEnd"/>
      <w:r w:rsidR="0064009A">
        <w:t xml:space="preserve"> </w:t>
      </w:r>
      <w:r w:rsidRPr="001253CA">
        <w:t>BX] is a survivor of torture and trauma and that use of restraints on [</w:t>
      </w:r>
      <w:proofErr w:type="spellStart"/>
      <w:r w:rsidR="0064009A">
        <w:t>Mr</w:t>
      </w:r>
      <w:proofErr w:type="spellEnd"/>
      <w:r w:rsidR="0064009A">
        <w:t xml:space="preserve"> </w:t>
      </w:r>
      <w:r w:rsidRPr="001253CA">
        <w:t>BX] may exacerbate his trauma symptoms.</w:t>
      </w:r>
    </w:p>
    <w:p w14:paraId="4D4DAFF8" w14:textId="317F2107" w:rsidR="0069740B" w:rsidRPr="001253CA" w:rsidRDefault="0069740B" w:rsidP="0069740B">
      <w:pPr>
        <w:pStyle w:val="Style3"/>
      </w:pPr>
      <w:r w:rsidRPr="001253CA">
        <w:t>…</w:t>
      </w:r>
    </w:p>
    <w:p w14:paraId="08048939" w14:textId="08836D84" w:rsidR="0069740B" w:rsidRPr="001253CA" w:rsidRDefault="0069740B" w:rsidP="0069740B">
      <w:pPr>
        <w:pStyle w:val="Style3"/>
      </w:pPr>
      <w:r w:rsidRPr="001253CA">
        <w:t>It is concerning that there is no evidence that an assessment was made about the appropriateness of the ongoing use of force at any point during the almost six hours [</w:t>
      </w:r>
      <w:proofErr w:type="spellStart"/>
      <w:r w:rsidR="0064009A">
        <w:t>Mr</w:t>
      </w:r>
      <w:proofErr w:type="spellEnd"/>
      <w:r w:rsidR="0064009A">
        <w:t xml:space="preserve"> </w:t>
      </w:r>
      <w:r w:rsidRPr="001253CA">
        <w:t xml:space="preserve">BX] was restrained. </w:t>
      </w:r>
    </w:p>
    <w:p w14:paraId="72B44AC3" w14:textId="0235EFB7" w:rsidR="0069740B" w:rsidRPr="001253CA" w:rsidRDefault="0069740B" w:rsidP="0069740B">
      <w:pPr>
        <w:pStyle w:val="Style3"/>
      </w:pPr>
      <w:r w:rsidRPr="001253CA">
        <w:t>While the ERT officers did not have the benefit of a risk assessment in a situation where the use of force was unplanned, in circumstances where the Department was aware of [</w:t>
      </w:r>
      <w:proofErr w:type="spellStart"/>
      <w:r w:rsidR="0064009A">
        <w:t>Mr</w:t>
      </w:r>
      <w:proofErr w:type="spellEnd"/>
      <w:r w:rsidR="0064009A">
        <w:t xml:space="preserve"> </w:t>
      </w:r>
      <w:r w:rsidRPr="001253CA">
        <w:t xml:space="preserve">BX’s] trauma history and the impact that restraint can have on survivors, it was incumbent on the Department to ensure that the use of restraints was regularly reviewed for duration of the incident and ended at the first opportunity. </w:t>
      </w:r>
    </w:p>
    <w:p w14:paraId="1EAC3F81" w14:textId="370E9E4E" w:rsidR="0069740B" w:rsidRPr="0069740B" w:rsidRDefault="0069740B" w:rsidP="0069740B">
      <w:pPr>
        <w:pStyle w:val="Style3"/>
      </w:pPr>
      <w:r w:rsidRPr="001253CA">
        <w:t>We submit that failure to do so precludes any argument that might be made that the use of restraints was reasonable and proportionate.</w:t>
      </w:r>
    </w:p>
    <w:p w14:paraId="7890500F" w14:textId="48DA0E21" w:rsidR="0069740B" w:rsidRDefault="0064009A" w:rsidP="00F02D5A">
      <w:pPr>
        <w:pStyle w:val="ListParagraph"/>
        <w:numPr>
          <w:ilvl w:val="0"/>
          <w:numId w:val="20"/>
        </w:numPr>
        <w:contextualSpacing/>
        <w:rPr>
          <w:rFonts w:cs="Open Sans"/>
        </w:rPr>
      </w:pPr>
      <w:r>
        <w:rPr>
          <w:rFonts w:cs="Open Sans"/>
        </w:rPr>
        <w:t xml:space="preserve">Mr </w:t>
      </w:r>
      <w:r w:rsidR="0069740B" w:rsidRPr="001253CA">
        <w:rPr>
          <w:rFonts w:cs="Open Sans"/>
        </w:rPr>
        <w:t xml:space="preserve">BX’s legal representative also provided documents which show that </w:t>
      </w:r>
      <w:r>
        <w:rPr>
          <w:rFonts w:cs="Open Sans"/>
        </w:rPr>
        <w:t xml:space="preserve">Mr </w:t>
      </w:r>
      <w:r w:rsidR="0069740B" w:rsidRPr="001253CA">
        <w:rPr>
          <w:rFonts w:cs="Open Sans"/>
        </w:rPr>
        <w:t xml:space="preserve">BX disclosed a history of torture and trauma in his induction mental health screening at VIDC, and that this was reported by IHMS to the Department on 9 April 2020. </w:t>
      </w:r>
      <w:r>
        <w:rPr>
          <w:rFonts w:cs="Open Sans"/>
        </w:rPr>
        <w:t xml:space="preserve">Mr </w:t>
      </w:r>
      <w:r w:rsidR="0069740B" w:rsidRPr="001253CA">
        <w:rPr>
          <w:rFonts w:cs="Open Sans"/>
        </w:rPr>
        <w:t xml:space="preserve">BX’s solicitor also provided IHMS risk assessments for planned use of force events in relation to </w:t>
      </w:r>
      <w:r>
        <w:rPr>
          <w:rFonts w:cs="Open Sans"/>
        </w:rPr>
        <w:t xml:space="preserve">Mr </w:t>
      </w:r>
      <w:r w:rsidR="0069740B" w:rsidRPr="001253CA">
        <w:rPr>
          <w:rFonts w:cs="Open Sans"/>
        </w:rPr>
        <w:t xml:space="preserve">BX. These appear to be requested for proposed transfer or escort activities and are dated after the use of restraints on </w:t>
      </w:r>
      <w:r>
        <w:rPr>
          <w:rFonts w:cs="Open Sans"/>
        </w:rPr>
        <w:t xml:space="preserve">Mr </w:t>
      </w:r>
      <w:r w:rsidR="0069740B" w:rsidRPr="001253CA">
        <w:rPr>
          <w:rFonts w:cs="Open Sans"/>
        </w:rPr>
        <w:t xml:space="preserve">BX on 22 November 2020. The risk assessments do however, stipulate that </w:t>
      </w:r>
      <w:r>
        <w:rPr>
          <w:rFonts w:cs="Open Sans"/>
        </w:rPr>
        <w:t xml:space="preserve">Mr </w:t>
      </w:r>
      <w:r w:rsidR="0069740B" w:rsidRPr="001253CA">
        <w:rPr>
          <w:rFonts w:cs="Open Sans"/>
        </w:rPr>
        <w:t xml:space="preserve">BX is a known survivor of torture and/or trauma and the use of restraints may exacerbate trauma symptoms and strongly recommends that it not be employed. </w:t>
      </w:r>
    </w:p>
    <w:p w14:paraId="7DF9F776" w14:textId="77777777" w:rsidR="0069740B" w:rsidRPr="0069740B" w:rsidRDefault="0069740B" w:rsidP="0069740B">
      <w:pPr>
        <w:pStyle w:val="ListParagraph"/>
        <w:contextualSpacing/>
        <w:rPr>
          <w:rFonts w:cs="Open Sans"/>
        </w:rPr>
      </w:pPr>
    </w:p>
    <w:p w14:paraId="535C3C8B" w14:textId="2DC0FCE1" w:rsidR="0069740B" w:rsidRPr="001253CA" w:rsidRDefault="0069740B" w:rsidP="00F02D5A">
      <w:pPr>
        <w:pStyle w:val="ListParagraph"/>
        <w:numPr>
          <w:ilvl w:val="0"/>
          <w:numId w:val="20"/>
        </w:numPr>
        <w:contextualSpacing/>
        <w:rPr>
          <w:rFonts w:cs="Open Sans"/>
        </w:rPr>
      </w:pPr>
      <w:r w:rsidRPr="001253CA">
        <w:rPr>
          <w:rFonts w:cs="Open Sans"/>
        </w:rPr>
        <w:t xml:space="preserve">The Department has provided no evidence to show that officers conducted checks at regular intervals or that they took special account of the </w:t>
      </w:r>
      <w:r w:rsidR="00D0291A">
        <w:rPr>
          <w:rFonts w:cs="Open Sans"/>
        </w:rPr>
        <w:t>Mr</w:t>
      </w:r>
      <w:r w:rsidRPr="001253CA">
        <w:rPr>
          <w:rFonts w:cs="Open Sans"/>
        </w:rPr>
        <w:t xml:space="preserve"> BX’s comfort and dignity during the lengthy time he was in restraints. These are obligations that rest with the Department and its contracted provider. As previously stated, both the Department and its service providers owe a duty of care to all persons held in immigration detention and are legally obliged to exercise reasonable care to prevent detainees from suffering reasonably foreseeable harm.</w:t>
      </w:r>
      <w:r w:rsidRPr="001253CA">
        <w:rPr>
          <w:rStyle w:val="EndnoteReference"/>
          <w:rFonts w:cs="Open Sans"/>
        </w:rPr>
        <w:endnoteReference w:id="28"/>
      </w:r>
      <w:r w:rsidRPr="001253CA">
        <w:rPr>
          <w:rFonts w:cs="Open Sans"/>
        </w:rPr>
        <w:t xml:space="preserve"> The Department’s duty of care is non-delegable.</w:t>
      </w:r>
      <w:r w:rsidRPr="001253CA">
        <w:rPr>
          <w:rStyle w:val="EndnoteReference"/>
          <w:rFonts w:cs="Open Sans"/>
        </w:rPr>
        <w:endnoteReference w:id="29"/>
      </w:r>
      <w:bookmarkStart w:id="26" w:name="_Toc3814778"/>
      <w:bookmarkEnd w:id="26"/>
    </w:p>
    <w:p w14:paraId="143F1480" w14:textId="171605EE" w:rsidR="0069740B" w:rsidRDefault="0069740B" w:rsidP="0069740B">
      <w:pPr>
        <w:pStyle w:val="AHRCHeading1"/>
      </w:pPr>
      <w:bookmarkStart w:id="27" w:name="_Toc164768987"/>
      <w:r>
        <w:lastRenderedPageBreak/>
        <w:t>Recommendations</w:t>
      </w:r>
      <w:bookmarkEnd w:id="27"/>
    </w:p>
    <w:p w14:paraId="3FCB2692" w14:textId="2A38CF26" w:rsidR="0069740B" w:rsidRPr="001253CA" w:rsidRDefault="0069740B" w:rsidP="00F02D5A">
      <w:pPr>
        <w:numPr>
          <w:ilvl w:val="0"/>
          <w:numId w:val="20"/>
        </w:numPr>
        <w:rPr>
          <w:rFonts w:cs="Open Sans"/>
        </w:rPr>
      </w:pPr>
      <w:r w:rsidRPr="001253CA">
        <w:rPr>
          <w:rFonts w:cs="Open Sans"/>
        </w:rPr>
        <w:t xml:space="preserve">As a result of this inquiry, I find that the decision of the Department to use force on </w:t>
      </w:r>
      <w:r w:rsidR="00466DD0">
        <w:rPr>
          <w:rFonts w:cs="Open Sans"/>
        </w:rPr>
        <w:t xml:space="preserve">Mr </w:t>
      </w:r>
      <w:r w:rsidRPr="001253CA">
        <w:rPr>
          <w:rFonts w:cs="Open Sans"/>
        </w:rPr>
        <w:t xml:space="preserve">BX on 22 November 2020, was inconsistent with or contrary to his rights under article 10 of the ICCPR to be treated with humanity and with respect for his inherent dignity. </w:t>
      </w:r>
    </w:p>
    <w:p w14:paraId="6F937A7D" w14:textId="77777777" w:rsidR="0069740B" w:rsidRPr="001253CA" w:rsidRDefault="0069740B" w:rsidP="00F02D5A">
      <w:pPr>
        <w:pStyle w:val="NameInsert"/>
        <w:numPr>
          <w:ilvl w:val="0"/>
          <w:numId w:val="20"/>
        </w:numPr>
        <w:tabs>
          <w:tab w:val="clear" w:pos="720"/>
        </w:tabs>
        <w:spacing w:before="240" w:after="240"/>
        <w:jc w:val="left"/>
        <w:rPr>
          <w:rFonts w:ascii="Open Sans" w:hAnsi="Open Sans" w:cs="Open Sans"/>
          <w:szCs w:val="24"/>
        </w:rPr>
      </w:pPr>
      <w:r w:rsidRPr="001253CA">
        <w:rPr>
          <w:rFonts w:ascii="Open Sans" w:hAnsi="Open Sans" w:cs="Open Sans"/>
          <w:szCs w:val="24"/>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1253CA">
        <w:rPr>
          <w:rStyle w:val="EndnoteReference"/>
          <w:rFonts w:eastAsia="MS Mincho" w:cs="Open Sans"/>
          <w:szCs w:val="24"/>
        </w:rPr>
        <w:endnoteReference w:id="30"/>
      </w:r>
      <w:r w:rsidRPr="001253CA">
        <w:rPr>
          <w:rFonts w:ascii="Open Sans" w:hAnsi="Open Sans" w:cs="Open Sans"/>
          <w:szCs w:val="24"/>
        </w:rPr>
        <w:t xml:space="preserve"> </w:t>
      </w:r>
    </w:p>
    <w:p w14:paraId="07CF0A3F" w14:textId="77777777" w:rsidR="0069740B" w:rsidRPr="001253CA" w:rsidRDefault="0069740B" w:rsidP="00F02D5A">
      <w:pPr>
        <w:pStyle w:val="NameInsert"/>
        <w:numPr>
          <w:ilvl w:val="0"/>
          <w:numId w:val="20"/>
        </w:numPr>
        <w:tabs>
          <w:tab w:val="clear" w:pos="720"/>
        </w:tabs>
        <w:spacing w:before="240" w:after="240"/>
        <w:jc w:val="left"/>
        <w:rPr>
          <w:rFonts w:ascii="Open Sans" w:hAnsi="Open Sans" w:cs="Open Sans"/>
          <w:szCs w:val="24"/>
        </w:rPr>
      </w:pPr>
      <w:r w:rsidRPr="001253CA">
        <w:rPr>
          <w:rFonts w:ascii="Open Sans" w:hAnsi="Open Sans" w:cs="Open Sans"/>
          <w:szCs w:val="24"/>
        </w:rPr>
        <w:t>The Commission may include in the notice any recommendation for preventing a repetition of the act or a continuation of the practice.</w:t>
      </w:r>
      <w:r w:rsidRPr="001253CA">
        <w:rPr>
          <w:rStyle w:val="EndnoteReference"/>
          <w:rFonts w:eastAsia="MS Mincho" w:cs="Open Sans"/>
          <w:szCs w:val="24"/>
        </w:rPr>
        <w:endnoteReference w:id="31"/>
      </w:r>
      <w:r w:rsidRPr="001253CA">
        <w:rPr>
          <w:rFonts w:ascii="Open Sans" w:hAnsi="Open Sans" w:cs="Open Sans"/>
          <w:szCs w:val="24"/>
        </w:rPr>
        <w:t xml:space="preserve"> The Commission may also recommend the payment of compensation to, or in respect of, a person who has suffered loss or damage and the taking of other action to remedy or reduce the loss or damage suffered by a person.</w:t>
      </w:r>
      <w:r w:rsidRPr="001253CA">
        <w:rPr>
          <w:rStyle w:val="EndnoteReference"/>
          <w:rFonts w:eastAsia="MS Mincho" w:cs="Open Sans"/>
          <w:szCs w:val="24"/>
        </w:rPr>
        <w:endnoteReference w:id="32"/>
      </w:r>
    </w:p>
    <w:p w14:paraId="2CC8B7AE" w14:textId="77777777" w:rsidR="0069740B" w:rsidRPr="001253CA" w:rsidRDefault="0069740B" w:rsidP="00F02D5A">
      <w:pPr>
        <w:pStyle w:val="NameInsert"/>
        <w:numPr>
          <w:ilvl w:val="0"/>
          <w:numId w:val="20"/>
        </w:numPr>
        <w:tabs>
          <w:tab w:val="clear" w:pos="720"/>
        </w:tabs>
        <w:spacing w:before="240" w:after="240"/>
        <w:jc w:val="left"/>
        <w:rPr>
          <w:rFonts w:ascii="Open Sans" w:hAnsi="Open Sans" w:cs="Open Sans"/>
          <w:szCs w:val="24"/>
        </w:rPr>
      </w:pPr>
      <w:r w:rsidRPr="001253CA">
        <w:rPr>
          <w:rFonts w:ascii="Open Sans" w:hAnsi="Open Sans" w:cs="Open Sans"/>
          <w:szCs w:val="24"/>
        </w:rPr>
        <w:t xml:space="preserve">I make the following recommendations: </w:t>
      </w:r>
    </w:p>
    <w:p w14:paraId="1C64E253" w14:textId="7C9105FD" w:rsidR="0069740B" w:rsidRPr="0069740B" w:rsidRDefault="0069740B" w:rsidP="0069740B">
      <w:pPr>
        <w:pStyle w:val="ListParagraph"/>
        <w:keepNext/>
        <w:rPr>
          <w:rFonts w:cs="Open Sans"/>
          <w:b/>
          <w:bCs/>
        </w:rPr>
      </w:pPr>
      <w:r w:rsidRPr="001253CA">
        <w:rPr>
          <w:rFonts w:cs="Open Sans"/>
          <w:b/>
          <w:bCs/>
        </w:rPr>
        <w:t xml:space="preserve">Recommendation 1 </w:t>
      </w:r>
    </w:p>
    <w:p w14:paraId="1708C74E" w14:textId="4BA3625C" w:rsidR="0069740B" w:rsidRPr="0069740B" w:rsidRDefault="0069740B" w:rsidP="0069740B">
      <w:pPr>
        <w:pStyle w:val="ListParagraph"/>
        <w:keepNext/>
        <w:rPr>
          <w:rFonts w:cs="Open Sans"/>
        </w:rPr>
      </w:pPr>
      <w:r w:rsidRPr="001253CA">
        <w:rPr>
          <w:rFonts w:cs="Open Sans"/>
        </w:rPr>
        <w:t xml:space="preserve">The Commonwealth pay to </w:t>
      </w:r>
      <w:r w:rsidR="00466DD0">
        <w:rPr>
          <w:rFonts w:cs="Open Sans"/>
        </w:rPr>
        <w:t>Mr</w:t>
      </w:r>
      <w:r w:rsidRPr="001253CA">
        <w:rPr>
          <w:rFonts w:cs="Open Sans"/>
        </w:rPr>
        <w:t xml:space="preserve"> BX an appropriate amount of compensation to reflect the loss and damage he suffered </w:t>
      </w:r>
      <w:proofErr w:type="gramStart"/>
      <w:r w:rsidRPr="001253CA">
        <w:rPr>
          <w:rFonts w:cs="Open Sans"/>
        </w:rPr>
        <w:t>as a result of</w:t>
      </w:r>
      <w:proofErr w:type="gramEnd"/>
      <w:r w:rsidRPr="001253CA">
        <w:rPr>
          <w:rFonts w:cs="Open Sans"/>
        </w:rPr>
        <w:t xml:space="preserve"> the breach of his human rights identified by this inquiry, being the pain and suffering he experienced as a result of the use of force against him. </w:t>
      </w:r>
    </w:p>
    <w:p w14:paraId="1B07D90E" w14:textId="4EA91656" w:rsidR="0069740B" w:rsidRPr="0069740B" w:rsidRDefault="0069740B" w:rsidP="0069740B">
      <w:pPr>
        <w:pStyle w:val="ListParagraph"/>
        <w:keepNext/>
        <w:rPr>
          <w:rFonts w:cs="Open Sans"/>
          <w:b/>
          <w:bCs/>
        </w:rPr>
      </w:pPr>
      <w:r w:rsidRPr="001253CA">
        <w:rPr>
          <w:rFonts w:cs="Open Sans"/>
          <w:b/>
          <w:bCs/>
        </w:rPr>
        <w:t>Recommendation 2</w:t>
      </w:r>
    </w:p>
    <w:p w14:paraId="11E30C8B" w14:textId="7C1A6417" w:rsidR="0069740B" w:rsidRPr="0069740B" w:rsidRDefault="0069740B" w:rsidP="0069740B">
      <w:pPr>
        <w:pStyle w:val="ListParagraph"/>
        <w:keepNext/>
        <w:rPr>
          <w:rFonts w:cs="Open Sans"/>
        </w:rPr>
      </w:pPr>
      <w:r w:rsidRPr="001253CA">
        <w:rPr>
          <w:rFonts w:cs="Open Sans"/>
        </w:rPr>
        <w:t xml:space="preserve">The Department and Serco ensure that officers who may be required to use force in their roles be appropriately and periodically trained on how to select and properly deploy use of force techniques, </w:t>
      </w:r>
      <w:proofErr w:type="gramStart"/>
      <w:r w:rsidRPr="001253CA">
        <w:rPr>
          <w:rFonts w:cs="Open Sans"/>
        </w:rPr>
        <w:t>so as to</w:t>
      </w:r>
      <w:proofErr w:type="gramEnd"/>
      <w:r w:rsidRPr="001253CA">
        <w:rPr>
          <w:rFonts w:cs="Open Sans"/>
        </w:rPr>
        <w:t xml:space="preserve"> avoid harm to the person against whom force is used.  </w:t>
      </w:r>
    </w:p>
    <w:p w14:paraId="0E2EC8C8" w14:textId="41F741CC" w:rsidR="0069740B" w:rsidRPr="0069740B" w:rsidRDefault="0069740B" w:rsidP="0069740B">
      <w:pPr>
        <w:pStyle w:val="ListParagraph"/>
        <w:keepNext/>
        <w:rPr>
          <w:rFonts w:cs="Open Sans"/>
          <w:b/>
          <w:bCs/>
        </w:rPr>
      </w:pPr>
      <w:r w:rsidRPr="001253CA">
        <w:rPr>
          <w:rFonts w:cs="Open Sans"/>
          <w:b/>
          <w:bCs/>
        </w:rPr>
        <w:t>Recommendation 3</w:t>
      </w:r>
    </w:p>
    <w:p w14:paraId="33D9539C" w14:textId="77777777" w:rsidR="0069740B" w:rsidRPr="001253CA" w:rsidRDefault="0069740B" w:rsidP="0069740B">
      <w:pPr>
        <w:pStyle w:val="ListParagraph"/>
        <w:widowControl w:val="0"/>
        <w:rPr>
          <w:rFonts w:cs="Open Sans"/>
        </w:rPr>
      </w:pPr>
      <w:r w:rsidRPr="001253CA">
        <w:rPr>
          <w:rFonts w:cs="Open Sans"/>
        </w:rPr>
        <w:t xml:space="preserve">The Department and Serco ensure that officers who may be required to use force in their roles be appropriately and periodically trained on communication, </w:t>
      </w:r>
      <w:proofErr w:type="gramStart"/>
      <w:r w:rsidRPr="001253CA">
        <w:rPr>
          <w:rFonts w:cs="Open Sans"/>
        </w:rPr>
        <w:t>negotiation</w:t>
      </w:r>
      <w:proofErr w:type="gramEnd"/>
      <w:r w:rsidRPr="001253CA">
        <w:rPr>
          <w:rFonts w:cs="Open Sans"/>
        </w:rPr>
        <w:t xml:space="preserve"> and conflict de-escalation strategies as alternatives to the use of force. </w:t>
      </w:r>
    </w:p>
    <w:p w14:paraId="48406B34" w14:textId="0D639AF6" w:rsidR="0069740B" w:rsidRDefault="000E1EC9" w:rsidP="000E1EC9">
      <w:pPr>
        <w:pStyle w:val="AHRCHeading1"/>
      </w:pPr>
      <w:bookmarkStart w:id="28" w:name="_Toc164768988"/>
      <w:r>
        <w:t>The Department’s response to my findings and recommendations</w:t>
      </w:r>
      <w:bookmarkEnd w:id="28"/>
    </w:p>
    <w:p w14:paraId="0576AE83" w14:textId="54430290" w:rsidR="000E1EC9" w:rsidRDefault="000E1EC9" w:rsidP="00F02D5A">
      <w:pPr>
        <w:pStyle w:val="NameInsert"/>
        <w:numPr>
          <w:ilvl w:val="0"/>
          <w:numId w:val="20"/>
        </w:numPr>
        <w:spacing w:before="240" w:after="240"/>
        <w:jc w:val="left"/>
        <w:rPr>
          <w:rFonts w:ascii="Open Sans" w:hAnsi="Open Sans" w:cs="Open Sans"/>
          <w:szCs w:val="24"/>
        </w:rPr>
      </w:pPr>
      <w:r>
        <w:rPr>
          <w:rFonts w:ascii="Open Sans" w:hAnsi="Open Sans" w:cs="Open Sans"/>
          <w:szCs w:val="24"/>
        </w:rPr>
        <w:t xml:space="preserve">On 25 January 2024, I provided the Department with </w:t>
      </w:r>
      <w:proofErr w:type="gramStart"/>
      <w:r>
        <w:rPr>
          <w:rFonts w:ascii="Open Sans" w:hAnsi="Open Sans" w:cs="Open Sans"/>
          <w:szCs w:val="24"/>
        </w:rPr>
        <w:t>a notice</w:t>
      </w:r>
      <w:proofErr w:type="gramEnd"/>
      <w:r>
        <w:rPr>
          <w:rFonts w:ascii="Open Sans" w:hAnsi="Open Sans" w:cs="Open Sans"/>
          <w:szCs w:val="24"/>
        </w:rPr>
        <w:t xml:space="preserve"> of my findings and recommendations. </w:t>
      </w:r>
    </w:p>
    <w:p w14:paraId="35119DE0" w14:textId="3BEE9F08" w:rsidR="000E1EC9" w:rsidRDefault="000E1EC9" w:rsidP="00F02D5A">
      <w:pPr>
        <w:pStyle w:val="NameInsert"/>
        <w:numPr>
          <w:ilvl w:val="0"/>
          <w:numId w:val="20"/>
        </w:numPr>
        <w:spacing w:before="240" w:after="240"/>
        <w:jc w:val="left"/>
        <w:rPr>
          <w:rFonts w:ascii="Open Sans" w:hAnsi="Open Sans" w:cs="Open Sans"/>
          <w:szCs w:val="24"/>
        </w:rPr>
      </w:pPr>
      <w:r>
        <w:rPr>
          <w:rFonts w:ascii="Open Sans" w:hAnsi="Open Sans" w:cs="Open Sans"/>
          <w:szCs w:val="24"/>
        </w:rPr>
        <w:t xml:space="preserve">On 12 March 2024, the Department provided the following response to my findings and recommendations: </w:t>
      </w:r>
    </w:p>
    <w:p w14:paraId="2617DB44" w14:textId="77777777" w:rsidR="000E1EC9" w:rsidRPr="000E1EC9" w:rsidRDefault="000E1EC9" w:rsidP="00F02D5A">
      <w:pPr>
        <w:pStyle w:val="Quote"/>
      </w:pPr>
      <w:r w:rsidRPr="000E1EC9">
        <w:lastRenderedPageBreak/>
        <w:t>The</w:t>
      </w:r>
      <w:r w:rsidRPr="000E1EC9">
        <w:rPr>
          <w:spacing w:val="-2"/>
        </w:rPr>
        <w:t xml:space="preserve"> </w:t>
      </w:r>
      <w:r w:rsidRPr="000E1EC9">
        <w:t>Department of</w:t>
      </w:r>
      <w:r w:rsidRPr="000E1EC9">
        <w:rPr>
          <w:spacing w:val="-5"/>
        </w:rPr>
        <w:t xml:space="preserve"> </w:t>
      </w:r>
      <w:r w:rsidRPr="000E1EC9">
        <w:t>Home Affairs (the</w:t>
      </w:r>
      <w:r w:rsidRPr="000E1EC9">
        <w:rPr>
          <w:spacing w:val="-2"/>
        </w:rPr>
        <w:t xml:space="preserve"> </w:t>
      </w:r>
      <w:r w:rsidRPr="000E1EC9">
        <w:t>Department) respects the role</w:t>
      </w:r>
      <w:r w:rsidRPr="000E1EC9">
        <w:rPr>
          <w:spacing w:val="-1"/>
        </w:rPr>
        <w:t xml:space="preserve"> </w:t>
      </w:r>
      <w:r w:rsidRPr="000E1EC9">
        <w:t>of</w:t>
      </w:r>
      <w:r w:rsidRPr="000E1EC9">
        <w:rPr>
          <w:spacing w:val="-3"/>
        </w:rPr>
        <w:t xml:space="preserve"> </w:t>
      </w:r>
      <w:r w:rsidRPr="000E1EC9">
        <w:t>the Australian Human Rights Commission and acknowledges the findings and recommendations identified in this report.</w:t>
      </w:r>
    </w:p>
    <w:p w14:paraId="7C439352" w14:textId="1A97BDA6" w:rsidR="000E1EC9" w:rsidRPr="00F02D5A" w:rsidRDefault="000E1EC9" w:rsidP="00F02D5A">
      <w:pPr>
        <w:pStyle w:val="Quote"/>
        <w:rPr>
          <w:b/>
          <w:bCs/>
        </w:rPr>
      </w:pPr>
      <w:r w:rsidRPr="00F02D5A">
        <w:rPr>
          <w:b/>
          <w:bCs/>
        </w:rPr>
        <w:t>Recommendation</w:t>
      </w:r>
      <w:r w:rsidRPr="00F02D5A">
        <w:rPr>
          <w:b/>
          <w:bCs/>
          <w:spacing w:val="4"/>
        </w:rPr>
        <w:t xml:space="preserve"> </w:t>
      </w:r>
      <w:r w:rsidRPr="00F02D5A">
        <w:rPr>
          <w:b/>
          <w:bCs/>
        </w:rPr>
        <w:t>1</w:t>
      </w:r>
      <w:r w:rsidRPr="00F02D5A">
        <w:rPr>
          <w:b/>
          <w:bCs/>
          <w:spacing w:val="-4"/>
        </w:rPr>
        <w:t xml:space="preserve"> </w:t>
      </w:r>
      <w:r w:rsidR="005550BB">
        <w:rPr>
          <w:b/>
          <w:bCs/>
        </w:rPr>
        <w:t>–</w:t>
      </w:r>
      <w:r w:rsidRPr="00F02D5A">
        <w:rPr>
          <w:b/>
          <w:bCs/>
          <w:spacing w:val="52"/>
        </w:rPr>
        <w:t xml:space="preserve"> </w:t>
      </w:r>
      <w:r w:rsidRPr="00F02D5A">
        <w:rPr>
          <w:b/>
          <w:bCs/>
          <w:spacing w:val="-2"/>
        </w:rPr>
        <w:t>Disagree</w:t>
      </w:r>
    </w:p>
    <w:p w14:paraId="54246529" w14:textId="4555ADA8" w:rsidR="000E1EC9" w:rsidRPr="00F02D5A" w:rsidRDefault="000E1EC9" w:rsidP="00F02D5A">
      <w:pPr>
        <w:pStyle w:val="Quote"/>
        <w:rPr>
          <w:i/>
        </w:rPr>
      </w:pPr>
      <w:r w:rsidRPr="00F02D5A">
        <w:rPr>
          <w:i/>
        </w:rPr>
        <w:t>The Commonwealth pay to</w:t>
      </w:r>
      <w:r w:rsidR="00821120">
        <w:rPr>
          <w:i/>
        </w:rPr>
        <w:t xml:space="preserve"> Mr</w:t>
      </w:r>
      <w:r w:rsidRPr="00F02D5A">
        <w:rPr>
          <w:i/>
        </w:rPr>
        <w:t xml:space="preserve"> BX an appropriate</w:t>
      </w:r>
      <w:r w:rsidRPr="00F02D5A">
        <w:rPr>
          <w:i/>
          <w:spacing w:val="34"/>
        </w:rPr>
        <w:t xml:space="preserve"> </w:t>
      </w:r>
      <w:r w:rsidRPr="00F02D5A">
        <w:rPr>
          <w:i/>
        </w:rPr>
        <w:t>amount of compensation</w:t>
      </w:r>
      <w:r w:rsidRPr="00F02D5A">
        <w:rPr>
          <w:i/>
          <w:spacing w:val="38"/>
        </w:rPr>
        <w:t xml:space="preserve"> </w:t>
      </w:r>
      <w:r w:rsidRPr="00F02D5A">
        <w:rPr>
          <w:i/>
        </w:rPr>
        <w:t xml:space="preserve">to reflect the loss and damage he suffered </w:t>
      </w:r>
      <w:proofErr w:type="gramStart"/>
      <w:r w:rsidRPr="00F02D5A">
        <w:rPr>
          <w:i/>
        </w:rPr>
        <w:t>as</w:t>
      </w:r>
      <w:r w:rsidRPr="00F02D5A">
        <w:rPr>
          <w:i/>
          <w:spacing w:val="-3"/>
        </w:rPr>
        <w:t xml:space="preserve"> </w:t>
      </w:r>
      <w:r w:rsidRPr="00F02D5A">
        <w:rPr>
          <w:i/>
        </w:rPr>
        <w:t>a</w:t>
      </w:r>
      <w:r w:rsidRPr="00F02D5A">
        <w:rPr>
          <w:i/>
          <w:spacing w:val="-1"/>
        </w:rPr>
        <w:t xml:space="preserve"> </w:t>
      </w:r>
      <w:r w:rsidRPr="00F02D5A">
        <w:rPr>
          <w:i/>
        </w:rPr>
        <w:t>result of</w:t>
      </w:r>
      <w:proofErr w:type="gramEnd"/>
      <w:r w:rsidRPr="00F02D5A">
        <w:rPr>
          <w:i/>
          <w:spacing w:val="-2"/>
        </w:rPr>
        <w:t xml:space="preserve"> </w:t>
      </w:r>
      <w:r w:rsidRPr="00F02D5A">
        <w:rPr>
          <w:i/>
        </w:rPr>
        <w:t>the breach of his</w:t>
      </w:r>
      <w:r w:rsidRPr="00F02D5A">
        <w:rPr>
          <w:i/>
          <w:spacing w:val="-2"/>
        </w:rPr>
        <w:t xml:space="preserve"> </w:t>
      </w:r>
      <w:r w:rsidRPr="00F02D5A">
        <w:rPr>
          <w:i/>
        </w:rPr>
        <w:t>human rights identified by</w:t>
      </w:r>
      <w:r w:rsidRPr="00F02D5A">
        <w:rPr>
          <w:i/>
          <w:spacing w:val="-1"/>
        </w:rPr>
        <w:t xml:space="preserve"> </w:t>
      </w:r>
      <w:r w:rsidRPr="00F02D5A">
        <w:rPr>
          <w:i/>
        </w:rPr>
        <w:t>this inquiry, being the pain</w:t>
      </w:r>
      <w:r w:rsidRPr="00F02D5A">
        <w:rPr>
          <w:i/>
          <w:spacing w:val="-1"/>
        </w:rPr>
        <w:t xml:space="preserve"> </w:t>
      </w:r>
      <w:r w:rsidRPr="00F02D5A">
        <w:rPr>
          <w:i/>
        </w:rPr>
        <w:t>and</w:t>
      </w:r>
      <w:r w:rsidRPr="00F02D5A">
        <w:rPr>
          <w:i/>
          <w:spacing w:val="-1"/>
        </w:rPr>
        <w:t xml:space="preserve"> </w:t>
      </w:r>
      <w:r w:rsidRPr="00F02D5A">
        <w:rPr>
          <w:i/>
        </w:rPr>
        <w:t>suffering</w:t>
      </w:r>
      <w:r w:rsidRPr="00F02D5A">
        <w:rPr>
          <w:i/>
          <w:spacing w:val="10"/>
        </w:rPr>
        <w:t xml:space="preserve"> </w:t>
      </w:r>
      <w:r w:rsidRPr="00F02D5A">
        <w:rPr>
          <w:i/>
        </w:rPr>
        <w:t>he</w:t>
      </w:r>
      <w:r w:rsidRPr="00F02D5A">
        <w:rPr>
          <w:i/>
          <w:spacing w:val="3"/>
        </w:rPr>
        <w:t xml:space="preserve"> </w:t>
      </w:r>
      <w:r w:rsidRPr="00F02D5A">
        <w:rPr>
          <w:i/>
        </w:rPr>
        <w:t>experienced</w:t>
      </w:r>
      <w:r w:rsidRPr="00F02D5A">
        <w:rPr>
          <w:i/>
          <w:spacing w:val="14"/>
        </w:rPr>
        <w:t xml:space="preserve"> </w:t>
      </w:r>
      <w:r w:rsidRPr="00F02D5A">
        <w:rPr>
          <w:i/>
        </w:rPr>
        <w:t>as</w:t>
      </w:r>
      <w:r w:rsidRPr="00F02D5A">
        <w:rPr>
          <w:i/>
          <w:spacing w:val="-1"/>
        </w:rPr>
        <w:t xml:space="preserve"> </w:t>
      </w:r>
      <w:r w:rsidRPr="00F02D5A">
        <w:rPr>
          <w:i/>
        </w:rPr>
        <w:t>a</w:t>
      </w:r>
      <w:r w:rsidRPr="00F02D5A">
        <w:rPr>
          <w:i/>
          <w:spacing w:val="-2"/>
        </w:rPr>
        <w:t xml:space="preserve"> </w:t>
      </w:r>
      <w:r w:rsidRPr="00F02D5A">
        <w:rPr>
          <w:i/>
        </w:rPr>
        <w:t>result</w:t>
      </w:r>
      <w:r w:rsidRPr="00F02D5A">
        <w:rPr>
          <w:i/>
          <w:spacing w:val="3"/>
        </w:rPr>
        <w:t xml:space="preserve"> </w:t>
      </w:r>
      <w:r w:rsidRPr="00F02D5A">
        <w:rPr>
          <w:i/>
        </w:rPr>
        <w:t>of</w:t>
      </w:r>
      <w:r w:rsidRPr="00F02D5A">
        <w:rPr>
          <w:i/>
          <w:spacing w:val="-4"/>
        </w:rPr>
        <w:t xml:space="preserve"> </w:t>
      </w:r>
      <w:r w:rsidRPr="00F02D5A">
        <w:rPr>
          <w:i/>
        </w:rPr>
        <w:t>the use</w:t>
      </w:r>
      <w:r w:rsidRPr="00F02D5A">
        <w:rPr>
          <w:i/>
          <w:spacing w:val="2"/>
        </w:rPr>
        <w:t xml:space="preserve"> </w:t>
      </w:r>
      <w:r w:rsidRPr="00F02D5A">
        <w:rPr>
          <w:i/>
        </w:rPr>
        <w:t>of force</w:t>
      </w:r>
      <w:r w:rsidRPr="00F02D5A">
        <w:rPr>
          <w:i/>
          <w:spacing w:val="7"/>
        </w:rPr>
        <w:t xml:space="preserve"> </w:t>
      </w:r>
      <w:r w:rsidRPr="00F02D5A">
        <w:rPr>
          <w:i/>
        </w:rPr>
        <w:t>against</w:t>
      </w:r>
      <w:r w:rsidRPr="00F02D5A">
        <w:rPr>
          <w:i/>
          <w:spacing w:val="5"/>
        </w:rPr>
        <w:t xml:space="preserve"> </w:t>
      </w:r>
      <w:r w:rsidRPr="00F02D5A">
        <w:rPr>
          <w:i/>
          <w:spacing w:val="-4"/>
        </w:rPr>
        <w:t>him.</w:t>
      </w:r>
    </w:p>
    <w:p w14:paraId="1349B25C" w14:textId="77777777" w:rsidR="000E1EC9" w:rsidRPr="000E1EC9" w:rsidRDefault="000E1EC9" w:rsidP="00F02D5A">
      <w:pPr>
        <w:pStyle w:val="Quote"/>
      </w:pPr>
      <w:r w:rsidRPr="000E1EC9">
        <w:t>The</w:t>
      </w:r>
      <w:r w:rsidRPr="000E1EC9">
        <w:rPr>
          <w:spacing w:val="-1"/>
        </w:rPr>
        <w:t xml:space="preserve"> </w:t>
      </w:r>
      <w:r w:rsidRPr="000E1EC9">
        <w:t>Commonwealth</w:t>
      </w:r>
      <w:r w:rsidRPr="000E1EC9">
        <w:rPr>
          <w:spacing w:val="14"/>
        </w:rPr>
        <w:t xml:space="preserve"> </w:t>
      </w:r>
      <w:r w:rsidRPr="000E1EC9">
        <w:t>can</w:t>
      </w:r>
      <w:r w:rsidRPr="000E1EC9">
        <w:rPr>
          <w:spacing w:val="-2"/>
        </w:rPr>
        <w:t xml:space="preserve"> </w:t>
      </w:r>
      <w:r w:rsidRPr="000E1EC9">
        <w:t>only</w:t>
      </w:r>
      <w:r w:rsidRPr="000E1EC9">
        <w:rPr>
          <w:spacing w:val="-2"/>
        </w:rPr>
        <w:t xml:space="preserve"> </w:t>
      </w:r>
      <w:r w:rsidRPr="000E1EC9">
        <w:t>pay</w:t>
      </w:r>
      <w:r w:rsidRPr="000E1EC9">
        <w:rPr>
          <w:spacing w:val="-2"/>
        </w:rPr>
        <w:t xml:space="preserve"> </w:t>
      </w:r>
      <w:r w:rsidRPr="000E1EC9">
        <w:t>compensation</w:t>
      </w:r>
      <w:r w:rsidRPr="000E1EC9">
        <w:rPr>
          <w:spacing w:val="20"/>
        </w:rPr>
        <w:t xml:space="preserve"> </w:t>
      </w:r>
      <w:r w:rsidRPr="000E1EC9">
        <w:t>to settle a</w:t>
      </w:r>
      <w:r w:rsidRPr="000E1EC9">
        <w:rPr>
          <w:spacing w:val="-7"/>
        </w:rPr>
        <w:t xml:space="preserve"> </w:t>
      </w:r>
      <w:r w:rsidRPr="000E1EC9">
        <w:t>monetary</w:t>
      </w:r>
      <w:r w:rsidRPr="000E1EC9">
        <w:rPr>
          <w:spacing w:val="12"/>
        </w:rPr>
        <w:t xml:space="preserve"> </w:t>
      </w:r>
      <w:r w:rsidRPr="000E1EC9">
        <w:t>claim against the</w:t>
      </w:r>
      <w:r w:rsidRPr="000E1EC9">
        <w:rPr>
          <w:spacing w:val="-4"/>
        </w:rPr>
        <w:t xml:space="preserve"> </w:t>
      </w:r>
      <w:r w:rsidRPr="000E1EC9">
        <w:t>Department</w:t>
      </w:r>
      <w:r w:rsidRPr="000E1EC9">
        <w:rPr>
          <w:spacing w:val="20"/>
        </w:rPr>
        <w:t xml:space="preserve"> </w:t>
      </w:r>
      <w:r w:rsidRPr="000E1EC9">
        <w:t>if</w:t>
      </w:r>
      <w:r w:rsidRPr="000E1EC9">
        <w:rPr>
          <w:spacing w:val="-5"/>
        </w:rPr>
        <w:t xml:space="preserve"> </w:t>
      </w:r>
      <w:r w:rsidRPr="000E1EC9">
        <w:t>there is a meaningful prospect of legal liability within the meaning of the Legal Services Directions</w:t>
      </w:r>
      <w:r w:rsidRPr="000E1EC9">
        <w:rPr>
          <w:spacing w:val="22"/>
        </w:rPr>
        <w:t xml:space="preserve"> </w:t>
      </w:r>
      <w:r w:rsidRPr="000E1EC9">
        <w:t>2017 and it would be within legal principle</w:t>
      </w:r>
      <w:r w:rsidRPr="000E1EC9">
        <w:rPr>
          <w:spacing w:val="17"/>
        </w:rPr>
        <w:t xml:space="preserve"> </w:t>
      </w:r>
      <w:r w:rsidRPr="000E1EC9">
        <w:t>and practice</w:t>
      </w:r>
      <w:r w:rsidRPr="000E1EC9">
        <w:rPr>
          <w:spacing w:val="19"/>
        </w:rPr>
        <w:t xml:space="preserve"> </w:t>
      </w:r>
      <w:r w:rsidRPr="000E1EC9">
        <w:t>to resolve this matter</w:t>
      </w:r>
      <w:r w:rsidRPr="000E1EC9">
        <w:rPr>
          <w:spacing w:val="13"/>
        </w:rPr>
        <w:t xml:space="preserve"> </w:t>
      </w:r>
      <w:r w:rsidRPr="000E1EC9">
        <w:t>on those terms. Based on the current</w:t>
      </w:r>
      <w:r w:rsidRPr="000E1EC9">
        <w:rPr>
          <w:spacing w:val="19"/>
        </w:rPr>
        <w:t xml:space="preserve"> </w:t>
      </w:r>
      <w:r w:rsidRPr="000E1EC9">
        <w:t>evidence, the Department's position is that it is not appropriate to pay compensation in this instance.</w:t>
      </w:r>
    </w:p>
    <w:p w14:paraId="056248D9" w14:textId="77410B76" w:rsidR="000E1EC9" w:rsidRPr="00F02D5A" w:rsidRDefault="000E1EC9" w:rsidP="00F02D5A">
      <w:pPr>
        <w:pStyle w:val="Quote"/>
        <w:rPr>
          <w:b/>
          <w:bCs/>
        </w:rPr>
      </w:pPr>
      <w:r w:rsidRPr="00F02D5A">
        <w:rPr>
          <w:b/>
          <w:bCs/>
        </w:rPr>
        <w:t>Recommendation</w:t>
      </w:r>
      <w:r w:rsidRPr="00F02D5A">
        <w:rPr>
          <w:b/>
          <w:bCs/>
          <w:spacing w:val="1"/>
        </w:rPr>
        <w:t xml:space="preserve"> </w:t>
      </w:r>
      <w:r w:rsidRPr="00F02D5A">
        <w:rPr>
          <w:b/>
          <w:bCs/>
        </w:rPr>
        <w:t>2</w:t>
      </w:r>
      <w:r w:rsidRPr="00F02D5A">
        <w:rPr>
          <w:b/>
          <w:bCs/>
          <w:spacing w:val="-11"/>
        </w:rPr>
        <w:t xml:space="preserve"> </w:t>
      </w:r>
      <w:r w:rsidR="005550BB">
        <w:rPr>
          <w:b/>
          <w:bCs/>
        </w:rPr>
        <w:t>–</w:t>
      </w:r>
      <w:r w:rsidRPr="00F02D5A">
        <w:rPr>
          <w:b/>
          <w:bCs/>
          <w:spacing w:val="39"/>
        </w:rPr>
        <w:t xml:space="preserve"> </w:t>
      </w:r>
      <w:r w:rsidRPr="00F02D5A">
        <w:rPr>
          <w:b/>
          <w:bCs/>
        </w:rPr>
        <w:t>Accepts</w:t>
      </w:r>
      <w:r w:rsidRPr="00F02D5A">
        <w:rPr>
          <w:b/>
          <w:bCs/>
          <w:spacing w:val="13"/>
        </w:rPr>
        <w:t xml:space="preserve"> </w:t>
      </w:r>
      <w:r w:rsidRPr="00F02D5A">
        <w:rPr>
          <w:b/>
          <w:bCs/>
        </w:rPr>
        <w:t>and</w:t>
      </w:r>
      <w:r w:rsidRPr="00F02D5A">
        <w:rPr>
          <w:b/>
          <w:bCs/>
          <w:spacing w:val="4"/>
        </w:rPr>
        <w:t xml:space="preserve"> </w:t>
      </w:r>
      <w:r w:rsidRPr="00F02D5A">
        <w:rPr>
          <w:b/>
          <w:bCs/>
        </w:rPr>
        <w:t>is</w:t>
      </w:r>
      <w:r w:rsidRPr="00F02D5A">
        <w:rPr>
          <w:b/>
          <w:bCs/>
          <w:spacing w:val="-2"/>
        </w:rPr>
        <w:t xml:space="preserve"> </w:t>
      </w:r>
      <w:r w:rsidRPr="00F02D5A">
        <w:rPr>
          <w:b/>
          <w:bCs/>
        </w:rPr>
        <w:t>already</w:t>
      </w:r>
      <w:r w:rsidRPr="00F02D5A">
        <w:rPr>
          <w:b/>
          <w:bCs/>
          <w:spacing w:val="3"/>
        </w:rPr>
        <w:t xml:space="preserve"> </w:t>
      </w:r>
      <w:r w:rsidRPr="00F02D5A">
        <w:rPr>
          <w:b/>
          <w:bCs/>
          <w:spacing w:val="-2"/>
        </w:rPr>
        <w:t>addressing</w:t>
      </w:r>
    </w:p>
    <w:p w14:paraId="269150E0" w14:textId="77777777" w:rsidR="000E1EC9" w:rsidRPr="00F02D5A" w:rsidRDefault="000E1EC9" w:rsidP="00F02D5A">
      <w:pPr>
        <w:pStyle w:val="Quote"/>
        <w:rPr>
          <w:i/>
        </w:rPr>
      </w:pPr>
      <w:r w:rsidRPr="00F02D5A">
        <w:rPr>
          <w:i/>
        </w:rPr>
        <w:t>The Department and Serco ensure that officers who may be required to use force in their roles be appropriately</w:t>
      </w:r>
      <w:r w:rsidRPr="00F02D5A">
        <w:rPr>
          <w:i/>
          <w:spacing w:val="20"/>
        </w:rPr>
        <w:t xml:space="preserve"> </w:t>
      </w:r>
      <w:r w:rsidRPr="00F02D5A">
        <w:rPr>
          <w:i/>
        </w:rPr>
        <w:t>and</w:t>
      </w:r>
      <w:r w:rsidRPr="00F02D5A">
        <w:rPr>
          <w:i/>
          <w:spacing w:val="-2"/>
        </w:rPr>
        <w:t xml:space="preserve"> </w:t>
      </w:r>
      <w:r w:rsidRPr="00F02D5A">
        <w:rPr>
          <w:i/>
        </w:rPr>
        <w:t>periodically trained on</w:t>
      </w:r>
      <w:r w:rsidRPr="00F02D5A">
        <w:rPr>
          <w:i/>
          <w:spacing w:val="-1"/>
        </w:rPr>
        <w:t xml:space="preserve"> </w:t>
      </w:r>
      <w:r w:rsidRPr="00F02D5A">
        <w:rPr>
          <w:i/>
        </w:rPr>
        <w:t>how to</w:t>
      </w:r>
      <w:r w:rsidRPr="00F02D5A">
        <w:rPr>
          <w:i/>
          <w:spacing w:val="-4"/>
        </w:rPr>
        <w:t xml:space="preserve"> </w:t>
      </w:r>
      <w:r w:rsidRPr="00F02D5A">
        <w:rPr>
          <w:i/>
        </w:rPr>
        <w:t>select and</w:t>
      </w:r>
      <w:r w:rsidRPr="00F02D5A">
        <w:rPr>
          <w:i/>
          <w:spacing w:val="-2"/>
        </w:rPr>
        <w:t xml:space="preserve"> </w:t>
      </w:r>
      <w:r w:rsidRPr="00F02D5A">
        <w:rPr>
          <w:i/>
        </w:rPr>
        <w:t>properly deploy use</w:t>
      </w:r>
      <w:r w:rsidRPr="00F02D5A">
        <w:rPr>
          <w:i/>
          <w:spacing w:val="-2"/>
        </w:rPr>
        <w:t xml:space="preserve"> </w:t>
      </w:r>
      <w:r w:rsidRPr="00F02D5A">
        <w:rPr>
          <w:i/>
        </w:rPr>
        <w:t>of</w:t>
      </w:r>
      <w:r w:rsidRPr="00F02D5A">
        <w:rPr>
          <w:i/>
          <w:spacing w:val="-3"/>
        </w:rPr>
        <w:t xml:space="preserve"> </w:t>
      </w:r>
      <w:r w:rsidRPr="00F02D5A">
        <w:rPr>
          <w:i/>
        </w:rPr>
        <w:t xml:space="preserve">force techniques, </w:t>
      </w:r>
      <w:proofErr w:type="gramStart"/>
      <w:r w:rsidRPr="00F02D5A">
        <w:rPr>
          <w:i/>
        </w:rPr>
        <w:t>so as to</w:t>
      </w:r>
      <w:proofErr w:type="gramEnd"/>
      <w:r w:rsidRPr="00F02D5A">
        <w:rPr>
          <w:i/>
        </w:rPr>
        <w:t xml:space="preserve"> avoid harm to the person against whom force is used.</w:t>
      </w:r>
    </w:p>
    <w:p w14:paraId="58B36B0B" w14:textId="77777777" w:rsidR="00F02D5A" w:rsidRDefault="00F02D5A" w:rsidP="00F02D5A">
      <w:pPr>
        <w:pStyle w:val="Quote"/>
      </w:pPr>
      <w:r>
        <w:t>The Department accepts and is already addressing recommendations two and three.</w:t>
      </w:r>
    </w:p>
    <w:p w14:paraId="1B5B486D" w14:textId="3DB15FC2" w:rsidR="000E1EC9" w:rsidRPr="000E1EC9" w:rsidRDefault="000E1EC9" w:rsidP="00F02D5A">
      <w:pPr>
        <w:pStyle w:val="Quote"/>
      </w:pPr>
      <w:r w:rsidRPr="000E1EC9">
        <w:t>The</w:t>
      </w:r>
      <w:r w:rsidRPr="000E1EC9">
        <w:rPr>
          <w:spacing w:val="-2"/>
        </w:rPr>
        <w:t xml:space="preserve"> </w:t>
      </w:r>
      <w:r w:rsidRPr="000E1EC9">
        <w:t>Department contracts the provision of</w:t>
      </w:r>
      <w:r w:rsidRPr="000E1EC9">
        <w:rPr>
          <w:spacing w:val="-2"/>
        </w:rPr>
        <w:t xml:space="preserve"> </w:t>
      </w:r>
      <w:r w:rsidRPr="000E1EC9">
        <w:t>garrison, facilities management, security, transport and escort and detainee welfare and engagement services to the Facilities and Detainee Service Provider (FDSP).</w:t>
      </w:r>
    </w:p>
    <w:p w14:paraId="17F64B60" w14:textId="77777777" w:rsidR="000E1EC9" w:rsidRPr="000E1EC9" w:rsidRDefault="000E1EC9" w:rsidP="00F02D5A">
      <w:pPr>
        <w:pStyle w:val="Quote"/>
      </w:pPr>
      <w:r w:rsidRPr="000E1EC9">
        <w:t>FDSP officers hold and</w:t>
      </w:r>
      <w:r w:rsidRPr="000E1EC9">
        <w:rPr>
          <w:spacing w:val="-1"/>
        </w:rPr>
        <w:t xml:space="preserve"> </w:t>
      </w:r>
      <w:r w:rsidRPr="000E1EC9">
        <w:t>maintain a</w:t>
      </w:r>
      <w:r w:rsidRPr="000E1EC9">
        <w:rPr>
          <w:spacing w:val="-4"/>
        </w:rPr>
        <w:t xml:space="preserve"> </w:t>
      </w:r>
      <w:r w:rsidRPr="000E1EC9">
        <w:t>security accreditation provided by</w:t>
      </w:r>
      <w:r w:rsidRPr="000E1EC9">
        <w:rPr>
          <w:spacing w:val="-3"/>
        </w:rPr>
        <w:t xml:space="preserve"> </w:t>
      </w:r>
      <w:r w:rsidRPr="000E1EC9">
        <w:t>a</w:t>
      </w:r>
      <w:r w:rsidRPr="000E1EC9">
        <w:rPr>
          <w:spacing w:val="-7"/>
        </w:rPr>
        <w:t xml:space="preserve"> </w:t>
      </w:r>
      <w:r w:rsidRPr="000E1EC9">
        <w:t>registered training organisation and are trained in maintaining the safety and security of detainees, staff and visitors and the immigration detention facility.</w:t>
      </w:r>
    </w:p>
    <w:p w14:paraId="5EB66A2E" w14:textId="77777777" w:rsidR="000E1EC9" w:rsidRPr="000E1EC9" w:rsidRDefault="000E1EC9" w:rsidP="00F02D5A">
      <w:pPr>
        <w:pStyle w:val="Quote"/>
      </w:pPr>
      <w:r w:rsidRPr="000E1EC9">
        <w:t>All FDSP officers in detainee facing roles undertake a mandatory Initial Training Course (ITC) on commencement</w:t>
      </w:r>
      <w:r w:rsidRPr="000E1EC9">
        <w:rPr>
          <w:spacing w:val="36"/>
        </w:rPr>
        <w:t xml:space="preserve"> </w:t>
      </w:r>
      <w:r w:rsidRPr="000E1EC9">
        <w:t>of their</w:t>
      </w:r>
      <w:r w:rsidRPr="000E1EC9">
        <w:rPr>
          <w:spacing w:val="18"/>
        </w:rPr>
        <w:t xml:space="preserve"> </w:t>
      </w:r>
      <w:r w:rsidRPr="000E1EC9">
        <w:t>employment</w:t>
      </w:r>
      <w:r w:rsidRPr="000E1EC9">
        <w:rPr>
          <w:spacing w:val="27"/>
        </w:rPr>
        <w:t xml:space="preserve"> </w:t>
      </w:r>
      <w:r w:rsidRPr="000E1EC9">
        <w:t>with the FDSP. The ITC covers</w:t>
      </w:r>
      <w:r w:rsidRPr="000E1EC9">
        <w:rPr>
          <w:spacing w:val="14"/>
        </w:rPr>
        <w:t xml:space="preserve"> </w:t>
      </w:r>
      <w:r w:rsidRPr="000E1EC9">
        <w:t>all aspects</w:t>
      </w:r>
      <w:r w:rsidRPr="000E1EC9">
        <w:rPr>
          <w:spacing w:val="18"/>
        </w:rPr>
        <w:t xml:space="preserve"> </w:t>
      </w:r>
      <w:r w:rsidRPr="000E1EC9">
        <w:t>of use of force utilising theory sessions and practical application of use of force techniques. Following the ITC, officers complete annual Ongoing Security Training. This training ensures that FDSP officers understand that use of force and/or restraint should</w:t>
      </w:r>
      <w:r w:rsidRPr="000E1EC9">
        <w:rPr>
          <w:spacing w:val="-1"/>
        </w:rPr>
        <w:t xml:space="preserve"> </w:t>
      </w:r>
      <w:r w:rsidRPr="000E1EC9">
        <w:t>be</w:t>
      </w:r>
      <w:r w:rsidRPr="000E1EC9">
        <w:rPr>
          <w:spacing w:val="-5"/>
        </w:rPr>
        <w:t xml:space="preserve"> </w:t>
      </w:r>
      <w:r w:rsidRPr="000E1EC9">
        <w:t>proportionate to</w:t>
      </w:r>
      <w:r w:rsidRPr="000E1EC9">
        <w:rPr>
          <w:spacing w:val="-1"/>
        </w:rPr>
        <w:t xml:space="preserve"> </w:t>
      </w:r>
      <w:r w:rsidRPr="000E1EC9">
        <w:t>the situation, objectively justifiable and only used as a</w:t>
      </w:r>
      <w:r w:rsidRPr="000E1EC9">
        <w:rPr>
          <w:spacing w:val="-6"/>
        </w:rPr>
        <w:t xml:space="preserve"> </w:t>
      </w:r>
      <w:r w:rsidRPr="000E1EC9">
        <w:t>measure of last</w:t>
      </w:r>
      <w:r w:rsidRPr="000E1EC9">
        <w:rPr>
          <w:spacing w:val="-2"/>
        </w:rPr>
        <w:t xml:space="preserve"> </w:t>
      </w:r>
      <w:r w:rsidRPr="000E1EC9">
        <w:t>resort. The current training package encompasses</w:t>
      </w:r>
      <w:r w:rsidRPr="000E1EC9">
        <w:rPr>
          <w:spacing w:val="20"/>
        </w:rPr>
        <w:t xml:space="preserve"> </w:t>
      </w:r>
      <w:r w:rsidRPr="000E1EC9">
        <w:t>communication,</w:t>
      </w:r>
      <w:r w:rsidRPr="000E1EC9">
        <w:rPr>
          <w:spacing w:val="-1"/>
        </w:rPr>
        <w:t xml:space="preserve"> </w:t>
      </w:r>
      <w:r w:rsidRPr="000E1EC9">
        <w:t>negotiation and conflict de-escalation strategies which are assessed annually.</w:t>
      </w:r>
    </w:p>
    <w:p w14:paraId="17144B6B" w14:textId="77777777" w:rsidR="000E1EC9" w:rsidRPr="000E1EC9" w:rsidRDefault="000E1EC9" w:rsidP="00F02D5A">
      <w:pPr>
        <w:pStyle w:val="Quote"/>
      </w:pPr>
      <w:r w:rsidRPr="000E1EC9">
        <w:t>All officers</w:t>
      </w:r>
      <w:r w:rsidRPr="000E1EC9">
        <w:rPr>
          <w:spacing w:val="21"/>
        </w:rPr>
        <w:t xml:space="preserve"> </w:t>
      </w:r>
      <w:r w:rsidRPr="000E1EC9">
        <w:t>working</w:t>
      </w:r>
      <w:r w:rsidRPr="000E1EC9">
        <w:rPr>
          <w:spacing w:val="13"/>
        </w:rPr>
        <w:t xml:space="preserve"> </w:t>
      </w:r>
      <w:r w:rsidRPr="000E1EC9">
        <w:t>in the Immigration</w:t>
      </w:r>
      <w:r w:rsidRPr="000E1EC9">
        <w:rPr>
          <w:spacing w:val="21"/>
        </w:rPr>
        <w:t xml:space="preserve"> </w:t>
      </w:r>
      <w:r w:rsidRPr="000E1EC9">
        <w:t>Detention</w:t>
      </w:r>
      <w:r w:rsidRPr="000E1EC9">
        <w:rPr>
          <w:spacing w:val="14"/>
        </w:rPr>
        <w:t xml:space="preserve"> </w:t>
      </w:r>
      <w:r w:rsidRPr="000E1EC9">
        <w:t>Network</w:t>
      </w:r>
      <w:r w:rsidRPr="000E1EC9">
        <w:rPr>
          <w:spacing w:val="24"/>
        </w:rPr>
        <w:t xml:space="preserve"> </w:t>
      </w:r>
      <w:r w:rsidRPr="000E1EC9">
        <w:t>must</w:t>
      </w:r>
      <w:r w:rsidRPr="000E1EC9">
        <w:rPr>
          <w:spacing w:val="16"/>
        </w:rPr>
        <w:t xml:space="preserve"> </w:t>
      </w:r>
      <w:r w:rsidRPr="000E1EC9">
        <w:t>abide by a code of conduct.</w:t>
      </w:r>
      <w:r w:rsidRPr="000E1EC9">
        <w:rPr>
          <w:spacing w:val="18"/>
        </w:rPr>
        <w:t xml:space="preserve"> </w:t>
      </w:r>
      <w:r w:rsidRPr="000E1EC9">
        <w:t>Allegations</w:t>
      </w:r>
      <w:r w:rsidRPr="000E1EC9">
        <w:rPr>
          <w:spacing w:val="21"/>
        </w:rPr>
        <w:t xml:space="preserve"> </w:t>
      </w:r>
      <w:r w:rsidRPr="000E1EC9">
        <w:t>of staff misconduct are</w:t>
      </w:r>
      <w:r w:rsidRPr="000E1EC9">
        <w:rPr>
          <w:spacing w:val="-2"/>
        </w:rPr>
        <w:t xml:space="preserve"> </w:t>
      </w:r>
      <w:r w:rsidRPr="000E1EC9">
        <w:t>investigated and any cases that</w:t>
      </w:r>
      <w:r w:rsidRPr="000E1EC9">
        <w:rPr>
          <w:spacing w:val="-1"/>
        </w:rPr>
        <w:t xml:space="preserve"> </w:t>
      </w:r>
      <w:r w:rsidRPr="000E1EC9">
        <w:t>may involve criminal, corrupt and/or serious misconduct are referred to the Police or to the Department's Integrity and Professional Standards.</w:t>
      </w:r>
    </w:p>
    <w:p w14:paraId="009E0025" w14:textId="5F2BFC9D" w:rsidR="000E1EC9" w:rsidRPr="00F02D5A" w:rsidRDefault="000E1EC9" w:rsidP="00F02D5A">
      <w:pPr>
        <w:pStyle w:val="Quote"/>
        <w:rPr>
          <w:b/>
          <w:bCs/>
        </w:rPr>
      </w:pPr>
      <w:r w:rsidRPr="00F02D5A">
        <w:rPr>
          <w:b/>
          <w:bCs/>
        </w:rPr>
        <w:t>Recommendation</w:t>
      </w:r>
      <w:r w:rsidRPr="00F02D5A">
        <w:rPr>
          <w:b/>
          <w:bCs/>
          <w:spacing w:val="-7"/>
        </w:rPr>
        <w:t xml:space="preserve"> </w:t>
      </w:r>
      <w:r w:rsidRPr="00F02D5A">
        <w:rPr>
          <w:b/>
          <w:bCs/>
        </w:rPr>
        <w:t>3</w:t>
      </w:r>
      <w:r w:rsidRPr="00F02D5A">
        <w:rPr>
          <w:b/>
          <w:bCs/>
          <w:spacing w:val="-8"/>
        </w:rPr>
        <w:t xml:space="preserve"> </w:t>
      </w:r>
      <w:r w:rsidR="005550BB">
        <w:rPr>
          <w:b/>
          <w:bCs/>
        </w:rPr>
        <w:t>–</w:t>
      </w:r>
      <w:r w:rsidRPr="00F02D5A">
        <w:rPr>
          <w:b/>
          <w:bCs/>
          <w:spacing w:val="45"/>
        </w:rPr>
        <w:t xml:space="preserve"> </w:t>
      </w:r>
      <w:r w:rsidRPr="00F02D5A">
        <w:rPr>
          <w:b/>
          <w:bCs/>
        </w:rPr>
        <w:t>Accepts</w:t>
      </w:r>
      <w:r w:rsidRPr="00F02D5A">
        <w:rPr>
          <w:b/>
          <w:bCs/>
          <w:spacing w:val="15"/>
        </w:rPr>
        <w:t xml:space="preserve"> </w:t>
      </w:r>
      <w:r w:rsidRPr="00F02D5A">
        <w:rPr>
          <w:b/>
          <w:bCs/>
        </w:rPr>
        <w:t>and</w:t>
      </w:r>
      <w:r w:rsidRPr="00F02D5A">
        <w:rPr>
          <w:b/>
          <w:bCs/>
          <w:spacing w:val="7"/>
        </w:rPr>
        <w:t xml:space="preserve"> </w:t>
      </w:r>
      <w:r w:rsidRPr="00F02D5A">
        <w:rPr>
          <w:b/>
          <w:bCs/>
        </w:rPr>
        <w:t>is</w:t>
      </w:r>
      <w:r w:rsidRPr="00F02D5A">
        <w:rPr>
          <w:b/>
          <w:bCs/>
          <w:spacing w:val="-1"/>
        </w:rPr>
        <w:t xml:space="preserve"> </w:t>
      </w:r>
      <w:r w:rsidRPr="00F02D5A">
        <w:rPr>
          <w:b/>
          <w:bCs/>
        </w:rPr>
        <w:t>already</w:t>
      </w:r>
      <w:r w:rsidRPr="00F02D5A">
        <w:rPr>
          <w:b/>
          <w:bCs/>
          <w:spacing w:val="9"/>
        </w:rPr>
        <w:t xml:space="preserve"> </w:t>
      </w:r>
      <w:r w:rsidRPr="00F02D5A">
        <w:rPr>
          <w:b/>
          <w:bCs/>
          <w:spacing w:val="-2"/>
        </w:rPr>
        <w:t>addressing</w:t>
      </w:r>
    </w:p>
    <w:p w14:paraId="48784EBA" w14:textId="77777777" w:rsidR="000E1EC9" w:rsidRPr="00F02D5A" w:rsidRDefault="000E1EC9" w:rsidP="00F02D5A">
      <w:pPr>
        <w:pStyle w:val="Quote"/>
        <w:rPr>
          <w:i/>
        </w:rPr>
      </w:pPr>
      <w:r w:rsidRPr="00F02D5A">
        <w:rPr>
          <w:i/>
        </w:rPr>
        <w:t>The</w:t>
      </w:r>
      <w:r w:rsidRPr="00F02D5A">
        <w:rPr>
          <w:i/>
          <w:spacing w:val="-3"/>
        </w:rPr>
        <w:t xml:space="preserve"> </w:t>
      </w:r>
      <w:r w:rsidRPr="00F02D5A">
        <w:rPr>
          <w:i/>
        </w:rPr>
        <w:t>Department and Serco ensure that officers who may be</w:t>
      </w:r>
      <w:r w:rsidRPr="00F02D5A">
        <w:rPr>
          <w:i/>
          <w:spacing w:val="-3"/>
        </w:rPr>
        <w:t xml:space="preserve"> </w:t>
      </w:r>
      <w:r w:rsidRPr="00F02D5A">
        <w:rPr>
          <w:i/>
        </w:rPr>
        <w:t>required to use force in their roles be appropriately</w:t>
      </w:r>
      <w:r w:rsidRPr="00F02D5A">
        <w:rPr>
          <w:i/>
          <w:spacing w:val="37"/>
        </w:rPr>
        <w:t xml:space="preserve"> </w:t>
      </w:r>
      <w:r w:rsidRPr="00F02D5A">
        <w:rPr>
          <w:i/>
        </w:rPr>
        <w:t xml:space="preserve">and periodically trained on </w:t>
      </w:r>
      <w:r w:rsidRPr="00F02D5A">
        <w:rPr>
          <w:i/>
        </w:rPr>
        <w:lastRenderedPageBreak/>
        <w:t>communication,</w:t>
      </w:r>
      <w:r w:rsidRPr="00F02D5A">
        <w:rPr>
          <w:i/>
          <w:spacing w:val="-3"/>
        </w:rPr>
        <w:t xml:space="preserve"> </w:t>
      </w:r>
      <w:proofErr w:type="gramStart"/>
      <w:r w:rsidRPr="00F02D5A">
        <w:rPr>
          <w:i/>
        </w:rPr>
        <w:t>negotiation</w:t>
      </w:r>
      <w:proofErr w:type="gramEnd"/>
      <w:r w:rsidRPr="00F02D5A">
        <w:rPr>
          <w:i/>
          <w:spacing w:val="36"/>
        </w:rPr>
        <w:t xml:space="preserve"> </w:t>
      </w:r>
      <w:r w:rsidRPr="00F02D5A">
        <w:rPr>
          <w:i/>
        </w:rPr>
        <w:t>and conflict de-escalation strategies as alternatives to the use of force.</w:t>
      </w:r>
    </w:p>
    <w:p w14:paraId="5DB83296" w14:textId="6F36E768" w:rsidR="00A071A6" w:rsidRPr="00847C48" w:rsidRDefault="000E1EC9" w:rsidP="00847C48">
      <w:pPr>
        <w:pStyle w:val="Quote"/>
        <w:rPr>
          <w:spacing w:val="-5"/>
        </w:rPr>
      </w:pPr>
      <w:r w:rsidRPr="000E1EC9">
        <w:t>Refer</w:t>
      </w:r>
      <w:r w:rsidRPr="000E1EC9">
        <w:rPr>
          <w:spacing w:val="4"/>
        </w:rPr>
        <w:t xml:space="preserve"> </w:t>
      </w:r>
      <w:r w:rsidRPr="000E1EC9">
        <w:t>to</w:t>
      </w:r>
      <w:r w:rsidRPr="000E1EC9">
        <w:rPr>
          <w:spacing w:val="-1"/>
        </w:rPr>
        <w:t xml:space="preserve"> </w:t>
      </w:r>
      <w:r w:rsidRPr="000E1EC9">
        <w:t>response</w:t>
      </w:r>
      <w:r w:rsidRPr="000E1EC9">
        <w:rPr>
          <w:spacing w:val="16"/>
        </w:rPr>
        <w:t xml:space="preserve"> </w:t>
      </w:r>
      <w:r w:rsidRPr="000E1EC9">
        <w:t>at</w:t>
      </w:r>
      <w:r w:rsidRPr="000E1EC9">
        <w:rPr>
          <w:spacing w:val="-2"/>
        </w:rPr>
        <w:t xml:space="preserve"> </w:t>
      </w:r>
      <w:r w:rsidRPr="000E1EC9">
        <w:t>Recommendation</w:t>
      </w:r>
      <w:r w:rsidRPr="000E1EC9">
        <w:rPr>
          <w:spacing w:val="3"/>
        </w:rPr>
        <w:t xml:space="preserve"> </w:t>
      </w:r>
      <w:r w:rsidRPr="000E1EC9">
        <w:rPr>
          <w:spacing w:val="-5"/>
        </w:rPr>
        <w:t>2.</w:t>
      </w:r>
    </w:p>
    <w:p w14:paraId="286B8F67" w14:textId="77777777" w:rsidR="00903BC5" w:rsidRPr="00903BC5" w:rsidRDefault="00903BC5" w:rsidP="00903BC5"/>
    <w:p w14:paraId="52543698" w14:textId="090353E7" w:rsidR="00F02D5A" w:rsidRDefault="00F02D5A" w:rsidP="00F02D5A">
      <w:pPr>
        <w:pStyle w:val="ListParagraph"/>
        <w:numPr>
          <w:ilvl w:val="0"/>
          <w:numId w:val="20"/>
        </w:numPr>
      </w:pPr>
      <w:r>
        <w:t>I report accordingly to the Attorney-General.</w:t>
      </w:r>
    </w:p>
    <w:p w14:paraId="75F64F35" w14:textId="77777777" w:rsidR="00F02D5A" w:rsidRDefault="00F02D5A" w:rsidP="00F02D5A"/>
    <w:p w14:paraId="4B01B16F" w14:textId="1CDF96DC" w:rsidR="00325EA8" w:rsidRDefault="37C497E9" w:rsidP="00F02D5A">
      <w:r>
        <w:rPr>
          <w:noProof/>
        </w:rPr>
        <w:drawing>
          <wp:inline distT="0" distB="0" distL="0" distR="0" wp14:anchorId="41AD570E" wp14:editId="57C32672">
            <wp:extent cx="2627604" cy="585267"/>
            <wp:effectExtent l="0" t="0" r="0" b="0"/>
            <wp:docPr id="533011890" name="Picture 53301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27604" cy="585267"/>
                    </a:xfrm>
                    <a:prstGeom prst="rect">
                      <a:avLst/>
                    </a:prstGeom>
                  </pic:spPr>
                </pic:pic>
              </a:graphicData>
            </a:graphic>
          </wp:inline>
        </w:drawing>
      </w:r>
    </w:p>
    <w:p w14:paraId="761D4CC9" w14:textId="77777777" w:rsidR="00325EA8" w:rsidRDefault="00325EA8" w:rsidP="00F02D5A"/>
    <w:p w14:paraId="6F4325E1" w14:textId="30187A0E" w:rsidR="00F02D5A" w:rsidRPr="000C5540" w:rsidRDefault="00F02D5A" w:rsidP="00F02D5A">
      <w:pPr>
        <w:contextualSpacing/>
        <w:rPr>
          <w:rFonts w:cs="Open Sans"/>
        </w:rPr>
      </w:pPr>
      <w:r w:rsidRPr="000C5540">
        <w:rPr>
          <w:rFonts w:cs="Open Sans"/>
        </w:rPr>
        <w:t>Emeritus Professor Rosalind Croucher AM</w:t>
      </w:r>
      <w:r>
        <w:rPr>
          <w:rFonts w:cs="Open Sans"/>
        </w:rPr>
        <w:t xml:space="preserve"> FAAL</w:t>
      </w:r>
    </w:p>
    <w:p w14:paraId="7419FEBF" w14:textId="77777777" w:rsidR="00F02D5A" w:rsidRPr="000C5540" w:rsidRDefault="00F02D5A" w:rsidP="00F02D5A">
      <w:pPr>
        <w:contextualSpacing/>
        <w:rPr>
          <w:rFonts w:cs="Open Sans"/>
        </w:rPr>
      </w:pPr>
      <w:r w:rsidRPr="000C5540">
        <w:rPr>
          <w:rFonts w:cs="Open Sans"/>
          <w:b/>
        </w:rPr>
        <w:t>President</w:t>
      </w:r>
      <w:r w:rsidRPr="000C5540">
        <w:rPr>
          <w:rFonts w:cs="Open Sans"/>
        </w:rPr>
        <w:t xml:space="preserve"> </w:t>
      </w:r>
    </w:p>
    <w:p w14:paraId="244EE883" w14:textId="77777777" w:rsidR="00F02D5A" w:rsidRDefault="00F02D5A" w:rsidP="00F02D5A">
      <w:pPr>
        <w:contextualSpacing/>
        <w:rPr>
          <w:rFonts w:cs="Open Sans"/>
        </w:rPr>
      </w:pPr>
      <w:r w:rsidRPr="000C5540">
        <w:rPr>
          <w:rFonts w:cs="Open Sans"/>
        </w:rPr>
        <w:t>Australian Human Rights Commission</w:t>
      </w:r>
    </w:p>
    <w:p w14:paraId="3793D8ED" w14:textId="5C2F344B" w:rsidR="0069740B" w:rsidRPr="0069740B" w:rsidRDefault="00F02D5A" w:rsidP="23DDDEB2">
      <w:pPr>
        <w:contextualSpacing/>
        <w:rPr>
          <w:rFonts w:cs="Open Sans"/>
        </w:rPr>
      </w:pPr>
      <w:r>
        <w:rPr>
          <w:rFonts w:cs="Open Sans"/>
        </w:rPr>
        <w:t xml:space="preserve">April </w:t>
      </w:r>
      <w:r w:rsidRPr="000C5540">
        <w:rPr>
          <w:rFonts w:cs="Open Sans"/>
        </w:rPr>
        <w:t>202</w:t>
      </w:r>
      <w:r>
        <w:rPr>
          <w:rFonts w:cs="Open Sans"/>
        </w:rPr>
        <w:t>4</w:t>
      </w:r>
    </w:p>
    <w:p w14:paraId="58DA74FA" w14:textId="13E8F899" w:rsidR="23DDDEB2" w:rsidRDefault="23DDDEB2" w:rsidP="23DDDEB2">
      <w:pPr>
        <w:spacing w:before="0" w:after="0"/>
        <w:rPr>
          <w:b/>
          <w:bCs/>
        </w:rPr>
      </w:pPr>
    </w:p>
    <w:p w14:paraId="1A1504D5" w14:textId="77777777" w:rsidR="00A071A6" w:rsidRDefault="00A071A6" w:rsidP="23DDDEB2">
      <w:pPr>
        <w:spacing w:before="0" w:after="0"/>
        <w:rPr>
          <w:b/>
          <w:bCs/>
        </w:rPr>
      </w:pPr>
    </w:p>
    <w:p w14:paraId="165095F4" w14:textId="77777777" w:rsidR="00A071A6" w:rsidRDefault="00A071A6" w:rsidP="23DDDEB2">
      <w:pPr>
        <w:spacing w:before="0" w:after="0"/>
        <w:rPr>
          <w:b/>
          <w:bCs/>
        </w:rPr>
      </w:pPr>
    </w:p>
    <w:p w14:paraId="7E15165F" w14:textId="77777777" w:rsidR="00A071A6" w:rsidRDefault="00A071A6" w:rsidP="23DDDEB2">
      <w:pPr>
        <w:spacing w:before="0" w:after="0"/>
        <w:rPr>
          <w:b/>
          <w:bCs/>
        </w:rPr>
      </w:pPr>
    </w:p>
    <w:p w14:paraId="796248FB" w14:textId="77777777" w:rsidR="00A071A6" w:rsidRDefault="00A071A6" w:rsidP="23DDDEB2">
      <w:pPr>
        <w:spacing w:before="0" w:after="0"/>
        <w:rPr>
          <w:b/>
          <w:bCs/>
        </w:rPr>
      </w:pPr>
    </w:p>
    <w:p w14:paraId="16024E93" w14:textId="77777777" w:rsidR="00A071A6" w:rsidRDefault="00A071A6" w:rsidP="23DDDEB2">
      <w:pPr>
        <w:spacing w:before="0" w:after="0"/>
        <w:rPr>
          <w:b/>
          <w:bCs/>
        </w:rPr>
      </w:pPr>
    </w:p>
    <w:p w14:paraId="4B070255" w14:textId="77777777" w:rsidR="00A071A6" w:rsidRDefault="00A071A6" w:rsidP="23DDDEB2">
      <w:pPr>
        <w:spacing w:before="0" w:after="0"/>
        <w:rPr>
          <w:b/>
          <w:bCs/>
        </w:rPr>
      </w:pPr>
    </w:p>
    <w:p w14:paraId="550299E0" w14:textId="77777777" w:rsidR="00A071A6" w:rsidRDefault="00A071A6" w:rsidP="23DDDEB2">
      <w:pPr>
        <w:spacing w:before="0" w:after="0"/>
        <w:rPr>
          <w:b/>
          <w:bCs/>
        </w:rPr>
      </w:pPr>
    </w:p>
    <w:p w14:paraId="2F0418F7" w14:textId="77777777" w:rsidR="00A071A6" w:rsidRDefault="00A071A6" w:rsidP="23DDDEB2">
      <w:pPr>
        <w:spacing w:before="0" w:after="0"/>
        <w:rPr>
          <w:b/>
          <w:bCs/>
        </w:rPr>
      </w:pPr>
    </w:p>
    <w:p w14:paraId="3964A613" w14:textId="77777777" w:rsidR="00A071A6" w:rsidRDefault="00A071A6" w:rsidP="23DDDEB2">
      <w:pPr>
        <w:spacing w:before="0" w:after="0"/>
        <w:rPr>
          <w:b/>
          <w:bCs/>
        </w:rPr>
      </w:pPr>
    </w:p>
    <w:p w14:paraId="7E41BAA8" w14:textId="77777777" w:rsidR="00A071A6" w:rsidRDefault="00A071A6" w:rsidP="23DDDEB2">
      <w:pPr>
        <w:spacing w:before="0" w:after="0"/>
        <w:rPr>
          <w:b/>
          <w:bCs/>
        </w:rPr>
      </w:pPr>
    </w:p>
    <w:p w14:paraId="0EA68888" w14:textId="77777777" w:rsidR="00A071A6" w:rsidRDefault="00A071A6" w:rsidP="23DDDEB2">
      <w:pPr>
        <w:spacing w:before="0" w:after="0"/>
        <w:rPr>
          <w:b/>
          <w:bCs/>
        </w:rPr>
      </w:pPr>
    </w:p>
    <w:p w14:paraId="4CCEFF31" w14:textId="77777777" w:rsidR="00A071A6" w:rsidRDefault="00A071A6" w:rsidP="23DDDEB2">
      <w:pPr>
        <w:spacing w:before="0" w:after="0"/>
        <w:rPr>
          <w:b/>
          <w:bCs/>
        </w:rPr>
      </w:pPr>
    </w:p>
    <w:p w14:paraId="53F778D3" w14:textId="77777777" w:rsidR="00A071A6" w:rsidRDefault="00A071A6" w:rsidP="23DDDEB2">
      <w:pPr>
        <w:spacing w:before="0" w:after="0"/>
        <w:rPr>
          <w:b/>
          <w:bCs/>
        </w:rPr>
      </w:pPr>
    </w:p>
    <w:p w14:paraId="3EF94C8E" w14:textId="77777777" w:rsidR="00A071A6" w:rsidRDefault="00A071A6" w:rsidP="23DDDEB2">
      <w:pPr>
        <w:spacing w:before="0" w:after="0"/>
        <w:rPr>
          <w:b/>
          <w:bCs/>
        </w:rPr>
      </w:pPr>
    </w:p>
    <w:p w14:paraId="3A1C71F4" w14:textId="77777777" w:rsidR="00A071A6" w:rsidRDefault="00A071A6" w:rsidP="23DDDEB2">
      <w:pPr>
        <w:spacing w:before="0" w:after="0"/>
        <w:rPr>
          <w:b/>
          <w:bCs/>
        </w:rPr>
      </w:pPr>
    </w:p>
    <w:p w14:paraId="3D09E3F7" w14:textId="77777777" w:rsidR="00A071A6" w:rsidRDefault="00A071A6" w:rsidP="23DDDEB2">
      <w:pPr>
        <w:spacing w:before="0" w:after="0"/>
        <w:rPr>
          <w:b/>
          <w:bCs/>
        </w:rPr>
      </w:pPr>
    </w:p>
    <w:p w14:paraId="77CA4955" w14:textId="77777777" w:rsidR="00A071A6" w:rsidRDefault="00A071A6" w:rsidP="23DDDEB2">
      <w:pPr>
        <w:spacing w:before="0" w:after="0"/>
        <w:rPr>
          <w:b/>
          <w:bCs/>
        </w:rPr>
      </w:pPr>
    </w:p>
    <w:p w14:paraId="58D718AF" w14:textId="77777777" w:rsidR="00AC730C" w:rsidRDefault="00AC730C" w:rsidP="23DDDEB2">
      <w:pPr>
        <w:spacing w:before="0" w:after="0"/>
        <w:rPr>
          <w:b/>
          <w:bCs/>
        </w:rPr>
      </w:pPr>
    </w:p>
    <w:p w14:paraId="3F27003A" w14:textId="77777777" w:rsidR="00AC730C" w:rsidRDefault="00AC730C" w:rsidP="23DDDEB2">
      <w:pPr>
        <w:spacing w:before="0" w:after="0"/>
        <w:rPr>
          <w:b/>
          <w:bCs/>
        </w:rPr>
      </w:pPr>
    </w:p>
    <w:p w14:paraId="032F7491" w14:textId="77777777" w:rsidR="00AC730C" w:rsidRDefault="00AC730C" w:rsidP="23DDDEB2">
      <w:pPr>
        <w:spacing w:before="0" w:after="0"/>
        <w:rPr>
          <w:b/>
          <w:bCs/>
        </w:rPr>
      </w:pPr>
    </w:p>
    <w:p w14:paraId="24BB1748" w14:textId="77777777" w:rsidR="00AC730C" w:rsidRDefault="00AC730C" w:rsidP="23DDDEB2">
      <w:pPr>
        <w:spacing w:before="0" w:after="0"/>
        <w:rPr>
          <w:b/>
          <w:bCs/>
        </w:rPr>
      </w:pPr>
    </w:p>
    <w:p w14:paraId="0F3B2F1B" w14:textId="77777777" w:rsidR="00AC730C" w:rsidRDefault="00AC730C" w:rsidP="23DDDEB2">
      <w:pPr>
        <w:spacing w:before="0" w:after="0"/>
        <w:rPr>
          <w:b/>
          <w:bCs/>
        </w:rPr>
      </w:pPr>
    </w:p>
    <w:p w14:paraId="239578FF" w14:textId="77777777" w:rsidR="00AC730C" w:rsidRDefault="00AC730C" w:rsidP="23DDDEB2">
      <w:pPr>
        <w:spacing w:before="0" w:after="0"/>
        <w:rPr>
          <w:b/>
          <w:bCs/>
        </w:rPr>
      </w:pPr>
    </w:p>
    <w:p w14:paraId="60D73AD2" w14:textId="77777777" w:rsidR="00AC730C" w:rsidRDefault="00AC730C" w:rsidP="23DDDEB2">
      <w:pPr>
        <w:spacing w:before="0" w:after="0"/>
        <w:rPr>
          <w:b/>
          <w:bCs/>
        </w:rPr>
      </w:pPr>
    </w:p>
    <w:p w14:paraId="46ACAF0D" w14:textId="77777777" w:rsidR="00AC730C" w:rsidRDefault="00AC730C" w:rsidP="23DDDEB2">
      <w:pPr>
        <w:spacing w:before="0" w:after="0"/>
        <w:rPr>
          <w:b/>
          <w:bCs/>
        </w:rPr>
      </w:pPr>
    </w:p>
    <w:p w14:paraId="1F10D555" w14:textId="77777777" w:rsidR="00A071A6" w:rsidRDefault="00A071A6" w:rsidP="23DDDEB2">
      <w:pPr>
        <w:spacing w:before="0" w:after="0"/>
        <w:rPr>
          <w:b/>
          <w:bCs/>
        </w:rPr>
      </w:pPr>
    </w:p>
    <w:p w14:paraId="76A13F87" w14:textId="77777777" w:rsidR="00A071A6" w:rsidRDefault="00A071A6" w:rsidP="23DDDEB2">
      <w:pPr>
        <w:spacing w:before="0" w:after="0"/>
        <w:rPr>
          <w:b/>
          <w:bCs/>
        </w:rPr>
      </w:pPr>
    </w:p>
    <w:p w14:paraId="16F6BDFA" w14:textId="77777777" w:rsidR="00A071A6" w:rsidRDefault="00A071A6" w:rsidP="23DDDEB2">
      <w:pPr>
        <w:spacing w:before="0" w:after="0"/>
        <w:rPr>
          <w:b/>
          <w:bCs/>
        </w:rPr>
      </w:pPr>
    </w:p>
    <w:p w14:paraId="2551DF72" w14:textId="77777777" w:rsidR="00A071A6" w:rsidRDefault="00A071A6" w:rsidP="23DDDEB2">
      <w:pPr>
        <w:spacing w:before="0" w:after="0"/>
        <w:rPr>
          <w:b/>
          <w:bCs/>
        </w:rPr>
      </w:pPr>
    </w:p>
    <w:p w14:paraId="00CC994E" w14:textId="77777777" w:rsidR="00A071A6" w:rsidRDefault="00A071A6" w:rsidP="23DDDEB2">
      <w:pPr>
        <w:spacing w:before="0" w:after="0"/>
        <w:rPr>
          <w:b/>
          <w:bCs/>
        </w:rPr>
      </w:pPr>
    </w:p>
    <w:p w14:paraId="6C95D1C4" w14:textId="224CA82D" w:rsidR="003423F4" w:rsidRPr="00F02D5A" w:rsidRDefault="00DD604A" w:rsidP="00F02D5A">
      <w:pPr>
        <w:rPr>
          <w:b/>
          <w:bCs/>
        </w:rPr>
      </w:pPr>
      <w:r w:rsidRPr="00DD604A">
        <w:rPr>
          <w:b/>
          <w:bCs/>
        </w:rPr>
        <w:lastRenderedPageBreak/>
        <w:t>Endnote</w:t>
      </w:r>
      <w:bookmarkEnd w:id="2"/>
      <w:bookmarkEnd w:id="3"/>
      <w:bookmarkEnd w:id="4"/>
      <w:r w:rsidR="00F02D5A">
        <w:rPr>
          <w:b/>
          <w:bCs/>
        </w:rPr>
        <w:t>s</w:t>
      </w:r>
    </w:p>
    <w:sectPr w:rsidR="003423F4" w:rsidRPr="00F02D5A" w:rsidSect="00B02E31">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4CD6C6" w14:textId="77777777" w:rsidR="00B02E31" w:rsidRDefault="00B02E31" w:rsidP="00F14C6D">
      <w:r>
        <w:separator/>
      </w:r>
    </w:p>
  </w:endnote>
  <w:endnote w:type="continuationSeparator" w:id="0">
    <w:p w14:paraId="6F455E67" w14:textId="77777777" w:rsidR="00B02E31" w:rsidRDefault="00B02E31" w:rsidP="00F14C6D">
      <w:r>
        <w:continuationSeparator/>
      </w:r>
    </w:p>
  </w:endnote>
  <w:endnote w:type="continuationNotice" w:id="1">
    <w:p w14:paraId="5F744D1A" w14:textId="77777777" w:rsidR="00B02E31" w:rsidRDefault="00B02E31">
      <w:pPr>
        <w:spacing w:before="0" w:after="0"/>
      </w:pPr>
    </w:p>
  </w:endnote>
  <w:endnote w:id="2">
    <w:p w14:paraId="6F99CADF" w14:textId="77777777" w:rsidR="00484EF1" w:rsidRPr="006B46CD" w:rsidRDefault="00484EF1" w:rsidP="00484EF1">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r>
      <w:r w:rsidRPr="006B46CD">
        <w:rPr>
          <w:rFonts w:cs="Open Sans"/>
          <w:i/>
        </w:rPr>
        <w:t>International Covenant on Civil and Political Rights</w:t>
      </w:r>
      <w:r w:rsidRPr="006B46CD">
        <w:rPr>
          <w:rFonts w:cs="Open Sans"/>
        </w:rPr>
        <w:t>, opened for signature 16 December 1966, 999 UNTS 171 (entered into force 23 March 1976) articles 7 and 10.</w:t>
      </w:r>
    </w:p>
  </w:endnote>
  <w:endnote w:id="3">
    <w:p w14:paraId="489E6C34" w14:textId="77777777" w:rsidR="00F90D34" w:rsidRPr="00456A59" w:rsidRDefault="00F90D34" w:rsidP="00F90D34">
      <w:pPr>
        <w:pStyle w:val="EndnoteText"/>
        <w:ind w:left="284" w:hanging="284"/>
        <w:rPr>
          <w:rFonts w:cs="Open Sans"/>
        </w:rPr>
      </w:pPr>
      <w:r>
        <w:rPr>
          <w:rStyle w:val="EndnoteReference"/>
        </w:rPr>
        <w:endnoteRef/>
      </w:r>
      <w:r>
        <w:t xml:space="preserve"> </w:t>
      </w:r>
      <w:r>
        <w:tab/>
      </w:r>
      <w:r w:rsidRPr="00456A59">
        <w:rPr>
          <w:rFonts w:cs="Open Sans"/>
          <w:i/>
          <w:iCs/>
        </w:rPr>
        <w:t xml:space="preserve">Pearson v Minister for Home Affairs </w:t>
      </w:r>
      <w:r w:rsidRPr="00456A59">
        <w:rPr>
          <w:rFonts w:cs="Open Sans"/>
        </w:rPr>
        <w:t xml:space="preserve">[2022] FCAFC 203.  </w:t>
      </w:r>
      <w:r w:rsidRPr="00456A59">
        <w:rPr>
          <w:rFonts w:cs="Open Sans"/>
        </w:rPr>
        <w:tab/>
      </w:r>
    </w:p>
  </w:endnote>
  <w:endnote w:id="4">
    <w:p w14:paraId="00A9F32B" w14:textId="77777777" w:rsidR="00F90D34" w:rsidRPr="00456A59" w:rsidRDefault="00F90D34" w:rsidP="00F90D34">
      <w:pPr>
        <w:pStyle w:val="EndnoteText"/>
        <w:ind w:left="284" w:hanging="284"/>
        <w:rPr>
          <w:rFonts w:cs="Open Sans"/>
        </w:rPr>
      </w:pPr>
      <w:r w:rsidRPr="00456A59">
        <w:rPr>
          <w:rStyle w:val="EndnoteReference"/>
          <w:rFonts w:cs="Open Sans"/>
        </w:rPr>
        <w:endnoteRef/>
      </w:r>
      <w:r w:rsidRPr="00456A59">
        <w:rPr>
          <w:rFonts w:cs="Open Sans"/>
        </w:rPr>
        <w:t xml:space="preserve"> </w:t>
      </w:r>
      <w:r>
        <w:rPr>
          <w:rFonts w:cs="Open Sans"/>
        </w:rPr>
        <w:tab/>
      </w:r>
      <w:r w:rsidRPr="00456A59">
        <w:rPr>
          <w:rFonts w:cs="Open Sans"/>
          <w:i/>
          <w:iCs/>
        </w:rPr>
        <w:t>Migration Amendment (Aggregate Sentences) Act 2023</w:t>
      </w:r>
      <w:r w:rsidRPr="00456A59">
        <w:rPr>
          <w:rFonts w:cs="Open Sans"/>
        </w:rPr>
        <w:t xml:space="preserve"> (Cth). </w:t>
      </w:r>
    </w:p>
  </w:endnote>
  <w:endnote w:id="5">
    <w:p w14:paraId="2F4C10F0" w14:textId="77777777" w:rsidR="00F90D34" w:rsidRPr="006B46CD" w:rsidRDefault="00F90D34" w:rsidP="00F90D34">
      <w:pPr>
        <w:pStyle w:val="EndnoteText"/>
        <w:ind w:left="284" w:hanging="284"/>
        <w:rPr>
          <w:rStyle w:val="EndnoteReference"/>
          <w:rFonts w:cs="Open Sans"/>
          <w:i/>
        </w:rPr>
      </w:pPr>
      <w:r w:rsidRPr="006B46CD">
        <w:rPr>
          <w:rStyle w:val="EndnoteReference"/>
          <w:rFonts w:cs="Open Sans"/>
        </w:rPr>
        <w:endnoteRef/>
      </w:r>
      <w:r w:rsidRPr="006B46CD">
        <w:rPr>
          <w:rStyle w:val="EndnoteReference"/>
          <w:rFonts w:cs="Open Sans"/>
        </w:rPr>
        <w:t xml:space="preserve"> </w:t>
      </w:r>
      <w:r w:rsidRPr="006B46CD">
        <w:rPr>
          <w:rStyle w:val="EndnoteReference"/>
          <w:rFonts w:cs="Open Sans"/>
        </w:rPr>
        <w:tab/>
      </w:r>
      <w:r w:rsidRPr="00B56EE3">
        <w:rPr>
          <w:rStyle w:val="AHRCEndnotesChar"/>
          <w:sz w:val="20"/>
          <w:szCs w:val="20"/>
        </w:rPr>
        <w:t>See the definition of ‘human rights’ in s 3(1) of the Australian Human Rights Commission Act 1986 (Cth).</w:t>
      </w:r>
    </w:p>
  </w:endnote>
  <w:endnote w:id="6">
    <w:p w14:paraId="1A32E4A8" w14:textId="77777777" w:rsidR="00F90D34" w:rsidRPr="006B46CD" w:rsidRDefault="00F90D34" w:rsidP="00F90D34">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t xml:space="preserve">See </w:t>
      </w:r>
      <w:r w:rsidRPr="006B46CD">
        <w:rPr>
          <w:rFonts w:cs="Open Sans"/>
          <w:i/>
        </w:rPr>
        <w:t>Secretary of the Department of Defence v Human Rights and Equal Opportunity Commission, Burgess &amp; Ors</w:t>
      </w:r>
      <w:r w:rsidRPr="006B46CD">
        <w:rPr>
          <w:rFonts w:cs="Open Sans"/>
        </w:rPr>
        <w:t xml:space="preserve"> (1997) 78 FCR 208.</w:t>
      </w:r>
    </w:p>
  </w:endnote>
  <w:endnote w:id="7">
    <w:p w14:paraId="064CA04D" w14:textId="0EA91373" w:rsidR="00F90D34" w:rsidRPr="00F315E5" w:rsidRDefault="00F90D34" w:rsidP="00F90D34">
      <w:pPr>
        <w:pStyle w:val="EndnoteText"/>
        <w:ind w:left="284" w:hanging="284"/>
        <w:rPr>
          <w:rFonts w:cs="Open Sans"/>
        </w:rPr>
      </w:pPr>
      <w:r w:rsidRPr="00F315E5">
        <w:rPr>
          <w:rStyle w:val="EndnoteReference"/>
          <w:rFonts w:eastAsia="Arial" w:cs="Open Sans"/>
        </w:rPr>
        <w:endnoteRef/>
      </w:r>
      <w:r w:rsidRPr="00F315E5">
        <w:rPr>
          <w:rFonts w:eastAsia="Arial" w:cs="Open Sans"/>
        </w:rPr>
        <w:t xml:space="preserve"> </w:t>
      </w:r>
      <w:r>
        <w:rPr>
          <w:rFonts w:eastAsia="Arial" w:cs="Open Sans"/>
        </w:rPr>
        <w:tab/>
      </w:r>
      <w:r w:rsidR="008C559E" w:rsidRPr="006B46CD">
        <w:rPr>
          <w:rFonts w:cs="Open Sans"/>
        </w:rPr>
        <w:t xml:space="preserve">UN </w:t>
      </w:r>
      <w:r w:rsidRPr="006B46CD">
        <w:rPr>
          <w:rFonts w:cs="Open Sans"/>
        </w:rPr>
        <w:t xml:space="preserve">Human Rights Committee, </w:t>
      </w:r>
      <w:r w:rsidRPr="006B46CD">
        <w:rPr>
          <w:rFonts w:cs="Open Sans"/>
          <w:i/>
        </w:rPr>
        <w:t>General Comment No 21: Article 10 (Humane treatment of persons deprived of their liberty)</w:t>
      </w:r>
      <w:r w:rsidRPr="006B46CD">
        <w:rPr>
          <w:rFonts w:cs="Open Sans"/>
        </w:rPr>
        <w:t xml:space="preserve">, </w:t>
      </w:r>
      <w:r w:rsidR="008C559E" w:rsidRPr="006B46CD">
        <w:rPr>
          <w:rFonts w:cs="Open Sans"/>
        </w:rPr>
        <w:t>44</w:t>
      </w:r>
      <w:r w:rsidR="008C559E" w:rsidRPr="006B46CD">
        <w:rPr>
          <w:rFonts w:cs="Open Sans"/>
          <w:vertAlign w:val="superscript"/>
        </w:rPr>
        <w:t>th</w:t>
      </w:r>
      <w:r w:rsidR="008C559E" w:rsidRPr="006B46CD">
        <w:rPr>
          <w:rFonts w:cs="Open Sans"/>
        </w:rPr>
        <w:t xml:space="preserve"> sess, </w:t>
      </w:r>
      <w:r w:rsidRPr="006B46CD">
        <w:rPr>
          <w:rFonts w:cs="Open Sans"/>
        </w:rPr>
        <w:t>UN Doc HRI/GEN/1/Rev.</w:t>
      </w:r>
      <w:r w:rsidR="008C559E" w:rsidRPr="006B46CD">
        <w:rPr>
          <w:rFonts w:cs="Open Sans"/>
        </w:rPr>
        <w:t>9</w:t>
      </w:r>
      <w:r w:rsidRPr="006B46CD">
        <w:rPr>
          <w:rFonts w:cs="Open Sans"/>
        </w:rPr>
        <w:t xml:space="preserve"> (10 April 1992) </w:t>
      </w:r>
      <w:r w:rsidR="008C559E" w:rsidRPr="006B46CD">
        <w:rPr>
          <w:rFonts w:cs="Open Sans"/>
        </w:rPr>
        <w:t xml:space="preserve">1 </w:t>
      </w:r>
      <w:r w:rsidRPr="006B46CD">
        <w:rPr>
          <w:rFonts w:cs="Open Sans"/>
        </w:rPr>
        <w:t>[3].</w:t>
      </w:r>
    </w:p>
  </w:endnote>
  <w:endnote w:id="8">
    <w:p w14:paraId="44AE4FA9" w14:textId="0C98B400" w:rsidR="00F90D34" w:rsidRPr="00F315E5" w:rsidRDefault="00F90D34" w:rsidP="00F90D34">
      <w:pPr>
        <w:pStyle w:val="EndnoteText"/>
        <w:ind w:left="284" w:hanging="284"/>
        <w:rPr>
          <w:rFonts w:cs="Open Sans"/>
        </w:rPr>
      </w:pPr>
      <w:r w:rsidRPr="00F315E5">
        <w:rPr>
          <w:rStyle w:val="EndnoteReference"/>
          <w:rFonts w:eastAsia="Arial" w:cs="Open Sans"/>
        </w:rPr>
        <w:endnoteRef/>
      </w:r>
      <w:r w:rsidRPr="00F315E5">
        <w:rPr>
          <w:rFonts w:eastAsia="Arial" w:cs="Open Sans"/>
        </w:rPr>
        <w:t xml:space="preserve"> </w:t>
      </w:r>
      <w:r>
        <w:rPr>
          <w:rFonts w:eastAsia="Arial" w:cs="Open Sans"/>
        </w:rPr>
        <w:tab/>
      </w:r>
      <w:r w:rsidR="008C559E" w:rsidRPr="006B46CD">
        <w:rPr>
          <w:rFonts w:cs="Open Sans"/>
        </w:rPr>
        <w:t xml:space="preserve">UN </w:t>
      </w:r>
      <w:r w:rsidRPr="006B46CD">
        <w:rPr>
          <w:rFonts w:cs="Open Sans"/>
        </w:rPr>
        <w:t xml:space="preserve">Human Rights Committee, </w:t>
      </w:r>
      <w:r w:rsidRPr="006B46CD">
        <w:rPr>
          <w:rFonts w:cs="Open Sans"/>
          <w:i/>
        </w:rPr>
        <w:t>General Comment No 21: Article 10 (Humane treatment of persons deprived of their liberty)</w:t>
      </w:r>
      <w:r w:rsidRPr="006B46CD">
        <w:rPr>
          <w:rFonts w:cs="Open Sans"/>
        </w:rPr>
        <w:t xml:space="preserve">, </w:t>
      </w:r>
      <w:r w:rsidR="008C559E" w:rsidRPr="006B46CD">
        <w:rPr>
          <w:rFonts w:cs="Open Sans"/>
        </w:rPr>
        <w:t>44</w:t>
      </w:r>
      <w:r w:rsidR="008C559E" w:rsidRPr="006B46CD">
        <w:rPr>
          <w:rFonts w:cs="Open Sans"/>
          <w:vertAlign w:val="superscript"/>
        </w:rPr>
        <w:t>th</w:t>
      </w:r>
      <w:r w:rsidR="008C559E" w:rsidRPr="006B46CD">
        <w:rPr>
          <w:rFonts w:cs="Open Sans"/>
        </w:rPr>
        <w:t xml:space="preserve"> sess, </w:t>
      </w:r>
      <w:r w:rsidRPr="006B46CD">
        <w:rPr>
          <w:rFonts w:cs="Open Sans"/>
        </w:rPr>
        <w:t>UN Doc HRI/GEN/1/Rev.</w:t>
      </w:r>
      <w:r w:rsidR="008C559E" w:rsidRPr="006B46CD">
        <w:rPr>
          <w:rFonts w:cs="Open Sans"/>
        </w:rPr>
        <w:t>9</w:t>
      </w:r>
      <w:r w:rsidRPr="006B46CD">
        <w:rPr>
          <w:rFonts w:cs="Open Sans"/>
        </w:rPr>
        <w:t xml:space="preserve"> (10 April 1992) </w:t>
      </w:r>
      <w:r w:rsidR="008C559E" w:rsidRPr="006B46CD">
        <w:rPr>
          <w:rFonts w:cs="Open Sans"/>
        </w:rPr>
        <w:t xml:space="preserve">1 </w:t>
      </w:r>
      <w:r w:rsidRPr="006B46CD">
        <w:rPr>
          <w:rFonts w:cs="Open Sans"/>
        </w:rPr>
        <w:t>[3].</w:t>
      </w:r>
    </w:p>
  </w:endnote>
  <w:endnote w:id="9">
    <w:p w14:paraId="6E32EE3E" w14:textId="77777777" w:rsidR="00F90D34" w:rsidRPr="00F315E5" w:rsidRDefault="00F90D34" w:rsidP="00F90D34">
      <w:pPr>
        <w:pStyle w:val="EndnoteText"/>
        <w:ind w:left="284" w:hanging="284"/>
        <w:rPr>
          <w:rFonts w:cs="Open Sans"/>
        </w:rPr>
      </w:pPr>
      <w:r w:rsidRPr="00F315E5">
        <w:rPr>
          <w:rStyle w:val="EndnoteReference"/>
          <w:rFonts w:eastAsia="Arial" w:cs="Open Sans"/>
        </w:rPr>
        <w:endnoteRef/>
      </w:r>
      <w:r w:rsidRPr="00F315E5">
        <w:rPr>
          <w:rFonts w:eastAsia="Arial" w:cs="Open Sans"/>
        </w:rPr>
        <w:t xml:space="preserve"> </w:t>
      </w:r>
      <w:r>
        <w:rPr>
          <w:rFonts w:eastAsia="Arial" w:cs="Open Sans"/>
        </w:rPr>
        <w:tab/>
      </w:r>
      <w:r w:rsidRPr="00F315E5">
        <w:rPr>
          <w:rFonts w:eastAsia="Arial" w:cs="Open Sans"/>
        </w:rPr>
        <w:t xml:space="preserve">Manfred Nowak, </w:t>
      </w:r>
      <w:r w:rsidRPr="00F315E5">
        <w:rPr>
          <w:rFonts w:eastAsia="Arial" w:cs="Open Sans"/>
          <w:i/>
          <w:iCs/>
        </w:rPr>
        <w:t>UN Covenant on Civil and Political Rights CCPR Commentary</w:t>
      </w:r>
      <w:r w:rsidRPr="00F315E5">
        <w:rPr>
          <w:rFonts w:eastAsia="Arial" w:cs="Open Sans"/>
        </w:rPr>
        <w:t xml:space="preserve"> (N.P. Engel, 2</w:t>
      </w:r>
      <w:r w:rsidRPr="00F315E5">
        <w:rPr>
          <w:rFonts w:eastAsia="Arial" w:cs="Open Sans"/>
          <w:vertAlign w:val="superscript"/>
        </w:rPr>
        <w:t>nd</w:t>
      </w:r>
      <w:r w:rsidRPr="00F315E5">
        <w:rPr>
          <w:rFonts w:eastAsia="Arial" w:cs="Open Sans"/>
        </w:rPr>
        <w:t xml:space="preserve"> ed, 2005) 250.</w:t>
      </w:r>
    </w:p>
  </w:endnote>
  <w:endnote w:id="10">
    <w:p w14:paraId="32EAB749" w14:textId="2F4DF9CA" w:rsidR="00F90D34" w:rsidRPr="00F315E5" w:rsidRDefault="00F90D34" w:rsidP="00F90D34">
      <w:pPr>
        <w:pStyle w:val="EndnoteText"/>
        <w:ind w:left="284" w:hanging="284"/>
        <w:rPr>
          <w:rFonts w:cs="Open Sans"/>
        </w:rPr>
      </w:pPr>
      <w:r w:rsidRPr="00F315E5">
        <w:rPr>
          <w:rStyle w:val="EndnoteReference"/>
          <w:rFonts w:eastAsia="Arial" w:cs="Open Sans"/>
        </w:rPr>
        <w:endnoteRef/>
      </w:r>
      <w:r w:rsidRPr="00F315E5">
        <w:rPr>
          <w:rFonts w:eastAsia="Arial" w:cs="Open Sans"/>
        </w:rPr>
        <w:t xml:space="preserve"> </w:t>
      </w:r>
      <w:r>
        <w:rPr>
          <w:rFonts w:eastAsia="Arial" w:cs="Open Sans"/>
        </w:rPr>
        <w:tab/>
      </w:r>
      <w:r w:rsidR="00FB05F5" w:rsidRPr="006B46CD">
        <w:rPr>
          <w:rFonts w:cs="Open Sans"/>
        </w:rPr>
        <w:t xml:space="preserve">UN </w:t>
      </w:r>
      <w:r w:rsidRPr="006B46CD">
        <w:rPr>
          <w:rFonts w:cs="Open Sans"/>
        </w:rPr>
        <w:t xml:space="preserve">Human Rights Committee, </w:t>
      </w:r>
      <w:r w:rsidR="00FB05F5" w:rsidRPr="006B46CD">
        <w:rPr>
          <w:rFonts w:cs="Open Sans"/>
          <w:i/>
        </w:rPr>
        <w:t>Views:</w:t>
      </w:r>
      <w:r w:rsidRPr="006B46CD">
        <w:rPr>
          <w:rFonts w:cs="Open Sans"/>
          <w:i/>
        </w:rPr>
        <w:t xml:space="preserve"> Communication No. </w:t>
      </w:r>
      <w:r w:rsidR="00FB05F5" w:rsidRPr="006B46CD">
        <w:rPr>
          <w:rFonts w:cs="Open Sans"/>
          <w:bCs/>
          <w:i/>
          <w:iCs/>
        </w:rPr>
        <w:t>529/1993</w:t>
      </w:r>
      <w:r w:rsidR="00FB05F5" w:rsidRPr="006B46CD">
        <w:rPr>
          <w:rFonts w:cs="Open Sans"/>
          <w:bCs/>
          <w:iCs/>
        </w:rPr>
        <w:t>, 60</w:t>
      </w:r>
      <w:r w:rsidR="00FB05F5" w:rsidRPr="006B46CD">
        <w:rPr>
          <w:rFonts w:cs="Open Sans"/>
          <w:bCs/>
          <w:iCs/>
          <w:vertAlign w:val="superscript"/>
        </w:rPr>
        <w:t>th</w:t>
      </w:r>
      <w:r w:rsidR="00FB05F5" w:rsidRPr="006B46CD">
        <w:rPr>
          <w:rFonts w:cs="Open Sans"/>
          <w:bCs/>
          <w:iCs/>
        </w:rPr>
        <w:t xml:space="preserve"> sess</w:t>
      </w:r>
      <w:r w:rsidRPr="006B46CD">
        <w:rPr>
          <w:rFonts w:cs="Open Sans"/>
        </w:rPr>
        <w:t>,</w:t>
      </w:r>
      <w:r w:rsidRPr="006B46CD">
        <w:rPr>
          <w:rFonts w:cs="Open Sans"/>
          <w:b/>
        </w:rPr>
        <w:t xml:space="preserve"> </w:t>
      </w:r>
      <w:r w:rsidRPr="006B46CD">
        <w:rPr>
          <w:rFonts w:cs="Open Sans"/>
        </w:rPr>
        <w:t>UN Doc CCPR/C/60/D/639/1995 (</w:t>
      </w:r>
      <w:r w:rsidR="00FB05F5" w:rsidRPr="006B46CD">
        <w:rPr>
          <w:rFonts w:cs="Open Sans"/>
        </w:rPr>
        <w:t>19 August</w:t>
      </w:r>
      <w:r w:rsidRPr="006B46CD">
        <w:rPr>
          <w:rFonts w:cs="Open Sans"/>
        </w:rPr>
        <w:t xml:space="preserve"> 1997</w:t>
      </w:r>
      <w:r w:rsidR="00FB05F5" w:rsidRPr="006B46CD">
        <w:rPr>
          <w:rFonts w:cs="Open Sans"/>
        </w:rPr>
        <w:t>) (‘</w:t>
      </w:r>
      <w:r w:rsidR="00FB05F5" w:rsidRPr="006B46CD">
        <w:rPr>
          <w:rFonts w:cs="Open Sans"/>
          <w:i/>
        </w:rPr>
        <w:t>Walker and Richards v Jamaica’)</w:t>
      </w:r>
      <w:r w:rsidR="00FB05F5" w:rsidRPr="006B46CD">
        <w:rPr>
          <w:rFonts w:cs="Open Sans"/>
        </w:rPr>
        <w:t xml:space="preserve">; UN </w:t>
      </w:r>
      <w:r w:rsidRPr="006B46CD">
        <w:rPr>
          <w:rFonts w:cs="Open Sans"/>
        </w:rPr>
        <w:t xml:space="preserve">Human Rights Committee, </w:t>
      </w:r>
      <w:r w:rsidR="00FB05F5" w:rsidRPr="006B46CD">
        <w:rPr>
          <w:rFonts w:cs="Open Sans"/>
          <w:i/>
        </w:rPr>
        <w:t>Views:</w:t>
      </w:r>
      <w:r w:rsidRPr="006B46CD">
        <w:rPr>
          <w:rFonts w:cs="Open Sans"/>
        </w:rPr>
        <w:t xml:space="preserve"> </w:t>
      </w:r>
      <w:r w:rsidRPr="006B46CD">
        <w:rPr>
          <w:rFonts w:cs="Open Sans"/>
          <w:i/>
        </w:rPr>
        <w:t>Communication No 845/1998</w:t>
      </w:r>
      <w:r w:rsidRPr="006B46CD">
        <w:rPr>
          <w:rFonts w:cs="Open Sans"/>
        </w:rPr>
        <w:t xml:space="preserve">, </w:t>
      </w:r>
      <w:r w:rsidR="00FB05F5" w:rsidRPr="006B46CD">
        <w:rPr>
          <w:rFonts w:cs="Open Sans"/>
        </w:rPr>
        <w:t>74</w:t>
      </w:r>
      <w:r w:rsidR="00FB05F5" w:rsidRPr="006B46CD">
        <w:rPr>
          <w:rFonts w:cs="Open Sans"/>
          <w:vertAlign w:val="superscript"/>
        </w:rPr>
        <w:t>th</w:t>
      </w:r>
      <w:r w:rsidR="00FB05F5" w:rsidRPr="006B46CD">
        <w:rPr>
          <w:rFonts w:cs="Open Sans"/>
        </w:rPr>
        <w:t xml:space="preserve"> sess, </w:t>
      </w:r>
      <w:r w:rsidRPr="006B46CD">
        <w:rPr>
          <w:rFonts w:cs="Open Sans"/>
        </w:rPr>
        <w:t xml:space="preserve">UN Doc CCPR/C/74/D/845/1998 </w:t>
      </w:r>
      <w:r w:rsidR="00FB05F5" w:rsidRPr="006B46CD">
        <w:rPr>
          <w:rFonts w:cs="Open Sans"/>
        </w:rPr>
        <w:t>(‘</w:t>
      </w:r>
      <w:r w:rsidR="00FB05F5" w:rsidRPr="006B46CD">
        <w:rPr>
          <w:rFonts w:cs="Open Sans"/>
          <w:i/>
        </w:rPr>
        <w:t>Kennedy v Trinidad and Tobago’</w:t>
      </w:r>
      <w:r w:rsidR="00FB05F5" w:rsidRPr="006B46CD">
        <w:rPr>
          <w:rFonts w:cs="Open Sans"/>
          <w:bCs/>
          <w:iCs/>
        </w:rPr>
        <w:t>)</w:t>
      </w:r>
      <w:r w:rsidR="00FB05F5" w:rsidRPr="006B46CD">
        <w:rPr>
          <w:rFonts w:cs="Open Sans"/>
        </w:rPr>
        <w:t>; UN</w:t>
      </w:r>
      <w:r w:rsidRPr="006B46CD">
        <w:rPr>
          <w:rFonts w:cs="Open Sans"/>
        </w:rPr>
        <w:t xml:space="preserve"> Human Rights Committee, </w:t>
      </w:r>
      <w:r w:rsidR="00FB05F5" w:rsidRPr="006B46CD">
        <w:rPr>
          <w:rFonts w:cs="Open Sans"/>
          <w:i/>
        </w:rPr>
        <w:t>Views:</w:t>
      </w:r>
      <w:r>
        <w:rPr>
          <w:rFonts w:cs="Open Sans"/>
          <w:i/>
        </w:rPr>
        <w:t xml:space="preserve"> </w:t>
      </w:r>
      <w:r w:rsidRPr="006B46CD">
        <w:rPr>
          <w:rFonts w:cs="Open Sans"/>
          <w:i/>
        </w:rPr>
        <w:t>Communication No 684/1996</w:t>
      </w:r>
      <w:r w:rsidRPr="006B46CD">
        <w:rPr>
          <w:rFonts w:cs="Open Sans"/>
        </w:rPr>
        <w:t>,</w:t>
      </w:r>
      <w:r w:rsidRPr="006B46CD">
        <w:rPr>
          <w:rFonts w:cs="Open Sans"/>
          <w:i/>
        </w:rPr>
        <w:t xml:space="preserve"> </w:t>
      </w:r>
      <w:r w:rsidR="00FB05F5" w:rsidRPr="006B46CD">
        <w:rPr>
          <w:rFonts w:cs="Open Sans"/>
          <w:bCs/>
          <w:iCs/>
        </w:rPr>
        <w:t>57</w:t>
      </w:r>
      <w:r w:rsidR="00FB05F5" w:rsidRPr="006B46CD">
        <w:rPr>
          <w:rFonts w:cs="Open Sans"/>
          <w:bCs/>
          <w:iCs/>
          <w:vertAlign w:val="superscript"/>
        </w:rPr>
        <w:t>th</w:t>
      </w:r>
      <w:r w:rsidR="00FB05F5" w:rsidRPr="006B46CD">
        <w:rPr>
          <w:rFonts w:cs="Open Sans"/>
          <w:bCs/>
          <w:iCs/>
        </w:rPr>
        <w:t xml:space="preserve"> sess, </w:t>
      </w:r>
      <w:r w:rsidRPr="006B46CD">
        <w:rPr>
          <w:rFonts w:cs="Open Sans"/>
        </w:rPr>
        <w:t xml:space="preserve">UN Doc CCPR/C/74/D/684/1996 </w:t>
      </w:r>
      <w:r w:rsidR="00FB05F5" w:rsidRPr="006B46CD">
        <w:rPr>
          <w:rFonts w:cs="Open Sans"/>
        </w:rPr>
        <w:t>(‘</w:t>
      </w:r>
      <w:r w:rsidR="00FB05F5" w:rsidRPr="006B46CD">
        <w:rPr>
          <w:rFonts w:cs="Open Sans"/>
          <w:i/>
        </w:rPr>
        <w:t>R.S. v Trinidad and Tobago</w:t>
      </w:r>
      <w:r w:rsidR="00FB05F5" w:rsidRPr="006B46CD">
        <w:rPr>
          <w:rFonts w:cs="Open Sans"/>
        </w:rPr>
        <w:t>’</w:t>
      </w:r>
      <w:r w:rsidRPr="006B46CD">
        <w:rPr>
          <w:rFonts w:cs="Open Sans"/>
        </w:rPr>
        <w:t>).</w:t>
      </w:r>
    </w:p>
  </w:endnote>
  <w:endnote w:id="11">
    <w:p w14:paraId="7186419C" w14:textId="2A352A1F" w:rsidR="00F90D34" w:rsidRPr="00F315E5" w:rsidRDefault="00F90D34" w:rsidP="00F90D34">
      <w:pPr>
        <w:pStyle w:val="EndnoteText"/>
        <w:ind w:left="284" w:hanging="284"/>
        <w:rPr>
          <w:rFonts w:cs="Open Sans"/>
          <w:i/>
          <w:iCs/>
        </w:rPr>
      </w:pPr>
      <w:r w:rsidRPr="00F315E5">
        <w:rPr>
          <w:rStyle w:val="EndnoteReference"/>
          <w:rFonts w:eastAsia="Arial" w:cs="Open Sans"/>
        </w:rPr>
        <w:endnoteRef/>
      </w:r>
      <w:r w:rsidRPr="00F315E5">
        <w:rPr>
          <w:rFonts w:eastAsia="Arial" w:cs="Open Sans"/>
        </w:rPr>
        <w:t xml:space="preserve"> </w:t>
      </w:r>
      <w:r>
        <w:rPr>
          <w:rFonts w:eastAsia="Arial" w:cs="Open Sans"/>
        </w:rPr>
        <w:tab/>
      </w:r>
      <w:r w:rsidR="00924C72" w:rsidRPr="006B46CD">
        <w:rPr>
          <w:rFonts w:cs="Open Sans"/>
        </w:rPr>
        <w:t xml:space="preserve">UN </w:t>
      </w:r>
      <w:r w:rsidRPr="006B46CD">
        <w:rPr>
          <w:rFonts w:cs="Open Sans"/>
        </w:rPr>
        <w:t xml:space="preserve">Human Rights Committee, </w:t>
      </w:r>
      <w:r w:rsidRPr="006B46CD">
        <w:rPr>
          <w:rFonts w:cs="Open Sans"/>
          <w:i/>
        </w:rPr>
        <w:t>General Comment No 21: Article 10 (Humane treatment of persons deprived of their liberty)</w:t>
      </w:r>
      <w:r w:rsidRPr="006B46CD">
        <w:rPr>
          <w:rFonts w:cs="Open Sans"/>
        </w:rPr>
        <w:t xml:space="preserve">, </w:t>
      </w:r>
      <w:r w:rsidR="00924C72" w:rsidRPr="006B46CD">
        <w:rPr>
          <w:rFonts w:cs="Open Sans"/>
        </w:rPr>
        <w:t>44</w:t>
      </w:r>
      <w:r w:rsidR="00924C72" w:rsidRPr="006B46CD">
        <w:rPr>
          <w:rFonts w:cs="Open Sans"/>
          <w:vertAlign w:val="superscript"/>
        </w:rPr>
        <w:t>th</w:t>
      </w:r>
      <w:r w:rsidR="00924C72" w:rsidRPr="006B46CD">
        <w:rPr>
          <w:rFonts w:cs="Open Sans"/>
        </w:rPr>
        <w:t xml:space="preserve"> sess, </w:t>
      </w:r>
      <w:r w:rsidRPr="006B46CD">
        <w:rPr>
          <w:rFonts w:cs="Open Sans"/>
        </w:rPr>
        <w:t>UN Doc HRI/GEN/1/Rev.</w:t>
      </w:r>
      <w:r w:rsidR="00924C72" w:rsidRPr="006B46CD">
        <w:rPr>
          <w:rFonts w:cs="Open Sans"/>
        </w:rPr>
        <w:t>9</w:t>
      </w:r>
      <w:r w:rsidRPr="006B46CD">
        <w:rPr>
          <w:rFonts w:cs="Open Sans"/>
        </w:rPr>
        <w:t xml:space="preserve"> (10 April 1992) </w:t>
      </w:r>
      <w:r w:rsidR="00924C72" w:rsidRPr="006B46CD">
        <w:rPr>
          <w:rFonts w:cs="Open Sans"/>
        </w:rPr>
        <w:t xml:space="preserve">1 </w:t>
      </w:r>
      <w:r w:rsidRPr="00F315E5">
        <w:rPr>
          <w:rFonts w:eastAsia="Arial" w:cs="Open Sans"/>
        </w:rPr>
        <w:t>[5].</w:t>
      </w:r>
    </w:p>
  </w:endnote>
  <w:endnote w:id="12">
    <w:p w14:paraId="1BA708A1" w14:textId="3C43A4E1" w:rsidR="00636CDB" w:rsidRPr="001F435A" w:rsidRDefault="00F90D34" w:rsidP="00636CDB">
      <w:pPr>
        <w:pStyle w:val="EndnoteText"/>
        <w:rPr>
          <w:rFonts w:cs="Open Sans"/>
          <w:i/>
          <w:iCs/>
        </w:rPr>
      </w:pPr>
      <w:r w:rsidRPr="00F315E5">
        <w:rPr>
          <w:rStyle w:val="EndnoteReference"/>
          <w:rFonts w:eastAsia="Arial" w:cs="Open Sans"/>
        </w:rPr>
        <w:endnoteRef/>
      </w:r>
      <w:r w:rsidRPr="00F315E5">
        <w:rPr>
          <w:rFonts w:eastAsia="Arial" w:cs="Open Sans"/>
        </w:rPr>
        <w:t xml:space="preserve">  </w:t>
      </w:r>
      <w:r w:rsidR="00B519AC">
        <w:rPr>
          <w:rFonts w:eastAsia="Arial" w:cs="Open Sans"/>
        </w:rPr>
        <w:t xml:space="preserve"> </w:t>
      </w:r>
      <w:r w:rsidR="00636CDB" w:rsidRPr="00ED61D9">
        <w:rPr>
          <w:rFonts w:cs="Open Sans"/>
        </w:rPr>
        <w:t xml:space="preserve">United Nations Office on Drugs and Crime, </w:t>
      </w:r>
      <w:r w:rsidR="00636CDB" w:rsidRPr="001F435A">
        <w:rPr>
          <w:rFonts w:cs="Open Sans"/>
          <w:i/>
          <w:iCs/>
        </w:rPr>
        <w:t xml:space="preserve">The United Nations Standard Minimum Rules for the    </w:t>
      </w:r>
    </w:p>
    <w:p w14:paraId="7202D669" w14:textId="0A192A14" w:rsidR="00636CDB" w:rsidRPr="00ED61D9" w:rsidRDefault="00636CDB" w:rsidP="00636CDB">
      <w:pPr>
        <w:pStyle w:val="EndnoteText"/>
        <w:rPr>
          <w:rFonts w:cs="Open Sans"/>
        </w:rPr>
      </w:pPr>
      <w:r w:rsidRPr="001F435A">
        <w:rPr>
          <w:rFonts w:cs="Open Sans"/>
          <w:i/>
          <w:iCs/>
        </w:rPr>
        <w:t xml:space="preserve">    </w:t>
      </w:r>
      <w:r w:rsidR="00B519AC">
        <w:rPr>
          <w:rFonts w:cs="Open Sans"/>
          <w:i/>
          <w:iCs/>
        </w:rPr>
        <w:t xml:space="preserve"> </w:t>
      </w:r>
      <w:r w:rsidRPr="001F435A">
        <w:rPr>
          <w:rFonts w:cs="Open Sans"/>
          <w:i/>
          <w:iCs/>
        </w:rPr>
        <w:t xml:space="preserve"> Treatment of Prisoners</w:t>
      </w:r>
      <w:r w:rsidRPr="00ED61D9">
        <w:rPr>
          <w:rFonts w:cs="Open Sans"/>
        </w:rPr>
        <w:t xml:space="preserve">, GA Res 70/175, UN Doc A/RES/70/175 (8 January 2016, adopted 17  </w:t>
      </w:r>
    </w:p>
    <w:p w14:paraId="468FF28F" w14:textId="026FE8AF" w:rsidR="00F90D34" w:rsidRPr="00F315E5" w:rsidRDefault="00636CDB" w:rsidP="00636CDB">
      <w:pPr>
        <w:pStyle w:val="EndnoteText"/>
        <w:rPr>
          <w:rFonts w:cs="Open Sans"/>
        </w:rPr>
      </w:pPr>
      <w:r>
        <w:rPr>
          <w:rFonts w:cs="Open Sans"/>
        </w:rPr>
        <w:t xml:space="preserve">    </w:t>
      </w:r>
      <w:r w:rsidR="00B519AC">
        <w:rPr>
          <w:rFonts w:cs="Open Sans"/>
        </w:rPr>
        <w:t xml:space="preserve"> </w:t>
      </w:r>
      <w:r>
        <w:rPr>
          <w:rFonts w:cs="Open Sans"/>
        </w:rPr>
        <w:t xml:space="preserve"> </w:t>
      </w:r>
      <w:r w:rsidRPr="00ED61D9">
        <w:rPr>
          <w:rFonts w:cs="Open Sans"/>
        </w:rPr>
        <w:t>December 2015) (‘</w:t>
      </w:r>
      <w:r w:rsidRPr="00B258D5">
        <w:rPr>
          <w:rFonts w:cs="Open Sans"/>
          <w:i/>
          <w:iCs/>
        </w:rPr>
        <w:t>The Nelson Mandela Rules’</w:t>
      </w:r>
      <w:r w:rsidRPr="00ED61D9">
        <w:rPr>
          <w:rFonts w:cs="Open Sans"/>
        </w:rPr>
        <w:t>).</w:t>
      </w:r>
    </w:p>
  </w:endnote>
  <w:endnote w:id="13">
    <w:p w14:paraId="1B593F94" w14:textId="2C874BD6" w:rsidR="00F90D34" w:rsidRPr="00F315E5" w:rsidRDefault="00F90D34" w:rsidP="00F90D34">
      <w:pPr>
        <w:pStyle w:val="EndnoteText"/>
        <w:ind w:left="284" w:hanging="284"/>
        <w:rPr>
          <w:rFonts w:cs="Open Sans"/>
        </w:rPr>
      </w:pPr>
      <w:r w:rsidRPr="00F315E5">
        <w:rPr>
          <w:rStyle w:val="EndnoteReference"/>
          <w:rFonts w:eastAsia="Arial" w:cs="Open Sans"/>
        </w:rPr>
        <w:endnoteRef/>
      </w:r>
      <w:r w:rsidRPr="00F315E5">
        <w:rPr>
          <w:rFonts w:eastAsia="Arial" w:cs="Open Sans"/>
        </w:rPr>
        <w:t xml:space="preserve"> </w:t>
      </w:r>
      <w:r w:rsidR="00B519AC">
        <w:rPr>
          <w:rFonts w:eastAsia="Arial" w:cs="Open Sans"/>
        </w:rPr>
        <w:t xml:space="preserve"> </w:t>
      </w:r>
      <w:r w:rsidR="001D0410">
        <w:rPr>
          <w:rFonts w:eastAsia="Arial" w:cs="Open Sans"/>
        </w:rPr>
        <w:tab/>
      </w:r>
      <w:r w:rsidRPr="00F315E5">
        <w:rPr>
          <w:rFonts w:eastAsia="Arial" w:cs="Open Sans"/>
        </w:rPr>
        <w:t xml:space="preserve">The Body of Principles were adopted by the UN General Assembly in </w:t>
      </w:r>
      <w:r w:rsidRPr="00F315E5">
        <w:rPr>
          <w:rFonts w:eastAsia="Arial" w:cs="Open Sans"/>
          <w:i/>
          <w:iCs/>
        </w:rPr>
        <w:t xml:space="preserve">Body of Principles for the </w:t>
      </w:r>
      <w:r w:rsidR="00B519AC">
        <w:rPr>
          <w:rFonts w:eastAsia="Arial" w:cs="Open Sans"/>
          <w:i/>
          <w:iCs/>
        </w:rPr>
        <w:t xml:space="preserve"> </w:t>
      </w:r>
      <w:r w:rsidR="001D0410">
        <w:rPr>
          <w:rFonts w:eastAsia="Arial" w:cs="Open Sans"/>
          <w:i/>
          <w:iCs/>
        </w:rPr>
        <w:t xml:space="preserve">    </w:t>
      </w:r>
      <w:r w:rsidRPr="00F315E5">
        <w:rPr>
          <w:rFonts w:eastAsia="Arial" w:cs="Open Sans"/>
          <w:i/>
          <w:iCs/>
        </w:rPr>
        <w:t>Protection of all Persons Under Any Form of Detention or Imprisonment</w:t>
      </w:r>
      <w:r w:rsidRPr="00F315E5">
        <w:rPr>
          <w:rFonts w:eastAsia="Arial" w:cs="Open Sans"/>
        </w:rPr>
        <w:t xml:space="preserve">, GA Res 43/173, UN </w:t>
      </w:r>
      <w:r w:rsidR="00B519AC">
        <w:rPr>
          <w:rFonts w:eastAsia="Arial" w:cs="Open Sans"/>
        </w:rPr>
        <w:t xml:space="preserve">  </w:t>
      </w:r>
      <w:r w:rsidRPr="00F315E5">
        <w:rPr>
          <w:rFonts w:eastAsia="Arial" w:cs="Open Sans"/>
        </w:rPr>
        <w:t>GAOR,</w:t>
      </w:r>
      <w:r w:rsidRPr="00F315E5">
        <w:rPr>
          <w:rFonts w:eastAsia="Arial" w:cs="Open Sans"/>
          <w:i/>
          <w:iCs/>
        </w:rPr>
        <w:t xml:space="preserve"> </w:t>
      </w:r>
      <w:r w:rsidRPr="00F315E5">
        <w:rPr>
          <w:rFonts w:eastAsia="Arial" w:cs="Open Sans"/>
        </w:rPr>
        <w:t>6</w:t>
      </w:r>
      <w:r w:rsidRPr="00F315E5">
        <w:rPr>
          <w:rFonts w:eastAsia="Arial" w:cs="Open Sans"/>
          <w:vertAlign w:val="superscript"/>
        </w:rPr>
        <w:t>th</w:t>
      </w:r>
      <w:r w:rsidRPr="00F315E5">
        <w:rPr>
          <w:rFonts w:eastAsia="Arial" w:cs="Open Sans"/>
        </w:rPr>
        <w:t xml:space="preserve"> Comm, 43</w:t>
      </w:r>
      <w:r w:rsidRPr="00F315E5">
        <w:rPr>
          <w:rFonts w:eastAsia="Arial" w:cs="Open Sans"/>
          <w:vertAlign w:val="superscript"/>
        </w:rPr>
        <w:t>rd</w:t>
      </w:r>
      <w:r w:rsidRPr="00F315E5">
        <w:rPr>
          <w:rFonts w:eastAsia="Arial" w:cs="Open Sans"/>
        </w:rPr>
        <w:t xml:space="preserve"> sess, 76</w:t>
      </w:r>
      <w:r w:rsidRPr="00F315E5">
        <w:rPr>
          <w:rFonts w:eastAsia="Arial" w:cs="Open Sans"/>
          <w:vertAlign w:val="superscript"/>
        </w:rPr>
        <w:t>th</w:t>
      </w:r>
      <w:r w:rsidRPr="00F315E5">
        <w:rPr>
          <w:rFonts w:eastAsia="Arial" w:cs="Open Sans"/>
        </w:rPr>
        <w:t xml:space="preserve"> plen mtg, Agenda Item 138, UN Doc A/43/49 (9 December 1988) Annex.</w:t>
      </w:r>
    </w:p>
  </w:endnote>
  <w:endnote w:id="14">
    <w:p w14:paraId="25C294BD" w14:textId="6A8F7907" w:rsidR="00465129" w:rsidRPr="001F435A" w:rsidRDefault="00F90D34" w:rsidP="00465129">
      <w:pPr>
        <w:pStyle w:val="EndnoteText"/>
        <w:rPr>
          <w:rFonts w:cs="Open Sans"/>
          <w:i/>
          <w:iCs/>
        </w:rPr>
      </w:pPr>
      <w:r w:rsidRPr="00F315E5">
        <w:rPr>
          <w:rStyle w:val="EndnoteReference"/>
          <w:rFonts w:eastAsia="Arial" w:cs="Open Sans"/>
        </w:rPr>
        <w:endnoteRef/>
      </w:r>
      <w:r w:rsidRPr="00F315E5">
        <w:rPr>
          <w:rFonts w:eastAsia="Arial" w:cs="Open Sans"/>
        </w:rPr>
        <w:t xml:space="preserve"> </w:t>
      </w:r>
      <w:r w:rsidR="001E29F2">
        <w:rPr>
          <w:rFonts w:eastAsia="Arial" w:cs="Open Sans"/>
        </w:rPr>
        <w:t xml:space="preserve"> </w:t>
      </w:r>
      <w:r w:rsidR="00465129" w:rsidRPr="00ED61D9">
        <w:rPr>
          <w:rFonts w:cs="Open Sans"/>
        </w:rPr>
        <w:t xml:space="preserve">United Nations Office on Drugs and Crime, </w:t>
      </w:r>
      <w:r w:rsidR="00465129" w:rsidRPr="001F435A">
        <w:rPr>
          <w:rFonts w:cs="Open Sans"/>
          <w:i/>
          <w:iCs/>
        </w:rPr>
        <w:t xml:space="preserve">The United Nations Standard Minimum Rules for the    </w:t>
      </w:r>
    </w:p>
    <w:p w14:paraId="34D0D5C0" w14:textId="1D22F695" w:rsidR="00465129" w:rsidRPr="00ED61D9" w:rsidRDefault="00465129" w:rsidP="00465129">
      <w:pPr>
        <w:pStyle w:val="EndnoteText"/>
        <w:rPr>
          <w:rFonts w:cs="Open Sans"/>
        </w:rPr>
      </w:pPr>
      <w:r w:rsidRPr="001F435A">
        <w:rPr>
          <w:rFonts w:cs="Open Sans"/>
          <w:i/>
          <w:iCs/>
        </w:rPr>
        <w:t xml:space="preserve">     Treatment of Prisoners</w:t>
      </w:r>
      <w:r w:rsidRPr="00ED61D9">
        <w:rPr>
          <w:rFonts w:cs="Open Sans"/>
        </w:rPr>
        <w:t xml:space="preserve">, GA Res 70/175, UN Doc A/RES/70/175 (8 January 2016, adopted 17  </w:t>
      </w:r>
    </w:p>
    <w:p w14:paraId="49E8CC42" w14:textId="68204D21" w:rsidR="00F90D34" w:rsidRPr="008C4C22" w:rsidRDefault="00465129" w:rsidP="00F90D34">
      <w:pPr>
        <w:pStyle w:val="EndnoteText"/>
        <w:ind w:left="284" w:hanging="284"/>
        <w:rPr>
          <w:rFonts w:cs="Open Sans"/>
          <w:lang w:val="en-US"/>
        </w:rPr>
      </w:pPr>
      <w:r>
        <w:rPr>
          <w:rFonts w:cs="Open Sans"/>
        </w:rPr>
        <w:t xml:space="preserve">     </w:t>
      </w:r>
      <w:r w:rsidRPr="00ED61D9">
        <w:rPr>
          <w:rFonts w:cs="Open Sans"/>
        </w:rPr>
        <w:t>December 2015) (‘</w:t>
      </w:r>
      <w:r w:rsidRPr="00B258D5">
        <w:rPr>
          <w:rFonts w:cs="Open Sans"/>
          <w:i/>
          <w:iCs/>
        </w:rPr>
        <w:t>The Nelson Mandela Rules’</w:t>
      </w:r>
      <w:r w:rsidRPr="00ED61D9">
        <w:rPr>
          <w:rFonts w:cs="Open Sans"/>
        </w:rPr>
        <w:t>).</w:t>
      </w:r>
    </w:p>
  </w:endnote>
  <w:endnote w:id="15">
    <w:p w14:paraId="75E79A82" w14:textId="77777777" w:rsidR="00F90D34" w:rsidRPr="006B46CD" w:rsidRDefault="00F90D34" w:rsidP="00F90D34">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t>Immigration Detention Facilities and Detainee Services Contract between the Commonwealth and Serco, 10 December 2014, Sch 2 (Statement of Work), Section 4 (Security Services) clause 3.8.</w:t>
      </w:r>
    </w:p>
  </w:endnote>
  <w:endnote w:id="16">
    <w:p w14:paraId="511F705A" w14:textId="77777777" w:rsidR="00F90D34" w:rsidRPr="006B46CD" w:rsidRDefault="00F90D34" w:rsidP="00F90D34">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t>Immigration Detention Facilities and Detainee Services Contract between the Commonwealth and Serco, 10 December 2014, Sch 2 (Statement of Work), Section 4 (Security Services) clause 3.10.</w:t>
      </w:r>
    </w:p>
  </w:endnote>
  <w:endnote w:id="17">
    <w:p w14:paraId="3E2601BD" w14:textId="77777777" w:rsidR="00F90D34" w:rsidRPr="006B46CD" w:rsidRDefault="00F90D34" w:rsidP="00F90D34">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t xml:space="preserve">Department of </w:t>
      </w:r>
      <w:r>
        <w:rPr>
          <w:rFonts w:cs="Open Sans"/>
        </w:rPr>
        <w:t>Home Affairs</w:t>
      </w:r>
      <w:r w:rsidRPr="006B46CD">
        <w:rPr>
          <w:rFonts w:cs="Open Sans"/>
        </w:rPr>
        <w:t xml:space="preserve">, </w:t>
      </w:r>
      <w:r w:rsidRPr="006B46CD">
        <w:rPr>
          <w:rFonts w:cs="Open Sans"/>
          <w:i/>
        </w:rPr>
        <w:t>Detention Services Manual – Chapter 1 – Legislative and principles overview – Duty of care to detainees</w:t>
      </w:r>
      <w:r w:rsidRPr="006B46CD">
        <w:rPr>
          <w:rFonts w:cs="Open Sans"/>
        </w:rPr>
        <w:t xml:space="preserve"> (July 2016) [4].</w:t>
      </w:r>
    </w:p>
  </w:endnote>
  <w:endnote w:id="18">
    <w:p w14:paraId="531D8FB8" w14:textId="77777777" w:rsidR="00F90D34" w:rsidRPr="006B46CD" w:rsidRDefault="00F90D34" w:rsidP="00F90D34">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t xml:space="preserve">Department of </w:t>
      </w:r>
      <w:r>
        <w:rPr>
          <w:rFonts w:cs="Open Sans"/>
        </w:rPr>
        <w:t>Home Affairs</w:t>
      </w:r>
      <w:r w:rsidRPr="006B46CD">
        <w:rPr>
          <w:rFonts w:cs="Open Sans"/>
        </w:rPr>
        <w:t xml:space="preserve">, </w:t>
      </w:r>
      <w:r w:rsidRPr="006B46CD">
        <w:rPr>
          <w:rFonts w:cs="Open Sans"/>
          <w:i/>
        </w:rPr>
        <w:t>Detention Services Manual – Chapter 1 – Legislative and principles overview – Duty of care to detainees</w:t>
      </w:r>
      <w:r w:rsidRPr="006B46CD">
        <w:rPr>
          <w:rFonts w:cs="Open Sans"/>
        </w:rPr>
        <w:t xml:space="preserve"> (July 2016) [5].</w:t>
      </w:r>
    </w:p>
  </w:endnote>
  <w:endnote w:id="19">
    <w:p w14:paraId="301F5A70" w14:textId="77777777" w:rsidR="00F90D34" w:rsidRPr="006B46CD" w:rsidRDefault="00F90D34" w:rsidP="00F90D34">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t xml:space="preserve">Department of </w:t>
      </w:r>
      <w:r>
        <w:rPr>
          <w:rFonts w:cs="Open Sans"/>
        </w:rPr>
        <w:t>Home Affairs</w:t>
      </w:r>
      <w:r w:rsidRPr="006B46CD">
        <w:rPr>
          <w:rFonts w:cs="Open Sans"/>
        </w:rPr>
        <w:t xml:space="preserve">, </w:t>
      </w:r>
      <w:r w:rsidRPr="006B46CD">
        <w:rPr>
          <w:rFonts w:cs="Open Sans"/>
          <w:i/>
        </w:rPr>
        <w:t>Detention Services Manual – Chapter 1 – Legislative and principles overview – Duty of care to detainees</w:t>
      </w:r>
      <w:r w:rsidRPr="006B46CD">
        <w:rPr>
          <w:rFonts w:cs="Open Sans"/>
        </w:rPr>
        <w:t xml:space="preserve"> (July 2016) [5].</w:t>
      </w:r>
    </w:p>
  </w:endnote>
  <w:endnote w:id="20">
    <w:p w14:paraId="3DDD574D" w14:textId="77777777" w:rsidR="00F90D34" w:rsidRPr="006B46CD" w:rsidRDefault="00F90D34" w:rsidP="00F90D34">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t xml:space="preserve">Department of </w:t>
      </w:r>
      <w:r>
        <w:rPr>
          <w:rFonts w:cs="Open Sans"/>
        </w:rPr>
        <w:t>Home Affairs</w:t>
      </w:r>
      <w:r w:rsidRPr="006B46CD">
        <w:rPr>
          <w:rFonts w:cs="Open Sans"/>
        </w:rPr>
        <w:t xml:space="preserve">, </w:t>
      </w:r>
      <w:r w:rsidRPr="006B46CD">
        <w:rPr>
          <w:rFonts w:cs="Open Sans"/>
          <w:i/>
        </w:rPr>
        <w:t>Detention Services Manual – Chapter 1 – Legislative and principles overview – Duty of care to detainees</w:t>
      </w:r>
      <w:r w:rsidRPr="006B46CD">
        <w:rPr>
          <w:rFonts w:cs="Open Sans"/>
        </w:rPr>
        <w:t xml:space="preserve"> (July 2016) [7].</w:t>
      </w:r>
    </w:p>
  </w:endnote>
  <w:endnote w:id="21">
    <w:p w14:paraId="6F6AEBED" w14:textId="77777777" w:rsidR="00F90D34" w:rsidRPr="00396729" w:rsidRDefault="00F90D34" w:rsidP="00F90D34">
      <w:pPr>
        <w:pStyle w:val="EndnoteText"/>
        <w:ind w:left="284" w:hanging="284"/>
        <w:rPr>
          <w:rFonts w:cs="Open Sans"/>
        </w:rPr>
      </w:pPr>
      <w:r w:rsidRPr="00396729">
        <w:rPr>
          <w:rStyle w:val="EndnoteReference"/>
          <w:rFonts w:cs="Open Sans"/>
        </w:rPr>
        <w:endnoteRef/>
      </w:r>
      <w:r w:rsidRPr="00396729">
        <w:rPr>
          <w:rFonts w:cs="Open Sans"/>
        </w:rPr>
        <w:t xml:space="preserve"> </w:t>
      </w:r>
      <w:r>
        <w:rPr>
          <w:rFonts w:cs="Open Sans"/>
        </w:rPr>
        <w:tab/>
      </w:r>
      <w:r w:rsidRPr="00396729">
        <w:rPr>
          <w:rFonts w:cs="Open Sans"/>
        </w:rPr>
        <w:t xml:space="preserve">Department of Home Affairs, </w:t>
      </w:r>
      <w:r w:rsidRPr="00396729">
        <w:rPr>
          <w:rFonts w:cs="Open Sans"/>
          <w:i/>
          <w:iCs/>
        </w:rPr>
        <w:t xml:space="preserve">Detention Services Manual – </w:t>
      </w:r>
      <w:r>
        <w:rPr>
          <w:rFonts w:cs="Open Sans"/>
          <w:i/>
          <w:iCs/>
        </w:rPr>
        <w:t xml:space="preserve">Chapter 10.18 - </w:t>
      </w:r>
      <w:r w:rsidRPr="00396729">
        <w:rPr>
          <w:rFonts w:cs="Open Sans"/>
          <w:i/>
          <w:iCs/>
        </w:rPr>
        <w:t>Safety and security management – Use of force</w:t>
      </w:r>
      <w:r>
        <w:rPr>
          <w:rFonts w:cs="Open Sans"/>
        </w:rPr>
        <w:t xml:space="preserve"> (</w:t>
      </w:r>
      <w:r w:rsidRPr="00396729">
        <w:rPr>
          <w:rFonts w:cs="Open Sans"/>
        </w:rPr>
        <w:t>10 October 2018</w:t>
      </w:r>
      <w:r>
        <w:rPr>
          <w:rFonts w:cs="Open Sans"/>
        </w:rPr>
        <w:t>) [4]</w:t>
      </w:r>
      <w:r w:rsidRPr="00396729">
        <w:rPr>
          <w:rFonts w:cs="Open Sans"/>
        </w:rPr>
        <w:t>.</w:t>
      </w:r>
    </w:p>
  </w:endnote>
  <w:endnote w:id="22">
    <w:p w14:paraId="73E9E3D2" w14:textId="77777777" w:rsidR="00F90D34" w:rsidRPr="003B19E9" w:rsidRDefault="00F90D34" w:rsidP="00F90D34">
      <w:pPr>
        <w:pStyle w:val="EndnoteText"/>
        <w:ind w:left="284" w:hanging="284"/>
        <w:rPr>
          <w:rFonts w:cs="Open Sans"/>
        </w:rPr>
      </w:pPr>
      <w:r w:rsidRPr="003B19E9">
        <w:rPr>
          <w:rStyle w:val="EndnoteReference"/>
          <w:rFonts w:cs="Open Sans"/>
        </w:rPr>
        <w:endnoteRef/>
      </w:r>
      <w:r w:rsidRPr="003B19E9">
        <w:rPr>
          <w:rFonts w:cs="Open Sans"/>
        </w:rPr>
        <w:t xml:space="preserve"> </w:t>
      </w:r>
      <w:r w:rsidRPr="003B19E9">
        <w:rPr>
          <w:rFonts w:cs="Open Sans"/>
        </w:rPr>
        <w:tab/>
        <w:t xml:space="preserve">Department of </w:t>
      </w:r>
      <w:r>
        <w:rPr>
          <w:rFonts w:cs="Open Sans"/>
        </w:rPr>
        <w:t>Home Affairs</w:t>
      </w:r>
      <w:r w:rsidRPr="003B19E9">
        <w:rPr>
          <w:rFonts w:cs="Open Sans"/>
        </w:rPr>
        <w:t xml:space="preserve">, </w:t>
      </w:r>
      <w:r w:rsidRPr="003B19E9">
        <w:rPr>
          <w:rFonts w:cs="Open Sans"/>
          <w:i/>
        </w:rPr>
        <w:t xml:space="preserve">Detention Services Manual – </w:t>
      </w:r>
      <w:r>
        <w:rPr>
          <w:rFonts w:cs="Open Sans"/>
          <w:i/>
          <w:iCs/>
        </w:rPr>
        <w:t xml:space="preserve">Chapter 10.18 - </w:t>
      </w:r>
      <w:r w:rsidRPr="00396729">
        <w:rPr>
          <w:rFonts w:cs="Open Sans"/>
          <w:i/>
          <w:iCs/>
        </w:rPr>
        <w:t>Safety and security management – Use of force</w:t>
      </w:r>
      <w:r>
        <w:rPr>
          <w:rFonts w:cs="Open Sans"/>
        </w:rPr>
        <w:t xml:space="preserve"> (</w:t>
      </w:r>
      <w:r w:rsidRPr="00396729">
        <w:rPr>
          <w:rFonts w:cs="Open Sans"/>
        </w:rPr>
        <w:t>10 October 2018</w:t>
      </w:r>
      <w:r>
        <w:rPr>
          <w:rFonts w:cs="Open Sans"/>
        </w:rPr>
        <w:t>)</w:t>
      </w:r>
      <w:r w:rsidRPr="003B19E9">
        <w:rPr>
          <w:rFonts w:cs="Open Sans"/>
        </w:rPr>
        <w:t> </w:t>
      </w:r>
      <w:r>
        <w:rPr>
          <w:rFonts w:cs="Open Sans"/>
        </w:rPr>
        <w:t>[7]</w:t>
      </w:r>
      <w:r w:rsidRPr="003B19E9">
        <w:rPr>
          <w:rFonts w:cs="Open Sans"/>
        </w:rPr>
        <w:t>.</w:t>
      </w:r>
    </w:p>
  </w:endnote>
  <w:endnote w:id="23">
    <w:p w14:paraId="6ED5F1E3" w14:textId="77777777" w:rsidR="00F90D34" w:rsidRPr="003B19E9" w:rsidRDefault="00F90D34" w:rsidP="00F90D34">
      <w:pPr>
        <w:pStyle w:val="EndnoteText"/>
        <w:ind w:left="284" w:hanging="284"/>
        <w:rPr>
          <w:rFonts w:cs="Open Sans"/>
        </w:rPr>
      </w:pPr>
      <w:r w:rsidRPr="003B19E9">
        <w:rPr>
          <w:rStyle w:val="EndnoteReference"/>
          <w:rFonts w:cs="Open Sans"/>
        </w:rPr>
        <w:endnoteRef/>
      </w:r>
      <w:r w:rsidRPr="003B19E9">
        <w:rPr>
          <w:rFonts w:cs="Open Sans"/>
        </w:rPr>
        <w:t xml:space="preserve"> </w:t>
      </w:r>
      <w:r w:rsidRPr="003B19E9">
        <w:rPr>
          <w:rFonts w:cs="Open Sans"/>
        </w:rPr>
        <w:tab/>
        <w:t xml:space="preserve">Department of </w:t>
      </w:r>
      <w:r>
        <w:rPr>
          <w:rFonts w:cs="Open Sans"/>
        </w:rPr>
        <w:t>Home Affairs</w:t>
      </w:r>
      <w:r w:rsidRPr="003B19E9">
        <w:rPr>
          <w:rFonts w:cs="Open Sans"/>
        </w:rPr>
        <w:t xml:space="preserve">, </w:t>
      </w:r>
      <w:r w:rsidRPr="003B19E9">
        <w:rPr>
          <w:rFonts w:cs="Open Sans"/>
          <w:i/>
        </w:rPr>
        <w:t xml:space="preserve">Detention Services Manual – </w:t>
      </w:r>
      <w:r>
        <w:rPr>
          <w:rFonts w:cs="Open Sans"/>
          <w:i/>
          <w:iCs/>
        </w:rPr>
        <w:t xml:space="preserve">Chapter 10.18 - </w:t>
      </w:r>
      <w:r w:rsidRPr="00396729">
        <w:rPr>
          <w:rFonts w:cs="Open Sans"/>
          <w:i/>
          <w:iCs/>
        </w:rPr>
        <w:t>Safety and security management – Use of force</w:t>
      </w:r>
      <w:r>
        <w:rPr>
          <w:rFonts w:cs="Open Sans"/>
        </w:rPr>
        <w:t xml:space="preserve"> (</w:t>
      </w:r>
      <w:r w:rsidRPr="00396729">
        <w:rPr>
          <w:rFonts w:cs="Open Sans"/>
        </w:rPr>
        <w:t>10 October 2018</w:t>
      </w:r>
      <w:r>
        <w:rPr>
          <w:rFonts w:cs="Open Sans"/>
        </w:rPr>
        <w:t>) [7]</w:t>
      </w:r>
      <w:r w:rsidRPr="003B19E9">
        <w:rPr>
          <w:rFonts w:cs="Open Sans"/>
        </w:rPr>
        <w:t>.</w:t>
      </w:r>
    </w:p>
  </w:endnote>
  <w:endnote w:id="24">
    <w:p w14:paraId="20AD8262" w14:textId="77777777" w:rsidR="00F90D34" w:rsidRPr="003B19E9" w:rsidRDefault="00F90D34" w:rsidP="00F90D34">
      <w:pPr>
        <w:pStyle w:val="EndnoteText"/>
        <w:ind w:left="284" w:hanging="284"/>
        <w:rPr>
          <w:rFonts w:cs="Open Sans"/>
        </w:rPr>
      </w:pPr>
      <w:r w:rsidRPr="003B19E9">
        <w:rPr>
          <w:rStyle w:val="EndnoteReference"/>
          <w:rFonts w:cs="Open Sans"/>
        </w:rPr>
        <w:endnoteRef/>
      </w:r>
      <w:r w:rsidRPr="003B19E9">
        <w:rPr>
          <w:rFonts w:cs="Open Sans"/>
        </w:rPr>
        <w:t xml:space="preserve"> </w:t>
      </w:r>
      <w:r w:rsidRPr="003B19E9">
        <w:rPr>
          <w:rFonts w:cs="Open Sans"/>
        </w:rPr>
        <w:tab/>
        <w:t>Immigration Detention Facilities and Detainee Services Contract between the Commonwealth and Serco, 10 December 2014, Sch 2 (Statement of Work), Section 4 (Security Services) clause 3.9(a)(i).</w:t>
      </w:r>
    </w:p>
  </w:endnote>
  <w:endnote w:id="25">
    <w:p w14:paraId="4AC3387C" w14:textId="03B8A2B4" w:rsidR="0069740B" w:rsidRPr="006B46CD" w:rsidRDefault="0069740B" w:rsidP="0069740B">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t xml:space="preserve">Australian Human Rights Commission, </w:t>
      </w:r>
      <w:r w:rsidRPr="00F1329F">
        <w:rPr>
          <w:rFonts w:cs="Open Sans"/>
          <w:i/>
          <w:iCs/>
        </w:rPr>
        <w:t>Use of force in immigration detention</w:t>
      </w:r>
      <w:r w:rsidR="00F1329F" w:rsidRPr="00F1329F">
        <w:rPr>
          <w:rFonts w:cs="Open Sans"/>
          <w:i/>
          <w:iCs/>
        </w:rPr>
        <w:t xml:space="preserve"> [2019] AusHRC 130 </w:t>
      </w:r>
      <w:r w:rsidR="00F1329F" w:rsidRPr="00F1329F">
        <w:rPr>
          <w:rFonts w:cs="Open Sans"/>
          <w:iCs/>
        </w:rPr>
        <w:t>(Report</w:t>
      </w:r>
      <w:r w:rsidR="00D96C7B">
        <w:rPr>
          <w:rFonts w:cs="Open Sans"/>
          <w:iCs/>
        </w:rPr>
        <w:t>,</w:t>
      </w:r>
      <w:r w:rsidR="00F1329F" w:rsidRPr="00F1329F">
        <w:rPr>
          <w:rFonts w:cs="Open Sans"/>
          <w:iCs/>
        </w:rPr>
        <w:t xml:space="preserve"> 201</w:t>
      </w:r>
      <w:r w:rsidR="00F1329F">
        <w:rPr>
          <w:rFonts w:cs="Open Sans"/>
          <w:iCs/>
        </w:rPr>
        <w:t>9)</w:t>
      </w:r>
      <w:r>
        <w:rPr>
          <w:rFonts w:cs="Open Sans"/>
        </w:rPr>
        <w:t xml:space="preserve"> part 6 and 8</w:t>
      </w:r>
      <w:r w:rsidRPr="006B46CD">
        <w:rPr>
          <w:rFonts w:cs="Open Sans"/>
        </w:rPr>
        <w:t>.</w:t>
      </w:r>
    </w:p>
  </w:endnote>
  <w:endnote w:id="26">
    <w:p w14:paraId="148B8C52" w14:textId="71F89E90" w:rsidR="0069740B" w:rsidRDefault="0069740B" w:rsidP="008570D5">
      <w:pPr>
        <w:pStyle w:val="EndnoteText"/>
        <w:ind w:left="284" w:hanging="284"/>
      </w:pPr>
      <w:r>
        <w:rPr>
          <w:rStyle w:val="EndnoteReference"/>
        </w:rPr>
        <w:endnoteRef/>
      </w:r>
      <w:r>
        <w:t xml:space="preserve"> </w:t>
      </w:r>
      <w:r w:rsidR="008570D5">
        <w:t xml:space="preserve"> </w:t>
      </w:r>
      <w:r w:rsidR="008570D5">
        <w:tab/>
      </w:r>
      <w:r w:rsidRPr="003B19E9">
        <w:rPr>
          <w:rFonts w:cs="Open Sans"/>
        </w:rPr>
        <w:t xml:space="preserve">Department of </w:t>
      </w:r>
      <w:r>
        <w:rPr>
          <w:rFonts w:cs="Open Sans"/>
        </w:rPr>
        <w:t>Home Affairs</w:t>
      </w:r>
      <w:r w:rsidRPr="003B19E9">
        <w:rPr>
          <w:rFonts w:cs="Open Sans"/>
        </w:rPr>
        <w:t xml:space="preserve">, </w:t>
      </w:r>
      <w:r w:rsidRPr="003B19E9">
        <w:rPr>
          <w:rFonts w:cs="Open Sans"/>
          <w:i/>
        </w:rPr>
        <w:t xml:space="preserve">Detention Services Manual – </w:t>
      </w:r>
      <w:r>
        <w:rPr>
          <w:rFonts w:cs="Open Sans"/>
          <w:i/>
          <w:iCs/>
        </w:rPr>
        <w:t xml:space="preserve">Chapter 10.18 - </w:t>
      </w:r>
      <w:r w:rsidRPr="00396729">
        <w:rPr>
          <w:rFonts w:cs="Open Sans"/>
          <w:i/>
          <w:iCs/>
        </w:rPr>
        <w:t xml:space="preserve">Safety and security </w:t>
      </w:r>
      <w:r w:rsidR="008570D5">
        <w:rPr>
          <w:rFonts w:cs="Open Sans"/>
          <w:i/>
          <w:iCs/>
        </w:rPr>
        <w:t xml:space="preserve">  </w:t>
      </w:r>
      <w:r w:rsidRPr="00396729">
        <w:rPr>
          <w:rFonts w:cs="Open Sans"/>
          <w:i/>
          <w:iCs/>
        </w:rPr>
        <w:t>management – Use of force</w:t>
      </w:r>
      <w:r>
        <w:rPr>
          <w:rFonts w:cs="Open Sans"/>
        </w:rPr>
        <w:t xml:space="preserve"> (</w:t>
      </w:r>
      <w:r w:rsidRPr="00396729">
        <w:rPr>
          <w:rFonts w:cs="Open Sans"/>
        </w:rPr>
        <w:t>10 October 2018</w:t>
      </w:r>
      <w:r>
        <w:rPr>
          <w:rFonts w:cs="Open Sans"/>
        </w:rPr>
        <w:t>) [8]</w:t>
      </w:r>
      <w:r w:rsidRPr="003B19E9">
        <w:rPr>
          <w:rFonts w:cs="Open Sans"/>
        </w:rPr>
        <w:t>.</w:t>
      </w:r>
    </w:p>
  </w:endnote>
  <w:endnote w:id="27">
    <w:p w14:paraId="4892E7E0" w14:textId="43D232EE" w:rsidR="0069740B" w:rsidRDefault="0069740B" w:rsidP="008570D5">
      <w:pPr>
        <w:pStyle w:val="EndnoteText"/>
        <w:ind w:left="284" w:hanging="284"/>
      </w:pPr>
      <w:r>
        <w:rPr>
          <w:rStyle w:val="EndnoteReference"/>
        </w:rPr>
        <w:endnoteRef/>
      </w:r>
      <w:r>
        <w:t xml:space="preserve"> </w:t>
      </w:r>
      <w:r w:rsidR="008570D5">
        <w:tab/>
      </w:r>
      <w:r w:rsidRPr="003B19E9">
        <w:rPr>
          <w:rFonts w:cs="Open Sans"/>
        </w:rPr>
        <w:t xml:space="preserve">Department of </w:t>
      </w:r>
      <w:r>
        <w:rPr>
          <w:rFonts w:cs="Open Sans"/>
        </w:rPr>
        <w:t>Home Affairs</w:t>
      </w:r>
      <w:r w:rsidRPr="003B19E9">
        <w:rPr>
          <w:rFonts w:cs="Open Sans"/>
        </w:rPr>
        <w:t xml:space="preserve">, </w:t>
      </w:r>
      <w:r w:rsidRPr="003B19E9">
        <w:rPr>
          <w:rFonts w:cs="Open Sans"/>
          <w:i/>
        </w:rPr>
        <w:t xml:space="preserve">Detention Services Manual – </w:t>
      </w:r>
      <w:r>
        <w:rPr>
          <w:rFonts w:cs="Open Sans"/>
          <w:i/>
          <w:iCs/>
        </w:rPr>
        <w:t xml:space="preserve">Chapter 10.18 - </w:t>
      </w:r>
      <w:r w:rsidRPr="00396729">
        <w:rPr>
          <w:rFonts w:cs="Open Sans"/>
          <w:i/>
          <w:iCs/>
        </w:rPr>
        <w:t>Safety and security management – Use of force</w:t>
      </w:r>
      <w:r>
        <w:rPr>
          <w:rFonts w:cs="Open Sans"/>
        </w:rPr>
        <w:t xml:space="preserve"> (</w:t>
      </w:r>
      <w:r w:rsidRPr="00396729">
        <w:rPr>
          <w:rFonts w:cs="Open Sans"/>
        </w:rPr>
        <w:t>10 October 2018</w:t>
      </w:r>
      <w:r>
        <w:rPr>
          <w:rFonts w:cs="Open Sans"/>
        </w:rPr>
        <w:t>) [8]</w:t>
      </w:r>
      <w:r w:rsidRPr="003B19E9">
        <w:rPr>
          <w:rFonts w:cs="Open Sans"/>
        </w:rPr>
        <w:t>.</w:t>
      </w:r>
    </w:p>
  </w:endnote>
  <w:endnote w:id="28">
    <w:p w14:paraId="46D65E28" w14:textId="77777777" w:rsidR="0069740B" w:rsidRPr="006B46CD" w:rsidRDefault="0069740B" w:rsidP="0069740B">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t xml:space="preserve">Department of </w:t>
      </w:r>
      <w:r>
        <w:rPr>
          <w:rFonts w:cs="Open Sans"/>
        </w:rPr>
        <w:t>Home Affairs</w:t>
      </w:r>
      <w:r w:rsidRPr="006B46CD">
        <w:rPr>
          <w:rFonts w:cs="Open Sans"/>
        </w:rPr>
        <w:t xml:space="preserve">, </w:t>
      </w:r>
      <w:r w:rsidRPr="006B46CD">
        <w:rPr>
          <w:rFonts w:cs="Open Sans"/>
          <w:i/>
        </w:rPr>
        <w:t>Detention Services Manual – Chapter 1 – Legislative and principles overview – Duty of care to detainees</w:t>
      </w:r>
      <w:r w:rsidRPr="006B46CD">
        <w:rPr>
          <w:rFonts w:cs="Open Sans"/>
        </w:rPr>
        <w:t xml:space="preserve"> (July 2016) [4].</w:t>
      </w:r>
    </w:p>
  </w:endnote>
  <w:endnote w:id="29">
    <w:p w14:paraId="28E6FFF2" w14:textId="77777777" w:rsidR="0069740B" w:rsidRPr="006B46CD" w:rsidRDefault="0069740B" w:rsidP="0069740B">
      <w:pPr>
        <w:pStyle w:val="EndnoteText"/>
        <w:ind w:left="284" w:hanging="284"/>
        <w:rPr>
          <w:rFonts w:cs="Open Sans"/>
        </w:rPr>
      </w:pPr>
      <w:r w:rsidRPr="006B46CD">
        <w:rPr>
          <w:rStyle w:val="EndnoteReference"/>
          <w:rFonts w:cs="Open Sans"/>
        </w:rPr>
        <w:endnoteRef/>
      </w:r>
      <w:r w:rsidRPr="006B46CD">
        <w:rPr>
          <w:rFonts w:cs="Open Sans"/>
        </w:rPr>
        <w:t xml:space="preserve"> </w:t>
      </w:r>
      <w:r w:rsidRPr="006B46CD">
        <w:rPr>
          <w:rFonts w:cs="Open Sans"/>
        </w:rPr>
        <w:tab/>
        <w:t xml:space="preserve">Department of </w:t>
      </w:r>
      <w:r>
        <w:rPr>
          <w:rFonts w:cs="Open Sans"/>
        </w:rPr>
        <w:t>Home Affairs</w:t>
      </w:r>
      <w:r w:rsidRPr="006B46CD">
        <w:rPr>
          <w:rFonts w:cs="Open Sans"/>
        </w:rPr>
        <w:t xml:space="preserve">, </w:t>
      </w:r>
      <w:r w:rsidRPr="006B46CD">
        <w:rPr>
          <w:rFonts w:cs="Open Sans"/>
          <w:i/>
        </w:rPr>
        <w:t>Detention Services Manual – Chapter 1 – Legislative and principles overview – Duty of care to detainees</w:t>
      </w:r>
      <w:r w:rsidRPr="006B46CD">
        <w:rPr>
          <w:rFonts w:cs="Open Sans"/>
        </w:rPr>
        <w:t xml:space="preserve"> (July 2016) [5].</w:t>
      </w:r>
    </w:p>
  </w:endnote>
  <w:endnote w:id="30">
    <w:p w14:paraId="33694EEE" w14:textId="77777777" w:rsidR="0069740B" w:rsidRDefault="0069740B" w:rsidP="0069740B">
      <w:pPr>
        <w:pStyle w:val="EndnoteText"/>
        <w:tabs>
          <w:tab w:val="left" w:pos="284"/>
        </w:tabs>
        <w:ind w:left="284" w:hanging="284"/>
        <w:rPr>
          <w:rStyle w:val="EndnoteReference"/>
          <w:rFonts w:cs="Open Sans"/>
        </w:rPr>
      </w:pPr>
      <w:r>
        <w:rPr>
          <w:rStyle w:val="EndnoteReference"/>
          <w:rFonts w:cs="Open Sans"/>
        </w:rPr>
        <w:endnoteRef/>
      </w:r>
      <w:r>
        <w:rPr>
          <w:rStyle w:val="EndnoteReference"/>
          <w:rFonts w:cs="Open Sans"/>
        </w:rPr>
        <w:t xml:space="preserve"> </w:t>
      </w:r>
      <w:r>
        <w:rPr>
          <w:rStyle w:val="EndnoteReference"/>
          <w:rFonts w:cs="Open Sans"/>
        </w:rPr>
        <w:tab/>
      </w:r>
      <w:r>
        <w:rPr>
          <w:rFonts w:cs="Open Sans"/>
          <w:i/>
        </w:rPr>
        <w:t xml:space="preserve">Australian Human Rights Commission Act 1986 </w:t>
      </w:r>
      <w:r>
        <w:rPr>
          <w:rFonts w:cs="Open Sans"/>
          <w:iCs/>
        </w:rPr>
        <w:t xml:space="preserve">(Cth) </w:t>
      </w:r>
      <w:r>
        <w:rPr>
          <w:rFonts w:cs="Open Sans"/>
          <w:i/>
        </w:rPr>
        <w:t>s</w:t>
      </w:r>
      <w:r>
        <w:rPr>
          <w:rStyle w:val="EndnoteReference"/>
          <w:rFonts w:cs="Open Sans"/>
        </w:rPr>
        <w:t xml:space="preserve"> </w:t>
      </w:r>
      <w:r>
        <w:rPr>
          <w:rFonts w:cs="Open Sans"/>
        </w:rPr>
        <w:t>29(2)(a).</w:t>
      </w:r>
    </w:p>
  </w:endnote>
  <w:endnote w:id="31">
    <w:p w14:paraId="6A05D055" w14:textId="77777777" w:rsidR="0069740B" w:rsidRDefault="0069740B" w:rsidP="0069740B">
      <w:pPr>
        <w:pStyle w:val="EndnoteText"/>
        <w:tabs>
          <w:tab w:val="left" w:pos="284"/>
        </w:tabs>
        <w:ind w:left="284" w:hanging="284"/>
        <w:rPr>
          <w:rStyle w:val="EndnoteReference"/>
          <w:rFonts w:cs="Open Sans"/>
        </w:rPr>
      </w:pPr>
      <w:r>
        <w:rPr>
          <w:rStyle w:val="EndnoteReference"/>
          <w:rFonts w:cs="Open Sans"/>
        </w:rPr>
        <w:endnoteRef/>
      </w:r>
      <w:r>
        <w:rPr>
          <w:rStyle w:val="EndnoteReference"/>
          <w:rFonts w:cs="Open Sans"/>
        </w:rPr>
        <w:t xml:space="preserve"> </w:t>
      </w:r>
      <w:r>
        <w:rPr>
          <w:rStyle w:val="EndnoteReference"/>
          <w:rFonts w:cs="Open Sans"/>
        </w:rPr>
        <w:tab/>
      </w:r>
      <w:r>
        <w:rPr>
          <w:rFonts w:cs="Open Sans"/>
          <w:i/>
        </w:rPr>
        <w:t xml:space="preserve">Australian Human Rights Commission Act 1986 </w:t>
      </w:r>
      <w:r>
        <w:rPr>
          <w:rFonts w:cs="Open Sans"/>
          <w:iCs/>
        </w:rPr>
        <w:t>(Cth)</w:t>
      </w:r>
      <w:r>
        <w:rPr>
          <w:rFonts w:cs="Open Sans"/>
          <w:i/>
        </w:rPr>
        <w:t xml:space="preserve"> </w:t>
      </w:r>
      <w:r>
        <w:rPr>
          <w:rFonts w:cs="Open Sans"/>
        </w:rPr>
        <w:t>s 29(2)(b).</w:t>
      </w:r>
    </w:p>
  </w:endnote>
  <w:endnote w:id="32">
    <w:p w14:paraId="7C163ED7" w14:textId="77777777" w:rsidR="0069740B" w:rsidRDefault="0069740B" w:rsidP="0069740B">
      <w:pPr>
        <w:pStyle w:val="EndnoteText"/>
        <w:tabs>
          <w:tab w:val="left" w:pos="284"/>
        </w:tabs>
        <w:ind w:left="284" w:hanging="284"/>
        <w:rPr>
          <w:sz w:val="22"/>
          <w:szCs w:val="22"/>
        </w:rPr>
      </w:pPr>
      <w:r>
        <w:rPr>
          <w:rStyle w:val="EndnoteReference"/>
          <w:rFonts w:cs="Open Sans"/>
        </w:rPr>
        <w:endnoteRef/>
      </w:r>
      <w:r>
        <w:rPr>
          <w:rStyle w:val="EndnoteReference"/>
          <w:rFonts w:cs="Open Sans"/>
        </w:rPr>
        <w:t xml:space="preserve"> </w:t>
      </w:r>
      <w:r>
        <w:rPr>
          <w:rStyle w:val="EndnoteReference"/>
          <w:rFonts w:cs="Open Sans"/>
        </w:rPr>
        <w:tab/>
      </w:r>
      <w:r>
        <w:rPr>
          <w:rFonts w:cs="Open Sans"/>
          <w:i/>
        </w:rPr>
        <w:t>Australian Human Rights Commission Act 1986</w:t>
      </w:r>
      <w:r>
        <w:rPr>
          <w:rFonts w:cs="Open Sans"/>
        </w:rPr>
        <w:t xml:space="preserve"> (Cth) s 29(2)(c).</w:t>
      </w:r>
      <w:r>
        <w:rPr>
          <w:rFonts w:cs="Open Sans"/>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ZWAdobeF">
    <w:panose1 w:val="00000000000000000000"/>
    <w:charset w:val="00"/>
    <w:family w:val="auto"/>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0ED48" w14:textId="77777777" w:rsidR="00AC636D" w:rsidRPr="000465F1" w:rsidRDefault="00AC636D" w:rsidP="000465F1">
    <w:pPr>
      <w:pStyle w:val="Footer"/>
    </w:pPr>
    <w:r w:rsidRPr="000465F1">
      <w:t>ABN 47 996 232 602</w:t>
    </w:r>
  </w:p>
  <w:p w14:paraId="123BB8A7" w14:textId="77777777" w:rsidR="00AC636D" w:rsidRPr="000465F1" w:rsidRDefault="00AC636D" w:rsidP="000465F1">
    <w:pPr>
      <w:pStyle w:val="Footer"/>
    </w:pPr>
    <w:r w:rsidRPr="000465F1">
      <w:t>GPO Box 5218, Sydney NSW 2001</w:t>
    </w:r>
  </w:p>
  <w:p w14:paraId="18279BD0" w14:textId="77777777" w:rsidR="00AC636D" w:rsidRPr="000465F1" w:rsidRDefault="00AC636D" w:rsidP="000465F1">
    <w:pPr>
      <w:pStyle w:val="Footer"/>
    </w:pPr>
    <w:r w:rsidRPr="000465F1">
      <w:t>General enquiries 1300 369 711</w:t>
    </w:r>
  </w:p>
  <w:p w14:paraId="4291366E" w14:textId="77777777" w:rsidR="00AC636D" w:rsidRPr="000465F1" w:rsidRDefault="00990B81" w:rsidP="000465F1">
    <w:pPr>
      <w:pStyle w:val="Footer"/>
    </w:pPr>
    <w:r>
      <w:t>National Info Service</w:t>
    </w:r>
    <w:r w:rsidR="00AC636D" w:rsidRPr="000465F1">
      <w:t xml:space="preserve"> 1300 656 419</w:t>
    </w:r>
  </w:p>
  <w:p w14:paraId="57E1F8D2"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814901"/>
      <w:docPartObj>
        <w:docPartGallery w:val="Page Numbers (Bottom of Page)"/>
        <w:docPartUnique/>
      </w:docPartObj>
    </w:sdtPr>
    <w:sdtEndPr>
      <w:rPr>
        <w:noProof/>
      </w:rPr>
    </w:sdtEndPr>
    <w:sdtContent>
      <w:p w14:paraId="06DC85DB"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7D536"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0B226"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8183178"/>
      <w:docPartObj>
        <w:docPartGallery w:val="Page Numbers (Bottom of Page)"/>
        <w:docPartUnique/>
      </w:docPartObj>
    </w:sdtPr>
    <w:sdtEndPr>
      <w:rPr>
        <w:noProof/>
      </w:rPr>
    </w:sdtEndPr>
    <w:sdtContent>
      <w:p w14:paraId="38E61180"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3A2680"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04CD6" w14:textId="77777777" w:rsidR="00B02E31" w:rsidRDefault="00B02E31" w:rsidP="00F14C6D">
      <w:r>
        <w:separator/>
      </w:r>
    </w:p>
  </w:footnote>
  <w:footnote w:type="continuationSeparator" w:id="0">
    <w:p w14:paraId="39F77227" w14:textId="77777777" w:rsidR="00B02E31" w:rsidRDefault="00B02E31" w:rsidP="00F14C6D">
      <w:r>
        <w:continuationSeparator/>
      </w:r>
    </w:p>
  </w:footnote>
  <w:footnote w:type="continuationNotice" w:id="1">
    <w:p w14:paraId="75018990" w14:textId="77777777" w:rsidR="00B02E31" w:rsidRDefault="00B02E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7E96C" w14:textId="77777777" w:rsidR="00BF6406" w:rsidRPr="000465F1" w:rsidRDefault="00000000" w:rsidP="000465F1">
    <w:pPr>
      <w:pStyle w:val="Header"/>
    </w:pPr>
    <w:r>
      <w:pict w14:anchorId="6FAB3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C729CD7"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D1DF1" w14:textId="77777777" w:rsidR="00B34946" w:rsidRPr="000465F1" w:rsidRDefault="00000000" w:rsidP="000465F1">
    <w:r>
      <w:pict w14:anchorId="164C2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53826B56"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65081" w14:textId="77777777" w:rsidR="00CC2AA0" w:rsidRDefault="00000000" w:rsidP="002012F7">
    <w:pPr>
      <w:pStyle w:val="Header"/>
    </w:pPr>
    <w:r>
      <w:pict w14:anchorId="02BBE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7D515F1A">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E5B126B" w14:textId="77777777" w:rsidR="008B3899" w:rsidRDefault="008B3899" w:rsidP="002012F7">
    <w:pPr>
      <w:pStyle w:val="Header"/>
    </w:pPr>
  </w:p>
  <w:p w14:paraId="16DE7D7F"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C0881"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C31C9" w14:textId="77777777" w:rsidR="00BF6406" w:rsidRPr="00902EC3" w:rsidRDefault="00BF6406" w:rsidP="00902EC3">
    <w:pPr>
      <w:pStyle w:val="Header"/>
    </w:pPr>
    <w:bookmarkStart w:id="29" w:name="_Hlk514672172"/>
    <w:bookmarkStart w:id="30" w:name="_Hlk514672173"/>
    <w:r w:rsidRPr="00902EC3">
      <w:t>Australian Human Rights Commission</w:t>
    </w:r>
  </w:p>
  <w:bookmarkEnd w:id="29"/>
  <w:bookmarkEnd w:id="30"/>
  <w:p w14:paraId="5DAEB8AB" w14:textId="25C7594F" w:rsidR="002F5E96" w:rsidRDefault="00484EF1" w:rsidP="002F5E96">
    <w:pPr>
      <w:pStyle w:val="HeaderDocumentDate"/>
    </w:pPr>
    <w:r w:rsidRPr="00016873">
      <w:rPr>
        <w:rStyle w:val="Reporttitleinheader"/>
        <w:i/>
        <w:iCs/>
      </w:rPr>
      <w:t xml:space="preserve">Mr BX v Commonwealth of Australia (Department of Home Affairs) </w:t>
    </w:r>
    <w:r w:rsidRPr="003652BE">
      <w:rPr>
        <w:rStyle w:val="Reporttitleinheader"/>
      </w:rPr>
      <w:t>[2024]</w:t>
    </w:r>
    <w:r>
      <w:rPr>
        <w:rStyle w:val="Reporttitleinheader"/>
      </w:rPr>
      <w:t xml:space="preserve"> AusHRC 163</w:t>
    </w:r>
    <w:r>
      <w:t xml:space="preserve"> </w:t>
    </w:r>
    <w:r w:rsidR="009B1CCE">
      <w:fldChar w:fldCharType="begin"/>
    </w:r>
    <w:r w:rsidR="009B1CCE">
      <w:instrText xml:space="preserve"> CREATEDATE  \@ "MMMM yyyy"  \* MERGEFORMAT </w:instrText>
    </w:r>
    <w:r w:rsidR="009B1CCE">
      <w:fldChar w:fldCharType="separate"/>
    </w:r>
    <w:r w:rsidR="00F34A0D">
      <w:rPr>
        <w:noProof/>
      </w:rPr>
      <w:t>May 2024</w:t>
    </w:r>
    <w:r w:rsidR="009B1CCE">
      <w:fldChar w:fldCharType="end"/>
    </w:r>
  </w:p>
  <w:p w14:paraId="7F556978" w14:textId="77777777" w:rsidR="00484EF1" w:rsidRPr="000465F1" w:rsidRDefault="00484EF1"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E69FE" w14:textId="77777777" w:rsidR="0063009F" w:rsidRPr="00F51ECD" w:rsidRDefault="0063009F" w:rsidP="0063009F">
    <w:pPr>
      <w:pStyle w:val="Header"/>
      <w:rPr>
        <w:sz w:val="22"/>
        <w:szCs w:val="22"/>
      </w:rPr>
    </w:pPr>
    <w:r w:rsidRPr="00F51ECD">
      <w:rPr>
        <w:sz w:val="22"/>
        <w:szCs w:val="22"/>
      </w:rPr>
      <w:t>Australian Human Rights Commission</w:t>
    </w:r>
  </w:p>
  <w:p w14:paraId="7D84EE5E" w14:textId="4116F705" w:rsidR="0063009F" w:rsidRPr="000465F1" w:rsidRDefault="00484EF1" w:rsidP="0063009F">
    <w:pPr>
      <w:pStyle w:val="HeaderDocumentDate"/>
    </w:pPr>
    <w:r w:rsidRPr="00016873">
      <w:rPr>
        <w:rStyle w:val="Reporttitleinheader"/>
        <w:i/>
        <w:iCs/>
      </w:rPr>
      <w:t xml:space="preserve">Mr BX v Commonwealth of Australia (Department of Home Affairs) </w:t>
    </w:r>
    <w:r w:rsidRPr="003652BE">
      <w:rPr>
        <w:rStyle w:val="Reporttitleinheader"/>
      </w:rPr>
      <w:t>[2024]</w:t>
    </w:r>
    <w:r>
      <w:rPr>
        <w:rStyle w:val="Reporttitleinheader"/>
      </w:rPr>
      <w:t xml:space="preserve"> AusHRC 163</w:t>
    </w:r>
    <w:r>
      <w:t xml:space="preserve"> </w:t>
    </w:r>
    <w:r w:rsidR="009B1CCE">
      <w:fldChar w:fldCharType="begin"/>
    </w:r>
    <w:r w:rsidR="009B1CCE">
      <w:instrText xml:space="preserve"> CREATEDATE  \@ "MMMM yyyy"  \* MERGEFORMAT </w:instrText>
    </w:r>
    <w:r w:rsidR="009B1CCE">
      <w:fldChar w:fldCharType="separate"/>
    </w:r>
    <w:r w:rsidR="00F34A0D">
      <w:rPr>
        <w:noProof/>
      </w:rPr>
      <w:t>May 2024</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121018C0"/>
    <w:multiLevelType w:val="multilevel"/>
    <w:tmpl w:val="E82A44A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bullet"/>
      <w:pStyle w:val="Style2"/>
      <w:lvlText w:val=""/>
      <w:lvlJc w:val="left"/>
      <w:pPr>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4C74663"/>
    <w:multiLevelType w:val="hybridMultilevel"/>
    <w:tmpl w:val="249488DA"/>
    <w:lvl w:ilvl="0" w:tplc="679A1506">
      <w:start w:val="1"/>
      <w:numFmt w:val="decimal"/>
      <w:lvlText w:val="%1."/>
      <w:lvlJc w:val="left"/>
      <w:pPr>
        <w:tabs>
          <w:tab w:val="num" w:pos="720"/>
        </w:tabs>
        <w:ind w:left="720" w:hanging="720"/>
      </w:pPr>
      <w:rPr>
        <w:rFonts w:cs="Times New Roman" w:hint="default"/>
        <w:b w:val="0"/>
        <w:i w:val="0"/>
        <w:sz w:val="24"/>
        <w:szCs w:val="24"/>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8E9A148E">
      <w:start w:val="5"/>
      <w:numFmt w:val="bullet"/>
      <w:lvlText w:val="-"/>
      <w:lvlJc w:val="left"/>
      <w:pPr>
        <w:ind w:left="2340" w:hanging="360"/>
      </w:pPr>
      <w:rPr>
        <w:rFonts w:ascii="Open Sans" w:eastAsia="Times New Roman" w:hAnsi="Open Sans" w:cs="Open Sans" w:hint="default"/>
        <w:sz w:val="22"/>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rPr>
        <w:rFonts w:cs="Times New Roman"/>
      </w:rPr>
    </w:lvl>
    <w:lvl w:ilvl="5" w:tplc="8E9A148E">
      <w:start w:val="5"/>
      <w:numFmt w:val="bullet"/>
      <w:lvlText w:val="-"/>
      <w:lvlJc w:val="left"/>
      <w:pPr>
        <w:ind w:left="4500" w:hanging="360"/>
      </w:pPr>
      <w:rPr>
        <w:rFonts w:ascii="Open Sans" w:eastAsia="Times New Roman" w:hAnsi="Open Sans" w:cs="Open Sans" w:hint="default"/>
        <w:sz w:val="22"/>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E6B2A3E"/>
    <w:multiLevelType w:val="multilevel"/>
    <w:tmpl w:val="8BE444DC"/>
    <w:numStyleLink w:val="AHRCReportHeadings"/>
  </w:abstractNum>
  <w:num w:numId="1" w16cid:durableId="1856533970">
    <w:abstractNumId w:val="17"/>
  </w:num>
  <w:num w:numId="2" w16cid:durableId="2091929093">
    <w:abstractNumId w:val="9"/>
  </w:num>
  <w:num w:numId="3" w16cid:durableId="1143235162">
    <w:abstractNumId w:val="7"/>
  </w:num>
  <w:num w:numId="4" w16cid:durableId="2140031058">
    <w:abstractNumId w:val="6"/>
  </w:num>
  <w:num w:numId="5" w16cid:durableId="51344795">
    <w:abstractNumId w:val="5"/>
  </w:num>
  <w:num w:numId="6" w16cid:durableId="1097873105">
    <w:abstractNumId w:val="4"/>
  </w:num>
  <w:num w:numId="7" w16cid:durableId="1291740979">
    <w:abstractNumId w:val="8"/>
  </w:num>
  <w:num w:numId="8" w16cid:durableId="1252735667">
    <w:abstractNumId w:val="1"/>
  </w:num>
  <w:num w:numId="9" w16cid:durableId="1287857478">
    <w:abstractNumId w:val="0"/>
  </w:num>
  <w:num w:numId="10" w16cid:durableId="475874412">
    <w:abstractNumId w:val="3"/>
  </w:num>
  <w:num w:numId="11" w16cid:durableId="461846316">
    <w:abstractNumId w:val="2"/>
  </w:num>
  <w:num w:numId="12" w16cid:durableId="1390230052">
    <w:abstractNumId w:val="18"/>
  </w:num>
  <w:num w:numId="13" w16cid:durableId="1482621345">
    <w:abstractNumId w:val="16"/>
  </w:num>
  <w:num w:numId="14" w16cid:durableId="702246500">
    <w:abstractNumId w:val="14"/>
  </w:num>
  <w:num w:numId="15" w16cid:durableId="432020576">
    <w:abstractNumId w:val="13"/>
  </w:num>
  <w:num w:numId="16" w16cid:durableId="831337243">
    <w:abstractNumId w:val="10"/>
  </w:num>
  <w:num w:numId="17" w16cid:durableId="1614245196">
    <w:abstractNumId w:val="11"/>
  </w:num>
  <w:num w:numId="18" w16cid:durableId="1320109892">
    <w:abstractNumId w:val="20"/>
  </w:num>
  <w:num w:numId="19" w16cid:durableId="832259522">
    <w:abstractNumId w:val="15"/>
  </w:num>
  <w:num w:numId="20" w16cid:durableId="1015152754">
    <w:abstractNumId w:val="19"/>
  </w:num>
  <w:num w:numId="21" w16cid:durableId="99106227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F1"/>
    <w:rsid w:val="000015EC"/>
    <w:rsid w:val="00003EA5"/>
    <w:rsid w:val="000051E8"/>
    <w:rsid w:val="000161C2"/>
    <w:rsid w:val="00017566"/>
    <w:rsid w:val="0002476A"/>
    <w:rsid w:val="000322D1"/>
    <w:rsid w:val="00036BE4"/>
    <w:rsid w:val="000430B8"/>
    <w:rsid w:val="00045712"/>
    <w:rsid w:val="00045C4B"/>
    <w:rsid w:val="000465F1"/>
    <w:rsid w:val="000534AC"/>
    <w:rsid w:val="000579B1"/>
    <w:rsid w:val="00061C6C"/>
    <w:rsid w:val="00065EEA"/>
    <w:rsid w:val="00066C68"/>
    <w:rsid w:val="00072EDA"/>
    <w:rsid w:val="0007489A"/>
    <w:rsid w:val="000842D4"/>
    <w:rsid w:val="00092868"/>
    <w:rsid w:val="00095E81"/>
    <w:rsid w:val="0009753C"/>
    <w:rsid w:val="00097E36"/>
    <w:rsid w:val="000A05AE"/>
    <w:rsid w:val="000A1DB8"/>
    <w:rsid w:val="000A38C7"/>
    <w:rsid w:val="000A48AC"/>
    <w:rsid w:val="000A520E"/>
    <w:rsid w:val="000A647E"/>
    <w:rsid w:val="000B0603"/>
    <w:rsid w:val="000B0A5D"/>
    <w:rsid w:val="000B5B68"/>
    <w:rsid w:val="000C5608"/>
    <w:rsid w:val="000C5DA6"/>
    <w:rsid w:val="000D6018"/>
    <w:rsid w:val="000E130A"/>
    <w:rsid w:val="000E1EC9"/>
    <w:rsid w:val="000E5FDF"/>
    <w:rsid w:val="000F379B"/>
    <w:rsid w:val="000F3CBB"/>
    <w:rsid w:val="000F43D4"/>
    <w:rsid w:val="001171DA"/>
    <w:rsid w:val="00123CA8"/>
    <w:rsid w:val="001331E9"/>
    <w:rsid w:val="00134774"/>
    <w:rsid w:val="00134A33"/>
    <w:rsid w:val="00140274"/>
    <w:rsid w:val="001411DF"/>
    <w:rsid w:val="00142F43"/>
    <w:rsid w:val="0014551F"/>
    <w:rsid w:val="00151263"/>
    <w:rsid w:val="0015239E"/>
    <w:rsid w:val="0016266F"/>
    <w:rsid w:val="00162A8D"/>
    <w:rsid w:val="00165E3C"/>
    <w:rsid w:val="001664F5"/>
    <w:rsid w:val="00173FB5"/>
    <w:rsid w:val="00174D9A"/>
    <w:rsid w:val="001816E3"/>
    <w:rsid w:val="001839D6"/>
    <w:rsid w:val="00195EDE"/>
    <w:rsid w:val="001B0353"/>
    <w:rsid w:val="001C0323"/>
    <w:rsid w:val="001C1F8B"/>
    <w:rsid w:val="001D0285"/>
    <w:rsid w:val="001D0410"/>
    <w:rsid w:val="001D05F0"/>
    <w:rsid w:val="001E29F2"/>
    <w:rsid w:val="001E45BA"/>
    <w:rsid w:val="001E5676"/>
    <w:rsid w:val="001E7420"/>
    <w:rsid w:val="001F2BBB"/>
    <w:rsid w:val="001F489E"/>
    <w:rsid w:val="001F52FD"/>
    <w:rsid w:val="001F62CC"/>
    <w:rsid w:val="00200677"/>
    <w:rsid w:val="002012F7"/>
    <w:rsid w:val="002027F6"/>
    <w:rsid w:val="00203389"/>
    <w:rsid w:val="00204E68"/>
    <w:rsid w:val="00205489"/>
    <w:rsid w:val="0020576C"/>
    <w:rsid w:val="002068EB"/>
    <w:rsid w:val="00214DB2"/>
    <w:rsid w:val="002220FB"/>
    <w:rsid w:val="00224EB6"/>
    <w:rsid w:val="002255BD"/>
    <w:rsid w:val="00231ED1"/>
    <w:rsid w:val="002329AE"/>
    <w:rsid w:val="002361BD"/>
    <w:rsid w:val="00241523"/>
    <w:rsid w:val="00242624"/>
    <w:rsid w:val="0024557E"/>
    <w:rsid w:val="002471FD"/>
    <w:rsid w:val="0025176E"/>
    <w:rsid w:val="00257344"/>
    <w:rsid w:val="002615A8"/>
    <w:rsid w:val="002632EA"/>
    <w:rsid w:val="00265540"/>
    <w:rsid w:val="00266697"/>
    <w:rsid w:val="00271BF6"/>
    <w:rsid w:val="0027357E"/>
    <w:rsid w:val="002755C0"/>
    <w:rsid w:val="00275C6E"/>
    <w:rsid w:val="002845A6"/>
    <w:rsid w:val="0028506A"/>
    <w:rsid w:val="002850B0"/>
    <w:rsid w:val="002863D7"/>
    <w:rsid w:val="002873B4"/>
    <w:rsid w:val="00290AE1"/>
    <w:rsid w:val="00292AB5"/>
    <w:rsid w:val="00295A32"/>
    <w:rsid w:val="002A43C2"/>
    <w:rsid w:val="002A5C46"/>
    <w:rsid w:val="002B1B65"/>
    <w:rsid w:val="002B45C2"/>
    <w:rsid w:val="002C02DB"/>
    <w:rsid w:val="002C1866"/>
    <w:rsid w:val="002C5943"/>
    <w:rsid w:val="002D2DE3"/>
    <w:rsid w:val="002E2B16"/>
    <w:rsid w:val="002E5A1B"/>
    <w:rsid w:val="002F4CE1"/>
    <w:rsid w:val="002F5E96"/>
    <w:rsid w:val="0030053D"/>
    <w:rsid w:val="00300F22"/>
    <w:rsid w:val="00301DC2"/>
    <w:rsid w:val="003026A0"/>
    <w:rsid w:val="00304441"/>
    <w:rsid w:val="00304A37"/>
    <w:rsid w:val="0031040E"/>
    <w:rsid w:val="00310ED4"/>
    <w:rsid w:val="00312301"/>
    <w:rsid w:val="0031492A"/>
    <w:rsid w:val="00314AC1"/>
    <w:rsid w:val="00316C1A"/>
    <w:rsid w:val="003176BF"/>
    <w:rsid w:val="0032006D"/>
    <w:rsid w:val="00321095"/>
    <w:rsid w:val="00323C73"/>
    <w:rsid w:val="00325351"/>
    <w:rsid w:val="00325C1E"/>
    <w:rsid w:val="00325C37"/>
    <w:rsid w:val="00325EA8"/>
    <w:rsid w:val="00331141"/>
    <w:rsid w:val="00333204"/>
    <w:rsid w:val="00337C9B"/>
    <w:rsid w:val="003423F4"/>
    <w:rsid w:val="00344758"/>
    <w:rsid w:val="003454C4"/>
    <w:rsid w:val="00345F2E"/>
    <w:rsid w:val="00347142"/>
    <w:rsid w:val="00347439"/>
    <w:rsid w:val="00350D1B"/>
    <w:rsid w:val="00351BE9"/>
    <w:rsid w:val="003565A8"/>
    <w:rsid w:val="003566EA"/>
    <w:rsid w:val="0036611F"/>
    <w:rsid w:val="00367B76"/>
    <w:rsid w:val="003710E6"/>
    <w:rsid w:val="003724A9"/>
    <w:rsid w:val="00372C79"/>
    <w:rsid w:val="003802E1"/>
    <w:rsid w:val="0038288A"/>
    <w:rsid w:val="003879B2"/>
    <w:rsid w:val="00393718"/>
    <w:rsid w:val="00395A87"/>
    <w:rsid w:val="003A168E"/>
    <w:rsid w:val="003A1DAD"/>
    <w:rsid w:val="003A3FA2"/>
    <w:rsid w:val="003A48B7"/>
    <w:rsid w:val="003B6B17"/>
    <w:rsid w:val="003C2005"/>
    <w:rsid w:val="003D1519"/>
    <w:rsid w:val="003D6E08"/>
    <w:rsid w:val="003E5060"/>
    <w:rsid w:val="003E52DB"/>
    <w:rsid w:val="003E5DEF"/>
    <w:rsid w:val="003E65F1"/>
    <w:rsid w:val="003F1E45"/>
    <w:rsid w:val="003F50EE"/>
    <w:rsid w:val="004026E9"/>
    <w:rsid w:val="00402D5B"/>
    <w:rsid w:val="0040497E"/>
    <w:rsid w:val="00412E60"/>
    <w:rsid w:val="00420EEE"/>
    <w:rsid w:val="00422417"/>
    <w:rsid w:val="00424233"/>
    <w:rsid w:val="004328B9"/>
    <w:rsid w:val="00434945"/>
    <w:rsid w:val="00445CB5"/>
    <w:rsid w:val="00447549"/>
    <w:rsid w:val="00460EE0"/>
    <w:rsid w:val="00465129"/>
    <w:rsid w:val="00466DD0"/>
    <w:rsid w:val="00467F2E"/>
    <w:rsid w:val="004712FB"/>
    <w:rsid w:val="00471BB7"/>
    <w:rsid w:val="00471E55"/>
    <w:rsid w:val="00472EFF"/>
    <w:rsid w:val="00474063"/>
    <w:rsid w:val="00476793"/>
    <w:rsid w:val="00481B2A"/>
    <w:rsid w:val="00482091"/>
    <w:rsid w:val="00484EF1"/>
    <w:rsid w:val="00486BA7"/>
    <w:rsid w:val="00491839"/>
    <w:rsid w:val="00494AAE"/>
    <w:rsid w:val="004A187B"/>
    <w:rsid w:val="004A24A5"/>
    <w:rsid w:val="004A2D3C"/>
    <w:rsid w:val="004A6716"/>
    <w:rsid w:val="004B59E7"/>
    <w:rsid w:val="004C3AD7"/>
    <w:rsid w:val="004C7412"/>
    <w:rsid w:val="004D04BF"/>
    <w:rsid w:val="004E0DFF"/>
    <w:rsid w:val="004F1878"/>
    <w:rsid w:val="004F1C7C"/>
    <w:rsid w:val="00510390"/>
    <w:rsid w:val="005123F0"/>
    <w:rsid w:val="0051338C"/>
    <w:rsid w:val="00513540"/>
    <w:rsid w:val="00513941"/>
    <w:rsid w:val="0053051D"/>
    <w:rsid w:val="005550BB"/>
    <w:rsid w:val="00556D11"/>
    <w:rsid w:val="00560E9C"/>
    <w:rsid w:val="00561019"/>
    <w:rsid w:val="00564208"/>
    <w:rsid w:val="00571CEB"/>
    <w:rsid w:val="00591951"/>
    <w:rsid w:val="00592D1C"/>
    <w:rsid w:val="005A0964"/>
    <w:rsid w:val="005A2F77"/>
    <w:rsid w:val="005A752C"/>
    <w:rsid w:val="005B0BA8"/>
    <w:rsid w:val="005B36F6"/>
    <w:rsid w:val="005B5EF1"/>
    <w:rsid w:val="005C2ECF"/>
    <w:rsid w:val="005C33FA"/>
    <w:rsid w:val="005C5D41"/>
    <w:rsid w:val="005C6E2D"/>
    <w:rsid w:val="005C776D"/>
    <w:rsid w:val="005C7982"/>
    <w:rsid w:val="005D1F34"/>
    <w:rsid w:val="005D383D"/>
    <w:rsid w:val="005D4ED1"/>
    <w:rsid w:val="005D54F1"/>
    <w:rsid w:val="005E1405"/>
    <w:rsid w:val="005E1789"/>
    <w:rsid w:val="005E59C9"/>
    <w:rsid w:val="00616F88"/>
    <w:rsid w:val="0061779B"/>
    <w:rsid w:val="00622508"/>
    <w:rsid w:val="00624FF1"/>
    <w:rsid w:val="0063009F"/>
    <w:rsid w:val="00635329"/>
    <w:rsid w:val="006356C5"/>
    <w:rsid w:val="00636CDB"/>
    <w:rsid w:val="0064009A"/>
    <w:rsid w:val="00644B30"/>
    <w:rsid w:val="00650E26"/>
    <w:rsid w:val="00654793"/>
    <w:rsid w:val="00654D8D"/>
    <w:rsid w:val="00655BF2"/>
    <w:rsid w:val="006616E9"/>
    <w:rsid w:val="00662D5C"/>
    <w:rsid w:val="00664316"/>
    <w:rsid w:val="00675EF2"/>
    <w:rsid w:val="0068461E"/>
    <w:rsid w:val="00691E8A"/>
    <w:rsid w:val="00696AB3"/>
    <w:rsid w:val="0069740B"/>
    <w:rsid w:val="006A6BB3"/>
    <w:rsid w:val="006B0E29"/>
    <w:rsid w:val="006B3DE1"/>
    <w:rsid w:val="006B6918"/>
    <w:rsid w:val="006C0642"/>
    <w:rsid w:val="006D0407"/>
    <w:rsid w:val="006D5EE5"/>
    <w:rsid w:val="006E02B4"/>
    <w:rsid w:val="006E2DA2"/>
    <w:rsid w:val="006E5710"/>
    <w:rsid w:val="006E616B"/>
    <w:rsid w:val="006E6D3B"/>
    <w:rsid w:val="006F115B"/>
    <w:rsid w:val="006F1A68"/>
    <w:rsid w:val="00710AA3"/>
    <w:rsid w:val="00714FF5"/>
    <w:rsid w:val="00721EFF"/>
    <w:rsid w:val="0072682E"/>
    <w:rsid w:val="00727085"/>
    <w:rsid w:val="00730BD2"/>
    <w:rsid w:val="00743A1E"/>
    <w:rsid w:val="0074485C"/>
    <w:rsid w:val="007468F8"/>
    <w:rsid w:val="007540BF"/>
    <w:rsid w:val="0075445D"/>
    <w:rsid w:val="007604DD"/>
    <w:rsid w:val="00760CF6"/>
    <w:rsid w:val="007613FF"/>
    <w:rsid w:val="00762D40"/>
    <w:rsid w:val="007637A8"/>
    <w:rsid w:val="00765B58"/>
    <w:rsid w:val="00770DCB"/>
    <w:rsid w:val="0077354C"/>
    <w:rsid w:val="00775485"/>
    <w:rsid w:val="00783532"/>
    <w:rsid w:val="007836F5"/>
    <w:rsid w:val="007846B5"/>
    <w:rsid w:val="00793A3C"/>
    <w:rsid w:val="007B06EA"/>
    <w:rsid w:val="007B17AB"/>
    <w:rsid w:val="007B444D"/>
    <w:rsid w:val="007C215B"/>
    <w:rsid w:val="007C5CF6"/>
    <w:rsid w:val="007D2F00"/>
    <w:rsid w:val="007E5B88"/>
    <w:rsid w:val="007F0D0B"/>
    <w:rsid w:val="007F27C3"/>
    <w:rsid w:val="007F3365"/>
    <w:rsid w:val="007F38A4"/>
    <w:rsid w:val="008007A8"/>
    <w:rsid w:val="008042D9"/>
    <w:rsid w:val="00814FC0"/>
    <w:rsid w:val="00817C73"/>
    <w:rsid w:val="00821120"/>
    <w:rsid w:val="00823005"/>
    <w:rsid w:val="008246AD"/>
    <w:rsid w:val="00826B0B"/>
    <w:rsid w:val="00834952"/>
    <w:rsid w:val="008449B9"/>
    <w:rsid w:val="00845E73"/>
    <w:rsid w:val="00847191"/>
    <w:rsid w:val="00847C48"/>
    <w:rsid w:val="00847DFD"/>
    <w:rsid w:val="008570D5"/>
    <w:rsid w:val="0086254F"/>
    <w:rsid w:val="00870C9C"/>
    <w:rsid w:val="008724DE"/>
    <w:rsid w:val="00873A05"/>
    <w:rsid w:val="008758D9"/>
    <w:rsid w:val="00882B0A"/>
    <w:rsid w:val="00886DA6"/>
    <w:rsid w:val="0088772B"/>
    <w:rsid w:val="008A2C52"/>
    <w:rsid w:val="008A3D57"/>
    <w:rsid w:val="008A56A0"/>
    <w:rsid w:val="008A7305"/>
    <w:rsid w:val="008A7EFF"/>
    <w:rsid w:val="008B0E92"/>
    <w:rsid w:val="008B23BC"/>
    <w:rsid w:val="008B2EA6"/>
    <w:rsid w:val="008B3899"/>
    <w:rsid w:val="008B4107"/>
    <w:rsid w:val="008B77CE"/>
    <w:rsid w:val="008C559E"/>
    <w:rsid w:val="008E328C"/>
    <w:rsid w:val="008E3D60"/>
    <w:rsid w:val="008E3F4C"/>
    <w:rsid w:val="008E6630"/>
    <w:rsid w:val="008E78F0"/>
    <w:rsid w:val="008F062E"/>
    <w:rsid w:val="008F4EAD"/>
    <w:rsid w:val="0090165F"/>
    <w:rsid w:val="00901B82"/>
    <w:rsid w:val="00902EC3"/>
    <w:rsid w:val="00903BC5"/>
    <w:rsid w:val="009079CD"/>
    <w:rsid w:val="00912B09"/>
    <w:rsid w:val="0091791D"/>
    <w:rsid w:val="00924C72"/>
    <w:rsid w:val="00934E5F"/>
    <w:rsid w:val="00942CAC"/>
    <w:rsid w:val="009432CF"/>
    <w:rsid w:val="00961135"/>
    <w:rsid w:val="00966C2F"/>
    <w:rsid w:val="0096742A"/>
    <w:rsid w:val="0097512B"/>
    <w:rsid w:val="00982404"/>
    <w:rsid w:val="00990B81"/>
    <w:rsid w:val="00991527"/>
    <w:rsid w:val="009923BF"/>
    <w:rsid w:val="009A1259"/>
    <w:rsid w:val="009A33DD"/>
    <w:rsid w:val="009B1CCE"/>
    <w:rsid w:val="009C0C47"/>
    <w:rsid w:val="009C142B"/>
    <w:rsid w:val="009C158F"/>
    <w:rsid w:val="009D1ED9"/>
    <w:rsid w:val="009D2C73"/>
    <w:rsid w:val="009D2D3E"/>
    <w:rsid w:val="009D4F31"/>
    <w:rsid w:val="009D634E"/>
    <w:rsid w:val="009D67F6"/>
    <w:rsid w:val="009E08D1"/>
    <w:rsid w:val="009E0FE1"/>
    <w:rsid w:val="009E1AEE"/>
    <w:rsid w:val="009E3D50"/>
    <w:rsid w:val="009E4BD0"/>
    <w:rsid w:val="009F00BC"/>
    <w:rsid w:val="009F2764"/>
    <w:rsid w:val="009F6FAE"/>
    <w:rsid w:val="00A0406E"/>
    <w:rsid w:val="00A05F75"/>
    <w:rsid w:val="00A071A6"/>
    <w:rsid w:val="00A10406"/>
    <w:rsid w:val="00A11307"/>
    <w:rsid w:val="00A13AF3"/>
    <w:rsid w:val="00A21388"/>
    <w:rsid w:val="00A27791"/>
    <w:rsid w:val="00A27ABE"/>
    <w:rsid w:val="00A31C8C"/>
    <w:rsid w:val="00A355F9"/>
    <w:rsid w:val="00A372B3"/>
    <w:rsid w:val="00A41355"/>
    <w:rsid w:val="00A42AD9"/>
    <w:rsid w:val="00A437B6"/>
    <w:rsid w:val="00A43B92"/>
    <w:rsid w:val="00A47BCC"/>
    <w:rsid w:val="00A51863"/>
    <w:rsid w:val="00A51C1D"/>
    <w:rsid w:val="00A54251"/>
    <w:rsid w:val="00A5784C"/>
    <w:rsid w:val="00A6179E"/>
    <w:rsid w:val="00A64316"/>
    <w:rsid w:val="00A71820"/>
    <w:rsid w:val="00A804D9"/>
    <w:rsid w:val="00A8573B"/>
    <w:rsid w:val="00A87173"/>
    <w:rsid w:val="00A92915"/>
    <w:rsid w:val="00A92D96"/>
    <w:rsid w:val="00A92F92"/>
    <w:rsid w:val="00A957B3"/>
    <w:rsid w:val="00A96892"/>
    <w:rsid w:val="00A97AAF"/>
    <w:rsid w:val="00AA2051"/>
    <w:rsid w:val="00AA70C4"/>
    <w:rsid w:val="00AB6742"/>
    <w:rsid w:val="00AB6773"/>
    <w:rsid w:val="00AB7C8F"/>
    <w:rsid w:val="00AC2192"/>
    <w:rsid w:val="00AC4D3D"/>
    <w:rsid w:val="00AC636D"/>
    <w:rsid w:val="00AC730C"/>
    <w:rsid w:val="00AD6AD8"/>
    <w:rsid w:val="00AD7F51"/>
    <w:rsid w:val="00AE471A"/>
    <w:rsid w:val="00AE6E6E"/>
    <w:rsid w:val="00AF0A73"/>
    <w:rsid w:val="00AF2C3A"/>
    <w:rsid w:val="00AF55A5"/>
    <w:rsid w:val="00B00F61"/>
    <w:rsid w:val="00B02E31"/>
    <w:rsid w:val="00B237FB"/>
    <w:rsid w:val="00B24B1D"/>
    <w:rsid w:val="00B26C33"/>
    <w:rsid w:val="00B277E0"/>
    <w:rsid w:val="00B34946"/>
    <w:rsid w:val="00B519AC"/>
    <w:rsid w:val="00B519FD"/>
    <w:rsid w:val="00B520BC"/>
    <w:rsid w:val="00B5287A"/>
    <w:rsid w:val="00B539CC"/>
    <w:rsid w:val="00B56EE3"/>
    <w:rsid w:val="00B63BE6"/>
    <w:rsid w:val="00B63D24"/>
    <w:rsid w:val="00B7366A"/>
    <w:rsid w:val="00B822C5"/>
    <w:rsid w:val="00B82C35"/>
    <w:rsid w:val="00B924E6"/>
    <w:rsid w:val="00B93F2A"/>
    <w:rsid w:val="00B94246"/>
    <w:rsid w:val="00BA23E3"/>
    <w:rsid w:val="00BA262D"/>
    <w:rsid w:val="00BA5698"/>
    <w:rsid w:val="00BB0D31"/>
    <w:rsid w:val="00BB31B6"/>
    <w:rsid w:val="00BB3A8E"/>
    <w:rsid w:val="00BB3B0A"/>
    <w:rsid w:val="00BB4758"/>
    <w:rsid w:val="00BB476A"/>
    <w:rsid w:val="00BB62B4"/>
    <w:rsid w:val="00BC79EB"/>
    <w:rsid w:val="00BD7FCF"/>
    <w:rsid w:val="00BF1AB8"/>
    <w:rsid w:val="00BF6406"/>
    <w:rsid w:val="00C064DC"/>
    <w:rsid w:val="00C127C3"/>
    <w:rsid w:val="00C132CA"/>
    <w:rsid w:val="00C149BD"/>
    <w:rsid w:val="00C17BF4"/>
    <w:rsid w:val="00C23395"/>
    <w:rsid w:val="00C25BDA"/>
    <w:rsid w:val="00C25F43"/>
    <w:rsid w:val="00C33104"/>
    <w:rsid w:val="00C332D4"/>
    <w:rsid w:val="00C43492"/>
    <w:rsid w:val="00C44AE3"/>
    <w:rsid w:val="00C46952"/>
    <w:rsid w:val="00C471D1"/>
    <w:rsid w:val="00C51011"/>
    <w:rsid w:val="00C560AC"/>
    <w:rsid w:val="00C5781C"/>
    <w:rsid w:val="00C60036"/>
    <w:rsid w:val="00C60343"/>
    <w:rsid w:val="00C66F77"/>
    <w:rsid w:val="00C7387B"/>
    <w:rsid w:val="00C77C57"/>
    <w:rsid w:val="00C854D4"/>
    <w:rsid w:val="00C90556"/>
    <w:rsid w:val="00CA0D78"/>
    <w:rsid w:val="00CA411E"/>
    <w:rsid w:val="00CA4855"/>
    <w:rsid w:val="00CA5095"/>
    <w:rsid w:val="00CA5D90"/>
    <w:rsid w:val="00CB037F"/>
    <w:rsid w:val="00CB24FE"/>
    <w:rsid w:val="00CB7902"/>
    <w:rsid w:val="00CC2AA0"/>
    <w:rsid w:val="00CC2EA3"/>
    <w:rsid w:val="00CC3A35"/>
    <w:rsid w:val="00CD58FD"/>
    <w:rsid w:val="00CD5BB8"/>
    <w:rsid w:val="00CE4078"/>
    <w:rsid w:val="00CE58FF"/>
    <w:rsid w:val="00CF52CF"/>
    <w:rsid w:val="00CF66B5"/>
    <w:rsid w:val="00CF6F19"/>
    <w:rsid w:val="00D0291A"/>
    <w:rsid w:val="00D03307"/>
    <w:rsid w:val="00D0655A"/>
    <w:rsid w:val="00D07989"/>
    <w:rsid w:val="00D07C57"/>
    <w:rsid w:val="00D16774"/>
    <w:rsid w:val="00D23F1C"/>
    <w:rsid w:val="00D343FA"/>
    <w:rsid w:val="00D418FF"/>
    <w:rsid w:val="00D43512"/>
    <w:rsid w:val="00D555DA"/>
    <w:rsid w:val="00D65C76"/>
    <w:rsid w:val="00D734C7"/>
    <w:rsid w:val="00D7542B"/>
    <w:rsid w:val="00D8351F"/>
    <w:rsid w:val="00D86190"/>
    <w:rsid w:val="00D96C7B"/>
    <w:rsid w:val="00DA1D32"/>
    <w:rsid w:val="00DA2F73"/>
    <w:rsid w:val="00DA65B0"/>
    <w:rsid w:val="00DA7A55"/>
    <w:rsid w:val="00DC173D"/>
    <w:rsid w:val="00DC307B"/>
    <w:rsid w:val="00DC343B"/>
    <w:rsid w:val="00DC462F"/>
    <w:rsid w:val="00DC499A"/>
    <w:rsid w:val="00DC5B24"/>
    <w:rsid w:val="00DC64E9"/>
    <w:rsid w:val="00DD604A"/>
    <w:rsid w:val="00DD6A21"/>
    <w:rsid w:val="00DE18A7"/>
    <w:rsid w:val="00DE2EFB"/>
    <w:rsid w:val="00DE6080"/>
    <w:rsid w:val="00DE60CA"/>
    <w:rsid w:val="00DF01B6"/>
    <w:rsid w:val="00DF28F1"/>
    <w:rsid w:val="00DF4F90"/>
    <w:rsid w:val="00E0108B"/>
    <w:rsid w:val="00E02517"/>
    <w:rsid w:val="00E06447"/>
    <w:rsid w:val="00E1290D"/>
    <w:rsid w:val="00E12A53"/>
    <w:rsid w:val="00E14833"/>
    <w:rsid w:val="00E15A24"/>
    <w:rsid w:val="00E1675F"/>
    <w:rsid w:val="00E16DDD"/>
    <w:rsid w:val="00E2023D"/>
    <w:rsid w:val="00E2061C"/>
    <w:rsid w:val="00E229C6"/>
    <w:rsid w:val="00E23DB3"/>
    <w:rsid w:val="00E24FA3"/>
    <w:rsid w:val="00E25552"/>
    <w:rsid w:val="00E25B45"/>
    <w:rsid w:val="00E26B28"/>
    <w:rsid w:val="00E30EC9"/>
    <w:rsid w:val="00E31465"/>
    <w:rsid w:val="00E328CD"/>
    <w:rsid w:val="00E3489E"/>
    <w:rsid w:val="00E3546C"/>
    <w:rsid w:val="00E362F0"/>
    <w:rsid w:val="00E36B95"/>
    <w:rsid w:val="00E4003F"/>
    <w:rsid w:val="00E44115"/>
    <w:rsid w:val="00E4586B"/>
    <w:rsid w:val="00E458F6"/>
    <w:rsid w:val="00E45954"/>
    <w:rsid w:val="00E46704"/>
    <w:rsid w:val="00E53546"/>
    <w:rsid w:val="00E55F24"/>
    <w:rsid w:val="00E60C48"/>
    <w:rsid w:val="00E67301"/>
    <w:rsid w:val="00E74601"/>
    <w:rsid w:val="00E8776C"/>
    <w:rsid w:val="00E951DB"/>
    <w:rsid w:val="00EA44D9"/>
    <w:rsid w:val="00EA5013"/>
    <w:rsid w:val="00EB6A76"/>
    <w:rsid w:val="00EC6513"/>
    <w:rsid w:val="00EC65F2"/>
    <w:rsid w:val="00ED4616"/>
    <w:rsid w:val="00ED60DE"/>
    <w:rsid w:val="00ED6EDE"/>
    <w:rsid w:val="00EE6ED3"/>
    <w:rsid w:val="00EF155E"/>
    <w:rsid w:val="00F0189C"/>
    <w:rsid w:val="00F02D5A"/>
    <w:rsid w:val="00F0799D"/>
    <w:rsid w:val="00F107A0"/>
    <w:rsid w:val="00F127A8"/>
    <w:rsid w:val="00F1329F"/>
    <w:rsid w:val="00F14C6D"/>
    <w:rsid w:val="00F220A5"/>
    <w:rsid w:val="00F23393"/>
    <w:rsid w:val="00F34362"/>
    <w:rsid w:val="00F34A0D"/>
    <w:rsid w:val="00F34BC9"/>
    <w:rsid w:val="00F34FE6"/>
    <w:rsid w:val="00F3644B"/>
    <w:rsid w:val="00F44396"/>
    <w:rsid w:val="00F513AE"/>
    <w:rsid w:val="00F51ECD"/>
    <w:rsid w:val="00F55B9B"/>
    <w:rsid w:val="00F6159A"/>
    <w:rsid w:val="00F81458"/>
    <w:rsid w:val="00F8302E"/>
    <w:rsid w:val="00F86DAB"/>
    <w:rsid w:val="00F90D34"/>
    <w:rsid w:val="00F96A74"/>
    <w:rsid w:val="00FA22A8"/>
    <w:rsid w:val="00FA4916"/>
    <w:rsid w:val="00FA7E5C"/>
    <w:rsid w:val="00FB05F5"/>
    <w:rsid w:val="00FB11A7"/>
    <w:rsid w:val="00FB193D"/>
    <w:rsid w:val="00FB3422"/>
    <w:rsid w:val="00FB5893"/>
    <w:rsid w:val="00FC7AA2"/>
    <w:rsid w:val="00FC7F4C"/>
    <w:rsid w:val="00FD01B5"/>
    <w:rsid w:val="00FD5BF0"/>
    <w:rsid w:val="00FD5DB5"/>
    <w:rsid w:val="00FD6475"/>
    <w:rsid w:val="00FF03AD"/>
    <w:rsid w:val="185DBD00"/>
    <w:rsid w:val="23DDDEB2"/>
    <w:rsid w:val="37C497E9"/>
    <w:rsid w:val="392891E0"/>
    <w:rsid w:val="6097607B"/>
    <w:rsid w:val="6EB4F659"/>
    <w:rsid w:val="726ECA0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BF67C"/>
  <w15:chartTrackingRefBased/>
  <w15:docId w15:val="{EE0AEA92-2E33-4EA0-8A67-7E43F9C0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uiPriority="99" w:qFormat="1"/>
    <w:lsdException w:name="List Bullet" w:qFormat="1"/>
    <w:lsdException w:name="List Number" w:qFormat="1"/>
    <w:lsdException w:name="Default Paragraph Font" w:locked="0"/>
    <w:lsdException w:name="Body Text" w:uiPriority="1" w:qFormat="1"/>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uiPriority w:val="99"/>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link w:val="BodyTextChar"/>
    <w:uiPriority w:val="1"/>
    <w:qFormat/>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No Spacing1111"/>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customStyle="1" w:styleId="Style2">
    <w:name w:val="Style2"/>
    <w:basedOn w:val="ListParagraph"/>
    <w:link w:val="Style2Char"/>
    <w:qFormat/>
    <w:rsid w:val="001816E3"/>
    <w:pPr>
      <w:numPr>
        <w:ilvl w:val="4"/>
        <w:numId w:val="21"/>
      </w:numPr>
    </w:pPr>
    <w:rPr>
      <w:rFonts w:cs="Open Sans"/>
    </w:rPr>
  </w:style>
  <w:style w:type="character" w:customStyle="1" w:styleId="Style2Char">
    <w:name w:val="Style2 Char"/>
    <w:basedOn w:val="ListParagraphChar"/>
    <w:link w:val="Style2"/>
    <w:rsid w:val="001816E3"/>
    <w:rPr>
      <w:rFonts w:ascii="Open Sans" w:eastAsia="MS Mincho" w:hAnsi="Open Sans" w:cs="Open Sans"/>
      <w:sz w:val="24"/>
      <w:szCs w:val="24"/>
    </w:rPr>
  </w:style>
  <w:style w:type="paragraph" w:customStyle="1" w:styleId="NameInsert">
    <w:name w:val="Name Insert"/>
    <w:basedOn w:val="BodyText"/>
    <w:link w:val="NameInsertChar"/>
    <w:rsid w:val="00F90D34"/>
    <w:pPr>
      <w:spacing w:before="0"/>
      <w:jc w:val="both"/>
    </w:pPr>
    <w:rPr>
      <w:rFonts w:ascii="Arial" w:eastAsia="Times New Roman" w:hAnsi="Arial"/>
      <w:color w:val="000000"/>
      <w:szCs w:val="20"/>
      <w:lang w:val="en-US" w:eastAsia="en-US" w:bidi="en-US"/>
    </w:rPr>
  </w:style>
  <w:style w:type="paragraph" w:customStyle="1" w:styleId="Style3">
    <w:name w:val="Style3"/>
    <w:basedOn w:val="NameInsert"/>
    <w:link w:val="Style3Char"/>
    <w:qFormat/>
    <w:rsid w:val="00F90D34"/>
    <w:pPr>
      <w:spacing w:before="240" w:after="240"/>
      <w:ind w:left="1440"/>
      <w:jc w:val="left"/>
    </w:pPr>
    <w:rPr>
      <w:rFonts w:ascii="Open Sans" w:hAnsi="Open Sans" w:cs="Open Sans"/>
      <w:sz w:val="22"/>
      <w:szCs w:val="22"/>
    </w:rPr>
  </w:style>
  <w:style w:type="character" w:customStyle="1" w:styleId="BodyTextChar">
    <w:name w:val="Body Text Char"/>
    <w:basedOn w:val="DefaultParagraphFont"/>
    <w:link w:val="BodyText"/>
    <w:semiHidden/>
    <w:rsid w:val="00F90D34"/>
    <w:rPr>
      <w:rFonts w:ascii="Open Sans" w:eastAsia="MS Mincho" w:hAnsi="Open Sans"/>
      <w:sz w:val="24"/>
      <w:szCs w:val="24"/>
    </w:rPr>
  </w:style>
  <w:style w:type="character" w:customStyle="1" w:styleId="NameInsertChar">
    <w:name w:val="Name Insert Char"/>
    <w:basedOn w:val="BodyTextChar"/>
    <w:link w:val="NameInsert"/>
    <w:rsid w:val="00F90D34"/>
    <w:rPr>
      <w:rFonts w:ascii="Arial" w:eastAsia="MS Mincho" w:hAnsi="Arial"/>
      <w:color w:val="000000"/>
      <w:sz w:val="24"/>
      <w:szCs w:val="24"/>
      <w:lang w:val="en-US" w:eastAsia="en-US" w:bidi="en-US"/>
    </w:rPr>
  </w:style>
  <w:style w:type="character" w:customStyle="1" w:styleId="Style3Char">
    <w:name w:val="Style3 Char"/>
    <w:basedOn w:val="NameInsertChar"/>
    <w:link w:val="Style3"/>
    <w:rsid w:val="00F90D34"/>
    <w:rPr>
      <w:rFonts w:ascii="Open Sans" w:eastAsia="MS Mincho" w:hAnsi="Open Sans" w:cs="Open Sans"/>
      <w:color w:val="000000"/>
      <w:sz w:val="22"/>
      <w:szCs w:val="22"/>
      <w:lang w:val="en-US" w:eastAsia="en-US" w:bidi="en-US"/>
    </w:rPr>
  </w:style>
  <w:style w:type="paragraph" w:customStyle="1" w:styleId="NumberedParagraph">
    <w:name w:val="Numbered Paragraph"/>
    <w:basedOn w:val="Normal"/>
    <w:qFormat/>
    <w:rsid w:val="00F90D34"/>
    <w:pPr>
      <w:tabs>
        <w:tab w:val="num" w:pos="720"/>
      </w:tabs>
      <w:ind w:left="720" w:hanging="720"/>
    </w:pPr>
    <w:rPr>
      <w:rFonts w:eastAsia="Times New Roman" w:cs="Open Sans"/>
      <w:spacing w:val="-5"/>
      <w:lang w:eastAsia="en-US"/>
    </w:rPr>
  </w:style>
  <w:style w:type="character" w:customStyle="1" w:styleId="normaltextrun">
    <w:name w:val="normaltextrun"/>
    <w:basedOn w:val="DefaultParagraphFont"/>
    <w:rsid w:val="00F90D34"/>
  </w:style>
  <w:style w:type="paragraph" w:customStyle="1" w:styleId="TableParagraph">
    <w:name w:val="Table Paragraph"/>
    <w:basedOn w:val="Normal"/>
    <w:uiPriority w:val="1"/>
    <w:qFormat/>
    <w:rsid w:val="00F02D5A"/>
    <w:pPr>
      <w:widowControl w:val="0"/>
      <w:autoSpaceDE w:val="0"/>
      <w:autoSpaceDN w:val="0"/>
      <w:spacing w:before="18" w:after="0"/>
      <w:ind w:left="124"/>
    </w:pPr>
    <w:rPr>
      <w:rFonts w:ascii="Arial" w:eastAsia="Arial" w:hAnsi="Arial" w:cs="Arial"/>
      <w:sz w:val="22"/>
      <w:szCs w:val="22"/>
      <w:lang w:val="en-US" w:eastAsia="en-US"/>
    </w:rPr>
  </w:style>
  <w:style w:type="paragraph" w:styleId="Revision">
    <w:name w:val="Revision"/>
    <w:hidden/>
    <w:uiPriority w:val="99"/>
    <w:semiHidden/>
    <w:rsid w:val="00ED4616"/>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10.jpe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jpeg"/><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8.jpeg"/><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4.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Reportstatus xmlns="0544bb73-b9b2-4315-b463-f353efb89b0b" xsi:nil="true"/>
    <Report_x0020_No_x002e_ xmlns="0544bb73-b9b2-4315-b463-f353efb89b0b" xsi:nil="true"/>
    <TaxKeywordTaxHTField xmlns="6500fe01-343b-4fb9-a1b0-68ac19d62e01">
      <Terms xmlns="http://schemas.microsoft.com/office/infopath/2007/PartnerControls"/>
    </TaxKeywordTaxHTField>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_dlc_DocId xmlns="6500fe01-343b-4fb9-a1b0-68ac19d62e01">DGE6U7RJ2EFV-5382029-11533</_dlc_DocId>
    <_dlc_DocIdUrl xmlns="6500fe01-343b-4fb9-a1b0-68ac19d62e01">
      <Url>https://australianhrc.sharepoint.com/sites/LegalServ/_layouts/15/DocIdRedir.aspx?ID=DGE6U7RJ2EFV-5382029-11533</Url>
      <Description>DGE6U7RJ2EFV-5382029-11533</Description>
    </_dlc_DocIdUrl>
    <SharedWithUsers xmlns="57f1fb52-79b9-4278-9d54-1e5db41bfcda">
      <UserInfo>
        <DisplayName>Demitra Nikas</DisplayName>
        <AccountId>4823</AccountId>
        <AccountType/>
      </UserInfo>
      <UserInfo>
        <DisplayName>Jane Fraser</DisplayName>
        <AccountId>3984</AccountId>
        <AccountType/>
      </UserInfo>
      <UserInfo>
        <DisplayName>Andra Soubris</DisplayName>
        <AccountId>4512</AccountId>
        <AccountType/>
      </UserInfo>
      <UserInfo>
        <DisplayName>Graeme Edgerton</DisplayName>
        <AccountId>41</AccountId>
        <AccountType/>
      </UserInfo>
      <UserInfo>
        <DisplayName>Amber Vidler</DisplayName>
        <AccountId>683</AccountId>
        <AccountType/>
      </UserInfo>
      <UserInfo>
        <DisplayName>Rosalind Croucher</DisplayName>
        <AccountId>702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4" ma:contentTypeDescription="Create a new document." ma:contentTypeScope="" ma:versionID="d17c8f4729f5e589ec4d7a8d315b2f89">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10bf5159eaa2d742232210a34764c49c"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2.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0544bb73-b9b2-4315-b463-f353efb89b0b"/>
    <ds:schemaRef ds:uri="57f1fb52-79b9-4278-9d54-1e5db41bfcda"/>
  </ds:schemaRefs>
</ds:datastoreItem>
</file>

<file path=customXml/itemProps3.xml><?xml version="1.0" encoding="utf-8"?>
<ds:datastoreItem xmlns:ds="http://schemas.openxmlformats.org/officeDocument/2006/customXml" ds:itemID="{5145D255-C21C-4BC8-8202-B96A59AD5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5.xml><?xml version="1.0" encoding="utf-8"?>
<ds:datastoreItem xmlns:ds="http://schemas.openxmlformats.org/officeDocument/2006/customXml" ds:itemID="{473B165F-7F4B-49E4-95AE-AE44F860FBD3}">
  <ds:schemaRefs>
    <ds:schemaRef ds:uri="Microsoft.SharePoint.Taxonomy.ContentTypeSync"/>
  </ds:schemaRefs>
</ds:datastoreItem>
</file>

<file path=customXml/itemProps6.xml><?xml version="1.0" encoding="utf-8"?>
<ds:datastoreItem xmlns:ds="http://schemas.openxmlformats.org/officeDocument/2006/customXml" ds:itemID="{1C236015-29A9-4340-A93E-C9815EDC8AAB}">
  <ds:schemaRefs>
    <ds:schemaRef ds:uri="http://schemas.microsoft.com/sharepoint/events"/>
  </ds:schemaRefs>
</ds:datastoreItem>
</file>

<file path=customXml/itemProps7.xml><?xml version="1.0" encoding="utf-8"?>
<ds:datastoreItem xmlns:ds="http://schemas.openxmlformats.org/officeDocument/2006/customXml" ds:itemID="{FFE21CA7-D75D-45B4-AC65-AC403396E0E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AHRC%20Report%20Template</Template>
  <TotalTime>1</TotalTime>
  <Pages>37</Pages>
  <Words>13089</Words>
  <Characters>63089</Characters>
  <Application>Microsoft Office Word</Application>
  <DocSecurity>0</DocSecurity>
  <Lines>1371</Lines>
  <Paragraphs>427</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75751</CharactersWithSpaces>
  <SharedDoc>false</SharedDoc>
  <HLinks>
    <vt:vector size="132" baseType="variant">
      <vt:variant>
        <vt:i4>1441850</vt:i4>
      </vt:variant>
      <vt:variant>
        <vt:i4>116</vt:i4>
      </vt:variant>
      <vt:variant>
        <vt:i4>0</vt:i4>
      </vt:variant>
      <vt:variant>
        <vt:i4>5</vt:i4>
      </vt:variant>
      <vt:variant>
        <vt:lpwstr/>
      </vt:variant>
      <vt:variant>
        <vt:lpwstr>_Toc164768988</vt:lpwstr>
      </vt:variant>
      <vt:variant>
        <vt:i4>1441850</vt:i4>
      </vt:variant>
      <vt:variant>
        <vt:i4>110</vt:i4>
      </vt:variant>
      <vt:variant>
        <vt:i4>0</vt:i4>
      </vt:variant>
      <vt:variant>
        <vt:i4>5</vt:i4>
      </vt:variant>
      <vt:variant>
        <vt:lpwstr/>
      </vt:variant>
      <vt:variant>
        <vt:lpwstr>_Toc164768987</vt:lpwstr>
      </vt:variant>
      <vt:variant>
        <vt:i4>1441850</vt:i4>
      </vt:variant>
      <vt:variant>
        <vt:i4>104</vt:i4>
      </vt:variant>
      <vt:variant>
        <vt:i4>0</vt:i4>
      </vt:variant>
      <vt:variant>
        <vt:i4>5</vt:i4>
      </vt:variant>
      <vt:variant>
        <vt:lpwstr/>
      </vt:variant>
      <vt:variant>
        <vt:lpwstr>_Toc164768986</vt:lpwstr>
      </vt:variant>
      <vt:variant>
        <vt:i4>1441850</vt:i4>
      </vt:variant>
      <vt:variant>
        <vt:i4>98</vt:i4>
      </vt:variant>
      <vt:variant>
        <vt:i4>0</vt:i4>
      </vt:variant>
      <vt:variant>
        <vt:i4>5</vt:i4>
      </vt:variant>
      <vt:variant>
        <vt:lpwstr/>
      </vt:variant>
      <vt:variant>
        <vt:lpwstr>_Toc164768985</vt:lpwstr>
      </vt:variant>
      <vt:variant>
        <vt:i4>1441850</vt:i4>
      </vt:variant>
      <vt:variant>
        <vt:i4>95</vt:i4>
      </vt:variant>
      <vt:variant>
        <vt:i4>0</vt:i4>
      </vt:variant>
      <vt:variant>
        <vt:i4>5</vt:i4>
      </vt:variant>
      <vt:variant>
        <vt:lpwstr/>
      </vt:variant>
      <vt:variant>
        <vt:lpwstr>_Toc164768984</vt:lpwstr>
      </vt:variant>
      <vt:variant>
        <vt:i4>1441850</vt:i4>
      </vt:variant>
      <vt:variant>
        <vt:i4>92</vt:i4>
      </vt:variant>
      <vt:variant>
        <vt:i4>0</vt:i4>
      </vt:variant>
      <vt:variant>
        <vt:i4>5</vt:i4>
      </vt:variant>
      <vt:variant>
        <vt:lpwstr/>
      </vt:variant>
      <vt:variant>
        <vt:lpwstr>_Toc164768983</vt:lpwstr>
      </vt:variant>
      <vt:variant>
        <vt:i4>1441850</vt:i4>
      </vt:variant>
      <vt:variant>
        <vt:i4>86</vt:i4>
      </vt:variant>
      <vt:variant>
        <vt:i4>0</vt:i4>
      </vt:variant>
      <vt:variant>
        <vt:i4>5</vt:i4>
      </vt:variant>
      <vt:variant>
        <vt:lpwstr/>
      </vt:variant>
      <vt:variant>
        <vt:lpwstr>_Toc164768982</vt:lpwstr>
      </vt:variant>
      <vt:variant>
        <vt:i4>1441850</vt:i4>
      </vt:variant>
      <vt:variant>
        <vt:i4>80</vt:i4>
      </vt:variant>
      <vt:variant>
        <vt:i4>0</vt:i4>
      </vt:variant>
      <vt:variant>
        <vt:i4>5</vt:i4>
      </vt:variant>
      <vt:variant>
        <vt:lpwstr/>
      </vt:variant>
      <vt:variant>
        <vt:lpwstr>_Toc164768981</vt:lpwstr>
      </vt:variant>
      <vt:variant>
        <vt:i4>1441850</vt:i4>
      </vt:variant>
      <vt:variant>
        <vt:i4>74</vt:i4>
      </vt:variant>
      <vt:variant>
        <vt:i4>0</vt:i4>
      </vt:variant>
      <vt:variant>
        <vt:i4>5</vt:i4>
      </vt:variant>
      <vt:variant>
        <vt:lpwstr/>
      </vt:variant>
      <vt:variant>
        <vt:lpwstr>_Toc164768980</vt:lpwstr>
      </vt:variant>
      <vt:variant>
        <vt:i4>1638458</vt:i4>
      </vt:variant>
      <vt:variant>
        <vt:i4>68</vt:i4>
      </vt:variant>
      <vt:variant>
        <vt:i4>0</vt:i4>
      </vt:variant>
      <vt:variant>
        <vt:i4>5</vt:i4>
      </vt:variant>
      <vt:variant>
        <vt:lpwstr/>
      </vt:variant>
      <vt:variant>
        <vt:lpwstr>_Toc164768979</vt:lpwstr>
      </vt:variant>
      <vt:variant>
        <vt:i4>1638458</vt:i4>
      </vt:variant>
      <vt:variant>
        <vt:i4>62</vt:i4>
      </vt:variant>
      <vt:variant>
        <vt:i4>0</vt:i4>
      </vt:variant>
      <vt:variant>
        <vt:i4>5</vt:i4>
      </vt:variant>
      <vt:variant>
        <vt:lpwstr/>
      </vt:variant>
      <vt:variant>
        <vt:lpwstr>_Toc164768978</vt:lpwstr>
      </vt:variant>
      <vt:variant>
        <vt:i4>1638458</vt:i4>
      </vt:variant>
      <vt:variant>
        <vt:i4>56</vt:i4>
      </vt:variant>
      <vt:variant>
        <vt:i4>0</vt:i4>
      </vt:variant>
      <vt:variant>
        <vt:i4>5</vt:i4>
      </vt:variant>
      <vt:variant>
        <vt:lpwstr/>
      </vt:variant>
      <vt:variant>
        <vt:lpwstr>_Toc164768977</vt:lpwstr>
      </vt:variant>
      <vt:variant>
        <vt:i4>1638458</vt:i4>
      </vt:variant>
      <vt:variant>
        <vt:i4>50</vt:i4>
      </vt:variant>
      <vt:variant>
        <vt:i4>0</vt:i4>
      </vt:variant>
      <vt:variant>
        <vt:i4>5</vt:i4>
      </vt:variant>
      <vt:variant>
        <vt:lpwstr/>
      </vt:variant>
      <vt:variant>
        <vt:lpwstr>_Toc164768976</vt:lpwstr>
      </vt:variant>
      <vt:variant>
        <vt:i4>1638458</vt:i4>
      </vt:variant>
      <vt:variant>
        <vt:i4>44</vt:i4>
      </vt:variant>
      <vt:variant>
        <vt:i4>0</vt:i4>
      </vt:variant>
      <vt:variant>
        <vt:i4>5</vt:i4>
      </vt:variant>
      <vt:variant>
        <vt:lpwstr/>
      </vt:variant>
      <vt:variant>
        <vt:lpwstr>_Toc164768975</vt:lpwstr>
      </vt:variant>
      <vt:variant>
        <vt:i4>1638458</vt:i4>
      </vt:variant>
      <vt:variant>
        <vt:i4>38</vt:i4>
      </vt:variant>
      <vt:variant>
        <vt:i4>0</vt:i4>
      </vt:variant>
      <vt:variant>
        <vt:i4>5</vt:i4>
      </vt:variant>
      <vt:variant>
        <vt:lpwstr/>
      </vt:variant>
      <vt:variant>
        <vt:lpwstr>_Toc164768974</vt:lpwstr>
      </vt:variant>
      <vt:variant>
        <vt:i4>1638458</vt:i4>
      </vt:variant>
      <vt:variant>
        <vt:i4>32</vt:i4>
      </vt:variant>
      <vt:variant>
        <vt:i4>0</vt:i4>
      </vt:variant>
      <vt:variant>
        <vt:i4>5</vt:i4>
      </vt:variant>
      <vt:variant>
        <vt:lpwstr/>
      </vt:variant>
      <vt:variant>
        <vt:lpwstr>_Toc164768973</vt:lpwstr>
      </vt:variant>
      <vt:variant>
        <vt:i4>1638458</vt:i4>
      </vt:variant>
      <vt:variant>
        <vt:i4>26</vt:i4>
      </vt:variant>
      <vt:variant>
        <vt:i4>0</vt:i4>
      </vt:variant>
      <vt:variant>
        <vt:i4>5</vt:i4>
      </vt:variant>
      <vt:variant>
        <vt:lpwstr/>
      </vt:variant>
      <vt:variant>
        <vt:lpwstr>_Toc164768972</vt:lpwstr>
      </vt:variant>
      <vt:variant>
        <vt:i4>1638458</vt:i4>
      </vt:variant>
      <vt:variant>
        <vt:i4>23</vt:i4>
      </vt:variant>
      <vt:variant>
        <vt:i4>0</vt:i4>
      </vt:variant>
      <vt:variant>
        <vt:i4>5</vt:i4>
      </vt:variant>
      <vt:variant>
        <vt:lpwstr/>
      </vt:variant>
      <vt:variant>
        <vt:lpwstr>_Toc164768971</vt:lpwstr>
      </vt:variant>
      <vt:variant>
        <vt:i4>1638458</vt:i4>
      </vt:variant>
      <vt:variant>
        <vt:i4>17</vt:i4>
      </vt:variant>
      <vt:variant>
        <vt:i4>0</vt:i4>
      </vt:variant>
      <vt:variant>
        <vt:i4>5</vt:i4>
      </vt:variant>
      <vt:variant>
        <vt:lpwstr/>
      </vt:variant>
      <vt:variant>
        <vt:lpwstr>_Toc164768970</vt:lpwstr>
      </vt:variant>
      <vt:variant>
        <vt:i4>1572922</vt:i4>
      </vt:variant>
      <vt:variant>
        <vt:i4>11</vt:i4>
      </vt:variant>
      <vt:variant>
        <vt:i4>0</vt:i4>
      </vt:variant>
      <vt:variant>
        <vt:i4>5</vt:i4>
      </vt:variant>
      <vt:variant>
        <vt:lpwstr/>
      </vt:variant>
      <vt:variant>
        <vt:lpwstr>_Toc164768969</vt:lpwstr>
      </vt:variant>
      <vt:variant>
        <vt:i4>1572922</vt:i4>
      </vt:variant>
      <vt:variant>
        <vt:i4>8</vt:i4>
      </vt:variant>
      <vt:variant>
        <vt:i4>0</vt:i4>
      </vt:variant>
      <vt:variant>
        <vt:i4>5</vt:i4>
      </vt:variant>
      <vt:variant>
        <vt:lpwstr/>
      </vt:variant>
      <vt:variant>
        <vt:lpwstr>_Toc164768968</vt:lpwstr>
      </vt:variant>
      <vt:variant>
        <vt:i4>1572922</vt:i4>
      </vt:variant>
      <vt:variant>
        <vt:i4>5</vt:i4>
      </vt:variant>
      <vt:variant>
        <vt:i4>0</vt:i4>
      </vt:variant>
      <vt:variant>
        <vt:i4>5</vt:i4>
      </vt:variant>
      <vt:variant>
        <vt:lpwstr/>
      </vt:variant>
      <vt:variant>
        <vt:lpwstr>_Toc164768967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Demitra Nikas</dc:creator>
  <cp:keywords/>
  <cp:lastModifiedBy>Demitra Nikas</cp:lastModifiedBy>
  <cp:revision>3</cp:revision>
  <cp:lastPrinted>2024-05-01T02:20:00Z</cp:lastPrinted>
  <dcterms:created xsi:type="dcterms:W3CDTF">2024-05-01T02:19:00Z</dcterms:created>
  <dcterms:modified xsi:type="dcterms:W3CDTF">2024-05-01T02:20:00Z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1428cb43-aace-4898-94ce-4af1cd824f78</vt:lpwstr>
  </property>
  <property fmtid="{D5CDD505-2E9C-101B-9397-08002B2CF9AE}" pid="4" name="TaxKeyword">
    <vt:lpwstr/>
  </property>
</Properties>
</file>