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1951" w:rsidRPr="00021DD2" w:rsidRDefault="00822D42" w:rsidP="00BD00B3">
      <w:pPr>
        <w:tabs>
          <w:tab w:val="left" w:pos="3014"/>
        </w:tabs>
        <w:spacing w:after="3000"/>
        <w:rPr>
          <w:rFonts w:cs="Arial"/>
          <w:sz w:val="20"/>
          <w:vertAlign w:val="superscript"/>
        </w:rPr>
      </w:pPr>
      <w:r>
        <w:rPr>
          <w:rFonts w:cs="Arial"/>
          <w:noProof/>
          <w:lang w:val="it-IT" w:eastAsia="it-IT"/>
        </w:rPr>
        <w:drawing>
          <wp:anchor distT="0" distB="0" distL="114300" distR="114300" simplePos="0" relativeHeight="251667456" behindDoc="1" locked="0" layoutInCell="1" allowOverlap="1" wp14:anchorId="76CF2B7A" wp14:editId="1FD401C3">
            <wp:simplePos x="0" y="0"/>
            <wp:positionH relativeFrom="column">
              <wp:posOffset>-963295</wp:posOffset>
            </wp:positionH>
            <wp:positionV relativeFrom="paragraph">
              <wp:posOffset>-207010</wp:posOffset>
            </wp:positionV>
            <wp:extent cx="7680325" cy="10909300"/>
            <wp:effectExtent l="0" t="0" r="0" b="1270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R 2017_Front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0325" cy="10909300"/>
                    </a:xfrm>
                    <a:prstGeom prst="rect">
                      <a:avLst/>
                    </a:prstGeom>
                  </pic:spPr>
                </pic:pic>
              </a:graphicData>
            </a:graphic>
            <wp14:sizeRelH relativeFrom="margin">
              <wp14:pctWidth>0</wp14:pctWidth>
            </wp14:sizeRelH>
            <wp14:sizeRelV relativeFrom="margin">
              <wp14:pctHeight>0</wp14:pctHeight>
            </wp14:sizeRelV>
          </wp:anchor>
        </w:drawing>
      </w:r>
      <w:r w:rsidR="00154D67" w:rsidRPr="00021DD2">
        <w:rPr>
          <w:rFonts w:cs="Arial"/>
          <w:noProof/>
          <w:lang w:val="it-IT" w:eastAsia="it-IT"/>
        </w:rPr>
        <mc:AlternateContent>
          <mc:Choice Requires="wps">
            <w:drawing>
              <wp:anchor distT="0" distB="0" distL="114300" distR="114300" simplePos="0" relativeHeight="251656704" behindDoc="0" locked="0" layoutInCell="1" allowOverlap="1" wp14:anchorId="30DE7FE0" wp14:editId="1732E978">
                <wp:simplePos x="0" y="0"/>
                <wp:positionH relativeFrom="column">
                  <wp:posOffset>2238360</wp:posOffset>
                </wp:positionH>
                <wp:positionV relativeFrom="paragraph">
                  <wp:posOffset>546100</wp:posOffset>
                </wp:positionV>
                <wp:extent cx="3371215" cy="2019631"/>
                <wp:effectExtent l="0" t="0" r="0" b="12700"/>
                <wp:wrapNone/>
                <wp:docPr id="7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215" cy="2019631"/>
                        </a:xfrm>
                        <a:prstGeom prst="rect">
                          <a:avLst/>
                        </a:prstGeom>
                        <a:noFill/>
                        <a:ln w="6350">
                          <a:noFill/>
                        </a:ln>
                        <a:effectLst/>
                      </wps:spPr>
                      <wps:txbx>
                        <w:txbxContent>
                          <w:p w:rsidR="00C3563C" w:rsidRPr="00154D67" w:rsidRDefault="00C3563C" w:rsidP="00FD01B5">
                            <w:pPr>
                              <w:pStyle w:val="MainTitle"/>
                              <w:rPr>
                                <w:color w:val="FFFFFF" w:themeColor="background1"/>
                              </w:rPr>
                            </w:pPr>
                            <w:r w:rsidRPr="00154D67">
                              <w:rPr>
                                <w:color w:val="FFFFFF" w:themeColor="background1"/>
                              </w:rPr>
                              <w:t xml:space="preserve">Children’s Rights Report </w:t>
                            </w:r>
                          </w:p>
                          <w:p w:rsidR="00C3563C" w:rsidRPr="00154D67" w:rsidRDefault="00C3563C" w:rsidP="00FD01B5">
                            <w:pPr>
                              <w:pStyle w:val="MainTitle"/>
                              <w:rPr>
                                <w:color w:val="FFFFFF" w:themeColor="background1"/>
                              </w:rPr>
                            </w:pPr>
                            <w:r w:rsidRPr="00154D67">
                              <w:rPr>
                                <w:color w:val="FFFFFF" w:themeColor="background1"/>
                              </w:rPr>
                              <w:t xml:space="preserve">2017 </w:t>
                            </w:r>
                          </w:p>
                          <w:p w:rsidR="00C3563C" w:rsidRPr="00154D67" w:rsidRDefault="00C3563C" w:rsidP="00FD01B5">
                            <w:pPr>
                              <w:pStyle w:val="MainTitle"/>
                              <w:rPr>
                                <w:color w:val="FFFFFF" w:themeColor="background1"/>
                                <w:sz w:val="28"/>
                                <w:szCs w:val="28"/>
                              </w:rPr>
                            </w:pPr>
                            <w:r w:rsidRPr="00154D67">
                              <w:rPr>
                                <w:color w:val="FFFFFF" w:themeColor="background1"/>
                                <w:sz w:val="28"/>
                                <w:szCs w:val="28"/>
                              </w:rPr>
                              <w:t>National Children’s Commissioner</w:t>
                            </w:r>
                          </w:p>
                          <w:p w:rsidR="00C3563C" w:rsidRDefault="00C3563C" w:rsidP="00FD01B5">
                            <w:pPr>
                              <w:pStyle w:val="MainTitle"/>
                            </w:pPr>
                            <w:r>
                              <w:t>MNNa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E7FE0" id="_x0000_t202" coordsize="21600,21600" o:spt="202" path="m,l,21600r21600,l21600,xe">
                <v:stroke joinstyle="miter"/>
                <v:path gradientshapeok="t" o:connecttype="rect"/>
              </v:shapetype>
              <v:shape id="Text Box 1" o:spid="_x0000_s1026" type="#_x0000_t202" style="position:absolute;margin-left:176.25pt;margin-top:43pt;width:265.45pt;height:159.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V7+PQIAAHsEAAAOAAAAZHJzL2Uyb0RvYy54bWysVN9v2jAQfp+0/8Hy+wiBQteooWKtmCah&#13;&#10;thJMfTaOU6IlPs82JOyv32cHKOr2NO3FOd99vl/fXW7vuqZme2VdRTrn6WDImdKSikq/5vz7evHp&#13;&#10;M2fOC12ImrTK+UE5fjf7+OG2NZka0ZbqQlkGJ9plrcn51nuTJYmTW9UINyCjNIwl2UZ4XO1rUljR&#13;&#10;wntTJ6PhcJq0ZAtjSSrnoH3ojXwW/Zelkv6pLJ3yrM45cvPxtPHchDOZ3Yrs1QqzreQxDfEPWTSi&#13;&#10;0gh6dvUgvGA7W/3hqqmkJUelH0hqEirLSqpYA6pJh++qWW2FUbEWNMeZc5vc/3MrH/fPllVFzq/H&#13;&#10;KWdaNCBprTrPvlDH0tCf1rgMsJUB0HdQg+dYqzNLkj8cIMkFpn/ggA796ErbhC8qZXgICg7ntoco&#13;&#10;Esrx+DodpRPOJGxow80UqQSvb8+Ndf6rooYFIecWvMYUxH7pfA89QUI0TYuqrqEXWa1Zm/PpeDKM&#13;&#10;D84WOK91AKg4JUc3oY4+9SD5btPBSRA3VBxQv6V+gpyRiwqpLIXzz8JiZFAZ1sA/4ShrQkg6Spxt&#13;&#10;yf76mz7gwSSsnLUYwZy7nzthFWf1Nw2Ob9KrqzCz8XI1uR7hYi8tm0uL3jX3hCkHi8guigHv65NY&#13;&#10;WmpesC3zEBUmoSVi59yfxHvfLwa2Tar5PIIwpUb4pV4ZeaI9NHrdvQhrjmx4EPlIp2EV2TtSemxP&#13;&#10;y3znqawiY29dPc4PJjxyftzGsEKX94h6+2fMfgMAAP//AwBQSwMEFAAGAAgAAAAhAEeaWtPnAAAA&#13;&#10;DwEAAA8AAABkcnMvZG93bnJldi54bWxMj8FOwzAQRO9I/IO1lbhRp2lSWWmcqgqqkBAcWnrh5sTb&#13;&#10;JGpsh9htA1/PcoLLSqudmZ2XbybTsyuOvnNWwmIeAUNbO93ZRsLxffcogPmgrFa9syjhCz1sivu7&#13;&#10;XGXa3ewer4fQMAqxPlMS2hCGjHNft2iUn7sBLd1ObjQq0Do2XI/qRuGm53EUrbhRnaUPrRqwbLE+&#13;&#10;Hy5Gwku5e1P7Kjbiuy+fX0/b4fP4kUr5MJue1jS2a2ABp/DngF8G6g8FFavcxWrPegnLNE5JKkGs&#13;&#10;CIwEQiwTYJWEJEoWwIuc/+cofgAAAP//AwBQSwECLQAUAAYACAAAACEAtoM4kv4AAADhAQAAEwAA&#13;&#10;AAAAAAAAAAAAAAAAAAAAW0NvbnRlbnRfVHlwZXNdLnhtbFBLAQItABQABgAIAAAAIQA4/SH/1gAA&#13;&#10;AJQBAAALAAAAAAAAAAAAAAAAAC8BAABfcmVscy8ucmVsc1BLAQItABQABgAIAAAAIQCmiV7+PQIA&#13;&#10;AHsEAAAOAAAAAAAAAAAAAAAAAC4CAABkcnMvZTJvRG9jLnhtbFBLAQItABQABgAIAAAAIQBHmlrT&#13;&#10;5wAAAA8BAAAPAAAAAAAAAAAAAAAAAJcEAABkcnMvZG93bnJldi54bWxQSwUGAAAAAAQABADzAAAA&#13;&#10;qwUAAAAA&#13;&#10;" filled="f" stroked="f" strokeweight=".5pt">
                <v:textbox>
                  <w:txbxContent>
                    <w:p w:rsidR="00C3563C" w:rsidRPr="00154D67" w:rsidRDefault="00C3563C" w:rsidP="00FD01B5">
                      <w:pPr>
                        <w:pStyle w:val="MainTitle"/>
                        <w:rPr>
                          <w:color w:val="FFFFFF" w:themeColor="background1"/>
                        </w:rPr>
                      </w:pPr>
                      <w:r w:rsidRPr="00154D67">
                        <w:rPr>
                          <w:color w:val="FFFFFF" w:themeColor="background1"/>
                        </w:rPr>
                        <w:t xml:space="preserve">Children’s Rights Report </w:t>
                      </w:r>
                    </w:p>
                    <w:p w:rsidR="00C3563C" w:rsidRPr="00154D67" w:rsidRDefault="00C3563C" w:rsidP="00FD01B5">
                      <w:pPr>
                        <w:pStyle w:val="MainTitle"/>
                        <w:rPr>
                          <w:color w:val="FFFFFF" w:themeColor="background1"/>
                        </w:rPr>
                      </w:pPr>
                      <w:r w:rsidRPr="00154D67">
                        <w:rPr>
                          <w:color w:val="FFFFFF" w:themeColor="background1"/>
                        </w:rPr>
                        <w:t xml:space="preserve">2017 </w:t>
                      </w:r>
                    </w:p>
                    <w:p w:rsidR="00C3563C" w:rsidRPr="00154D67" w:rsidRDefault="00C3563C" w:rsidP="00FD01B5">
                      <w:pPr>
                        <w:pStyle w:val="MainTitle"/>
                        <w:rPr>
                          <w:color w:val="FFFFFF" w:themeColor="background1"/>
                          <w:sz w:val="28"/>
                          <w:szCs w:val="28"/>
                        </w:rPr>
                      </w:pPr>
                      <w:r w:rsidRPr="00154D67">
                        <w:rPr>
                          <w:color w:val="FFFFFF" w:themeColor="background1"/>
                          <w:sz w:val="28"/>
                          <w:szCs w:val="28"/>
                        </w:rPr>
                        <w:t>National Children’s Commissioner</w:t>
                      </w:r>
                    </w:p>
                    <w:p w:rsidR="00C3563C" w:rsidRDefault="00C3563C" w:rsidP="00FD01B5">
                      <w:pPr>
                        <w:pStyle w:val="MainTitle"/>
                      </w:pPr>
                      <w:r>
                        <w:t>MNNa</w:t>
                      </w:r>
                    </w:p>
                  </w:txbxContent>
                </v:textbox>
              </v:shape>
            </w:pict>
          </mc:Fallback>
        </mc:AlternateContent>
      </w:r>
      <w:r w:rsidR="00FD423E" w:rsidRPr="00021DD2">
        <w:rPr>
          <w:rFonts w:cs="Arial"/>
          <w:sz w:val="20"/>
          <w:vertAlign w:val="superscript"/>
        </w:rPr>
        <w:br/>
      </w:r>
    </w:p>
    <w:p w:rsidR="00BD00B3" w:rsidRPr="00021DD2" w:rsidRDefault="00BD00B3" w:rsidP="00BD00B3">
      <w:pPr>
        <w:jc w:val="center"/>
        <w:rPr>
          <w:rFonts w:cs="Arial"/>
        </w:rPr>
      </w:pPr>
      <w:bookmarkStart w:id="0" w:name="_Toc209316062"/>
      <w:bookmarkEnd w:id="0"/>
    </w:p>
    <w:p w:rsidR="00B924E6" w:rsidRPr="00021DD2" w:rsidRDefault="00BD00B3" w:rsidP="00BD00B3">
      <w:pPr>
        <w:tabs>
          <w:tab w:val="center" w:pos="4394"/>
        </w:tabs>
        <w:rPr>
          <w:rFonts w:cs="Arial"/>
        </w:rPr>
        <w:sectPr w:rsidR="00B924E6" w:rsidRPr="00021DD2" w:rsidSect="00B24B1D">
          <w:headerReference w:type="even" r:id="rId9"/>
          <w:headerReference w:type="default" r:id="rId10"/>
          <w:footerReference w:type="default" r:id="rId11"/>
          <w:type w:val="continuous"/>
          <w:pgSz w:w="11906" w:h="16838" w:code="9"/>
          <w:pgMar w:top="228" w:right="1700" w:bottom="1134" w:left="1418" w:header="277" w:footer="415" w:gutter="0"/>
          <w:cols w:space="708"/>
          <w:titlePg/>
          <w:docGrid w:linePitch="360"/>
        </w:sectPr>
      </w:pPr>
      <w:r w:rsidRPr="00021DD2">
        <w:rPr>
          <w:rFonts w:cs="Arial"/>
        </w:rPr>
        <w:tab/>
      </w:r>
    </w:p>
    <w:p w:rsidR="00B34946" w:rsidRPr="00021DD2" w:rsidRDefault="00B34946">
      <w:pPr>
        <w:spacing w:before="0" w:after="0"/>
        <w:rPr>
          <w:rFonts w:cs="Arial"/>
        </w:rPr>
      </w:pPr>
    </w:p>
    <w:p w:rsidR="007871B4" w:rsidRPr="00021DD2" w:rsidRDefault="007871B4" w:rsidP="007871B4">
      <w:pPr>
        <w:spacing w:before="0" w:after="0"/>
        <w:contextualSpacing/>
        <w:rPr>
          <w:rFonts w:cs="Arial"/>
          <w:sz w:val="18"/>
          <w:szCs w:val="18"/>
          <w:lang w:eastAsia="en-US"/>
        </w:rPr>
      </w:pPr>
      <w:bookmarkStart w:id="1" w:name="_Toc207761830"/>
      <w:bookmarkStart w:id="2" w:name="_Toc209578266"/>
      <w:bookmarkStart w:id="3" w:name="_Toc209941766"/>
      <w:r w:rsidRPr="00021DD2">
        <w:rPr>
          <w:rFonts w:cs="Arial"/>
          <w:sz w:val="18"/>
          <w:szCs w:val="18"/>
          <w:lang w:eastAsia="en-US"/>
        </w:rPr>
        <w:t>© Australian Human Rights Commission 2017.</w:t>
      </w:r>
    </w:p>
    <w:p w:rsidR="007871B4" w:rsidRPr="00021DD2" w:rsidRDefault="007871B4" w:rsidP="007871B4">
      <w:pPr>
        <w:spacing w:before="0" w:after="0"/>
        <w:contextualSpacing/>
        <w:rPr>
          <w:rFonts w:cs="Arial"/>
          <w:sz w:val="18"/>
          <w:szCs w:val="18"/>
          <w:lang w:eastAsia="en-US"/>
        </w:rPr>
      </w:pPr>
    </w:p>
    <w:p w:rsidR="007871B4" w:rsidRPr="00021DD2" w:rsidRDefault="007871B4" w:rsidP="007871B4">
      <w:pPr>
        <w:spacing w:before="0" w:after="0"/>
        <w:contextualSpacing/>
        <w:rPr>
          <w:rFonts w:cs="Arial"/>
          <w:sz w:val="18"/>
          <w:szCs w:val="18"/>
          <w:lang w:eastAsia="en-US"/>
        </w:rPr>
      </w:pPr>
      <w:r w:rsidRPr="00021DD2">
        <w:rPr>
          <w:rFonts w:cs="Arial"/>
          <w:sz w:val="18"/>
          <w:szCs w:val="18"/>
          <w:lang w:eastAsia="en-US"/>
        </w:rPr>
        <w:t xml:space="preserve">The Australian Human Rights Commission encourages the dissemination and exchange of information presented in this publication and endorses the use of the </w:t>
      </w:r>
      <w:r w:rsidRPr="0047394A">
        <w:rPr>
          <w:rStyle w:val="Collegamentoipertestuale"/>
          <w:sz w:val="18"/>
          <w:szCs w:val="18"/>
        </w:rPr>
        <w:t>Australian Governments Open Access and Licensing Framework</w:t>
      </w:r>
      <w:r w:rsidRPr="00021DD2">
        <w:rPr>
          <w:rFonts w:cs="Arial"/>
          <w:sz w:val="18"/>
          <w:szCs w:val="18"/>
          <w:u w:val="single"/>
          <w:lang w:eastAsia="en-US"/>
        </w:rPr>
        <w:t xml:space="preserve"> </w:t>
      </w:r>
      <w:r w:rsidRPr="00021DD2">
        <w:rPr>
          <w:rFonts w:cs="Arial"/>
          <w:sz w:val="18"/>
          <w:szCs w:val="18"/>
          <w:lang w:eastAsia="en-US"/>
        </w:rPr>
        <w:t>(AusGOAL).</w:t>
      </w:r>
    </w:p>
    <w:p w:rsidR="007871B4" w:rsidRPr="00021DD2" w:rsidRDefault="007871B4" w:rsidP="007871B4">
      <w:pPr>
        <w:spacing w:before="0" w:after="0"/>
        <w:contextualSpacing/>
        <w:rPr>
          <w:rFonts w:cs="Arial"/>
          <w:sz w:val="18"/>
          <w:szCs w:val="18"/>
          <w:lang w:eastAsia="en-US"/>
        </w:rPr>
      </w:pPr>
    </w:p>
    <w:p w:rsidR="007871B4" w:rsidRPr="00021DD2" w:rsidRDefault="00A70A42" w:rsidP="007871B4">
      <w:pPr>
        <w:spacing w:before="0" w:after="0"/>
        <w:contextualSpacing/>
        <w:rPr>
          <w:rFonts w:eastAsia="Calibri" w:cs="Arial"/>
          <w:color w:val="231F20"/>
          <w:sz w:val="16"/>
          <w:szCs w:val="16"/>
          <w:lang w:eastAsia="en-US"/>
        </w:rPr>
      </w:pPr>
      <w:r w:rsidRPr="00021DD2">
        <w:rPr>
          <w:rFonts w:cs="Arial"/>
          <w:noProof/>
          <w:lang w:val="it-IT" w:eastAsia="it-IT"/>
        </w:rPr>
        <mc:AlternateContent>
          <mc:Choice Requires="wpg">
            <w:drawing>
              <wp:anchor distT="0" distB="0" distL="114300" distR="114300" simplePos="0" relativeHeight="251659264" behindDoc="1" locked="0" layoutInCell="1" allowOverlap="1" wp14:anchorId="1EA6C6FC" wp14:editId="7F2C6FE2">
                <wp:simplePos x="0" y="0"/>
                <wp:positionH relativeFrom="margin">
                  <wp:align>left</wp:align>
                </wp:positionH>
                <wp:positionV relativeFrom="paragraph">
                  <wp:posOffset>13970</wp:posOffset>
                </wp:positionV>
                <wp:extent cx="719455" cy="260350"/>
                <wp:effectExtent l="0" t="0" r="0" b="0"/>
                <wp:wrapNone/>
                <wp:docPr id="2"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260350"/>
                          <a:chOff x="10" y="10"/>
                          <a:chExt cx="1113" cy="390"/>
                        </a:xfrm>
                      </wpg:grpSpPr>
                      <wpg:grpSp>
                        <wpg:cNvPr id="3" name="Group 11"/>
                        <wpg:cNvGrpSpPr>
                          <a:grpSpLocks/>
                        </wpg:cNvGrpSpPr>
                        <wpg:grpSpPr bwMode="auto">
                          <a:xfrm>
                            <a:off x="12" y="15"/>
                            <a:ext cx="1106" cy="378"/>
                            <a:chOff x="12" y="15"/>
                            <a:chExt cx="1106" cy="378"/>
                          </a:xfrm>
                        </wpg:grpSpPr>
                        <wps:wsp>
                          <wps:cNvPr id="4" name="Freeform 43"/>
                          <wps:cNvSpPr>
                            <a:spLocks/>
                          </wps:cNvSpPr>
                          <wps:spPr bwMode="auto">
                            <a:xfrm>
                              <a:off x="12" y="15"/>
                              <a:ext cx="1106" cy="378"/>
                            </a:xfrm>
                            <a:custGeom>
                              <a:avLst/>
                              <a:gdLst>
                                <a:gd name="T0" fmla="+- 0 1730 1703"/>
                                <a:gd name="T1" fmla="*/ T0 w 1106"/>
                                <a:gd name="T2" fmla="+- 0 667 667"/>
                                <a:gd name="T3" fmla="*/ 667 h 378"/>
                                <a:gd name="T4" fmla="+- 0 1705 1703"/>
                                <a:gd name="T5" fmla="*/ T4 w 1106"/>
                                <a:gd name="T6" fmla="+- 0 667 667"/>
                                <a:gd name="T7" fmla="*/ 667 h 378"/>
                                <a:gd name="T8" fmla="+- 0 1703 1703"/>
                                <a:gd name="T9" fmla="*/ T8 w 1106"/>
                                <a:gd name="T10" fmla="+- 0 681 667"/>
                                <a:gd name="T11" fmla="*/ 681 h 378"/>
                                <a:gd name="T12" fmla="+- 0 1703 1703"/>
                                <a:gd name="T13" fmla="*/ T12 w 1106"/>
                                <a:gd name="T14" fmla="+- 0 1044 667"/>
                                <a:gd name="T15" fmla="*/ 1044 h 378"/>
                                <a:gd name="T16" fmla="+- 0 2807 1703"/>
                                <a:gd name="T17" fmla="*/ T16 w 1106"/>
                                <a:gd name="T18" fmla="+- 0 1044 667"/>
                                <a:gd name="T19" fmla="*/ 1044 h 378"/>
                                <a:gd name="T20" fmla="+- 0 2808 1703"/>
                                <a:gd name="T21" fmla="*/ T20 w 1106"/>
                                <a:gd name="T22" fmla="+- 0 691 667"/>
                                <a:gd name="T23" fmla="*/ 691 h 378"/>
                                <a:gd name="T24" fmla="+- 0 2799 1703"/>
                                <a:gd name="T25" fmla="*/ T24 w 1106"/>
                                <a:gd name="T26" fmla="+- 0 671 667"/>
                                <a:gd name="T27" fmla="*/ 671 h 378"/>
                                <a:gd name="T28" fmla="+- 0 2781 1703"/>
                                <a:gd name="T29" fmla="*/ T28 w 1106"/>
                                <a:gd name="T30" fmla="+- 0 669 667"/>
                                <a:gd name="T31" fmla="*/ 669 h 378"/>
                                <a:gd name="T32" fmla="+- 0 1730 1703"/>
                                <a:gd name="T33" fmla="*/ T32 w 1106"/>
                                <a:gd name="T34" fmla="+- 0 667 667"/>
                                <a:gd name="T35" fmla="*/ 667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6" h="378">
                                  <a:moveTo>
                                    <a:pt x="27" y="0"/>
                                  </a:moveTo>
                                  <a:lnTo>
                                    <a:pt x="2" y="0"/>
                                  </a:lnTo>
                                  <a:lnTo>
                                    <a:pt x="0" y="14"/>
                                  </a:lnTo>
                                  <a:lnTo>
                                    <a:pt x="0" y="377"/>
                                  </a:lnTo>
                                  <a:lnTo>
                                    <a:pt x="1104" y="377"/>
                                  </a:lnTo>
                                  <a:lnTo>
                                    <a:pt x="1105" y="24"/>
                                  </a:lnTo>
                                  <a:lnTo>
                                    <a:pt x="1096" y="4"/>
                                  </a:lnTo>
                                  <a:lnTo>
                                    <a:pt x="1078" y="2"/>
                                  </a:lnTo>
                                  <a:lnTo>
                                    <a:pt x="27" y="0"/>
                                  </a:lnTo>
                                  <a:close/>
                                </a:path>
                              </a:pathLst>
                            </a:custGeom>
                            <a:solidFill>
                              <a:srgbClr val="AAB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12"/>
                        <wpg:cNvGrpSpPr>
                          <a:grpSpLocks/>
                        </wpg:cNvGrpSpPr>
                        <wpg:grpSpPr bwMode="auto">
                          <a:xfrm>
                            <a:off x="10" y="10"/>
                            <a:ext cx="1113" cy="390"/>
                            <a:chOff x="10" y="10"/>
                            <a:chExt cx="1113" cy="390"/>
                          </a:xfrm>
                        </wpg:grpSpPr>
                        <wps:wsp>
                          <wps:cNvPr id="6" name="Freeform 41"/>
                          <wps:cNvSpPr>
                            <a:spLocks/>
                          </wps:cNvSpPr>
                          <wps:spPr bwMode="auto">
                            <a:xfrm>
                              <a:off x="10" y="10"/>
                              <a:ext cx="1113" cy="390"/>
                            </a:xfrm>
                            <a:custGeom>
                              <a:avLst/>
                              <a:gdLst>
                                <a:gd name="T0" fmla="+- 0 2804 1701"/>
                                <a:gd name="T1" fmla="*/ T0 w 1113"/>
                                <a:gd name="T2" fmla="+- 0 662 662"/>
                                <a:gd name="T3" fmla="*/ 662 h 390"/>
                                <a:gd name="T4" fmla="+- 0 1710 1701"/>
                                <a:gd name="T5" fmla="*/ T4 w 1113"/>
                                <a:gd name="T6" fmla="+- 0 662 662"/>
                                <a:gd name="T7" fmla="*/ 662 h 390"/>
                                <a:gd name="T8" fmla="+- 0 1701 1701"/>
                                <a:gd name="T9" fmla="*/ T8 w 1113"/>
                                <a:gd name="T10" fmla="+- 0 671 662"/>
                                <a:gd name="T11" fmla="*/ 671 h 390"/>
                                <a:gd name="T12" fmla="+- 0 1701 1701"/>
                                <a:gd name="T13" fmla="*/ T12 w 1113"/>
                                <a:gd name="T14" fmla="+- 0 1049 662"/>
                                <a:gd name="T15" fmla="*/ 1049 h 390"/>
                                <a:gd name="T16" fmla="+- 0 1703 1701"/>
                                <a:gd name="T17" fmla="*/ T16 w 1113"/>
                                <a:gd name="T18" fmla="+- 0 1052 662"/>
                                <a:gd name="T19" fmla="*/ 1052 h 390"/>
                                <a:gd name="T20" fmla="+- 0 2811 1701"/>
                                <a:gd name="T21" fmla="*/ T20 w 1113"/>
                                <a:gd name="T22" fmla="+- 0 1052 662"/>
                                <a:gd name="T23" fmla="*/ 1052 h 390"/>
                                <a:gd name="T24" fmla="+- 0 2813 1701"/>
                                <a:gd name="T25" fmla="*/ T24 w 1113"/>
                                <a:gd name="T26" fmla="+- 0 1049 662"/>
                                <a:gd name="T27" fmla="*/ 1049 h 390"/>
                                <a:gd name="T28" fmla="+- 0 2813 1701"/>
                                <a:gd name="T29" fmla="*/ T28 w 1113"/>
                                <a:gd name="T30" fmla="+- 0 1021 662"/>
                                <a:gd name="T31" fmla="*/ 1021 h 390"/>
                                <a:gd name="T32" fmla="+- 0 1900 1701"/>
                                <a:gd name="T33" fmla="*/ T32 w 1113"/>
                                <a:gd name="T34" fmla="+- 0 1021 662"/>
                                <a:gd name="T35" fmla="*/ 1021 h 390"/>
                                <a:gd name="T36" fmla="+- 0 1877 1701"/>
                                <a:gd name="T37" fmla="*/ T36 w 1113"/>
                                <a:gd name="T38" fmla="+- 0 1020 662"/>
                                <a:gd name="T39" fmla="*/ 1020 h 390"/>
                                <a:gd name="T40" fmla="+- 0 1815 1701"/>
                                <a:gd name="T41" fmla="*/ T40 w 1113"/>
                                <a:gd name="T42" fmla="+- 0 1001 662"/>
                                <a:gd name="T43" fmla="*/ 1001 h 390"/>
                                <a:gd name="T44" fmla="+- 0 1767 1701"/>
                                <a:gd name="T45" fmla="*/ T44 w 1113"/>
                                <a:gd name="T46" fmla="+- 0 964 662"/>
                                <a:gd name="T47" fmla="*/ 964 h 390"/>
                                <a:gd name="T48" fmla="+- 0 1755 1701"/>
                                <a:gd name="T49" fmla="*/ T48 w 1113"/>
                                <a:gd name="T50" fmla="+- 0 948 662"/>
                                <a:gd name="T51" fmla="*/ 948 h 390"/>
                                <a:gd name="T52" fmla="+- 0 1710 1701"/>
                                <a:gd name="T53" fmla="*/ T52 w 1113"/>
                                <a:gd name="T54" fmla="+- 0 936 662"/>
                                <a:gd name="T55" fmla="*/ 936 h 390"/>
                                <a:gd name="T56" fmla="+- 0 1710 1701"/>
                                <a:gd name="T57" fmla="*/ T56 w 1113"/>
                                <a:gd name="T58" fmla="+- 0 677 662"/>
                                <a:gd name="T59" fmla="*/ 677 h 390"/>
                                <a:gd name="T60" fmla="+- 0 1715 1701"/>
                                <a:gd name="T61" fmla="*/ T60 w 1113"/>
                                <a:gd name="T62" fmla="+- 0 672 662"/>
                                <a:gd name="T63" fmla="*/ 672 h 390"/>
                                <a:gd name="T64" fmla="+- 0 2813 1701"/>
                                <a:gd name="T65" fmla="*/ T64 w 1113"/>
                                <a:gd name="T66" fmla="+- 0 672 662"/>
                                <a:gd name="T67" fmla="*/ 672 h 390"/>
                                <a:gd name="T68" fmla="+- 0 2804 1701"/>
                                <a:gd name="T69" fmla="*/ T68 w 1113"/>
                                <a:gd name="T70" fmla="+- 0 662 662"/>
                                <a:gd name="T71" fmla="*/ 662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13" h="390">
                                  <a:moveTo>
                                    <a:pt x="1103" y="0"/>
                                  </a:moveTo>
                                  <a:lnTo>
                                    <a:pt x="9" y="0"/>
                                  </a:lnTo>
                                  <a:lnTo>
                                    <a:pt x="0" y="9"/>
                                  </a:lnTo>
                                  <a:lnTo>
                                    <a:pt x="0" y="387"/>
                                  </a:lnTo>
                                  <a:lnTo>
                                    <a:pt x="2" y="390"/>
                                  </a:lnTo>
                                  <a:lnTo>
                                    <a:pt x="1110" y="390"/>
                                  </a:lnTo>
                                  <a:lnTo>
                                    <a:pt x="1112" y="387"/>
                                  </a:lnTo>
                                  <a:lnTo>
                                    <a:pt x="1112" y="359"/>
                                  </a:lnTo>
                                  <a:lnTo>
                                    <a:pt x="199" y="359"/>
                                  </a:lnTo>
                                  <a:lnTo>
                                    <a:pt x="176" y="358"/>
                                  </a:lnTo>
                                  <a:lnTo>
                                    <a:pt x="114" y="339"/>
                                  </a:lnTo>
                                  <a:lnTo>
                                    <a:pt x="66" y="302"/>
                                  </a:lnTo>
                                  <a:lnTo>
                                    <a:pt x="54" y="286"/>
                                  </a:lnTo>
                                  <a:lnTo>
                                    <a:pt x="9" y="274"/>
                                  </a:lnTo>
                                  <a:lnTo>
                                    <a:pt x="9" y="15"/>
                                  </a:lnTo>
                                  <a:lnTo>
                                    <a:pt x="14" y="10"/>
                                  </a:lnTo>
                                  <a:lnTo>
                                    <a:pt x="1112" y="10"/>
                                  </a:lnTo>
                                  <a:lnTo>
                                    <a:pt x="110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42"/>
                          <wps:cNvSpPr>
                            <a:spLocks/>
                          </wps:cNvSpPr>
                          <wps:spPr bwMode="auto">
                            <a:xfrm>
                              <a:off x="10" y="10"/>
                              <a:ext cx="1113" cy="390"/>
                            </a:xfrm>
                            <a:custGeom>
                              <a:avLst/>
                              <a:gdLst>
                                <a:gd name="T0" fmla="+- 0 2813 1701"/>
                                <a:gd name="T1" fmla="*/ T0 w 1113"/>
                                <a:gd name="T2" fmla="+- 0 672 662"/>
                                <a:gd name="T3" fmla="*/ 672 h 390"/>
                                <a:gd name="T4" fmla="+- 0 2799 1701"/>
                                <a:gd name="T5" fmla="*/ T4 w 1113"/>
                                <a:gd name="T6" fmla="+- 0 672 662"/>
                                <a:gd name="T7" fmla="*/ 672 h 390"/>
                                <a:gd name="T8" fmla="+- 0 2804 1701"/>
                                <a:gd name="T9" fmla="*/ T8 w 1113"/>
                                <a:gd name="T10" fmla="+- 0 677 662"/>
                                <a:gd name="T11" fmla="*/ 677 h 390"/>
                                <a:gd name="T12" fmla="+- 0 2804 1701"/>
                                <a:gd name="T13" fmla="*/ T12 w 1113"/>
                                <a:gd name="T14" fmla="+- 0 936 662"/>
                                <a:gd name="T15" fmla="*/ 936 h 390"/>
                                <a:gd name="T16" fmla="+- 0 2036 1701"/>
                                <a:gd name="T17" fmla="*/ T16 w 1113"/>
                                <a:gd name="T18" fmla="+- 0 936 662"/>
                                <a:gd name="T19" fmla="*/ 936 h 390"/>
                                <a:gd name="T20" fmla="+- 0 2025 1701"/>
                                <a:gd name="T21" fmla="*/ T20 w 1113"/>
                                <a:gd name="T22" fmla="+- 0 953 662"/>
                                <a:gd name="T23" fmla="*/ 953 h 390"/>
                                <a:gd name="T24" fmla="+- 0 2012 1701"/>
                                <a:gd name="T25" fmla="*/ T24 w 1113"/>
                                <a:gd name="T26" fmla="+- 0 969 662"/>
                                <a:gd name="T27" fmla="*/ 969 h 390"/>
                                <a:gd name="T28" fmla="+- 0 1962 1701"/>
                                <a:gd name="T29" fmla="*/ T28 w 1113"/>
                                <a:gd name="T30" fmla="+- 0 1005 662"/>
                                <a:gd name="T31" fmla="*/ 1005 h 390"/>
                                <a:gd name="T32" fmla="+- 0 1900 1701"/>
                                <a:gd name="T33" fmla="*/ T32 w 1113"/>
                                <a:gd name="T34" fmla="+- 0 1021 662"/>
                                <a:gd name="T35" fmla="*/ 1021 h 390"/>
                                <a:gd name="T36" fmla="+- 0 2813 1701"/>
                                <a:gd name="T37" fmla="*/ T36 w 1113"/>
                                <a:gd name="T38" fmla="+- 0 1021 662"/>
                                <a:gd name="T39" fmla="*/ 1021 h 390"/>
                                <a:gd name="T40" fmla="+- 0 2813 1701"/>
                                <a:gd name="T41" fmla="*/ T40 w 1113"/>
                                <a:gd name="T42" fmla="+- 0 672 662"/>
                                <a:gd name="T43" fmla="*/ 672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3" h="390">
                                  <a:moveTo>
                                    <a:pt x="1112" y="10"/>
                                  </a:moveTo>
                                  <a:lnTo>
                                    <a:pt x="1098" y="10"/>
                                  </a:lnTo>
                                  <a:lnTo>
                                    <a:pt x="1103" y="15"/>
                                  </a:lnTo>
                                  <a:lnTo>
                                    <a:pt x="1103" y="274"/>
                                  </a:lnTo>
                                  <a:lnTo>
                                    <a:pt x="335" y="274"/>
                                  </a:lnTo>
                                  <a:lnTo>
                                    <a:pt x="324" y="291"/>
                                  </a:lnTo>
                                  <a:lnTo>
                                    <a:pt x="311" y="307"/>
                                  </a:lnTo>
                                  <a:lnTo>
                                    <a:pt x="261" y="343"/>
                                  </a:lnTo>
                                  <a:lnTo>
                                    <a:pt x="199" y="359"/>
                                  </a:lnTo>
                                  <a:lnTo>
                                    <a:pt x="1112" y="359"/>
                                  </a:lnTo>
                                  <a:lnTo>
                                    <a:pt x="1112" y="1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13"/>
                        <wpg:cNvGrpSpPr>
                          <a:grpSpLocks/>
                        </wpg:cNvGrpSpPr>
                        <wpg:grpSpPr bwMode="auto">
                          <a:xfrm>
                            <a:off x="665" y="314"/>
                            <a:ext cx="52" cy="62"/>
                            <a:chOff x="665" y="314"/>
                            <a:chExt cx="52" cy="62"/>
                          </a:xfrm>
                        </wpg:grpSpPr>
                        <wps:wsp>
                          <wps:cNvPr id="10" name="Freeform 38"/>
                          <wps:cNvSpPr>
                            <a:spLocks/>
                          </wps:cNvSpPr>
                          <wps:spPr bwMode="auto">
                            <a:xfrm>
                              <a:off x="665" y="314"/>
                              <a:ext cx="52" cy="62"/>
                            </a:xfrm>
                            <a:custGeom>
                              <a:avLst/>
                              <a:gdLst>
                                <a:gd name="T0" fmla="+- 0 2388 2356"/>
                                <a:gd name="T1" fmla="*/ T0 w 52"/>
                                <a:gd name="T2" fmla="+- 0 966 966"/>
                                <a:gd name="T3" fmla="*/ 966 h 62"/>
                                <a:gd name="T4" fmla="+- 0 2356 2356"/>
                                <a:gd name="T5" fmla="*/ T4 w 52"/>
                                <a:gd name="T6" fmla="+- 0 966 966"/>
                                <a:gd name="T7" fmla="*/ 966 h 62"/>
                                <a:gd name="T8" fmla="+- 0 2356 2356"/>
                                <a:gd name="T9" fmla="*/ T8 w 52"/>
                                <a:gd name="T10" fmla="+- 0 1027 966"/>
                                <a:gd name="T11" fmla="*/ 1027 h 62"/>
                                <a:gd name="T12" fmla="+- 0 2389 2356"/>
                                <a:gd name="T13" fmla="*/ T12 w 52"/>
                                <a:gd name="T14" fmla="+- 0 1027 966"/>
                                <a:gd name="T15" fmla="*/ 1027 h 62"/>
                                <a:gd name="T16" fmla="+- 0 2391 2356"/>
                                <a:gd name="T17" fmla="*/ T16 w 52"/>
                                <a:gd name="T18" fmla="+- 0 1027 966"/>
                                <a:gd name="T19" fmla="*/ 1027 h 62"/>
                                <a:gd name="T20" fmla="+- 0 2406 2356"/>
                                <a:gd name="T21" fmla="*/ T20 w 52"/>
                                <a:gd name="T22" fmla="+- 0 1017 966"/>
                                <a:gd name="T23" fmla="*/ 1017 h 62"/>
                                <a:gd name="T24" fmla="+- 0 2370 2356"/>
                                <a:gd name="T25" fmla="*/ T24 w 52"/>
                                <a:gd name="T26" fmla="+- 0 1017 966"/>
                                <a:gd name="T27" fmla="*/ 1017 h 62"/>
                                <a:gd name="T28" fmla="+- 0 2370 2356"/>
                                <a:gd name="T29" fmla="*/ T28 w 52"/>
                                <a:gd name="T30" fmla="+- 0 1000 966"/>
                                <a:gd name="T31" fmla="*/ 1000 h 62"/>
                                <a:gd name="T32" fmla="+- 0 2405 2356"/>
                                <a:gd name="T33" fmla="*/ T32 w 52"/>
                                <a:gd name="T34" fmla="+- 0 1000 966"/>
                                <a:gd name="T35" fmla="*/ 1000 h 62"/>
                                <a:gd name="T36" fmla="+- 0 2403 2356"/>
                                <a:gd name="T37" fmla="*/ T36 w 52"/>
                                <a:gd name="T38" fmla="+- 0 997 966"/>
                                <a:gd name="T39" fmla="*/ 997 h 62"/>
                                <a:gd name="T40" fmla="+- 0 2400 2356"/>
                                <a:gd name="T41" fmla="*/ T40 w 52"/>
                                <a:gd name="T42" fmla="+- 0 995 966"/>
                                <a:gd name="T43" fmla="*/ 995 h 62"/>
                                <a:gd name="T44" fmla="+- 0 2396 2356"/>
                                <a:gd name="T45" fmla="*/ T44 w 52"/>
                                <a:gd name="T46" fmla="+- 0 994 966"/>
                                <a:gd name="T47" fmla="*/ 994 h 62"/>
                                <a:gd name="T48" fmla="+- 0 2399 2356"/>
                                <a:gd name="T49" fmla="*/ T48 w 52"/>
                                <a:gd name="T50" fmla="+- 0 992 966"/>
                                <a:gd name="T51" fmla="*/ 992 h 62"/>
                                <a:gd name="T52" fmla="+- 0 2401 2356"/>
                                <a:gd name="T53" fmla="*/ T52 w 52"/>
                                <a:gd name="T54" fmla="+- 0 991 966"/>
                                <a:gd name="T55" fmla="*/ 991 h 62"/>
                                <a:gd name="T56" fmla="+- 0 2370 2356"/>
                                <a:gd name="T57" fmla="*/ T56 w 52"/>
                                <a:gd name="T58" fmla="+- 0 991 966"/>
                                <a:gd name="T59" fmla="*/ 991 h 62"/>
                                <a:gd name="T60" fmla="+- 0 2370 2356"/>
                                <a:gd name="T61" fmla="*/ T60 w 52"/>
                                <a:gd name="T62" fmla="+- 0 976 966"/>
                                <a:gd name="T63" fmla="*/ 976 h 62"/>
                                <a:gd name="T64" fmla="+- 0 2404 2356"/>
                                <a:gd name="T65" fmla="*/ T64 w 52"/>
                                <a:gd name="T66" fmla="+- 0 976 966"/>
                                <a:gd name="T67" fmla="*/ 976 h 62"/>
                                <a:gd name="T68" fmla="+- 0 2404 2356"/>
                                <a:gd name="T69" fmla="*/ T68 w 52"/>
                                <a:gd name="T70" fmla="+- 0 976 966"/>
                                <a:gd name="T71" fmla="*/ 976 h 62"/>
                                <a:gd name="T72" fmla="+- 0 2391 2356"/>
                                <a:gd name="T73" fmla="*/ T72 w 52"/>
                                <a:gd name="T74" fmla="+- 0 966 966"/>
                                <a:gd name="T75" fmla="*/ 966 h 62"/>
                                <a:gd name="T76" fmla="+- 0 2388 2356"/>
                                <a:gd name="T77" fmla="*/ T76 w 52"/>
                                <a:gd name="T78" fmla="+- 0 966 966"/>
                                <a:gd name="T79" fmla="*/ 96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62">
                                  <a:moveTo>
                                    <a:pt x="32" y="0"/>
                                  </a:moveTo>
                                  <a:lnTo>
                                    <a:pt x="0" y="0"/>
                                  </a:lnTo>
                                  <a:lnTo>
                                    <a:pt x="0" y="61"/>
                                  </a:lnTo>
                                  <a:lnTo>
                                    <a:pt x="33" y="61"/>
                                  </a:lnTo>
                                  <a:lnTo>
                                    <a:pt x="35" y="61"/>
                                  </a:lnTo>
                                  <a:lnTo>
                                    <a:pt x="50" y="51"/>
                                  </a:lnTo>
                                  <a:lnTo>
                                    <a:pt x="14" y="51"/>
                                  </a:lnTo>
                                  <a:lnTo>
                                    <a:pt x="14" y="34"/>
                                  </a:lnTo>
                                  <a:lnTo>
                                    <a:pt x="49" y="34"/>
                                  </a:lnTo>
                                  <a:lnTo>
                                    <a:pt x="47" y="31"/>
                                  </a:lnTo>
                                  <a:lnTo>
                                    <a:pt x="44" y="29"/>
                                  </a:lnTo>
                                  <a:lnTo>
                                    <a:pt x="40" y="28"/>
                                  </a:lnTo>
                                  <a:lnTo>
                                    <a:pt x="43" y="26"/>
                                  </a:lnTo>
                                  <a:lnTo>
                                    <a:pt x="45" y="25"/>
                                  </a:lnTo>
                                  <a:lnTo>
                                    <a:pt x="14" y="25"/>
                                  </a:lnTo>
                                  <a:lnTo>
                                    <a:pt x="14" y="10"/>
                                  </a:lnTo>
                                  <a:lnTo>
                                    <a:pt x="48" y="10"/>
                                  </a:lnTo>
                                  <a:lnTo>
                                    <a:pt x="35" y="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39"/>
                          <wps:cNvSpPr>
                            <a:spLocks/>
                          </wps:cNvSpPr>
                          <wps:spPr bwMode="auto">
                            <a:xfrm>
                              <a:off x="665" y="314"/>
                              <a:ext cx="52" cy="62"/>
                            </a:xfrm>
                            <a:custGeom>
                              <a:avLst/>
                              <a:gdLst>
                                <a:gd name="T0" fmla="+- 0 2405 2356"/>
                                <a:gd name="T1" fmla="*/ T0 w 52"/>
                                <a:gd name="T2" fmla="+- 0 1000 966"/>
                                <a:gd name="T3" fmla="*/ 1000 h 62"/>
                                <a:gd name="T4" fmla="+- 0 2387 2356"/>
                                <a:gd name="T5" fmla="*/ T4 w 52"/>
                                <a:gd name="T6" fmla="+- 0 1000 966"/>
                                <a:gd name="T7" fmla="*/ 1000 h 62"/>
                                <a:gd name="T8" fmla="+- 0 2390 2356"/>
                                <a:gd name="T9" fmla="*/ T8 w 52"/>
                                <a:gd name="T10" fmla="+- 0 1001 966"/>
                                <a:gd name="T11" fmla="*/ 1001 h 62"/>
                                <a:gd name="T12" fmla="+- 0 2393 2356"/>
                                <a:gd name="T13" fmla="*/ T12 w 52"/>
                                <a:gd name="T14" fmla="+- 0 1003 966"/>
                                <a:gd name="T15" fmla="*/ 1003 h 62"/>
                                <a:gd name="T16" fmla="+- 0 2394 2356"/>
                                <a:gd name="T17" fmla="*/ T16 w 52"/>
                                <a:gd name="T18" fmla="+- 0 1005 966"/>
                                <a:gd name="T19" fmla="*/ 1005 h 62"/>
                                <a:gd name="T20" fmla="+- 0 2394 2356"/>
                                <a:gd name="T21" fmla="*/ T20 w 52"/>
                                <a:gd name="T22" fmla="+- 0 1010 966"/>
                                <a:gd name="T23" fmla="*/ 1010 h 62"/>
                                <a:gd name="T24" fmla="+- 0 2384 2356"/>
                                <a:gd name="T25" fmla="*/ T24 w 52"/>
                                <a:gd name="T26" fmla="+- 0 1017 966"/>
                                <a:gd name="T27" fmla="*/ 1017 h 62"/>
                                <a:gd name="T28" fmla="+- 0 2406 2356"/>
                                <a:gd name="T29" fmla="*/ T28 w 52"/>
                                <a:gd name="T30" fmla="+- 0 1017 966"/>
                                <a:gd name="T31" fmla="*/ 1017 h 62"/>
                                <a:gd name="T32" fmla="+- 0 2407 2356"/>
                                <a:gd name="T33" fmla="*/ T32 w 52"/>
                                <a:gd name="T34" fmla="+- 0 1015 966"/>
                                <a:gd name="T35" fmla="*/ 1015 h 62"/>
                                <a:gd name="T36" fmla="+- 0 2408 2356"/>
                                <a:gd name="T37" fmla="*/ T36 w 52"/>
                                <a:gd name="T38" fmla="+- 0 1012 966"/>
                                <a:gd name="T39" fmla="*/ 1012 h 62"/>
                                <a:gd name="T40" fmla="+- 0 2408 2356"/>
                                <a:gd name="T41" fmla="*/ T40 w 52"/>
                                <a:gd name="T42" fmla="+- 0 1005 966"/>
                                <a:gd name="T43" fmla="*/ 1005 h 62"/>
                                <a:gd name="T44" fmla="+- 0 2407 2356"/>
                                <a:gd name="T45" fmla="*/ T44 w 52"/>
                                <a:gd name="T46" fmla="+- 0 1002 966"/>
                                <a:gd name="T47" fmla="*/ 1002 h 62"/>
                                <a:gd name="T48" fmla="+- 0 2405 2356"/>
                                <a:gd name="T49" fmla="*/ T48 w 52"/>
                                <a:gd name="T50" fmla="+- 0 1000 966"/>
                                <a:gd name="T51" fmla="*/ 10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62">
                                  <a:moveTo>
                                    <a:pt x="49" y="34"/>
                                  </a:moveTo>
                                  <a:lnTo>
                                    <a:pt x="31" y="34"/>
                                  </a:lnTo>
                                  <a:lnTo>
                                    <a:pt x="34" y="35"/>
                                  </a:lnTo>
                                  <a:lnTo>
                                    <a:pt x="37" y="37"/>
                                  </a:lnTo>
                                  <a:lnTo>
                                    <a:pt x="38" y="39"/>
                                  </a:lnTo>
                                  <a:lnTo>
                                    <a:pt x="38" y="44"/>
                                  </a:lnTo>
                                  <a:lnTo>
                                    <a:pt x="28" y="51"/>
                                  </a:lnTo>
                                  <a:lnTo>
                                    <a:pt x="50" y="51"/>
                                  </a:lnTo>
                                  <a:lnTo>
                                    <a:pt x="51" y="49"/>
                                  </a:lnTo>
                                  <a:lnTo>
                                    <a:pt x="52" y="46"/>
                                  </a:lnTo>
                                  <a:lnTo>
                                    <a:pt x="52" y="39"/>
                                  </a:lnTo>
                                  <a:lnTo>
                                    <a:pt x="51" y="36"/>
                                  </a:lnTo>
                                  <a:lnTo>
                                    <a:pt x="4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40"/>
                          <wps:cNvSpPr>
                            <a:spLocks/>
                          </wps:cNvSpPr>
                          <wps:spPr bwMode="auto">
                            <a:xfrm>
                              <a:off x="665" y="314"/>
                              <a:ext cx="52" cy="62"/>
                            </a:xfrm>
                            <a:custGeom>
                              <a:avLst/>
                              <a:gdLst>
                                <a:gd name="T0" fmla="+- 0 2404 2356"/>
                                <a:gd name="T1" fmla="*/ T0 w 52"/>
                                <a:gd name="T2" fmla="+- 0 976 966"/>
                                <a:gd name="T3" fmla="*/ 976 h 62"/>
                                <a:gd name="T4" fmla="+- 0 2370 2356"/>
                                <a:gd name="T5" fmla="*/ T4 w 52"/>
                                <a:gd name="T6" fmla="+- 0 976 966"/>
                                <a:gd name="T7" fmla="*/ 976 h 62"/>
                                <a:gd name="T8" fmla="+- 0 2385 2356"/>
                                <a:gd name="T9" fmla="*/ T8 w 52"/>
                                <a:gd name="T10" fmla="+- 0 976 966"/>
                                <a:gd name="T11" fmla="*/ 976 h 62"/>
                                <a:gd name="T12" fmla="+- 0 2387 2356"/>
                                <a:gd name="T13" fmla="*/ T12 w 52"/>
                                <a:gd name="T14" fmla="+- 0 977 966"/>
                                <a:gd name="T15" fmla="*/ 977 h 62"/>
                                <a:gd name="T16" fmla="+- 0 2392 2356"/>
                                <a:gd name="T17" fmla="*/ T16 w 52"/>
                                <a:gd name="T18" fmla="+- 0 982 966"/>
                                <a:gd name="T19" fmla="*/ 982 h 62"/>
                                <a:gd name="T20" fmla="+- 0 2392 2356"/>
                                <a:gd name="T21" fmla="*/ T20 w 52"/>
                                <a:gd name="T22" fmla="+- 0 986 966"/>
                                <a:gd name="T23" fmla="*/ 986 h 62"/>
                                <a:gd name="T24" fmla="+- 0 2391 2356"/>
                                <a:gd name="T25" fmla="*/ T24 w 52"/>
                                <a:gd name="T26" fmla="+- 0 988 966"/>
                                <a:gd name="T27" fmla="*/ 988 h 62"/>
                                <a:gd name="T28" fmla="+- 0 2388 2356"/>
                                <a:gd name="T29" fmla="*/ T28 w 52"/>
                                <a:gd name="T30" fmla="+- 0 990 966"/>
                                <a:gd name="T31" fmla="*/ 990 h 62"/>
                                <a:gd name="T32" fmla="+- 0 2386 2356"/>
                                <a:gd name="T33" fmla="*/ T32 w 52"/>
                                <a:gd name="T34" fmla="+- 0 991 966"/>
                                <a:gd name="T35" fmla="*/ 991 h 62"/>
                                <a:gd name="T36" fmla="+- 0 2401 2356"/>
                                <a:gd name="T37" fmla="*/ T36 w 52"/>
                                <a:gd name="T38" fmla="+- 0 991 966"/>
                                <a:gd name="T39" fmla="*/ 991 h 62"/>
                                <a:gd name="T40" fmla="+- 0 2404 2356"/>
                                <a:gd name="T41" fmla="*/ T40 w 52"/>
                                <a:gd name="T42" fmla="+- 0 987 966"/>
                                <a:gd name="T43" fmla="*/ 987 h 62"/>
                                <a:gd name="T44" fmla="+- 0 2405 2356"/>
                                <a:gd name="T45" fmla="*/ T44 w 52"/>
                                <a:gd name="T46" fmla="+- 0 984 966"/>
                                <a:gd name="T47" fmla="*/ 984 h 62"/>
                                <a:gd name="T48" fmla="+- 0 2405 2356"/>
                                <a:gd name="T49" fmla="*/ T48 w 52"/>
                                <a:gd name="T50" fmla="+- 0 977 966"/>
                                <a:gd name="T51" fmla="*/ 977 h 62"/>
                                <a:gd name="T52" fmla="+- 0 2404 2356"/>
                                <a:gd name="T53" fmla="*/ T52 w 52"/>
                                <a:gd name="T54" fmla="+- 0 976 966"/>
                                <a:gd name="T55" fmla="*/ 97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62">
                                  <a:moveTo>
                                    <a:pt x="48" y="10"/>
                                  </a:moveTo>
                                  <a:lnTo>
                                    <a:pt x="14" y="10"/>
                                  </a:lnTo>
                                  <a:lnTo>
                                    <a:pt x="29" y="10"/>
                                  </a:lnTo>
                                  <a:lnTo>
                                    <a:pt x="31" y="11"/>
                                  </a:lnTo>
                                  <a:lnTo>
                                    <a:pt x="36" y="16"/>
                                  </a:lnTo>
                                  <a:lnTo>
                                    <a:pt x="36" y="20"/>
                                  </a:lnTo>
                                  <a:lnTo>
                                    <a:pt x="35" y="22"/>
                                  </a:lnTo>
                                  <a:lnTo>
                                    <a:pt x="32" y="24"/>
                                  </a:lnTo>
                                  <a:lnTo>
                                    <a:pt x="30" y="25"/>
                                  </a:lnTo>
                                  <a:lnTo>
                                    <a:pt x="45" y="25"/>
                                  </a:lnTo>
                                  <a:lnTo>
                                    <a:pt x="48" y="21"/>
                                  </a:lnTo>
                                  <a:lnTo>
                                    <a:pt x="49" y="18"/>
                                  </a:lnTo>
                                  <a:lnTo>
                                    <a:pt x="49" y="11"/>
                                  </a:lnTo>
                                  <a:lnTo>
                                    <a:pt x="48"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14"/>
                        <wpg:cNvGrpSpPr>
                          <a:grpSpLocks/>
                        </wpg:cNvGrpSpPr>
                        <wpg:grpSpPr bwMode="auto">
                          <a:xfrm>
                            <a:off x="719" y="314"/>
                            <a:ext cx="59" cy="62"/>
                            <a:chOff x="719" y="314"/>
                            <a:chExt cx="59" cy="62"/>
                          </a:xfrm>
                        </wpg:grpSpPr>
                        <wps:wsp>
                          <wps:cNvPr id="707" name="Freeform 36"/>
                          <wps:cNvSpPr>
                            <a:spLocks/>
                          </wps:cNvSpPr>
                          <wps:spPr bwMode="auto">
                            <a:xfrm>
                              <a:off x="719" y="314"/>
                              <a:ext cx="59" cy="62"/>
                            </a:xfrm>
                            <a:custGeom>
                              <a:avLst/>
                              <a:gdLst>
                                <a:gd name="T0" fmla="+- 0 2425 2410"/>
                                <a:gd name="T1" fmla="*/ T0 w 59"/>
                                <a:gd name="T2" fmla="+- 0 966 966"/>
                                <a:gd name="T3" fmla="*/ 966 h 62"/>
                                <a:gd name="T4" fmla="+- 0 2410 2410"/>
                                <a:gd name="T5" fmla="*/ T4 w 59"/>
                                <a:gd name="T6" fmla="+- 0 966 966"/>
                                <a:gd name="T7" fmla="*/ 966 h 62"/>
                                <a:gd name="T8" fmla="+- 0 2433 2410"/>
                                <a:gd name="T9" fmla="*/ T8 w 59"/>
                                <a:gd name="T10" fmla="+- 0 1003 966"/>
                                <a:gd name="T11" fmla="*/ 1003 h 62"/>
                                <a:gd name="T12" fmla="+- 0 2433 2410"/>
                                <a:gd name="T13" fmla="*/ T12 w 59"/>
                                <a:gd name="T14" fmla="+- 0 1027 966"/>
                                <a:gd name="T15" fmla="*/ 1027 h 62"/>
                                <a:gd name="T16" fmla="+- 0 2446 2410"/>
                                <a:gd name="T17" fmla="*/ T16 w 59"/>
                                <a:gd name="T18" fmla="+- 0 1027 966"/>
                                <a:gd name="T19" fmla="*/ 1027 h 62"/>
                                <a:gd name="T20" fmla="+- 0 2446 2410"/>
                                <a:gd name="T21" fmla="*/ T20 w 59"/>
                                <a:gd name="T22" fmla="+- 0 1004 966"/>
                                <a:gd name="T23" fmla="*/ 1004 h 62"/>
                                <a:gd name="T24" fmla="+- 0 2454 2410"/>
                                <a:gd name="T25" fmla="*/ T24 w 59"/>
                                <a:gd name="T26" fmla="+- 0 990 966"/>
                                <a:gd name="T27" fmla="*/ 990 h 62"/>
                                <a:gd name="T28" fmla="+- 0 2440 2410"/>
                                <a:gd name="T29" fmla="*/ T28 w 59"/>
                                <a:gd name="T30" fmla="+- 0 990 966"/>
                                <a:gd name="T31" fmla="*/ 990 h 62"/>
                                <a:gd name="T32" fmla="+- 0 2425 2410"/>
                                <a:gd name="T33" fmla="*/ T32 w 59"/>
                                <a:gd name="T34" fmla="+- 0 966 966"/>
                                <a:gd name="T35" fmla="*/ 96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62">
                                  <a:moveTo>
                                    <a:pt x="15" y="0"/>
                                  </a:moveTo>
                                  <a:lnTo>
                                    <a:pt x="0" y="0"/>
                                  </a:lnTo>
                                  <a:lnTo>
                                    <a:pt x="23" y="37"/>
                                  </a:lnTo>
                                  <a:lnTo>
                                    <a:pt x="23" y="61"/>
                                  </a:lnTo>
                                  <a:lnTo>
                                    <a:pt x="36" y="61"/>
                                  </a:lnTo>
                                  <a:lnTo>
                                    <a:pt x="36" y="38"/>
                                  </a:lnTo>
                                  <a:lnTo>
                                    <a:pt x="44" y="24"/>
                                  </a:lnTo>
                                  <a:lnTo>
                                    <a:pt x="30" y="2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37"/>
                          <wps:cNvSpPr>
                            <a:spLocks/>
                          </wps:cNvSpPr>
                          <wps:spPr bwMode="auto">
                            <a:xfrm>
                              <a:off x="719" y="314"/>
                              <a:ext cx="59" cy="62"/>
                            </a:xfrm>
                            <a:custGeom>
                              <a:avLst/>
                              <a:gdLst>
                                <a:gd name="T0" fmla="+- 0 2469 2410"/>
                                <a:gd name="T1" fmla="*/ T0 w 59"/>
                                <a:gd name="T2" fmla="+- 0 966 966"/>
                                <a:gd name="T3" fmla="*/ 966 h 62"/>
                                <a:gd name="T4" fmla="+- 0 2454 2410"/>
                                <a:gd name="T5" fmla="*/ T4 w 59"/>
                                <a:gd name="T6" fmla="+- 0 966 966"/>
                                <a:gd name="T7" fmla="*/ 966 h 62"/>
                                <a:gd name="T8" fmla="+- 0 2440 2410"/>
                                <a:gd name="T9" fmla="*/ T8 w 59"/>
                                <a:gd name="T10" fmla="+- 0 990 966"/>
                                <a:gd name="T11" fmla="*/ 990 h 62"/>
                                <a:gd name="T12" fmla="+- 0 2454 2410"/>
                                <a:gd name="T13" fmla="*/ T12 w 59"/>
                                <a:gd name="T14" fmla="+- 0 990 966"/>
                                <a:gd name="T15" fmla="*/ 990 h 62"/>
                                <a:gd name="T16" fmla="+- 0 2469 2410"/>
                                <a:gd name="T17" fmla="*/ T16 w 59"/>
                                <a:gd name="T18" fmla="+- 0 966 966"/>
                                <a:gd name="T19" fmla="*/ 966 h 62"/>
                              </a:gdLst>
                              <a:ahLst/>
                              <a:cxnLst>
                                <a:cxn ang="0">
                                  <a:pos x="T1" y="T3"/>
                                </a:cxn>
                                <a:cxn ang="0">
                                  <a:pos x="T5" y="T7"/>
                                </a:cxn>
                                <a:cxn ang="0">
                                  <a:pos x="T9" y="T11"/>
                                </a:cxn>
                                <a:cxn ang="0">
                                  <a:pos x="T13" y="T15"/>
                                </a:cxn>
                                <a:cxn ang="0">
                                  <a:pos x="T17" y="T19"/>
                                </a:cxn>
                              </a:cxnLst>
                              <a:rect l="0" t="0" r="r" b="b"/>
                              <a:pathLst>
                                <a:path w="59" h="62">
                                  <a:moveTo>
                                    <a:pt x="59" y="0"/>
                                  </a:moveTo>
                                  <a:lnTo>
                                    <a:pt x="44" y="0"/>
                                  </a:lnTo>
                                  <a:lnTo>
                                    <a:pt x="30" y="24"/>
                                  </a:lnTo>
                                  <a:lnTo>
                                    <a:pt x="44" y="2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15"/>
                        <wpg:cNvGrpSpPr>
                          <a:grpSpLocks/>
                        </wpg:cNvGrpSpPr>
                        <wpg:grpSpPr bwMode="auto">
                          <a:xfrm>
                            <a:off x="75" y="67"/>
                            <a:ext cx="253" cy="250"/>
                            <a:chOff x="75" y="67"/>
                            <a:chExt cx="253" cy="250"/>
                          </a:xfrm>
                        </wpg:grpSpPr>
                        <wps:wsp>
                          <wps:cNvPr id="710" name="Freeform 35"/>
                          <wps:cNvSpPr>
                            <a:spLocks/>
                          </wps:cNvSpPr>
                          <wps:spPr bwMode="auto">
                            <a:xfrm>
                              <a:off x="75" y="67"/>
                              <a:ext cx="253" cy="250"/>
                            </a:xfrm>
                            <a:custGeom>
                              <a:avLst/>
                              <a:gdLst>
                                <a:gd name="T0" fmla="+- 0 1870 1766"/>
                                <a:gd name="T1" fmla="*/ T0 w 253"/>
                                <a:gd name="T2" fmla="+- 0 719 719"/>
                                <a:gd name="T3" fmla="*/ 719 h 250"/>
                                <a:gd name="T4" fmla="+- 0 1811 1766"/>
                                <a:gd name="T5" fmla="*/ T4 w 253"/>
                                <a:gd name="T6" fmla="+- 0 747 719"/>
                                <a:gd name="T7" fmla="*/ 747 h 250"/>
                                <a:gd name="T8" fmla="+- 0 1774 1766"/>
                                <a:gd name="T9" fmla="*/ T8 w 253"/>
                                <a:gd name="T10" fmla="+- 0 800 719"/>
                                <a:gd name="T11" fmla="*/ 800 h 250"/>
                                <a:gd name="T12" fmla="+- 0 1766 1766"/>
                                <a:gd name="T13" fmla="*/ T12 w 253"/>
                                <a:gd name="T14" fmla="+- 0 844 719"/>
                                <a:gd name="T15" fmla="*/ 844 h 250"/>
                                <a:gd name="T16" fmla="+- 0 1767 1766"/>
                                <a:gd name="T17" fmla="*/ T16 w 253"/>
                                <a:gd name="T18" fmla="+- 0 861 719"/>
                                <a:gd name="T19" fmla="*/ 861 h 250"/>
                                <a:gd name="T20" fmla="+- 0 1790 1766"/>
                                <a:gd name="T21" fmla="*/ T20 w 253"/>
                                <a:gd name="T22" fmla="+- 0 917 719"/>
                                <a:gd name="T23" fmla="*/ 917 h 250"/>
                                <a:gd name="T24" fmla="+- 0 1840 1766"/>
                                <a:gd name="T25" fmla="*/ T24 w 253"/>
                                <a:gd name="T26" fmla="+- 0 955 719"/>
                                <a:gd name="T27" fmla="*/ 955 h 250"/>
                                <a:gd name="T28" fmla="+- 0 1914 1766"/>
                                <a:gd name="T29" fmla="*/ T28 w 253"/>
                                <a:gd name="T30" fmla="+- 0 969 719"/>
                                <a:gd name="T31" fmla="*/ 969 h 250"/>
                                <a:gd name="T32" fmla="+- 0 1935 1766"/>
                                <a:gd name="T33" fmla="*/ T32 w 253"/>
                                <a:gd name="T34" fmla="+- 0 963 719"/>
                                <a:gd name="T35" fmla="*/ 963 h 250"/>
                                <a:gd name="T36" fmla="+- 0 1988 1766"/>
                                <a:gd name="T37" fmla="*/ T36 w 253"/>
                                <a:gd name="T38" fmla="+- 0 926 719"/>
                                <a:gd name="T39" fmla="*/ 926 h 250"/>
                                <a:gd name="T40" fmla="+- 0 2016 1766"/>
                                <a:gd name="T41" fmla="*/ T40 w 253"/>
                                <a:gd name="T42" fmla="+- 0 867 719"/>
                                <a:gd name="T43" fmla="*/ 867 h 250"/>
                                <a:gd name="T44" fmla="+- 0 2018 1766"/>
                                <a:gd name="T45" fmla="*/ T44 w 253"/>
                                <a:gd name="T46" fmla="+- 0 844 719"/>
                                <a:gd name="T47" fmla="*/ 844 h 250"/>
                                <a:gd name="T48" fmla="+- 0 2017 1766"/>
                                <a:gd name="T49" fmla="*/ T48 w 253"/>
                                <a:gd name="T50" fmla="+- 0 827 719"/>
                                <a:gd name="T51" fmla="*/ 827 h 250"/>
                                <a:gd name="T52" fmla="+- 0 1994 1766"/>
                                <a:gd name="T53" fmla="*/ T52 w 253"/>
                                <a:gd name="T54" fmla="+- 0 771 719"/>
                                <a:gd name="T55" fmla="*/ 771 h 250"/>
                                <a:gd name="T56" fmla="+- 0 1944 1766"/>
                                <a:gd name="T57" fmla="*/ T56 w 253"/>
                                <a:gd name="T58" fmla="+- 0 733 719"/>
                                <a:gd name="T59" fmla="*/ 733 h 250"/>
                                <a:gd name="T60" fmla="+- 0 1870 1766"/>
                                <a:gd name="T61" fmla="*/ T60 w 253"/>
                                <a:gd name="T62" fmla="+- 0 719 719"/>
                                <a:gd name="T63" fmla="*/ 719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3" h="250">
                                  <a:moveTo>
                                    <a:pt x="104" y="0"/>
                                  </a:moveTo>
                                  <a:lnTo>
                                    <a:pt x="45" y="28"/>
                                  </a:lnTo>
                                  <a:lnTo>
                                    <a:pt x="8" y="81"/>
                                  </a:lnTo>
                                  <a:lnTo>
                                    <a:pt x="0" y="125"/>
                                  </a:lnTo>
                                  <a:lnTo>
                                    <a:pt x="1" y="142"/>
                                  </a:lnTo>
                                  <a:lnTo>
                                    <a:pt x="24" y="198"/>
                                  </a:lnTo>
                                  <a:lnTo>
                                    <a:pt x="74" y="236"/>
                                  </a:lnTo>
                                  <a:lnTo>
                                    <a:pt x="148" y="250"/>
                                  </a:lnTo>
                                  <a:lnTo>
                                    <a:pt x="169" y="244"/>
                                  </a:lnTo>
                                  <a:lnTo>
                                    <a:pt x="222" y="207"/>
                                  </a:lnTo>
                                  <a:lnTo>
                                    <a:pt x="250" y="148"/>
                                  </a:lnTo>
                                  <a:lnTo>
                                    <a:pt x="252" y="125"/>
                                  </a:lnTo>
                                  <a:lnTo>
                                    <a:pt x="251" y="108"/>
                                  </a:lnTo>
                                  <a:lnTo>
                                    <a:pt x="228" y="52"/>
                                  </a:lnTo>
                                  <a:lnTo>
                                    <a:pt x="178" y="14"/>
                                  </a:lnTo>
                                  <a:lnTo>
                                    <a:pt x="1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16"/>
                        <wpg:cNvGrpSpPr>
                          <a:grpSpLocks/>
                        </wpg:cNvGrpSpPr>
                        <wpg:grpSpPr bwMode="auto">
                          <a:xfrm>
                            <a:off x="57" y="48"/>
                            <a:ext cx="289" cy="289"/>
                            <a:chOff x="57" y="48"/>
                            <a:chExt cx="289" cy="289"/>
                          </a:xfrm>
                        </wpg:grpSpPr>
                        <wps:wsp>
                          <wps:cNvPr id="712" name="Freeform 27"/>
                          <wps:cNvSpPr>
                            <a:spLocks/>
                          </wps:cNvSpPr>
                          <wps:spPr bwMode="auto">
                            <a:xfrm>
                              <a:off x="57" y="48"/>
                              <a:ext cx="289" cy="289"/>
                            </a:xfrm>
                            <a:custGeom>
                              <a:avLst/>
                              <a:gdLst>
                                <a:gd name="T0" fmla="+- 0 1876 1748"/>
                                <a:gd name="T1" fmla="*/ T0 w 289"/>
                                <a:gd name="T2" fmla="+- 0 700 700"/>
                                <a:gd name="T3" fmla="*/ 700 h 289"/>
                                <a:gd name="T4" fmla="+- 0 1803 1748"/>
                                <a:gd name="T5" fmla="*/ T4 w 289"/>
                                <a:gd name="T6" fmla="+- 0 730 700"/>
                                <a:gd name="T7" fmla="*/ 730 h 289"/>
                                <a:gd name="T8" fmla="+- 0 1757 1748"/>
                                <a:gd name="T9" fmla="*/ T8 w 289"/>
                                <a:gd name="T10" fmla="+- 0 793 700"/>
                                <a:gd name="T11" fmla="*/ 793 h 289"/>
                                <a:gd name="T12" fmla="+- 0 1748 1748"/>
                                <a:gd name="T13" fmla="*/ T12 w 289"/>
                                <a:gd name="T14" fmla="+- 0 858 700"/>
                                <a:gd name="T15" fmla="*/ 858 h 289"/>
                                <a:gd name="T16" fmla="+- 0 1751 1748"/>
                                <a:gd name="T17" fmla="*/ T16 w 289"/>
                                <a:gd name="T18" fmla="+- 0 877 700"/>
                                <a:gd name="T19" fmla="*/ 877 h 289"/>
                                <a:gd name="T20" fmla="+- 0 1778 1748"/>
                                <a:gd name="T21" fmla="*/ T20 w 289"/>
                                <a:gd name="T22" fmla="+- 0 932 700"/>
                                <a:gd name="T23" fmla="*/ 932 h 289"/>
                                <a:gd name="T24" fmla="+- 0 1840 1748"/>
                                <a:gd name="T25" fmla="*/ T24 w 289"/>
                                <a:gd name="T26" fmla="+- 0 979 700"/>
                                <a:gd name="T27" fmla="*/ 979 h 289"/>
                                <a:gd name="T28" fmla="+- 0 1906 1748"/>
                                <a:gd name="T29" fmla="*/ T28 w 289"/>
                                <a:gd name="T30" fmla="+- 0 988 700"/>
                                <a:gd name="T31" fmla="*/ 988 h 289"/>
                                <a:gd name="T32" fmla="+- 0 1926 1748"/>
                                <a:gd name="T33" fmla="*/ T32 w 289"/>
                                <a:gd name="T34" fmla="+- 0 985 700"/>
                                <a:gd name="T35" fmla="*/ 985 h 289"/>
                                <a:gd name="T36" fmla="+- 0 1945 1748"/>
                                <a:gd name="T37" fmla="*/ T36 w 289"/>
                                <a:gd name="T38" fmla="+- 0 979 700"/>
                                <a:gd name="T39" fmla="*/ 979 h 289"/>
                                <a:gd name="T40" fmla="+- 0 1963 1748"/>
                                <a:gd name="T41" fmla="*/ T40 w 289"/>
                                <a:gd name="T42" fmla="+- 0 971 700"/>
                                <a:gd name="T43" fmla="*/ 971 h 289"/>
                                <a:gd name="T44" fmla="+- 0 1976 1748"/>
                                <a:gd name="T45" fmla="*/ T44 w 289"/>
                                <a:gd name="T46" fmla="+- 0 962 700"/>
                                <a:gd name="T47" fmla="*/ 962 h 289"/>
                                <a:gd name="T48" fmla="+- 0 1879 1748"/>
                                <a:gd name="T49" fmla="*/ T48 w 289"/>
                                <a:gd name="T50" fmla="+- 0 962 700"/>
                                <a:gd name="T51" fmla="*/ 962 h 289"/>
                                <a:gd name="T52" fmla="+- 0 1860 1748"/>
                                <a:gd name="T53" fmla="*/ T52 w 289"/>
                                <a:gd name="T54" fmla="+- 0 958 700"/>
                                <a:gd name="T55" fmla="*/ 958 h 289"/>
                                <a:gd name="T56" fmla="+- 0 1807 1748"/>
                                <a:gd name="T57" fmla="*/ T56 w 289"/>
                                <a:gd name="T58" fmla="+- 0 926 700"/>
                                <a:gd name="T59" fmla="*/ 926 h 289"/>
                                <a:gd name="T60" fmla="+- 0 1775 1748"/>
                                <a:gd name="T61" fmla="*/ T60 w 289"/>
                                <a:gd name="T62" fmla="+- 0 856 700"/>
                                <a:gd name="T63" fmla="*/ 856 h 289"/>
                                <a:gd name="T64" fmla="+- 0 1774 1748"/>
                                <a:gd name="T65" fmla="*/ T64 w 289"/>
                                <a:gd name="T66" fmla="+- 0 832 700"/>
                                <a:gd name="T67" fmla="*/ 832 h 289"/>
                                <a:gd name="T68" fmla="+- 0 1777 1748"/>
                                <a:gd name="T69" fmla="*/ T68 w 289"/>
                                <a:gd name="T70" fmla="+- 0 812 700"/>
                                <a:gd name="T71" fmla="*/ 812 h 289"/>
                                <a:gd name="T72" fmla="+- 0 1809 1748"/>
                                <a:gd name="T73" fmla="*/ T72 w 289"/>
                                <a:gd name="T74" fmla="+- 0 760 700"/>
                                <a:gd name="T75" fmla="*/ 760 h 289"/>
                                <a:gd name="T76" fmla="+- 0 1882 1748"/>
                                <a:gd name="T77" fmla="*/ T76 w 289"/>
                                <a:gd name="T78" fmla="+- 0 727 700"/>
                                <a:gd name="T79" fmla="*/ 727 h 289"/>
                                <a:gd name="T80" fmla="+- 0 1907 1748"/>
                                <a:gd name="T81" fmla="*/ T80 w 289"/>
                                <a:gd name="T82" fmla="+- 0 726 700"/>
                                <a:gd name="T83" fmla="*/ 726 h 289"/>
                                <a:gd name="T84" fmla="+- 0 1977 1748"/>
                                <a:gd name="T85" fmla="*/ T84 w 289"/>
                                <a:gd name="T86" fmla="+- 0 726 700"/>
                                <a:gd name="T87" fmla="*/ 726 h 289"/>
                                <a:gd name="T88" fmla="+- 0 1977 1748"/>
                                <a:gd name="T89" fmla="*/ T88 w 289"/>
                                <a:gd name="T90" fmla="+- 0 726 700"/>
                                <a:gd name="T91" fmla="*/ 726 h 289"/>
                                <a:gd name="T92" fmla="+- 0 1961 1748"/>
                                <a:gd name="T93" fmla="*/ T92 w 289"/>
                                <a:gd name="T94" fmla="+- 0 716 700"/>
                                <a:gd name="T95" fmla="*/ 716 h 289"/>
                                <a:gd name="T96" fmla="+- 0 1943 1748"/>
                                <a:gd name="T97" fmla="*/ T96 w 289"/>
                                <a:gd name="T98" fmla="+- 0 709 700"/>
                                <a:gd name="T99" fmla="*/ 709 h 289"/>
                                <a:gd name="T100" fmla="+- 0 1924 1748"/>
                                <a:gd name="T101" fmla="*/ T100 w 289"/>
                                <a:gd name="T102" fmla="+- 0 703 700"/>
                                <a:gd name="T103" fmla="*/ 703 h 289"/>
                                <a:gd name="T104" fmla="+- 0 1902 1748"/>
                                <a:gd name="T105" fmla="*/ T104 w 289"/>
                                <a:gd name="T106" fmla="+- 0 700 700"/>
                                <a:gd name="T107" fmla="*/ 700 h 289"/>
                                <a:gd name="T108" fmla="+- 0 1876 1748"/>
                                <a:gd name="T109" fmla="*/ T108 w 289"/>
                                <a:gd name="T110" fmla="+- 0 700 700"/>
                                <a:gd name="T111" fmla="*/ 700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9" h="289">
                                  <a:moveTo>
                                    <a:pt x="128" y="0"/>
                                  </a:moveTo>
                                  <a:lnTo>
                                    <a:pt x="55" y="30"/>
                                  </a:lnTo>
                                  <a:lnTo>
                                    <a:pt x="9" y="93"/>
                                  </a:lnTo>
                                  <a:lnTo>
                                    <a:pt x="0" y="158"/>
                                  </a:lnTo>
                                  <a:lnTo>
                                    <a:pt x="3" y="177"/>
                                  </a:lnTo>
                                  <a:lnTo>
                                    <a:pt x="30" y="232"/>
                                  </a:lnTo>
                                  <a:lnTo>
                                    <a:pt x="92" y="279"/>
                                  </a:lnTo>
                                  <a:lnTo>
                                    <a:pt x="158" y="288"/>
                                  </a:lnTo>
                                  <a:lnTo>
                                    <a:pt x="178" y="285"/>
                                  </a:lnTo>
                                  <a:lnTo>
                                    <a:pt x="197" y="279"/>
                                  </a:lnTo>
                                  <a:lnTo>
                                    <a:pt x="215" y="271"/>
                                  </a:lnTo>
                                  <a:lnTo>
                                    <a:pt x="228" y="262"/>
                                  </a:lnTo>
                                  <a:lnTo>
                                    <a:pt x="131" y="262"/>
                                  </a:lnTo>
                                  <a:lnTo>
                                    <a:pt x="112" y="258"/>
                                  </a:lnTo>
                                  <a:lnTo>
                                    <a:pt x="59" y="226"/>
                                  </a:lnTo>
                                  <a:lnTo>
                                    <a:pt x="27" y="156"/>
                                  </a:lnTo>
                                  <a:lnTo>
                                    <a:pt x="26" y="132"/>
                                  </a:lnTo>
                                  <a:lnTo>
                                    <a:pt x="29" y="112"/>
                                  </a:lnTo>
                                  <a:lnTo>
                                    <a:pt x="61" y="60"/>
                                  </a:lnTo>
                                  <a:lnTo>
                                    <a:pt x="134" y="27"/>
                                  </a:lnTo>
                                  <a:lnTo>
                                    <a:pt x="159" y="26"/>
                                  </a:lnTo>
                                  <a:lnTo>
                                    <a:pt x="229" y="26"/>
                                  </a:lnTo>
                                  <a:lnTo>
                                    <a:pt x="213" y="16"/>
                                  </a:lnTo>
                                  <a:lnTo>
                                    <a:pt x="195" y="9"/>
                                  </a:lnTo>
                                  <a:lnTo>
                                    <a:pt x="176" y="3"/>
                                  </a:lnTo>
                                  <a:lnTo>
                                    <a:pt x="154" y="0"/>
                                  </a:lnTo>
                                  <a:lnTo>
                                    <a:pt x="12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28"/>
                          <wps:cNvSpPr>
                            <a:spLocks/>
                          </wps:cNvSpPr>
                          <wps:spPr bwMode="auto">
                            <a:xfrm>
                              <a:off x="57" y="48"/>
                              <a:ext cx="289" cy="289"/>
                            </a:xfrm>
                            <a:custGeom>
                              <a:avLst/>
                              <a:gdLst>
                                <a:gd name="T0" fmla="+- 0 1977 1748"/>
                                <a:gd name="T1" fmla="*/ T0 w 289"/>
                                <a:gd name="T2" fmla="+- 0 726 700"/>
                                <a:gd name="T3" fmla="*/ 726 h 289"/>
                                <a:gd name="T4" fmla="+- 0 1907 1748"/>
                                <a:gd name="T5" fmla="*/ T4 w 289"/>
                                <a:gd name="T6" fmla="+- 0 726 700"/>
                                <a:gd name="T7" fmla="*/ 726 h 289"/>
                                <a:gd name="T8" fmla="+- 0 1926 1748"/>
                                <a:gd name="T9" fmla="*/ T8 w 289"/>
                                <a:gd name="T10" fmla="+- 0 730 700"/>
                                <a:gd name="T11" fmla="*/ 730 h 289"/>
                                <a:gd name="T12" fmla="+- 0 1945 1748"/>
                                <a:gd name="T13" fmla="*/ T12 w 289"/>
                                <a:gd name="T14" fmla="+- 0 737 700"/>
                                <a:gd name="T15" fmla="*/ 737 h 289"/>
                                <a:gd name="T16" fmla="+- 0 1990 1748"/>
                                <a:gd name="T17" fmla="*/ T16 w 289"/>
                                <a:gd name="T18" fmla="+- 0 777 700"/>
                                <a:gd name="T19" fmla="*/ 777 h 289"/>
                                <a:gd name="T20" fmla="+- 0 2009 1748"/>
                                <a:gd name="T21" fmla="*/ T20 w 289"/>
                                <a:gd name="T22" fmla="+- 0 834 700"/>
                                <a:gd name="T23" fmla="*/ 834 h 289"/>
                                <a:gd name="T24" fmla="+- 0 2010 1748"/>
                                <a:gd name="T25" fmla="*/ T24 w 289"/>
                                <a:gd name="T26" fmla="+- 0 856 700"/>
                                <a:gd name="T27" fmla="*/ 856 h 289"/>
                                <a:gd name="T28" fmla="+- 0 2010 1748"/>
                                <a:gd name="T29" fmla="*/ T28 w 289"/>
                                <a:gd name="T30" fmla="+- 0 858 700"/>
                                <a:gd name="T31" fmla="*/ 858 h 289"/>
                                <a:gd name="T32" fmla="+- 0 1974 1748"/>
                                <a:gd name="T33" fmla="*/ T32 w 289"/>
                                <a:gd name="T34" fmla="+- 0 930 700"/>
                                <a:gd name="T35" fmla="*/ 930 h 289"/>
                                <a:gd name="T36" fmla="+- 0 1904 1748"/>
                                <a:gd name="T37" fmla="*/ T36 w 289"/>
                                <a:gd name="T38" fmla="+- 0 961 700"/>
                                <a:gd name="T39" fmla="*/ 961 h 289"/>
                                <a:gd name="T40" fmla="+- 0 1879 1748"/>
                                <a:gd name="T41" fmla="*/ T40 w 289"/>
                                <a:gd name="T42" fmla="+- 0 962 700"/>
                                <a:gd name="T43" fmla="*/ 962 h 289"/>
                                <a:gd name="T44" fmla="+- 0 1976 1748"/>
                                <a:gd name="T45" fmla="*/ T44 w 289"/>
                                <a:gd name="T46" fmla="+- 0 962 700"/>
                                <a:gd name="T47" fmla="*/ 962 h 289"/>
                                <a:gd name="T48" fmla="+- 0 2019 1748"/>
                                <a:gd name="T49" fmla="*/ T48 w 289"/>
                                <a:gd name="T50" fmla="+- 0 915 700"/>
                                <a:gd name="T51" fmla="*/ 915 h 289"/>
                                <a:gd name="T52" fmla="+- 0 2035 1748"/>
                                <a:gd name="T53" fmla="*/ T52 w 289"/>
                                <a:gd name="T54" fmla="+- 0 856 700"/>
                                <a:gd name="T55" fmla="*/ 856 h 289"/>
                                <a:gd name="T56" fmla="+- 0 2036 1748"/>
                                <a:gd name="T57" fmla="*/ T56 w 289"/>
                                <a:gd name="T58" fmla="+- 0 832 700"/>
                                <a:gd name="T59" fmla="*/ 832 h 289"/>
                                <a:gd name="T60" fmla="+- 0 2033 1748"/>
                                <a:gd name="T61" fmla="*/ T60 w 289"/>
                                <a:gd name="T62" fmla="+- 0 811 700"/>
                                <a:gd name="T63" fmla="*/ 811 h 289"/>
                                <a:gd name="T64" fmla="+- 0 1995 1748"/>
                                <a:gd name="T65" fmla="*/ T64 w 289"/>
                                <a:gd name="T66" fmla="+- 0 741 700"/>
                                <a:gd name="T67" fmla="*/ 741 h 289"/>
                                <a:gd name="T68" fmla="+- 0 1991 1748"/>
                                <a:gd name="T69" fmla="*/ T68 w 289"/>
                                <a:gd name="T70" fmla="+- 0 737 700"/>
                                <a:gd name="T71" fmla="*/ 737 h 289"/>
                                <a:gd name="T72" fmla="+- 0 1977 1748"/>
                                <a:gd name="T73" fmla="*/ T72 w 289"/>
                                <a:gd name="T74" fmla="+- 0 726 700"/>
                                <a:gd name="T75" fmla="*/ 726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9" h="289">
                                  <a:moveTo>
                                    <a:pt x="229" y="26"/>
                                  </a:moveTo>
                                  <a:lnTo>
                                    <a:pt x="159" y="26"/>
                                  </a:lnTo>
                                  <a:lnTo>
                                    <a:pt x="178" y="30"/>
                                  </a:lnTo>
                                  <a:lnTo>
                                    <a:pt x="197" y="37"/>
                                  </a:lnTo>
                                  <a:lnTo>
                                    <a:pt x="242" y="77"/>
                                  </a:lnTo>
                                  <a:lnTo>
                                    <a:pt x="261" y="134"/>
                                  </a:lnTo>
                                  <a:lnTo>
                                    <a:pt x="262" y="156"/>
                                  </a:lnTo>
                                  <a:lnTo>
                                    <a:pt x="262" y="158"/>
                                  </a:lnTo>
                                  <a:lnTo>
                                    <a:pt x="226" y="230"/>
                                  </a:lnTo>
                                  <a:lnTo>
                                    <a:pt x="156" y="261"/>
                                  </a:lnTo>
                                  <a:lnTo>
                                    <a:pt x="131" y="262"/>
                                  </a:lnTo>
                                  <a:lnTo>
                                    <a:pt x="228" y="262"/>
                                  </a:lnTo>
                                  <a:lnTo>
                                    <a:pt x="271" y="215"/>
                                  </a:lnTo>
                                  <a:lnTo>
                                    <a:pt x="287" y="156"/>
                                  </a:lnTo>
                                  <a:lnTo>
                                    <a:pt x="288" y="132"/>
                                  </a:lnTo>
                                  <a:lnTo>
                                    <a:pt x="285" y="111"/>
                                  </a:lnTo>
                                  <a:lnTo>
                                    <a:pt x="247" y="41"/>
                                  </a:lnTo>
                                  <a:lnTo>
                                    <a:pt x="243" y="37"/>
                                  </a:lnTo>
                                  <a:lnTo>
                                    <a:pt x="229" y="26"/>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29"/>
                          <wps:cNvSpPr>
                            <a:spLocks/>
                          </wps:cNvSpPr>
                          <wps:spPr bwMode="auto">
                            <a:xfrm>
                              <a:off x="57" y="48"/>
                              <a:ext cx="289" cy="289"/>
                            </a:xfrm>
                            <a:custGeom>
                              <a:avLst/>
                              <a:gdLst>
                                <a:gd name="T0" fmla="+- 0 1852 1748"/>
                                <a:gd name="T1" fmla="*/ T0 w 289"/>
                                <a:gd name="T2" fmla="+- 0 799 700"/>
                                <a:gd name="T3" fmla="*/ 799 h 289"/>
                                <a:gd name="T4" fmla="+- 0 1840 1748"/>
                                <a:gd name="T5" fmla="*/ T4 w 289"/>
                                <a:gd name="T6" fmla="+- 0 799 700"/>
                                <a:gd name="T7" fmla="*/ 799 h 289"/>
                                <a:gd name="T8" fmla="+- 0 1830 1748"/>
                                <a:gd name="T9" fmla="*/ T8 w 289"/>
                                <a:gd name="T10" fmla="+- 0 803 700"/>
                                <a:gd name="T11" fmla="*/ 803 h 289"/>
                                <a:gd name="T12" fmla="+- 0 1814 1748"/>
                                <a:gd name="T13" fmla="*/ T12 w 289"/>
                                <a:gd name="T14" fmla="+- 0 819 700"/>
                                <a:gd name="T15" fmla="*/ 819 h 289"/>
                                <a:gd name="T16" fmla="+- 0 1810 1748"/>
                                <a:gd name="T17" fmla="*/ T16 w 289"/>
                                <a:gd name="T18" fmla="+- 0 830 700"/>
                                <a:gd name="T19" fmla="*/ 830 h 289"/>
                                <a:gd name="T20" fmla="+- 0 1810 1748"/>
                                <a:gd name="T21" fmla="*/ T20 w 289"/>
                                <a:gd name="T22" fmla="+- 0 858 700"/>
                                <a:gd name="T23" fmla="*/ 858 h 289"/>
                                <a:gd name="T24" fmla="+- 0 1814 1748"/>
                                <a:gd name="T25" fmla="*/ T24 w 289"/>
                                <a:gd name="T26" fmla="+- 0 869 700"/>
                                <a:gd name="T27" fmla="*/ 869 h 289"/>
                                <a:gd name="T28" fmla="+- 0 1829 1748"/>
                                <a:gd name="T29" fmla="*/ T28 w 289"/>
                                <a:gd name="T30" fmla="+- 0 885 700"/>
                                <a:gd name="T31" fmla="*/ 885 h 289"/>
                                <a:gd name="T32" fmla="+- 0 1840 1748"/>
                                <a:gd name="T33" fmla="*/ T32 w 289"/>
                                <a:gd name="T34" fmla="+- 0 889 700"/>
                                <a:gd name="T35" fmla="*/ 889 h 289"/>
                                <a:gd name="T36" fmla="+- 0 1857 1748"/>
                                <a:gd name="T37" fmla="*/ T36 w 289"/>
                                <a:gd name="T38" fmla="+- 0 889 700"/>
                                <a:gd name="T39" fmla="*/ 889 h 289"/>
                                <a:gd name="T40" fmla="+- 0 1877 1748"/>
                                <a:gd name="T41" fmla="*/ T40 w 289"/>
                                <a:gd name="T42" fmla="+- 0 882 700"/>
                                <a:gd name="T43" fmla="*/ 882 h 289"/>
                                <a:gd name="T44" fmla="+- 0 1888 1748"/>
                                <a:gd name="T45" fmla="*/ T44 w 289"/>
                                <a:gd name="T46" fmla="+- 0 870 700"/>
                                <a:gd name="T47" fmla="*/ 870 h 289"/>
                                <a:gd name="T48" fmla="+- 0 1842 1748"/>
                                <a:gd name="T49" fmla="*/ T48 w 289"/>
                                <a:gd name="T50" fmla="+- 0 870 700"/>
                                <a:gd name="T51" fmla="*/ 870 h 289"/>
                                <a:gd name="T52" fmla="+- 0 1836 1748"/>
                                <a:gd name="T53" fmla="*/ T52 w 289"/>
                                <a:gd name="T54" fmla="+- 0 861 700"/>
                                <a:gd name="T55" fmla="*/ 861 h 289"/>
                                <a:gd name="T56" fmla="+- 0 1836 1748"/>
                                <a:gd name="T57" fmla="*/ T56 w 289"/>
                                <a:gd name="T58" fmla="+- 0 827 700"/>
                                <a:gd name="T59" fmla="*/ 827 h 289"/>
                                <a:gd name="T60" fmla="+- 0 1842 1748"/>
                                <a:gd name="T61" fmla="*/ T60 w 289"/>
                                <a:gd name="T62" fmla="+- 0 818 700"/>
                                <a:gd name="T63" fmla="*/ 818 h 289"/>
                                <a:gd name="T64" fmla="+- 0 1886 1748"/>
                                <a:gd name="T65" fmla="*/ T64 w 289"/>
                                <a:gd name="T66" fmla="+- 0 818 700"/>
                                <a:gd name="T67" fmla="*/ 818 h 289"/>
                                <a:gd name="T68" fmla="+- 0 1888 1748"/>
                                <a:gd name="T69" fmla="*/ T68 w 289"/>
                                <a:gd name="T70" fmla="+- 0 817 700"/>
                                <a:gd name="T71" fmla="*/ 817 h 289"/>
                                <a:gd name="T72" fmla="+- 0 1873 1748"/>
                                <a:gd name="T73" fmla="*/ T72 w 289"/>
                                <a:gd name="T74" fmla="+- 0 803 700"/>
                                <a:gd name="T75" fmla="*/ 803 h 289"/>
                                <a:gd name="T76" fmla="+- 0 1852 1748"/>
                                <a:gd name="T77" fmla="*/ T76 w 289"/>
                                <a:gd name="T78" fmla="+- 0 799 700"/>
                                <a:gd name="T79" fmla="*/ 799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04" y="99"/>
                                  </a:moveTo>
                                  <a:lnTo>
                                    <a:pt x="92" y="99"/>
                                  </a:lnTo>
                                  <a:lnTo>
                                    <a:pt x="82" y="103"/>
                                  </a:lnTo>
                                  <a:lnTo>
                                    <a:pt x="66" y="119"/>
                                  </a:lnTo>
                                  <a:lnTo>
                                    <a:pt x="62" y="130"/>
                                  </a:lnTo>
                                  <a:lnTo>
                                    <a:pt x="62" y="158"/>
                                  </a:lnTo>
                                  <a:lnTo>
                                    <a:pt x="66" y="169"/>
                                  </a:lnTo>
                                  <a:lnTo>
                                    <a:pt x="81" y="185"/>
                                  </a:lnTo>
                                  <a:lnTo>
                                    <a:pt x="92" y="189"/>
                                  </a:lnTo>
                                  <a:lnTo>
                                    <a:pt x="109" y="189"/>
                                  </a:lnTo>
                                  <a:lnTo>
                                    <a:pt x="129" y="182"/>
                                  </a:lnTo>
                                  <a:lnTo>
                                    <a:pt x="140" y="170"/>
                                  </a:lnTo>
                                  <a:lnTo>
                                    <a:pt x="94" y="170"/>
                                  </a:lnTo>
                                  <a:lnTo>
                                    <a:pt x="88" y="161"/>
                                  </a:lnTo>
                                  <a:lnTo>
                                    <a:pt x="88" y="127"/>
                                  </a:lnTo>
                                  <a:lnTo>
                                    <a:pt x="94" y="118"/>
                                  </a:lnTo>
                                  <a:lnTo>
                                    <a:pt x="138" y="118"/>
                                  </a:lnTo>
                                  <a:lnTo>
                                    <a:pt x="140" y="117"/>
                                  </a:lnTo>
                                  <a:lnTo>
                                    <a:pt x="125" y="103"/>
                                  </a:lnTo>
                                  <a:lnTo>
                                    <a:pt x="104" y="9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30"/>
                          <wps:cNvSpPr>
                            <a:spLocks/>
                          </wps:cNvSpPr>
                          <wps:spPr bwMode="auto">
                            <a:xfrm>
                              <a:off x="57" y="48"/>
                              <a:ext cx="289" cy="289"/>
                            </a:xfrm>
                            <a:custGeom>
                              <a:avLst/>
                              <a:gdLst>
                                <a:gd name="T0" fmla="+- 0 1936 1748"/>
                                <a:gd name="T1" fmla="*/ T0 w 289"/>
                                <a:gd name="T2" fmla="+- 0 799 700"/>
                                <a:gd name="T3" fmla="*/ 799 h 289"/>
                                <a:gd name="T4" fmla="+- 0 1923 1748"/>
                                <a:gd name="T5" fmla="*/ T4 w 289"/>
                                <a:gd name="T6" fmla="+- 0 799 700"/>
                                <a:gd name="T7" fmla="*/ 799 h 289"/>
                                <a:gd name="T8" fmla="+- 0 1913 1748"/>
                                <a:gd name="T9" fmla="*/ T8 w 289"/>
                                <a:gd name="T10" fmla="+- 0 803 700"/>
                                <a:gd name="T11" fmla="*/ 803 h 289"/>
                                <a:gd name="T12" fmla="+- 0 1897 1748"/>
                                <a:gd name="T13" fmla="*/ T12 w 289"/>
                                <a:gd name="T14" fmla="+- 0 819 700"/>
                                <a:gd name="T15" fmla="*/ 819 h 289"/>
                                <a:gd name="T16" fmla="+- 0 1894 1748"/>
                                <a:gd name="T17" fmla="*/ T16 w 289"/>
                                <a:gd name="T18" fmla="+- 0 830 700"/>
                                <a:gd name="T19" fmla="*/ 830 h 289"/>
                                <a:gd name="T20" fmla="+- 0 1894 1748"/>
                                <a:gd name="T21" fmla="*/ T20 w 289"/>
                                <a:gd name="T22" fmla="+- 0 858 700"/>
                                <a:gd name="T23" fmla="*/ 858 h 289"/>
                                <a:gd name="T24" fmla="+- 0 1897 1748"/>
                                <a:gd name="T25" fmla="*/ T24 w 289"/>
                                <a:gd name="T26" fmla="+- 0 869 700"/>
                                <a:gd name="T27" fmla="*/ 869 h 289"/>
                                <a:gd name="T28" fmla="+- 0 1913 1748"/>
                                <a:gd name="T29" fmla="*/ T28 w 289"/>
                                <a:gd name="T30" fmla="+- 0 885 700"/>
                                <a:gd name="T31" fmla="*/ 885 h 289"/>
                                <a:gd name="T32" fmla="+- 0 1923 1748"/>
                                <a:gd name="T33" fmla="*/ T32 w 289"/>
                                <a:gd name="T34" fmla="+- 0 889 700"/>
                                <a:gd name="T35" fmla="*/ 889 h 289"/>
                                <a:gd name="T36" fmla="+- 0 1941 1748"/>
                                <a:gd name="T37" fmla="*/ T36 w 289"/>
                                <a:gd name="T38" fmla="+- 0 889 700"/>
                                <a:gd name="T39" fmla="*/ 889 h 289"/>
                                <a:gd name="T40" fmla="+- 0 1960 1748"/>
                                <a:gd name="T41" fmla="*/ T40 w 289"/>
                                <a:gd name="T42" fmla="+- 0 882 700"/>
                                <a:gd name="T43" fmla="*/ 882 h 289"/>
                                <a:gd name="T44" fmla="+- 0 1972 1748"/>
                                <a:gd name="T45" fmla="*/ T44 w 289"/>
                                <a:gd name="T46" fmla="+- 0 870 700"/>
                                <a:gd name="T47" fmla="*/ 870 h 289"/>
                                <a:gd name="T48" fmla="+- 0 1926 1748"/>
                                <a:gd name="T49" fmla="*/ T48 w 289"/>
                                <a:gd name="T50" fmla="+- 0 870 700"/>
                                <a:gd name="T51" fmla="*/ 870 h 289"/>
                                <a:gd name="T52" fmla="+- 0 1919 1748"/>
                                <a:gd name="T53" fmla="*/ T52 w 289"/>
                                <a:gd name="T54" fmla="+- 0 861 700"/>
                                <a:gd name="T55" fmla="*/ 861 h 289"/>
                                <a:gd name="T56" fmla="+- 0 1919 1748"/>
                                <a:gd name="T57" fmla="*/ T56 w 289"/>
                                <a:gd name="T58" fmla="+- 0 827 700"/>
                                <a:gd name="T59" fmla="*/ 827 h 289"/>
                                <a:gd name="T60" fmla="+- 0 1926 1748"/>
                                <a:gd name="T61" fmla="*/ T60 w 289"/>
                                <a:gd name="T62" fmla="+- 0 818 700"/>
                                <a:gd name="T63" fmla="*/ 818 h 289"/>
                                <a:gd name="T64" fmla="+- 0 1970 1748"/>
                                <a:gd name="T65" fmla="*/ T64 w 289"/>
                                <a:gd name="T66" fmla="+- 0 818 700"/>
                                <a:gd name="T67" fmla="*/ 818 h 289"/>
                                <a:gd name="T68" fmla="+- 0 1972 1748"/>
                                <a:gd name="T69" fmla="*/ T68 w 289"/>
                                <a:gd name="T70" fmla="+- 0 817 700"/>
                                <a:gd name="T71" fmla="*/ 817 h 289"/>
                                <a:gd name="T72" fmla="+- 0 1957 1748"/>
                                <a:gd name="T73" fmla="*/ T72 w 289"/>
                                <a:gd name="T74" fmla="+- 0 803 700"/>
                                <a:gd name="T75" fmla="*/ 803 h 289"/>
                                <a:gd name="T76" fmla="+- 0 1936 1748"/>
                                <a:gd name="T77" fmla="*/ T76 w 289"/>
                                <a:gd name="T78" fmla="+- 0 799 700"/>
                                <a:gd name="T79" fmla="*/ 799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88" y="99"/>
                                  </a:moveTo>
                                  <a:lnTo>
                                    <a:pt x="175" y="99"/>
                                  </a:lnTo>
                                  <a:lnTo>
                                    <a:pt x="165" y="103"/>
                                  </a:lnTo>
                                  <a:lnTo>
                                    <a:pt x="149" y="119"/>
                                  </a:lnTo>
                                  <a:lnTo>
                                    <a:pt x="146" y="130"/>
                                  </a:lnTo>
                                  <a:lnTo>
                                    <a:pt x="146" y="158"/>
                                  </a:lnTo>
                                  <a:lnTo>
                                    <a:pt x="149" y="169"/>
                                  </a:lnTo>
                                  <a:lnTo>
                                    <a:pt x="165" y="185"/>
                                  </a:lnTo>
                                  <a:lnTo>
                                    <a:pt x="175" y="189"/>
                                  </a:lnTo>
                                  <a:lnTo>
                                    <a:pt x="193" y="189"/>
                                  </a:lnTo>
                                  <a:lnTo>
                                    <a:pt x="212" y="182"/>
                                  </a:lnTo>
                                  <a:lnTo>
                                    <a:pt x="224" y="170"/>
                                  </a:lnTo>
                                  <a:lnTo>
                                    <a:pt x="178" y="170"/>
                                  </a:lnTo>
                                  <a:lnTo>
                                    <a:pt x="171" y="161"/>
                                  </a:lnTo>
                                  <a:lnTo>
                                    <a:pt x="171" y="127"/>
                                  </a:lnTo>
                                  <a:lnTo>
                                    <a:pt x="178" y="118"/>
                                  </a:lnTo>
                                  <a:lnTo>
                                    <a:pt x="222" y="118"/>
                                  </a:lnTo>
                                  <a:lnTo>
                                    <a:pt x="224" y="117"/>
                                  </a:lnTo>
                                  <a:lnTo>
                                    <a:pt x="209" y="103"/>
                                  </a:lnTo>
                                  <a:lnTo>
                                    <a:pt x="188" y="9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31"/>
                          <wps:cNvSpPr>
                            <a:spLocks/>
                          </wps:cNvSpPr>
                          <wps:spPr bwMode="auto">
                            <a:xfrm>
                              <a:off x="57" y="48"/>
                              <a:ext cx="289" cy="289"/>
                            </a:xfrm>
                            <a:custGeom>
                              <a:avLst/>
                              <a:gdLst>
                                <a:gd name="T0" fmla="+- 0 1873 1748"/>
                                <a:gd name="T1" fmla="*/ T0 w 289"/>
                                <a:gd name="T2" fmla="+- 0 857 700"/>
                                <a:gd name="T3" fmla="*/ 857 h 289"/>
                                <a:gd name="T4" fmla="+- 0 1869 1748"/>
                                <a:gd name="T5" fmla="*/ T4 w 289"/>
                                <a:gd name="T6" fmla="+- 0 865 700"/>
                                <a:gd name="T7" fmla="*/ 865 h 289"/>
                                <a:gd name="T8" fmla="+- 0 1863 1748"/>
                                <a:gd name="T9" fmla="*/ T8 w 289"/>
                                <a:gd name="T10" fmla="+- 0 870 700"/>
                                <a:gd name="T11" fmla="*/ 870 h 289"/>
                                <a:gd name="T12" fmla="+- 0 1888 1748"/>
                                <a:gd name="T13" fmla="*/ T12 w 289"/>
                                <a:gd name="T14" fmla="+- 0 870 700"/>
                                <a:gd name="T15" fmla="*/ 870 h 289"/>
                                <a:gd name="T16" fmla="+- 0 1891 1748"/>
                                <a:gd name="T17" fmla="*/ T16 w 289"/>
                                <a:gd name="T18" fmla="+- 0 866 700"/>
                                <a:gd name="T19" fmla="*/ 866 h 289"/>
                                <a:gd name="T20" fmla="+- 0 1873 1748"/>
                                <a:gd name="T21" fmla="*/ T20 w 289"/>
                                <a:gd name="T22" fmla="+- 0 857 700"/>
                                <a:gd name="T23" fmla="*/ 857 h 289"/>
                              </a:gdLst>
                              <a:ahLst/>
                              <a:cxnLst>
                                <a:cxn ang="0">
                                  <a:pos x="T1" y="T3"/>
                                </a:cxn>
                                <a:cxn ang="0">
                                  <a:pos x="T5" y="T7"/>
                                </a:cxn>
                                <a:cxn ang="0">
                                  <a:pos x="T9" y="T11"/>
                                </a:cxn>
                                <a:cxn ang="0">
                                  <a:pos x="T13" y="T15"/>
                                </a:cxn>
                                <a:cxn ang="0">
                                  <a:pos x="T17" y="T19"/>
                                </a:cxn>
                                <a:cxn ang="0">
                                  <a:pos x="T21" y="T23"/>
                                </a:cxn>
                              </a:cxnLst>
                              <a:rect l="0" t="0" r="r" b="b"/>
                              <a:pathLst>
                                <a:path w="289" h="289">
                                  <a:moveTo>
                                    <a:pt x="125" y="157"/>
                                  </a:moveTo>
                                  <a:lnTo>
                                    <a:pt x="121" y="165"/>
                                  </a:lnTo>
                                  <a:lnTo>
                                    <a:pt x="115" y="170"/>
                                  </a:lnTo>
                                  <a:lnTo>
                                    <a:pt x="140" y="170"/>
                                  </a:lnTo>
                                  <a:lnTo>
                                    <a:pt x="143" y="166"/>
                                  </a:lnTo>
                                  <a:lnTo>
                                    <a:pt x="125" y="157"/>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32"/>
                          <wps:cNvSpPr>
                            <a:spLocks/>
                          </wps:cNvSpPr>
                          <wps:spPr bwMode="auto">
                            <a:xfrm>
                              <a:off x="57" y="48"/>
                              <a:ext cx="289" cy="289"/>
                            </a:xfrm>
                            <a:custGeom>
                              <a:avLst/>
                              <a:gdLst>
                                <a:gd name="T0" fmla="+- 0 1956 1748"/>
                                <a:gd name="T1" fmla="*/ T0 w 289"/>
                                <a:gd name="T2" fmla="+- 0 857 700"/>
                                <a:gd name="T3" fmla="*/ 857 h 289"/>
                                <a:gd name="T4" fmla="+- 0 1953 1748"/>
                                <a:gd name="T5" fmla="*/ T4 w 289"/>
                                <a:gd name="T6" fmla="+- 0 865 700"/>
                                <a:gd name="T7" fmla="*/ 865 h 289"/>
                                <a:gd name="T8" fmla="+- 0 1947 1748"/>
                                <a:gd name="T9" fmla="*/ T8 w 289"/>
                                <a:gd name="T10" fmla="+- 0 870 700"/>
                                <a:gd name="T11" fmla="*/ 870 h 289"/>
                                <a:gd name="T12" fmla="+- 0 1972 1748"/>
                                <a:gd name="T13" fmla="*/ T12 w 289"/>
                                <a:gd name="T14" fmla="+- 0 870 700"/>
                                <a:gd name="T15" fmla="*/ 870 h 289"/>
                                <a:gd name="T16" fmla="+- 0 1974 1748"/>
                                <a:gd name="T17" fmla="*/ T16 w 289"/>
                                <a:gd name="T18" fmla="+- 0 866 700"/>
                                <a:gd name="T19" fmla="*/ 866 h 289"/>
                                <a:gd name="T20" fmla="+- 0 1956 1748"/>
                                <a:gd name="T21" fmla="*/ T20 w 289"/>
                                <a:gd name="T22" fmla="+- 0 857 700"/>
                                <a:gd name="T23" fmla="*/ 857 h 289"/>
                              </a:gdLst>
                              <a:ahLst/>
                              <a:cxnLst>
                                <a:cxn ang="0">
                                  <a:pos x="T1" y="T3"/>
                                </a:cxn>
                                <a:cxn ang="0">
                                  <a:pos x="T5" y="T7"/>
                                </a:cxn>
                                <a:cxn ang="0">
                                  <a:pos x="T9" y="T11"/>
                                </a:cxn>
                                <a:cxn ang="0">
                                  <a:pos x="T13" y="T15"/>
                                </a:cxn>
                                <a:cxn ang="0">
                                  <a:pos x="T17" y="T19"/>
                                </a:cxn>
                                <a:cxn ang="0">
                                  <a:pos x="T21" y="T23"/>
                                </a:cxn>
                              </a:cxnLst>
                              <a:rect l="0" t="0" r="r" b="b"/>
                              <a:pathLst>
                                <a:path w="289" h="289">
                                  <a:moveTo>
                                    <a:pt x="208" y="157"/>
                                  </a:moveTo>
                                  <a:lnTo>
                                    <a:pt x="205" y="165"/>
                                  </a:lnTo>
                                  <a:lnTo>
                                    <a:pt x="199" y="170"/>
                                  </a:lnTo>
                                  <a:lnTo>
                                    <a:pt x="224" y="170"/>
                                  </a:lnTo>
                                  <a:lnTo>
                                    <a:pt x="226" y="166"/>
                                  </a:lnTo>
                                  <a:lnTo>
                                    <a:pt x="208" y="157"/>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33"/>
                          <wps:cNvSpPr>
                            <a:spLocks/>
                          </wps:cNvSpPr>
                          <wps:spPr bwMode="auto">
                            <a:xfrm>
                              <a:off x="57" y="48"/>
                              <a:ext cx="289" cy="289"/>
                            </a:xfrm>
                            <a:custGeom>
                              <a:avLst/>
                              <a:gdLst>
                                <a:gd name="T0" fmla="+- 0 1886 1748"/>
                                <a:gd name="T1" fmla="*/ T0 w 289"/>
                                <a:gd name="T2" fmla="+- 0 818 700"/>
                                <a:gd name="T3" fmla="*/ 818 h 289"/>
                                <a:gd name="T4" fmla="+- 0 1862 1748"/>
                                <a:gd name="T5" fmla="*/ T4 w 289"/>
                                <a:gd name="T6" fmla="+- 0 818 700"/>
                                <a:gd name="T7" fmla="*/ 818 h 289"/>
                                <a:gd name="T8" fmla="+- 0 1868 1748"/>
                                <a:gd name="T9" fmla="*/ T8 w 289"/>
                                <a:gd name="T10" fmla="+- 0 822 700"/>
                                <a:gd name="T11" fmla="*/ 822 h 289"/>
                                <a:gd name="T12" fmla="+- 0 1871 1748"/>
                                <a:gd name="T13" fmla="*/ T12 w 289"/>
                                <a:gd name="T14" fmla="+- 0 830 700"/>
                                <a:gd name="T15" fmla="*/ 830 h 289"/>
                                <a:gd name="T16" fmla="+- 0 1886 1748"/>
                                <a:gd name="T17" fmla="*/ T16 w 289"/>
                                <a:gd name="T18" fmla="+- 0 818 700"/>
                                <a:gd name="T19" fmla="*/ 818 h 289"/>
                              </a:gdLst>
                              <a:ahLst/>
                              <a:cxnLst>
                                <a:cxn ang="0">
                                  <a:pos x="T1" y="T3"/>
                                </a:cxn>
                                <a:cxn ang="0">
                                  <a:pos x="T5" y="T7"/>
                                </a:cxn>
                                <a:cxn ang="0">
                                  <a:pos x="T9" y="T11"/>
                                </a:cxn>
                                <a:cxn ang="0">
                                  <a:pos x="T13" y="T15"/>
                                </a:cxn>
                                <a:cxn ang="0">
                                  <a:pos x="T17" y="T19"/>
                                </a:cxn>
                              </a:cxnLst>
                              <a:rect l="0" t="0" r="r" b="b"/>
                              <a:pathLst>
                                <a:path w="289" h="289">
                                  <a:moveTo>
                                    <a:pt x="138" y="118"/>
                                  </a:moveTo>
                                  <a:lnTo>
                                    <a:pt x="114" y="118"/>
                                  </a:lnTo>
                                  <a:lnTo>
                                    <a:pt x="120" y="122"/>
                                  </a:lnTo>
                                  <a:lnTo>
                                    <a:pt x="123" y="130"/>
                                  </a:lnTo>
                                  <a:lnTo>
                                    <a:pt x="138" y="11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34"/>
                          <wps:cNvSpPr>
                            <a:spLocks/>
                          </wps:cNvSpPr>
                          <wps:spPr bwMode="auto">
                            <a:xfrm>
                              <a:off x="57" y="48"/>
                              <a:ext cx="289" cy="289"/>
                            </a:xfrm>
                            <a:custGeom>
                              <a:avLst/>
                              <a:gdLst>
                                <a:gd name="T0" fmla="+- 0 1970 1748"/>
                                <a:gd name="T1" fmla="*/ T0 w 289"/>
                                <a:gd name="T2" fmla="+- 0 818 700"/>
                                <a:gd name="T3" fmla="*/ 818 h 289"/>
                                <a:gd name="T4" fmla="+- 0 1946 1748"/>
                                <a:gd name="T5" fmla="*/ T4 w 289"/>
                                <a:gd name="T6" fmla="+- 0 818 700"/>
                                <a:gd name="T7" fmla="*/ 818 h 289"/>
                                <a:gd name="T8" fmla="+- 0 1951 1748"/>
                                <a:gd name="T9" fmla="*/ T8 w 289"/>
                                <a:gd name="T10" fmla="+- 0 822 700"/>
                                <a:gd name="T11" fmla="*/ 822 h 289"/>
                                <a:gd name="T12" fmla="+- 0 1955 1748"/>
                                <a:gd name="T13" fmla="*/ T12 w 289"/>
                                <a:gd name="T14" fmla="+- 0 830 700"/>
                                <a:gd name="T15" fmla="*/ 830 h 289"/>
                                <a:gd name="T16" fmla="+- 0 1970 1748"/>
                                <a:gd name="T17" fmla="*/ T16 w 289"/>
                                <a:gd name="T18" fmla="+- 0 818 700"/>
                                <a:gd name="T19" fmla="*/ 818 h 289"/>
                              </a:gdLst>
                              <a:ahLst/>
                              <a:cxnLst>
                                <a:cxn ang="0">
                                  <a:pos x="T1" y="T3"/>
                                </a:cxn>
                                <a:cxn ang="0">
                                  <a:pos x="T5" y="T7"/>
                                </a:cxn>
                                <a:cxn ang="0">
                                  <a:pos x="T9" y="T11"/>
                                </a:cxn>
                                <a:cxn ang="0">
                                  <a:pos x="T13" y="T15"/>
                                </a:cxn>
                                <a:cxn ang="0">
                                  <a:pos x="T17" y="T19"/>
                                </a:cxn>
                              </a:cxnLst>
                              <a:rect l="0" t="0" r="r" b="b"/>
                              <a:pathLst>
                                <a:path w="289" h="289">
                                  <a:moveTo>
                                    <a:pt x="222" y="118"/>
                                  </a:moveTo>
                                  <a:lnTo>
                                    <a:pt x="198" y="118"/>
                                  </a:lnTo>
                                  <a:lnTo>
                                    <a:pt x="203" y="122"/>
                                  </a:lnTo>
                                  <a:lnTo>
                                    <a:pt x="207" y="130"/>
                                  </a:lnTo>
                                  <a:lnTo>
                                    <a:pt x="222" y="11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17"/>
                        <wpg:cNvGrpSpPr>
                          <a:grpSpLocks/>
                        </wpg:cNvGrpSpPr>
                        <wpg:grpSpPr bwMode="auto">
                          <a:xfrm>
                            <a:off x="617" y="52"/>
                            <a:ext cx="200" cy="200"/>
                            <a:chOff x="617" y="52"/>
                            <a:chExt cx="200" cy="200"/>
                          </a:xfrm>
                        </wpg:grpSpPr>
                        <wps:wsp>
                          <wps:cNvPr id="722" name="Freeform 26"/>
                          <wps:cNvSpPr>
                            <a:spLocks/>
                          </wps:cNvSpPr>
                          <wps:spPr bwMode="auto">
                            <a:xfrm>
                              <a:off x="617" y="52"/>
                              <a:ext cx="200" cy="200"/>
                            </a:xfrm>
                            <a:custGeom>
                              <a:avLst/>
                              <a:gdLst>
                                <a:gd name="T0" fmla="+- 0 2408 2308"/>
                                <a:gd name="T1" fmla="*/ T0 w 200"/>
                                <a:gd name="T2" fmla="+- 0 704 704"/>
                                <a:gd name="T3" fmla="*/ 704 h 200"/>
                                <a:gd name="T4" fmla="+- 0 2344 2308"/>
                                <a:gd name="T5" fmla="*/ T4 w 200"/>
                                <a:gd name="T6" fmla="+- 0 727 704"/>
                                <a:gd name="T7" fmla="*/ 727 h 200"/>
                                <a:gd name="T8" fmla="+- 0 2311 2308"/>
                                <a:gd name="T9" fmla="*/ T8 w 200"/>
                                <a:gd name="T10" fmla="+- 0 782 704"/>
                                <a:gd name="T11" fmla="*/ 782 h 200"/>
                                <a:gd name="T12" fmla="+- 0 2308 2308"/>
                                <a:gd name="T13" fmla="*/ T12 w 200"/>
                                <a:gd name="T14" fmla="+- 0 806 704"/>
                                <a:gd name="T15" fmla="*/ 806 h 200"/>
                                <a:gd name="T16" fmla="+- 0 2311 2308"/>
                                <a:gd name="T17" fmla="*/ T16 w 200"/>
                                <a:gd name="T18" fmla="+- 0 828 704"/>
                                <a:gd name="T19" fmla="*/ 828 h 200"/>
                                <a:gd name="T20" fmla="+- 0 2347 2308"/>
                                <a:gd name="T21" fmla="*/ T20 w 200"/>
                                <a:gd name="T22" fmla="+- 0 881 704"/>
                                <a:gd name="T23" fmla="*/ 881 h 200"/>
                                <a:gd name="T24" fmla="+- 0 2410 2308"/>
                                <a:gd name="T25" fmla="*/ T24 w 200"/>
                                <a:gd name="T26" fmla="+- 0 903 704"/>
                                <a:gd name="T27" fmla="*/ 903 h 200"/>
                                <a:gd name="T28" fmla="+- 0 2432 2308"/>
                                <a:gd name="T29" fmla="*/ T28 w 200"/>
                                <a:gd name="T30" fmla="+- 0 900 704"/>
                                <a:gd name="T31" fmla="*/ 900 h 200"/>
                                <a:gd name="T32" fmla="+- 0 2486 2308"/>
                                <a:gd name="T33" fmla="*/ T32 w 200"/>
                                <a:gd name="T34" fmla="+- 0 865 704"/>
                                <a:gd name="T35" fmla="*/ 865 h 200"/>
                                <a:gd name="T36" fmla="+- 0 2507 2308"/>
                                <a:gd name="T37" fmla="*/ T36 w 200"/>
                                <a:gd name="T38" fmla="+- 0 802 704"/>
                                <a:gd name="T39" fmla="*/ 802 h 200"/>
                                <a:gd name="T40" fmla="+- 0 2505 2308"/>
                                <a:gd name="T41" fmla="*/ T40 w 200"/>
                                <a:gd name="T42" fmla="+- 0 780 704"/>
                                <a:gd name="T43" fmla="*/ 780 h 200"/>
                                <a:gd name="T44" fmla="+- 0 2470 2308"/>
                                <a:gd name="T45" fmla="*/ T44 w 200"/>
                                <a:gd name="T46" fmla="+- 0 725 704"/>
                                <a:gd name="T47" fmla="*/ 725 h 200"/>
                                <a:gd name="T48" fmla="+- 0 2408 2308"/>
                                <a:gd name="T49" fmla="*/ T48 w 200"/>
                                <a:gd name="T50" fmla="+- 0 704 704"/>
                                <a:gd name="T51" fmla="*/ 704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00">
                                  <a:moveTo>
                                    <a:pt x="100" y="0"/>
                                  </a:moveTo>
                                  <a:lnTo>
                                    <a:pt x="36" y="23"/>
                                  </a:lnTo>
                                  <a:lnTo>
                                    <a:pt x="3" y="78"/>
                                  </a:lnTo>
                                  <a:lnTo>
                                    <a:pt x="0" y="102"/>
                                  </a:lnTo>
                                  <a:lnTo>
                                    <a:pt x="3" y="124"/>
                                  </a:lnTo>
                                  <a:lnTo>
                                    <a:pt x="39" y="177"/>
                                  </a:lnTo>
                                  <a:lnTo>
                                    <a:pt x="102" y="199"/>
                                  </a:lnTo>
                                  <a:lnTo>
                                    <a:pt x="124" y="196"/>
                                  </a:lnTo>
                                  <a:lnTo>
                                    <a:pt x="178" y="161"/>
                                  </a:lnTo>
                                  <a:lnTo>
                                    <a:pt x="199" y="98"/>
                                  </a:lnTo>
                                  <a:lnTo>
                                    <a:pt x="197" y="76"/>
                                  </a:lnTo>
                                  <a:lnTo>
                                    <a:pt x="162" y="21"/>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18"/>
                        <wpg:cNvGrpSpPr>
                          <a:grpSpLocks/>
                        </wpg:cNvGrpSpPr>
                        <wpg:grpSpPr bwMode="auto">
                          <a:xfrm>
                            <a:off x="688" y="115"/>
                            <a:ext cx="46" cy="103"/>
                            <a:chOff x="688" y="115"/>
                            <a:chExt cx="46" cy="103"/>
                          </a:xfrm>
                        </wpg:grpSpPr>
                        <wps:wsp>
                          <wps:cNvPr id="724" name="Freeform 24"/>
                          <wps:cNvSpPr>
                            <a:spLocks/>
                          </wps:cNvSpPr>
                          <wps:spPr bwMode="auto">
                            <a:xfrm>
                              <a:off x="688" y="115"/>
                              <a:ext cx="46" cy="103"/>
                            </a:xfrm>
                            <a:custGeom>
                              <a:avLst/>
                              <a:gdLst>
                                <a:gd name="T0" fmla="+- 0 2424 2379"/>
                                <a:gd name="T1" fmla="*/ T0 w 46"/>
                                <a:gd name="T2" fmla="+- 0 818 767"/>
                                <a:gd name="T3" fmla="*/ 818 h 103"/>
                                <a:gd name="T4" fmla="+- 0 2391 2379"/>
                                <a:gd name="T5" fmla="*/ T4 w 46"/>
                                <a:gd name="T6" fmla="+- 0 818 767"/>
                                <a:gd name="T7" fmla="*/ 818 h 103"/>
                                <a:gd name="T8" fmla="+- 0 2391 2379"/>
                                <a:gd name="T9" fmla="*/ T8 w 46"/>
                                <a:gd name="T10" fmla="+- 0 870 767"/>
                                <a:gd name="T11" fmla="*/ 870 h 103"/>
                                <a:gd name="T12" fmla="+- 0 2424 2379"/>
                                <a:gd name="T13" fmla="*/ T12 w 46"/>
                                <a:gd name="T14" fmla="+- 0 870 767"/>
                                <a:gd name="T15" fmla="*/ 870 h 103"/>
                                <a:gd name="T16" fmla="+- 0 2424 2379"/>
                                <a:gd name="T17" fmla="*/ T16 w 46"/>
                                <a:gd name="T18" fmla="+- 0 818 767"/>
                                <a:gd name="T19" fmla="*/ 818 h 103"/>
                              </a:gdLst>
                              <a:ahLst/>
                              <a:cxnLst>
                                <a:cxn ang="0">
                                  <a:pos x="T1" y="T3"/>
                                </a:cxn>
                                <a:cxn ang="0">
                                  <a:pos x="T5" y="T7"/>
                                </a:cxn>
                                <a:cxn ang="0">
                                  <a:pos x="T9" y="T11"/>
                                </a:cxn>
                                <a:cxn ang="0">
                                  <a:pos x="T13" y="T15"/>
                                </a:cxn>
                                <a:cxn ang="0">
                                  <a:pos x="T17" y="T19"/>
                                </a:cxn>
                              </a:cxnLst>
                              <a:rect l="0" t="0" r="r" b="b"/>
                              <a:pathLst>
                                <a:path w="46" h="103">
                                  <a:moveTo>
                                    <a:pt x="45" y="51"/>
                                  </a:moveTo>
                                  <a:lnTo>
                                    <a:pt x="12" y="51"/>
                                  </a:lnTo>
                                  <a:lnTo>
                                    <a:pt x="12" y="103"/>
                                  </a:lnTo>
                                  <a:lnTo>
                                    <a:pt x="45" y="103"/>
                                  </a:lnTo>
                                  <a:lnTo>
                                    <a:pt x="45" y="5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25"/>
                          <wps:cNvSpPr>
                            <a:spLocks/>
                          </wps:cNvSpPr>
                          <wps:spPr bwMode="auto">
                            <a:xfrm>
                              <a:off x="688" y="115"/>
                              <a:ext cx="46" cy="103"/>
                            </a:xfrm>
                            <a:custGeom>
                              <a:avLst/>
                              <a:gdLst>
                                <a:gd name="T0" fmla="+- 0 2434 2379"/>
                                <a:gd name="T1" fmla="*/ T0 w 46"/>
                                <a:gd name="T2" fmla="+- 0 767 767"/>
                                <a:gd name="T3" fmla="*/ 767 h 103"/>
                                <a:gd name="T4" fmla="+- 0 2382 2379"/>
                                <a:gd name="T5" fmla="*/ T4 w 46"/>
                                <a:gd name="T6" fmla="+- 0 767 767"/>
                                <a:gd name="T7" fmla="*/ 767 h 103"/>
                                <a:gd name="T8" fmla="+- 0 2379 2379"/>
                                <a:gd name="T9" fmla="*/ T8 w 46"/>
                                <a:gd name="T10" fmla="+- 0 771 767"/>
                                <a:gd name="T11" fmla="*/ 771 h 103"/>
                                <a:gd name="T12" fmla="+- 0 2379 2379"/>
                                <a:gd name="T13" fmla="*/ T12 w 46"/>
                                <a:gd name="T14" fmla="+- 0 818 767"/>
                                <a:gd name="T15" fmla="*/ 818 h 103"/>
                                <a:gd name="T16" fmla="+- 0 2437 2379"/>
                                <a:gd name="T17" fmla="*/ T16 w 46"/>
                                <a:gd name="T18" fmla="+- 0 818 767"/>
                                <a:gd name="T19" fmla="*/ 818 h 103"/>
                                <a:gd name="T20" fmla="+- 0 2437 2379"/>
                                <a:gd name="T21" fmla="*/ T20 w 46"/>
                                <a:gd name="T22" fmla="+- 0 771 767"/>
                                <a:gd name="T23" fmla="*/ 771 h 103"/>
                                <a:gd name="T24" fmla="+- 0 2434 2379"/>
                                <a:gd name="T25" fmla="*/ T24 w 46"/>
                                <a:gd name="T26" fmla="+- 0 767 767"/>
                                <a:gd name="T27" fmla="*/ 767 h 103"/>
                              </a:gdLst>
                              <a:ahLst/>
                              <a:cxnLst>
                                <a:cxn ang="0">
                                  <a:pos x="T1" y="T3"/>
                                </a:cxn>
                                <a:cxn ang="0">
                                  <a:pos x="T5" y="T7"/>
                                </a:cxn>
                                <a:cxn ang="0">
                                  <a:pos x="T9" y="T11"/>
                                </a:cxn>
                                <a:cxn ang="0">
                                  <a:pos x="T13" y="T15"/>
                                </a:cxn>
                                <a:cxn ang="0">
                                  <a:pos x="T17" y="T19"/>
                                </a:cxn>
                                <a:cxn ang="0">
                                  <a:pos x="T21" y="T23"/>
                                </a:cxn>
                                <a:cxn ang="0">
                                  <a:pos x="T25" y="T27"/>
                                </a:cxn>
                              </a:cxnLst>
                              <a:rect l="0" t="0" r="r" b="b"/>
                              <a:pathLst>
                                <a:path w="46" h="103">
                                  <a:moveTo>
                                    <a:pt x="55" y="0"/>
                                  </a:moveTo>
                                  <a:lnTo>
                                    <a:pt x="3" y="0"/>
                                  </a:lnTo>
                                  <a:lnTo>
                                    <a:pt x="0" y="4"/>
                                  </a:lnTo>
                                  <a:lnTo>
                                    <a:pt x="0" y="51"/>
                                  </a:lnTo>
                                  <a:lnTo>
                                    <a:pt x="58" y="51"/>
                                  </a:lnTo>
                                  <a:lnTo>
                                    <a:pt x="58" y="4"/>
                                  </a:lnTo>
                                  <a:lnTo>
                                    <a:pt x="5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 name="Group 19"/>
                        <wpg:cNvGrpSpPr>
                          <a:grpSpLocks/>
                        </wpg:cNvGrpSpPr>
                        <wpg:grpSpPr bwMode="auto">
                          <a:xfrm>
                            <a:off x="702" y="80"/>
                            <a:ext cx="31" cy="31"/>
                            <a:chOff x="702" y="80"/>
                            <a:chExt cx="31" cy="31"/>
                          </a:xfrm>
                        </wpg:grpSpPr>
                        <wps:wsp>
                          <wps:cNvPr id="727" name="Freeform 23"/>
                          <wps:cNvSpPr>
                            <a:spLocks/>
                          </wps:cNvSpPr>
                          <wps:spPr bwMode="auto">
                            <a:xfrm>
                              <a:off x="702" y="80"/>
                              <a:ext cx="31" cy="31"/>
                            </a:xfrm>
                            <a:custGeom>
                              <a:avLst/>
                              <a:gdLst>
                                <a:gd name="T0" fmla="+- 0 2416 2393"/>
                                <a:gd name="T1" fmla="*/ T0 w 31"/>
                                <a:gd name="T2" fmla="+- 0 732 732"/>
                                <a:gd name="T3" fmla="*/ 732 h 31"/>
                                <a:gd name="T4" fmla="+- 0 2399 2393"/>
                                <a:gd name="T5" fmla="*/ T4 w 31"/>
                                <a:gd name="T6" fmla="+- 0 732 732"/>
                                <a:gd name="T7" fmla="*/ 732 h 31"/>
                                <a:gd name="T8" fmla="+- 0 2393 2393"/>
                                <a:gd name="T9" fmla="*/ T8 w 31"/>
                                <a:gd name="T10" fmla="+- 0 738 732"/>
                                <a:gd name="T11" fmla="*/ 738 h 31"/>
                                <a:gd name="T12" fmla="+- 0 2393 2393"/>
                                <a:gd name="T13" fmla="*/ T12 w 31"/>
                                <a:gd name="T14" fmla="+- 0 755 732"/>
                                <a:gd name="T15" fmla="*/ 755 h 31"/>
                                <a:gd name="T16" fmla="+- 0 2399 2393"/>
                                <a:gd name="T17" fmla="*/ T16 w 31"/>
                                <a:gd name="T18" fmla="+- 0 762 732"/>
                                <a:gd name="T19" fmla="*/ 762 h 31"/>
                                <a:gd name="T20" fmla="+- 0 2416 2393"/>
                                <a:gd name="T21" fmla="*/ T20 w 31"/>
                                <a:gd name="T22" fmla="+- 0 762 732"/>
                                <a:gd name="T23" fmla="*/ 762 h 31"/>
                                <a:gd name="T24" fmla="+- 0 2423 2393"/>
                                <a:gd name="T25" fmla="*/ T24 w 31"/>
                                <a:gd name="T26" fmla="+- 0 755 732"/>
                                <a:gd name="T27" fmla="*/ 755 h 31"/>
                                <a:gd name="T28" fmla="+- 0 2423 2393"/>
                                <a:gd name="T29" fmla="*/ T28 w 31"/>
                                <a:gd name="T30" fmla="+- 0 738 732"/>
                                <a:gd name="T31" fmla="*/ 738 h 31"/>
                                <a:gd name="T32" fmla="+- 0 2416 2393"/>
                                <a:gd name="T33" fmla="*/ T32 w 31"/>
                                <a:gd name="T34" fmla="+- 0 732 732"/>
                                <a:gd name="T35" fmla="*/ 732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3" y="0"/>
                                  </a:moveTo>
                                  <a:lnTo>
                                    <a:pt x="6" y="0"/>
                                  </a:lnTo>
                                  <a:lnTo>
                                    <a:pt x="0" y="6"/>
                                  </a:lnTo>
                                  <a:lnTo>
                                    <a:pt x="0" y="23"/>
                                  </a:lnTo>
                                  <a:lnTo>
                                    <a:pt x="6" y="30"/>
                                  </a:lnTo>
                                  <a:lnTo>
                                    <a:pt x="23" y="30"/>
                                  </a:lnTo>
                                  <a:lnTo>
                                    <a:pt x="30" y="23"/>
                                  </a:lnTo>
                                  <a:lnTo>
                                    <a:pt x="30" y="6"/>
                                  </a:lnTo>
                                  <a:lnTo>
                                    <a:pt x="2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8" name="Group 20"/>
                        <wpg:cNvGrpSpPr>
                          <a:grpSpLocks/>
                        </wpg:cNvGrpSpPr>
                        <wpg:grpSpPr bwMode="auto">
                          <a:xfrm>
                            <a:off x="609" y="42"/>
                            <a:ext cx="215" cy="215"/>
                            <a:chOff x="609" y="42"/>
                            <a:chExt cx="215" cy="215"/>
                          </a:xfrm>
                        </wpg:grpSpPr>
                        <wps:wsp>
                          <wps:cNvPr id="729" name="Freeform 21"/>
                          <wps:cNvSpPr>
                            <a:spLocks/>
                          </wps:cNvSpPr>
                          <wps:spPr bwMode="auto">
                            <a:xfrm>
                              <a:off x="609" y="42"/>
                              <a:ext cx="215" cy="215"/>
                            </a:xfrm>
                            <a:custGeom>
                              <a:avLst/>
                              <a:gdLst>
                                <a:gd name="T0" fmla="+- 0 2408 2300"/>
                                <a:gd name="T1" fmla="*/ T0 w 215"/>
                                <a:gd name="T2" fmla="+- 0 694 694"/>
                                <a:gd name="T3" fmla="*/ 694 h 215"/>
                                <a:gd name="T4" fmla="+- 0 2350 2300"/>
                                <a:gd name="T5" fmla="*/ T4 w 215"/>
                                <a:gd name="T6" fmla="+- 0 710 694"/>
                                <a:gd name="T7" fmla="*/ 710 h 215"/>
                                <a:gd name="T8" fmla="+- 0 2309 2300"/>
                                <a:gd name="T9" fmla="*/ T8 w 215"/>
                                <a:gd name="T10" fmla="+- 0 758 694"/>
                                <a:gd name="T11" fmla="*/ 758 h 215"/>
                                <a:gd name="T12" fmla="+- 0 2300 2300"/>
                                <a:gd name="T13" fmla="*/ T12 w 215"/>
                                <a:gd name="T14" fmla="+- 0 796 694"/>
                                <a:gd name="T15" fmla="*/ 796 h 215"/>
                                <a:gd name="T16" fmla="+- 0 2302 2300"/>
                                <a:gd name="T17" fmla="*/ T16 w 215"/>
                                <a:gd name="T18" fmla="+- 0 819 694"/>
                                <a:gd name="T19" fmla="*/ 819 h 215"/>
                                <a:gd name="T20" fmla="+- 0 2345 2300"/>
                                <a:gd name="T21" fmla="*/ T20 w 215"/>
                                <a:gd name="T22" fmla="+- 0 887 694"/>
                                <a:gd name="T23" fmla="*/ 887 h 215"/>
                                <a:gd name="T24" fmla="+- 0 2400 2300"/>
                                <a:gd name="T25" fmla="*/ T24 w 215"/>
                                <a:gd name="T26" fmla="+- 0 908 694"/>
                                <a:gd name="T27" fmla="*/ 908 h 215"/>
                                <a:gd name="T28" fmla="+- 0 2423 2300"/>
                                <a:gd name="T29" fmla="*/ T28 w 215"/>
                                <a:gd name="T30" fmla="+- 0 907 694"/>
                                <a:gd name="T31" fmla="*/ 907 h 215"/>
                                <a:gd name="T32" fmla="+- 0 2443 2300"/>
                                <a:gd name="T33" fmla="*/ T32 w 215"/>
                                <a:gd name="T34" fmla="+- 0 902 694"/>
                                <a:gd name="T35" fmla="*/ 902 h 215"/>
                                <a:gd name="T36" fmla="+- 0 2461 2300"/>
                                <a:gd name="T37" fmla="*/ T36 w 215"/>
                                <a:gd name="T38" fmla="+- 0 895 694"/>
                                <a:gd name="T39" fmla="*/ 895 h 215"/>
                                <a:gd name="T40" fmla="+- 0 2470 2300"/>
                                <a:gd name="T41" fmla="*/ T40 w 215"/>
                                <a:gd name="T42" fmla="+- 0 889 694"/>
                                <a:gd name="T43" fmla="*/ 889 h 215"/>
                                <a:gd name="T44" fmla="+- 0 2416 2300"/>
                                <a:gd name="T45" fmla="*/ T44 w 215"/>
                                <a:gd name="T46" fmla="+- 0 889 694"/>
                                <a:gd name="T47" fmla="*/ 889 h 215"/>
                                <a:gd name="T48" fmla="+- 0 2393 2300"/>
                                <a:gd name="T49" fmla="*/ T48 w 215"/>
                                <a:gd name="T50" fmla="+- 0 887 694"/>
                                <a:gd name="T51" fmla="*/ 887 h 215"/>
                                <a:gd name="T52" fmla="+- 0 2339 2300"/>
                                <a:gd name="T53" fmla="*/ T52 w 215"/>
                                <a:gd name="T54" fmla="+- 0 853 694"/>
                                <a:gd name="T55" fmla="*/ 853 h 215"/>
                                <a:gd name="T56" fmla="+- 0 2320 2300"/>
                                <a:gd name="T57" fmla="*/ T56 w 215"/>
                                <a:gd name="T58" fmla="+- 0 801 694"/>
                                <a:gd name="T59" fmla="*/ 801 h 215"/>
                                <a:gd name="T60" fmla="+- 0 2322 2300"/>
                                <a:gd name="T61" fmla="*/ T60 w 215"/>
                                <a:gd name="T62" fmla="+- 0 781 694"/>
                                <a:gd name="T63" fmla="*/ 781 h 215"/>
                                <a:gd name="T64" fmla="+- 0 2358 2300"/>
                                <a:gd name="T65" fmla="*/ T64 w 215"/>
                                <a:gd name="T66" fmla="+- 0 729 694"/>
                                <a:gd name="T67" fmla="*/ 729 h 215"/>
                                <a:gd name="T68" fmla="+- 0 2408 2300"/>
                                <a:gd name="T69" fmla="*/ T68 w 215"/>
                                <a:gd name="T70" fmla="+- 0 713 694"/>
                                <a:gd name="T71" fmla="*/ 713 h 215"/>
                                <a:gd name="T72" fmla="+- 0 2468 2300"/>
                                <a:gd name="T73" fmla="*/ T72 w 215"/>
                                <a:gd name="T74" fmla="+- 0 713 694"/>
                                <a:gd name="T75" fmla="*/ 713 h 215"/>
                                <a:gd name="T76" fmla="+- 0 2456 2300"/>
                                <a:gd name="T77" fmla="*/ T76 w 215"/>
                                <a:gd name="T78" fmla="+- 0 705 694"/>
                                <a:gd name="T79" fmla="*/ 705 h 215"/>
                                <a:gd name="T80" fmla="+- 0 2439 2300"/>
                                <a:gd name="T81" fmla="*/ T80 w 215"/>
                                <a:gd name="T82" fmla="+- 0 698 694"/>
                                <a:gd name="T83" fmla="*/ 698 h 215"/>
                                <a:gd name="T84" fmla="+- 0 2420 2300"/>
                                <a:gd name="T85" fmla="*/ T84 w 215"/>
                                <a:gd name="T86" fmla="+- 0 694 694"/>
                                <a:gd name="T87" fmla="*/ 694 h 215"/>
                                <a:gd name="T88" fmla="+- 0 2408 2300"/>
                                <a:gd name="T89" fmla="*/ T88 w 215"/>
                                <a:gd name="T90" fmla="+- 0 694 694"/>
                                <a:gd name="T91" fmla="*/ 694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5" h="215">
                                  <a:moveTo>
                                    <a:pt x="108" y="0"/>
                                  </a:moveTo>
                                  <a:lnTo>
                                    <a:pt x="50" y="16"/>
                                  </a:lnTo>
                                  <a:lnTo>
                                    <a:pt x="9" y="64"/>
                                  </a:lnTo>
                                  <a:lnTo>
                                    <a:pt x="0" y="102"/>
                                  </a:lnTo>
                                  <a:lnTo>
                                    <a:pt x="2" y="125"/>
                                  </a:lnTo>
                                  <a:lnTo>
                                    <a:pt x="45" y="193"/>
                                  </a:lnTo>
                                  <a:lnTo>
                                    <a:pt x="100" y="214"/>
                                  </a:lnTo>
                                  <a:lnTo>
                                    <a:pt x="123" y="213"/>
                                  </a:lnTo>
                                  <a:lnTo>
                                    <a:pt x="143" y="208"/>
                                  </a:lnTo>
                                  <a:lnTo>
                                    <a:pt x="161" y="201"/>
                                  </a:lnTo>
                                  <a:lnTo>
                                    <a:pt x="170" y="195"/>
                                  </a:lnTo>
                                  <a:lnTo>
                                    <a:pt x="116" y="195"/>
                                  </a:lnTo>
                                  <a:lnTo>
                                    <a:pt x="93" y="193"/>
                                  </a:lnTo>
                                  <a:lnTo>
                                    <a:pt x="39" y="159"/>
                                  </a:lnTo>
                                  <a:lnTo>
                                    <a:pt x="20" y="107"/>
                                  </a:lnTo>
                                  <a:lnTo>
                                    <a:pt x="22" y="87"/>
                                  </a:lnTo>
                                  <a:lnTo>
                                    <a:pt x="58" y="35"/>
                                  </a:lnTo>
                                  <a:lnTo>
                                    <a:pt x="108" y="19"/>
                                  </a:lnTo>
                                  <a:lnTo>
                                    <a:pt x="168" y="19"/>
                                  </a:lnTo>
                                  <a:lnTo>
                                    <a:pt x="156" y="11"/>
                                  </a:lnTo>
                                  <a:lnTo>
                                    <a:pt x="139" y="4"/>
                                  </a:lnTo>
                                  <a:lnTo>
                                    <a:pt x="120" y="0"/>
                                  </a:lnTo>
                                  <a:lnTo>
                                    <a:pt x="10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22"/>
                          <wps:cNvSpPr>
                            <a:spLocks/>
                          </wps:cNvSpPr>
                          <wps:spPr bwMode="auto">
                            <a:xfrm>
                              <a:off x="609" y="42"/>
                              <a:ext cx="215" cy="215"/>
                            </a:xfrm>
                            <a:custGeom>
                              <a:avLst/>
                              <a:gdLst>
                                <a:gd name="T0" fmla="+- 0 2468 2300"/>
                                <a:gd name="T1" fmla="*/ T0 w 215"/>
                                <a:gd name="T2" fmla="+- 0 713 694"/>
                                <a:gd name="T3" fmla="*/ 713 h 215"/>
                                <a:gd name="T4" fmla="+- 0 2408 2300"/>
                                <a:gd name="T5" fmla="*/ T4 w 215"/>
                                <a:gd name="T6" fmla="+- 0 713 694"/>
                                <a:gd name="T7" fmla="*/ 713 h 215"/>
                                <a:gd name="T8" fmla="+- 0 2429 2300"/>
                                <a:gd name="T9" fmla="*/ T8 w 215"/>
                                <a:gd name="T10" fmla="+- 0 715 694"/>
                                <a:gd name="T11" fmla="*/ 715 h 215"/>
                                <a:gd name="T12" fmla="+- 0 2448 2300"/>
                                <a:gd name="T13" fmla="*/ T12 w 215"/>
                                <a:gd name="T14" fmla="+- 0 722 694"/>
                                <a:gd name="T15" fmla="*/ 722 h 215"/>
                                <a:gd name="T16" fmla="+- 0 2464 2300"/>
                                <a:gd name="T17" fmla="*/ T16 w 215"/>
                                <a:gd name="T18" fmla="+- 0 733 694"/>
                                <a:gd name="T19" fmla="*/ 733 h 215"/>
                                <a:gd name="T20" fmla="+- 0 2480 2300"/>
                                <a:gd name="T21" fmla="*/ T20 w 215"/>
                                <a:gd name="T22" fmla="+- 0 751 694"/>
                                <a:gd name="T23" fmla="*/ 751 h 215"/>
                                <a:gd name="T24" fmla="+- 0 2490 2300"/>
                                <a:gd name="T25" fmla="*/ T24 w 215"/>
                                <a:gd name="T26" fmla="+- 0 769 694"/>
                                <a:gd name="T27" fmla="*/ 769 h 215"/>
                                <a:gd name="T28" fmla="+- 0 2495 2300"/>
                                <a:gd name="T29" fmla="*/ T28 w 215"/>
                                <a:gd name="T30" fmla="+- 0 787 694"/>
                                <a:gd name="T31" fmla="*/ 787 h 215"/>
                                <a:gd name="T32" fmla="+- 0 2494 2300"/>
                                <a:gd name="T33" fmla="*/ T32 w 215"/>
                                <a:gd name="T34" fmla="+- 0 813 694"/>
                                <a:gd name="T35" fmla="*/ 813 h 215"/>
                                <a:gd name="T36" fmla="+- 0 2454 2300"/>
                                <a:gd name="T37" fmla="*/ T36 w 215"/>
                                <a:gd name="T38" fmla="+- 0 876 694"/>
                                <a:gd name="T39" fmla="*/ 876 h 215"/>
                                <a:gd name="T40" fmla="+- 0 2416 2300"/>
                                <a:gd name="T41" fmla="*/ T40 w 215"/>
                                <a:gd name="T42" fmla="+- 0 889 694"/>
                                <a:gd name="T43" fmla="*/ 889 h 215"/>
                                <a:gd name="T44" fmla="+- 0 2470 2300"/>
                                <a:gd name="T45" fmla="*/ T44 w 215"/>
                                <a:gd name="T46" fmla="+- 0 889 694"/>
                                <a:gd name="T47" fmla="*/ 889 h 215"/>
                                <a:gd name="T48" fmla="+- 0 2511 2300"/>
                                <a:gd name="T49" fmla="*/ T48 w 215"/>
                                <a:gd name="T50" fmla="+- 0 831 694"/>
                                <a:gd name="T51" fmla="*/ 831 h 215"/>
                                <a:gd name="T52" fmla="+- 0 2515 2300"/>
                                <a:gd name="T53" fmla="*/ T52 w 215"/>
                                <a:gd name="T54" fmla="+- 0 812 694"/>
                                <a:gd name="T55" fmla="*/ 812 h 215"/>
                                <a:gd name="T56" fmla="+- 0 2514 2300"/>
                                <a:gd name="T57" fmla="*/ T56 w 215"/>
                                <a:gd name="T58" fmla="+- 0 788 694"/>
                                <a:gd name="T59" fmla="*/ 788 h 215"/>
                                <a:gd name="T60" fmla="+- 0 2509 2300"/>
                                <a:gd name="T61" fmla="*/ T60 w 215"/>
                                <a:gd name="T62" fmla="+- 0 767 694"/>
                                <a:gd name="T63" fmla="*/ 767 h 215"/>
                                <a:gd name="T64" fmla="+- 0 2502 2300"/>
                                <a:gd name="T65" fmla="*/ T64 w 215"/>
                                <a:gd name="T66" fmla="+- 0 749 694"/>
                                <a:gd name="T67" fmla="*/ 749 h 215"/>
                                <a:gd name="T68" fmla="+- 0 2492 2300"/>
                                <a:gd name="T69" fmla="*/ T68 w 215"/>
                                <a:gd name="T70" fmla="+- 0 734 694"/>
                                <a:gd name="T71" fmla="*/ 734 h 215"/>
                                <a:gd name="T72" fmla="+- 0 2474 2300"/>
                                <a:gd name="T73" fmla="*/ T72 w 215"/>
                                <a:gd name="T74" fmla="+- 0 717 694"/>
                                <a:gd name="T75" fmla="*/ 717 h 215"/>
                                <a:gd name="T76" fmla="+- 0 2468 2300"/>
                                <a:gd name="T77" fmla="*/ T76 w 215"/>
                                <a:gd name="T78" fmla="+- 0 713 694"/>
                                <a:gd name="T79" fmla="*/ 713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5" h="215">
                                  <a:moveTo>
                                    <a:pt x="168" y="19"/>
                                  </a:moveTo>
                                  <a:lnTo>
                                    <a:pt x="108" y="19"/>
                                  </a:lnTo>
                                  <a:lnTo>
                                    <a:pt x="129" y="21"/>
                                  </a:lnTo>
                                  <a:lnTo>
                                    <a:pt x="148" y="28"/>
                                  </a:lnTo>
                                  <a:lnTo>
                                    <a:pt x="164" y="39"/>
                                  </a:lnTo>
                                  <a:lnTo>
                                    <a:pt x="180" y="57"/>
                                  </a:lnTo>
                                  <a:lnTo>
                                    <a:pt x="190" y="75"/>
                                  </a:lnTo>
                                  <a:lnTo>
                                    <a:pt x="195" y="93"/>
                                  </a:lnTo>
                                  <a:lnTo>
                                    <a:pt x="194" y="119"/>
                                  </a:lnTo>
                                  <a:lnTo>
                                    <a:pt x="154" y="182"/>
                                  </a:lnTo>
                                  <a:lnTo>
                                    <a:pt x="116" y="195"/>
                                  </a:lnTo>
                                  <a:lnTo>
                                    <a:pt x="170" y="195"/>
                                  </a:lnTo>
                                  <a:lnTo>
                                    <a:pt x="211" y="137"/>
                                  </a:lnTo>
                                  <a:lnTo>
                                    <a:pt x="215" y="118"/>
                                  </a:lnTo>
                                  <a:lnTo>
                                    <a:pt x="214" y="94"/>
                                  </a:lnTo>
                                  <a:lnTo>
                                    <a:pt x="209" y="73"/>
                                  </a:lnTo>
                                  <a:lnTo>
                                    <a:pt x="202" y="55"/>
                                  </a:lnTo>
                                  <a:lnTo>
                                    <a:pt x="192" y="40"/>
                                  </a:lnTo>
                                  <a:lnTo>
                                    <a:pt x="174" y="23"/>
                                  </a:lnTo>
                                  <a:lnTo>
                                    <a:pt x="168" y="1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05ED4D" id="Group 719" o:spid="_x0000_s1026" style="position:absolute;margin-left:0;margin-top:1.1pt;width:56.65pt;height:20.5pt;z-index:-251657216;mso-position-horizontal:left;mso-position-horizontal-relative:margin" coordorigin="10,10" coordsize="1113,3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vsPHy8AAAF9AQAOAAAAZHJzL2Uyb0RvYy54bWzsfWtv5EaS7fcL7H8o6OMuPF1kPUg2pr2Y&#13;&#10;2RkbF5jdNTC1P0CW1C1huyVdSe327MX97/dEPlgZmSdINiW1LJgDjEt2RSUPI/IRcSIy84//+uun&#13;&#10;j6tfLu7ur26u351Uf1ifrC6uz27Or64/vDv5r8MP37Unq/uH0+vz04831xfvTv5xcX/yr9//0//6&#13;&#10;45fbtxf1zeXNx/OLuxUaub5/++X23cnlw8Pt2zdv7s8uLz6d3v/h5vbiGl++v7n7dPqAf7378Ob8&#13;&#10;7vQLWv/08U29Xu/ffLm5O7+9uzm7uL/Hf/2L//Lke9f++/cXZw//+f79/cXD6uO7E2B7cP+8c//8&#13;&#10;Wf755vs/nr79cHd6e3l1FmCczkDx6fTqGg/tm/rL6cPp6vPdVdHUp6uzu5v7m/cPfzi7+fTm5v37&#13;&#10;q7ML9w54m2qdvc2Pdzefb927fHj75cNtryaoNtPT7GbP/uOXn+5WV+fvTuqT1fXpJ5jIPXXVVJ0o&#13;&#10;58vth7eQ+fHu9u+3P935N8Sff7s5++97fP0m/17+/YMXXv385d9vztHg6eeHG6ecX9/ffZIm8Nqr&#13;&#10;X50N/tHb4OLXh9UZ/iOeu93tTlZn+Krerze7YKOzSxhSflXBjPgOH852Z5d/Db+sqmrjf7fp3Jdv&#13;&#10;Tt/6JzqUAZV/Jfcv/dsFDeDXqQaq6rkVUEHn8io7/ypRBVW13ocXadr4lvHt9U/St89+ZL49Btr9&#13;&#10;sS/dP64v/f3y9PbCddF76SdBk9uoyR/uLi5k8K62G69MJxW70n3aj5Jvvtzev71HdxvtQVMV2Ovi&#13;&#10;9O3Z5/uHHy9uXD88/eVv9w9+BjjHX653n4c+cEA3e//pIyaDf/lutV5VzUb+sXavgWHei1VR7J/f&#13;&#10;rA7r1ZeVs15oNLYFoyVt7ffNCv/3lj22hO7nhdCSiFyuNtH8RyFoNmkJgHYUFQZQ39Zha6BCJ0va&#13;&#10;MlA1UWgIFSb5pCVRE0XVRTHRVWugkvGdNLZvK6YsDM7jG4oM1Zb0j6QtE5hMHF5OkFW1BS3T/nq7&#13;&#10;pdhS7VcixMFp/dftuqFaq1ITHKq9BS4zggUuNYINrtZWALiWgqtTOxxqcwBoQ+w7atQ6NYPIUL3V&#13;&#10;2gp103UcWmqGQ22NglqbYd9waKkRRIZD0zaoG3RMNmnUqREOtTUUNtoI+33HutsmNYHIUGgbbQFz&#13;&#10;PtukNjhsrKGw0UYwJo9NagI1p2FG/hDn3NPLOA2f/Xod5mH8tToVH3LtPIfbm3tZ+w94VSyYBzcL&#13;&#10;owlIyaRtCOPhIuwm2lFhWESE/aI/Ki0ThhN3S/e4OHqPE3c+1ai4DCoRx3gQH2vsPevwovW0N5XO&#13;&#10;J62j30xpXTqEE1ev6kEFY93Bzc4d7LuTFRzsn/0id3v6IDYWW8mfqy9wepyTc/nuRBY5+eLTzS8X&#13;&#10;hxsn8iC2xtvIc6Mnd/z647USU1Lxu/h565rCMEJL1Ta8b/wyfqZCmyYqMX4bP70UYKPno7UJgt4s&#13;&#10;mK68mmND8TM0uO4wAaHBMTGoScTqwdYypcVHnX28ub/wKET/rk/1NhFTJk7R/c3Hq/Mfrj5+FFPc&#13;&#10;3334+d8+3q1+OUX89Kc//bn+05/D85XYRzcMr2/kZ/Fl5efwaIPZxbd18dD/7ap6u/5z3X33w75t&#13;&#10;vtv+sN191zXr9rt11f2526+33fYvP/w/6RHV9u3l1fn5xfXfrq4vYmxWbaf5qyFK9FGVi86k03U7&#13;&#10;jBX3XuZLrt3/2EsiGLs+x9udvr28OD3/a/j74fTqo//7jUbslIzXjp9OEYhEvGsrscf9259vzv8B&#13;&#10;N/fuxseliKPxx+XN3f+crL4gJn13cv9/Pp/eXZysPv7vazjqXbXdoi8/uH/Z7hpZpO/Sb35Ovzm9&#13;&#10;PkNT704eTjCTyp//9uAD38+3d1cfLvGkyuni+uZPCNDeX4kn7PB5VOFfECu4v0JYNxA+obur8Mn1&#13;&#10;1Dw+lAj5qeLHLBI8hk9ZHIj+/YTB4zcInzAheE0ew6cQiyZBEgbno8OnMDGGUNpUIGaIGLqnM8VX&#13;&#10;hE/wH7fiCbnXGAmfYD03yo5Bj3Zd9vsabpDrXWlLqd8iIvCCPA2QCmmvpWoqF9QVqNCVj+GAdxxL&#13;&#10;VJnfyFEpt9FCpb1GURPVlXIavc9YosrDJ+fOFsrS4ZN3Z0ttleETBybj7aivED4RaJn2MdczQ4IO&#13;&#10;ObaG5dY5tASc1n+M7Qpb0vCJgMuMsN7RXgZWLAUHIdrPivCp4pqj4VMJrtYjoDLAqfjJCXFw2g51&#13;&#10;W7lwvdCc+JVHs9bWOMgCKGcxMj7FNelbs81aazvY4FJDxBCq1FwWQlXrWsK7YjyoGMoJUc3lQVS3&#13;&#10;5vMHDaIIOG0IE1xqhwFw2YBoG8cnFGbdpIY4bDyfQMBpQ+C5a6q51A5OiGpO/BZvfU+ntZUjrgpw&#13;&#10;2zSYPWw9n1CC2+YDAlMmMStYx7TPQYiDy+zQgH1ji9U2NcQBvI6wfQScNkS3F5ao6HLb1Awiw6Fl&#13;&#10;Vmh2ht5SMxy21uoANj01QwdBAm2XGkFkKLRdZgNzMU2NcMCMybW200bo0DEZtNQEIsOhaQvY63xq&#13;&#10;g8POGgo7bYQ9BhaDlppAZCi0vbYAoHGD7lMbHPbWQEC/Sg26b+iqtU9NIDIcmraAOfXuUxsc0HO5&#13;&#10;QffaCBa01AQ2NG0B053cpzY47K1h0GgjwJjMoE1qApHptQaHeGGvLNrtFbBXJmUoayNIlsNmGlEn&#13;&#10;q5WI++yW58SEIDAISVk/nHjkmIb5yy06s4hjOvakyrD4DoPciSuizgSzC6+6m/aqMh9J65hKpoCR&#13;&#10;OcKJT3tVGbcijiGXtO4V+iiSEavzSkhGxA9imCOL2NN5XmtjNKPHF6UirxY/fWOYVPAOUZ3xu/iZ&#13;&#10;ymzaqJb4bfz0UpjU0dIxjR2/jZ8RfGBAJgiGFkeeC28mCPa9Ij4yfoZHd14hmzG5BouAvAqWUG/Y&#13;&#10;2E78jK+CtUfk+oEXv4+fXk7WFBFbO3cK/SN+HT+9mPgSEKvb/eBT/TvUzTD16qV8kt58IshleSIM&#13;&#10;MvyaMWM9JodEs7SXiz0NkYtKk7rX4ELkelL3d0HkCun87NUfWFhy+tINV3k4akServrDT7h+zLlk&#13;&#10;g6sgsuuAsBYmiY6voi8NiiT1EEP1RxkPTnLRMd57dsR0gzMHPWS+iyBa+eemex4f6AJywzuf5JxP&#13;&#10;9M0xj/ZvGKo/Sl0V9CUNtTL60gi1MvrSDBrERzgim0pfGgGqYi/NALXSsVG9RiTLGId55KUFLbWA&#13;&#10;CS2nLtc1D1DnUZfdbsNCLcVcikwfaqXsfV75sYatmNbmEZedK68oeBrFW4oMh6YHQdUhXKTQUht8&#13;&#10;BW2JOi9COWS0JYQouNdEW5qsw2zakjKD8DOPY97mVDPa0gQ3j7Y0Jl3FWqq1AO7nwjtY0fXvnnf4&#13;&#10;FuFyHr8cA2odgVXrDjPilIgoRDpj8VUV5MaitY3UnEnsNxLVbWQxEbkuUg7xBeKnDyU34mtAbrMe&#13;&#10;CdkDQbLpuaDYTvwMke7UyHlyKB4Fi9hzCRavUUezVP08a9UPRrmq+nH04HNW/ewDtbjx9XzHuE/y&#13;&#10;UbJrJKba+qKf4hfHXRP6N5hA+YaRbxA0S+CTRc0bx5k9ddRcaCOW/Ri6mB80b9p2VW92joNL3fgi&#13;&#10;aMaTwZqlIjpk7vb7Ff6fC6Vhm4hcrqLpj6VDWcQMNBRSETGXkHTEZkBK42ULko4UREEUUuqgunC5&#13;&#10;hJQFy3BjG6YnFS07IaapPFretB3FRaJlgkzr3USW6t1GplVfb7AzgParVPt+owRBptVvIkvVbyLL&#13;&#10;Y+XtmtuSxMolsqLIp6LWVKFytYYQs2YeKm+aNdUZCZUJMm0A91AyHlWkbCPTBqhNZKkFfKRcIivK&#13;&#10;e1CQQ5DlcfKa6iwLk1GmvKM6I9U9BFk+AgxkegRAiFlzow0AZBuOTI0AV9pDkGkDdB3tZipAFhmG&#13;&#10;Kw+Pt8DPRiYJj0tcWU1P1+2YKVVwLDIUl1Y+Zgw+LklBD8Glld91W4orVb3IUFxa9cDF51jJ/B4Z&#13;&#10;SRTgfFmVuPJanq5muHQtD2QYLjQenufIYPQvPsNKivmIy5XyEFxa+R1mazIkZY9v35TIUFxa9eZc&#13;&#10;IbnsvjFfx0NwaeVbuFLVW7iyIh4TFyniKXFlJTxdQ50dVcIjMkxfe6162HFLxyOp4CG4tPItXKnq&#13;&#10;TVxa9TauVPm+fKfElRXvGLhU8Y6Fq8n6veVZNKrfo36KjUcQDukgEveP9PtG9XvDa5Wsue/Pfjxa&#13;&#10;njQ2KyX9Hp2C4tLKt3ClqheZ2L8WznGgoud3zzma5UVLrZPFU/NaJ1ORMveA1Thg4khKo2xxTAlO&#13;&#10;PNYhuaKxR1PDmIaljgprFSujEs8ZD43VKhYp7PP1USryovHT86NeBgvnUB1N2JM6JoWpVvig4bbE&#13;&#10;jYJUX2QX4cTPQNticp8shc3RQ+hDXd+YlDdkv0s34omfHtfW48Ke3sEn+nfE3opBKd/TsJ9jUMpr&#13;&#10;FYHjkFSoh5omVTDX2TtiAYPuR6QC7z/cu7KOGp/zNEz5D+5/QS1LWdVSVpUcZPVVBzTxQ3Ua2Xme&#13;&#10;U8Ru3L9eitiiWL6aIq6wbZu526nj7mSiW5uyzdpxr1GdS6Om1HN3h+qUsYn22y1QqddugtJeO6gC&#13;&#10;Tq2kbvtUmhjRPYlMMprYbZYqCfWCJu44FTWPJgavxZClmofCpDyIINPKh8Z48EtqqkpDVlr9eChl&#13;&#10;o7LtoK4Ap0SW08QWspk0Me34OU3MicWCJm65zl6eJjapdTUA3FE6pTULmphT6xlNbFDrJU3Mp4t5&#13;&#10;NDG2g5ERoA7SAbXOac+SJuYJOFJKRXSWjwAU2zFkqf6BjBOMJVHMkc0hiq2xqZhiJ8RmDXGgU6pl&#13;&#10;i1O4KIWdzkF+72eps62egvBQqjO19dMJUWTaACDNeDpiDlmMh9JZQ7HFTigiW2ighQbCqUyHl9jy&#13;&#10;9szsRR6PW/SFLA+IQ0fidjkZTaSG4+Ow0RAfQ1E0KkBcW8PRfZDCTDbUlhysMM5gTGNDZJpAW1Dc&#13;&#10;0BMxPzqpYT4hSI1s/ApPxAo39MTckkt8704VXs6/euT5V99m29QaLkYW38NvQn9/zfE9jye+Or43&#13;&#10;snxpeG8l+TIHz6o30f4dzaRp786AlAb3FqTMs9u03LNLXetpsb2BSYX2FqgisjdokDmRfYfjMEjw&#13;&#10;oDdLuSMzyug53yu1QRED89DnxPVdSx10FdaLTPSCU9aojOo5rjlRfdfS5LEK6kWG4so7vFEuNyem&#13;&#10;71DSSeyoKr9EhuIqej2PAcnhuGWklUX0HdgxgksF9CLDcOXx/AZ6Zf1rTjxvFJmocN4qMimjeV6U&#13;&#10;Myeat3ClM46Fq4zl+Rw/J5bvMOcQO6pQXmSYHctIns+qs4q+wIsxXGqyhwzFlfX7p4zjjXlVhfEi&#13;&#10;w3CJ462ZD27HWUVfvIhJF30lRUwLu7CwCy/FLpilFPxAnecmI3yY3ie7LTJi2oEj4azvvrUYEMdP&#13;&#10;X0QQiA14iUPBtaxHCPrhjk2QgnM0KAVvG22h5H1QyhMISFIMSoXihmHCJdQjjRQkbL324bINPTHQ&#13;&#10;DMgRTZEaaSuzd7TMUpKwbN579iO7G7kzSG3fc0PtObfvyb1SMvTL7Xv473T7XvGLZPue+g1m5hfb&#13;&#10;vtdge3BO3niy8qnJm0Id/f49rgwsbzMPvdni5I9669eONPAtyRvHA6ci2rWE58y8Z0XeJBXHaUNZ&#13;&#10;LAs0FFJJ3hSQMvKGQ1L+vAEpd+c3KIAgWoI1jlsS3A6OAhJUm3rgyLfx8odU4U6IufM5fbM1cDH6&#13;&#10;pkSm9W7ukkv1bu6Sywmc7RYBNtEYI3BKZFr9JrJU/SaynMKxkDEKp0BW7N/D5gsSMyoOB9bkQWNe&#13;&#10;mLHdITgjOmMkToks6/ucLNEkjkGW5Mdz40IKjivVf9i9V+B6RhLHmrsYiVPi0r3fmr7Szi8ycVQu&#13;&#10;wezrDmYfH+Gh89vF8kJ6wwGKAZIV4PmoJkrFsCB++sBN5hLxpYazyEFqpA4+hHfTpPzRBFBUxBM/&#13;&#10;dVX6tMBtWCpTV3zQEh8t8dFj4qNvlNKFt5KldP1gfcVRAY7AY55I6qS6ozD90cCpM/9sUYHhHKUL&#13;&#10;tC/YLpb6zDN6uqjA8IuUWzQpKjBSWzqla3hrRUxgKGpOTGDhSpVupdyKiMDqU2k8Fk70KEyYlWob&#13;&#10;3ppO6S7emlOj93TcDXXYJviIg9Yx1gc8Hvl2gscT9rINuzwSM6CtEU44NDUileFaXIulWuyb3ZbY&#13;&#10;rDEoFPXq8hfPSr36wCPePB55w1ryXMK81ij+REIDhGG8LlEOK8AX8RdH4jX/DSaSl6NehUbLnayg&#13;&#10;zKc9cDxTh6XAXhmzqdeqxXFNVVMeeVY4WWIIZ7PjkWfaywJdvBLKOBNKuVcRuVz11j+2pGmQqnWX&#13;&#10;2JWg0hXfuVkElPazmm3DQKWrvYhQUBn/1zRysWQJqnC0CKiMf22xJ4KoSnlaIkNhZa6WQKK4iKvF&#13;&#10;kGnVt7hrjCFLNS8yHJnWPZDJ7Walxgj9ypBp/bf7iiJL1S8yFFlGv1YN3FiGjNCvBFnGv3bYvkV0&#13;&#10;puhXkeHItP6rFu48RZZawN8xz5BpC3S4w40hS7u/yHBkWv8V7gTmyFILeAKWIMsZWPjhBJkuo3NH&#13;&#10;oJPZIqujq7qNHBxf9jNCwTJk2gLdfkORpfoXGaqzrJKukgpFiiy1gL8ZkSHTFujqPUWW6l9kKLK8&#13;&#10;lm5d8VmD1NIRZNkJai0GOrGmKqYTGY5M6x+eIdcZqaZjyPQIMOYztS/OnM+kRiOtW1tjEDNrSpXG&#13;&#10;MQPnDlEjyLJT1Nqa6kwV1IkM1VlWUVfJMXAMGamoY8i0BRrc0kusqUrqRIYj0/qvOiwWFJkaAe5C&#13;&#10;RIZMW6BBppEhS/UvMhRZdpSa6fmAl06s6e5DJMhQPZ72DaBiyNRZaiLTI4Prthywbx1cJMswooED&#13;&#10;llBf9zR8H52kJp14zE6MiKO7iDgWmymtyyrixGPZ13DrUiTtxBXvYZb+vcQuRxMMr0O0xcOrev41&#13;&#10;UjymuAws0Yy+2M//7BGMkAxOoYTEUZCY8pjm8iki3ADtnhvZnuP3kYYJqSTfi0aOLsKEhHdoY9eJ&#13;&#10;TcRP35RnjqqREkCvjgprqe+GsY346duS/DyeCFdiUEzOBIRY7UuBoNTYSvwMyoh1hz4Ct+XC2WH1&#13;&#10;2F5P8YXluWOXFsjqJ6+B5w++bdikOaa7OmzTrNYj7cXNqMNKrhpvV3/Su62VrCtF3S4pwiVF+JgU&#13;&#10;4Rsh4z7c3f79VrZgqj9xjd1Pd6ur83cnjdADisdz9dHPyeOFm1v9mD3ef1C3WEEdj4c/MJox40ce&#13;&#10;L/tFwuNlv8EYe0EeD5NWxuOhJglv8tTJ0kwdPY9nKQOanFdCCW9W4rloqSOzhj5zDE3kbm8xnrPZ&#13;&#10;USZzZYWcWgeC9iikeDzPTZUt6UCialFmyEClsbTn8cqmdBzRbCioNIgQEbjXZUs6hqianURxpabS&#13;&#10;IMLtgSVNZTxegyOpiKoUjycyFFbB4yFwZLgYj1e+pOzSSGLVdtdSZKnmRYYj07qHxiqOLFW/T5oy&#13;&#10;nWn9t9gkxnSWql9kKLKCx2u4zhiPV+os5/E2NUOmeTzIcGRa/4HHK3sZKaMkOsPJmKk1uwbRZTkk&#13;&#10;dR0lZDgyrf+qw9URrJ+R3bAEWc7jgeAiyDSP57bpsrb0xFMJecWQMR6vtKYch5KMgA5b3RmydASI&#13;&#10;DNVZweNthWEsrUl2xLL31BYwrKnvQbCsmfF4uP6RT7GMxyt1lvF4nTA/ZT9TPJ7IUJ1lu2Ir2f3P&#13;&#10;dMZ4PIIsGwG45ZIhS2cguQmTI9P6x1rZcWTpHHTwPF6JLOPx5KkEmeLxTGQ5j9eCbmI6YzweQZaN&#13;&#10;AL4GKB6vs9YAXKaUjiYs5XzVJBcikBGAS9nT1hyTXfYzqZLonZXAZJdvmfN4TcPHJuPxSGt6DmrB&#13;&#10;RBJrKh5PZGg/yy5FqHzGsJw1yKUIRGfIZ6Q6a/nqhIz5UWciw5Fp/QMZt6ZE/b0F/LUIBFl2L0KL&#13;&#10;o/iIztS9CCJDkWUXI6Cf8bFJLkZgyPQIaDCcGLJ0DRAZjkzrv2pxOgcbm+RqBIZMW6AR9r8cAU2q&#13;&#10;f5GhyFpwKclKhxWdWxMsVWLN1vD+Wz0CGskylcha5f/7LFM5mlqtf6wBBrLUAgccZ0DjklZbwEKW&#13;&#10;jgCR4TrT+reRpRY4wHOhyDptAQMZLvw86t9E1mn9Y0Xn3naXWuCAo2k4Mm2BBmk+Ys0u1b/IUJ11&#13;&#10;Wv/I5XBfo0stcMANSByZtgDKkiiyVP8iQ5FhN1NUrbu3BK6jpJnKqRbnhEbBf36zOuB3HBw2bkU5&#13;&#10;12CDyJXozd0N20+QImTA01bACOVzRyUncfXtAZ4xEirZPpsMeUDj8FJLiJABT5vCJg+kdCyFZwyH&#13;&#10;Ko+LDXg6ME7hgQ5a0mFLOuxFDv00E1YvkQ4zwYTLaA++RBLjZTgN+RJ3v5jYxRFB8ucAJ8Inf4ax&#13;&#10;t5gUnfi0fC7cECfe36893Lqso9I61sApYGRxc+LT8rluwRF5WSqmtO+WAP+Daa+LC889ogrTafIE&#13;&#10;3yUek0gVRUoiFZ80kRpyaWOJVAkw8UJgijy6mCWLnz4T6V8CxhgSCklDhI9DUt6gCGqGpXxjNarH&#13;&#10;hhoTdwzoa7jiQ2KVhLQi1w5ji5nFGp16sL3Qz8aeW4ddijXCq6H26mCs2h9ziM4R1R8/Q0I4HMkz&#13;&#10;Kid0tbzviC3CTod65G4foS7RWuXvbDbRCQ8qYiM2i4cPAeOQTkIBAgiEIakqnKvsM0ImtCq+6fAp&#13;&#10;RXXANqYPYfnlTYdbq8Rxh9hI35Rb/SA1PLaqHZxUSI1oIxv0sfc8Tcp7Db8bnrc3x3KR0XKR0RNf&#13;&#10;ZCSjKk/0uvn69SZ6LUpFxblGlJvFuJzpgcr6kM8kLYr4lvM8Kro1YtsssuWgVFxrcjwReeQEeAIC&#13;&#10;nkf/glMTvTz9rONZK/+cJ3o7I5k0K9HbbCiRqM47FhlOBGjdo4yYpx/Yho2S/Mu2xwrHzCiUVP0i&#13;&#10;Q5Flid56bdDCsxK97QabXEqKUyV6RYYj011fNjJS5mlWotdIP6hEr5l+kJU64YhsZKkFwoaN0ppZ&#13;&#10;otcoKFCJXrOgoNiw4bZSlWzdvEQvH5v65GNrbBaJXjBwjEecl+iVLUtlP9OJXr9lqdR/nug1k5Zq&#13;&#10;4sfuIUq+5olenrTUiV4znapHwG830YsRwJNJbMNGaYE80Yu7sIg1daLX3ZdF0j9Zordeuy1L5QiY&#13;&#10;leg1Zg2V6DVnjSzRC2R81ZyV6DWSlirRayctNccPZDz9MC/Riy2mxJo60QsZugbkid6uM1LQyv/Z&#13;&#10;Ww6QXoWbLUemXCDIcGR6DcCKzpNJsxK9hq+hEr2mr5Enei0/dl6i1/AaU/0rXxZh/ZJvWPINS77B&#13;&#10;5OxfIt+AUQnu/hkp7IKNszYDTWT3Irs7wnXDRfKE3DBDXYuXBkZuhMiuA48pROUQkSmUrjQ3TrJG&#13;&#10;uWEqWzhdaa8ee1txKUQOOIfwVROp56lUtlDi7rkIfoeeW7cTyWdQ+05/Y+xzyFcd8zGRJI2fnmqv&#13;&#10;Zdcx9ILSzEF44oVDzB/fZvLPRVeOD1uY2WUz0mM2I32b8wplv0LOzLqsxutlZtudUeQTaRmpQDLi&#13;&#10;84yZ7WhtlGJmIUIjgCw49+eJkEAzBWUFJlHGl0RxUCossUBlUUkLOoaxLIqYsmqNdFQoW4xIHKeY&#13;&#10;WZGhusqZ2dYdcVIqaxYz28qRACX7o5hZkeHIdEyIE5G4xmYxs6J+hixVv8hQZBkzayKbx8zyknXN&#13;&#10;zFol69lJ5kDGubx5zKwcWFNaUzOz/sCakknKmNmqrTkvNWsLTmtsdEl5QZGh1syZWWu6mMXMti3V&#13;&#10;mWJmRYYjy0eAsW1vFjNrIVMjwEJWMrM8+TVrC45UmZN+pphZkaE6y7fgtO74oXI+m7UFR06KY8jS&#13;&#10;BUBkOLJ8BdjytXIWM2sgU8ysiSxjZqvW4j/T1feApZ7y7FJTkeRg3KFl5ayhmVkrA5Axszay1AIH&#13;&#10;f5ROOQdlW3Dc8UMEmRoBtZGdy7fgtIY1ZzKzdEthxswaW1dzZrbFFZvM05i3BQcnU5ERoLfgQIaO&#13;&#10;gH0+AoyxOYuZbeUIutKaipkVGYosZ2bbhvPss5hZwz+TAy77JLzpn0kdUzKaKsvDnrcFx/Bn0xHQ&#13;&#10;pA7twhm7ox5+vV6dXn+QujH519ub+5Xcp7gc2WSx6eE+wAPYH0/7DJcnhyv/Dli9pogvNeqW3mVS&#13;&#10;AI126At5nd6fnWKOx011sUbTophDoXEvF/m7+OlJQ9mdh7c4VpPHr+OnF5PNoiLmz981ScPICI8w&#13;&#10;uFFspNY3PhRL1hChGar/MXsPigV9VN51MV8hlr+PysWiYGhwCF0l7ryoDrtah+Q6eHYTxCJnPMJ9&#13;&#10;R7GRIuP40JELQCvckuPNP8zg9+8K2mDoXeX0Lddev4ch9rb4GYrHw3lYRR9eOOiFg34FHDR6ecZB&#13;&#10;+4nx9XLQnRG9pmTQN+egu5oHFGkMMPEYKMNnj2ECGHblsqd3AmXxV1dxUKn7P7E62IhxZnLQHWeT&#13;&#10;fgMctDtkuGSTfgMctIHsN8BBG9Z8eQ7a6v8vz0Fb08XLc9Adyu4Ym/TyHHRnHBz08hx01xhMr579&#13;&#10;jRTkVjNABtOrj3OfykFbx429PAfdGXXL86qDeRX6PA7aRPbiHLRlzZfnoDt3xU65br48B22NzZfn&#13;&#10;oDsj2/fyHLTlYS8cdLzdb4AlFicWJMqhr9Ab5kLFs3TikWAaFl84aIsLXThoSzMy1UkX649TGO5i&#13;&#10;Mv848chljoi/EAcd6MWel7M4aBzt696nF4z8XvwMPF8oBh9joauQvBijoStx66DGaoSH7uVGiOj+&#13;&#10;uSNMdBXfY4SKjmoZ5ZjDWTJjcnU4PAOFP4O8ax0vexjhomPZ+RhnXYWK6GqEje7lRujo/rkjfHQd&#13;&#10;boWoRuUCqT7CR9fhyJvR/pf3+9iNFz564aNfAR+NWTHno10W+PXy0VYtydfz0S0iAlLiklZliQit&#13;&#10;cNFFWVWLOk1G42hGghd4ZXzEnu4JToPhFiIUVMZHt8ZB3nP4aF6pp/loiyUpaqKNOqV5fLSBLNW8&#13;&#10;WamX3eWORZezcfP4aNyiSrqXusy9dZe5k93dRU20UUE1k4+mHT+riU56/lKnNBCB8hjx+atCYkYd&#13;&#10;2+h95t10yQNC8VUHc/SykUB86DFfcWJ9QxW2nVX+HlW7/qJ4k8XJkqNW3nw6vVqcrFfgZGFxzp0s&#13;&#10;F5W9XierQ80382de1Mnqdjy/ni7105L+4kGRpXmOk9XhrnemqZd2siwi/uWdrM44qunlnSyr1y9O&#13;&#10;1m+UiH92J6vGZaDOJRp1smo5d1+cpzEnC8ToFCdrKnEXj1AYc7LKN1mcrMXJOnk4wdaLs8tX4GRh&#13;&#10;IOZOljuN+PU6WdZOshlOFt9GppgsaxdZwWTx4poZThYHpZwsC1TBZPFLGec4WTXdDauZLMhQgq1g&#13;&#10;snBzHXP+5jlZxh76VPPmHvqCyTJ2Kc5zsrglNZOVmnLhi6LD9IwnT5VbNEwCSI5GEd9kJHlWCeso&#13;&#10;cki2DRJFwhSK3Fiy1dxEsmTPFmLnt+9zyHDIfQ53QNrr9TmsysEX9Tm6LWeb0pVvIrHDV6o5Pkdn&#13;&#10;XFH90j5Ht+Mnw768z2H2rVT9ky/15pZcfA6/OV78OKzAh353rqsae34+pCjDMX2OLjAnIz4HzmCe&#13;&#10;5HPUa//GYz6HXSi0+ByLz/EYn+PNl9sPbz/c3f799vs/Zn+e/ccvP92trs5x0Kpwxd5n+PHu5vMt&#13;&#10;wkNxpUUeQj/Kr3+6k2Sya+hvN2f/fS+edv593z6a/fnLv9+cX7w7Of38cOMOyPj1/d0naeLm/Xs5&#13;&#10;KGMf5gIcO4SmTt9e/PqwOsN/xw0XJ6szTBLyh/vm7PI/+U/OLv9q/Agzin/c8e0FvzhAX+5vV79+&#13;&#10;+niNv27v351cPjzcPvFdOzLZZP6Xv/Tqqf2vqSrstYFThT/fP/x4ceMMcfoLwjyn4f4E8A/nAfkB&#13;&#10;RkgOnKm363aF427drvp0L2npgEWrHZvKjnTExRINtsuHB8fnpaQPvhYio2xJkz71ZruloEoHrGxK&#13;&#10;ly/5W6gLUKkHEC6hLlvSpE+9wVn5TFOlA1Y2ld8e645AK1Ap0qfxR6CRtrTaBRLFxRww0ppWfbuW&#13;&#10;IqESWap5kaFWzEgfU2OM9CHItP7bWo6mKpGl6hcZiiwrX0IHa6jOWGatRCbzQDKG2lauMyiQ6fIl&#13;&#10;yHBkWv/1Fsdgsl7GttMSZLr3d+7o0BJZ2v1FhiPT+q+3m5ojSy0QLtspkYGaSXXWufuTC2Tqsh2R&#13;&#10;ociyIx3rLchFpjO2nZYg0xbwufgSmRoBvuKRtKX1X+9wbz1FllrggBMNcNQeaU1boMUV26Sfqct2&#13;&#10;RIbqLDvSEch2FBnbTlsiyy7baVo5OLHQmTrSUWQ4Mq1/nCHORwA70pEg0xZoaqmsKJGl+hcZjkzr&#13;&#10;31wr2XbaEll22Q5QMWTqSEeR6ZEtJPZXFz2aVz+ECr9DvxtkeJNTOGjpgOkJ3o2PagfAyLwjwTCO&#13;&#10;gZ0kjs7oxKftAZQRKuIYXVNaf5KNcf6VH5M8wHhwNy/jUzR3DNPjOUv4Hm8VT6g6fh/LAryc3GYG&#13;&#10;Mayt/t3jt/EzSDmhZvioKP9AXM86oakK25YGH4g1ELDGLmiWhzm5sd1ocZdUN3JZLl7RtTe2+ykU&#13;&#10;eYADGXqLeIkHDqUcFAuHp8FZGhQTkycmjSZ6Gt7jB/e/AGC5V/d3dK/uMfIf5D0wByvew3X9nNd4&#13;&#10;Ut4jnnjnt34fiQ/ZCiq8R9jbh0Wp5z3ynxyJj+xHfaR/fPtvyHvAQ8t5DzcfPjnvkesjckeWNh7B&#13;&#10;e9RCMfiTMwd5Dzwas1wqkkV/khjAAcmZUEp7tK4WoTf/kUDJPN8NtvswTGno4fJOJSbt9coDCabU&#13;&#10;6TUxZT6vhUkFfXKRRYkpIz3cyTalohTp4XdGEU1llS64R8owX6r3QyVnmBNgWu8WsFTtNjCteRtY&#13;&#10;qnyfdCLAtPINM5Kc03HbcM/4nV5GEhC+bfDc8Bc72Tg4lNGnGvaFoRXMZYe4yWdY2LtFB9jYewrD&#13;&#10;0sJYSduPOjvj0a4qzCKeqqiUearBn+4PL7Y81bAhvpeL7k/89J5qkDraL34dP71YeOhEseKZT+Ny&#13;&#10;YQtQ3XvLi8v1O3K5vlF6BVNL7ma4CPo1uxm4ZJ0t6UV6pVwMtJuB5Zwt6elyJyKXqzBHpA6LXu7q&#13;&#10;DTILDFO63k1yMwxM6UpnYtIrncChmL7ezWhQA4un5v6YcjNEhmoqdzMsWCS3UhpQqhzTNAF3ymST&#13;&#10;q5fC0a6mV5anVrYbIZaJ+5oq/7ncjLRv5ZkVCxjJrJQayxIrhilVYsU0ZXZXFtIXfCSSxAoBpr08&#13;&#10;o+Orq7JUz4dT8rt3zGwyNvifPak37CVy7va53T45TDIhsyyvz3uwkcWMTlz89M6cp8WGCUUvUzhy&#13;&#10;uiG58AiYpkkNPy97vficxXFcapS+QY0SZlfF1blEyHNydU0g4ttQiRR5Jsk/C1XnEz0JU5f/4EjU&#13;&#10;6Z+8LE+HxT93oJ9lT1quDa6+XhePYOkqyezjDLqMXSvc52iwI7eWuc8oXmj8Ldep96LcZ4hcrsqG&#13;&#10;tBcHNOKplpBSN855z2VLmRPBIaUOHBBTSLnz3G0opMJ5LiFlHF2zAXFYqkk7z5Bheip8ZwMV8Z0J&#13;&#10;Lq31BkXmDFeqdJGhuLTaTQOSqiSCS6u+2dNupRg6kWG4Cs/Z6OvEcy5x5Z4zx6U9ZwuXVj0YTd67&#13;&#10;iONMcGnlG3bUjrNhx+yKWRuX6vaoCPtCBnVWjmT0e7zPMTYTGWbHohrJsCOpRir1tdHKlwmA9Ht1&#13;&#10;v6zIRFxLnDFQliEDSejlR8UZdhQTuG5vUx+ODIDhNSL+Z4+os5AeC/IaH4y7lvE/IYjBmE2kYiwQ&#13;&#10;P9MgZrhQwAcxvbpjA/HTN+QfNrJzMwAfkZJBDeAjDwxSw9AzTUXISzy0xEPfIB6Ck5HGQ/AU4P8+&#13;&#10;Zzy0D8cPo67TedrRoa+FnXR7NmJRw7F2IfvJMSLKf9THAS9Su4BpOY+JnuXE2akq7LXxiKjIV/yH&#13;&#10;2PUY8qTeir8CLVrtKKPDoj2ulcL/8/AqDYtEBDWoZUvaU6k3O1e2W4BKXXQXF5GmMicRJfAElAqM&#13;&#10;IEJBafccpdcSrJW1uMpFFA+RgMpDo13LUOnQCDIUVhEbobSd4SKxEUOmVd90e4os1bzIcGRa9wDl&#13;&#10;qvwLM5LoiCHT+m9xyw+xpAqPRIYiy+OjzdZVrBfISHxEkGUBUts2DJks+8dkDGQ4Mq1/1IVza5II&#13;&#10;iSHTFugwuInOVIgkMhyZ1n+Ikcr+z65AK0e4eEpJAqvDZgaCTFzOXmciQ5EVUdJWosoSGYmSiM6y&#13;&#10;MKlDp2XI0hEgMhyZ1n+9xW1SFFk6AYU9G0Rn2gJtt6PI0glIZCiyfM9G2BlRjAC2Z6NElu3ZaFs6&#13;&#10;NtWeDZHhyPIR4GLe0ppszwZBpi1gIUv1byPT+hemjlqT7dkokWV7NoxZAwmY4wgQGaoz7IdNR1O9&#13;&#10;2fC1iV2BRpBpC7Q4i5SMAH0FGmQ4Mq3/elPz+QyHDh7f84AjWem6KVmpZNZo1xVFpkYAZCiyvZ6B&#13;&#10;gIyvTuwKtFJnUreeIGuwJ4/obJ+uASLDkWn9w/1paT+T+1j62fGwd5cAEmTaAk1NxyaqGo5tiQxH&#13;&#10;pvUfdy0Vswa7Aq1EhrO3lc5wpyzRmdzC0r9lAxmKrNH6x0zLdcauQCPItAXkqQxZqn8bmdZ/vUXn&#13;&#10;ZmsAuwKNINMWaLDVjiFLR4DIUJ0hQ5XqH2UMfNaQK+h7Cxyw146OTdzOk7a276iv0aYjQGQ4Mq1/&#13;&#10;+Bp81sBNRCkyYwS02gLQF9NZm44AkeHItP7NEdCmFjjgFgiqs05bwEDWpfpXyBDwLbUf1uVkr4CT&#13;&#10;NRlfuRNX+GRswJ1S3fwS+/ZM7OJkCHY4CFOwy8rvxKe9qizHIo6ldErr4c6yg6/a8xz4AHX+Ehfa&#13;&#10;mYqUeVdeFXPmlFeVydCJT6uflxlKxDG7JK17DT0iSyARlduNiU+WJ6jCMdPOZ8DTrGoncY8BD8WJ&#13;&#10;Hl2kyeOnZ/j9O+yHC5BCS319eWwifvqmsHzJ8xBYDz0wVsv7JD3wx0bip2+sQrwizdUo1BxqrgrJ&#13;&#10;gBrszKBcuF9EjrYelAvDA8c9D8uJ7yWv2w2/biXFoRPk4lV+I2qR8wSktV0c61Fr8TOYIlos9uT4&#13;&#10;dfwMYt5kWLiHVBIq2foN07GN+BkNhoXdvehgY9V+mtguqG3ECkEfY33EqyOOmAg8fuoXyKWWtNKS&#13;&#10;VnpMWunb7M8QOjBPpbh80ZPvz8hSS1Y2CjN7PHts9vFXRgiaevPTUilG/JmGUmb4mUdSRn5HBVJG&#13;&#10;HKXDKANUGkWZoPIgCnwDC4l1DMVDqDyVUtGAWKdSIEODuzyVst22FNe8VAr4JQRvsrykZYLiLvXB&#13;&#10;dQMZjkzrHvSG7DgoSdFZqZRmQ+kNlUoRGYosT6VswQ8wZLNSKQ0OpiU6U6kUkeHI8q7fGchSCxxq&#13;&#10;o/PjNL6U3mhwCyZDpro/ZDiyvP+Dpac6UwPAlZuxhAXmTt+D/uW7FQ5L4uknlUoRGYqsSKWAB2HI&#13;&#10;ZqVSWk6jqYozkeHItP5BoxnIUgtMTqU0NM2pj7+CDEVWpFKshIWa+LcGjfasqRR//FVB1758KmXn&#13;&#10;D0AskakRgOmY0mh5KmVDZw2dSoEMtWaeStlhsWAjYF4qBacGkFlDp1Igw5FlI2BX8REwK5XSgKJk&#13;&#10;yFL9iwxFlqdSdkZpxLxUCraeEmQ6leK2p5K5EcxAOjfiaDojyaPWgKmplC1dA3QqBTJcZ8UaYCBL&#13;&#10;LXCAS0lHQJ5KwYZEojOdSoEMRVakUnCJHRsBM1Mp1JpNqv+mMlYnHB6lrGkmedQagHmb60xbwPJn&#13;&#10;U/0rhxYhwkK+L+T7YSHfrU7wCsh3DGJsCX5OvjtnDC3COxLjCLuG6MwqHBiJeGpQbIvZDXwmdrYM&#13;&#10;iskCCbE+zxRJxfgZyEVJFUOsvxoyfh0/g5jkMyGG2XzwoSCdRWyELK4QLItYNaaRXZBDBnrwsRO5&#13;&#10;bLkT3D13hBuvhVQQfEjWDT3XZUTcewzbQnIFTi3DdHAdGCwsv4NPDdtQ+yxcNFX8jCbzJDqCmKHW&#13;&#10;cPObw4bIe1As7+zxYQsLvbDQj2Ghj+X94QaJLx9wNYV4YHent5dXZ385fThN/91Jvb2oby5vPp5f&#13;&#10;3H3//wEAAP//AwBQSwMEFAAGAAgAAAAhAEKN+mrhAAAACgEAAA8AAABkcnMvZG93bnJldi54bWxM&#13;&#10;j0trwzAQhO+F/gexgd4a+dGW4ngdQvo4hUKSQslNsTa2ibUylmI7/77Kqb0MLMPOzJcvJ9OKgXrX&#13;&#10;WEaI5xEI4tLqhiuE7/3H4ysI5xVr1VomhCs5WBb3d7nKtB15S8POVyKEsMsUQu19l0npypqMcnPb&#13;&#10;EQfvZHujfDj7SupejSHctDKJohdpVMOhoVYdrWsqz7uLQfgc1bhK4/dhcz6tr4f989fPJibEh9n0&#13;&#10;tgiyWoDwNPm/D7gxhP1QhGFHe2HtRIsQaDxCkoC4mXGagjgiPKUJyCKX/xGKXwAAAP//AwBQSwEC&#13;&#10;LQAUAAYACAAAACEAtoM4kv4AAADhAQAAEwAAAAAAAAAAAAAAAAAAAAAAW0NvbnRlbnRfVHlwZXNd&#13;&#10;LnhtbFBLAQItABQABgAIAAAAIQA4/SH/1gAAAJQBAAALAAAAAAAAAAAAAAAAAC8BAABfcmVscy8u&#13;&#10;cmVsc1BLAQItABQABgAIAAAAIQBWdvsPHy8AAAF9AQAOAAAAAAAAAAAAAAAAAC4CAABkcnMvZTJv&#13;&#10;RG9jLnhtbFBLAQItABQABgAIAAAAIQBCjfpq4QAAAAoBAAAPAAAAAAAAAAAAAAAAAHkxAABkcnMv&#13;&#10;ZG93bnJldi54bWxQSwUGAAAAAAQABADzAAAAhzIAAAAA&#13;&#10;">
                <v:group id="Group 11" o:spid="_x0000_s1027" style="position:absolute;left:12;top:15;width:1106;height:378" coordorigin="12,15" coordsize="1106,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43" o:spid="_x0000_s1028" style="position:absolute;left:12;top:15;width:1106;height:378;visibility:visible;mso-wrap-style:square;v-text-anchor:top" coordsize="1106,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hQaIxQAAAN8AAAAPAAAAZHJzL2Rvd25yZXYueG1sRI9fa8JA&#13;&#10;EMTfhX6HYwt9Eb1YJEj0FGmR9tU/YB63uW0SzO2F3BrTb98TBF8GhmF+w6w2g2tUT12oPRuYTRNQ&#13;&#10;xIW3NZcGTsfdZAEqCLLFxjMZ+KMAm/XLaIWZ9TfeU3+QUkUIhwwNVCJtpnUoKnIYpr4ljtmv7xxK&#13;&#10;tF2pbYe3CHeNfk+SVDusOS5U2NJHRcXlcHUG8tNY+jz3en6Wn3R2Tnm8yL+MeXsdPpdRtktQQoM8&#13;&#10;Gw/EtzUwh/uf+AX0+h8AAP//AwBQSwECLQAUAAYACAAAACEA2+H2y+4AAACFAQAAEwAAAAAAAAAA&#13;&#10;AAAAAAAAAAAAW0NvbnRlbnRfVHlwZXNdLnhtbFBLAQItABQABgAIAAAAIQBa9CxbvwAAABUBAAAL&#13;&#10;AAAAAAAAAAAAAAAAAB8BAABfcmVscy8ucmVsc1BLAQItABQABgAIAAAAIQD8hQaIxQAAAN8AAAAP&#13;&#10;AAAAAAAAAAAAAAAAAAcCAABkcnMvZG93bnJldi54bWxQSwUGAAAAAAMAAwC3AAAA+QIAAAAA&#13;&#10;" path="m27,l2,,,14,,377r1104,l1105,24,1096,4,1078,2,27,xe" fillcolor="#aab2ab" stroked="f">
                    <v:path arrowok="t" o:connecttype="custom" o:connectlocs="27,667;2,667;0,681;0,1044;1104,1044;1105,691;1096,671;1078,669;27,667" o:connectangles="0,0,0,0,0,0,0,0,0"/>
                  </v:shape>
                </v:group>
                <v:group id="Group 12" o:spid="_x0000_s1029" style="position:absolute;left:10;top:10;width:1113;height:390" coordorigin="10,10" coordsize="1113,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Freeform 41" o:spid="_x0000_s1030" style="position:absolute;left:10;top:10;width:1113;height:390;visibility:visible;mso-wrap-style:square;v-text-anchor:top" coordsize="1113,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WY1yAAAAN8AAAAPAAAAZHJzL2Rvd25yZXYueG1sRI9Ba8JA&#13;&#10;FITvQv/D8gRvurEHaaOriFIVi0htS6+v2dckNPteyK4a/fWuUOhlYBjmG2Yya12lTtT4UtjAcJCA&#13;&#10;Is7Elpwb+Hh/6T+B8gHZYiVMBi7kYTZ96EwwtXLmNzodQq4ihH2KBooQ6lRrnxXk0A+kJo7ZjzQO&#13;&#10;Q7RNrm2D5wh3lX5MkpF2WHJcKLCmRUHZ7+HoDGzk+eKun7I97paLai3779Xw69WYXrddjqPMx6AC&#13;&#10;teG/8YfYWAMjuP+JX0BPbwAAAP//AwBQSwECLQAUAAYACAAAACEA2+H2y+4AAACFAQAAEwAAAAAA&#13;&#10;AAAAAAAAAAAAAAAAW0NvbnRlbnRfVHlwZXNdLnhtbFBLAQItABQABgAIAAAAIQBa9CxbvwAAABUB&#13;&#10;AAALAAAAAAAAAAAAAAAAAB8BAABfcmVscy8ucmVsc1BLAQItABQABgAIAAAAIQAATWY1yAAAAN8A&#13;&#10;AAAPAAAAAAAAAAAAAAAAAAcCAABkcnMvZG93bnJldi54bWxQSwUGAAAAAAMAAwC3AAAA/AIAAAAA&#13;&#10;" path="m1103,l9,,,9,,387r2,3l1110,390r2,-3l1112,359r-913,l176,358,114,339,66,302,54,286,9,274,9,15r5,-5l1112,10,1103,xe" fillcolor="#010202" stroked="f">
                    <v:path arrowok="t" o:connecttype="custom" o:connectlocs="1103,662;9,662;0,671;0,1049;2,1052;1110,1052;1112,1049;1112,1021;199,1021;176,1020;114,1001;66,964;54,948;9,936;9,677;14,672;1112,672;1103,662" o:connectangles="0,0,0,0,0,0,0,0,0,0,0,0,0,0,0,0,0,0"/>
                  </v:shape>
                  <v:shape id="Freeform 42" o:spid="_x0000_s1031" style="position:absolute;left:10;top:10;width:1113;height:390;visibility:visible;mso-wrap-style:square;v-text-anchor:top" coordsize="1113,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cOuyAAAAN8AAAAPAAAAZHJzL2Rvd25yZXYueG1sRI9Ba8JA&#13;&#10;FITvQv/D8oTedGMP2kZXEaVWWqTUVrw+s88kNPteyK4a++vdQqGXgWGYb5jJrHWVOlPjS2EDg34C&#13;&#10;ijgTW3Ju4OvzufcIygdki5UwGbiSh9n0rjPB1MqFP+i8DbmKEPYpGihCqFOtfVaQQ9+XmjhmR2kc&#13;&#10;hmibXNsGLxHuKv2QJEPtsOS4UGBNi4Ky7+3JGVjL09X97OT1tFkuqhd5P6wG+zdj7rvtchxlPgYV&#13;&#10;qA3/jT/E2hoYwe+f+AX09AYAAP//AwBQSwECLQAUAAYACAAAACEA2+H2y+4AAACFAQAAEwAAAAAA&#13;&#10;AAAAAAAAAAAAAAAAW0NvbnRlbnRfVHlwZXNdLnhtbFBLAQItABQABgAIAAAAIQBa9CxbvwAAABUB&#13;&#10;AAALAAAAAAAAAAAAAAAAAB8BAABfcmVscy8ucmVsc1BLAQItABQABgAIAAAAIQBvAcOuyAAAAN8A&#13;&#10;AAAPAAAAAAAAAAAAAAAAAAcCAABkcnMvZG93bnJldi54bWxQSwUGAAAAAAMAAwC3AAAA/AIAAAAA&#13;&#10;" path="m1112,10r-14,l1103,15r,259l335,274r-11,17l311,307r-50,36l199,359r913,l1112,10xe" fillcolor="#010202" stroked="f">
                    <v:path arrowok="t" o:connecttype="custom" o:connectlocs="1112,672;1098,672;1103,677;1103,936;335,936;324,953;311,969;261,1005;199,1021;1112,1021;1112,672" o:connectangles="0,0,0,0,0,0,0,0,0,0,0"/>
                  </v:shape>
                </v:group>
                <v:group id="Group 13" o:spid="_x0000_s1032" style="position:absolute;left:665;top:314;width:52;height:62" coordorigin="665,314" coordsize="5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Freeform 38" o:spid="_x0000_s1033" style="position:absolute;left:665;top:314;width:52;height:62;visibility:visible;mso-wrap-style:square;v-text-anchor:top" coordsize="5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A0+wxwAAAOAAAAAPAAAAZHJzL2Rvd25yZXYueG1sRI/dasMw&#13;&#10;DEbvC3sHo8HuVmeDlJHWLW3HyC462Lo+gIiVHxrLJnab7O2ni0JvxCeEzsdZbSbXqysNsfNs4GWe&#13;&#10;gSKuvO24MXD6/Xh+AxUTssXeMxn4owib9cNshYX1I//Q9ZgaJRCOBRpoUwqF1rFqyWGc+0Ast9oP&#13;&#10;DpOsQ6PtgKPAXa9fs2yhHXYsDS0G2rdUnY8XZyDuF/UudKEcy3r8/soxvxzK3Jinx+l9KWO7BJVo&#13;&#10;SvePG+LTioMoiJAE0Ot/AAAA//8DAFBLAQItABQABgAIAAAAIQDb4fbL7gAAAIUBAAATAAAAAAAA&#13;&#10;AAAAAAAAAAAAAABbQ29udGVudF9UeXBlc10ueG1sUEsBAi0AFAAGAAgAAAAhAFr0LFu/AAAAFQEA&#13;&#10;AAsAAAAAAAAAAAAAAAAAHwEAAF9yZWxzLy5yZWxzUEsBAi0AFAAGAAgAAAAhALcDT7DHAAAA4AAA&#13;&#10;AA8AAAAAAAAAAAAAAAAABwIAAGRycy9kb3ducmV2LnhtbFBLBQYAAAAAAwADALcAAAD7AgAAAAA=&#13;&#10;" path="m32,l,,,61r33,l35,61,50,51r-36,l14,34r35,l47,31,44,29,40,28r3,-2l45,25r-31,l14,10r34,l35,,32,xe" stroked="f">
                    <v:path arrowok="t" o:connecttype="custom" o:connectlocs="32,966;0,966;0,1027;33,1027;35,1027;50,1017;14,1017;14,1000;49,1000;47,997;44,995;40,994;43,992;45,991;14,991;14,976;48,976;48,976;35,966;32,966" o:connectangles="0,0,0,0,0,0,0,0,0,0,0,0,0,0,0,0,0,0,0,0"/>
                  </v:shape>
                  <v:shape id="Freeform 39" o:spid="_x0000_s1034" style="position:absolute;left:665;top:314;width:52;height:62;visibility:visible;mso-wrap-style:square;v-text-anchor:top" coordsize="5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UosyQAAAOEAAAAPAAAAZHJzL2Rvd25yZXYueG1sRI/NasMw&#13;&#10;EITvhbyD2EBvtdxQp8WJEvJDcA4NtGkfYLHWP9RaCUuJnbePCoVeBoZhvmGW69F04kq9by0reE5S&#13;&#10;EMSl1S3XCr6/Dk9vIHxA1thZJgU38rBeTR6WmGs78Cddz6EWEcI+RwVNCC6X0pcNGfSJdcQxq2xv&#13;&#10;METb11L3OES46eQsTefSYMtxoUFHu4bKn/PFKPC7ebV1rSuGoho+Thlml/ciU+pxOu4XUTYLEIHG&#13;&#10;8N/4Qxy1gtf0BX4fxTcgV3cAAAD//wMAUEsBAi0AFAAGAAgAAAAhANvh9svuAAAAhQEAABMAAAAA&#13;&#10;AAAAAAAAAAAAAAAAAFtDb250ZW50X1R5cGVzXS54bWxQSwECLQAUAAYACAAAACEAWvQsW78AAAAV&#13;&#10;AQAACwAAAAAAAAAAAAAAAAAfAQAAX3JlbHMvLnJlbHNQSwECLQAUAAYACAAAACEAVoFKLMkAAADh&#13;&#10;AAAADwAAAAAAAAAAAAAAAAAHAgAAZHJzL2Rvd25yZXYueG1sUEsFBgAAAAADAAMAtwAAAP0CAAAA&#13;&#10;AA==&#13;&#10;" path="m49,34r-18,l34,35r3,2l38,39r,5l28,51r22,l51,49r1,-3l52,39,51,36,49,34xe" stroked="f">
                    <v:path arrowok="t" o:connecttype="custom" o:connectlocs="49,1000;31,1000;34,1001;37,1003;38,1005;38,1010;28,1017;50,1017;51,1015;52,1012;52,1005;51,1002;49,1000" o:connectangles="0,0,0,0,0,0,0,0,0,0,0,0,0"/>
                  </v:shape>
                  <v:shape id="Freeform 40" o:spid="_x0000_s1035" style="position:absolute;left:665;top:314;width:52;height:62;visibility:visible;mso-wrap-style:square;v-text-anchor:top" coordsize="5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e+3yAAAAOEAAAAPAAAAZHJzL2Rvd25yZXYueG1sRI/dagIx&#13;&#10;FITvC75DOELvalZhbVmN4g+yvbCgtg9w2Jz9oZuTsInu9u0bQfBmYBjmG2a5HkwrbtT5xrKC6SQB&#13;&#10;QVxY3XCl4Of78PYBwgdkja1lUvBHHtar0csSM217PtPtEioRIewzVFCH4DIpfVGTQT+xjjhmpe0M&#13;&#10;hmi7SuoO+wg3rZwlyVwabDgu1OhoV1Pxe7kaBX43L7eucXmfl/3pK8X0esxTpV7Hw34RZbMAEWgI&#13;&#10;z8YD8akVvCcp3B/FNyBX/wAAAP//AwBQSwECLQAUAAYACAAAACEA2+H2y+4AAACFAQAAEwAAAAAA&#13;&#10;AAAAAAAAAAAAAAAAW0NvbnRlbnRfVHlwZXNdLnhtbFBLAQItABQABgAIAAAAIQBa9CxbvwAAABUB&#13;&#10;AAALAAAAAAAAAAAAAAAAAB8BAABfcmVscy8ucmVsc1BLAQItABQABgAIAAAAIQA5ze+3yAAAAOEA&#13;&#10;AAAPAAAAAAAAAAAAAAAAAAcCAABkcnMvZG93bnJldi54bWxQSwUGAAAAAAMAAwC3AAAA/AIAAAAA&#13;&#10;" path="m48,10r-34,l29,10r2,1l36,16r,4l35,22r-3,2l30,25r15,l48,21r1,-3l49,11,48,10xe" stroked="f">
                    <v:path arrowok="t" o:connecttype="custom" o:connectlocs="48,976;14,976;29,976;31,977;36,982;36,986;35,988;32,990;30,991;45,991;48,987;49,984;49,977;48,976" o:connectangles="0,0,0,0,0,0,0,0,0,0,0,0,0,0"/>
                  </v:shape>
                </v:group>
                <v:group id="Group 14" o:spid="_x0000_s1036" style="position:absolute;left:719;top:314;width:59;height:62" coordorigin="719,314" coordsize="5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jjWyQAAAOE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9oAn+PwhuQi18AAAD//wMAUEsBAi0AFAAGAAgAAAAhANvh9svuAAAAhQEAABMAAAAA&#13;&#10;AAAAAAAAAAAAAAAAAFtDb250ZW50X1R5cGVzXS54bWxQSwECLQAUAAYACAAAACEAWvQsW78AAAAV&#13;&#10;AQAACwAAAAAAAAAAAAAAAAAfAQAAX3JlbHMvLnJlbHNQSwECLQAUAAYACAAAACEAUXY41skAAADh&#13;&#10;AAAADwAAAAAAAAAAAAAAAAAHAgAAZHJzL2Rvd25yZXYueG1sUEsFBgAAAAADAAMAtwAAAP0CAAAA&#13;&#10;AA==&#13;&#10;">
                  <v:shape id="Freeform 36" o:spid="_x0000_s1037" style="position:absolute;left:719;top:314;width:59;height:62;visibility:visible;mso-wrap-style:square;v-text-anchor:top" coordsize="5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j/3yQAAAOEAAAAPAAAAZHJzL2Rvd25yZXYueG1sRI9Ba8JA&#13;&#10;FITvBf/D8oTe6sYeqsZsRBTRSw9VsfX23H1NQrNv0+yq6b93C4KXgWGYb5hs1tlaXKj1lWMFw0EC&#13;&#10;glg7U3GhYL9bvYxB+IBssHZMCv7IwyzvPWWYGnflD7psQyEihH2KCsoQmlRKr0uy6AeuIY7Zt2st&#13;&#10;hmjbQpoWrxFua/maJG/SYsVxocSGFiXpn+3ZKrCnyef78uu3k42W472eH9bHg1Xqud8tp1HmUxCB&#13;&#10;uvBo3BEbo2CUjOD/UXwDMr8BAAD//wMAUEsBAi0AFAAGAAgAAAAhANvh9svuAAAAhQEAABMAAAAA&#13;&#10;AAAAAAAAAAAAAAAAAFtDb250ZW50X1R5cGVzXS54bWxQSwECLQAUAAYACAAAACEAWvQsW78AAAAV&#13;&#10;AQAACwAAAAAAAAAAAAAAAAAfAQAAX3JlbHMvLnJlbHNQSwECLQAUAAYACAAAACEAhkI/98kAAADh&#13;&#10;AAAADwAAAAAAAAAAAAAAAAAHAgAAZHJzL2Rvd25yZXYueG1sUEsFBgAAAAADAAMAtwAAAP0CAAAA&#13;&#10;AA==&#13;&#10;" path="m15,l,,23,37r,24l36,61r,-23l44,24r-14,l15,xe" stroked="f">
                    <v:path arrowok="t" o:connecttype="custom" o:connectlocs="15,966;0,966;23,1003;23,1027;36,1027;36,1004;44,990;30,990;15,966" o:connectangles="0,0,0,0,0,0,0,0,0"/>
                  </v:shape>
                  <v:shape id="Freeform 37" o:spid="_x0000_s1038" style="position:absolute;left:719;top:314;width:59;height:62;visibility:visible;mso-wrap-style:square;v-text-anchor:top" coordsize="5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3auFygAAAOEAAAAPAAAAZHJzL2Rvd25yZXYueG1sRI9Nb8Iw&#13;&#10;DIbvk/YfIk/aDdJx2KAQEAJN48JhgPi4mcS01RqnazLo/v18QNrF0ivrfexnMut8ra7UxiqwgZd+&#13;&#10;BorYBldxYWC3fe8NQcWE7LAOTAZ+KcJs+vgwwdyFG3/SdZMKJRCOORooU2pyraMtyWPsh4ZYdpfQ&#13;&#10;ekwS20K7Fm8C97UeZNmr9lixXCixoUVJ9mvz4w348+iwXh6/O91YPdzZ+f7jtPfGPD91y7GM+RhU&#13;&#10;oi79N+6IlTPwlsnLYiQ2oKd/AAAA//8DAFBLAQItABQABgAIAAAAIQDb4fbL7gAAAIUBAAATAAAA&#13;&#10;AAAAAAAAAAAAAAAAAABbQ29udGVudF9UeXBlc10ueG1sUEsBAi0AFAAGAAgAAAAhAFr0LFu/AAAA&#13;&#10;FQEAAAsAAAAAAAAAAAAAAAAAHwEAAF9yZWxzLy5yZWxzUEsBAi0AFAAGAAgAAAAhAPfdq4XKAAAA&#13;&#10;4QAAAA8AAAAAAAAAAAAAAAAABwIAAGRycy9kb3ducmV2LnhtbFBLBQYAAAAAAwADALcAAAD+AgAA&#13;&#10;AAA=&#13;&#10;" path="m59,l44,,30,24r14,l59,xe" stroked="f">
                    <v:path arrowok="t" o:connecttype="custom" o:connectlocs="59,966;44,966;30,990;44,990;59,966" o:connectangles="0,0,0,0,0"/>
                  </v:shape>
                </v:group>
                <v:group id="Group 15" o:spid="_x0000_s1039" style="position:absolute;left:75;top:67;width:253;height:250" coordorigin="75,67" coordsize="253,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aykyQAAAOEAAAAPAAAAZHJzL2Rvd25yZXYueG1sRI9Ba8JA&#13;&#10;FITvBf/D8gRvuolSW6OriLbiQQpVofT2yD6TYPZtyG6T+O9dQehlYBjmG2ax6kwpGqpdYVlBPIpA&#13;&#10;EKdWF5wpOJ8+h+8gnEfWWFomBTdysFr2XhaYaNvyNzVHn4kAYZeggtz7KpHSpTkZdCNbEYfsYmuD&#13;&#10;Ptg6k7rGNsBNKcdRNJUGCw4LOVa0ySm9Hv+Mgl2L7XoSfzSH62Vz+z29fv0cYlJq0O+28yDrOQhP&#13;&#10;nf9vPBF7reAtmsHjUXgDcnkHAAD//wMAUEsBAi0AFAAGAAgAAAAhANvh9svuAAAAhQEAABMAAAAA&#13;&#10;AAAAAAAAAAAAAAAAAFtDb250ZW50X1R5cGVzXS54bWxQSwECLQAUAAYACAAAACEAWvQsW78AAAAV&#13;&#10;AQAACwAAAAAAAAAAAAAAAAAfAQAAX3JlbHMvLnJlbHNQSwECLQAUAAYACAAAACEAIOmspMkAAADh&#13;&#10;AAAADwAAAAAAAAAAAAAAAAAHAgAAZHJzL2Rvd25yZXYueG1sUEsFBgAAAAADAAMAtwAAAP0CAAAA&#13;&#10;AA==&#13;&#10;">
                  <v:shape id="Freeform 35" o:spid="_x0000_s1040" style="position:absolute;left:75;top:67;width:253;height:250;visibility:visible;mso-wrap-style:square;v-text-anchor:top" coordsize="253,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WwvygAAAOEAAAAPAAAAZHJzL2Rvd25yZXYueG1sRI9NSwMx&#13;&#10;EIbvQv9DmII3m63SWrZNi/iBtSjS1oO9DZvpZnEzWZLYrv/eOQheBl6G93l5Fqvet+pEMTWBDYxH&#13;&#10;BSjiKtiGawMf+6erGaiUkS22gcnADyVYLQcXCyxtOPOWTrtcK4FwKtGAy7krtU6VI49pFDpi+R1D&#13;&#10;9JglxlrbiGeB+1ZfF8VUe2xYFhx2dO+o+tp9ewOHN359n3zGx8ka3c3Ls94UW5wacznsH+Zy7uag&#13;&#10;MvX5v/GHWFsDt2NxECOxAb38BQAA//8DAFBLAQItABQABgAIAAAAIQDb4fbL7gAAAIUBAAATAAAA&#13;&#10;AAAAAAAAAAAAAAAAAABbQ29udGVudF9UeXBlc10ueG1sUEsBAi0AFAAGAAgAAAAhAFr0LFu/AAAA&#13;&#10;FQEAAAsAAAAAAAAAAAAAAAAAHwEAAF9yZWxzLy5yZWxzUEsBAi0AFAAGAAgAAAAhAM8FbC/KAAAA&#13;&#10;4QAAAA8AAAAAAAAAAAAAAAAABwIAAGRycy9kb3ducmV2LnhtbFBLBQYAAAAAAwADALcAAAD+AgAA&#13;&#10;AAA=&#13;&#10;" path="m104,l45,28,8,81,,125r1,17l24,198r50,38l148,250r21,-6l222,207r28,-59l252,125r-1,-17l228,52,178,14,104,xe" stroked="f">
                    <v:path arrowok="t" o:connecttype="custom" o:connectlocs="104,719;45,747;8,800;0,844;1,861;24,917;74,955;148,969;169,963;222,926;250,867;252,844;251,827;228,771;178,733;104,719" o:connectangles="0,0,0,0,0,0,0,0,0,0,0,0,0,0,0,0"/>
                  </v:shape>
                </v:group>
                <v:group id="Group 16" o:spid="_x0000_s1041" style="position:absolute;left:57;top:48;width:289;height:289" coordorigin="57,48" coordsize="289,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jZ/yQAAAOEAAAAPAAAAZHJzL2Rvd25yZXYueG1sRI9Ba8JA&#13;&#10;FITvBf/D8gRvdbNKq0RXEVtLD1KoCuLtkX0mwezbkF2T+O+7hUIvA8Mw3zDLdW8r0VLjS8ca1DgB&#13;&#10;QZw5U3Ku4XTcPc9B+IBssHJMGh7kYb0aPC0xNa7jb2oPIRcRwj5FDUUIdSqlzwqy6MeuJo7Z1TUW&#13;&#10;Q7RNLk2DXYTbSk6S5FVaLDkuFFjTtqDsdrhbDR8ddpupem/3t+v2cTm+fJ33irQeDfu3RZTNAkSg&#13;&#10;Pvw3/hCfRsNMKfh9FN+AXP0AAAD//wMAUEsBAi0AFAAGAAgAAAAhANvh9svuAAAAhQEAABMAAAAA&#13;&#10;AAAAAAAAAAAAAAAAAFtDb250ZW50X1R5cGVzXS54bWxQSwECLQAUAAYACAAAACEAWvQsW78AAAAV&#13;&#10;AQAACwAAAAAAAAAAAAAAAAAfAQAAX3JlbHMvLnJlbHNQSwECLQAUAAYACAAAACEAW0Y2f8kAAADh&#13;&#10;AAAADwAAAAAAAAAAAAAAAAAHAgAAZHJzL2Rvd25yZXYueG1sUEsFBgAAAAADAAMAtwAAAP0CAAAA&#13;&#10;AA==&#13;&#10;">
                  <v:shape id="Freeform 27" o:spid="_x0000_s1042" style="position:absolute;left:57;top:48;width:289;height:289;visibility:visible;mso-wrap-style:square;v-text-anchor:top" coordsize="289,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dbBlxwAAAOEAAAAPAAAAZHJzL2Rvd25yZXYueG1sRI9Bi8Iw&#13;&#10;FITvC/sfwlvwpqkeXLcaRRSlqAirXrw9mmdbbV5KE2399xtB2MvAMMw3zGTWmlI8qHaFZQX9XgSC&#13;&#10;OLW64EzB6bjqjkA4j6yxtEwKnuRgNv38mGCsbcO/9Dj4TAQIuxgV5N5XsZQuzcmg69mKOGQXWxv0&#13;&#10;wdaZ1DU2AW5KOYiioTRYcFjIsaJFTuntcDcKbsm2efrN9WfVLNcpJnvayTMp1flql+Mg8zEIT63/&#13;&#10;b7wRiVbw3R/A61F4A3L6BwAA//8DAFBLAQItABQABgAIAAAAIQDb4fbL7gAAAIUBAAATAAAAAAAA&#13;&#10;AAAAAAAAAAAAAABbQ29udGVudF9UeXBlc10ueG1sUEsBAi0AFAAGAAgAAAAhAFr0LFu/AAAAFQEA&#13;&#10;AAsAAAAAAAAAAAAAAAAAHwEAAF9yZWxzLy5yZWxzUEsBAi0AFAAGAAgAAAAhAPh1sGXHAAAA4QAA&#13;&#10;AA8AAAAAAAAAAAAAAAAABwIAAGRycy9kb3ducmV2LnhtbFBLBQYAAAAAAwADALcAAAD7AgAAAAA=&#13;&#10;" path="m128,l55,30,9,93,,158r3,19l30,232r62,47l158,288r20,-3l197,279r18,-8l228,262r-97,l112,258,59,226,27,156,26,132r3,-20l61,60,134,27r25,-1l229,26,213,16,195,9,176,3,154,,128,xe" fillcolor="#010202" stroked="f">
                    <v:path arrowok="t" o:connecttype="custom" o:connectlocs="128,700;55,730;9,793;0,858;3,877;30,932;92,979;158,988;178,985;197,979;215,971;228,962;131,962;112,958;59,926;27,856;26,832;29,812;61,760;134,727;159,726;229,726;229,726;213,716;195,709;176,703;154,700;128,700" o:connectangles="0,0,0,0,0,0,0,0,0,0,0,0,0,0,0,0,0,0,0,0,0,0,0,0,0,0,0,0"/>
                  </v:shape>
                  <v:shape id="Freeform 28" o:spid="_x0000_s1043" style="position:absolute;left:57;top:48;width:289;height:289;visibility:visible;mso-wrap-style:square;v-text-anchor:top" coordsize="289,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RX+yQAAAOEAAAAPAAAAZHJzL2Rvd25yZXYueG1sRI9Ba8JA&#13;&#10;FITvQv/D8gredGOFamM2UipKaEWoeuntkX1NUrNvQ3Y18d93BcHLwDDMN0yy7E0tLtS6yrKCyTgC&#13;&#10;QZxbXXGh4HhYj+YgnEfWWFsmBVdysEyfBgnG2nb8TZe9L0SAsItRQel9E0vp8pIMurFtiEP2a1uD&#13;&#10;Pti2kLrFLsBNLV+i6FUarDgslNjQR0n5aX82Ck7ZV3f1n39v6261yTHb0Vb+kFLD5361CPK+AOGp&#13;&#10;94/GHZFpBbPJFG6PwhuQ6T8AAAD//wMAUEsBAi0AFAAGAAgAAAAhANvh9svuAAAAhQEAABMAAAAA&#13;&#10;AAAAAAAAAAAAAAAAAFtDb250ZW50X1R5cGVzXS54bWxQSwECLQAUAAYACAAAACEAWvQsW78AAAAV&#13;&#10;AQAACwAAAAAAAAAAAAAAAAAfAQAAX3JlbHMvLnJlbHNQSwECLQAUAAYACAAAACEAlzkV/skAAADh&#13;&#10;AAAADwAAAAAAAAAAAAAAAAAHAgAAZHJzL2Rvd25yZXYueG1sUEsFBgAAAAADAAMAtwAAAP0CAAAA&#13;&#10;AA==&#13;&#10;" path="m229,26r-70,l178,30r19,7l242,77r19,57l262,156r,2l226,230r-70,31l131,262r97,l271,215r16,-59l288,132r-3,-21l247,41r-4,-4l229,26xe" fillcolor="#010202" stroked="f">
                    <v:path arrowok="t" o:connecttype="custom" o:connectlocs="229,726;159,726;178,730;197,737;242,777;261,834;262,856;262,858;226,930;156,961;131,962;228,962;271,915;287,856;288,832;285,811;247,741;243,737;229,726" o:connectangles="0,0,0,0,0,0,0,0,0,0,0,0,0,0,0,0,0,0,0"/>
                  </v:shape>
                  <v:shape id="Freeform 29" o:spid="_x0000_s1044" style="position:absolute;left:57;top:48;width:289;height:289;visibility:visible;mso-wrap-style:square;v-text-anchor:top" coordsize="289,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2KyQAAAOEAAAAPAAAAZHJzL2Rvd25yZXYueG1sRI9Ba8JA&#13;&#10;FITvQv/D8gredGORamM2UipKaEWoeuntkX1NUrNvQ3Y18d93BcHLwDDMN0yy7E0tLtS6yrKCyTgC&#13;&#10;QZxbXXGh4HhYj+YgnEfWWFsmBVdysEyfBgnG2nb8TZe9L0SAsItRQel9E0vp8pIMurFtiEP2a1uD&#13;&#10;Pti2kLrFLsBNLV+i6FUarDgslNjQR0n5aX82Ck7ZV3f1n39v6261yTHb0Vb+kFLD5361CPK+AOGp&#13;&#10;94/GHZFpBbPJFG6PwhuQ6T8AAAD//wMAUEsBAi0AFAAGAAgAAAAhANvh9svuAAAAhQEAABMAAAAA&#13;&#10;AAAAAAAAAAAAAAAAAFtDb250ZW50X1R5cGVzXS54bWxQSwECLQAUAAYACAAAACEAWvQsW78AAAAV&#13;&#10;AQAACwAAAAAAAAAAAAAAAAAfAQAAX3JlbHMvLnJlbHNQSwECLQAUAAYACAAAACEAGNCNiskAAADh&#13;&#10;AAAADwAAAAAAAAAAAAAAAAAHAgAAZHJzL2Rvd25yZXYueG1sUEsFBgAAAAADAAMAtwAAAP0CAAAA&#13;&#10;AA==&#13;&#10;" path="m104,99r-12,l82,103,66,119r-4,11l62,158r4,11l81,185r11,4l109,189r20,-7l140,170r-46,l88,161r,-34l94,118r44,l140,117,125,103,104,99xe" fillcolor="#010202" stroked="f">
                    <v:path arrowok="t" o:connecttype="custom" o:connectlocs="104,799;92,799;82,803;66,819;62,830;62,858;66,869;81,885;92,889;109,889;129,882;140,870;94,870;88,861;88,827;94,818;138,818;140,817;125,803;104,799" o:connectangles="0,0,0,0,0,0,0,0,0,0,0,0,0,0,0,0,0,0,0,0"/>
                  </v:shape>
                  <v:shape id="Freeform 30" o:spid="_x0000_s1045" style="position:absolute;left:57;top:48;width:289;height:289;visibility:visible;mso-wrap-style:square;v-text-anchor:top" coordsize="289,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CgRyQAAAOEAAAAPAAAAZHJzL2Rvd25yZXYueG1sRI9Ba8JA&#13;&#10;FITvQv/D8gredGPBamM2UipKaEWoeuntkX1NUrNvQ3Y18d93BcHLwDDMN0yy7E0tLtS6yrKCyTgC&#13;&#10;QZxbXXGh4HhYj+YgnEfWWFsmBVdysEyfBgnG2nb8TZe9L0SAsItRQel9E0vp8pIMurFtiEP2a1uD&#13;&#10;Pti2kLrFLsBNLV+i6FUarDgslNjQR0n5aX82Ck7ZV3f1n39v6261yTHb0Vb+kFLD5361CPK+AOGp&#13;&#10;94/GHZFpBbPJFG6PwhuQ6T8AAAD//wMAUEsBAi0AFAAGAAgAAAAhANvh9svuAAAAhQEAABMAAAAA&#13;&#10;AAAAAAAAAAAAAAAAAFtDb250ZW50X1R5cGVzXS54bWxQSwECLQAUAAYACAAAACEAWvQsW78AAAAV&#13;&#10;AQAACwAAAAAAAAAAAAAAAAAfAQAAX3JlbHMvLnJlbHNQSwECLQAUAAYACAAAACEAd5woEckAAADh&#13;&#10;AAAADwAAAAAAAAAAAAAAAAAHAgAAZHJzL2Rvd25yZXYueG1sUEsFBgAAAAADAAMAtwAAAP0CAAAA&#13;&#10;AA==&#13;&#10;" path="m188,99r-13,l165,103r-16,16l146,130r,28l149,169r16,16l175,189r18,l212,182r12,-12l178,170r-7,-9l171,127r7,-9l222,118r2,-1l209,103,188,99xe" fillcolor="#010202" stroked="f">
                    <v:path arrowok="t" o:connecttype="custom" o:connectlocs="188,799;175,799;165,803;149,819;146,830;146,858;149,869;165,885;175,889;193,889;212,882;224,870;178,870;171,861;171,827;178,818;222,818;224,817;209,803;188,799" o:connectangles="0,0,0,0,0,0,0,0,0,0,0,0,0,0,0,0,0,0,0,0"/>
                  </v:shape>
                  <v:shape id="Freeform 31" o:spid="_x0000_s1046" style="position:absolute;left:57;top:48;width:289;height:289;visibility:visible;mso-wrap-style:square;v-text-anchor:top" coordsize="289,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rZmyQAAAOEAAAAPAAAAZHJzL2Rvd25yZXYueG1sRI9Ba8JA&#13;&#10;FITvhf6H5RV6qxs9pG2SVUSxBFuEqhdvj+wziWbfhuyaxH/fLRR6GRiG+YbJFqNpRE+dqy0rmE4i&#13;&#10;EMSF1TWXCo6HzcsbCOeRNTaWScGdHCzmjw8ZJtoO/E393pciQNglqKDyvk2kdEVFBt3EtsQhO9vO&#13;&#10;oA+2K6XucAhw08hZFMXSYM1hocKWVhUV1/3NKLjmn8Pdby/vm2H9UWC+oy95IqWen8Z1GmSZgvA0&#13;&#10;+v/GHyLXCl6nMfw+Cm9Azn8AAAD//wMAUEsBAi0AFAAGAAgAAAAhANvh9svuAAAAhQEAABMAAAAA&#13;&#10;AAAAAAAAAAAAAAAAAFtDb250ZW50X1R5cGVzXS54bWxQSwECLQAUAAYACAAAACEAWvQsW78AAAAV&#13;&#10;AQAACwAAAAAAAAAAAAAAAAAfAQAAX3JlbHMvLnJlbHNQSwECLQAUAAYACAAAACEAh062ZskAAADh&#13;&#10;AAAADwAAAAAAAAAAAAAAAAAHAgAAZHJzL2Rvd25yZXYueG1sUEsFBgAAAAADAAMAtwAAAP0CAAAA&#13;&#10;AA==&#13;&#10;" path="m125,157r-4,8l115,170r25,l143,166r-18,-9xe" fillcolor="#010202" stroked="f">
                    <v:path arrowok="t" o:connecttype="custom" o:connectlocs="125,857;121,865;115,870;140,870;143,866;125,857" o:connectangles="0,0,0,0,0,0"/>
                  </v:shape>
                  <v:shape id="Freeform 32" o:spid="_x0000_s1047" style="position:absolute;left:57;top:48;width:289;height:289;visibility:visible;mso-wrap-style:square;v-text-anchor:top" coordsize="289,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hP9yQAAAOEAAAAPAAAAZHJzL2Rvd25yZXYueG1sRI9Ba8JA&#13;&#10;FITvBf/D8oTe6sYeTE2ySqkowRZB24u3R/aZpGbfhuw2if/eLRR6GRiG+YbJ1qNpRE+dqy0rmM8i&#13;&#10;EMSF1TWXCr4+t08vIJxH1thYJgU3crBeTR4yTLQd+Ej9yZciQNglqKDyvk2kdEVFBt3MtsQhu9jO&#13;&#10;oA+2K6XucAhw08jnKFpIgzWHhQpbequouJ5+jIJr/j7c/P57uR02uwLzA33IMyn1OB03aZDXFISn&#13;&#10;0f83/hC5VhDPY/h9FN6AXN0BAAD//wMAUEsBAi0AFAAGAAgAAAAhANvh9svuAAAAhQEAABMAAAAA&#13;&#10;AAAAAAAAAAAAAAAAAFtDb250ZW50X1R5cGVzXS54bWxQSwECLQAUAAYACAAAACEAWvQsW78AAAAV&#13;&#10;AQAACwAAAAAAAAAAAAAAAAAfAQAAX3JlbHMvLnJlbHNQSwECLQAUAAYACAAAACEA6AIT/ckAAADh&#13;&#10;AAAADwAAAAAAAAAAAAAAAAAHAgAAZHJzL2Rvd25yZXYueG1sUEsFBgAAAAADAAMAtwAAAP0CAAAA&#13;&#10;AA==&#13;&#10;" path="m208,157r-3,8l199,170r25,l226,166r-18,-9xe" fillcolor="#010202" stroked="f">
                    <v:path arrowok="t" o:connecttype="custom" o:connectlocs="208,857;205,865;199,870;224,870;226,866;208,857" o:connectangles="0,0,0,0,0,0"/>
                  </v:shape>
                  <v:shape id="Freeform 33" o:spid="_x0000_s1048" style="position:absolute;left:57;top:48;width:289;height:289;visibility:visible;mso-wrap-style:square;v-text-anchor:top" coordsize="289,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YePyQAAAOEAAAAPAAAAZHJzL2Rvd25yZXYueG1sRI9Na8JA&#13;&#10;EIbvhf6HZQq96UYPrUZXKYoltCL4cfE2ZMckNTsbslsT/33nIPQy8DK8z8wzX/auVjdqQ+XZwGiY&#13;&#10;gCLOva24MHA6bgYTUCEiW6w9k4E7BVgunp/mmFrf8Z5uh1gogXBI0UAZY5NqHfKSHIahb4hld/Gt&#13;&#10;wyixLbRtsRO4q/U4Sd60w4rlQokNrUrKr4dfZ+CafXf3+PUz3XTrzxyzHW31mYx5fenXMxkfM1CR&#13;&#10;+vjfeCAya+B9JC+LkdiAXvwBAAD//wMAUEsBAi0AFAAGAAgAAAAhANvh9svuAAAAhQEAABMAAAAA&#13;&#10;AAAAAAAAAAAAAAAAAFtDb250ZW50X1R5cGVzXS54bWxQSwECLQAUAAYACAAAACEAWvQsW78AAAAV&#13;&#10;AQAACwAAAAAAAAAAAAAAAAAfAQAAX3JlbHMvLnJlbHNQSwECLQAUAAYACAAAACEAmZ2Hj8kAAADh&#13;&#10;AAAADwAAAAAAAAAAAAAAAAAHAgAAZHJzL2Rvd25yZXYueG1sUEsFBgAAAAADAAMAtwAAAP0CAAAA&#13;&#10;AA==&#13;&#10;" path="m138,118r-24,l120,122r3,8l138,118xe" fillcolor="#010202" stroked="f">
                    <v:path arrowok="t" o:connecttype="custom" o:connectlocs="138,818;114,818;120,822;123,830;138,818" o:connectangles="0,0,0,0,0"/>
                  </v:shape>
                  <v:shape id="Freeform 34" o:spid="_x0000_s1049" style="position:absolute;left:57;top:48;width:289;height:289;visibility:visible;mso-wrap-style:square;v-text-anchor:top" coordsize="289,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0E0yAAAAOEAAAAPAAAAZHJzL2Rvd25yZXYueG1sRI9Ba8JA&#13;&#10;EIXvgv9hmUJvuqkHq9FViqKEtgimvfQ2ZKdJanY2ZLcm/vvOoeBl4DG87/Gtt4Nr1JW6UHs28DRN&#13;&#10;QBEX3tZcGvj8OEwWoEJEtth4JgM3CrDdjEdrTK3v+UzXPJZKIBxSNFDF2KZah6Iih2HqW2L5ffvO&#13;&#10;YZTYldp22AvcNXqWJHPtsGZZqLClXUXFJf91Bi7ZW3+Lrz/LQ78/Fpid6F1/kTGPD8N+JedlBSrS&#13;&#10;EO+Nf0RmDTzPxEGMxAb05g8AAP//AwBQSwECLQAUAAYACAAAACEA2+H2y+4AAACFAQAAEwAAAAAA&#13;&#10;AAAAAAAAAAAAAAAAW0NvbnRlbnRfVHlwZXNdLnhtbFBLAQItABQABgAIAAAAIQBa9CxbvwAAABUB&#13;&#10;AAALAAAAAAAAAAAAAAAAAB8BAABfcmVscy8ucmVsc1BLAQItABQABgAIAAAAIQCph0E0yAAAAOEA&#13;&#10;AAAPAAAAAAAAAAAAAAAAAAcCAABkcnMvZG93bnJldi54bWxQSwUGAAAAAAMAAwC3AAAA/AIAAAAA&#13;&#10;" path="m222,118r-24,l203,122r4,8l222,118xe" fillcolor="#010202" stroked="f">
                    <v:path arrowok="t" o:connecttype="custom" o:connectlocs="222,818;198,818;203,822;207,830;222,818" o:connectangles="0,0,0,0,0"/>
                  </v:shape>
                </v:group>
                <v:group id="Group 17" o:spid="_x0000_s1050" style="position:absolute;left:617;top:52;width:200;height:200" coordorigin="617,52" coordsize="200,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vzCygAAAOE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KIbfR+ENyMUPAAAA//8DAFBLAQItABQABgAIAAAAIQDb4fbL7gAAAIUBAAATAAAA&#13;&#10;AAAAAAAAAAAAAAAAAABbQ29udGVudF9UeXBlc10ueG1sUEsBAi0AFAAGAAgAAAAhAFr0LFu/AAAA&#13;&#10;FQEAAAsAAAAAAAAAAAAAAAAAHwEAAF9yZWxzLy5yZWxzUEsBAi0AFAAGAAgAAAAhAJUq/MLKAAAA&#13;&#10;4QAAAA8AAAAAAAAAAAAAAAAABwIAAGRycy9kb3ducmV2LnhtbFBLBQYAAAAAAwADALcAAAD+AgAA&#13;&#10;AAA=&#13;&#10;">
                  <v:shape id="Freeform 26" o:spid="_x0000_s1051" style="position:absolute;left:617;top:52;width:200;height:200;visibility:visible;mso-wrap-style:square;v-text-anchor:top" coordsize="200,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WNYxwAAAOEAAAAPAAAAZHJzL2Rvd25yZXYueG1sRI9PawIx&#13;&#10;FMTvBb9DeEJvNWsOVVaj+Lf0ZKkKXp+b5+5i8rJsom6/fSMUehkYhvkNM513zoo7taH2rGE4yEAQ&#13;&#10;F97UXGo4HrZvYxAhIhu0nknDDwWYz3ovU8yNf/A33fexFAnCIUcNVYxNLmUoKnIYBr4hTtnFtw5j&#13;&#10;sm0pTYuPBHdWqix7lw5rTgsVNrSqqLjub06DtazOh8X49HFcKrKb0ddubaXWr/1uPUmymICI1MX/&#13;&#10;xh/i02gYKQXPR+kNyNkvAAAA//8DAFBLAQItABQABgAIAAAAIQDb4fbL7gAAAIUBAAATAAAAAAAA&#13;&#10;AAAAAAAAAAAAAABbQ29udGVudF9UeXBlc10ueG1sUEsBAi0AFAAGAAgAAAAhAFr0LFu/AAAAFQEA&#13;&#10;AAsAAAAAAAAAAAAAAAAAHwEAAF9yZWxzLy5yZWxzUEsBAi0AFAAGAAgAAAAhALCRY1jHAAAA4QAA&#13;&#10;AA8AAAAAAAAAAAAAAAAABwIAAGRycy9kb3ducmV2LnhtbFBLBQYAAAAAAwADALcAAAD7AgAAAAA=&#13;&#10;" path="m100,l36,23,3,78,,102r3,22l39,177r63,22l124,196r54,-35l199,98,197,76,162,21,100,xe" stroked="f">
                    <v:path arrowok="t" o:connecttype="custom" o:connectlocs="100,704;36,727;3,782;0,806;3,828;39,881;102,903;124,900;178,865;199,802;197,780;162,725;100,704" o:connectangles="0,0,0,0,0,0,0,0,0,0,0,0,0"/>
                  </v:shape>
                </v:group>
                <v:group id="Group 18" o:spid="_x0000_s1052" style="position:absolute;left:688;top:115;width:46;height:103" coordorigin="688,115" coordsize="46,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Mcu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iajMfw9Cm9ALp4AAAD//wMAUEsBAi0AFAAGAAgAAAAhANvh9svuAAAAhQEAABMAAAAA&#13;&#10;AAAAAAAAAAAAAAAAAFtDb250ZW50X1R5cGVzXS54bWxQSwECLQAUAAYACAAAACEAWvQsW78AAAAV&#13;&#10;AQAACwAAAAAAAAAAAAAAAAAfAQAAX3JlbHMvLnJlbHNQSwECLQAUAAYACAAAACEACrTHLskAAADh&#13;&#10;AAAADwAAAAAAAAAAAAAAAAAHAgAAZHJzL2Rvd25yZXYueG1sUEsFBgAAAAADAAMAtwAAAP0CAAAA&#13;&#10;AA==&#13;&#10;">
                  <v:shape id="Freeform 24" o:spid="_x0000_s1053" style="position:absolute;left:688;top:115;width:46;height:103;visibility:visible;mso-wrap-style:square;v-text-anchor:top" coordsize="46,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r9/yQAAAOEAAAAPAAAAZHJzL2Rvd25yZXYueG1sRI/dasJA&#13;&#10;FITvC77DcgTv6kaRVKKraKVaWqr4g94essckmD0bsqumb+8WCt4MDMN8w4ynjSnFjWpXWFbQ60Yg&#13;&#10;iFOrC84UHPYfr0MQziNrLC2Tgl9yMJ20XsaYaHvnLd12PhMBwi5BBbn3VSKlS3My6Lq2Ig7Z2dYG&#13;&#10;fbB1JnWN9wA3pexHUSwNFhwWcqzoPaf0srsaBdH8O/v5Mkdcz/U6jpebU7koVkp12s1iFGQ2AuGp&#13;&#10;8c/GP+JTK3jrD+DvUXgDcvIAAAD//wMAUEsBAi0AFAAGAAgAAAAhANvh9svuAAAAhQEAABMAAAAA&#13;&#10;AAAAAAAAAAAAAAAAAFtDb250ZW50X1R5cGVzXS54bWxQSwECLQAUAAYACAAAACEAWvQsW78AAAAV&#13;&#10;AQAACwAAAAAAAAAAAAAAAAAfAQAAX3JlbHMvLnJlbHNQSwECLQAUAAYACAAAACEAMB6/f8kAAADh&#13;&#10;AAAADwAAAAAAAAAAAAAAAAAHAgAAZHJzL2Rvd25yZXYueG1sUEsFBgAAAAADAAMAtwAAAP0CAAAA&#13;&#10;AA==&#13;&#10;" path="m45,51r-33,l12,103r33,l45,51xe" fillcolor="#010202" stroked="f">
                    <v:path arrowok="t" o:connecttype="custom" o:connectlocs="45,818;12,818;12,870;45,870;45,818" o:connectangles="0,0,0,0,0"/>
                  </v:shape>
                  <v:shape id="Freeform 25" o:spid="_x0000_s1054" style="position:absolute;left:688;top:115;width:46;height:103;visibility:visible;mso-wrap-style:square;v-text-anchor:top" coordsize="46,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hrkyQAAAOEAAAAPAAAAZHJzL2Rvd25yZXYueG1sRI/dasJA&#13;&#10;FITvC77DcgTv6kbBVKKraKVaWqr4g94essckmD0bsqumb+8WCt4MDMN8w4ynjSnFjWpXWFbQ60Yg&#13;&#10;iFOrC84UHPYfr0MQziNrLC2Tgl9yMJ20XsaYaHvnLd12PhMBwi5BBbn3VSKlS3My6Lq2Ig7Z2dYG&#13;&#10;fbB1JnWN9wA3pexHUSwNFhwWcqzoPaf0srsaBdH8O/v5Mkdcz/U6jpebU7koVkp12s1iFGQ2AuGp&#13;&#10;8c/GP+JTK3jrD+DvUXgDcvIAAAD//wMAUEsBAi0AFAAGAAgAAAAhANvh9svuAAAAhQEAABMAAAAA&#13;&#10;AAAAAAAAAAAAAAAAAFtDb250ZW50X1R5cGVzXS54bWxQSwECLQAUAAYACAAAACEAWvQsW78AAAAV&#13;&#10;AQAACwAAAAAAAAAAAAAAAAAfAQAAX3JlbHMvLnJlbHNQSwECLQAUAAYACAAAACEAX1Ia5MkAAADh&#13;&#10;AAAADwAAAAAAAAAAAAAAAAAHAgAAZHJzL2Rvd25yZXYueG1sUEsFBgAAAAADAAMAtwAAAP0CAAAA&#13;&#10;AA==&#13;&#10;" path="m55,l3,,,4,,51r58,l58,4,55,xe" fillcolor="#010202" stroked="f">
                    <v:path arrowok="t" o:connecttype="custom" o:connectlocs="55,767;3,767;0,771;0,818;58,818;58,771;55,767" o:connectangles="0,0,0,0,0,0,0"/>
                  </v:shape>
                </v:group>
                <v:group id="Group 19" o:spid="_x0000_s1055" style="position:absolute;left:702;top:80;width:31;height:31" coordorigin="702,80" coordsize="3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2S2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dPxBP4ehTcgl78AAAD//wMAUEsBAi0AFAAGAAgAAAAhANvh9svuAAAAhQEAABMAAAAA&#13;&#10;AAAAAAAAAAAAAAAAAFtDb250ZW50X1R5cGVzXS54bWxQSwECLQAUAAYACAAAACEAWvQsW78AAAAV&#13;&#10;AQAACwAAAAAAAAAAAAAAAAAfAQAAX3JlbHMvLnJlbHNQSwECLQAUAAYACAAAACEAGsNktskAAADh&#13;&#10;AAAADwAAAAAAAAAAAAAAAAAHAgAAZHJzL2Rvd25yZXYueG1sUEsFBgAAAAADAAMAtwAAAP0CAAAA&#13;&#10;AA==&#13;&#10;">
                  <v:shape id="Freeform 23" o:spid="_x0000_s1056" style="position:absolute;left:702;top:80;width:31;height:31;visibility:visible;mso-wrap-style:square;v-text-anchor:top" coordsize="3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h4/PyQAAAOEAAAAPAAAAZHJzL2Rvd25yZXYueG1sRI9Pa8JA&#13;&#10;FMTvQr/D8gredNMIpkQ3QSqKeGnV9tDba/blD82+DdlV47fvFgQvA8Mwv2GW+WBacaHeNZYVvEwj&#13;&#10;EMSF1Q1XCj5Pm8krCOeRNbaWScGNHOTZ02iJqbZXPtDl6CsRIOxSVFB736VSuqImg25qO+KQlbY3&#13;&#10;6IPtK6l7vAa4aWUcRXNpsOGwUGNHbzUVv8ezUbAvfqrvlf9KnHTlxzZ+P5Wz2Vqp8fOwXgRZLUB4&#13;&#10;GvyjcUfstIIkTuD/UXgDMvsDAAD//wMAUEsBAi0AFAAGAAgAAAAhANvh9svuAAAAhQEAABMAAAAA&#13;&#10;AAAAAAAAAAAAAAAAAFtDb250ZW50X1R5cGVzXS54bWxQSwECLQAUAAYACAAAACEAWvQsW78AAAAV&#13;&#10;AQAACwAAAAAAAAAAAAAAAAAfAQAAX3JlbHMvLnJlbHNQSwECLQAUAAYACAAAACEAdIePz8kAAADh&#13;&#10;AAAADwAAAAAAAAAAAAAAAAAHAgAAZHJzL2Rvd25yZXYueG1sUEsFBgAAAAADAAMAtwAAAP0CAAAA&#13;&#10;AA==&#13;&#10;" path="m23,l6,,,6,,23r6,7l23,30r7,-7l30,6,23,xe" fillcolor="#010202" stroked="f">
                    <v:path arrowok="t" o:connecttype="custom" o:connectlocs="23,732;6,732;0,738;0,755;6,762;23,762;30,755;30,738;23,732" o:connectangles="0,0,0,0,0,0,0,0,0"/>
                  </v:shape>
                </v:group>
                <v:group id="Group 20" o:spid="_x0000_s1057" style="position:absolute;left:609;top:42;width:215;height:215" coordorigin="609,42" coordsize="215,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FVfygAAAOEAAAAPAAAAZHJzL2Rvd25yZXYueG1sRI9Na8JA&#13;&#10;EIbvhf6HZYTedBOLtkRXEftBD1KoCuJtyI5JMDsbstsk/nvnUOhl4GV4n5lnuR5crTpqQ+XZQDpJ&#13;&#10;QBHn3lZcGDgePsavoEJEtlh7JgM3CrBePT4sMbO+5x/q9rFQAuGQoYEyxibTOuQlOQwT3xDL7uJb&#13;&#10;h1FiW2jbYi9wV+tpksy1w4rlQokNbUvKr/tfZ+Czx37znL53u+tlezsfZt+nXUrGPI2Gt4WMzQJU&#13;&#10;pCH+N/4QX9bAy1ReFiOxAb26AwAA//8DAFBLAQItABQABgAIAAAAIQDb4fbL7gAAAIUBAAATAAAA&#13;&#10;AAAAAAAAAAAAAAAAAABbQ29udGVudF9UeXBlc10ueG1sUEsBAi0AFAAGAAgAAAAhAFr0LFu/AAAA&#13;&#10;FQEAAAsAAAAAAAAAAAAAAAAAHwEAAF9yZWxzLy5yZWxzUEsBAi0AFAAGAAgAAAAhAAQQVV/KAAAA&#13;&#10;4QAAAA8AAAAAAAAAAAAAAAAABwIAAGRycy9kb3ducmV2LnhtbFBLBQYAAAAAAwADALcAAAD+AgAA&#13;&#10;AAA=&#13;&#10;">
                  <v:shape id="Freeform 21" o:spid="_x0000_s1058" style="position:absolute;left:609;top:42;width:215;height:215;visibility:visible;mso-wrap-style:square;v-text-anchor:top" coordsize="215,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uWuyQAAAOEAAAAPAAAAZHJzL2Rvd25yZXYueG1sRI9PawIx&#13;&#10;FMTvQr9DeAVvmlXwT1ejFEtR6MVqaa+vm9fdZTcvSxLd9Ns3BcHLwDDMb5j1NppWXMn52rKCyTgD&#13;&#10;QVxYXXOp4OP8OlqC8AFZY2uZFPySh+3mYbDGXNue3+l6CqVIEPY5KqhC6HIpfVGRQT+2HXHKfqwz&#13;&#10;GJJ1pdQO+wQ3rZxm2VwarDktVNjRrqKiOV2Mgm83253f9nFivg77xXEZm/6zaJQaPsaXVZLnFYhA&#13;&#10;MdwbN8RBK1hMn+D/UXoDcvMHAAD//wMAUEsBAi0AFAAGAAgAAAAhANvh9svuAAAAhQEAABMAAAAA&#13;&#10;AAAAAAAAAAAAAAAAAFtDb250ZW50X1R5cGVzXS54bWxQSwECLQAUAAYACAAAACEAWvQsW78AAAAV&#13;&#10;AQAACwAAAAAAAAAAAAAAAAAfAQAAX3JlbHMvLnJlbHNQSwECLQAUAAYACAAAACEAUu7lrskAAADh&#13;&#10;AAAADwAAAAAAAAAAAAAAAAAHAgAAZHJzL2Rvd25yZXYueG1sUEsFBgAAAAADAAMAtwAAAP0CAAAA&#13;&#10;AA==&#13;&#10;" path="m108,l50,16,9,64,,102r2,23l45,193r55,21l123,213r20,-5l161,201r9,-6l116,195,93,193,39,159,20,107,22,87,58,35,108,19r60,l156,11,139,4,120,,108,xe" fillcolor="#010202" stroked="f">
                    <v:path arrowok="t" o:connecttype="custom" o:connectlocs="108,694;50,710;9,758;0,796;2,819;45,887;100,908;123,907;143,902;161,895;170,889;116,889;93,887;39,853;20,801;22,781;58,729;108,713;168,713;156,705;139,698;120,694;108,694" o:connectangles="0,0,0,0,0,0,0,0,0,0,0,0,0,0,0,0,0,0,0,0,0,0,0"/>
                  </v:shape>
                  <v:shape id="Freeform 22" o:spid="_x0000_s1059" style="position:absolute;left:609;top:42;width:215;height:215;visibility:visible;mso-wrap-style:square;v-text-anchor:top" coordsize="215,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druyQAAAOEAAAAPAAAAZHJzL2Rvd25yZXYueG1sRI9BSwMx&#13;&#10;EIXvgv8hjODNZqtoy7ZpkYq04EVb0et0M91ddjNZktiN/945CL0MPIb3Pb7lOrtenSnE1rOB6aQA&#13;&#10;RVx523Jt4PPwejcHFROyxd4zGfilCOvV9dUSS+tH/qDzPtVKIBxLNNCkNJRax6ohh3HiB2L5nXxw&#13;&#10;mCSGWtuAo8Bdr++L4kk7bFkWGhxo01DV7X+cgWN43Bzetnnqvnfb2fs8d+NX1Rlze5NfFnKeF6AS&#13;&#10;5XRp/CN21sDsQRzESGxAr/4AAAD//wMAUEsBAi0AFAAGAAgAAAAhANvh9svuAAAAhQEAABMAAAAA&#13;&#10;AAAAAAAAAAAAAAAAAFtDb250ZW50X1R5cGVzXS54bWxQSwECLQAUAAYACAAAACEAWvQsW78AAAAV&#13;&#10;AQAACwAAAAAAAAAAAAAAAAAfAQAAX3JlbHMvLnJlbHNQSwECLQAUAAYACAAAACEARg3a7skAAADh&#13;&#10;AAAADwAAAAAAAAAAAAAAAAAHAgAAZHJzL2Rvd25yZXYueG1sUEsFBgAAAAADAAMAtwAAAP0CAAAA&#13;&#10;AA==&#13;&#10;" path="m168,19r-60,l129,21r19,7l164,39r16,18l190,75r5,18l194,119r-40,63l116,195r54,l211,137r4,-19l214,94,209,73,202,55,192,40,174,23r-6,-4xe" fillcolor="#010202" stroked="f">
                    <v:path arrowok="t" o:connecttype="custom" o:connectlocs="168,713;108,713;129,715;148,722;164,733;180,751;190,769;195,787;194,813;154,876;116,889;170,889;211,831;215,812;214,788;209,767;202,749;192,734;174,717;168,713" o:connectangles="0,0,0,0,0,0,0,0,0,0,0,0,0,0,0,0,0,0,0,0"/>
                  </v:shape>
                </v:group>
                <w10:wrap anchorx="margin"/>
              </v:group>
            </w:pict>
          </mc:Fallback>
        </mc:AlternateContent>
      </w:r>
    </w:p>
    <w:p w:rsidR="007871B4" w:rsidRPr="00021DD2" w:rsidRDefault="007871B4" w:rsidP="007871B4">
      <w:pPr>
        <w:spacing w:before="0" w:after="0"/>
        <w:contextualSpacing/>
        <w:rPr>
          <w:rFonts w:cs="Arial"/>
          <w:sz w:val="16"/>
          <w:szCs w:val="16"/>
          <w:lang w:eastAsia="en-US"/>
        </w:rPr>
      </w:pPr>
    </w:p>
    <w:p w:rsidR="007871B4" w:rsidRPr="00021DD2" w:rsidRDefault="007871B4" w:rsidP="007871B4">
      <w:pPr>
        <w:spacing w:before="0" w:after="0"/>
        <w:contextualSpacing/>
        <w:rPr>
          <w:rFonts w:cs="Arial"/>
          <w:sz w:val="16"/>
          <w:szCs w:val="16"/>
          <w:lang w:eastAsia="en-US"/>
        </w:rPr>
      </w:pPr>
    </w:p>
    <w:p w:rsidR="007871B4" w:rsidRPr="00021DD2" w:rsidRDefault="007871B4" w:rsidP="007871B4">
      <w:pPr>
        <w:spacing w:before="0" w:after="0"/>
        <w:contextualSpacing/>
        <w:rPr>
          <w:rFonts w:cs="Arial"/>
          <w:sz w:val="18"/>
          <w:szCs w:val="18"/>
          <w:lang w:eastAsia="en-US"/>
        </w:rPr>
      </w:pPr>
      <w:r w:rsidRPr="00021DD2">
        <w:rPr>
          <w:rFonts w:cs="Arial"/>
          <w:sz w:val="18"/>
          <w:szCs w:val="18"/>
          <w:lang w:eastAsia="en-US"/>
        </w:rPr>
        <w:t xml:space="preserve">All material presented in this publication is licensed under the </w:t>
      </w:r>
      <w:r w:rsidRPr="0047394A">
        <w:rPr>
          <w:rStyle w:val="Collegamentoipertestuale"/>
          <w:sz w:val="18"/>
          <w:szCs w:val="18"/>
        </w:rPr>
        <w:t>Creative Commons Attribution 4.0 International Licence</w:t>
      </w:r>
      <w:r w:rsidRPr="00021DD2">
        <w:rPr>
          <w:rFonts w:cs="Arial"/>
          <w:sz w:val="18"/>
          <w:szCs w:val="18"/>
          <w:lang w:eastAsia="en-US"/>
        </w:rPr>
        <w:t>, with the exception of:</w:t>
      </w:r>
    </w:p>
    <w:p w:rsidR="007871B4" w:rsidRPr="00021DD2" w:rsidRDefault="007871B4" w:rsidP="007871B4">
      <w:pPr>
        <w:spacing w:before="0" w:after="0"/>
        <w:contextualSpacing/>
        <w:rPr>
          <w:rFonts w:cs="Arial"/>
          <w:sz w:val="18"/>
          <w:szCs w:val="18"/>
          <w:lang w:eastAsia="en-US"/>
        </w:rPr>
      </w:pPr>
    </w:p>
    <w:p w:rsidR="007871B4" w:rsidRPr="00021DD2" w:rsidRDefault="007871B4" w:rsidP="007871B4">
      <w:pPr>
        <w:spacing w:before="0" w:after="0"/>
        <w:ind w:left="720"/>
        <w:contextualSpacing/>
        <w:rPr>
          <w:rFonts w:cs="Arial"/>
          <w:sz w:val="18"/>
          <w:szCs w:val="18"/>
          <w:lang w:eastAsia="en-US"/>
        </w:rPr>
      </w:pPr>
      <w:r w:rsidRPr="00021DD2">
        <w:rPr>
          <w:rFonts w:cs="Arial"/>
          <w:sz w:val="18"/>
          <w:szCs w:val="18"/>
          <w:lang w:eastAsia="en-US"/>
        </w:rPr>
        <w:t>• photographs and images;</w:t>
      </w:r>
    </w:p>
    <w:p w:rsidR="007871B4" w:rsidRPr="00021DD2" w:rsidRDefault="007871B4" w:rsidP="007871B4">
      <w:pPr>
        <w:spacing w:before="0" w:after="0"/>
        <w:ind w:left="720"/>
        <w:contextualSpacing/>
        <w:rPr>
          <w:rFonts w:cs="Arial"/>
          <w:sz w:val="18"/>
          <w:szCs w:val="18"/>
          <w:lang w:eastAsia="en-US"/>
        </w:rPr>
      </w:pPr>
      <w:r w:rsidRPr="00021DD2">
        <w:rPr>
          <w:rFonts w:cs="Arial"/>
          <w:sz w:val="18"/>
          <w:szCs w:val="18"/>
          <w:lang w:eastAsia="en-US"/>
        </w:rPr>
        <w:t>• the Commission’s logo, any branding or trademarks;</w:t>
      </w:r>
    </w:p>
    <w:p w:rsidR="007871B4" w:rsidRPr="00021DD2" w:rsidRDefault="007871B4" w:rsidP="007871B4">
      <w:pPr>
        <w:spacing w:before="0" w:after="0"/>
        <w:ind w:left="720"/>
        <w:contextualSpacing/>
        <w:rPr>
          <w:rFonts w:cs="Arial"/>
          <w:sz w:val="18"/>
          <w:szCs w:val="18"/>
          <w:lang w:eastAsia="en-US"/>
        </w:rPr>
      </w:pPr>
      <w:r w:rsidRPr="00021DD2">
        <w:rPr>
          <w:rFonts w:cs="Arial"/>
          <w:sz w:val="18"/>
          <w:szCs w:val="18"/>
          <w:lang w:eastAsia="en-US"/>
        </w:rPr>
        <w:t>• where otherwise indicated.</w:t>
      </w:r>
    </w:p>
    <w:p w:rsidR="007871B4" w:rsidRPr="00021DD2" w:rsidRDefault="007871B4" w:rsidP="007871B4">
      <w:pPr>
        <w:spacing w:before="0" w:after="0"/>
        <w:contextualSpacing/>
        <w:rPr>
          <w:rFonts w:cs="Arial"/>
          <w:sz w:val="18"/>
          <w:szCs w:val="18"/>
          <w:lang w:eastAsia="en-US"/>
        </w:rPr>
      </w:pPr>
    </w:p>
    <w:p w:rsidR="007871B4" w:rsidRPr="00021DD2" w:rsidRDefault="007871B4" w:rsidP="007871B4">
      <w:pPr>
        <w:spacing w:before="0" w:after="0"/>
        <w:contextualSpacing/>
        <w:rPr>
          <w:rFonts w:cs="Arial"/>
          <w:sz w:val="18"/>
          <w:szCs w:val="18"/>
          <w:lang w:eastAsia="en-US"/>
        </w:rPr>
      </w:pPr>
      <w:r w:rsidRPr="00021DD2">
        <w:rPr>
          <w:rFonts w:cs="Arial"/>
          <w:sz w:val="18"/>
          <w:szCs w:val="18"/>
          <w:lang w:eastAsia="en-US"/>
        </w:rPr>
        <w:t xml:space="preserve">To view a copy of this licence, visit </w:t>
      </w:r>
      <w:hyperlink r:id="rId12" w:history="1">
        <w:r w:rsidRPr="00021DD2">
          <w:rPr>
            <w:rStyle w:val="Collegamentoipertestuale"/>
            <w:rFonts w:cs="Arial"/>
            <w:sz w:val="18"/>
            <w:szCs w:val="18"/>
            <w:lang w:eastAsia="en-US"/>
          </w:rPr>
          <w:t>http://creativecommons.org/licenses/by/4.0/legalcode</w:t>
        </w:r>
      </w:hyperlink>
      <w:r w:rsidRPr="00021DD2">
        <w:rPr>
          <w:rFonts w:cs="Arial"/>
          <w:sz w:val="18"/>
          <w:szCs w:val="18"/>
          <w:lang w:eastAsia="en-US"/>
        </w:rPr>
        <w:t>.</w:t>
      </w:r>
    </w:p>
    <w:p w:rsidR="007871B4" w:rsidRPr="00021DD2" w:rsidRDefault="007871B4" w:rsidP="007871B4">
      <w:pPr>
        <w:spacing w:before="0" w:after="0"/>
        <w:contextualSpacing/>
        <w:rPr>
          <w:rFonts w:cs="Arial"/>
          <w:sz w:val="18"/>
          <w:szCs w:val="18"/>
          <w:lang w:eastAsia="en-US"/>
        </w:rPr>
      </w:pPr>
    </w:p>
    <w:p w:rsidR="007871B4" w:rsidRPr="00021DD2" w:rsidRDefault="007871B4" w:rsidP="007871B4">
      <w:pPr>
        <w:spacing w:before="0" w:after="0"/>
        <w:contextualSpacing/>
        <w:rPr>
          <w:rFonts w:cs="Arial"/>
          <w:sz w:val="18"/>
          <w:szCs w:val="18"/>
          <w:lang w:eastAsia="en-US"/>
        </w:rPr>
      </w:pPr>
      <w:r w:rsidRPr="00021DD2">
        <w:rPr>
          <w:rFonts w:cs="Arial"/>
          <w:sz w:val="18"/>
          <w:szCs w:val="18"/>
          <w:lang w:eastAsia="en-US"/>
        </w:rPr>
        <w:t>In essence, you are free to copy, communicate and adapt the publication, as long as you attribute the Australian Human Rights Commission and abide by the other licence terms.</w:t>
      </w:r>
    </w:p>
    <w:p w:rsidR="007871B4" w:rsidRPr="00021DD2" w:rsidRDefault="007871B4" w:rsidP="007871B4">
      <w:pPr>
        <w:spacing w:before="0" w:after="0"/>
        <w:contextualSpacing/>
        <w:rPr>
          <w:rFonts w:cs="Arial"/>
          <w:sz w:val="18"/>
          <w:szCs w:val="18"/>
          <w:lang w:eastAsia="en-US"/>
        </w:rPr>
      </w:pPr>
    </w:p>
    <w:p w:rsidR="007871B4" w:rsidRPr="00021DD2" w:rsidRDefault="007871B4" w:rsidP="007871B4">
      <w:pPr>
        <w:spacing w:before="0" w:after="0"/>
        <w:contextualSpacing/>
        <w:rPr>
          <w:rFonts w:cs="Arial"/>
          <w:b/>
          <w:sz w:val="18"/>
          <w:szCs w:val="18"/>
          <w:lang w:eastAsia="en-US"/>
        </w:rPr>
      </w:pPr>
      <w:r w:rsidRPr="00021DD2">
        <w:rPr>
          <w:rFonts w:cs="Arial"/>
          <w:b/>
          <w:sz w:val="18"/>
          <w:szCs w:val="18"/>
          <w:lang w:eastAsia="en-US"/>
        </w:rPr>
        <w:t xml:space="preserve">Please give attribution to: </w:t>
      </w:r>
    </w:p>
    <w:p w:rsidR="007871B4" w:rsidRPr="00021DD2" w:rsidRDefault="007871B4" w:rsidP="007871B4">
      <w:pPr>
        <w:spacing w:before="0" w:after="0"/>
        <w:contextualSpacing/>
        <w:rPr>
          <w:rFonts w:cs="Arial"/>
          <w:sz w:val="18"/>
          <w:szCs w:val="18"/>
          <w:lang w:eastAsia="en-US"/>
        </w:rPr>
      </w:pPr>
      <w:r w:rsidRPr="00021DD2">
        <w:rPr>
          <w:rFonts w:cs="Arial"/>
          <w:sz w:val="18"/>
          <w:szCs w:val="18"/>
          <w:lang w:eastAsia="en-US"/>
        </w:rPr>
        <w:t>© Australian Human Rights Commission 2017.</w:t>
      </w:r>
    </w:p>
    <w:p w:rsidR="007871B4" w:rsidRPr="00021DD2" w:rsidRDefault="007871B4" w:rsidP="007871B4">
      <w:pPr>
        <w:spacing w:before="0" w:after="0"/>
        <w:contextualSpacing/>
        <w:rPr>
          <w:rFonts w:cs="Arial"/>
          <w:sz w:val="18"/>
          <w:szCs w:val="18"/>
          <w:lang w:eastAsia="en-US"/>
        </w:rPr>
      </w:pPr>
    </w:p>
    <w:p w:rsidR="007871B4" w:rsidRPr="00021DD2" w:rsidRDefault="0081413D" w:rsidP="007871B4">
      <w:pPr>
        <w:spacing w:before="0" w:after="0"/>
        <w:contextualSpacing/>
        <w:rPr>
          <w:rFonts w:cs="Arial"/>
          <w:b/>
          <w:sz w:val="18"/>
          <w:szCs w:val="18"/>
          <w:lang w:eastAsia="en-US"/>
        </w:rPr>
      </w:pPr>
      <w:r>
        <w:rPr>
          <w:rFonts w:cs="Arial"/>
          <w:b/>
          <w:sz w:val="18"/>
          <w:szCs w:val="18"/>
          <w:lang w:eastAsia="en-US"/>
        </w:rPr>
        <w:t>Children’s Rights Report 2017</w:t>
      </w:r>
    </w:p>
    <w:p w:rsidR="007871B4" w:rsidRPr="00021DD2" w:rsidRDefault="007871B4" w:rsidP="007871B4">
      <w:pPr>
        <w:spacing w:before="0" w:after="0"/>
        <w:contextualSpacing/>
        <w:rPr>
          <w:rFonts w:cs="Arial"/>
          <w:sz w:val="18"/>
          <w:szCs w:val="18"/>
          <w:lang w:eastAsia="en-US"/>
        </w:rPr>
      </w:pPr>
      <w:r w:rsidRPr="00021DD2">
        <w:rPr>
          <w:rFonts w:cs="Arial"/>
          <w:sz w:val="18"/>
          <w:szCs w:val="18"/>
          <w:lang w:eastAsia="en-US"/>
        </w:rPr>
        <w:t>ISSN 2203-0948 (Print)</w:t>
      </w:r>
    </w:p>
    <w:p w:rsidR="007871B4" w:rsidRPr="00021DD2" w:rsidRDefault="007871B4" w:rsidP="007871B4">
      <w:pPr>
        <w:spacing w:before="0" w:after="0"/>
        <w:contextualSpacing/>
        <w:rPr>
          <w:rFonts w:cs="Arial"/>
          <w:sz w:val="18"/>
          <w:szCs w:val="18"/>
          <w:lang w:eastAsia="en-US"/>
        </w:rPr>
      </w:pPr>
      <w:r w:rsidRPr="00021DD2">
        <w:rPr>
          <w:rFonts w:cs="Arial"/>
          <w:sz w:val="18"/>
          <w:szCs w:val="18"/>
          <w:lang w:eastAsia="en-US"/>
        </w:rPr>
        <w:t>ISSN 2204-1176 (Online)</w:t>
      </w:r>
    </w:p>
    <w:p w:rsidR="007871B4" w:rsidRPr="00021DD2" w:rsidRDefault="007871B4" w:rsidP="007871B4">
      <w:pPr>
        <w:spacing w:before="0" w:after="0"/>
        <w:contextualSpacing/>
        <w:rPr>
          <w:rFonts w:cs="Arial"/>
          <w:b/>
          <w:sz w:val="18"/>
          <w:szCs w:val="18"/>
          <w:lang w:eastAsia="en-US"/>
        </w:rPr>
      </w:pPr>
    </w:p>
    <w:p w:rsidR="007871B4" w:rsidRPr="00021DD2" w:rsidRDefault="007871B4" w:rsidP="007871B4">
      <w:pPr>
        <w:spacing w:before="0" w:after="0"/>
        <w:contextualSpacing/>
        <w:rPr>
          <w:rFonts w:cs="Arial"/>
          <w:b/>
          <w:sz w:val="18"/>
          <w:szCs w:val="18"/>
          <w:lang w:eastAsia="en-US"/>
        </w:rPr>
      </w:pPr>
      <w:r w:rsidRPr="00021DD2">
        <w:rPr>
          <w:rFonts w:cs="Arial"/>
          <w:b/>
          <w:sz w:val="18"/>
          <w:szCs w:val="18"/>
          <w:lang w:eastAsia="en-US"/>
        </w:rPr>
        <w:t>Acknowledgments</w:t>
      </w:r>
    </w:p>
    <w:p w:rsidR="007871B4" w:rsidRPr="00021DD2" w:rsidRDefault="007871B4" w:rsidP="007871B4">
      <w:pPr>
        <w:spacing w:before="0" w:after="0"/>
        <w:contextualSpacing/>
        <w:rPr>
          <w:rFonts w:cs="Arial"/>
          <w:b/>
          <w:sz w:val="18"/>
          <w:szCs w:val="18"/>
          <w:lang w:eastAsia="en-US"/>
        </w:rPr>
      </w:pPr>
    </w:p>
    <w:p w:rsidR="007871B4" w:rsidRPr="00021DD2" w:rsidRDefault="007871B4" w:rsidP="007871B4">
      <w:pPr>
        <w:spacing w:before="0" w:after="0"/>
        <w:contextualSpacing/>
        <w:rPr>
          <w:rFonts w:cs="Arial"/>
          <w:sz w:val="18"/>
          <w:szCs w:val="18"/>
          <w:lang w:eastAsia="en-US"/>
        </w:rPr>
      </w:pPr>
      <w:r w:rsidRPr="00021DD2">
        <w:rPr>
          <w:rFonts w:cs="Arial"/>
          <w:sz w:val="18"/>
          <w:szCs w:val="18"/>
          <w:lang w:eastAsia="en-US"/>
        </w:rPr>
        <w:t xml:space="preserve">The Children’s Rights Report 2017 was drafted by Megan Mitchell, </w:t>
      </w:r>
      <w:r w:rsidR="00A8626F" w:rsidRPr="00021DD2">
        <w:rPr>
          <w:rFonts w:cs="Arial"/>
          <w:sz w:val="18"/>
          <w:szCs w:val="18"/>
          <w:lang w:eastAsia="en-US"/>
        </w:rPr>
        <w:t xml:space="preserve">Meagan Lee, </w:t>
      </w:r>
      <w:r w:rsidR="005B1A77" w:rsidRPr="00021DD2">
        <w:rPr>
          <w:rFonts w:cs="Arial"/>
          <w:sz w:val="18"/>
          <w:szCs w:val="18"/>
          <w:lang w:eastAsia="en-US"/>
        </w:rPr>
        <w:t xml:space="preserve">Clare Patterson, Lisa Townshend, </w:t>
      </w:r>
      <w:r w:rsidR="00D64E0F" w:rsidRPr="00021DD2">
        <w:rPr>
          <w:rFonts w:cs="Arial"/>
          <w:sz w:val="18"/>
          <w:szCs w:val="18"/>
          <w:lang w:eastAsia="en-US"/>
        </w:rPr>
        <w:t>Hwei-</w:t>
      </w:r>
      <w:r w:rsidR="00285022">
        <w:rPr>
          <w:rFonts w:cs="Arial"/>
          <w:sz w:val="18"/>
          <w:szCs w:val="18"/>
          <w:lang w:eastAsia="en-US"/>
        </w:rPr>
        <w:t>S</w:t>
      </w:r>
      <w:r w:rsidR="00D64E0F" w:rsidRPr="00021DD2">
        <w:rPr>
          <w:rFonts w:cs="Arial"/>
          <w:sz w:val="18"/>
          <w:szCs w:val="18"/>
          <w:lang w:eastAsia="en-US"/>
        </w:rPr>
        <w:t>ee Kay</w:t>
      </w:r>
      <w:r w:rsidR="005B1A77" w:rsidRPr="00021DD2">
        <w:rPr>
          <w:rFonts w:cs="Arial"/>
          <w:sz w:val="18"/>
          <w:szCs w:val="18"/>
          <w:lang w:eastAsia="en-US"/>
        </w:rPr>
        <w:t xml:space="preserve"> and Eleanor Holden</w:t>
      </w:r>
      <w:r w:rsidR="00D64E0F" w:rsidRPr="00021DD2">
        <w:rPr>
          <w:rFonts w:cs="Arial"/>
          <w:sz w:val="18"/>
          <w:szCs w:val="18"/>
          <w:lang w:eastAsia="en-US"/>
        </w:rPr>
        <w:t>.</w:t>
      </w:r>
    </w:p>
    <w:p w:rsidR="00D64E0F" w:rsidRPr="00021DD2" w:rsidRDefault="00D64E0F" w:rsidP="007871B4">
      <w:pPr>
        <w:spacing w:before="0" w:after="0"/>
        <w:contextualSpacing/>
        <w:rPr>
          <w:rFonts w:cs="Arial"/>
          <w:sz w:val="18"/>
          <w:szCs w:val="18"/>
          <w:lang w:eastAsia="en-US"/>
        </w:rPr>
      </w:pPr>
    </w:p>
    <w:p w:rsidR="007871B4" w:rsidRPr="00021DD2" w:rsidRDefault="007871B4" w:rsidP="007871B4">
      <w:pPr>
        <w:spacing w:before="0" w:after="0"/>
        <w:contextualSpacing/>
        <w:rPr>
          <w:rFonts w:cs="Arial"/>
          <w:sz w:val="18"/>
          <w:szCs w:val="18"/>
          <w:lang w:eastAsia="en-US"/>
        </w:rPr>
      </w:pPr>
      <w:r w:rsidRPr="00021DD2">
        <w:rPr>
          <w:rFonts w:cs="Arial"/>
          <w:sz w:val="18"/>
          <w:szCs w:val="18"/>
          <w:lang w:eastAsia="en-US"/>
        </w:rPr>
        <w:t xml:space="preserve">The National Children’s Commissioner thanks the following staff of the Australian Human Rights Commission: Padma Raman, Darren Dick, </w:t>
      </w:r>
      <w:r w:rsidR="00D64E0F" w:rsidRPr="00021DD2">
        <w:rPr>
          <w:rFonts w:cs="Arial"/>
          <w:sz w:val="18"/>
          <w:szCs w:val="18"/>
          <w:lang w:eastAsia="en-US"/>
        </w:rPr>
        <w:t>Helen Po</w:t>
      </w:r>
      <w:r w:rsidR="005B1A77" w:rsidRPr="00021DD2">
        <w:rPr>
          <w:rFonts w:cs="Arial"/>
          <w:sz w:val="18"/>
          <w:szCs w:val="18"/>
          <w:lang w:eastAsia="en-US"/>
        </w:rPr>
        <w:t>tts, Susan Newell, Rose Lilley</w:t>
      </w:r>
      <w:r w:rsidR="00D64E0F" w:rsidRPr="00021DD2">
        <w:rPr>
          <w:rFonts w:cs="Arial"/>
          <w:sz w:val="18"/>
          <w:szCs w:val="18"/>
          <w:lang w:eastAsia="en-US"/>
        </w:rPr>
        <w:t>, Georgia Flynn</w:t>
      </w:r>
      <w:r w:rsidRPr="00021DD2">
        <w:rPr>
          <w:rFonts w:cs="Arial"/>
          <w:sz w:val="18"/>
          <w:szCs w:val="18"/>
          <w:lang w:eastAsia="en-US"/>
        </w:rPr>
        <w:t>, Dominic O</w:t>
      </w:r>
      <w:r w:rsidR="00D64E0F" w:rsidRPr="00021DD2">
        <w:rPr>
          <w:rFonts w:cs="Arial"/>
          <w:sz w:val="18"/>
          <w:szCs w:val="18"/>
          <w:lang w:eastAsia="en-US"/>
        </w:rPr>
        <w:t>’Grady and Leon Wild.</w:t>
      </w:r>
    </w:p>
    <w:p w:rsidR="007871B4" w:rsidRPr="00021DD2" w:rsidRDefault="007871B4" w:rsidP="007871B4">
      <w:pPr>
        <w:pStyle w:val="Bibliografia"/>
        <w:rPr>
          <w:rFonts w:cs="Arial"/>
          <w:sz w:val="18"/>
          <w:szCs w:val="18"/>
          <w:lang w:eastAsia="en-US"/>
        </w:rPr>
      </w:pPr>
      <w:r w:rsidRPr="00021DD2">
        <w:rPr>
          <w:rFonts w:cs="Arial"/>
          <w:sz w:val="18"/>
          <w:szCs w:val="18"/>
        </w:rPr>
        <w:t xml:space="preserve">The National Children’s Commissioner also thanks interns </w:t>
      </w:r>
      <w:r w:rsidR="00B0011A" w:rsidRPr="00021DD2">
        <w:rPr>
          <w:rFonts w:cs="Arial"/>
          <w:sz w:val="18"/>
          <w:szCs w:val="18"/>
        </w:rPr>
        <w:t xml:space="preserve">Sophie Norman, Jennie Stephenson and </w:t>
      </w:r>
      <w:r w:rsidR="00B0011A" w:rsidRPr="00021DD2">
        <w:rPr>
          <w:rFonts w:cs="Arial"/>
          <w:sz w:val="18"/>
          <w:szCs w:val="18"/>
          <w:lang w:eastAsia="en-US"/>
        </w:rPr>
        <w:t xml:space="preserve">Virginia Mapedzahama. </w:t>
      </w:r>
    </w:p>
    <w:p w:rsidR="000F2598" w:rsidRPr="00021DD2" w:rsidRDefault="000F2598" w:rsidP="00D561E7">
      <w:pPr>
        <w:spacing w:before="0" w:after="0"/>
        <w:contextualSpacing/>
        <w:rPr>
          <w:rFonts w:cs="Arial"/>
          <w:sz w:val="18"/>
          <w:szCs w:val="18"/>
          <w:lang w:eastAsia="en-US"/>
        </w:rPr>
      </w:pPr>
      <w:r w:rsidRPr="00021DD2">
        <w:rPr>
          <w:rFonts w:cs="Arial"/>
          <w:sz w:val="18"/>
          <w:szCs w:val="18"/>
          <w:lang w:eastAsia="en-US"/>
        </w:rPr>
        <w:t xml:space="preserve">We would also like to thank King and Wood Mallesons and DLA Piper. </w:t>
      </w:r>
    </w:p>
    <w:p w:rsidR="000F2598" w:rsidRPr="00021DD2" w:rsidRDefault="000F2598" w:rsidP="00D561E7">
      <w:pPr>
        <w:spacing w:before="0" w:after="0"/>
        <w:contextualSpacing/>
        <w:rPr>
          <w:rFonts w:cs="Arial"/>
          <w:sz w:val="18"/>
          <w:szCs w:val="18"/>
          <w:lang w:eastAsia="en-US"/>
        </w:rPr>
      </w:pPr>
    </w:p>
    <w:p w:rsidR="00D561E7" w:rsidRPr="00021DD2" w:rsidRDefault="00D561E7" w:rsidP="00D561E7">
      <w:pPr>
        <w:spacing w:before="0" w:after="0"/>
        <w:contextualSpacing/>
        <w:rPr>
          <w:rFonts w:cs="Arial"/>
          <w:sz w:val="18"/>
          <w:szCs w:val="18"/>
          <w:lang w:eastAsia="en-US"/>
        </w:rPr>
      </w:pPr>
      <w:r w:rsidRPr="00021DD2">
        <w:rPr>
          <w:rFonts w:cs="Arial"/>
          <w:sz w:val="18"/>
          <w:szCs w:val="18"/>
          <w:lang w:eastAsia="en-US"/>
        </w:rPr>
        <w:t xml:space="preserve">This publication can be found in electronic format on the Australian Human Rights Commission’s website at </w:t>
      </w:r>
      <w:r w:rsidRPr="007A6917">
        <w:rPr>
          <w:rStyle w:val="Collegamentoipertestuale"/>
          <w:sz w:val="18"/>
          <w:szCs w:val="18"/>
        </w:rPr>
        <w:t>http://www.humanrights.gov.au/about/publications/</w:t>
      </w:r>
      <w:r w:rsidRPr="007A6917">
        <w:rPr>
          <w:rFonts w:cs="Arial"/>
          <w:sz w:val="18"/>
          <w:szCs w:val="18"/>
          <w:lang w:eastAsia="en-US"/>
        </w:rPr>
        <w:t>.</w:t>
      </w:r>
    </w:p>
    <w:p w:rsidR="00D561E7" w:rsidRPr="00021DD2" w:rsidRDefault="00D561E7" w:rsidP="00D561E7">
      <w:pPr>
        <w:spacing w:before="0" w:after="0"/>
        <w:contextualSpacing/>
        <w:rPr>
          <w:rFonts w:cs="Arial"/>
          <w:sz w:val="18"/>
          <w:szCs w:val="18"/>
          <w:lang w:eastAsia="en-US"/>
        </w:rPr>
      </w:pPr>
    </w:p>
    <w:p w:rsidR="00D561E7" w:rsidRPr="00021DD2" w:rsidRDefault="00D561E7" w:rsidP="00D561E7">
      <w:pPr>
        <w:spacing w:before="0" w:after="0"/>
        <w:contextualSpacing/>
        <w:rPr>
          <w:rFonts w:cs="Arial"/>
          <w:sz w:val="18"/>
          <w:szCs w:val="18"/>
          <w:lang w:eastAsia="en-US"/>
        </w:rPr>
      </w:pPr>
      <w:r w:rsidRPr="00021DD2">
        <w:rPr>
          <w:rFonts w:cs="Arial"/>
          <w:sz w:val="18"/>
          <w:szCs w:val="18"/>
          <w:lang w:eastAsia="en-US"/>
        </w:rPr>
        <w:t>For further information about the Australian Human Rights Commission or copyright in this publication, please contact:</w:t>
      </w:r>
    </w:p>
    <w:p w:rsidR="00D561E7" w:rsidRPr="00021DD2" w:rsidRDefault="00D561E7" w:rsidP="00D561E7">
      <w:pPr>
        <w:spacing w:before="0" w:after="0"/>
        <w:contextualSpacing/>
        <w:rPr>
          <w:rFonts w:cs="Arial"/>
          <w:sz w:val="18"/>
          <w:szCs w:val="18"/>
          <w:lang w:eastAsia="en-US"/>
        </w:rPr>
      </w:pPr>
    </w:p>
    <w:p w:rsidR="00D561E7" w:rsidRPr="00021DD2" w:rsidRDefault="00D02B3C" w:rsidP="00D561E7">
      <w:pPr>
        <w:spacing w:before="0" w:after="0"/>
        <w:ind w:left="720"/>
        <w:contextualSpacing/>
        <w:rPr>
          <w:rFonts w:cs="Arial"/>
          <w:sz w:val="18"/>
          <w:szCs w:val="18"/>
          <w:lang w:eastAsia="en-US"/>
        </w:rPr>
      </w:pPr>
      <w:r w:rsidRPr="00021DD2">
        <w:rPr>
          <w:rFonts w:cs="Arial"/>
          <w:sz w:val="18"/>
          <w:szCs w:val="18"/>
          <w:lang w:eastAsia="en-US"/>
        </w:rPr>
        <w:t>Communications Unit</w:t>
      </w:r>
    </w:p>
    <w:p w:rsidR="00D561E7" w:rsidRPr="00021DD2" w:rsidRDefault="00D561E7" w:rsidP="00D561E7">
      <w:pPr>
        <w:spacing w:before="0" w:after="0"/>
        <w:ind w:left="720"/>
        <w:contextualSpacing/>
        <w:rPr>
          <w:rFonts w:cs="Arial"/>
          <w:sz w:val="18"/>
          <w:szCs w:val="18"/>
          <w:lang w:eastAsia="en-US"/>
        </w:rPr>
      </w:pPr>
      <w:r w:rsidRPr="00021DD2">
        <w:rPr>
          <w:rFonts w:cs="Arial"/>
          <w:sz w:val="18"/>
          <w:szCs w:val="18"/>
          <w:lang w:eastAsia="en-US"/>
        </w:rPr>
        <w:t>Australian Human Rights Commission</w:t>
      </w:r>
    </w:p>
    <w:p w:rsidR="00D561E7" w:rsidRPr="00021DD2" w:rsidRDefault="00D561E7" w:rsidP="00D561E7">
      <w:pPr>
        <w:spacing w:before="0" w:after="0"/>
        <w:ind w:left="720"/>
        <w:contextualSpacing/>
        <w:rPr>
          <w:rFonts w:cs="Arial"/>
          <w:sz w:val="18"/>
          <w:szCs w:val="18"/>
          <w:lang w:eastAsia="en-US"/>
        </w:rPr>
      </w:pPr>
      <w:r w:rsidRPr="00021DD2">
        <w:rPr>
          <w:rFonts w:cs="Arial"/>
          <w:sz w:val="18"/>
          <w:szCs w:val="18"/>
          <w:lang w:eastAsia="en-US"/>
        </w:rPr>
        <w:t>GPO Box 5218</w:t>
      </w:r>
    </w:p>
    <w:p w:rsidR="00D561E7" w:rsidRPr="00021DD2" w:rsidRDefault="00D561E7" w:rsidP="00D561E7">
      <w:pPr>
        <w:spacing w:before="0" w:after="0"/>
        <w:ind w:left="720"/>
        <w:contextualSpacing/>
        <w:rPr>
          <w:rFonts w:cs="Arial"/>
          <w:sz w:val="18"/>
          <w:szCs w:val="18"/>
          <w:lang w:eastAsia="en-US"/>
        </w:rPr>
      </w:pPr>
      <w:r w:rsidRPr="00021DD2">
        <w:rPr>
          <w:rFonts w:cs="Arial"/>
          <w:sz w:val="18"/>
          <w:szCs w:val="18"/>
          <w:lang w:eastAsia="en-US"/>
        </w:rPr>
        <w:t>SYDNEY NSW 2001</w:t>
      </w:r>
    </w:p>
    <w:p w:rsidR="00D561E7" w:rsidRPr="00021DD2" w:rsidRDefault="00D561E7" w:rsidP="00D561E7">
      <w:pPr>
        <w:spacing w:before="0" w:after="0"/>
        <w:ind w:left="720"/>
        <w:contextualSpacing/>
        <w:rPr>
          <w:rFonts w:cs="Arial"/>
          <w:sz w:val="18"/>
          <w:szCs w:val="18"/>
          <w:lang w:eastAsia="en-US"/>
        </w:rPr>
      </w:pPr>
      <w:r w:rsidRPr="00021DD2">
        <w:rPr>
          <w:rFonts w:cs="Arial"/>
          <w:sz w:val="18"/>
          <w:szCs w:val="18"/>
          <w:lang w:eastAsia="en-US"/>
        </w:rPr>
        <w:t>Telephone: (02) 9284 9600</w:t>
      </w:r>
    </w:p>
    <w:p w:rsidR="00D561E7" w:rsidRPr="00021DD2" w:rsidRDefault="00D561E7" w:rsidP="00D561E7">
      <w:pPr>
        <w:spacing w:before="0" w:after="0"/>
        <w:ind w:left="720"/>
        <w:contextualSpacing/>
        <w:rPr>
          <w:rFonts w:cs="Arial"/>
          <w:sz w:val="18"/>
          <w:szCs w:val="18"/>
          <w:lang w:eastAsia="en-US"/>
        </w:rPr>
      </w:pPr>
      <w:r w:rsidRPr="00021DD2">
        <w:rPr>
          <w:rFonts w:cs="Arial"/>
          <w:sz w:val="18"/>
          <w:szCs w:val="18"/>
          <w:lang w:eastAsia="en-US"/>
        </w:rPr>
        <w:t>Email: communications@humanrights.gov.au.</w:t>
      </w:r>
    </w:p>
    <w:p w:rsidR="00D561E7" w:rsidRPr="00021DD2" w:rsidRDefault="00D561E7" w:rsidP="00D561E7">
      <w:pPr>
        <w:spacing w:before="0" w:after="0"/>
        <w:contextualSpacing/>
        <w:rPr>
          <w:rFonts w:cs="Arial"/>
          <w:sz w:val="18"/>
          <w:szCs w:val="18"/>
          <w:lang w:eastAsia="en-US"/>
        </w:rPr>
      </w:pPr>
    </w:p>
    <w:p w:rsidR="00D561E7" w:rsidRPr="00021DD2" w:rsidRDefault="00D561E7" w:rsidP="00D561E7">
      <w:pPr>
        <w:spacing w:before="0" w:after="0"/>
        <w:contextualSpacing/>
        <w:rPr>
          <w:rFonts w:cs="Arial"/>
          <w:sz w:val="18"/>
          <w:szCs w:val="18"/>
          <w:lang w:eastAsia="en-US"/>
        </w:rPr>
      </w:pPr>
      <w:r w:rsidRPr="00021DD2">
        <w:rPr>
          <w:rFonts w:cs="Arial"/>
          <w:b/>
          <w:bCs/>
          <w:sz w:val="18"/>
          <w:szCs w:val="18"/>
          <w:lang w:eastAsia="en-US"/>
        </w:rPr>
        <w:t xml:space="preserve">Design and layout: </w:t>
      </w:r>
      <w:r w:rsidRPr="00021DD2">
        <w:rPr>
          <w:rFonts w:cs="Arial"/>
          <w:sz w:val="18"/>
          <w:szCs w:val="18"/>
          <w:lang w:eastAsia="en-US"/>
        </w:rPr>
        <w:t>Dancingirl Designs</w:t>
      </w:r>
    </w:p>
    <w:p w:rsidR="00D561E7" w:rsidRPr="00021DD2" w:rsidRDefault="00D561E7" w:rsidP="00D561E7">
      <w:pPr>
        <w:spacing w:before="0" w:after="0"/>
        <w:contextualSpacing/>
        <w:rPr>
          <w:rFonts w:cs="Arial"/>
          <w:sz w:val="18"/>
          <w:szCs w:val="18"/>
          <w:lang w:eastAsia="en-US"/>
        </w:rPr>
      </w:pPr>
      <w:r w:rsidRPr="00021DD2">
        <w:rPr>
          <w:rFonts w:cs="Arial"/>
          <w:b/>
          <w:sz w:val="18"/>
          <w:szCs w:val="18"/>
          <w:lang w:eastAsia="en-US"/>
        </w:rPr>
        <w:t>Printing:</w:t>
      </w:r>
      <w:r w:rsidRPr="00021DD2">
        <w:rPr>
          <w:rFonts w:cs="Arial"/>
          <w:sz w:val="18"/>
          <w:szCs w:val="18"/>
          <w:lang w:eastAsia="en-US"/>
        </w:rPr>
        <w:t xml:space="preserve"> Centrum</w:t>
      </w:r>
    </w:p>
    <w:p w:rsidR="007871B4" w:rsidRPr="00021DD2" w:rsidRDefault="005B1A77" w:rsidP="007871B4">
      <w:pPr>
        <w:rPr>
          <w:rFonts w:cs="Arial"/>
          <w:b/>
          <w:bCs/>
          <w:sz w:val="18"/>
          <w:szCs w:val="18"/>
          <w:lang w:eastAsia="en-US"/>
        </w:rPr>
      </w:pPr>
      <w:r w:rsidRPr="00021DD2">
        <w:rPr>
          <w:rFonts w:cs="Arial"/>
          <w:b/>
          <w:bCs/>
          <w:sz w:val="18"/>
          <w:szCs w:val="18"/>
          <w:lang w:eastAsia="en-US"/>
        </w:rPr>
        <w:t>Front Cover</w:t>
      </w:r>
      <w:r w:rsidR="00EA654B" w:rsidRPr="00021DD2">
        <w:rPr>
          <w:rFonts w:cs="Arial"/>
          <w:b/>
          <w:bCs/>
          <w:sz w:val="18"/>
          <w:szCs w:val="18"/>
          <w:lang w:eastAsia="en-US"/>
        </w:rPr>
        <w:t xml:space="preserve">: </w:t>
      </w:r>
      <w:r w:rsidR="00EA654B" w:rsidRPr="00021DD2">
        <w:rPr>
          <w:rFonts w:cs="Arial"/>
          <w:bCs/>
          <w:sz w:val="18"/>
          <w:szCs w:val="18"/>
          <w:lang w:eastAsia="en-US"/>
        </w:rPr>
        <w:t>Provided by yourtown Young Parents Program</w:t>
      </w:r>
      <w:r w:rsidR="00EA654B" w:rsidRPr="00021DD2">
        <w:rPr>
          <w:rFonts w:cs="Arial"/>
          <w:b/>
          <w:bCs/>
          <w:sz w:val="18"/>
          <w:szCs w:val="18"/>
          <w:lang w:eastAsia="en-US"/>
        </w:rPr>
        <w:t xml:space="preserve"> </w:t>
      </w:r>
    </w:p>
    <w:p w:rsidR="005B1A77" w:rsidRPr="00021DD2" w:rsidRDefault="005B1A77" w:rsidP="007871B4">
      <w:pPr>
        <w:rPr>
          <w:rFonts w:cs="Arial"/>
          <w:b/>
          <w:bCs/>
          <w:sz w:val="18"/>
          <w:szCs w:val="18"/>
          <w:lang w:eastAsia="en-US"/>
        </w:rPr>
      </w:pPr>
      <w:r w:rsidRPr="00021DD2">
        <w:rPr>
          <w:rFonts w:cs="Arial"/>
          <w:b/>
          <w:bCs/>
          <w:sz w:val="18"/>
          <w:szCs w:val="18"/>
          <w:lang w:eastAsia="en-US"/>
        </w:rPr>
        <w:t>Back Cover</w:t>
      </w:r>
      <w:r w:rsidR="00C75117" w:rsidRPr="00021DD2">
        <w:rPr>
          <w:rFonts w:cs="Arial"/>
          <w:b/>
          <w:bCs/>
          <w:sz w:val="18"/>
          <w:szCs w:val="18"/>
          <w:lang w:eastAsia="en-US"/>
        </w:rPr>
        <w:t xml:space="preserve">: </w:t>
      </w:r>
      <w:r w:rsidR="00C75117" w:rsidRPr="00021DD2">
        <w:rPr>
          <w:rFonts w:cs="Arial"/>
          <w:bCs/>
          <w:sz w:val="18"/>
          <w:szCs w:val="18"/>
          <w:lang w:eastAsia="en-US"/>
        </w:rPr>
        <w:t>Provided by Lismore CCCares, Social Futures</w:t>
      </w:r>
    </w:p>
    <w:p w:rsidR="000F2598" w:rsidRPr="00021DD2" w:rsidRDefault="000F2598" w:rsidP="007871B4">
      <w:pPr>
        <w:rPr>
          <w:rFonts w:cs="Arial"/>
          <w:b/>
          <w:bCs/>
          <w:sz w:val="18"/>
          <w:szCs w:val="18"/>
          <w:lang w:eastAsia="en-US"/>
        </w:rPr>
      </w:pPr>
    </w:p>
    <w:p w:rsidR="000F2598" w:rsidRPr="00021DD2" w:rsidRDefault="000F2598" w:rsidP="007871B4">
      <w:pPr>
        <w:rPr>
          <w:rFonts w:cs="Arial"/>
          <w:b/>
          <w:bCs/>
          <w:sz w:val="18"/>
          <w:szCs w:val="18"/>
          <w:lang w:eastAsia="en-US"/>
        </w:rPr>
      </w:pPr>
    </w:p>
    <w:p w:rsidR="000F2598" w:rsidRPr="00021DD2" w:rsidRDefault="00F763BE" w:rsidP="007871B4">
      <w:pPr>
        <w:rPr>
          <w:rFonts w:cs="Arial"/>
        </w:rPr>
      </w:pPr>
      <w:r w:rsidRPr="00427D25">
        <w:rPr>
          <w:rFonts w:eastAsia="Calibri" w:cs="Arial"/>
          <w:noProof/>
          <w:sz w:val="22"/>
          <w:szCs w:val="22"/>
          <w:lang w:val="it-IT" w:eastAsia="it-IT"/>
        </w:rPr>
        <mc:AlternateContent>
          <mc:Choice Requires="wpg">
            <w:drawing>
              <wp:anchor distT="0" distB="0" distL="114300" distR="114300" simplePos="0" relativeHeight="251665408" behindDoc="1" locked="0" layoutInCell="1" allowOverlap="1" wp14:anchorId="5D4D676A" wp14:editId="2A70B48C">
                <wp:simplePos x="0" y="0"/>
                <wp:positionH relativeFrom="page">
                  <wp:posOffset>913268</wp:posOffset>
                </wp:positionH>
                <wp:positionV relativeFrom="paragraph">
                  <wp:posOffset>-208915</wp:posOffset>
                </wp:positionV>
                <wp:extent cx="554355" cy="552450"/>
                <wp:effectExtent l="0" t="5080" r="4445" b="1270"/>
                <wp:wrapNone/>
                <wp:docPr id="31"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 cy="552450"/>
                          <a:chOff x="1701" y="-1413"/>
                          <a:chExt cx="873" cy="870"/>
                        </a:xfrm>
                      </wpg:grpSpPr>
                      <pic:pic xmlns:pic="http://schemas.openxmlformats.org/drawingml/2006/picture">
                        <pic:nvPicPr>
                          <pic:cNvPr id="719" name="Picture 69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1771" y="-1413"/>
                            <a:ext cx="77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2" name="Picture 69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1704" y="-1168"/>
                            <a:ext cx="86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 name="Picture 69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1704" y="-1168"/>
                            <a:ext cx="86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 name="Picture 69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1701" y="-975"/>
                            <a:ext cx="87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5" name="Picture 69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1701" y="-975"/>
                            <a:ext cx="87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69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1745" y="-799"/>
                            <a:ext cx="78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689"/>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1745" y="-799"/>
                            <a:ext cx="78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C63958" id="Group 688" o:spid="_x0000_s1026" style="position:absolute;margin-left:71.9pt;margin-top:-16.45pt;width:43.65pt;height:43.5pt;z-index:-251651072;mso-position-horizontal-relative:page" coordorigin="1701,-1413" coordsize="873,8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VD6XnwQAAMMnAAAOAAAAZHJzL2Uyb0RvYy54bWzsWtlu4zYUfS/QfxD0&#13;&#10;rliSqRWxB4mXoEDaBl0+gJZoixhJFEg6TlD033tJSt6DGcy8tC4N2Ka4XN1dh5e6//TW1M4r4YKy&#13;&#10;duIGd77rkLZgJW03E/fPP5Ze6jpC4rbENWvJxH0nwv00/fGH+12Xk5BVrC4Jd4BIK/JdN3ErKbt8&#13;&#10;NBJFRRos7lhHWhhcM95gCZd8Myo53gH1ph6Fvh+PdoyXHWcFEQJ652bQnWr66zUp5K/rtSDSqScu&#13;&#10;8Cb1L9e/K/U7mt7jfMNxV9GiZwN/AxcNpi3cdE9qjiV2tpxekGpowZlga3lXsGbE1mtaEC0DSBP4&#13;&#10;Z9I8cbbttCybfLfp9moC1Z7p6ZvJFr+8vnCHlhN3HLhOixuwkb6tE6ep0s6u2+Qw6Yl3v3cv3IgI&#13;&#10;zWdWfBYwPDofV9cbM9lZ7X5mJRDEW8m0dt7WvFEkQG7nTRvhfW8E8iadAjqjCI2jyHUKGIqiEEW9&#13;&#10;kYoKLKlWBYkPrMKoF6BgbCxYVIt+eZqMzdo00QtHODd31Zz2nE3vO1rk8O1VCq0LlX7Z9WCV3HLi&#13;&#10;9kSar6LRYP5523lg/Q5LuqI1le/ak0FBiqn29YUWStHq4mCdJMgG88C4uq0TZ5ESfphnVmEllTaO&#13;&#10;07JZhdsNeRAdhAHoDQgMXZyzXUVwKVS3MuMpFX15wsmqpt2S1rWynmr3MkMknXniFbUZL5+zYtuQ&#13;&#10;Vpqw5aQG8VkrKtoJ1+E5aVYEvJD/VAbaVcAdnoVUt1OOoUPprzB98P0sfPRmkT/zkJ8svIcMJV7i&#13;&#10;LxLkozSYBbO/1eoA5VtBQA24nne05xV6L7i9Gjd9hjERqSNbaUgzMvxr1qBLqULxKHjxGygZ5kFb&#13;&#10;ciKLSjXXoLG+HybvB7R6DxpVuhcQXF+MlyBJLjx/CJskiY3fj7NMW3Twe/AILuQTYY2jGqBiYFSr&#13;&#10;GL+CGEa0YYpiumXK0FqUuj3pABlMzzXjZH62SBcp8lAYL8A487n3sJwhL14GSTQfz2ezeTAYp6Jl&#13;&#10;SVp1m++3jVY5q2k5uKfgm9Ws5s4rhpy/1J9eIeIwbaR85MDGYFdF7OBvWRAi/zHMvGWcJh5aosjL&#13;&#10;Ej/1/CB7zGIfZWi+PBXpmbbk+0VydhM3i8JIW+mIaeVnR7L5+nMpG84bKuGpWtNm4qb7SThXEb9o&#13;&#10;S21aiWlt2keqUOwfVGFc3rj64KMwqprw/Q/m0HF4mUOR0p8SSeXam8mhoc2hH2AOQA+oRw9BrBGO&#13;&#10;iXgFPdIYHrIKd4TZKXawOXS5vMwzR4nD5F6TMGwOvekcCvDabBMgW/Y4VIPwm8uhY5tDbQ6FGsRX&#13;&#10;7hEsDtXI8QSuWhx6dS8/BgRynkPDm8ShyObQj3Nov5fPEl3HOYKhCexTNAxFGqACrBoKZ8M+3W7l&#13;&#10;7Vb+/72VhwrxeQrVlcybg6GmCnSt4mbLocNBgE2hcHa0P4M6gWAnFUNbDbXV0P1535ViqK563VwG&#13;&#10;jS0I/RCEIniOqqPUxJwaHUBokg610CjuS38WhNrzJHuedDiTH1+WQiFobvE4KbEZ1GZQWwn915/I&#13;&#10;63ec4E0xXYnt32pTr6IdX0P7+N276T8AAAD//wMAUEsDBBQABgAIAAAAIQCKqD465gAAAA8BAAAP&#13;&#10;AAAAZHJzL2Rvd25yZXYueG1sTI/NasMwEITvhb6D2EJviSw7Ka1jOYT05xQKTQqlt429sU0syViK&#13;&#10;7bx9t6f2sjDs7Ow32XoyrRio942zGtQ8AkG2cGVjKw2fh9fZIwgf0JbYOksaruRhnd/eZJiWbrQf&#13;&#10;NOxDJTjE+hQ11CF0qZS+qMmgn7uOLO9OrjcYWPaVLHscOdy0Mo6iB2mwsfyhxo62NRXn/cVoeBtx&#13;&#10;3CTqZdidT9vr92H5/rVTpPX93fS84rFZgQg0hb8L+O3A/JAz2NFdbOlFy3qRMH/QMEviJxDsiBOl&#13;&#10;QBw1LBcKZJ7J/z3yHwAAAP//AwBQSwMECgAAAAAAAAAhADmaFdTGBgAAxgYAABQAAABkcnMvbWVk&#13;&#10;aWEvaW1hZ2U3LnBuZ4lQTkcNChoKAAAADUlIRFIAAABOAAAAGggGAAAAGbVq/AAAAAZiS0dEAP8A&#13;&#10;/wD/oL2nkwAAAAlwSFlzAAAOxAAADsQBlSsOGwAABmZJREFUWIXtmftvHFcVx79nZ3b2Mbs7s+tH&#13;&#10;Yru20yR1baclyDRNaSkPAaIhTQBVAiREJaoiBIIfQCDxLyB+4Q9AQuJvQEj8hAoNStI2ihM7jh3H&#13;&#10;ju19eZ+e2Zn1vmYOP6zX9j78nmSDxFdazejO1bnnfObce8+dJfxfR5Jt25h9MAdXfkODZdnd9ud/&#13;&#10;QqZZxJ//8lcIgsAus1jExzc/4bVYApZlddu351b37s/iD3/8EwoFgycnxols28aNm5+yXjDg8Ug0&#13;&#10;MjyE4aEB+Lzebvv6XCgajeFvf/8Hz80vAAz88hc/xUvnzxEBQDqTxe0708w2w2YbYKCvJ0KDA6dw&#13;&#10;+lQ/PB6p2/4/cy0tP8E/P/oYMzOzzAwwGK9emMSHH7xPAECNjp/dvc+JZAo222CbwbwDMRJW0d/X&#13;&#10;Q329PYiEVQiC0L2InqIMw8T0vfu4eftTxGIJZjDADGZAktz4/e9+jUgk3Axuc7OEj27c4kq10gSu&#13;&#10;cc/MsG0bLpeLVDWEnnAYYVWBqioIBYMQBFf3Ij6BNE3Hw/kFzMzOYeHRY7as2la89SxrgPvO9W/j&#13;&#10;a195e5sX7TYSjSf4zvQs2Lb3BNe4Z+btfuQiKKEQVFVBWAmRoihQlRACAfnZkzhAmq5jbS2K5Ser&#13;&#10;WHy8zIlEEgBvw+p0f+7sWfz8Zx/Q7plGrYY/m57haDTeEVY7OAazDXt323Y7QxBcCAYDCAUDCARk&#13;&#10;BGSZZFmG7PfB7/fD5/NBFJ/OtDcME7l8HtlsDql0BuvrKcQTSdY0vQnOTlZ1Buf1evHb3/wKkXC4&#13;&#10;iVUbuGq1hn//5xbrBePE4Jhb+jO39ZXcErxeDzweCR5JgiRJkNwiRLcbblGEIAokuAQQASACtvyw&#13;&#10;LBvVWg2VcgWlcok3NzdhmkUUCgZ0XUelWp9yOyC2QDW17Q+OCPjwJ+9jYuLlNk5ia4PbLcIwTPzr&#13;&#10;xi2UKxUnXn6TCADvupYrZZRKJTDqwJsDZXBdbS9gN4h2QOyIr1e+9c2O0ACg44oeCMj0+mufJ5er&#13;&#10;+TFRiw1qurS1d3jioI5ne48Q2uy9cfkSvvH1r+45yJ5bYW9PBJemLlIbLAdErVdqvh7ZnlMubtl5&#13;&#10;5cIk3vvetX2t7ltDDA6cwqUvXGzPtE6jHVOtELspIsLkxDh+/KMf0EG1atsa16rhoUFaT6UxOzfP&#13;&#10;mWzeMSefJ6mqAtkvY3h4CNeuvkOieCCWg8EBwKn+PgCgXH4DS8srvLoWQ6lcPqG7J1Fja9n/+dYm&#13;&#10;3FEBWcb4y2NwCS6srK7R6OgwX7v6zoGZ1tChwDUUCasAQJZlIZXOcDSWQDy5Dl3T20PZbjgoyKPq&#13;&#10;+Pb6+3oxNnYeQ4MDSGcydPuTOzAMg6+/e4XfuHzpSKuFI0uLYZqcSmWwnk4jnckhl8vDsqx967nj&#13;&#10;/9BSduzdJxJRMTL8As6MjmD4hSEkkut0d/o+5hcesWVZUBUFP/z+e3TmzMiRY34qa3KtVoOmF5DL&#13;&#10;5ZHf0HhjQ4OmadD0AqrVquPgiAiqqqCvtwf9/X0YPH2aBgcHIIgCFheXMPdwnucePkK5XEYD9Ode&#13;&#10;vYDvXr9KPp/vWDGeGFzBMFApV6Cq6qEO+sXiJgqGwYZhwjRNGGYRxWIRpVIJpVIZ1WoV1Vpt5xxM&#13;&#10;BEEQIIoivF4PvB4v/LIfgYAMJRQkRQkhrNa/2NRqNcTjSSw/WcHi0jKia1GuWVYTcEUJ4vq7VzAx&#13;&#10;3rmwPawcybhYPIG792aZiBpfTEgJhRAKBuD3+9BaSDuharWKbC6PVCqNZHIdsXiC44nkVka3Hq0Y&#13;&#10;oujGW29expe/9EXyeDwnHt+xqWrbNh4vr+DezAPWNH3bYRe54Pf76gd7n498Pm89c7xeeDweSJIb&#13;&#10;brcbgiCAiEAALMtCzbJQqVRQLpdR3CzBNE0UCgZrmo58fgP5DW2ftXMHnCgImJq6iLffepMUJeRU&#13;&#10;uM6vcbZtY2U1yg8eziORTDV9ljr5JnGYjaHeLyDLmJq6iNdfm6JgMOB0mEcrRw6jrWlJAJDPb/DC&#13;&#10;4hKWlp5ALxhOD9UmURTx0vlzeGVyHGNj5w9VyB5Xz+ykk85ksboW5WgsjvVkqr4BOJBxkbCK0dER&#13;&#10;nH1xFC+eGXVk/TqMunJEtCwL2Vwe2WyOc7k8NF1HoWDA3NpdK5UqLMuCIAiQJDc8kgRZlhEIyAiF&#13;&#10;QgirCsJhlXp7IvB26d+4/wJk3PmWVvgGMQAAAABJRU5ErkJgglBLAwQUAAYACAAAACEAuHfwpeYA&#13;&#10;AAA5BAAAGQAAAGRycy9fcmVscy9lMm9Eb2MueG1sLnJlbHO8089qAyEQBvB7Ie8gc8+6u0k2pcTN&#13;&#10;pRRyDekDiM660vUPakvz9hVKoIFgbx6dYb7vd/Fw/DYL+cIQtbMMuqYFglY4qa1i8H55Wz8DiYlb&#13;&#10;yRdnkcEVIxzH1dPhjAtP+SjO2keSU2xkMKfkXyiNYkbDY+M82ryZXDA85WdQ1HPxwRXSvm0HGv5m&#13;&#10;wHiXSU6SQTjJDZDL1efm/7PdNGmBr058GrTpQQXVJnfnQB4UJgYGpea/w03jrQL62LCvY9iXDH0d&#13;&#10;Q18ydHUMXckw1DEMJcOujmFXMmzrGLY3A7378OMPAAAA//8DAFBLAwQKAAAAAAAAACEAoxJKuNwF&#13;&#10;AADcBQAAFAAAAGRycy9tZWRpYS9pbWFnZTUucG5niVBORw0KGgoAAAANSUhEUgAAAFcAAAAZCAYA&#13;&#10;AABEmrJwAAAABmJLR0QA/wD/AP+gvaeTAAAACXBIWXMAAA7EAAAOxAGVKw4bAAAFfElEQVRoge2Z&#13;&#10;2W8bVRSHv+slntgZ24njNAthKS2kLG1pK6hA8ApiEQ+oElRVAQmJ/wGQQKj/BuKFByQWiQckhBBC&#13;&#10;qOpCU1q1oaFtSpsmqe2M14kntsfxvTxMFttx4rjZSsVPGvnembuc+91zj854uDk+wf/aHLnGJ++o&#13;&#10;kdFrzM3Nbbct95VOnT6Lx+v1EksYKpMzxbSRpCfavd12/ed16fIIX3/zvXL5vF4AisWSunh5VJ09&#13;&#10;fxEjmd5m8/67OnnqDF98+ZVq1zTE5StXVXw6CYCSEqkkSioCAb94aHCA/t4evPMb8L9WVt6y+Pa7&#13;&#10;Hxj+84JCwe7dOxHX/xlXt25PArVwF36FyyV6e7oZ6NtBtDuC2+3e5mXcW6pUKpw+8wc//vSzys9Y&#13;&#10;KBQoOPzcIcRULKGuXB0DGsOVSqGkRCmF2+2mJxqhtycqenq6ade0bV7a9qlcLjN8/gK//PobRjKl&#13;&#10;lHKgLsB947VXEJlsjuGLIwoW4Ko6yEtwlVLIqnIoqIvuSBfRaIRodwTN59vuNW+6DCPJ2XPDnDl7&#13;&#10;npn8jEIpFFADF/jwg/cQJdvm91PnHLhKImUt3Hqg1eW6utA7AkS6uohEOumOdBEOBe+LMDJtJLly&#13;&#10;ZZSLl0bU+O0JUAq16KWN4X7+6UdCAJw8M6wKxVId3CWPXSNc55IKpZx7LpeLrq5OEYl0OtC7wgR1&#13;&#10;/Z4Hbpoz3Bq/zdiNf7h+fYzpZEotA7oK3HA4xInPPnHgjoxeU7GE4UCRDrC7hlvdb9l9B3g4pBMO&#13;&#10;h0Q4FCIUChIK6QR1nba2ti2FWKlIcrkc04ZBLJ4gFoszMTGlUukMsGD3CkAbwZ3/PfjMPt5/95gD&#13;&#10;9048wV9/j6mtgLtUX95P03zoHR0EAgECAb/w+9vxt7ejaT58Ph+apuH1evB6vXg9HtxuN0IIXC6X&#13;&#10;Y/P8NTc3h22XKdk2xWKRQqGAZc2Sz1vkTJNsziSTzqh0Jk25POeAUqoG6HrgHn37CM8fftaBWyrZ&#13;&#10;/H76XA3canArxd+W4a4B8Noult1bgtGg3SKQ2vs1ANcJtxryic8+FuFwGBeAz9dGZyi4trMkNuJA&#13;&#10;bqxEE5saPW7Wp4XZa2qPPPwQ4XAYwIELsPfJIdHbE13ZmpWGbmjlPbgDW6QD+/ctlj0LhbY2L4Aw&#13;&#10;kmk1em2MfN6q6iJgPsW4XyUE8+Hg7uV2uzl4cP9i3VPfINrdJaSUTN2Jc/3mLWXlZ2uNQCzmck0N&#13;&#10;psGWrHuf1jrA1jqE2+3m+LF3COr64rFdBhfA5XKihZRSxBOGunHrNqlUC/+UVa1r9SVux4lofc5m&#13;&#10;PfSODt47fpTdux6tiYcN4S5oHrIAMGfyanxiksnJGNZsvTc3mnwzPGx526bHeRP3TwB79z7Fkbfe&#13;&#10;RK/y2OrnLUlKSSqdUVN34kzF4uTz1tIb3bKUay35bitp2VpTsFbSsPrUa3kq1igt6+/v5/VXX2bP&#13;&#10;0GMrMlzVcxup2pvBeVWMJ6ZVLGGQmDawbbv5IHcVjLcqhKw+z66dj/DSiy/w5BNDYiF8rqSW4dYr&#13;&#10;GNQXLEJKSTaXY9pIKcNIkUymyJlmC6M1Wtj6oDbv3bxFKBRk/76nOXTwAH29O9Z82tcNt1pVO7lo&#13;&#10;QKlkk85kVCqdIZXOkMlkyWSy2HZ5hVE2HnCrcrlcDAz0sXvXTvYMPS4GHxigmZc20obCbSSfrw3q&#13;&#10;YruUEsuaJZvLkc2aKpszyeVMTNPENGewy2UcmE1yjQ3ITQE6O8P09e6gv28Hg4OD4sHBAbQN+BBw&#13;&#10;T75Kzc4WMGdmyOctlc9b5C0Ly5qlUChQKBQpFouUbJuybWOXy1QqFSqVClJKADweDx6PB03T0Hxt&#13;&#10;aJpGwN+OP+An4A+g6x3oegdBXRfBoL5p3wj/BVfLTSDUeyGWAAAAAElFTkSuQmCCUEsDBAoAAAAA&#13;&#10;AAAAIQBWBAYrpgUAAKYFAAAUAAAAZHJzL21lZGlhL2ltYWdlNC5wbmeJUE5HDQoaCgAAAA1JSERS&#13;&#10;AAAAVwAAABkIBgAAAESasnAAAAAGYktHRAD/AP8A/6C9p5MAAAAJcEhZcwAADsQAAA7EAZUrDhsA&#13;&#10;AAVGSURBVGiB7ZlbbxtFFMf/s+vEG8feteNb3JDSkrY0XJrQUlVFCF65CSGBAFUVBSQkvkOFVFTx&#13;&#10;MRAPPKEKxAsSAomLqJomSltC2pRG6cVJXF/Wt12vb+t4Dg+OE8exc3ecVvyl452ZnV2f+c3ZmWMv&#13;&#10;7gXn8L9aI2F2LkSTU3dQWlhoty+Pla6MjMJisVgQjsQomUyxaCwOv8/Tbr8eeU1M3sR3l34gobOz&#13;&#10;AwCQLxTp+sRNGhm7BjWeaLN7j64uX7mKr7/5lrokCWzi1m2KRuPgxEGcwDkHEcFut7ED+/vRF/Cj&#13;&#10;o6Oj3T7veRnZLC59/yOuXf+biAhHDg+ATd+9Tw+C88tw646CILCA34e+fX74vB6Iotjucewplctl&#13;&#10;jFwdw08//0KZjAEAICKcPnUSbC4Uptt3ZprCJaoY5xyiKKLX70Wvz8v8Pi+6uqQ2D619KpVKGL92&#13;&#10;A7/+9gfiapwIFahYPL795utgyVQa4zcmaTVcAi0uEVW41XK1rigy83nc8Hk98HrckCRre0e8C1LV&#13;&#10;OEbHxjEyNg4jYxCBgMrnCriff/YJWNE08efl0S3Bra0TEXPY7fC4XXC7e+D1uOFU5MdiGYmpKm5N&#13;&#10;/YuJf25SMDgLIqACtXpcDffihfOMAcBfV8Yom89vF+7iMrLcLggC3G4Xc7t74OnpgbvHBVl27Hng&#13;&#10;up7Bg2AQMzP3MT0zA1WNE9WCXAeuosj46ssvKnAnp+5QKBzZcbi8/jwRBCbAqchwuRTmVBQ4nTIU&#13;&#10;WYYsO9DZ2bmrEMtlDk3TEI2piESjePgwgrm5ECVSyTqIzcqN4R5/YQifnjtbgRsKRzE59S/Vb2S8&#13;&#10;BXBrN8l6kyQrHHY77PZudHfbWLfNhq4uCZIkQZKskCQrOjo6KmaxQBRFMMYgCAI450u2sLAA0yyh&#13;&#10;aJooFArI5fLI5XIwDANpTYem6UilUpRIJlEqLaDCpOrHekDXh3vmg/fw0ulTFbjFYhG/Xx4l4nzD&#13;&#10;cDcCeLNw17LlwTcyrNGvFspy28p+K+FuHHRjuBcvnGcupxMCAFitVvQ4ld15FluoSqi0VwcPPAmX&#13;&#10;0wkAFbgAMPz8IAv0+gA08XALjje8hG3+XnsBWr2auXR8eGipbKkWFjcTFosnaOr2NDJGtrXe7ZgY&#13;&#10;ANrEubX6b0+iKOLEieGluqW+g8/jZpxzzIfCmL57jwwj1xJHHi8xiKKAj85+CNnhWArqVXABQBAq&#13;&#10;qwXnnIUjMbp7Pwg1sfqfsuYx0Lro2IrW9mb7vjrsdnx87gwOHxpYsVo0hFvVImQGALqeoQez85id&#13;&#10;DyGXy2/Lmc2IMSzu4A3Pot2TOHTsObz/7jtw1ERsVZveKjjnSCRTNB8KIxQKQzeMJqnWOvnuBtOy&#13;&#10;jaZgTdOwVe31bavrG0nL+voCeOuN1zB49EhThmtGbiPVRjMAaHoGkUiUwtEYolEVxaK56pqm8bWD&#13;&#10;gbd2hO+cBp46iFdfeRnPPnOUVZfPZto03HopsgNYhM05RyqtQVXjFFPjUOMJaJq+5XvvFrD1pCgy&#13;&#10;hoeO4eSLxxHo9W/4ad823FrVzOSSA8WiiUQySYlkColkCslkCql0GqZZ2smv3pbqJ1EQBPTtC+Dw&#13;&#10;oQEMDj7N+p/ow3pR2kg7CreRrNZK/lzbxjlHNptDKq0hndYorWnQNB2anoGu67sO3uVyItDrRyDQ&#13;&#10;i/39/Wx/fx8kafsvAvbgbx8gl8tD1zMwDIOMbBaGkYWRzSKfLyBfyKOQL6BomjDNEkyzhHK5DM7L&#13;&#10;4JyDMQaLRYQoWmC1WmHt7IQkWWGzdcFm64K92w6Ho2KKIjOnorTsHeF/XnZA3hLnY4cAAAAASUVO&#13;&#10;RK5CYIJQSwMECgAAAAAAAAAhAG7ELGwnBgAAJwYAABQAAABkcnMvbWVkaWEvaW1hZ2UzLnBuZ4lQ&#13;&#10;TkcNChoKAAAADUlIRFIAAABXAAAAHQgGAAAA3wvwZgAAAAZiS0dEAP8A/wD/oL2nkwAAAAlwSFlz&#13;&#10;AAAOxAAADsQBlSsOGwAABcdJREFUaIHtWVlvG1UYPXdsx7sdJ3HqJE5KVdqoQiBoi4RUhHhCAgRP&#13;&#10;PCAqIRAS/wkJCSEeeEEsD0igSoWWNqWtAlFLmtSJk9jO4mXsmXjGy6wfD3YcO17iLG4W9UjjGc/c&#13;&#10;O3PmfN/97pkZoA4ZPgdFVfEchwNr/Z+VeALBocGj4nLqwG1tyIUCcsImLS3HSdW0o+R0alATd20j&#13;&#10;BQBQVBVP5heOjNBpAgcApmkimcrQ1s71jRRFl2JHx+qUgAMAcTO/PZGxymouskhLK/Gj4nVikUym&#13;&#10;YBgGgKq4fFZo2XB2LkL/zUVgmuazY3fCsbAYRSyeAFB1C3xOoKZWDAAB0eUYiaLIisUSXC7nMyV6&#13;&#10;EnH/4TQmN/MEgHGKoqJQLHXswGcFunnrLpZW4s+zuAOm7j3ASixOkYUoAIAT8/nqIdayw9ZeTddp&#13;&#10;5tEs3bw9hXSG7z3TE4ankUX88OPPBACJ1VXoug5Okgp7OokobtKtO3/Tn39NIZXO9IToScP0PzP4&#13;&#10;6utvSNN0AICm6chkeFglubCj3laL7S5IZ7KUSvP47cYf7MXz53B2fAw2m60H1I8visUifvrlV3z7&#13;&#10;3fdEOzRLZTJgd+9PU7FUBhGBTBNmbW2CTAIRwTTNyvEd25U+BJNMWCwWNhEexbkXJjAcHALHcW0o&#13;&#10;nXxomoape/fx+42bkAsFAgHVn9r6ww/eBbs99ZAUVW0St17IeqGJTJhms7j1gtv7+lh4dATh8ChC&#13;&#10;oWH0nZKMzksSHjyYxq07U5DyeaIWom6tr117A4zPCTTzeK4i5H7EbZXNVdGJTDDGWHBoECOhMzhz&#13;&#10;Jojg0OCJKh+KomBuPoJ/Zx7Rk7l56LpRFZDQSdxLlyYrZmAjmabZ+QUYhrEvcWtBaSFuQxCoUpcG&#13;&#10;BwIIBofYYCCAocEAAoH+YyO4YZhIplKIRpcRWVxENLpMqqq1ELRSZavp2yTu2NjItv/K8Fl69GQe&#13;&#10;qqrvIm6rutu9uM1tCIwBPq+X+f0+9Pv96O/3we/3wef1wu12wWq1dpBj/yiXy8jmBKRSaSSTKayt&#13;&#10;b1BidQ3lchmVPNjiij2L6/N7G81toVjE49mnlBPEg4tbNwLailsncLsFAFwuJzxuN9xuF3M6HXA5&#13;&#10;nbA77Oiz2WCrLhzHwBgDA4NJJnTdgGHoUFUN5XIZpbKCQqFAkiQhn5eQE0TIcqFOQGoS9CDiWm3W&#13;&#10;xpflbpcLpmmyWGKNIovLULv+KtHOvnVh63ZpQkSQ5QIkSa78axsI7AhK6+P1+3sJXdfRNN6qFoop&#13;&#10;ioLFpRitxBIggyoR6YBu3HF3DrpNXwZ0q0e7to37D8Km7pxtzjI8HGwWdwt2ux0AWKlcxvJKgpZW&#13;&#10;YlBV7cC8DueWenHVw2PmdDrw+afX2a4zhdPhAACm6zqtrm1gKRZHNrfjFeUeee31NvaStUcNr9eD&#13;&#10;L7/4jI2Hx9pn7k5Yrdba5JfPSxRLrCK+ul6thZ1w8Lp7HFBPsR3dyckL+OTjj9hAIFBrdyAIgojV&#13;&#10;9SStra2DzwltnEDzQ0a3zqF5Yuo8mbVu3zyZNTqAVm2wy/Z2/4HAAN5/7x1cvfJag54HNpCBQD9Q&#13;&#10;DVKpVKKNZBrryRSSqXTF6uxp/GP39Ogh9lp+RkdCePutN3Hl8quslRc/VHfudDobIidJMlJpntKZ&#13;&#10;DNLpDHKCWPu+1Fa7ugPd3eyzjYLX68ErL7+E169extmJ8Y4jvzePPnVEUFd6NF1HLieA57OUzebA&#13;&#10;Z3PgcwI0TWtM2l5MYC1i0E1YOI7D2OgoLl48j8mLF9jZiXFYLJauLtlTcXfCtj10aoKbpglJliEI&#13;&#10;IgRBJEHchFhdJFk+BLPffWZbLBYMDgwgFBrGSCiEifEwC4dHt2zpvq58bKHrOiRJRl6SSJYLkGQZ&#13;&#10;siyjWCyhVCqjWCpBUVSoqgpVUWGYBgzD2P60zXGwWm2w99ngcDrgsNvhdDrgcrngdrng8bjh9Xrg&#13;&#10;cbvh8/uYx+3uOiu7wf9JqnTj7H5PZQAAAABJRU5ErkJgglBLAwQKAAAAAAAAACEA+8OmUeIFAADi&#13;&#10;BQAAFAAAAGRycy9tZWRpYS9pbWFnZTIucG5niVBORw0KGgoAAAANSUhEUgAAAFcAAAAdCAYAAADf&#13;&#10;C/BmAAAABmJLR0QA/wD/AP+gvaeTAAAACXBIWXMAAA7EAAAOxAGVKw4bAAAFgklEQVRoge2ayW/j&#13;&#10;VBzHv8+Jkzqt0ybdl8wAM0ORAAlm4YQEBwQIzkgIJARC4n9CHBDiwAGJ5cBhBILZaOkMwwzM0ume&#13;&#10;pGnjOIuT2I4T2/GPQ9I0aZNOO023aL6Slff8/OyfP/699762AtQplc7ANE08VXvkrq+EV9cx2B84&#13;&#10;qlg6TtxGQdN1KNkchaMxsizrKGPqGNXgrsVlAEDJNDE7v3RkAXWSOABwHAcJOUUbO+OSTMvh6NFF&#13;&#10;1SHiACCby6O0ZSGbW1imlcjqkQR1kiVJCZTLZQBVuKm00vTAh3OL9PDRAhzHObzoTrgWFpcQiVaS&#13;&#10;0g0AqYxCrQ5eDkdJyeVZwTDgE4RDCvHkaubWbUzm8gSAcaWSCb1g7NghnVHoj2vTWImsPs3iHTQ1&#13;&#10;PYNwJErzC4sAAC6bz++qo23b9O+9h3TlxjTkZPogYzyRmptfxPc//EQAsBqLwbZtcKqqP7Yjqytn&#13;&#10;c3m6PjVDV2/8BTmZOqhYT5T+/ucOvvzqa7IsGwBgWTbikgS3qukt59udlEylSU6mcPm3K+zsmWdx&#13;&#10;amIMPM+3NejjrkKhgB9//gXffPsdYQvFuCSD/TlzmwpGsbaTyAE5BMdx4BCBHAdElToRtSy7XC4W&#13;&#10;Gh/FM6dDGBocAMdx6FRZloWp6Rlc/vV3aLpORBWy9b/vvv0W2LWpW1TvcZ8Ubm1zHHg8HjY+PorQ&#13;&#10;+CiGh4fg6ZCMzqsqbt68javXp5BX8wQCCIRmcC9dPA+Wyih0995sXcMm3Hp4e4Hr1NUZGBscCGJ0&#13;&#10;ZAjDQ0MYGAieqOmjVCph9tE87tz9jx7MPkLZtkFVqKj9VmaFerhnzzxXWavikkwP5harQNoLl5zq&#13;&#10;OTfqAPqDAQwO9LP+YAD9wSACgT7wvHuHWzw8lcsOpEQCS0vLmF9YwtLyCpmmWQeUdgV3eGhw0wgk&#13;&#10;Uxm6PzsPy7YqcFtA3i/chrZqOwMg+kXW1+tHb68ffX1+9Pr98Isiurt9cLsPBnyxWEQ6oyCRkCFJ&#13;&#10;CaytxykaW0OpWKzGBwBUK+8Fbk93d4PLgl4wcH92jrLZfJvhbgJuBrehTo3nAwCfT0BPdzd8Ph8T&#13;&#10;hC74BAHeLi88vAc87wbP8+A4BsYqm+M4sO0yymUbpmmhWCzCKJag6zqpqop8XkVGyULT9Dp4W2Hu&#13;&#10;Dy7Puxs/lnf7BDiOw6KxdVpYDsMyj/67LhFB03SoqgaqqHJzWx8SERrBNEJq1n6QKpcdbBtvVQvF&#13;&#10;SiUTSysRCkdjta88hyMGbDWNx0R7iWxwcGA73A15vR4AYEaxiHAkRiuRKMwnyeQtER1fdO2TIHTh&#13;&#10;s08+Zo9dKYSuLgBgtm3T2rqElcgq0pnmnyg7SzunQatWUezBF59/ykIT460zd6vcbndt8curKkVX&#13;&#10;17AaiyOvqnuJ+Bip/WPohclz+OjDD1gwEKhdYV9SlCzW4hKtrUtIZ5TtbuFxdmybW9juGFotULtb&#13;&#10;zFotaM33NbiDhnY0KVfcQn8ggPffewcXL7zawHPfBjIQ6AOqD8kwiiQlEliXZEgJuWp1OldjoyN4&#13;&#10;843XceH8K6yZF2+rOxeEroYnp2oaZDlFspyCnEwio2QP2Xm0X6Io4uWXXsRrl87j9KnQjiP/QN85&#13;&#10;xZ4eoG7qsWwbSkZBMp2hdDqDVDqDdFrB9v9JHB9PwXEcxsdG8fy5s5icPMdOnwrB5XLtqu+hvtDz&#13;&#10;m0OnBtxxHKiaDkVRoCg5UrI5ZLM5ZLNZqJrWxOzvFfzuj3e5XBjoD2JkZAijIyMIhSZYaGIMXq93&#13;&#10;D9drvPKxlW3bUFUNeVUlTdOhaho0TUehYMAwDBQMA6WSCdM0YZkm7HIZ5eoGVLKO4zjwbh68h4fX&#13;&#10;60GX1wufT4BP8EEUe+D3ixBFEcFgH+v1+3edlbvR/0NlUPMlZBU4AAAAAElFTkSuQmCCUEsDBAoA&#13;&#10;AAAAAAAAIQBekm5AAAsAAAALAAAUAAAAZHJzL21lZGlhL2ltYWdlMS5wbmeJUE5HDQoaCgAAAA1J&#13;&#10;SERSAAAATgAAACgIBgAAAFAHzFoAAAAGYktHRAD/AP8A/6C9p5MAAAAJcEhZcwAADsQAAA7EAZUr&#13;&#10;DhsAAAqgSURBVGiBzVr5bxvHFf6GXB5LkRRJKbpvxXZ8yJZlp0ns1I4dw3GbNIGRNgjQFkEbFCja&#13;&#10;omhT9N8pUCBBiiBNm6KJE9e3YsWRrdiSrMOmSEkkRUo8JS65JPea/kCJh3jrcPIBBOfanTffvjcz&#13;&#10;780QfIfgeR5ujxfBYAihcBirq2s0kUyC5xMQBAFqNQONhgGr18NorEN9vZnYbFY0NtjQ2tIMo9H4&#13;&#10;nclOduvFiqIgEAwBAJqbnsqrCwSC+GrkG7jcHqooCiilJX7IpIHCeqvFgq6uTtLf14P+vh6wLLtb&#13;&#10;wynAjhO3urqGx3YH7A4nqELp229dJAzDZOrnHE5c+vJqBcKqI26jHqBQqVTo6+3B4JFD5Jl9e5Hb&#13;&#10;525gx4hze5bwcGqWepa8mYG1t7fitR+dz/QhCCL+9vcPqCAINZFWDXG55SaTCSdPPEeODx2FTqfd&#13;&#10;qSHmYdufZdHlwf3xSXr5ys31QWTBcbG8vCiJEEVxu11WRDTK4dIX/6O3hm+TGzeHcfzYEIzGuh3t&#13;&#10;Y8saFwpHcGd0DP5AkFJKQZWNL55vghfOnyU93V2Z5z786BMaCAR3QNtKaVxhmVarxelTJ8mLJ56H&#13;&#10;RqPZPmvYInEr/gCuXh+GIIo0I7CSK3yWPJ1OSy6+/ioslnoAwPLyCv3k0/9CFKUdMdNqiEsbAoXV&#13;&#10;asHFN35C9jzd9+SJi6yu4YvLV6lQbOAltE6v15ML58+itaUZAOByeeilL68gkUw+UeI20j84PoTX&#13;&#10;Xn2F6HS63SVOlmVQACpC8L+rt+APBKhSbMAliKOUghCCocHD5NjQETAMg9W1NVy9fou6XJ7tEQcK&#13;&#10;lDXf4vnGRht+/vbPSHt72+4Ql0gksOhewjN7n4Y/EMTlKzcppQpqJW7jZzaZyLPHj2Lvnn6o1Wo8&#13;&#10;tjtwZ/Tepnlvl4lbf4ZhGPLmxddxbGhwZ4lbW4ti+OtRvHz6JFiWxSO7A3fvPaAbxBSQV2KeK0qg&#13;&#10;2UQGDh7Agf37wLJ6OJ0LGH84RZ3OxbSGlyWtlEnWRtxG/tzZ0+TCK+d2hrhgKIzhkVFqqTfhzKmT&#13;&#10;BADmF1y4fecupUoJ4mokj9L0xrW7q5Ps3dOP3p4uyLIC+5yDzjkXsLjggiiJNRNXfs7LJS6bPjY0&#13;&#10;SN766UWo1eqqiCu6j/MHQhge+QaiKMFqsWTKm5ufgkqlgqwo1X+aCpBlGQ7nPJ1zOAEQ0tLchK6u&#13;&#10;DnL0yCGcf/klRDmOer0+eH3L8AeCCIcjVe0FdTodDAYWyWQKsVg8r44AoJva3xu7T1OCQCRJqsrr&#13;&#10;KGgRCkcwPDIKSZIpAAg5QhpYFmP3JzA986jii7cCSin1+pax5PXlmLQRDTYbLJZ6MnBwP4xGI2RZ&#13;&#10;hihKSKVSkKT0vyAISAniejpFo1wMfn9gXQOrAcHE5BT9UPUxkWW5oublEcdxMdwY/ppKkpQpW1kJ&#13;&#10;QFEUqFQqAMCRgQPE7w/QDQe+kjCF37a2ttEoh7W1KGgaBYtHObPcCu4/mKAsa6i4aKo2EslUCiOj&#13;&#10;Y3kaBgBxnsfCojuTZxgGZ156EQ02a/E3FnS5dXeY7JAnXet7bo/coddu3CrbRgWkQ0D3vp0AzyeK&#13;&#10;fqZvxydpNMpl8nqdjpw/dwa9PV3FmhdBOclJhfoyT+5aUAz47NJlOjP7uGQ9AwCzdgeCoXCatE0W&#13;&#10;QwiBKEq4fmsEXCwG03rwUKNhCAA4nAv0zt0xJJOpCqJsjLJKE6rFyreBUt0Y6+rw/gf/oJHIKrFa&#13;&#10;LQX1qmAoDLtjvmIHcZ6nl6/exIo/kFfe39dD3nzjVezftyczD1YWtVj6+wWjsQ5xnsf7H35EZVku&#13;&#10;qGfGJ6eBKr9tMpmiV64P48HEQzJwcH9m5dHr9QQAolGOPph4CLvDCUks7CyL7ajT7qviU40NmfSc&#13;&#10;w4nhr0YK2jCJZIrmCkNA0pvCEqCUYnJqli4seojbvYTOzvZMndlsIkBaO2dmHmPmkb1gD5VFeQKe&#13;&#10;kKUWQKfTYnDwMLl85Vqm+88ufUmDwRBpzCGUMdYZsLYp4LgZxQYRjXL02s2v8PkXV8jhQwfQ0ZF1&#13;&#10;lusM6eVcURS4PV7Y5xx0fsGFVErYgaHtHmw2K145d5Z8+p/P88oFQcS/Pv0sr4zMPnbQR3NO0Jwz&#13;&#10;gILzAKWIU6/ku1TmejPZv28P+nt7ioarJUmC2+OlC4suLC66sRblSrphpf3Tcnu4Kv3UTXkgHeh8&#13;&#10;8eQLaGttIR//8980FuezbYCMe/a7375Lntm3N01cMpnEtZsjVBCzPmH1xGXJ26hXqVSku6sD/b09&#13;&#10;aG9rhUZT3H2JrK7RJa8PS0s++JZXEA5HMv1uh7iKfup6HgC6u7oweOQQ+np7cOPWbXL33hjNf0++&#13;&#10;X9vZ2Y6/vvdHAqwva/OLbjo+OV2GOApls8NegrjcH8Oo0dHWho6ONtLZ3gaz2VTSTFKpFPz+IA2E&#13;&#10;QgiFwgiFwohEVhHluBx5atG2/DKdTovmpma0tragt6cLvb3dJBJZxdd3RnH/wQQVRalAEzcTR0Hx&#13;&#10;m1+/Qw4PHMzuB8buT1CXx1s9cUXMtVK0xGQykpbmJrQ0N6GpqRENNmvFMwBZlsHFYuC4GHg+AZ7n&#13;&#10;kUgkqSAKEAQRkpSORIMCREWg0Wig1TCENbAwsAaYzSbYrBYYjUYIgohFlwt2uwOTD6dpMBQuQlYJ&#13;&#10;4pD+CL3d3XjvT7/P7r1lWcbdb8ep17eyZeKKkqcUIXP9RwhgsVhgtdQTq9UCS309zGYjzCYTjMa6&#13;&#10;LZ+NSpKEKMchHF5FIBiEf8VPPUteeH0rkOXckH8xssoTBwr85c9/yHdaZFmmDyamsOByQ9k04KIH&#13;&#10;yNUQV4G83N9m89NqtWD1euj0Omg1GjAMA4ZhMq4WpRSSJEEURaRSQkYjuVgsa6qbgpblziKqJe6F&#13;&#10;55/Nj46o1WoCAHbHfGbO28C29lVbfDiVSiGZd6BT3Ry325iamUVRH2lPfy85c+oETKYKl1qy68u2&#13;&#10;UdlhzzaoxbmvXbrKT8TjfOmT/AablUiShOlZO519PFd11LdGV/47RBkzKGchBGhpbip/BWJ9ciZR&#13;&#10;jsP4xDR1e5a2HpYsJycBaNkXV2nrtU4Jue1rePbI4YHq7o6YTSYAIMFgiE5MzWDJu1yDdDnYLNyO&#13;&#10;OaRPxrMlSO8CTv/wBKlpvW9sbCAAEApH6PTMIyy4PJAVGTUJXhDvq6RtW8X2w/ab6/V6Pd791S+J&#13;&#10;wWDY2m2lBpuVAACfSFD73Dzsc05Eo9HqX7ANBSlH9HYstRJsNivefecX6OzsALDNa14Gls0sQcsr&#13;&#10;fupwLmBh0QWeTxQVLG9KWc983xcRtVqNky88hx9fOA+W1WfGu2PXFluamzKhpBV/AIsuD3V7lhAK&#13;&#10;hXdnWqsZtfWs02kxdHQQZ186lZmicrHj9z1zwucEAGLxOHy+Fer1LcPnW0YoHAFZ34lXhydHtVaj&#13;&#10;QX9/Hw4fPoSBgwcIy+pLtt3di7JIH3ogZ1cpCCKCoRACgSBCoTANRSIIhyOIx/ndFqUAJpMJba0t&#13;&#10;6OzsQG9PF+np7qr64uH35rREEARwXAxRjkMsFqdxngcf5xFPR0OQTKaQTCWRSqUgiiJEMe2jKoqS&#13;&#10;9qtBwajV0Go00Gg0YFkWer0OLMvCWGdAnbEOxjoj6utNMJtMsFjqiV5fWqMq4f/7ExEtyjGs4gAA&#13;&#10;AABJRU5ErkJgglBLAwQKAAAAAAAAACEA2N+fjdEGAADRBgAAFAAAAGRycy9tZWRpYS9pbWFnZTYu&#13;&#10;cG5niVBORw0KGgoAAAANSUhEUgAAAE4AAAAaCAYAAAAZtWr8AAAABmJLR0QA/wD/AP+gvaeTAAAA&#13;&#10;CXBIWXMAAA7EAAAOxAGVKw4bAAAGcUlEQVRYhe2ZW28bxxXHf8NdckkuySVlWZZ8VXyNZbtx7KZ1&#13;&#10;jMZoiiJo4iQOmjw0QNEWaNAGCNACLdAC/QB96EO/QIEC/QztQ58KtChau3EayxfJimLLtiRSlMTb&#13;&#10;cpfmbff0QbQlStTVtJUC+QMDkjOzM+f8dubsmaXiS21Kvu9z89YogWLJxvP97bbn/0Ku6/KHP/4J&#13;&#10;TQtIwK085PLHn8p0JovnfQlwNQ3fuMlvf/d7bLssJ4aOK+X7PpevXhPHrWAEg2rvnn72DOwiHA5v&#13;&#10;t61fCE1OTfPnv/xVRsfGEBF+9tGHHD1ySCmA+Vye/14fEfF9fN9HEHakUmqgv49dfb0YodB22//M&#13;&#10;dffuPf72939w/cYtQUAQTp4Y4qcf/EgBqEcdr90clWx2Dt/38cVHfMEXHwSSVoK+nTtU744eUkkL&#13;&#10;TdO2z6OnKMdxuTZ8nctXPmZqOiOCICIgEAwF+c2vf8GOnp52cA+rNf515ROpN+r4viBLAfo+IoKI&#13;&#10;j1JKJS2LVHKhJJMJ4rE4mhbYPo+fQKWSzejtMW7eGmHsszvS9JoggrRW2SNw71y6yLe+eeExL7V0&#13;&#10;kHQmK8O3RleCa32K+AttshSmEFAQj8dJJi2SVkIlrQSWlSBmms+exDoq2TYPHkwxce8en38+IemZ&#13;&#10;mRaoRVjLwR0+dJCPPvxALd1pavnAwzdHZCqd3RS4hb6Pvrf6iaBpGvGYSTwWIx4zMWOmMs0oZiRK&#13;&#10;NBohEomg609n2zuOQ75QJJfLkZ2dJ5udZTqdEdu2F+1uA9UZXCQc5le//Dk9Pak2VivANZpN/n3l&#13;&#10;E7HLTgdwi8A2Am7pbxFZVrdQHwqFCIcNjFAIwwgRDIYIBnWCehA9qKNrmgpoGkqBQgGC5/t4nk+z&#13;&#10;0aBWr1Ot1qRSqeBWKjiOg12yqTca7YBEAFlSt1DfXtcODgU/+fEPGTr+/ApO+vKKoK7juhX+efkq&#13;&#10;tXodkI53VCnVMubJVKvVqFarbQ75fpuD0u7sGmXJ6umG3vjOax2hAXSM6KYZVV998ZQKBLYQ8DtO&#13;&#10;o1Zv+oLq5XMv8dq3X13V5FXJ7OhJcfaFk0op1doia2mN9jUv7dyotkJYde/GnDo5xHvfvbTmcGsu&#13;&#10;qYH+Ps6ePoXagidb4PWMtdIIpRQnh47zg++/r9bLVVfEuOXas7tfzc7NM3J7XHL5wppmdCeytMZT&#13;&#10;0KVQta6SSQszarJ//17efvN1pevrYlkfHEDfzl4AlS8Umbg/KZNTaWq12mKHblPbpFRr/lUeY3Rq&#13;&#10;icVMnj92FE0LcP/+AzU4uF/efvP1dVfaI20I3CP1pJIAyvM85uZzMpXOkMnMYpfLGzJ27Zanr76+&#13;&#10;nRw9cpg9uweYm8+pK/+5iuM4cumtN+Tlc1/bVADpSrRx3YrMzs2RncsxP58jny/iec2OudzjfK4t&#13;&#10;5fBXTTGWpSYdy8r8bKGkUkkO7NvH4OB+9u/bS2Ymqz69NsztsXHxPJ+kZfH+995Vzw0e2LTPTyVM&#13;&#10;N5tNSnaZfKFIsViUYtGmVCpRsss0Go2ugwsEFMmkxc7eXnb17WRgoF/t2d2PpuuMj99hZHRMbo99&#13;&#10;Rq1We3zNC185xTuXLqpoJLIlH58YXNlxqdfrJC1rQwf9SuUhZccRx3Fx3QqO61KpVKhWq1SrNRqN&#13;&#10;Bo1mE2mdTJRSBDSNoK5jGAbhsIEZjRKLx7AScWVZCVLJJJqm0Ww2SaczTNy7z/idCSYnJ6XZ9NtW&#13;&#10;ZSIR59JbFxk6fuyJfO/KiktnZhi+PiIoFt6YWJayrDjxeIxoJMKWEul11Gg0yOULzM7OkZnJMj2d&#13;&#10;lnRmhkbbUWvxuBUM6nzj/DkuvHJeGYbxxPN3bav6vs/difvcuDUqJbu8uGICAaLRCGYkSiRiqEgk&#13;&#10;QjhsEDYMDMMgFAoSDAbRNI2FZBs8z6PpedTrdWq1GpWHVVzXpVx2pFSyKRQKFIql9vNyxwK6rnH2&#13;&#10;xdNceOW8sqxEt9ztfozzfZ8Hk9MyMjrGTHa2Kw+IrZSYaXLmzGm+/tIZFY/Hu+3m5tKRjai1LRVA&#13;&#10;oVCU8TsT3Jm4R9l2uj3VCum6zpHDBzl5YohjRw9vKJHdqp7Z4WduPsfk5LRMTafJZmepN5tdWXE9&#13;&#10;qRQHDuzj0MFBnhs80JX4tRFty6nR8zxy+QK5XF7y+SIl26ZcLuO2nq71egPP89A0jVAoiBEKYZom&#13;&#10;sZhJIhFvvbZPqd7enm37N+5/cyoYyM85nj4AAAAASUVORK5CYIJQSwECLQAUAAYACAAAACEAsYJn&#13;&#10;tgoBAAATAgAAEwAAAAAAAAAAAAAAAAAAAAAAW0NvbnRlbnRfVHlwZXNdLnhtbFBLAQItABQABgAI&#13;&#10;AAAAIQA4/SH/1gAAAJQBAAALAAAAAAAAAAAAAAAAADsBAABfcmVscy8ucmVsc1BLAQItABQABgAI&#13;&#10;AAAAIQDjVD6XnwQAAMMnAAAOAAAAAAAAAAAAAAAAADoCAABkcnMvZTJvRG9jLnhtbFBLAQItABQA&#13;&#10;BgAIAAAAIQCKqD465gAAAA8BAAAPAAAAAAAAAAAAAAAAAAUHAABkcnMvZG93bnJldi54bWxQSwEC&#13;&#10;LQAKAAAAAAAAACEAOZoV1MYGAADGBgAAFAAAAAAAAAAAAAAAAAAYCAAAZHJzL21lZGlhL2ltYWdl&#13;&#10;Ny5wbmdQSwECLQAUAAYACAAAACEAuHfwpeYAAAA5BAAAGQAAAAAAAAAAAAAAAAAQDwAAZHJzL19y&#13;&#10;ZWxzL2Uyb0RvYy54bWwucmVsc1BLAQItAAoAAAAAAAAAIQCjEkq43AUAANwFAAAUAAAAAAAAAAAA&#13;&#10;AAAAAC0QAABkcnMvbWVkaWEvaW1hZ2U1LnBuZ1BLAQItAAoAAAAAAAAAIQBWBAYrpgUAAKYFAAAU&#13;&#10;AAAAAAAAAAAAAAAAADsWAABkcnMvbWVkaWEvaW1hZ2U0LnBuZ1BLAQItAAoAAAAAAAAAIQBuxCxs&#13;&#10;JwYAACcGAAAUAAAAAAAAAAAAAAAAABMcAABkcnMvbWVkaWEvaW1hZ2UzLnBuZ1BLAQItAAoAAAAA&#13;&#10;AAAAIQD7w6ZR4gUAAOIFAAAUAAAAAAAAAAAAAAAAAGwiAABkcnMvbWVkaWEvaW1hZ2UyLnBuZ1BL&#13;&#10;AQItAAoAAAAAAAAAIQBekm5AAAsAAAALAAAUAAAAAAAAAAAAAAAAAIAoAABkcnMvbWVkaWEvaW1h&#13;&#10;Z2UxLnBuZ1BLAQItAAoAAAAAAAAAIQDY35+N0QYAANEGAAAUAAAAAAAAAAAAAAAAALIzAABkcnMv&#13;&#10;bWVkaWEvaW1hZ2U2LnBuZ1BLBQYAAAAADAAMAAgDAAC1O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5" o:spid="_x0000_s1027" type="#_x0000_t75" style="position:absolute;left:1771;top:-1413;width:776;height:3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GJbygAAAOEAAAAPAAAAZHJzL2Rvd25yZXYueG1sRI9Ba8JA&#13;&#10;FITvQv/D8gq96UYPapOsUpSaIohopV4f2WcSm32bZrca++u7BaGXgWGYb5h03plaXKh1lWUFw0EE&#13;&#10;gji3uuJCweH9tT8F4TyyxtoyKbiRg/nsoZdirO2Vd3TZ+0IECLsYFZTeN7GULi/JoBvYhjhkJ9sa&#13;&#10;9MG2hdQtXgPc1HIURWNpsOKwUGJDi5Lyz/23UXD+Wi8yz6vsA7eTzamojz+HXabU02O3TIK8JCA8&#13;&#10;df6/cUe8aQWT4TP8PQpvQM5+AQAA//8DAFBLAQItABQABgAIAAAAIQDb4fbL7gAAAIUBAAATAAAA&#13;&#10;AAAAAAAAAAAAAAAAAABbQ29udGVudF9UeXBlc10ueG1sUEsBAi0AFAAGAAgAAAAhAFr0LFu/AAAA&#13;&#10;FQEAAAsAAAAAAAAAAAAAAAAAHwEAAF9yZWxzLy5yZWxzUEsBAi0AFAAGAAgAAAAhAEYsYlvKAAAA&#13;&#10;4QAAAA8AAAAAAAAAAAAAAAAABwIAAGRycy9kb3ducmV2LnhtbFBLBQYAAAAAAwADALcAAAD+AgAA&#13;&#10;AAA=&#13;&#10;">
                  <v:imagedata r:id="rId20" o:title=""/>
                </v:shape>
                <v:shape id="Picture 694" o:spid="_x0000_s1028" type="#_x0000_t75" style="position:absolute;left:1704;top:-1168;width:869;height: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WgfyQAAAOEAAAAPAAAAZHJzL2Rvd25yZXYueG1sRI9Ba8JA&#13;&#10;FITvhf6H5RW81Y1ajERXaZWiiBaM7f2RfSZps29jdtX4711B6GVgGOYbZjJrTSXO1LjSsoJeNwJB&#13;&#10;nFldcq7ge//5OgLhPLLGyjIpuJKD2fT5aYKJthfe0Tn1uQgQdgkqKLyvEyldVpBB17U1ccgOtjHo&#13;&#10;g21yqRu8BLipZD+KhtJgyWGhwJrmBWV/6cko2MyXbzTcfKy3v2n2Ve1O8c/yGCvVeWkX4yDvYxCe&#13;&#10;Wv/feCBWWkE86MP9UXgDcnoDAAD//wMAUEsBAi0AFAAGAAgAAAAhANvh9svuAAAAhQEAABMAAAAA&#13;&#10;AAAAAAAAAAAAAAAAAFtDb250ZW50X1R5cGVzXS54bWxQSwECLQAUAAYACAAAACEAWvQsW78AAAAV&#13;&#10;AQAACwAAAAAAAAAAAAAAAAAfAQAAX3JlbHMvLnJlbHNQSwECLQAUAAYACAAAACEAtU1oH8kAAADh&#13;&#10;AAAADwAAAAAAAAAAAAAAAAAHAgAAZHJzL2Rvd25yZXYueG1sUEsFBgAAAAADAAMAtwAAAP0CAAAA&#13;&#10;AA==&#13;&#10;">
                  <v:imagedata r:id="rId21" o:title=""/>
                </v:shape>
                <v:shape id="Picture 693" o:spid="_x0000_s1029" type="#_x0000_t75" style="position:absolute;left:1704;top:-1168;width:869;height: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mDywAAAOEAAAAPAAAAZHJzL2Rvd25yZXYueG1sRI9Pa8JA&#13;&#10;FMTvgt9heQUvYjbWUiW6SmktLYKHahSPr9mXP5h9G7Jbjd++KxR6GRiG+Q2zWHWmFhdqXWVZwTiK&#13;&#10;QRBnVldcKEj376MZCOeRNdaWScGNHKyW/d4CE22v/EWXnS9EgLBLUEHpfZNI6bKSDLrINsQhy21r&#13;&#10;0AfbFlK3eA1wU8vHOH6WBisOCyU29FpSdt79GAXD8TT9cPy92Z7q43q/PTwVeX5SavDQvc2DvMxB&#13;&#10;eOr8f+MP8akVTCcTuD8Kb0AufwEAAP//AwBQSwECLQAUAAYACAAAACEA2+H2y+4AAACFAQAAEwAA&#13;&#10;AAAAAAAAAAAAAAAAAAAAW0NvbnRlbnRfVHlwZXNdLnhtbFBLAQItABQABgAIAAAAIQBa9CxbvwAA&#13;&#10;ABUBAAALAAAAAAAAAAAAAAAAAB8BAABfcmVscy8ucmVsc1BLAQItABQABgAIAAAAIQD+pwmDywAA&#13;&#10;AOEAAAAPAAAAAAAAAAAAAAAAAAcCAABkcnMvZG93bnJldi54bWxQSwUGAAAAAAMAAwC3AAAA/wIA&#13;&#10;AAAA&#13;&#10;">
                  <v:imagedata r:id="rId22" o:title=""/>
                </v:shape>
                <v:shape id="Picture 692" o:spid="_x0000_s1030" type="#_x0000_t75" style="position:absolute;left:1701;top:-975;width:872;height: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mhDyQAAAOEAAAAPAAAAZHJzL2Rvd25yZXYueG1sRI9bawIx&#13;&#10;FITfhf6HcAp906xtqbIaRexFwb54QV8Pm+Nm6eZk2aTZ9d83hUJfBoZhvmHmy97WIlLrK8cKxqMM&#13;&#10;BHHhdMWlgtPxfTgF4QOyxtoxKbiRh+XibjDHXLuO9xQPoRQJwj5HBSaEJpfSF4Ys+pFriFN2da3F&#13;&#10;kGxbSt1il+C2lo9Z9iItVpwWDDa0NlR8Hb6tgmN84/V2Rd3HebOLn+5sJvFilHq4719nSVYzEIH6&#13;&#10;8N/4Q2y1gsnTM/w+Sm9ALn4AAAD//wMAUEsBAi0AFAAGAAgAAAAhANvh9svuAAAAhQEAABMAAAAA&#13;&#10;AAAAAAAAAAAAAAAAAFtDb250ZW50X1R5cGVzXS54bWxQSwECLQAUAAYACAAAACEAWvQsW78AAAAV&#13;&#10;AQAACwAAAAAAAAAAAAAAAAAfAQAAX3JlbHMvLnJlbHNQSwECLQAUAAYACAAAACEAdz5oQ8kAAADh&#13;&#10;AAAADwAAAAAAAAAAAAAAAAAHAgAAZHJzL2Rvd25yZXYueG1sUEsFBgAAAAADAAMAtwAAAP0CAAAA&#13;&#10;AA==&#13;&#10;">
                  <v:imagedata r:id="rId23" o:title=""/>
                </v:shape>
                <v:shape id="Picture 691" o:spid="_x0000_s1031" type="#_x0000_t75" style="position:absolute;left:1701;top:-975;width:872;height: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3ccyQAAAOEAAAAPAAAAZHJzL2Rvd25yZXYueG1sRI9ba8JA&#13;&#10;FITfBf/DcoS+1Y3aeomuIi1S0QfxAr4essckmD2bZtcY/71bKPgyMAzzDTNbNKYQNVUut6yg141A&#13;&#10;ECdW55wqOB1X72MQziNrLCyTggc5WMzbrRnG2t55T/XBpyJA2MWoIPO+jKV0SUYGXdeWxCG72Mqg&#13;&#10;D7ZKpa7wHuCmkP0oGkqDOYeFDEv6yii5Hm5Ggfk508c534wH6frS/92edmU9kUq9dZrvaZDlFISn&#13;&#10;xr8a/4i1VjAafMLfo/AG5PwJAAD//wMAUEsBAi0AFAAGAAgAAAAhANvh9svuAAAAhQEAABMAAAAA&#13;&#10;AAAAAAAAAAAAAAAAAFtDb250ZW50X1R5cGVzXS54bWxQSwECLQAUAAYACAAAACEAWvQsW78AAAAV&#13;&#10;AQAACwAAAAAAAAAAAAAAAAAfAQAAX3JlbHMvLnJlbHNQSwECLQAUAAYACAAAACEAWtt3HMkAAADh&#13;&#10;AAAADwAAAAAAAAAAAAAAAAAHAgAAZHJzL2Rvd25yZXYueG1sUEsFBgAAAAADAAMAtwAAAP0CAAAA&#13;&#10;AA==&#13;&#10;">
                  <v:imagedata r:id="rId24" o:title=""/>
                </v:shape>
                <v:shape id="Picture 690" o:spid="_x0000_s1032" type="#_x0000_t75" style="position:absolute;left:1745;top:-799;width:789;height: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DtbyAAAAOAAAAAPAAAAZHJzL2Rvd25yZXYueG1sRI9PawIx&#13;&#10;FMTvQr9DeIXeNKnC1q5G8Q+FepGu7cXb6+Z1s3TzsmxSXb+9EQpeBoZhfsPMl71rxIm6UHvW8DxS&#13;&#10;IIhLb2quNHx9vg2nIEJENth4Jg0XCrBcPAzmmBt/5oJOh1iJBOGQowYbY5tLGUpLDsPIt8Qp+/Gd&#13;&#10;w5hsV0nT4TnBXSPHSmXSYc1pwWJLG0vl7+HPaZgq+yKz/eX4Mdm9Fsp+2/KYrbV+euy3sySrGYhI&#13;&#10;fbw3/hHvRsNkDLdD6QzIxRUAAP//AwBQSwECLQAUAAYACAAAACEA2+H2y+4AAACFAQAAEwAAAAAA&#13;&#10;AAAAAAAAAAAAAAAAW0NvbnRlbnRfVHlwZXNdLnhtbFBLAQItABQABgAIAAAAIQBa9CxbvwAAABUB&#13;&#10;AAALAAAAAAAAAAAAAAAAAB8BAABfcmVscy8ucmVsc1BLAQItABQABgAIAAAAIQATADtbyAAAAOAA&#13;&#10;AAAPAAAAAAAAAAAAAAAAAAcCAABkcnMvZG93bnJldi54bWxQSwUGAAAAAAMAAwC3AAAA/AIAAAAA&#13;&#10;">
                  <v:imagedata r:id="rId25" o:title=""/>
                </v:shape>
                <v:shape id="Picture 689" o:spid="_x0000_s1033" type="#_x0000_t75" style="position:absolute;left:1745;top:-799;width:789;height: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YsBxAAAAOAAAAAPAAAAZHJzL2Rvd25yZXYueG1sRI9Bi8Iw&#13;&#10;FITvgv8hvAVvmq5dFqlGEaXgYS9b9f5onm2xeSlJWuu/3wjCXgaGYb5hNrvRtGIg5xvLCj4XCQji&#13;&#10;0uqGKwWXcz5fgfABWWNrmRQ8ycNuO51sMNP2wb80FKESEcI+QwV1CF0mpS9rMugXtiOO2c06gyFa&#13;&#10;V0nt8BHhppXLJPmWBhuOCzV2dKipvBe9UXD9yhN769I+PbuCqW+Hn1M+KDX7GI/rKPs1iEBj+G+8&#13;&#10;ESetIE3hdSieAbn9AwAA//8DAFBLAQItABQABgAIAAAAIQDb4fbL7gAAAIUBAAATAAAAAAAAAAAA&#13;&#10;AAAAAAAAAABbQ29udGVudF9UeXBlc10ueG1sUEsBAi0AFAAGAAgAAAAhAFr0LFu/AAAAFQEAAAsA&#13;&#10;AAAAAAAAAAAAAAAAHwEAAF9yZWxzLy5yZWxzUEsBAi0AFAAGAAgAAAAhANk9iwHEAAAA4AAAAA8A&#13;&#10;AAAAAAAAAAAAAAAABwIAAGRycy9kb3ducmV2LnhtbFBLBQYAAAAAAwADALcAAAD4AgAAAAA=&#13;&#10;">
                  <v:imagedata r:id="rId26" o:title=""/>
                </v:shape>
                <w10:wrap anchorx="page"/>
              </v:group>
            </w:pict>
          </mc:Fallback>
        </mc:AlternateContent>
      </w:r>
      <w:r w:rsidRPr="00427D25">
        <w:rPr>
          <w:rFonts w:eastAsia="Calibri" w:cs="Arial"/>
          <w:noProof/>
          <w:sz w:val="22"/>
          <w:szCs w:val="22"/>
          <w:lang w:val="it-IT" w:eastAsia="it-IT"/>
        </w:rPr>
        <w:drawing>
          <wp:anchor distT="0" distB="0" distL="114300" distR="114300" simplePos="0" relativeHeight="251663360" behindDoc="0" locked="0" layoutInCell="1" allowOverlap="1" wp14:anchorId="1659D936" wp14:editId="2EE3BDEC">
            <wp:simplePos x="0" y="0"/>
            <wp:positionH relativeFrom="column">
              <wp:posOffset>850017</wp:posOffset>
            </wp:positionH>
            <wp:positionV relativeFrom="paragraph">
              <wp:posOffset>-215072</wp:posOffset>
            </wp:positionV>
            <wp:extent cx="1246858" cy="528700"/>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246858" cy="5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37BC" w:rsidRPr="00021DD2" w:rsidRDefault="00D137BC" w:rsidP="00D137BC">
      <w:pPr>
        <w:spacing w:before="0" w:after="0"/>
        <w:rPr>
          <w:rFonts w:cs="Arial"/>
          <w:sz w:val="20"/>
          <w:szCs w:val="20"/>
          <w:highlight w:val="yellow"/>
        </w:rPr>
      </w:pPr>
    </w:p>
    <w:p w:rsidR="00D137BC" w:rsidRPr="00021DD2" w:rsidRDefault="00D137BC" w:rsidP="00D137BC">
      <w:pPr>
        <w:spacing w:before="0" w:after="0"/>
        <w:rPr>
          <w:rFonts w:cs="Arial"/>
          <w:sz w:val="20"/>
          <w:szCs w:val="20"/>
          <w:highlight w:val="yellow"/>
        </w:rPr>
      </w:pPr>
    </w:p>
    <w:p w:rsidR="00D137BC" w:rsidRPr="00021DD2" w:rsidRDefault="00A77524" w:rsidP="00D137BC">
      <w:pPr>
        <w:spacing w:before="0" w:after="0"/>
        <w:rPr>
          <w:rFonts w:cs="Arial"/>
          <w:sz w:val="20"/>
          <w:szCs w:val="20"/>
        </w:rPr>
      </w:pPr>
      <w:r>
        <w:rPr>
          <w:rFonts w:cs="Arial"/>
          <w:sz w:val="20"/>
          <w:szCs w:val="20"/>
        </w:rPr>
        <w:t>5</w:t>
      </w:r>
      <w:r w:rsidR="00D137BC" w:rsidRPr="00021DD2">
        <w:rPr>
          <w:rFonts w:cs="Arial"/>
          <w:sz w:val="20"/>
          <w:szCs w:val="20"/>
        </w:rPr>
        <w:t xml:space="preserve"> December 2017</w:t>
      </w:r>
    </w:p>
    <w:p w:rsidR="00D137BC" w:rsidRPr="00021DD2" w:rsidRDefault="00D137BC" w:rsidP="00D137BC">
      <w:pPr>
        <w:spacing w:before="0" w:after="0"/>
        <w:rPr>
          <w:rFonts w:cs="Arial"/>
          <w:sz w:val="20"/>
          <w:szCs w:val="20"/>
        </w:rPr>
      </w:pPr>
    </w:p>
    <w:p w:rsidR="00D137BC" w:rsidRPr="00021DD2" w:rsidRDefault="00D137BC" w:rsidP="00D137BC">
      <w:pPr>
        <w:spacing w:before="0" w:after="0"/>
        <w:rPr>
          <w:rFonts w:cs="Arial"/>
          <w:sz w:val="20"/>
          <w:szCs w:val="20"/>
        </w:rPr>
      </w:pPr>
      <w:r w:rsidRPr="00021DD2">
        <w:rPr>
          <w:rFonts w:cs="Arial"/>
          <w:sz w:val="20"/>
          <w:szCs w:val="20"/>
        </w:rPr>
        <w:t>Senator the Hon George Brandis QC</w:t>
      </w:r>
    </w:p>
    <w:p w:rsidR="00D137BC" w:rsidRPr="00021DD2" w:rsidRDefault="00D137BC" w:rsidP="00D137BC">
      <w:pPr>
        <w:spacing w:before="0" w:after="0"/>
        <w:rPr>
          <w:rFonts w:cs="Arial"/>
          <w:sz w:val="20"/>
          <w:szCs w:val="20"/>
        </w:rPr>
      </w:pPr>
      <w:r w:rsidRPr="00021DD2">
        <w:rPr>
          <w:rFonts w:cs="Arial"/>
          <w:sz w:val="20"/>
          <w:szCs w:val="20"/>
        </w:rPr>
        <w:t>Attorney-General</w:t>
      </w:r>
    </w:p>
    <w:p w:rsidR="00D137BC" w:rsidRPr="00021DD2" w:rsidRDefault="00D137BC" w:rsidP="00D137BC">
      <w:pPr>
        <w:spacing w:before="0" w:after="0"/>
        <w:rPr>
          <w:rFonts w:cs="Arial"/>
          <w:sz w:val="20"/>
          <w:szCs w:val="20"/>
        </w:rPr>
      </w:pPr>
      <w:r w:rsidRPr="00021DD2">
        <w:rPr>
          <w:rFonts w:cs="Arial"/>
          <w:sz w:val="20"/>
          <w:szCs w:val="20"/>
        </w:rPr>
        <w:t xml:space="preserve">Parliament House </w:t>
      </w:r>
    </w:p>
    <w:p w:rsidR="00D137BC" w:rsidRPr="00021DD2" w:rsidRDefault="00D137BC" w:rsidP="00D137BC">
      <w:pPr>
        <w:spacing w:before="0" w:after="0"/>
        <w:rPr>
          <w:rFonts w:cs="Arial"/>
          <w:sz w:val="20"/>
          <w:szCs w:val="20"/>
        </w:rPr>
      </w:pPr>
      <w:r w:rsidRPr="00021DD2">
        <w:rPr>
          <w:rFonts w:cs="Arial"/>
          <w:sz w:val="20"/>
          <w:szCs w:val="20"/>
        </w:rPr>
        <w:t>CANBERRA ACT 2600</w:t>
      </w:r>
    </w:p>
    <w:p w:rsidR="00D137BC" w:rsidRPr="00021DD2" w:rsidRDefault="00D137BC" w:rsidP="00D137BC">
      <w:pPr>
        <w:spacing w:before="0" w:after="0"/>
        <w:rPr>
          <w:rFonts w:cs="Arial"/>
          <w:sz w:val="20"/>
          <w:szCs w:val="20"/>
        </w:rPr>
      </w:pPr>
    </w:p>
    <w:p w:rsidR="00D137BC" w:rsidRPr="00021DD2" w:rsidRDefault="00D137BC" w:rsidP="00D137BC">
      <w:pPr>
        <w:spacing w:before="0" w:after="0"/>
        <w:rPr>
          <w:rFonts w:cs="Arial"/>
          <w:sz w:val="20"/>
          <w:szCs w:val="20"/>
        </w:rPr>
      </w:pPr>
      <w:r w:rsidRPr="00021DD2">
        <w:rPr>
          <w:rFonts w:cs="Arial"/>
          <w:sz w:val="20"/>
          <w:szCs w:val="20"/>
        </w:rPr>
        <w:t>Dear Attorney</w:t>
      </w:r>
    </w:p>
    <w:p w:rsidR="00D137BC" w:rsidRPr="00021DD2" w:rsidRDefault="00D137BC" w:rsidP="00D137BC">
      <w:pPr>
        <w:spacing w:before="0" w:after="0"/>
        <w:rPr>
          <w:rFonts w:cs="Arial"/>
          <w:sz w:val="20"/>
          <w:szCs w:val="20"/>
        </w:rPr>
      </w:pPr>
    </w:p>
    <w:p w:rsidR="00D137BC" w:rsidRPr="00021DD2" w:rsidRDefault="00D137BC" w:rsidP="00D137BC">
      <w:pPr>
        <w:spacing w:before="0" w:after="0"/>
        <w:rPr>
          <w:rFonts w:cs="Arial"/>
          <w:b/>
          <w:sz w:val="20"/>
          <w:szCs w:val="20"/>
        </w:rPr>
      </w:pPr>
      <w:r w:rsidRPr="00021DD2">
        <w:rPr>
          <w:rFonts w:cs="Arial"/>
          <w:b/>
          <w:sz w:val="20"/>
          <w:szCs w:val="20"/>
        </w:rPr>
        <w:t>Children’s Rights Report 2017</w:t>
      </w:r>
    </w:p>
    <w:p w:rsidR="00D137BC" w:rsidRPr="00021DD2" w:rsidRDefault="00D137BC" w:rsidP="00D137BC">
      <w:pPr>
        <w:spacing w:before="0" w:after="0"/>
        <w:rPr>
          <w:rFonts w:cs="Arial"/>
          <w:sz w:val="20"/>
          <w:szCs w:val="20"/>
        </w:rPr>
      </w:pPr>
    </w:p>
    <w:p w:rsidR="00D137BC" w:rsidRPr="00021DD2" w:rsidRDefault="00D137BC" w:rsidP="00D137BC">
      <w:pPr>
        <w:spacing w:before="0" w:after="0"/>
        <w:rPr>
          <w:rFonts w:cs="Arial"/>
          <w:sz w:val="20"/>
          <w:szCs w:val="20"/>
        </w:rPr>
      </w:pPr>
      <w:r w:rsidRPr="00021DD2">
        <w:rPr>
          <w:rFonts w:cs="Arial"/>
          <w:sz w:val="20"/>
          <w:szCs w:val="20"/>
        </w:rPr>
        <w:t xml:space="preserve">I am pleased to present to you the Children’s Rights Report 2017, in accordance with section 46MB of the </w:t>
      </w:r>
      <w:r w:rsidRPr="00021DD2">
        <w:rPr>
          <w:rFonts w:cs="Arial"/>
          <w:i/>
          <w:sz w:val="20"/>
          <w:szCs w:val="20"/>
        </w:rPr>
        <w:t>Australian Human Rights Commission Act 1986</w:t>
      </w:r>
      <w:r w:rsidRPr="00021DD2">
        <w:rPr>
          <w:rFonts w:cs="Arial"/>
          <w:sz w:val="20"/>
          <w:szCs w:val="20"/>
        </w:rPr>
        <w:t xml:space="preserve"> (Cth) (the Act). The Act provides that I may submit reports relating to the enjoyment and exercise of human rights by children in Australia as I consider appropriate.</w:t>
      </w:r>
    </w:p>
    <w:p w:rsidR="00D137BC" w:rsidRPr="00021DD2" w:rsidRDefault="00D137BC" w:rsidP="00D137BC">
      <w:pPr>
        <w:spacing w:before="0" w:after="0"/>
        <w:rPr>
          <w:rFonts w:cs="Arial"/>
          <w:sz w:val="20"/>
          <w:szCs w:val="20"/>
        </w:rPr>
      </w:pPr>
    </w:p>
    <w:p w:rsidR="00D137BC" w:rsidRPr="00021DD2" w:rsidRDefault="00D137BC" w:rsidP="00D137BC">
      <w:pPr>
        <w:spacing w:before="0" w:after="0"/>
        <w:rPr>
          <w:rFonts w:cs="Arial"/>
          <w:sz w:val="20"/>
          <w:szCs w:val="20"/>
        </w:rPr>
      </w:pPr>
      <w:r w:rsidRPr="00021DD2">
        <w:rPr>
          <w:rFonts w:cs="Arial"/>
          <w:sz w:val="20"/>
          <w:szCs w:val="20"/>
        </w:rPr>
        <w:t>This report covers the work I have undertaken between 1 July 2016 and 30 September 2017</w:t>
      </w:r>
      <w:r w:rsidRPr="00021DD2">
        <w:rPr>
          <w:rFonts w:cs="Arial"/>
          <w:b/>
          <w:sz w:val="20"/>
          <w:szCs w:val="20"/>
        </w:rPr>
        <w:t>.</w:t>
      </w:r>
    </w:p>
    <w:p w:rsidR="00D137BC" w:rsidRPr="00021DD2" w:rsidRDefault="00D137BC" w:rsidP="00D137BC">
      <w:pPr>
        <w:spacing w:before="0" w:after="0"/>
        <w:rPr>
          <w:rFonts w:cs="Arial"/>
          <w:sz w:val="20"/>
          <w:szCs w:val="20"/>
        </w:rPr>
      </w:pPr>
    </w:p>
    <w:p w:rsidR="00D137BC" w:rsidRPr="00021DD2" w:rsidRDefault="00D137BC" w:rsidP="00D137BC">
      <w:pPr>
        <w:spacing w:before="0" w:after="0"/>
        <w:rPr>
          <w:rFonts w:cs="Arial"/>
          <w:sz w:val="20"/>
          <w:szCs w:val="20"/>
        </w:rPr>
      </w:pPr>
      <w:r w:rsidRPr="00021DD2">
        <w:rPr>
          <w:rFonts w:cs="Arial"/>
          <w:sz w:val="20"/>
          <w:szCs w:val="20"/>
        </w:rPr>
        <w:t>Chapter 1 reports on the work I have undertaken throughout the past year to promote discussion and awareness of matters relating to the human rights of children and young people in Australia. It also discusses the progress of the recommendations that I have made in previous Children’s Rights Reports since 2013.</w:t>
      </w:r>
    </w:p>
    <w:p w:rsidR="00D137BC" w:rsidRPr="00021DD2" w:rsidRDefault="00D137BC" w:rsidP="00D137BC">
      <w:pPr>
        <w:spacing w:before="0" w:after="0"/>
        <w:rPr>
          <w:rFonts w:cs="Arial"/>
          <w:sz w:val="20"/>
          <w:szCs w:val="20"/>
        </w:rPr>
      </w:pPr>
    </w:p>
    <w:p w:rsidR="00D137BC" w:rsidRPr="00021DD2" w:rsidRDefault="00D137BC" w:rsidP="00D137BC">
      <w:pPr>
        <w:spacing w:before="0" w:after="0"/>
        <w:rPr>
          <w:rFonts w:cs="Arial"/>
          <w:sz w:val="20"/>
          <w:szCs w:val="20"/>
        </w:rPr>
      </w:pPr>
      <w:r w:rsidRPr="00021DD2">
        <w:rPr>
          <w:rFonts w:cs="Arial"/>
          <w:sz w:val="20"/>
          <w:szCs w:val="20"/>
        </w:rPr>
        <w:t xml:space="preserve">Chapter 2 reports on how children’s rights have been considered in Commonwealth legislation and provides a case study on the consideration of children’s rights in court proceedings. </w:t>
      </w:r>
    </w:p>
    <w:p w:rsidR="00D137BC" w:rsidRPr="00021DD2" w:rsidRDefault="00D137BC" w:rsidP="00D137BC">
      <w:pPr>
        <w:spacing w:before="0" w:after="0"/>
        <w:rPr>
          <w:rFonts w:cs="Arial"/>
          <w:sz w:val="20"/>
          <w:szCs w:val="20"/>
        </w:rPr>
      </w:pPr>
    </w:p>
    <w:p w:rsidR="00D137BC" w:rsidRPr="00021DD2" w:rsidRDefault="00D137BC" w:rsidP="00D137BC">
      <w:pPr>
        <w:spacing w:before="0" w:after="0"/>
        <w:rPr>
          <w:rFonts w:cs="Arial"/>
          <w:sz w:val="20"/>
          <w:szCs w:val="20"/>
        </w:rPr>
      </w:pPr>
      <w:r w:rsidRPr="00021DD2">
        <w:rPr>
          <w:rFonts w:cs="Arial"/>
          <w:sz w:val="20"/>
          <w:szCs w:val="20"/>
        </w:rPr>
        <w:t>Chapter 3 reports on my investigation into the rights, needs and experiences of young parents and their children, with a view to identifying the critical supports needed to improve their personal, educational and economic outcomes.</w:t>
      </w:r>
    </w:p>
    <w:p w:rsidR="00D137BC" w:rsidRPr="00021DD2" w:rsidRDefault="00D137BC" w:rsidP="00D137BC">
      <w:pPr>
        <w:spacing w:before="0" w:after="0"/>
        <w:rPr>
          <w:rFonts w:cs="Arial"/>
          <w:sz w:val="20"/>
          <w:szCs w:val="20"/>
        </w:rPr>
      </w:pPr>
    </w:p>
    <w:p w:rsidR="00D137BC" w:rsidRPr="00021DD2" w:rsidRDefault="00D137BC" w:rsidP="00D137BC">
      <w:pPr>
        <w:spacing w:before="0" w:after="0"/>
        <w:rPr>
          <w:rFonts w:cs="Arial"/>
          <w:sz w:val="20"/>
          <w:szCs w:val="20"/>
        </w:rPr>
      </w:pPr>
      <w:r w:rsidRPr="00021DD2">
        <w:rPr>
          <w:rFonts w:cs="Arial"/>
          <w:sz w:val="20"/>
          <w:szCs w:val="20"/>
        </w:rPr>
        <w:t xml:space="preserve">Chapter 4 discusses the work I am leading to embed child safe cultures and child rights knowledge throughout organisations that work for and with children across Australia. This initiative has primarily been precipitated by the work of the </w:t>
      </w:r>
      <w:r w:rsidRPr="00021DD2">
        <w:rPr>
          <w:rFonts w:cs="Arial"/>
          <w:i/>
          <w:sz w:val="20"/>
          <w:szCs w:val="20"/>
        </w:rPr>
        <w:t>Royal Commission into Institutional Responses to Child Sexual Abuse</w:t>
      </w:r>
      <w:r w:rsidRPr="00021DD2">
        <w:rPr>
          <w:rFonts w:cs="Arial"/>
          <w:sz w:val="20"/>
          <w:szCs w:val="20"/>
        </w:rPr>
        <w:t>, which will shortly come to completion, but whose findings will require ongoing action and monitoring in order to prevent and effectively respond to child harm.</w:t>
      </w:r>
      <w:r w:rsidR="000F10F4">
        <w:rPr>
          <w:rFonts w:cs="Arial"/>
          <w:sz w:val="20"/>
          <w:szCs w:val="20"/>
        </w:rPr>
        <w:t xml:space="preserve"> </w:t>
      </w:r>
    </w:p>
    <w:p w:rsidR="00D137BC" w:rsidRPr="00021DD2" w:rsidRDefault="00D137BC" w:rsidP="00D137BC">
      <w:pPr>
        <w:spacing w:before="0" w:after="0"/>
        <w:rPr>
          <w:rFonts w:cs="Arial"/>
          <w:sz w:val="20"/>
          <w:szCs w:val="20"/>
        </w:rPr>
      </w:pPr>
    </w:p>
    <w:p w:rsidR="00D137BC" w:rsidRPr="00021DD2" w:rsidRDefault="00D137BC" w:rsidP="00D137BC">
      <w:pPr>
        <w:spacing w:before="0" w:after="0"/>
        <w:rPr>
          <w:rFonts w:cs="Arial"/>
          <w:sz w:val="20"/>
          <w:szCs w:val="20"/>
        </w:rPr>
      </w:pPr>
      <w:r w:rsidRPr="00021DD2">
        <w:rPr>
          <w:rFonts w:cs="Arial"/>
          <w:sz w:val="20"/>
          <w:szCs w:val="20"/>
        </w:rPr>
        <w:t>I look forward to discussing the report with you.</w:t>
      </w:r>
    </w:p>
    <w:p w:rsidR="00D137BC" w:rsidRPr="00021DD2" w:rsidRDefault="00D137BC" w:rsidP="00D137BC">
      <w:pPr>
        <w:spacing w:before="0" w:after="0"/>
        <w:rPr>
          <w:rFonts w:cs="Arial"/>
          <w:sz w:val="20"/>
          <w:szCs w:val="20"/>
        </w:rPr>
      </w:pPr>
    </w:p>
    <w:p w:rsidR="00D137BC" w:rsidRPr="00021DD2" w:rsidRDefault="00D137BC" w:rsidP="00D137BC">
      <w:pPr>
        <w:spacing w:before="0" w:after="0"/>
        <w:rPr>
          <w:rFonts w:cs="Arial"/>
          <w:sz w:val="20"/>
          <w:szCs w:val="20"/>
        </w:rPr>
      </w:pPr>
      <w:r w:rsidRPr="00021DD2">
        <w:rPr>
          <w:rFonts w:cs="Arial"/>
          <w:sz w:val="20"/>
          <w:szCs w:val="20"/>
        </w:rPr>
        <w:t>Yours sincerely</w:t>
      </w:r>
    </w:p>
    <w:p w:rsidR="00D137BC" w:rsidRPr="00021DD2" w:rsidRDefault="00D137BC" w:rsidP="00D137BC">
      <w:pPr>
        <w:spacing w:before="0" w:after="0"/>
        <w:rPr>
          <w:rFonts w:cs="Arial"/>
          <w:sz w:val="20"/>
          <w:szCs w:val="20"/>
        </w:rPr>
      </w:pPr>
    </w:p>
    <w:p w:rsidR="00D137BC" w:rsidRPr="00021DD2" w:rsidRDefault="00D137BC" w:rsidP="00D137BC">
      <w:pPr>
        <w:spacing w:before="0" w:after="0"/>
        <w:rPr>
          <w:rFonts w:cs="Arial"/>
          <w:sz w:val="20"/>
          <w:szCs w:val="20"/>
        </w:rPr>
      </w:pPr>
    </w:p>
    <w:p w:rsidR="00D137BC" w:rsidRPr="00021DD2" w:rsidRDefault="00D137BC" w:rsidP="00D137BC">
      <w:pPr>
        <w:spacing w:before="0" w:after="0"/>
        <w:rPr>
          <w:rFonts w:cs="Arial"/>
          <w:sz w:val="20"/>
          <w:szCs w:val="20"/>
        </w:rPr>
      </w:pPr>
      <w:r w:rsidRPr="00021DD2">
        <w:rPr>
          <w:rFonts w:cs="Arial"/>
          <w:sz w:val="20"/>
          <w:szCs w:val="20"/>
        </w:rPr>
        <w:t xml:space="preserve"> </w:t>
      </w:r>
    </w:p>
    <w:p w:rsidR="00D137BC" w:rsidRPr="00021DD2" w:rsidRDefault="00D137BC" w:rsidP="00D137BC">
      <w:pPr>
        <w:spacing w:before="0" w:after="0"/>
        <w:rPr>
          <w:rFonts w:cs="Arial"/>
          <w:sz w:val="20"/>
          <w:szCs w:val="20"/>
        </w:rPr>
      </w:pPr>
      <w:r w:rsidRPr="00021DD2">
        <w:rPr>
          <w:rFonts w:cs="Arial"/>
          <w:sz w:val="20"/>
          <w:szCs w:val="20"/>
        </w:rPr>
        <w:t>Megan Mitchell</w:t>
      </w:r>
    </w:p>
    <w:p w:rsidR="00D137BC" w:rsidRPr="00021DD2" w:rsidRDefault="00D137BC" w:rsidP="00D137BC">
      <w:pPr>
        <w:spacing w:before="0" w:after="0"/>
        <w:rPr>
          <w:rFonts w:cs="Arial"/>
          <w:sz w:val="20"/>
          <w:szCs w:val="20"/>
        </w:rPr>
      </w:pPr>
      <w:r w:rsidRPr="00021DD2">
        <w:rPr>
          <w:rFonts w:cs="Arial"/>
          <w:sz w:val="20"/>
          <w:szCs w:val="20"/>
        </w:rPr>
        <w:t>National Children’s Commissioner</w:t>
      </w:r>
    </w:p>
    <w:p w:rsidR="00D137BC" w:rsidRPr="00021DD2" w:rsidRDefault="00D137BC" w:rsidP="00D137BC">
      <w:pPr>
        <w:spacing w:before="0" w:after="0"/>
        <w:rPr>
          <w:rFonts w:cs="Arial"/>
          <w:sz w:val="20"/>
          <w:szCs w:val="20"/>
        </w:rPr>
      </w:pPr>
    </w:p>
    <w:p w:rsidR="00D137BC" w:rsidRPr="00021DD2" w:rsidRDefault="00D137BC" w:rsidP="00D137BC">
      <w:pPr>
        <w:spacing w:before="0" w:after="0"/>
        <w:rPr>
          <w:rFonts w:cs="Arial"/>
          <w:b/>
          <w:sz w:val="20"/>
          <w:szCs w:val="20"/>
        </w:rPr>
      </w:pPr>
      <w:r w:rsidRPr="00021DD2">
        <w:rPr>
          <w:rFonts w:cs="Arial"/>
          <w:b/>
          <w:sz w:val="20"/>
          <w:szCs w:val="20"/>
        </w:rPr>
        <w:t>Australian Human Rights Commission</w:t>
      </w:r>
    </w:p>
    <w:p w:rsidR="00D137BC" w:rsidRPr="00021DD2" w:rsidRDefault="00D137BC" w:rsidP="00D137BC">
      <w:pPr>
        <w:spacing w:before="0" w:after="0"/>
        <w:rPr>
          <w:rFonts w:cs="Arial"/>
          <w:b/>
          <w:sz w:val="20"/>
          <w:szCs w:val="20"/>
        </w:rPr>
      </w:pPr>
    </w:p>
    <w:p w:rsidR="00D137BC" w:rsidRPr="00021DD2" w:rsidRDefault="00D137BC" w:rsidP="00D137BC">
      <w:pPr>
        <w:spacing w:before="0" w:after="0"/>
        <w:rPr>
          <w:rFonts w:cs="Arial"/>
          <w:sz w:val="20"/>
          <w:szCs w:val="20"/>
        </w:rPr>
      </w:pPr>
      <w:r w:rsidRPr="00021DD2">
        <w:rPr>
          <w:rFonts w:cs="Arial"/>
          <w:sz w:val="20"/>
          <w:szCs w:val="20"/>
        </w:rPr>
        <w:t>Level 3, 175 Pitt Street, Sydney NSW 2000</w:t>
      </w:r>
    </w:p>
    <w:p w:rsidR="00D137BC" w:rsidRPr="00021DD2" w:rsidRDefault="00D137BC" w:rsidP="00D137BC">
      <w:pPr>
        <w:spacing w:before="0" w:after="0"/>
        <w:rPr>
          <w:rFonts w:cs="Arial"/>
          <w:sz w:val="20"/>
          <w:szCs w:val="20"/>
        </w:rPr>
      </w:pPr>
      <w:r w:rsidRPr="00021DD2">
        <w:rPr>
          <w:rFonts w:cs="Arial"/>
          <w:sz w:val="20"/>
          <w:szCs w:val="20"/>
        </w:rPr>
        <w:t>GPO Box 5218, Sydney NSW 2001</w:t>
      </w:r>
    </w:p>
    <w:p w:rsidR="00D137BC" w:rsidRPr="00021DD2" w:rsidRDefault="00D137BC" w:rsidP="00D137BC">
      <w:pPr>
        <w:spacing w:before="0" w:after="0"/>
        <w:rPr>
          <w:rFonts w:cs="Arial"/>
          <w:sz w:val="20"/>
          <w:szCs w:val="20"/>
        </w:rPr>
      </w:pPr>
    </w:p>
    <w:p w:rsidR="00D137BC" w:rsidRPr="00021DD2" w:rsidRDefault="00D137BC" w:rsidP="00D137BC">
      <w:pPr>
        <w:spacing w:before="0" w:after="0"/>
        <w:rPr>
          <w:rFonts w:cs="Arial"/>
          <w:sz w:val="20"/>
          <w:szCs w:val="20"/>
        </w:rPr>
      </w:pPr>
      <w:r w:rsidRPr="00021DD2">
        <w:rPr>
          <w:rFonts w:cs="Arial"/>
          <w:i/>
          <w:sz w:val="20"/>
          <w:szCs w:val="20"/>
        </w:rPr>
        <w:t>Telephon</w:t>
      </w:r>
      <w:r w:rsidRPr="00021DD2">
        <w:rPr>
          <w:rFonts w:cs="Arial"/>
          <w:sz w:val="20"/>
          <w:szCs w:val="20"/>
        </w:rPr>
        <w:t>e</w:t>
      </w:r>
      <w:r w:rsidRPr="00021DD2">
        <w:rPr>
          <w:rFonts w:cs="Arial"/>
          <w:i/>
          <w:sz w:val="20"/>
          <w:szCs w:val="20"/>
        </w:rPr>
        <w:t>:</w:t>
      </w:r>
      <w:r w:rsidRPr="00021DD2">
        <w:rPr>
          <w:rFonts w:cs="Arial"/>
          <w:sz w:val="20"/>
          <w:szCs w:val="20"/>
        </w:rPr>
        <w:t xml:space="preserve"> 02 9284 9600</w:t>
      </w:r>
    </w:p>
    <w:p w:rsidR="00D137BC" w:rsidRPr="00021DD2" w:rsidRDefault="00D137BC" w:rsidP="00D137BC">
      <w:pPr>
        <w:spacing w:before="0" w:after="0"/>
        <w:rPr>
          <w:rFonts w:cs="Arial"/>
          <w:sz w:val="20"/>
          <w:szCs w:val="20"/>
        </w:rPr>
      </w:pPr>
      <w:r w:rsidRPr="00021DD2">
        <w:rPr>
          <w:rFonts w:cs="Arial"/>
          <w:i/>
          <w:sz w:val="20"/>
          <w:szCs w:val="20"/>
        </w:rPr>
        <w:t>Facsimile:</w:t>
      </w:r>
      <w:r w:rsidRPr="00021DD2">
        <w:rPr>
          <w:rFonts w:cs="Arial"/>
          <w:sz w:val="20"/>
          <w:szCs w:val="20"/>
        </w:rPr>
        <w:t xml:space="preserve"> 02 9284 9611</w:t>
      </w:r>
    </w:p>
    <w:p w:rsidR="00D137BC" w:rsidRPr="00021DD2" w:rsidRDefault="00D137BC" w:rsidP="00D137BC">
      <w:pPr>
        <w:spacing w:before="0" w:after="0"/>
        <w:rPr>
          <w:rFonts w:cs="Arial"/>
          <w:color w:val="0000FF"/>
          <w:sz w:val="20"/>
          <w:szCs w:val="20"/>
          <w:u w:val="single"/>
        </w:rPr>
      </w:pPr>
      <w:r w:rsidRPr="00021DD2">
        <w:rPr>
          <w:rFonts w:cs="Arial"/>
          <w:i/>
          <w:sz w:val="20"/>
          <w:szCs w:val="20"/>
        </w:rPr>
        <w:t>Website:</w:t>
      </w:r>
      <w:r w:rsidRPr="0047394A">
        <w:rPr>
          <w:rFonts w:cs="Arial"/>
          <w:sz w:val="20"/>
          <w:szCs w:val="20"/>
        </w:rPr>
        <w:t xml:space="preserve"> </w:t>
      </w:r>
      <w:hyperlink r:id="rId28" w:history="1">
        <w:r w:rsidRPr="0047394A">
          <w:rPr>
            <w:rStyle w:val="Collegamentoipertestuale"/>
            <w:sz w:val="20"/>
            <w:szCs w:val="20"/>
          </w:rPr>
          <w:t>www.humanrights.gov.au</w:t>
        </w:r>
      </w:hyperlink>
    </w:p>
    <w:p w:rsidR="000B0677" w:rsidRPr="00021DD2" w:rsidRDefault="000B0677" w:rsidP="00D137BC">
      <w:pPr>
        <w:keepNext/>
        <w:spacing w:before="360"/>
        <w:outlineLvl w:val="0"/>
        <w:rPr>
          <w:rFonts w:cs="Arial"/>
          <w:b/>
          <w:bCs/>
          <w:sz w:val="32"/>
          <w:szCs w:val="32"/>
        </w:rPr>
        <w:sectPr w:rsidR="000B0677" w:rsidRPr="00021DD2" w:rsidSect="00EB5BDE">
          <w:headerReference w:type="even" r:id="rId29"/>
          <w:headerReference w:type="default" r:id="rId30"/>
          <w:footerReference w:type="default" r:id="rId31"/>
          <w:headerReference w:type="first" r:id="rId32"/>
          <w:endnotePr>
            <w:numFmt w:val="decimal"/>
          </w:endnotePr>
          <w:pgSz w:w="11906" w:h="16838" w:code="9"/>
          <w:pgMar w:top="1134" w:right="1418" w:bottom="1134" w:left="1418" w:header="709" w:footer="709" w:gutter="0"/>
          <w:cols w:space="708"/>
          <w:docGrid w:linePitch="360"/>
        </w:sectPr>
      </w:pPr>
      <w:bookmarkStart w:id="4" w:name="_Toc495926748"/>
    </w:p>
    <w:bookmarkEnd w:id="4"/>
    <w:p w:rsidR="00D137BC" w:rsidRPr="00021DD2" w:rsidRDefault="00D137BC" w:rsidP="00D137BC">
      <w:pPr>
        <w:spacing w:before="0" w:after="0"/>
        <w:rPr>
          <w:rFonts w:cs="Arial"/>
        </w:rPr>
      </w:pPr>
    </w:p>
    <w:p w:rsidR="002F52EE" w:rsidRPr="00021DD2" w:rsidRDefault="002F52EE" w:rsidP="00095578">
      <w:pPr>
        <w:pStyle w:val="Titolo1"/>
        <w:numPr>
          <w:ilvl w:val="0"/>
          <w:numId w:val="0"/>
        </w:numPr>
      </w:pPr>
      <w:bookmarkStart w:id="5" w:name="_Toc500308733"/>
      <w:r w:rsidRPr="00021DD2">
        <w:t>About the National Children’s Commissioner</w:t>
      </w:r>
      <w:bookmarkEnd w:id="5"/>
    </w:p>
    <w:p w:rsidR="00D137BC" w:rsidRPr="00021DD2" w:rsidRDefault="00D137BC" w:rsidP="00095578">
      <w:r w:rsidRPr="00021DD2">
        <w:t>Legislation establishing the position of National Children’s Commissioner was passed by the federal Parliament on 25 June 2012.</w:t>
      </w:r>
    </w:p>
    <w:p w:rsidR="00D137BC" w:rsidRPr="00021DD2" w:rsidRDefault="00D137BC" w:rsidP="00095578">
      <w:r w:rsidRPr="00021DD2">
        <w:t xml:space="preserve">Ms Megan Mitchell was appointed as the inaugural National Children’s Commissioner on 25 February 2013 and commenced in the role on 25 March 2013. </w:t>
      </w:r>
    </w:p>
    <w:p w:rsidR="00D137BC" w:rsidRPr="00021DD2" w:rsidRDefault="00D137BC" w:rsidP="00095578">
      <w:r w:rsidRPr="00021DD2">
        <w:t xml:space="preserve">Section 46MB of the </w:t>
      </w:r>
      <w:r w:rsidRPr="00021DD2">
        <w:rPr>
          <w:i/>
        </w:rPr>
        <w:t>Australian Human Rights Commission Act 1986</w:t>
      </w:r>
      <w:r w:rsidRPr="00021DD2">
        <w:t xml:space="preserve"> (Cth) (the Act) describes the functions that are to be performed by the National Children’s Commissioner. Under the Act, the National Children’s Commissioner is specifically required to:</w:t>
      </w:r>
    </w:p>
    <w:p w:rsidR="00D137BC" w:rsidRPr="00021DD2" w:rsidRDefault="00D137BC" w:rsidP="00FF4CD5">
      <w:pPr>
        <w:pStyle w:val="Paragrafoelenco"/>
        <w:numPr>
          <w:ilvl w:val="0"/>
          <w:numId w:val="16"/>
        </w:numPr>
        <w:jc w:val="left"/>
      </w:pPr>
      <w:r w:rsidRPr="00021DD2">
        <w:t>promote discussion and awareness of matters relating to the human rights of children in Australia</w:t>
      </w:r>
    </w:p>
    <w:p w:rsidR="00D137BC" w:rsidRPr="00021DD2" w:rsidRDefault="00D137BC" w:rsidP="00FF4CD5">
      <w:pPr>
        <w:pStyle w:val="Paragrafoelenco"/>
        <w:numPr>
          <w:ilvl w:val="0"/>
          <w:numId w:val="15"/>
        </w:numPr>
        <w:jc w:val="left"/>
      </w:pPr>
      <w:r w:rsidRPr="00021DD2">
        <w:t>undertake research, or educational or other programs, for the purpose of promoting respect for the human rights of children in Australia, and promoting the enjoyment and exercise of human rights by children in Australia</w:t>
      </w:r>
    </w:p>
    <w:p w:rsidR="00D137BC" w:rsidRPr="00021DD2" w:rsidRDefault="00D137BC" w:rsidP="00FF4CD5">
      <w:pPr>
        <w:pStyle w:val="Paragrafoelenco"/>
        <w:numPr>
          <w:ilvl w:val="0"/>
          <w:numId w:val="15"/>
        </w:numPr>
        <w:jc w:val="left"/>
      </w:pPr>
      <w:r w:rsidRPr="00021DD2">
        <w:t>examine existing and proposed Commonwealth enactments for the purpose of ascertaining whether they recognise and protect the human rights of children in Australia, and to report to the Minister the results of any such examination.</w:t>
      </w:r>
    </w:p>
    <w:p w:rsidR="00D137BC" w:rsidRPr="00021DD2" w:rsidRDefault="00D137BC" w:rsidP="00095578">
      <w:r w:rsidRPr="00021DD2">
        <w:t>In performing these functions, the Commissioner may give particular attention to children who are at risk or vulnerable. The Commissio</w:t>
      </w:r>
      <w:r w:rsidR="00EB5EEF" w:rsidRPr="00021DD2">
        <w:t>ner may consult with children, d</w:t>
      </w:r>
      <w:r w:rsidRPr="00021DD2">
        <w:t>epartments and authorities o</w:t>
      </w:r>
      <w:r w:rsidR="00EB5EEF" w:rsidRPr="00021DD2">
        <w:t>f the Commonwealth, and of the states and t</w:t>
      </w:r>
      <w:r w:rsidRPr="00021DD2">
        <w:t>erritories, non-governmental organisations, international age</w:t>
      </w:r>
      <w:r w:rsidR="00EB5EEF" w:rsidRPr="00021DD2">
        <w:t xml:space="preserve">ncies, and other organisations </w:t>
      </w:r>
      <w:r w:rsidRPr="00021DD2">
        <w:t>or persons.</w:t>
      </w:r>
    </w:p>
    <w:p w:rsidR="00D137BC" w:rsidRPr="00021DD2" w:rsidRDefault="00D137BC" w:rsidP="00095578">
      <w:r w:rsidRPr="00021DD2">
        <w:t xml:space="preserve">The Act provides that the National Children’s Commissioner may submit reports to the Minister that deal with matters relating to the enjoyment and exercise of human rights by children in Australia, as the Commissioner considers appropriate. A report may include recommendations that the Commissioner considers appropriate as to the action that should be taken to ensure the enjoyment and exercise of human rights by children in Australia. </w:t>
      </w:r>
    </w:p>
    <w:p w:rsidR="005B1A77" w:rsidRPr="00021DD2" w:rsidRDefault="00D137BC" w:rsidP="00095578">
      <w:r w:rsidRPr="00021DD2">
        <w:t>On 13 April 2017, Section 46MB of the Act was amended to remove the requirement that the Commissioner submit a report to the Minister annually.</w:t>
      </w:r>
      <w:r w:rsidRPr="00021DD2">
        <w:rPr>
          <w:rStyle w:val="Rimandonotadichiusura"/>
          <w:rFonts w:cs="Arial"/>
        </w:rPr>
        <w:endnoteReference w:id="1"/>
      </w:r>
    </w:p>
    <w:p w:rsidR="00D137BC" w:rsidRPr="00021DD2" w:rsidRDefault="005B1A77" w:rsidP="00095578">
      <w:r w:rsidRPr="00021DD2">
        <w:t>The Commissioner is able to compel the production of documents and information held by the Commonwealth.</w:t>
      </w:r>
    </w:p>
    <w:p w:rsidR="00095578" w:rsidRDefault="00095578">
      <w:pPr>
        <w:keepLines w:val="0"/>
        <w:spacing w:before="0" w:after="0"/>
      </w:pPr>
      <w:r>
        <w:br w:type="page"/>
      </w:r>
    </w:p>
    <w:p w:rsidR="00D137BC" w:rsidRPr="00021DD2" w:rsidRDefault="00D137BC" w:rsidP="00095578">
      <w:r w:rsidRPr="00021DD2">
        <w:t xml:space="preserve">The United Nations </w:t>
      </w:r>
      <w:r w:rsidRPr="00021DD2">
        <w:rPr>
          <w:i/>
        </w:rPr>
        <w:t>Convention on the Rights of the Child</w:t>
      </w:r>
      <w:r w:rsidRPr="00021DD2">
        <w:t xml:space="preserve"> (CRC) underpins the Commissioner’s work. In addition to having regard to the CRC, the Commissioner must have regard to a range of human rights instruments:</w:t>
      </w:r>
    </w:p>
    <w:p w:rsidR="00D137BC" w:rsidRPr="00021DD2" w:rsidRDefault="00D137BC" w:rsidP="00B934D7">
      <w:pPr>
        <w:numPr>
          <w:ilvl w:val="0"/>
          <w:numId w:val="17"/>
        </w:numPr>
        <w:spacing w:before="0" w:after="0"/>
        <w:contextualSpacing/>
        <w:rPr>
          <w:rFonts w:cs="Arial"/>
          <w:i/>
        </w:rPr>
      </w:pPr>
      <w:r w:rsidRPr="00021DD2">
        <w:rPr>
          <w:rFonts w:cs="Arial"/>
          <w:i/>
        </w:rPr>
        <w:t>Universal Declaration of Human Rights</w:t>
      </w:r>
    </w:p>
    <w:p w:rsidR="00D137BC" w:rsidRPr="00021DD2" w:rsidRDefault="00D137BC" w:rsidP="00B934D7">
      <w:pPr>
        <w:numPr>
          <w:ilvl w:val="0"/>
          <w:numId w:val="17"/>
        </w:numPr>
        <w:spacing w:before="0" w:after="0"/>
        <w:contextualSpacing/>
        <w:rPr>
          <w:rFonts w:cs="Arial"/>
          <w:i/>
        </w:rPr>
      </w:pPr>
      <w:r w:rsidRPr="00021DD2">
        <w:rPr>
          <w:rFonts w:cs="Arial"/>
          <w:i/>
        </w:rPr>
        <w:t>International Convention on the Elimination of All Forms of Racial Discrimination</w:t>
      </w:r>
    </w:p>
    <w:p w:rsidR="00D137BC" w:rsidRPr="00021DD2" w:rsidRDefault="00D137BC" w:rsidP="00B934D7">
      <w:pPr>
        <w:numPr>
          <w:ilvl w:val="0"/>
          <w:numId w:val="17"/>
        </w:numPr>
        <w:spacing w:before="0" w:after="0"/>
        <w:contextualSpacing/>
        <w:rPr>
          <w:rFonts w:cs="Arial"/>
          <w:i/>
        </w:rPr>
      </w:pPr>
      <w:r w:rsidRPr="00021DD2">
        <w:rPr>
          <w:rFonts w:cs="Arial"/>
          <w:i/>
        </w:rPr>
        <w:t>International Covenant on Economic, Social and Cultural Rights</w:t>
      </w:r>
    </w:p>
    <w:p w:rsidR="00D137BC" w:rsidRPr="00021DD2" w:rsidRDefault="00D137BC" w:rsidP="00B934D7">
      <w:pPr>
        <w:numPr>
          <w:ilvl w:val="0"/>
          <w:numId w:val="17"/>
        </w:numPr>
        <w:spacing w:before="0" w:after="0"/>
        <w:contextualSpacing/>
        <w:rPr>
          <w:rFonts w:cs="Arial"/>
          <w:i/>
        </w:rPr>
      </w:pPr>
      <w:r w:rsidRPr="00021DD2">
        <w:rPr>
          <w:rFonts w:cs="Arial"/>
          <w:i/>
        </w:rPr>
        <w:t>International Covenant on Civil and Political Rights</w:t>
      </w:r>
    </w:p>
    <w:p w:rsidR="00D137BC" w:rsidRPr="00021DD2" w:rsidRDefault="00D137BC" w:rsidP="00B934D7">
      <w:pPr>
        <w:numPr>
          <w:ilvl w:val="0"/>
          <w:numId w:val="17"/>
        </w:numPr>
        <w:spacing w:before="0" w:after="0"/>
        <w:contextualSpacing/>
        <w:rPr>
          <w:rFonts w:cs="Arial"/>
          <w:i/>
        </w:rPr>
      </w:pPr>
      <w:r w:rsidRPr="00021DD2">
        <w:rPr>
          <w:rFonts w:cs="Arial"/>
          <w:i/>
        </w:rPr>
        <w:t>Convention on the Elimination of All Forms of Discrimination Against Women</w:t>
      </w:r>
    </w:p>
    <w:p w:rsidR="00EB5EEF" w:rsidRPr="00021DD2" w:rsidRDefault="00D137BC" w:rsidP="00B934D7">
      <w:pPr>
        <w:numPr>
          <w:ilvl w:val="0"/>
          <w:numId w:val="17"/>
        </w:numPr>
        <w:spacing w:before="0" w:after="0"/>
        <w:contextualSpacing/>
        <w:rPr>
          <w:rFonts w:cs="Arial"/>
        </w:rPr>
      </w:pPr>
      <w:r w:rsidRPr="00021DD2">
        <w:rPr>
          <w:rFonts w:cs="Arial"/>
          <w:i/>
        </w:rPr>
        <w:t xml:space="preserve">Convention on the Rights of Persons with Disabilities </w:t>
      </w:r>
    </w:p>
    <w:p w:rsidR="00D137BC" w:rsidRPr="00095578" w:rsidRDefault="00D137BC" w:rsidP="00B934D7">
      <w:pPr>
        <w:numPr>
          <w:ilvl w:val="0"/>
          <w:numId w:val="17"/>
        </w:numPr>
        <w:spacing w:before="0" w:after="0"/>
        <w:contextualSpacing/>
        <w:rPr>
          <w:rFonts w:cs="Arial"/>
        </w:rPr>
      </w:pPr>
      <w:r w:rsidRPr="00021DD2">
        <w:rPr>
          <w:rFonts w:cs="Arial"/>
        </w:rPr>
        <w:t>other instruments relating to hu</w:t>
      </w:r>
      <w:r w:rsidR="00095578">
        <w:rPr>
          <w:rFonts w:cs="Arial"/>
        </w:rPr>
        <w:t>man rights considered relevant.</w:t>
      </w:r>
    </w:p>
    <w:p w:rsidR="00D137BC" w:rsidRPr="00021DD2" w:rsidRDefault="00D137BC" w:rsidP="00095578">
      <w:r w:rsidRPr="00021DD2">
        <w:t xml:space="preserve">All Australian states and territories have Children’s Commissioners, Guardians or Advocates. The legislative functions of these roles differ between jurisdictions. Some have a broad focus, which include all children, whereas others have specified responsibilities relating to children who are at risk or who are vulnerable. Their primary focus is on issues concerning children within their individual jurisdictions. The National Children’s Commissioner works collaboratively with the state and territory Children’s Commissioners, Guardians and Advocates through the Australian Children’s Commissioners and Guardians Group. </w:t>
      </w:r>
    </w:p>
    <w:p w:rsidR="00D137BC" w:rsidRPr="00021DD2" w:rsidRDefault="00D137BC" w:rsidP="00D137BC">
      <w:pPr>
        <w:spacing w:before="0" w:after="0"/>
        <w:rPr>
          <w:rFonts w:cs="Arial"/>
          <w:b/>
        </w:rPr>
      </w:pPr>
      <w:r w:rsidRPr="00021DD2">
        <w:rPr>
          <w:rFonts w:cs="Arial"/>
          <w:b/>
        </w:rPr>
        <w:t>Previous roles and qualifications</w:t>
      </w:r>
    </w:p>
    <w:p w:rsidR="00D137BC" w:rsidRPr="00021DD2" w:rsidRDefault="00D137BC" w:rsidP="00095578">
      <w:r w:rsidRPr="00021DD2">
        <w:t>Commissioner Mitchell has extensive experience working with children from all types of backgrounds, including practical expertise in child protection, juvenile justice, and children’s services</w:t>
      </w:r>
      <w:r w:rsidR="004B3161" w:rsidRPr="00021DD2">
        <w:t>. Previous roles include</w:t>
      </w:r>
      <w:r w:rsidRPr="00021DD2">
        <w:t xml:space="preserve"> NSW Commissioner for Children and Young People, Executive Director of the ACT Office for Children, Youth and Family Support, Executive Director for Out-of-Home Care in the NSW Department of Community Services, and CEO of the Australian Council of Social Service.</w:t>
      </w:r>
    </w:p>
    <w:p w:rsidR="00D137BC" w:rsidRPr="00021DD2" w:rsidRDefault="00D137BC" w:rsidP="00095578">
      <w:r w:rsidRPr="00021DD2">
        <w:t>Commissioner Mitchell has qualifications in social p</w:t>
      </w:r>
      <w:r w:rsidR="004B3161" w:rsidRPr="00021DD2">
        <w:t>olicy, psychology and education,</w:t>
      </w:r>
      <w:r w:rsidRPr="00021DD2">
        <w:t xml:space="preserve"> a Bachelor of Arts from the University of Sydney, a Diploma of Education from the Sydney Teachers College, a Master of Arts (Psychology)</w:t>
      </w:r>
      <w:r w:rsidR="004B3161" w:rsidRPr="00021DD2">
        <w:t xml:space="preserve"> from the University of Sydney </w:t>
      </w:r>
      <w:r w:rsidRPr="00021DD2">
        <w:t>and a Master of Arts (Social Polic</w:t>
      </w:r>
      <w:r w:rsidR="004B3161" w:rsidRPr="00021DD2">
        <w:t>y) from the University of York</w:t>
      </w:r>
      <w:r w:rsidRPr="00021DD2">
        <w:t>.</w:t>
      </w:r>
    </w:p>
    <w:p w:rsidR="00D137BC" w:rsidRPr="00021DD2" w:rsidRDefault="00D137BC" w:rsidP="00095578">
      <w:r w:rsidRPr="00021DD2">
        <w:t xml:space="preserve">For information on the work of the National Children’s Commissioner, please visit: </w:t>
      </w:r>
      <w:hyperlink r:id="rId33" w:history="1">
        <w:r w:rsidRPr="00031450">
          <w:rPr>
            <w:rStyle w:val="Collegamentoipertestuale"/>
          </w:rPr>
          <w:t>http://www.humanrights.gov.au/our-work/childrens-rights</w:t>
        </w:r>
      </w:hyperlink>
      <w:r w:rsidRPr="00021DD2">
        <w:t xml:space="preserve">. </w:t>
      </w:r>
    </w:p>
    <w:p w:rsidR="00D137BC" w:rsidRPr="00021DD2" w:rsidRDefault="00D137BC" w:rsidP="00D137BC">
      <w:pPr>
        <w:spacing w:before="0" w:after="0"/>
        <w:rPr>
          <w:rFonts w:cs="Arial"/>
        </w:rPr>
      </w:pPr>
    </w:p>
    <w:p w:rsidR="00D137BC" w:rsidRDefault="00D137BC" w:rsidP="00D137BC">
      <w:pPr>
        <w:spacing w:before="0" w:after="0"/>
        <w:rPr>
          <w:rFonts w:cs="Arial"/>
        </w:rPr>
      </w:pPr>
    </w:p>
    <w:p w:rsidR="00095578" w:rsidRPr="00021DD2" w:rsidRDefault="00095578" w:rsidP="00D137BC">
      <w:pPr>
        <w:spacing w:before="0" w:after="0"/>
        <w:rPr>
          <w:rFonts w:cs="Arial"/>
        </w:rPr>
      </w:pPr>
    </w:p>
    <w:p w:rsidR="00D137BC" w:rsidRPr="00021DD2" w:rsidRDefault="00D137BC" w:rsidP="00D137BC">
      <w:pPr>
        <w:spacing w:before="0" w:after="0"/>
        <w:rPr>
          <w:rFonts w:cs="Arial"/>
        </w:rPr>
      </w:pPr>
      <w:r w:rsidRPr="00021DD2">
        <w:rPr>
          <w:rFonts w:cs="Arial"/>
        </w:rPr>
        <w:t>Megan Mitchell</w:t>
      </w:r>
    </w:p>
    <w:p w:rsidR="00D137BC" w:rsidRPr="00021DD2" w:rsidRDefault="00D137BC" w:rsidP="00D137BC">
      <w:pPr>
        <w:spacing w:before="0" w:after="0"/>
        <w:rPr>
          <w:rFonts w:cs="Arial"/>
          <w:i/>
        </w:rPr>
      </w:pPr>
      <w:r w:rsidRPr="00021DD2">
        <w:rPr>
          <w:rFonts w:cs="Arial"/>
          <w:i/>
        </w:rPr>
        <w:t>National Children’s Commissioner</w:t>
      </w:r>
    </w:p>
    <w:p w:rsidR="000B0677" w:rsidRPr="00021DD2" w:rsidRDefault="000B0677" w:rsidP="00F763BE">
      <w:pPr>
        <w:spacing w:before="0" w:after="0"/>
        <w:jc w:val="center"/>
        <w:rPr>
          <w:rFonts w:cs="Arial"/>
        </w:rPr>
        <w:sectPr w:rsidR="000B0677" w:rsidRPr="00021DD2" w:rsidSect="00EB5BDE">
          <w:endnotePr>
            <w:numFmt w:val="decimal"/>
            <w:numRestart w:val="eachSect"/>
          </w:endnotePr>
          <w:type w:val="continuous"/>
          <w:pgSz w:w="11906" w:h="16838" w:code="9"/>
          <w:pgMar w:top="1134" w:right="1418" w:bottom="1134" w:left="1418" w:header="709" w:footer="709" w:gutter="0"/>
          <w:cols w:space="708"/>
          <w:docGrid w:linePitch="360"/>
        </w:sectPr>
      </w:pPr>
    </w:p>
    <w:p w:rsidR="00454E92" w:rsidRPr="00021DD2" w:rsidRDefault="00454E92" w:rsidP="00D137BC">
      <w:pPr>
        <w:spacing w:before="0" w:after="0"/>
        <w:rPr>
          <w:rFonts w:cs="Arial"/>
        </w:rPr>
      </w:pPr>
    </w:p>
    <w:sdt>
      <w:sdtPr>
        <w:rPr>
          <w:rFonts w:cs="Arial"/>
          <w:b w:val="0"/>
          <w:color w:val="auto"/>
          <w:sz w:val="24"/>
          <w:lang w:val="en-AU" w:eastAsia="en-AU"/>
        </w:rPr>
        <w:id w:val="-1575654988"/>
        <w:docPartObj>
          <w:docPartGallery w:val="Table of Contents"/>
          <w:docPartUnique/>
        </w:docPartObj>
      </w:sdtPr>
      <w:sdtEndPr>
        <w:rPr>
          <w:bCs/>
          <w:noProof/>
        </w:rPr>
      </w:sdtEndPr>
      <w:sdtContent>
        <w:p w:rsidR="00454E92" w:rsidRPr="00021DD2" w:rsidRDefault="00F763BE">
          <w:pPr>
            <w:pStyle w:val="Titolosommario"/>
            <w:rPr>
              <w:rFonts w:cs="Arial"/>
            </w:rPr>
          </w:pPr>
          <w:r w:rsidRPr="00F763BE">
            <w:rPr>
              <w:rFonts w:cs="Arial"/>
              <w:color w:val="auto"/>
              <w:lang w:val="en-AU" w:eastAsia="en-AU"/>
            </w:rPr>
            <w:t>Table of</w:t>
          </w:r>
          <w:r>
            <w:rPr>
              <w:rFonts w:cs="Arial"/>
              <w:b w:val="0"/>
              <w:color w:val="auto"/>
              <w:lang w:val="en-AU" w:eastAsia="en-AU"/>
            </w:rPr>
            <w:t xml:space="preserve"> </w:t>
          </w:r>
          <w:r w:rsidR="00454E92" w:rsidRPr="00021DD2">
            <w:rPr>
              <w:rFonts w:cs="Arial"/>
            </w:rPr>
            <w:t>Contents</w:t>
          </w:r>
        </w:p>
        <w:p w:rsidR="0053159A" w:rsidRDefault="0053159A">
          <w:pPr>
            <w:pStyle w:val="Sommario1"/>
            <w:rPr>
              <w:rFonts w:asciiTheme="minorHAnsi" w:eastAsiaTheme="minorEastAsia" w:hAnsiTheme="minorHAnsi" w:cstheme="minorBidi"/>
              <w:b w:val="0"/>
              <w:lang w:val="it-IT" w:eastAsia="it-IT"/>
            </w:rPr>
          </w:pPr>
          <w:r>
            <w:rPr>
              <w:rFonts w:cs="Arial"/>
            </w:rPr>
            <w:fldChar w:fldCharType="begin"/>
          </w:r>
          <w:r>
            <w:rPr>
              <w:rFonts w:cs="Arial"/>
            </w:rPr>
            <w:instrText xml:space="preserve"> TOC \o "3-3" \h \z \t "Titolo 1;1;Titolo 6;4;4.1;2;1.1;2;2.1;2;3.1;2" </w:instrText>
          </w:r>
          <w:r>
            <w:rPr>
              <w:rFonts w:cs="Arial"/>
            </w:rPr>
            <w:fldChar w:fldCharType="separate"/>
          </w:r>
          <w:hyperlink w:anchor="_Toc500308733" w:history="1">
            <w:r w:rsidRPr="0012569F">
              <w:rPr>
                <w:rStyle w:val="Collegamentoipertestuale"/>
              </w:rPr>
              <w:t>About the National Children’s Commissioner</w:t>
            </w:r>
            <w:r>
              <w:rPr>
                <w:webHidden/>
              </w:rPr>
              <w:tab/>
            </w:r>
            <w:r>
              <w:rPr>
                <w:webHidden/>
              </w:rPr>
              <w:fldChar w:fldCharType="begin"/>
            </w:r>
            <w:r>
              <w:rPr>
                <w:webHidden/>
              </w:rPr>
              <w:instrText xml:space="preserve"> PAGEREF _Toc500308733 \h </w:instrText>
            </w:r>
            <w:r>
              <w:rPr>
                <w:webHidden/>
              </w:rPr>
            </w:r>
            <w:r>
              <w:rPr>
                <w:webHidden/>
              </w:rPr>
              <w:fldChar w:fldCharType="separate"/>
            </w:r>
            <w:r>
              <w:rPr>
                <w:webHidden/>
              </w:rPr>
              <w:t>4</w:t>
            </w:r>
            <w:r>
              <w:rPr>
                <w:webHidden/>
              </w:rPr>
              <w:fldChar w:fldCharType="end"/>
            </w:r>
          </w:hyperlink>
        </w:p>
        <w:p w:rsidR="0053159A" w:rsidRDefault="00C3029C">
          <w:pPr>
            <w:pStyle w:val="Sommario1"/>
            <w:rPr>
              <w:rFonts w:asciiTheme="minorHAnsi" w:eastAsiaTheme="minorEastAsia" w:hAnsiTheme="minorHAnsi" w:cstheme="minorBidi"/>
              <w:b w:val="0"/>
              <w:lang w:val="it-IT" w:eastAsia="it-IT"/>
            </w:rPr>
          </w:pPr>
          <w:hyperlink w:anchor="_Toc500308734" w:history="1">
            <w:r w:rsidR="0053159A" w:rsidRPr="0012569F">
              <w:rPr>
                <w:rStyle w:val="Collegamentoipertestuale"/>
                <w:rFonts w:cs="Arial"/>
              </w:rPr>
              <w:t>Overview</w:t>
            </w:r>
            <w:r w:rsidR="0053159A">
              <w:rPr>
                <w:webHidden/>
              </w:rPr>
              <w:tab/>
            </w:r>
            <w:r w:rsidR="0053159A">
              <w:rPr>
                <w:webHidden/>
              </w:rPr>
              <w:fldChar w:fldCharType="begin"/>
            </w:r>
            <w:r w:rsidR="0053159A">
              <w:rPr>
                <w:webHidden/>
              </w:rPr>
              <w:instrText xml:space="preserve"> PAGEREF _Toc500308734 \h </w:instrText>
            </w:r>
            <w:r w:rsidR="0053159A">
              <w:rPr>
                <w:webHidden/>
              </w:rPr>
            </w:r>
            <w:r w:rsidR="0053159A">
              <w:rPr>
                <w:webHidden/>
              </w:rPr>
              <w:fldChar w:fldCharType="separate"/>
            </w:r>
            <w:r w:rsidR="0053159A">
              <w:rPr>
                <w:webHidden/>
              </w:rPr>
              <w:t>9</w:t>
            </w:r>
            <w:r w:rsidR="0053159A">
              <w:rPr>
                <w:webHidden/>
              </w:rPr>
              <w:fldChar w:fldCharType="end"/>
            </w:r>
          </w:hyperlink>
        </w:p>
        <w:p w:rsidR="0053159A" w:rsidRDefault="00C3029C">
          <w:pPr>
            <w:pStyle w:val="Sommario1"/>
            <w:rPr>
              <w:rFonts w:asciiTheme="minorHAnsi" w:eastAsiaTheme="minorEastAsia" w:hAnsiTheme="minorHAnsi" w:cstheme="minorBidi"/>
              <w:b w:val="0"/>
              <w:lang w:val="it-IT" w:eastAsia="it-IT"/>
            </w:rPr>
          </w:pPr>
          <w:hyperlink w:anchor="_Toc500308735" w:history="1">
            <w:r w:rsidR="0053159A" w:rsidRPr="0012569F">
              <w:rPr>
                <w:rStyle w:val="Collegamentoipertestuale"/>
              </w:rPr>
              <w:t>Recommendations</w:t>
            </w:r>
            <w:r w:rsidR="0053159A">
              <w:rPr>
                <w:webHidden/>
              </w:rPr>
              <w:tab/>
            </w:r>
            <w:r w:rsidR="0053159A">
              <w:rPr>
                <w:webHidden/>
              </w:rPr>
              <w:fldChar w:fldCharType="begin"/>
            </w:r>
            <w:r w:rsidR="0053159A">
              <w:rPr>
                <w:webHidden/>
              </w:rPr>
              <w:instrText xml:space="preserve"> PAGEREF _Toc500308735 \h </w:instrText>
            </w:r>
            <w:r w:rsidR="0053159A">
              <w:rPr>
                <w:webHidden/>
              </w:rPr>
            </w:r>
            <w:r w:rsidR="0053159A">
              <w:rPr>
                <w:webHidden/>
              </w:rPr>
              <w:fldChar w:fldCharType="separate"/>
            </w:r>
            <w:r w:rsidR="0053159A">
              <w:rPr>
                <w:webHidden/>
              </w:rPr>
              <w:t>12</w:t>
            </w:r>
            <w:r w:rsidR="0053159A">
              <w:rPr>
                <w:webHidden/>
              </w:rPr>
              <w:fldChar w:fldCharType="end"/>
            </w:r>
          </w:hyperlink>
        </w:p>
        <w:p w:rsidR="0053159A" w:rsidRDefault="00C3029C">
          <w:pPr>
            <w:pStyle w:val="Sommario1"/>
            <w:tabs>
              <w:tab w:val="left" w:pos="1440"/>
            </w:tabs>
            <w:rPr>
              <w:rFonts w:asciiTheme="minorHAnsi" w:eastAsiaTheme="minorEastAsia" w:hAnsiTheme="minorHAnsi" w:cstheme="minorBidi"/>
              <w:b w:val="0"/>
              <w:lang w:val="it-IT" w:eastAsia="it-IT"/>
            </w:rPr>
          </w:pPr>
          <w:hyperlink w:anchor="_Toc500308736" w:history="1">
            <w:r w:rsidR="0053159A" w:rsidRPr="0012569F">
              <w:rPr>
                <w:rStyle w:val="Collegamentoipertestuale"/>
                <w:rFonts w:cs="Arial"/>
              </w:rPr>
              <w:t>Chapter 1:</w:t>
            </w:r>
            <w:r w:rsidR="0053159A">
              <w:rPr>
                <w:rFonts w:asciiTheme="minorHAnsi" w:eastAsiaTheme="minorEastAsia" w:hAnsiTheme="minorHAnsi" w:cstheme="minorBidi"/>
                <w:b w:val="0"/>
                <w:lang w:val="it-IT" w:eastAsia="it-IT"/>
              </w:rPr>
              <w:tab/>
            </w:r>
            <w:r w:rsidR="0053159A" w:rsidRPr="0012569F">
              <w:rPr>
                <w:rStyle w:val="Collegamentoipertestuale"/>
                <w:rFonts w:cs="Arial"/>
              </w:rPr>
              <w:t>Promoting discussion and awareness of children’s rights</w:t>
            </w:r>
            <w:r w:rsidR="0053159A">
              <w:rPr>
                <w:webHidden/>
              </w:rPr>
              <w:tab/>
            </w:r>
            <w:r w:rsidR="0053159A">
              <w:rPr>
                <w:webHidden/>
              </w:rPr>
              <w:fldChar w:fldCharType="begin"/>
            </w:r>
            <w:r w:rsidR="0053159A">
              <w:rPr>
                <w:webHidden/>
              </w:rPr>
              <w:instrText xml:space="preserve"> PAGEREF _Toc500308736 \h </w:instrText>
            </w:r>
            <w:r w:rsidR="0053159A">
              <w:rPr>
                <w:webHidden/>
              </w:rPr>
            </w:r>
            <w:r w:rsidR="0053159A">
              <w:rPr>
                <w:webHidden/>
              </w:rPr>
              <w:fldChar w:fldCharType="separate"/>
            </w:r>
            <w:r w:rsidR="0053159A">
              <w:rPr>
                <w:webHidden/>
              </w:rPr>
              <w:t>14</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737" w:history="1">
            <w:r w:rsidR="0053159A" w:rsidRPr="0012569F">
              <w:rPr>
                <w:rStyle w:val="Collegamentoipertestuale"/>
              </w:rPr>
              <w:t>1.1</w:t>
            </w:r>
            <w:r w:rsidR="0053159A">
              <w:rPr>
                <w:rFonts w:asciiTheme="minorHAnsi" w:eastAsiaTheme="minorEastAsia" w:hAnsiTheme="minorHAnsi" w:cstheme="minorBidi"/>
                <w:b w:val="0"/>
                <w:sz w:val="24"/>
                <w:lang w:val="it-IT" w:eastAsia="it-IT"/>
              </w:rPr>
              <w:tab/>
            </w:r>
            <w:r w:rsidR="0053159A" w:rsidRPr="0012569F">
              <w:rPr>
                <w:rStyle w:val="Collegamentoipertestuale"/>
              </w:rPr>
              <w:t>Introduction</w:t>
            </w:r>
            <w:r w:rsidR="0053159A">
              <w:rPr>
                <w:webHidden/>
              </w:rPr>
              <w:tab/>
            </w:r>
            <w:r w:rsidR="0053159A">
              <w:rPr>
                <w:webHidden/>
              </w:rPr>
              <w:fldChar w:fldCharType="begin"/>
            </w:r>
            <w:r w:rsidR="0053159A">
              <w:rPr>
                <w:webHidden/>
              </w:rPr>
              <w:instrText xml:space="preserve"> PAGEREF _Toc500308737 \h </w:instrText>
            </w:r>
            <w:r w:rsidR="0053159A">
              <w:rPr>
                <w:webHidden/>
              </w:rPr>
            </w:r>
            <w:r w:rsidR="0053159A">
              <w:rPr>
                <w:webHidden/>
              </w:rPr>
              <w:fldChar w:fldCharType="separate"/>
            </w:r>
            <w:r w:rsidR="0053159A">
              <w:rPr>
                <w:webHidden/>
              </w:rPr>
              <w:t>14</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738" w:history="1">
            <w:r w:rsidR="0053159A" w:rsidRPr="0012569F">
              <w:rPr>
                <w:rStyle w:val="Collegamentoipertestuale"/>
              </w:rPr>
              <w:t>1.2</w:t>
            </w:r>
            <w:r w:rsidR="0053159A">
              <w:rPr>
                <w:rFonts w:asciiTheme="minorHAnsi" w:eastAsiaTheme="minorEastAsia" w:hAnsiTheme="minorHAnsi" w:cstheme="minorBidi"/>
                <w:b w:val="0"/>
                <w:sz w:val="24"/>
                <w:lang w:val="it-IT" w:eastAsia="it-IT"/>
              </w:rPr>
              <w:tab/>
            </w:r>
            <w:r w:rsidR="0053159A" w:rsidRPr="0012569F">
              <w:rPr>
                <w:rStyle w:val="Collegamentoipertestuale"/>
              </w:rPr>
              <w:t>A right to be heard</w:t>
            </w:r>
            <w:r w:rsidR="0053159A">
              <w:rPr>
                <w:webHidden/>
              </w:rPr>
              <w:tab/>
            </w:r>
            <w:r w:rsidR="0053159A">
              <w:rPr>
                <w:webHidden/>
              </w:rPr>
              <w:fldChar w:fldCharType="begin"/>
            </w:r>
            <w:r w:rsidR="0053159A">
              <w:rPr>
                <w:webHidden/>
              </w:rPr>
              <w:instrText xml:space="preserve"> PAGEREF _Toc500308738 \h </w:instrText>
            </w:r>
            <w:r w:rsidR="0053159A">
              <w:rPr>
                <w:webHidden/>
              </w:rPr>
            </w:r>
            <w:r w:rsidR="0053159A">
              <w:rPr>
                <w:webHidden/>
              </w:rPr>
              <w:fldChar w:fldCharType="separate"/>
            </w:r>
            <w:r w:rsidR="0053159A">
              <w:rPr>
                <w:webHidden/>
              </w:rPr>
              <w:t>14</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39" w:history="1">
            <w:r w:rsidR="0053159A" w:rsidRPr="0012569F">
              <w:rPr>
                <w:rStyle w:val="Collegamentoipertestuale"/>
              </w:rPr>
              <w:t>(a)</w:t>
            </w:r>
            <w:r w:rsidR="0053159A">
              <w:rPr>
                <w:rFonts w:asciiTheme="minorHAnsi" w:eastAsiaTheme="minorEastAsia" w:hAnsiTheme="minorHAnsi" w:cstheme="minorBidi"/>
                <w:sz w:val="24"/>
                <w:lang w:val="it-IT" w:eastAsia="it-IT"/>
              </w:rPr>
              <w:tab/>
            </w:r>
            <w:r w:rsidR="0053159A" w:rsidRPr="0012569F">
              <w:rPr>
                <w:rStyle w:val="Collegamentoipertestuale"/>
              </w:rPr>
              <w:t>National Framework for Protecting Australia’s Children</w:t>
            </w:r>
            <w:r w:rsidR="0053159A">
              <w:rPr>
                <w:webHidden/>
              </w:rPr>
              <w:tab/>
            </w:r>
            <w:r w:rsidR="0053159A">
              <w:rPr>
                <w:webHidden/>
              </w:rPr>
              <w:fldChar w:fldCharType="begin"/>
            </w:r>
            <w:r w:rsidR="0053159A">
              <w:rPr>
                <w:webHidden/>
              </w:rPr>
              <w:instrText xml:space="preserve"> PAGEREF _Toc500308739 \h </w:instrText>
            </w:r>
            <w:r w:rsidR="0053159A">
              <w:rPr>
                <w:webHidden/>
              </w:rPr>
            </w:r>
            <w:r w:rsidR="0053159A">
              <w:rPr>
                <w:webHidden/>
              </w:rPr>
              <w:fldChar w:fldCharType="separate"/>
            </w:r>
            <w:r w:rsidR="0053159A">
              <w:rPr>
                <w:webHidden/>
              </w:rPr>
              <w:t>15</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40" w:history="1">
            <w:r w:rsidR="0053159A" w:rsidRPr="0012569F">
              <w:rPr>
                <w:rStyle w:val="Collegamentoipertestuale"/>
              </w:rPr>
              <w:t>(b)</w:t>
            </w:r>
            <w:r w:rsidR="0053159A">
              <w:rPr>
                <w:rFonts w:asciiTheme="minorHAnsi" w:eastAsiaTheme="minorEastAsia" w:hAnsiTheme="minorHAnsi" w:cstheme="minorBidi"/>
                <w:sz w:val="24"/>
                <w:lang w:val="it-IT" w:eastAsia="it-IT"/>
              </w:rPr>
              <w:tab/>
            </w:r>
            <w:r w:rsidR="0053159A" w:rsidRPr="0012569F">
              <w:rPr>
                <w:rStyle w:val="Collegamentoipertestuale"/>
              </w:rPr>
              <w:t>Children and young people from refugee, asylum seeker and migrant backgrounds</w:t>
            </w:r>
            <w:r w:rsidR="0053159A">
              <w:rPr>
                <w:webHidden/>
              </w:rPr>
              <w:tab/>
            </w:r>
            <w:r w:rsidR="0053159A">
              <w:rPr>
                <w:webHidden/>
              </w:rPr>
              <w:fldChar w:fldCharType="begin"/>
            </w:r>
            <w:r w:rsidR="0053159A">
              <w:rPr>
                <w:webHidden/>
              </w:rPr>
              <w:instrText xml:space="preserve"> PAGEREF _Toc500308740 \h </w:instrText>
            </w:r>
            <w:r w:rsidR="0053159A">
              <w:rPr>
                <w:webHidden/>
              </w:rPr>
            </w:r>
            <w:r w:rsidR="0053159A">
              <w:rPr>
                <w:webHidden/>
              </w:rPr>
              <w:fldChar w:fldCharType="separate"/>
            </w:r>
            <w:r w:rsidR="0053159A">
              <w:rPr>
                <w:webHidden/>
              </w:rPr>
              <w:t>18</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41" w:history="1">
            <w:r w:rsidR="0053159A" w:rsidRPr="0012569F">
              <w:rPr>
                <w:rStyle w:val="Collegamentoipertestuale"/>
              </w:rPr>
              <w:t>(c)</w:t>
            </w:r>
            <w:r w:rsidR="0053159A">
              <w:rPr>
                <w:rFonts w:asciiTheme="minorHAnsi" w:eastAsiaTheme="minorEastAsia" w:hAnsiTheme="minorHAnsi" w:cstheme="minorBidi"/>
                <w:sz w:val="24"/>
                <w:lang w:val="it-IT" w:eastAsia="it-IT"/>
              </w:rPr>
              <w:tab/>
            </w:r>
            <w:r w:rsidR="0053159A" w:rsidRPr="0012569F">
              <w:rPr>
                <w:rStyle w:val="Collegamentoipertestuale"/>
                <w:i/>
              </w:rPr>
              <w:t>What Matters?</w:t>
            </w:r>
            <w:r w:rsidR="0053159A" w:rsidRPr="0012569F">
              <w:rPr>
                <w:rStyle w:val="Collegamentoipertestuale"/>
              </w:rPr>
              <w:t xml:space="preserve"> writing competition</w:t>
            </w:r>
            <w:r w:rsidR="0053159A">
              <w:rPr>
                <w:webHidden/>
              </w:rPr>
              <w:tab/>
            </w:r>
            <w:r w:rsidR="0053159A">
              <w:rPr>
                <w:webHidden/>
              </w:rPr>
              <w:fldChar w:fldCharType="begin"/>
            </w:r>
            <w:r w:rsidR="0053159A">
              <w:rPr>
                <w:webHidden/>
              </w:rPr>
              <w:instrText xml:space="preserve"> PAGEREF _Toc500308741 \h </w:instrText>
            </w:r>
            <w:r w:rsidR="0053159A">
              <w:rPr>
                <w:webHidden/>
              </w:rPr>
            </w:r>
            <w:r w:rsidR="0053159A">
              <w:rPr>
                <w:webHidden/>
              </w:rPr>
              <w:fldChar w:fldCharType="separate"/>
            </w:r>
            <w:r w:rsidR="0053159A">
              <w:rPr>
                <w:webHidden/>
              </w:rPr>
              <w:t>18</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42" w:history="1">
            <w:r w:rsidR="0053159A" w:rsidRPr="0012569F">
              <w:rPr>
                <w:rStyle w:val="Collegamentoipertestuale"/>
              </w:rPr>
              <w:t>(d)</w:t>
            </w:r>
            <w:r w:rsidR="0053159A">
              <w:rPr>
                <w:rFonts w:asciiTheme="minorHAnsi" w:eastAsiaTheme="minorEastAsia" w:hAnsiTheme="minorHAnsi" w:cstheme="minorBidi"/>
                <w:sz w:val="24"/>
                <w:lang w:val="it-IT" w:eastAsia="it-IT"/>
              </w:rPr>
              <w:tab/>
            </w:r>
            <w:r w:rsidR="0053159A" w:rsidRPr="0012569F">
              <w:rPr>
                <w:rStyle w:val="Collegamentoipertestuale"/>
              </w:rPr>
              <w:t>Children’s and youth parliaments</w:t>
            </w:r>
            <w:r w:rsidR="0053159A">
              <w:rPr>
                <w:webHidden/>
              </w:rPr>
              <w:tab/>
            </w:r>
            <w:r w:rsidR="0053159A">
              <w:rPr>
                <w:webHidden/>
              </w:rPr>
              <w:fldChar w:fldCharType="begin"/>
            </w:r>
            <w:r w:rsidR="0053159A">
              <w:rPr>
                <w:webHidden/>
              </w:rPr>
              <w:instrText xml:space="preserve"> PAGEREF _Toc500308742 \h </w:instrText>
            </w:r>
            <w:r w:rsidR="0053159A">
              <w:rPr>
                <w:webHidden/>
              </w:rPr>
            </w:r>
            <w:r w:rsidR="0053159A">
              <w:rPr>
                <w:webHidden/>
              </w:rPr>
              <w:fldChar w:fldCharType="separate"/>
            </w:r>
            <w:r w:rsidR="0053159A">
              <w:rPr>
                <w:webHidden/>
              </w:rPr>
              <w:t>21</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43" w:history="1">
            <w:r w:rsidR="0053159A" w:rsidRPr="0012569F">
              <w:rPr>
                <w:rStyle w:val="Collegamentoipertestuale"/>
              </w:rPr>
              <w:t>(e)</w:t>
            </w:r>
            <w:r w:rsidR="0053159A">
              <w:rPr>
                <w:rFonts w:asciiTheme="minorHAnsi" w:eastAsiaTheme="minorEastAsia" w:hAnsiTheme="minorHAnsi" w:cstheme="minorBidi"/>
                <w:sz w:val="24"/>
                <w:lang w:val="it-IT" w:eastAsia="it-IT"/>
              </w:rPr>
              <w:tab/>
            </w:r>
            <w:r w:rsidR="0053159A" w:rsidRPr="0012569F">
              <w:rPr>
                <w:rStyle w:val="Collegamentoipertestuale"/>
              </w:rPr>
              <w:t>Young parents</w:t>
            </w:r>
            <w:r w:rsidR="0053159A">
              <w:rPr>
                <w:webHidden/>
              </w:rPr>
              <w:tab/>
            </w:r>
            <w:r w:rsidR="0053159A">
              <w:rPr>
                <w:webHidden/>
              </w:rPr>
              <w:fldChar w:fldCharType="begin"/>
            </w:r>
            <w:r w:rsidR="0053159A">
              <w:rPr>
                <w:webHidden/>
              </w:rPr>
              <w:instrText xml:space="preserve"> PAGEREF _Toc500308743 \h </w:instrText>
            </w:r>
            <w:r w:rsidR="0053159A">
              <w:rPr>
                <w:webHidden/>
              </w:rPr>
            </w:r>
            <w:r w:rsidR="0053159A">
              <w:rPr>
                <w:webHidden/>
              </w:rPr>
              <w:fldChar w:fldCharType="separate"/>
            </w:r>
            <w:r w:rsidR="0053159A">
              <w:rPr>
                <w:webHidden/>
              </w:rPr>
              <w:t>22</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744" w:history="1">
            <w:r w:rsidR="0053159A" w:rsidRPr="0012569F">
              <w:rPr>
                <w:rStyle w:val="Collegamentoipertestuale"/>
              </w:rPr>
              <w:t>1.3</w:t>
            </w:r>
            <w:r w:rsidR="0053159A">
              <w:rPr>
                <w:rFonts w:asciiTheme="minorHAnsi" w:eastAsiaTheme="minorEastAsia" w:hAnsiTheme="minorHAnsi" w:cstheme="minorBidi"/>
                <w:b w:val="0"/>
                <w:sz w:val="24"/>
                <w:lang w:val="it-IT" w:eastAsia="it-IT"/>
              </w:rPr>
              <w:tab/>
            </w:r>
            <w:r w:rsidR="0053159A" w:rsidRPr="0012569F">
              <w:rPr>
                <w:rStyle w:val="Collegamentoipertestuale"/>
              </w:rPr>
              <w:t>Freedom from violence, abuse and neglect</w:t>
            </w:r>
            <w:r w:rsidR="0053159A">
              <w:rPr>
                <w:webHidden/>
              </w:rPr>
              <w:tab/>
            </w:r>
            <w:r w:rsidR="0053159A">
              <w:rPr>
                <w:webHidden/>
              </w:rPr>
              <w:fldChar w:fldCharType="begin"/>
            </w:r>
            <w:r w:rsidR="0053159A">
              <w:rPr>
                <w:webHidden/>
              </w:rPr>
              <w:instrText xml:space="preserve"> PAGEREF _Toc500308744 \h </w:instrText>
            </w:r>
            <w:r w:rsidR="0053159A">
              <w:rPr>
                <w:webHidden/>
              </w:rPr>
            </w:r>
            <w:r w:rsidR="0053159A">
              <w:rPr>
                <w:webHidden/>
              </w:rPr>
              <w:fldChar w:fldCharType="separate"/>
            </w:r>
            <w:r w:rsidR="0053159A">
              <w:rPr>
                <w:webHidden/>
              </w:rPr>
              <w:t>22</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45" w:history="1">
            <w:r w:rsidR="0053159A" w:rsidRPr="0012569F">
              <w:rPr>
                <w:rStyle w:val="Collegamentoipertestuale"/>
              </w:rPr>
              <w:t>(a)</w:t>
            </w:r>
            <w:r w:rsidR="0053159A">
              <w:rPr>
                <w:rFonts w:asciiTheme="minorHAnsi" w:eastAsiaTheme="minorEastAsia" w:hAnsiTheme="minorHAnsi" w:cstheme="minorBidi"/>
                <w:sz w:val="24"/>
                <w:lang w:val="it-IT" w:eastAsia="it-IT"/>
              </w:rPr>
              <w:tab/>
            </w:r>
            <w:r w:rsidR="0053159A" w:rsidRPr="0012569F">
              <w:rPr>
                <w:rStyle w:val="Collegamentoipertestuale"/>
              </w:rPr>
              <w:t>Children and young people in the youth justice system</w:t>
            </w:r>
            <w:r w:rsidR="0053159A">
              <w:rPr>
                <w:webHidden/>
              </w:rPr>
              <w:tab/>
            </w:r>
            <w:r w:rsidR="0053159A">
              <w:rPr>
                <w:webHidden/>
              </w:rPr>
              <w:fldChar w:fldCharType="begin"/>
            </w:r>
            <w:r w:rsidR="0053159A">
              <w:rPr>
                <w:webHidden/>
              </w:rPr>
              <w:instrText xml:space="preserve"> PAGEREF _Toc500308745 \h </w:instrText>
            </w:r>
            <w:r w:rsidR="0053159A">
              <w:rPr>
                <w:webHidden/>
              </w:rPr>
            </w:r>
            <w:r w:rsidR="0053159A">
              <w:rPr>
                <w:webHidden/>
              </w:rPr>
              <w:fldChar w:fldCharType="separate"/>
            </w:r>
            <w:r w:rsidR="0053159A">
              <w:rPr>
                <w:webHidden/>
              </w:rPr>
              <w:t>22</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46" w:history="1">
            <w:r w:rsidR="0053159A" w:rsidRPr="0012569F">
              <w:rPr>
                <w:rStyle w:val="Collegamentoipertestuale"/>
              </w:rPr>
              <w:t>(b)</w:t>
            </w:r>
            <w:r w:rsidR="0053159A">
              <w:rPr>
                <w:rFonts w:asciiTheme="minorHAnsi" w:eastAsiaTheme="minorEastAsia" w:hAnsiTheme="minorHAnsi" w:cstheme="minorBidi"/>
                <w:sz w:val="24"/>
                <w:lang w:val="it-IT" w:eastAsia="it-IT"/>
              </w:rPr>
              <w:tab/>
            </w:r>
            <w:r w:rsidR="0053159A" w:rsidRPr="0012569F">
              <w:rPr>
                <w:rStyle w:val="Collegamentoipertestuale"/>
              </w:rPr>
              <w:t>Creating child-safe institutions</w:t>
            </w:r>
            <w:r w:rsidR="0053159A">
              <w:rPr>
                <w:webHidden/>
              </w:rPr>
              <w:tab/>
            </w:r>
            <w:r w:rsidR="0053159A">
              <w:rPr>
                <w:webHidden/>
              </w:rPr>
              <w:fldChar w:fldCharType="begin"/>
            </w:r>
            <w:r w:rsidR="0053159A">
              <w:rPr>
                <w:webHidden/>
              </w:rPr>
              <w:instrText xml:space="preserve"> PAGEREF _Toc500308746 \h </w:instrText>
            </w:r>
            <w:r w:rsidR="0053159A">
              <w:rPr>
                <w:webHidden/>
              </w:rPr>
            </w:r>
            <w:r w:rsidR="0053159A">
              <w:rPr>
                <w:webHidden/>
              </w:rPr>
              <w:fldChar w:fldCharType="separate"/>
            </w:r>
            <w:r w:rsidR="0053159A">
              <w:rPr>
                <w:webHidden/>
              </w:rPr>
              <w:t>24</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47" w:history="1">
            <w:r w:rsidR="0053159A" w:rsidRPr="0012569F">
              <w:rPr>
                <w:rStyle w:val="Collegamentoipertestuale"/>
              </w:rPr>
              <w:t>(c)</w:t>
            </w:r>
            <w:r w:rsidR="0053159A">
              <w:rPr>
                <w:rFonts w:asciiTheme="minorHAnsi" w:eastAsiaTheme="minorEastAsia" w:hAnsiTheme="minorHAnsi" w:cstheme="minorBidi"/>
                <w:sz w:val="24"/>
                <w:lang w:val="it-IT" w:eastAsia="it-IT"/>
              </w:rPr>
              <w:tab/>
            </w:r>
            <w:r w:rsidR="0053159A" w:rsidRPr="0012569F">
              <w:rPr>
                <w:rStyle w:val="Collegamentoipertestuale"/>
              </w:rPr>
              <w:t>The impact of family and domestic violence on children and young people</w:t>
            </w:r>
            <w:r w:rsidR="0053159A">
              <w:rPr>
                <w:webHidden/>
              </w:rPr>
              <w:tab/>
            </w:r>
            <w:r w:rsidR="0053159A">
              <w:rPr>
                <w:webHidden/>
              </w:rPr>
              <w:fldChar w:fldCharType="begin"/>
            </w:r>
            <w:r w:rsidR="0053159A">
              <w:rPr>
                <w:webHidden/>
              </w:rPr>
              <w:instrText xml:space="preserve"> PAGEREF _Toc500308747 \h </w:instrText>
            </w:r>
            <w:r w:rsidR="0053159A">
              <w:rPr>
                <w:webHidden/>
              </w:rPr>
            </w:r>
            <w:r w:rsidR="0053159A">
              <w:rPr>
                <w:webHidden/>
              </w:rPr>
              <w:fldChar w:fldCharType="separate"/>
            </w:r>
            <w:r w:rsidR="0053159A">
              <w:rPr>
                <w:webHidden/>
              </w:rPr>
              <w:t>24</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48" w:history="1">
            <w:r w:rsidR="0053159A" w:rsidRPr="0012569F">
              <w:rPr>
                <w:rStyle w:val="Collegamentoipertestuale"/>
              </w:rPr>
              <w:t>(d)</w:t>
            </w:r>
            <w:r w:rsidR="0053159A">
              <w:rPr>
                <w:rFonts w:asciiTheme="minorHAnsi" w:eastAsiaTheme="minorEastAsia" w:hAnsiTheme="minorHAnsi" w:cstheme="minorBidi"/>
                <w:sz w:val="24"/>
                <w:lang w:val="it-IT" w:eastAsia="it-IT"/>
              </w:rPr>
              <w:tab/>
            </w:r>
            <w:r w:rsidR="0053159A" w:rsidRPr="0012569F">
              <w:rPr>
                <w:rStyle w:val="Collegamentoipertestuale"/>
              </w:rPr>
              <w:t>Self-harm and suicidal behaviour</w:t>
            </w:r>
            <w:r w:rsidR="0053159A">
              <w:rPr>
                <w:webHidden/>
              </w:rPr>
              <w:tab/>
            </w:r>
            <w:r w:rsidR="0053159A">
              <w:rPr>
                <w:webHidden/>
              </w:rPr>
              <w:fldChar w:fldCharType="begin"/>
            </w:r>
            <w:r w:rsidR="0053159A">
              <w:rPr>
                <w:webHidden/>
              </w:rPr>
              <w:instrText xml:space="preserve"> PAGEREF _Toc500308748 \h </w:instrText>
            </w:r>
            <w:r w:rsidR="0053159A">
              <w:rPr>
                <w:webHidden/>
              </w:rPr>
            </w:r>
            <w:r w:rsidR="0053159A">
              <w:rPr>
                <w:webHidden/>
              </w:rPr>
              <w:fldChar w:fldCharType="separate"/>
            </w:r>
            <w:r w:rsidR="0053159A">
              <w:rPr>
                <w:webHidden/>
              </w:rPr>
              <w:t>28</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49" w:history="1">
            <w:r w:rsidR="0053159A" w:rsidRPr="0012569F">
              <w:rPr>
                <w:rStyle w:val="Collegamentoipertestuale"/>
              </w:rPr>
              <w:t>(e)</w:t>
            </w:r>
            <w:r w:rsidR="0053159A">
              <w:rPr>
                <w:rFonts w:asciiTheme="minorHAnsi" w:eastAsiaTheme="minorEastAsia" w:hAnsiTheme="minorHAnsi" w:cstheme="minorBidi"/>
                <w:sz w:val="24"/>
                <w:lang w:val="it-IT" w:eastAsia="it-IT"/>
              </w:rPr>
              <w:tab/>
            </w:r>
            <w:r w:rsidR="0053159A" w:rsidRPr="0012569F">
              <w:rPr>
                <w:rStyle w:val="Collegamentoipertestuale"/>
              </w:rPr>
              <w:t>Harmful sexual behaviours</w:t>
            </w:r>
            <w:r w:rsidR="0053159A">
              <w:rPr>
                <w:webHidden/>
              </w:rPr>
              <w:tab/>
            </w:r>
            <w:r w:rsidR="0053159A">
              <w:rPr>
                <w:webHidden/>
              </w:rPr>
              <w:fldChar w:fldCharType="begin"/>
            </w:r>
            <w:r w:rsidR="0053159A">
              <w:rPr>
                <w:webHidden/>
              </w:rPr>
              <w:instrText xml:space="preserve"> PAGEREF _Toc500308749 \h </w:instrText>
            </w:r>
            <w:r w:rsidR="0053159A">
              <w:rPr>
                <w:webHidden/>
              </w:rPr>
            </w:r>
            <w:r w:rsidR="0053159A">
              <w:rPr>
                <w:webHidden/>
              </w:rPr>
              <w:fldChar w:fldCharType="separate"/>
            </w:r>
            <w:r w:rsidR="0053159A">
              <w:rPr>
                <w:webHidden/>
              </w:rPr>
              <w:t>29</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750" w:history="1">
            <w:r w:rsidR="0053159A" w:rsidRPr="0012569F">
              <w:rPr>
                <w:rStyle w:val="Collegamentoipertestuale"/>
              </w:rPr>
              <w:t>1.4</w:t>
            </w:r>
            <w:r w:rsidR="0053159A">
              <w:rPr>
                <w:rFonts w:asciiTheme="minorHAnsi" w:eastAsiaTheme="minorEastAsia" w:hAnsiTheme="minorHAnsi" w:cstheme="minorBidi"/>
                <w:b w:val="0"/>
                <w:sz w:val="24"/>
                <w:lang w:val="it-IT" w:eastAsia="it-IT"/>
              </w:rPr>
              <w:tab/>
            </w:r>
            <w:r w:rsidR="0053159A" w:rsidRPr="0012569F">
              <w:rPr>
                <w:rStyle w:val="Collegamentoipertestuale"/>
              </w:rPr>
              <w:t>The opportunity to thrive</w:t>
            </w:r>
            <w:r w:rsidR="0053159A">
              <w:rPr>
                <w:webHidden/>
              </w:rPr>
              <w:tab/>
            </w:r>
            <w:r w:rsidR="0053159A">
              <w:rPr>
                <w:webHidden/>
              </w:rPr>
              <w:fldChar w:fldCharType="begin"/>
            </w:r>
            <w:r w:rsidR="0053159A">
              <w:rPr>
                <w:webHidden/>
              </w:rPr>
              <w:instrText xml:space="preserve"> PAGEREF _Toc500308750 \h </w:instrText>
            </w:r>
            <w:r w:rsidR="0053159A">
              <w:rPr>
                <w:webHidden/>
              </w:rPr>
            </w:r>
            <w:r w:rsidR="0053159A">
              <w:rPr>
                <w:webHidden/>
              </w:rPr>
              <w:fldChar w:fldCharType="separate"/>
            </w:r>
            <w:r w:rsidR="0053159A">
              <w:rPr>
                <w:webHidden/>
              </w:rPr>
              <w:t>29</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51" w:history="1">
            <w:r w:rsidR="0053159A" w:rsidRPr="0012569F">
              <w:rPr>
                <w:rStyle w:val="Collegamentoipertestuale"/>
              </w:rPr>
              <w:t>(a)</w:t>
            </w:r>
            <w:r w:rsidR="0053159A">
              <w:rPr>
                <w:rFonts w:asciiTheme="minorHAnsi" w:eastAsiaTheme="minorEastAsia" w:hAnsiTheme="minorHAnsi" w:cstheme="minorBidi"/>
                <w:sz w:val="24"/>
                <w:lang w:val="it-IT" w:eastAsia="it-IT"/>
              </w:rPr>
              <w:tab/>
            </w:r>
            <w:r w:rsidR="0053159A" w:rsidRPr="0012569F">
              <w:rPr>
                <w:rStyle w:val="Collegamentoipertestuale"/>
              </w:rPr>
              <w:t>Identity documents for children and young people in out-of-home care</w:t>
            </w:r>
            <w:r w:rsidR="0053159A">
              <w:rPr>
                <w:webHidden/>
              </w:rPr>
              <w:tab/>
            </w:r>
            <w:r w:rsidR="0053159A">
              <w:rPr>
                <w:webHidden/>
              </w:rPr>
              <w:fldChar w:fldCharType="begin"/>
            </w:r>
            <w:r w:rsidR="0053159A">
              <w:rPr>
                <w:webHidden/>
              </w:rPr>
              <w:instrText xml:space="preserve"> PAGEREF _Toc500308751 \h </w:instrText>
            </w:r>
            <w:r w:rsidR="0053159A">
              <w:rPr>
                <w:webHidden/>
              </w:rPr>
            </w:r>
            <w:r w:rsidR="0053159A">
              <w:rPr>
                <w:webHidden/>
              </w:rPr>
              <w:fldChar w:fldCharType="separate"/>
            </w:r>
            <w:r w:rsidR="0053159A">
              <w:rPr>
                <w:webHidden/>
              </w:rPr>
              <w:t>29</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52" w:history="1">
            <w:r w:rsidR="0053159A" w:rsidRPr="0012569F">
              <w:rPr>
                <w:rStyle w:val="Collegamentoipertestuale"/>
              </w:rPr>
              <w:t>(b)</w:t>
            </w:r>
            <w:r w:rsidR="0053159A">
              <w:rPr>
                <w:rFonts w:asciiTheme="minorHAnsi" w:eastAsiaTheme="minorEastAsia" w:hAnsiTheme="minorHAnsi" w:cstheme="minorBidi"/>
                <w:sz w:val="24"/>
                <w:lang w:val="it-IT" w:eastAsia="it-IT"/>
              </w:rPr>
              <w:tab/>
            </w:r>
            <w:r w:rsidR="0053159A" w:rsidRPr="0012569F">
              <w:rPr>
                <w:rStyle w:val="Collegamentoipertestuale"/>
              </w:rPr>
              <w:t>Creating safe digital environments for children and young people</w:t>
            </w:r>
            <w:r w:rsidR="0053159A">
              <w:rPr>
                <w:webHidden/>
              </w:rPr>
              <w:tab/>
            </w:r>
            <w:r w:rsidR="0053159A">
              <w:rPr>
                <w:webHidden/>
              </w:rPr>
              <w:fldChar w:fldCharType="begin"/>
            </w:r>
            <w:r w:rsidR="0053159A">
              <w:rPr>
                <w:webHidden/>
              </w:rPr>
              <w:instrText xml:space="preserve"> PAGEREF _Toc500308752 \h </w:instrText>
            </w:r>
            <w:r w:rsidR="0053159A">
              <w:rPr>
                <w:webHidden/>
              </w:rPr>
            </w:r>
            <w:r w:rsidR="0053159A">
              <w:rPr>
                <w:webHidden/>
              </w:rPr>
              <w:fldChar w:fldCharType="separate"/>
            </w:r>
            <w:r w:rsidR="0053159A">
              <w:rPr>
                <w:webHidden/>
              </w:rPr>
              <w:t>30</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53" w:history="1">
            <w:r w:rsidR="0053159A" w:rsidRPr="0012569F">
              <w:rPr>
                <w:rStyle w:val="Collegamentoipertestuale"/>
              </w:rPr>
              <w:t>(c)</w:t>
            </w:r>
            <w:r w:rsidR="0053159A">
              <w:rPr>
                <w:rFonts w:asciiTheme="minorHAnsi" w:eastAsiaTheme="minorEastAsia" w:hAnsiTheme="minorHAnsi" w:cstheme="minorBidi"/>
                <w:sz w:val="24"/>
                <w:lang w:val="it-IT" w:eastAsia="it-IT"/>
              </w:rPr>
              <w:tab/>
            </w:r>
            <w:r w:rsidR="0053159A" w:rsidRPr="0012569F">
              <w:rPr>
                <w:rStyle w:val="Collegamentoipertestuale"/>
              </w:rPr>
              <w:t>Supporting improved outcomes for Aboriginal and Torres Strait Islander children and young people</w:t>
            </w:r>
            <w:r w:rsidR="0053159A">
              <w:rPr>
                <w:webHidden/>
              </w:rPr>
              <w:tab/>
            </w:r>
            <w:r w:rsidR="0053159A">
              <w:rPr>
                <w:webHidden/>
              </w:rPr>
              <w:fldChar w:fldCharType="begin"/>
            </w:r>
            <w:r w:rsidR="0053159A">
              <w:rPr>
                <w:webHidden/>
              </w:rPr>
              <w:instrText xml:space="preserve"> PAGEREF _Toc500308753 \h </w:instrText>
            </w:r>
            <w:r w:rsidR="0053159A">
              <w:rPr>
                <w:webHidden/>
              </w:rPr>
            </w:r>
            <w:r w:rsidR="0053159A">
              <w:rPr>
                <w:webHidden/>
              </w:rPr>
              <w:fldChar w:fldCharType="separate"/>
            </w:r>
            <w:r w:rsidR="0053159A">
              <w:rPr>
                <w:webHidden/>
              </w:rPr>
              <w:t>31</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54" w:history="1">
            <w:r w:rsidR="0053159A" w:rsidRPr="0012569F">
              <w:rPr>
                <w:rStyle w:val="Collegamentoipertestuale"/>
              </w:rPr>
              <w:t>(d)</w:t>
            </w:r>
            <w:r w:rsidR="0053159A">
              <w:rPr>
                <w:rFonts w:asciiTheme="minorHAnsi" w:eastAsiaTheme="minorEastAsia" w:hAnsiTheme="minorHAnsi" w:cstheme="minorBidi"/>
                <w:sz w:val="24"/>
                <w:lang w:val="it-IT" w:eastAsia="it-IT"/>
              </w:rPr>
              <w:tab/>
            </w:r>
            <w:r w:rsidR="0053159A" w:rsidRPr="0012569F">
              <w:rPr>
                <w:rStyle w:val="Collegamentoipertestuale"/>
              </w:rPr>
              <w:t>Children involved in the family law and child protection systems</w:t>
            </w:r>
            <w:r w:rsidR="0053159A">
              <w:rPr>
                <w:webHidden/>
              </w:rPr>
              <w:tab/>
            </w:r>
            <w:r w:rsidR="0053159A">
              <w:rPr>
                <w:webHidden/>
              </w:rPr>
              <w:fldChar w:fldCharType="begin"/>
            </w:r>
            <w:r w:rsidR="0053159A">
              <w:rPr>
                <w:webHidden/>
              </w:rPr>
              <w:instrText xml:space="preserve"> PAGEREF _Toc500308754 \h </w:instrText>
            </w:r>
            <w:r w:rsidR="0053159A">
              <w:rPr>
                <w:webHidden/>
              </w:rPr>
            </w:r>
            <w:r w:rsidR="0053159A">
              <w:rPr>
                <w:webHidden/>
              </w:rPr>
              <w:fldChar w:fldCharType="separate"/>
            </w:r>
            <w:r w:rsidR="0053159A">
              <w:rPr>
                <w:webHidden/>
              </w:rPr>
              <w:t>32</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55" w:history="1">
            <w:r w:rsidR="0053159A" w:rsidRPr="0012569F">
              <w:rPr>
                <w:rStyle w:val="Collegamentoipertestuale"/>
              </w:rPr>
              <w:t>(e)</w:t>
            </w:r>
            <w:r w:rsidR="0053159A">
              <w:rPr>
                <w:rFonts w:asciiTheme="minorHAnsi" w:eastAsiaTheme="minorEastAsia" w:hAnsiTheme="minorHAnsi" w:cstheme="minorBidi"/>
                <w:sz w:val="24"/>
                <w:lang w:val="it-IT" w:eastAsia="it-IT"/>
              </w:rPr>
              <w:tab/>
            </w:r>
            <w:r w:rsidR="0053159A" w:rsidRPr="0012569F">
              <w:rPr>
                <w:rStyle w:val="Collegamentoipertestuale"/>
              </w:rPr>
              <w:t>Early intervention and prevention</w:t>
            </w:r>
            <w:r w:rsidR="0053159A">
              <w:rPr>
                <w:webHidden/>
              </w:rPr>
              <w:tab/>
            </w:r>
            <w:r w:rsidR="0053159A">
              <w:rPr>
                <w:webHidden/>
              </w:rPr>
              <w:fldChar w:fldCharType="begin"/>
            </w:r>
            <w:r w:rsidR="0053159A">
              <w:rPr>
                <w:webHidden/>
              </w:rPr>
              <w:instrText xml:space="preserve"> PAGEREF _Toc500308755 \h </w:instrText>
            </w:r>
            <w:r w:rsidR="0053159A">
              <w:rPr>
                <w:webHidden/>
              </w:rPr>
            </w:r>
            <w:r w:rsidR="0053159A">
              <w:rPr>
                <w:webHidden/>
              </w:rPr>
              <w:fldChar w:fldCharType="separate"/>
            </w:r>
            <w:r w:rsidR="0053159A">
              <w:rPr>
                <w:webHidden/>
              </w:rPr>
              <w:t>33</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56" w:history="1">
            <w:r w:rsidR="0053159A" w:rsidRPr="0012569F">
              <w:rPr>
                <w:rStyle w:val="Collegamentoipertestuale"/>
              </w:rPr>
              <w:t>(f)</w:t>
            </w:r>
            <w:r w:rsidR="0053159A">
              <w:rPr>
                <w:rFonts w:asciiTheme="minorHAnsi" w:eastAsiaTheme="minorEastAsia" w:hAnsiTheme="minorHAnsi" w:cstheme="minorBidi"/>
                <w:sz w:val="24"/>
                <w:lang w:val="it-IT" w:eastAsia="it-IT"/>
              </w:rPr>
              <w:tab/>
            </w:r>
            <w:r w:rsidR="0053159A" w:rsidRPr="0012569F">
              <w:rPr>
                <w:rStyle w:val="Collegamentoipertestuale"/>
              </w:rPr>
              <w:t>Children transitioning from care into adulthood</w:t>
            </w:r>
            <w:r w:rsidR="0053159A">
              <w:rPr>
                <w:webHidden/>
              </w:rPr>
              <w:tab/>
            </w:r>
            <w:r w:rsidR="0053159A">
              <w:rPr>
                <w:webHidden/>
              </w:rPr>
              <w:fldChar w:fldCharType="begin"/>
            </w:r>
            <w:r w:rsidR="0053159A">
              <w:rPr>
                <w:webHidden/>
              </w:rPr>
              <w:instrText xml:space="preserve"> PAGEREF _Toc500308756 \h </w:instrText>
            </w:r>
            <w:r w:rsidR="0053159A">
              <w:rPr>
                <w:webHidden/>
              </w:rPr>
            </w:r>
            <w:r w:rsidR="0053159A">
              <w:rPr>
                <w:webHidden/>
              </w:rPr>
              <w:fldChar w:fldCharType="separate"/>
            </w:r>
            <w:r w:rsidR="0053159A">
              <w:rPr>
                <w:webHidden/>
              </w:rPr>
              <w:t>34</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57" w:history="1">
            <w:r w:rsidR="0053159A" w:rsidRPr="0012569F">
              <w:rPr>
                <w:rStyle w:val="Collegamentoipertestuale"/>
              </w:rPr>
              <w:t>(g)</w:t>
            </w:r>
            <w:r w:rsidR="0053159A">
              <w:rPr>
                <w:rFonts w:asciiTheme="minorHAnsi" w:eastAsiaTheme="minorEastAsia" w:hAnsiTheme="minorHAnsi" w:cstheme="minorBidi"/>
                <w:sz w:val="24"/>
                <w:lang w:val="it-IT" w:eastAsia="it-IT"/>
              </w:rPr>
              <w:tab/>
            </w:r>
            <w:r w:rsidR="0053159A" w:rsidRPr="0012569F">
              <w:rPr>
                <w:rStyle w:val="Collegamentoipertestuale"/>
              </w:rPr>
              <w:t>Asylum seeker children</w:t>
            </w:r>
            <w:r w:rsidR="0053159A">
              <w:rPr>
                <w:webHidden/>
              </w:rPr>
              <w:tab/>
            </w:r>
            <w:r w:rsidR="0053159A">
              <w:rPr>
                <w:webHidden/>
              </w:rPr>
              <w:fldChar w:fldCharType="begin"/>
            </w:r>
            <w:r w:rsidR="0053159A">
              <w:rPr>
                <w:webHidden/>
              </w:rPr>
              <w:instrText xml:space="preserve"> PAGEREF _Toc500308757 \h </w:instrText>
            </w:r>
            <w:r w:rsidR="0053159A">
              <w:rPr>
                <w:webHidden/>
              </w:rPr>
            </w:r>
            <w:r w:rsidR="0053159A">
              <w:rPr>
                <w:webHidden/>
              </w:rPr>
              <w:fldChar w:fldCharType="separate"/>
            </w:r>
            <w:r w:rsidR="0053159A">
              <w:rPr>
                <w:webHidden/>
              </w:rPr>
              <w:t>35</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58" w:history="1">
            <w:r w:rsidR="0053159A" w:rsidRPr="0012569F">
              <w:rPr>
                <w:rStyle w:val="Collegamentoipertestuale"/>
              </w:rPr>
              <w:t>(h)</w:t>
            </w:r>
            <w:r w:rsidR="0053159A">
              <w:rPr>
                <w:rFonts w:asciiTheme="minorHAnsi" w:eastAsiaTheme="minorEastAsia" w:hAnsiTheme="minorHAnsi" w:cstheme="minorBidi"/>
                <w:sz w:val="24"/>
                <w:lang w:val="it-IT" w:eastAsia="it-IT"/>
              </w:rPr>
              <w:tab/>
            </w:r>
            <w:r w:rsidR="0053159A" w:rsidRPr="0012569F">
              <w:rPr>
                <w:rStyle w:val="Collegamentoipertestuale"/>
              </w:rPr>
              <w:t>Access to services for isolated children</w:t>
            </w:r>
            <w:r w:rsidR="0053159A">
              <w:rPr>
                <w:webHidden/>
              </w:rPr>
              <w:tab/>
            </w:r>
            <w:r w:rsidR="0053159A">
              <w:rPr>
                <w:webHidden/>
              </w:rPr>
              <w:fldChar w:fldCharType="begin"/>
            </w:r>
            <w:r w:rsidR="0053159A">
              <w:rPr>
                <w:webHidden/>
              </w:rPr>
              <w:instrText xml:space="preserve"> PAGEREF _Toc500308758 \h </w:instrText>
            </w:r>
            <w:r w:rsidR="0053159A">
              <w:rPr>
                <w:webHidden/>
              </w:rPr>
            </w:r>
            <w:r w:rsidR="0053159A">
              <w:rPr>
                <w:webHidden/>
              </w:rPr>
              <w:fldChar w:fldCharType="separate"/>
            </w:r>
            <w:r w:rsidR="0053159A">
              <w:rPr>
                <w:webHidden/>
              </w:rPr>
              <w:t>36</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59" w:history="1">
            <w:r w:rsidR="0053159A" w:rsidRPr="0012569F">
              <w:rPr>
                <w:rStyle w:val="Collegamentoipertestuale"/>
              </w:rPr>
              <w:t>(i)</w:t>
            </w:r>
            <w:r w:rsidR="0053159A">
              <w:rPr>
                <w:rFonts w:asciiTheme="minorHAnsi" w:eastAsiaTheme="minorEastAsia" w:hAnsiTheme="minorHAnsi" w:cstheme="minorBidi"/>
                <w:sz w:val="24"/>
                <w:lang w:val="it-IT" w:eastAsia="it-IT"/>
              </w:rPr>
              <w:tab/>
            </w:r>
            <w:r w:rsidR="0053159A" w:rsidRPr="0012569F">
              <w:rPr>
                <w:rStyle w:val="Collegamentoipertestuale"/>
              </w:rPr>
              <w:t>Young workers</w:t>
            </w:r>
            <w:r w:rsidR="0053159A">
              <w:rPr>
                <w:webHidden/>
              </w:rPr>
              <w:tab/>
            </w:r>
            <w:r w:rsidR="0053159A">
              <w:rPr>
                <w:webHidden/>
              </w:rPr>
              <w:fldChar w:fldCharType="begin"/>
            </w:r>
            <w:r w:rsidR="0053159A">
              <w:rPr>
                <w:webHidden/>
              </w:rPr>
              <w:instrText xml:space="preserve"> PAGEREF _Toc500308759 \h </w:instrText>
            </w:r>
            <w:r w:rsidR="0053159A">
              <w:rPr>
                <w:webHidden/>
              </w:rPr>
            </w:r>
            <w:r w:rsidR="0053159A">
              <w:rPr>
                <w:webHidden/>
              </w:rPr>
              <w:fldChar w:fldCharType="separate"/>
            </w:r>
            <w:r w:rsidR="0053159A">
              <w:rPr>
                <w:webHidden/>
              </w:rPr>
              <w:t>36</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760" w:history="1">
            <w:r w:rsidR="0053159A" w:rsidRPr="0012569F">
              <w:rPr>
                <w:rStyle w:val="Collegamentoipertestuale"/>
              </w:rPr>
              <w:t>1.5</w:t>
            </w:r>
            <w:r w:rsidR="0053159A">
              <w:rPr>
                <w:rFonts w:asciiTheme="minorHAnsi" w:eastAsiaTheme="minorEastAsia" w:hAnsiTheme="minorHAnsi" w:cstheme="minorBidi"/>
                <w:b w:val="0"/>
                <w:sz w:val="24"/>
                <w:lang w:val="it-IT" w:eastAsia="it-IT"/>
              </w:rPr>
              <w:tab/>
            </w:r>
            <w:r w:rsidR="0053159A" w:rsidRPr="0012569F">
              <w:rPr>
                <w:rStyle w:val="Collegamentoipertestuale"/>
              </w:rPr>
              <w:t>Engaged citizenship</w:t>
            </w:r>
            <w:r w:rsidR="0053159A">
              <w:rPr>
                <w:webHidden/>
              </w:rPr>
              <w:tab/>
            </w:r>
            <w:r w:rsidR="0053159A">
              <w:rPr>
                <w:webHidden/>
              </w:rPr>
              <w:fldChar w:fldCharType="begin"/>
            </w:r>
            <w:r w:rsidR="0053159A">
              <w:rPr>
                <w:webHidden/>
              </w:rPr>
              <w:instrText xml:space="preserve"> PAGEREF _Toc500308760 \h </w:instrText>
            </w:r>
            <w:r w:rsidR="0053159A">
              <w:rPr>
                <w:webHidden/>
              </w:rPr>
            </w:r>
            <w:r w:rsidR="0053159A">
              <w:rPr>
                <w:webHidden/>
              </w:rPr>
              <w:fldChar w:fldCharType="separate"/>
            </w:r>
            <w:r w:rsidR="0053159A">
              <w:rPr>
                <w:webHidden/>
              </w:rPr>
              <w:t>37</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61" w:history="1">
            <w:r w:rsidR="0053159A" w:rsidRPr="0012569F">
              <w:rPr>
                <w:rStyle w:val="Collegamentoipertestuale"/>
              </w:rPr>
              <w:t>(a)</w:t>
            </w:r>
            <w:r w:rsidR="0053159A">
              <w:rPr>
                <w:rFonts w:asciiTheme="minorHAnsi" w:eastAsiaTheme="minorEastAsia" w:hAnsiTheme="minorHAnsi" w:cstheme="minorBidi"/>
                <w:sz w:val="24"/>
                <w:lang w:val="it-IT" w:eastAsia="it-IT"/>
              </w:rPr>
              <w:tab/>
            </w:r>
            <w:r w:rsidR="0053159A" w:rsidRPr="0012569F">
              <w:rPr>
                <w:rStyle w:val="Collegamentoipertestuale"/>
              </w:rPr>
              <w:t>Encouraging human rights education</w:t>
            </w:r>
            <w:r w:rsidR="0053159A">
              <w:rPr>
                <w:webHidden/>
              </w:rPr>
              <w:tab/>
            </w:r>
            <w:r w:rsidR="0053159A">
              <w:rPr>
                <w:webHidden/>
              </w:rPr>
              <w:fldChar w:fldCharType="begin"/>
            </w:r>
            <w:r w:rsidR="0053159A">
              <w:rPr>
                <w:webHidden/>
              </w:rPr>
              <w:instrText xml:space="preserve"> PAGEREF _Toc500308761 \h </w:instrText>
            </w:r>
            <w:r w:rsidR="0053159A">
              <w:rPr>
                <w:webHidden/>
              </w:rPr>
            </w:r>
            <w:r w:rsidR="0053159A">
              <w:rPr>
                <w:webHidden/>
              </w:rPr>
              <w:fldChar w:fldCharType="separate"/>
            </w:r>
            <w:r w:rsidR="0053159A">
              <w:rPr>
                <w:webHidden/>
              </w:rPr>
              <w:t>37</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62" w:history="1">
            <w:r w:rsidR="0053159A" w:rsidRPr="0012569F">
              <w:rPr>
                <w:rStyle w:val="Collegamentoipertestuale"/>
              </w:rPr>
              <w:t>(b)</w:t>
            </w:r>
            <w:r w:rsidR="0053159A">
              <w:rPr>
                <w:rFonts w:asciiTheme="minorHAnsi" w:eastAsiaTheme="minorEastAsia" w:hAnsiTheme="minorHAnsi" w:cstheme="minorBidi"/>
                <w:sz w:val="24"/>
                <w:lang w:val="it-IT" w:eastAsia="it-IT"/>
              </w:rPr>
              <w:tab/>
            </w:r>
            <w:r w:rsidR="0053159A" w:rsidRPr="0012569F">
              <w:rPr>
                <w:rStyle w:val="Collegamentoipertestuale"/>
              </w:rPr>
              <w:t>Children’s Week 2017</w:t>
            </w:r>
            <w:r w:rsidR="0053159A">
              <w:rPr>
                <w:webHidden/>
              </w:rPr>
              <w:tab/>
            </w:r>
            <w:r w:rsidR="0053159A">
              <w:rPr>
                <w:webHidden/>
              </w:rPr>
              <w:fldChar w:fldCharType="begin"/>
            </w:r>
            <w:r w:rsidR="0053159A">
              <w:rPr>
                <w:webHidden/>
              </w:rPr>
              <w:instrText xml:space="preserve"> PAGEREF _Toc500308762 \h </w:instrText>
            </w:r>
            <w:r w:rsidR="0053159A">
              <w:rPr>
                <w:webHidden/>
              </w:rPr>
            </w:r>
            <w:r w:rsidR="0053159A">
              <w:rPr>
                <w:webHidden/>
              </w:rPr>
              <w:fldChar w:fldCharType="separate"/>
            </w:r>
            <w:r w:rsidR="0053159A">
              <w:rPr>
                <w:webHidden/>
              </w:rPr>
              <w:t>37</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763" w:history="1">
            <w:r w:rsidR="0053159A" w:rsidRPr="0012569F">
              <w:rPr>
                <w:rStyle w:val="Collegamentoipertestuale"/>
              </w:rPr>
              <w:t>1.6</w:t>
            </w:r>
            <w:r w:rsidR="0053159A">
              <w:rPr>
                <w:rFonts w:asciiTheme="minorHAnsi" w:eastAsiaTheme="minorEastAsia" w:hAnsiTheme="minorHAnsi" w:cstheme="minorBidi"/>
                <w:b w:val="0"/>
                <w:sz w:val="24"/>
                <w:lang w:val="it-IT" w:eastAsia="it-IT"/>
              </w:rPr>
              <w:tab/>
            </w:r>
            <w:r w:rsidR="0053159A" w:rsidRPr="0012569F">
              <w:rPr>
                <w:rStyle w:val="Collegamentoipertestuale"/>
              </w:rPr>
              <w:t>Action and accountability</w:t>
            </w:r>
            <w:r w:rsidR="0053159A">
              <w:rPr>
                <w:webHidden/>
              </w:rPr>
              <w:tab/>
            </w:r>
            <w:r w:rsidR="0053159A">
              <w:rPr>
                <w:webHidden/>
              </w:rPr>
              <w:fldChar w:fldCharType="begin"/>
            </w:r>
            <w:r w:rsidR="0053159A">
              <w:rPr>
                <w:webHidden/>
              </w:rPr>
              <w:instrText xml:space="preserve"> PAGEREF _Toc500308763 \h </w:instrText>
            </w:r>
            <w:r w:rsidR="0053159A">
              <w:rPr>
                <w:webHidden/>
              </w:rPr>
            </w:r>
            <w:r w:rsidR="0053159A">
              <w:rPr>
                <w:webHidden/>
              </w:rPr>
              <w:fldChar w:fldCharType="separate"/>
            </w:r>
            <w:r w:rsidR="0053159A">
              <w:rPr>
                <w:webHidden/>
              </w:rPr>
              <w:t>38</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64" w:history="1">
            <w:r w:rsidR="0053159A" w:rsidRPr="0012569F">
              <w:rPr>
                <w:rStyle w:val="Collegamentoipertestuale"/>
              </w:rPr>
              <w:t>(a)</w:t>
            </w:r>
            <w:r w:rsidR="0053159A">
              <w:rPr>
                <w:rFonts w:asciiTheme="minorHAnsi" w:eastAsiaTheme="minorEastAsia" w:hAnsiTheme="minorHAnsi" w:cstheme="minorBidi"/>
                <w:sz w:val="24"/>
                <w:lang w:val="it-IT" w:eastAsia="it-IT"/>
              </w:rPr>
              <w:tab/>
            </w:r>
            <w:r w:rsidR="0053159A" w:rsidRPr="0012569F">
              <w:rPr>
                <w:rStyle w:val="Collegamentoipertestuale"/>
              </w:rPr>
              <w:t>Monitoring the wellbeing of children in Australia</w:t>
            </w:r>
            <w:r w:rsidR="0053159A">
              <w:rPr>
                <w:webHidden/>
              </w:rPr>
              <w:tab/>
            </w:r>
            <w:r w:rsidR="0053159A">
              <w:rPr>
                <w:webHidden/>
              </w:rPr>
              <w:fldChar w:fldCharType="begin"/>
            </w:r>
            <w:r w:rsidR="0053159A">
              <w:rPr>
                <w:webHidden/>
              </w:rPr>
              <w:instrText xml:space="preserve"> PAGEREF _Toc500308764 \h </w:instrText>
            </w:r>
            <w:r w:rsidR="0053159A">
              <w:rPr>
                <w:webHidden/>
              </w:rPr>
            </w:r>
            <w:r w:rsidR="0053159A">
              <w:rPr>
                <w:webHidden/>
              </w:rPr>
              <w:fldChar w:fldCharType="separate"/>
            </w:r>
            <w:r w:rsidR="0053159A">
              <w:rPr>
                <w:webHidden/>
              </w:rPr>
              <w:t>39</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765" w:history="1">
            <w:r w:rsidR="0053159A" w:rsidRPr="0012569F">
              <w:rPr>
                <w:rStyle w:val="Collegamentoipertestuale"/>
              </w:rPr>
              <w:t>1.7</w:t>
            </w:r>
            <w:r w:rsidR="0053159A">
              <w:rPr>
                <w:rFonts w:asciiTheme="minorHAnsi" w:eastAsiaTheme="minorEastAsia" w:hAnsiTheme="minorHAnsi" w:cstheme="minorBidi"/>
                <w:b w:val="0"/>
                <w:sz w:val="24"/>
                <w:lang w:val="it-IT" w:eastAsia="it-IT"/>
              </w:rPr>
              <w:tab/>
            </w:r>
            <w:r w:rsidR="0053159A" w:rsidRPr="0012569F">
              <w:rPr>
                <w:rStyle w:val="Collegamentoipertestuale"/>
              </w:rPr>
              <w:t>Progress towards Children’s Rights Report Recommendations</w:t>
            </w:r>
            <w:r w:rsidR="0053159A">
              <w:rPr>
                <w:webHidden/>
              </w:rPr>
              <w:tab/>
            </w:r>
            <w:r w:rsidR="0053159A">
              <w:rPr>
                <w:webHidden/>
              </w:rPr>
              <w:fldChar w:fldCharType="begin"/>
            </w:r>
            <w:r w:rsidR="0053159A">
              <w:rPr>
                <w:webHidden/>
              </w:rPr>
              <w:instrText xml:space="preserve"> PAGEREF _Toc500308765 \h </w:instrText>
            </w:r>
            <w:r w:rsidR="0053159A">
              <w:rPr>
                <w:webHidden/>
              </w:rPr>
            </w:r>
            <w:r w:rsidR="0053159A">
              <w:rPr>
                <w:webHidden/>
              </w:rPr>
              <w:fldChar w:fldCharType="separate"/>
            </w:r>
            <w:r w:rsidR="0053159A">
              <w:rPr>
                <w:webHidden/>
              </w:rPr>
              <w:t>43</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66" w:history="1">
            <w:r w:rsidR="0053159A" w:rsidRPr="0012569F">
              <w:rPr>
                <w:rStyle w:val="Collegamentoipertestuale"/>
              </w:rPr>
              <w:t>(a)</w:t>
            </w:r>
            <w:r w:rsidR="0053159A">
              <w:rPr>
                <w:rFonts w:asciiTheme="minorHAnsi" w:eastAsiaTheme="minorEastAsia" w:hAnsiTheme="minorHAnsi" w:cstheme="minorBidi"/>
                <w:sz w:val="24"/>
                <w:lang w:val="it-IT" w:eastAsia="it-IT"/>
              </w:rPr>
              <w:tab/>
            </w:r>
            <w:r w:rsidR="0053159A" w:rsidRPr="0012569F">
              <w:rPr>
                <w:rStyle w:val="Collegamentoipertestuale"/>
              </w:rPr>
              <w:t xml:space="preserve">Recommendations made in the </w:t>
            </w:r>
            <w:r w:rsidR="0053159A" w:rsidRPr="0012569F">
              <w:rPr>
                <w:rStyle w:val="Collegamentoipertestuale"/>
                <w:i/>
              </w:rPr>
              <w:t>Children’s Rights Report 2016</w:t>
            </w:r>
            <w:r w:rsidR="0053159A">
              <w:rPr>
                <w:webHidden/>
              </w:rPr>
              <w:tab/>
            </w:r>
            <w:r w:rsidR="0053159A">
              <w:rPr>
                <w:webHidden/>
              </w:rPr>
              <w:fldChar w:fldCharType="begin"/>
            </w:r>
            <w:r w:rsidR="0053159A">
              <w:rPr>
                <w:webHidden/>
              </w:rPr>
              <w:instrText xml:space="preserve"> PAGEREF _Toc500308766 \h </w:instrText>
            </w:r>
            <w:r w:rsidR="0053159A">
              <w:rPr>
                <w:webHidden/>
              </w:rPr>
            </w:r>
            <w:r w:rsidR="0053159A">
              <w:rPr>
                <w:webHidden/>
              </w:rPr>
              <w:fldChar w:fldCharType="separate"/>
            </w:r>
            <w:r w:rsidR="0053159A">
              <w:rPr>
                <w:webHidden/>
              </w:rPr>
              <w:t>43</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67" w:history="1">
            <w:r w:rsidR="0053159A" w:rsidRPr="0012569F">
              <w:rPr>
                <w:rStyle w:val="Collegamentoipertestuale"/>
              </w:rPr>
              <w:t>(b)</w:t>
            </w:r>
            <w:r w:rsidR="0053159A">
              <w:rPr>
                <w:rFonts w:asciiTheme="minorHAnsi" w:eastAsiaTheme="minorEastAsia" w:hAnsiTheme="minorHAnsi" w:cstheme="minorBidi"/>
                <w:sz w:val="24"/>
                <w:lang w:val="it-IT" w:eastAsia="it-IT"/>
              </w:rPr>
              <w:tab/>
            </w:r>
            <w:r w:rsidR="0053159A" w:rsidRPr="0012569F">
              <w:rPr>
                <w:rStyle w:val="Collegamentoipertestuale"/>
              </w:rPr>
              <w:t>Recommendations made in the Children’s Rights Report 2015</w:t>
            </w:r>
            <w:r w:rsidR="0053159A">
              <w:rPr>
                <w:webHidden/>
              </w:rPr>
              <w:tab/>
            </w:r>
            <w:r w:rsidR="0053159A">
              <w:rPr>
                <w:webHidden/>
              </w:rPr>
              <w:fldChar w:fldCharType="begin"/>
            </w:r>
            <w:r w:rsidR="0053159A">
              <w:rPr>
                <w:webHidden/>
              </w:rPr>
              <w:instrText xml:space="preserve"> PAGEREF _Toc500308767 \h </w:instrText>
            </w:r>
            <w:r w:rsidR="0053159A">
              <w:rPr>
                <w:webHidden/>
              </w:rPr>
            </w:r>
            <w:r w:rsidR="0053159A">
              <w:rPr>
                <w:webHidden/>
              </w:rPr>
              <w:fldChar w:fldCharType="separate"/>
            </w:r>
            <w:r w:rsidR="0053159A">
              <w:rPr>
                <w:webHidden/>
              </w:rPr>
              <w:t>48</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68" w:history="1">
            <w:r w:rsidR="0053159A" w:rsidRPr="0012569F">
              <w:rPr>
                <w:rStyle w:val="Collegamentoipertestuale"/>
              </w:rPr>
              <w:t>(c)</w:t>
            </w:r>
            <w:r w:rsidR="0053159A">
              <w:rPr>
                <w:rFonts w:asciiTheme="minorHAnsi" w:eastAsiaTheme="minorEastAsia" w:hAnsiTheme="minorHAnsi" w:cstheme="minorBidi"/>
                <w:sz w:val="24"/>
                <w:lang w:val="it-IT" w:eastAsia="it-IT"/>
              </w:rPr>
              <w:tab/>
            </w:r>
            <w:r w:rsidR="0053159A" w:rsidRPr="0012569F">
              <w:rPr>
                <w:rStyle w:val="Collegamentoipertestuale"/>
              </w:rPr>
              <w:t>Recommendations made in the Children’s Rights Report 2014</w:t>
            </w:r>
            <w:r w:rsidR="0053159A">
              <w:rPr>
                <w:webHidden/>
              </w:rPr>
              <w:tab/>
            </w:r>
            <w:r w:rsidR="0053159A">
              <w:rPr>
                <w:webHidden/>
              </w:rPr>
              <w:fldChar w:fldCharType="begin"/>
            </w:r>
            <w:r w:rsidR="0053159A">
              <w:rPr>
                <w:webHidden/>
              </w:rPr>
              <w:instrText xml:space="preserve"> PAGEREF _Toc500308768 \h </w:instrText>
            </w:r>
            <w:r w:rsidR="0053159A">
              <w:rPr>
                <w:webHidden/>
              </w:rPr>
            </w:r>
            <w:r w:rsidR="0053159A">
              <w:rPr>
                <w:webHidden/>
              </w:rPr>
              <w:fldChar w:fldCharType="separate"/>
            </w:r>
            <w:r w:rsidR="0053159A">
              <w:rPr>
                <w:webHidden/>
              </w:rPr>
              <w:t>51</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69" w:history="1">
            <w:r w:rsidR="0053159A" w:rsidRPr="0012569F">
              <w:rPr>
                <w:rStyle w:val="Collegamentoipertestuale"/>
              </w:rPr>
              <w:t>(d)</w:t>
            </w:r>
            <w:r w:rsidR="0053159A">
              <w:rPr>
                <w:rFonts w:asciiTheme="minorHAnsi" w:eastAsiaTheme="minorEastAsia" w:hAnsiTheme="minorHAnsi" w:cstheme="minorBidi"/>
                <w:sz w:val="24"/>
                <w:lang w:val="it-IT" w:eastAsia="it-IT"/>
              </w:rPr>
              <w:tab/>
            </w:r>
            <w:r w:rsidR="0053159A" w:rsidRPr="0012569F">
              <w:rPr>
                <w:rStyle w:val="Collegamentoipertestuale"/>
              </w:rPr>
              <w:t>Recommendations made in the Children’s Rights Report 2013</w:t>
            </w:r>
            <w:r w:rsidR="0053159A">
              <w:rPr>
                <w:webHidden/>
              </w:rPr>
              <w:tab/>
            </w:r>
            <w:r w:rsidR="0053159A">
              <w:rPr>
                <w:webHidden/>
              </w:rPr>
              <w:fldChar w:fldCharType="begin"/>
            </w:r>
            <w:r w:rsidR="0053159A">
              <w:rPr>
                <w:webHidden/>
              </w:rPr>
              <w:instrText xml:space="preserve"> PAGEREF _Toc500308769 \h </w:instrText>
            </w:r>
            <w:r w:rsidR="0053159A">
              <w:rPr>
                <w:webHidden/>
              </w:rPr>
            </w:r>
            <w:r w:rsidR="0053159A">
              <w:rPr>
                <w:webHidden/>
              </w:rPr>
              <w:fldChar w:fldCharType="separate"/>
            </w:r>
            <w:r w:rsidR="0053159A">
              <w:rPr>
                <w:webHidden/>
              </w:rPr>
              <w:t>55</w:t>
            </w:r>
            <w:r w:rsidR="0053159A">
              <w:rPr>
                <w:webHidden/>
              </w:rPr>
              <w:fldChar w:fldCharType="end"/>
            </w:r>
          </w:hyperlink>
        </w:p>
        <w:p w:rsidR="0053159A" w:rsidRDefault="00C3029C">
          <w:pPr>
            <w:pStyle w:val="Sommario1"/>
            <w:tabs>
              <w:tab w:val="left" w:pos="1440"/>
            </w:tabs>
            <w:rPr>
              <w:rFonts w:asciiTheme="minorHAnsi" w:eastAsiaTheme="minorEastAsia" w:hAnsiTheme="minorHAnsi" w:cstheme="minorBidi"/>
              <w:b w:val="0"/>
              <w:lang w:val="it-IT" w:eastAsia="it-IT"/>
            </w:rPr>
          </w:pPr>
          <w:hyperlink w:anchor="_Toc500308770" w:history="1">
            <w:r w:rsidR="0053159A" w:rsidRPr="0012569F">
              <w:rPr>
                <w:rStyle w:val="Collegamentoipertestuale"/>
                <w:rFonts w:cs="Arial"/>
              </w:rPr>
              <w:t>Chapter 2:</w:t>
            </w:r>
            <w:r w:rsidR="0053159A">
              <w:rPr>
                <w:rFonts w:asciiTheme="minorHAnsi" w:eastAsiaTheme="minorEastAsia" w:hAnsiTheme="minorHAnsi" w:cstheme="minorBidi"/>
                <w:b w:val="0"/>
                <w:lang w:val="it-IT" w:eastAsia="it-IT"/>
              </w:rPr>
              <w:tab/>
            </w:r>
            <w:r w:rsidR="0053159A" w:rsidRPr="0012569F">
              <w:rPr>
                <w:rStyle w:val="Collegamentoipertestuale"/>
                <w:rFonts w:cs="Arial"/>
              </w:rPr>
              <w:t>Children’s rights in legislation and court proceedings</w:t>
            </w:r>
            <w:r w:rsidR="0053159A">
              <w:rPr>
                <w:webHidden/>
              </w:rPr>
              <w:tab/>
            </w:r>
            <w:r w:rsidR="0053159A">
              <w:rPr>
                <w:webHidden/>
              </w:rPr>
              <w:fldChar w:fldCharType="begin"/>
            </w:r>
            <w:r w:rsidR="0053159A">
              <w:rPr>
                <w:webHidden/>
              </w:rPr>
              <w:instrText xml:space="preserve"> PAGEREF _Toc500308770 \h </w:instrText>
            </w:r>
            <w:r w:rsidR="0053159A">
              <w:rPr>
                <w:webHidden/>
              </w:rPr>
            </w:r>
            <w:r w:rsidR="0053159A">
              <w:rPr>
                <w:webHidden/>
              </w:rPr>
              <w:fldChar w:fldCharType="separate"/>
            </w:r>
            <w:r w:rsidR="0053159A">
              <w:rPr>
                <w:webHidden/>
              </w:rPr>
              <w:t>60</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771" w:history="1">
            <w:r w:rsidR="0053159A" w:rsidRPr="0012569F">
              <w:rPr>
                <w:rStyle w:val="Collegamentoipertestuale"/>
              </w:rPr>
              <w:t>2.1</w:t>
            </w:r>
            <w:r w:rsidR="0053159A">
              <w:rPr>
                <w:rFonts w:asciiTheme="minorHAnsi" w:eastAsiaTheme="minorEastAsia" w:hAnsiTheme="minorHAnsi" w:cstheme="minorBidi"/>
                <w:b w:val="0"/>
                <w:sz w:val="24"/>
                <w:lang w:val="it-IT" w:eastAsia="it-IT"/>
              </w:rPr>
              <w:tab/>
            </w:r>
            <w:r w:rsidR="0053159A" w:rsidRPr="0012569F">
              <w:rPr>
                <w:rStyle w:val="Collegamentoipertestuale"/>
              </w:rPr>
              <w:t>Introduction</w:t>
            </w:r>
            <w:r w:rsidR="0053159A">
              <w:rPr>
                <w:webHidden/>
              </w:rPr>
              <w:tab/>
            </w:r>
            <w:r w:rsidR="0053159A">
              <w:rPr>
                <w:webHidden/>
              </w:rPr>
              <w:fldChar w:fldCharType="begin"/>
            </w:r>
            <w:r w:rsidR="0053159A">
              <w:rPr>
                <w:webHidden/>
              </w:rPr>
              <w:instrText xml:space="preserve"> PAGEREF _Toc500308771 \h </w:instrText>
            </w:r>
            <w:r w:rsidR="0053159A">
              <w:rPr>
                <w:webHidden/>
              </w:rPr>
            </w:r>
            <w:r w:rsidR="0053159A">
              <w:rPr>
                <w:webHidden/>
              </w:rPr>
              <w:fldChar w:fldCharType="separate"/>
            </w:r>
            <w:r w:rsidR="0053159A">
              <w:rPr>
                <w:webHidden/>
              </w:rPr>
              <w:t>60</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772" w:history="1">
            <w:r w:rsidR="0053159A" w:rsidRPr="0012569F">
              <w:rPr>
                <w:rStyle w:val="Collegamentoipertestuale"/>
              </w:rPr>
              <w:t>2.2</w:t>
            </w:r>
            <w:r w:rsidR="0053159A">
              <w:rPr>
                <w:rFonts w:asciiTheme="minorHAnsi" w:eastAsiaTheme="minorEastAsia" w:hAnsiTheme="minorHAnsi" w:cstheme="minorBidi"/>
                <w:b w:val="0"/>
                <w:sz w:val="24"/>
                <w:lang w:val="it-IT" w:eastAsia="it-IT"/>
              </w:rPr>
              <w:tab/>
            </w:r>
            <w:r w:rsidR="0053159A" w:rsidRPr="0012569F">
              <w:rPr>
                <w:rStyle w:val="Collegamentoipertestuale"/>
              </w:rPr>
              <w:t>Consideration of children’s rights by the Parliamentary Joint Committee on Human Rights</w:t>
            </w:r>
            <w:r w:rsidR="0053159A">
              <w:rPr>
                <w:webHidden/>
              </w:rPr>
              <w:tab/>
            </w:r>
            <w:r w:rsidR="0053159A">
              <w:rPr>
                <w:webHidden/>
              </w:rPr>
              <w:fldChar w:fldCharType="begin"/>
            </w:r>
            <w:r w:rsidR="0053159A">
              <w:rPr>
                <w:webHidden/>
              </w:rPr>
              <w:instrText xml:space="preserve"> PAGEREF _Toc500308772 \h </w:instrText>
            </w:r>
            <w:r w:rsidR="0053159A">
              <w:rPr>
                <w:webHidden/>
              </w:rPr>
            </w:r>
            <w:r w:rsidR="0053159A">
              <w:rPr>
                <w:webHidden/>
              </w:rPr>
              <w:fldChar w:fldCharType="separate"/>
            </w:r>
            <w:r w:rsidR="0053159A">
              <w:rPr>
                <w:webHidden/>
              </w:rPr>
              <w:t>60</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773" w:history="1">
            <w:r w:rsidR="0053159A" w:rsidRPr="0012569F">
              <w:rPr>
                <w:rStyle w:val="Collegamentoipertestuale"/>
              </w:rPr>
              <w:t>2.3</w:t>
            </w:r>
            <w:r w:rsidR="0053159A">
              <w:rPr>
                <w:rFonts w:asciiTheme="minorHAnsi" w:eastAsiaTheme="minorEastAsia" w:hAnsiTheme="minorHAnsi" w:cstheme="minorBidi"/>
                <w:b w:val="0"/>
                <w:sz w:val="24"/>
                <w:lang w:val="it-IT" w:eastAsia="it-IT"/>
              </w:rPr>
              <w:tab/>
            </w:r>
            <w:r w:rsidR="0053159A" w:rsidRPr="0012569F">
              <w:rPr>
                <w:rStyle w:val="Collegamentoipertestuale"/>
              </w:rPr>
              <w:t>Bills that engage children’s rights</w:t>
            </w:r>
            <w:r w:rsidR="0053159A">
              <w:rPr>
                <w:webHidden/>
              </w:rPr>
              <w:tab/>
            </w:r>
            <w:r w:rsidR="0053159A">
              <w:rPr>
                <w:webHidden/>
              </w:rPr>
              <w:fldChar w:fldCharType="begin"/>
            </w:r>
            <w:r w:rsidR="0053159A">
              <w:rPr>
                <w:webHidden/>
              </w:rPr>
              <w:instrText xml:space="preserve"> PAGEREF _Toc500308773 \h </w:instrText>
            </w:r>
            <w:r w:rsidR="0053159A">
              <w:rPr>
                <w:webHidden/>
              </w:rPr>
            </w:r>
            <w:r w:rsidR="0053159A">
              <w:rPr>
                <w:webHidden/>
              </w:rPr>
              <w:fldChar w:fldCharType="separate"/>
            </w:r>
            <w:r w:rsidR="0053159A">
              <w:rPr>
                <w:webHidden/>
              </w:rPr>
              <w:t>61</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74" w:history="1">
            <w:r w:rsidR="0053159A" w:rsidRPr="0012569F">
              <w:rPr>
                <w:rStyle w:val="Collegamentoipertestuale"/>
              </w:rPr>
              <w:t>(a)</w:t>
            </w:r>
            <w:r w:rsidR="0053159A">
              <w:rPr>
                <w:rFonts w:asciiTheme="minorHAnsi" w:eastAsiaTheme="minorEastAsia" w:hAnsiTheme="minorHAnsi" w:cstheme="minorBidi"/>
                <w:sz w:val="24"/>
                <w:lang w:val="it-IT" w:eastAsia="it-IT"/>
              </w:rPr>
              <w:tab/>
            </w:r>
            <w:r w:rsidR="0053159A" w:rsidRPr="0012569F">
              <w:rPr>
                <w:rStyle w:val="Collegamentoipertestuale"/>
              </w:rPr>
              <w:t>Bills with a potentially significant impact on children’s rights</w:t>
            </w:r>
            <w:r w:rsidR="0053159A">
              <w:rPr>
                <w:webHidden/>
              </w:rPr>
              <w:tab/>
            </w:r>
            <w:r w:rsidR="0053159A">
              <w:rPr>
                <w:webHidden/>
              </w:rPr>
              <w:fldChar w:fldCharType="begin"/>
            </w:r>
            <w:r w:rsidR="0053159A">
              <w:rPr>
                <w:webHidden/>
              </w:rPr>
              <w:instrText xml:space="preserve"> PAGEREF _Toc500308774 \h </w:instrText>
            </w:r>
            <w:r w:rsidR="0053159A">
              <w:rPr>
                <w:webHidden/>
              </w:rPr>
            </w:r>
            <w:r w:rsidR="0053159A">
              <w:rPr>
                <w:webHidden/>
              </w:rPr>
              <w:fldChar w:fldCharType="separate"/>
            </w:r>
            <w:r w:rsidR="0053159A">
              <w:rPr>
                <w:webHidden/>
              </w:rPr>
              <w:t>61</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75" w:history="1">
            <w:r w:rsidR="0053159A" w:rsidRPr="0012569F">
              <w:rPr>
                <w:rStyle w:val="Collegamentoipertestuale"/>
              </w:rPr>
              <w:t>(b)</w:t>
            </w:r>
            <w:r w:rsidR="0053159A">
              <w:rPr>
                <w:rFonts w:asciiTheme="minorHAnsi" w:eastAsiaTheme="minorEastAsia" w:hAnsiTheme="minorHAnsi" w:cstheme="minorBidi"/>
                <w:sz w:val="24"/>
                <w:lang w:val="it-IT" w:eastAsia="it-IT"/>
              </w:rPr>
              <w:tab/>
            </w:r>
            <w:r w:rsidR="0053159A" w:rsidRPr="0012569F">
              <w:rPr>
                <w:rStyle w:val="Collegamentoipertestuale"/>
              </w:rPr>
              <w:t>Bills with a limited impact on children’s rights</w:t>
            </w:r>
            <w:r w:rsidR="0053159A">
              <w:rPr>
                <w:webHidden/>
              </w:rPr>
              <w:tab/>
            </w:r>
            <w:r w:rsidR="0053159A">
              <w:rPr>
                <w:webHidden/>
              </w:rPr>
              <w:fldChar w:fldCharType="begin"/>
            </w:r>
            <w:r w:rsidR="0053159A">
              <w:rPr>
                <w:webHidden/>
              </w:rPr>
              <w:instrText xml:space="preserve"> PAGEREF _Toc500308775 \h </w:instrText>
            </w:r>
            <w:r w:rsidR="0053159A">
              <w:rPr>
                <w:webHidden/>
              </w:rPr>
            </w:r>
            <w:r w:rsidR="0053159A">
              <w:rPr>
                <w:webHidden/>
              </w:rPr>
              <w:fldChar w:fldCharType="separate"/>
            </w:r>
            <w:r w:rsidR="0053159A">
              <w:rPr>
                <w:webHidden/>
              </w:rPr>
              <w:t>70</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776" w:history="1">
            <w:r w:rsidR="0053159A" w:rsidRPr="0012569F">
              <w:rPr>
                <w:rStyle w:val="Collegamentoipertestuale"/>
              </w:rPr>
              <w:t>2.4</w:t>
            </w:r>
            <w:r w:rsidR="0053159A">
              <w:rPr>
                <w:rFonts w:asciiTheme="minorHAnsi" w:eastAsiaTheme="minorEastAsia" w:hAnsiTheme="minorHAnsi" w:cstheme="minorBidi"/>
                <w:b w:val="0"/>
                <w:sz w:val="24"/>
                <w:lang w:val="it-IT" w:eastAsia="it-IT"/>
              </w:rPr>
              <w:tab/>
            </w:r>
            <w:r w:rsidR="0053159A" w:rsidRPr="0012569F">
              <w:rPr>
                <w:rStyle w:val="Collegamentoipertestuale"/>
              </w:rPr>
              <w:t>Children with gender dysphoria – a case study</w:t>
            </w:r>
            <w:r w:rsidR="0053159A">
              <w:rPr>
                <w:webHidden/>
              </w:rPr>
              <w:tab/>
            </w:r>
            <w:r w:rsidR="0053159A">
              <w:rPr>
                <w:webHidden/>
              </w:rPr>
              <w:fldChar w:fldCharType="begin"/>
            </w:r>
            <w:r w:rsidR="0053159A">
              <w:rPr>
                <w:webHidden/>
              </w:rPr>
              <w:instrText xml:space="preserve"> PAGEREF _Toc500308776 \h </w:instrText>
            </w:r>
            <w:r w:rsidR="0053159A">
              <w:rPr>
                <w:webHidden/>
              </w:rPr>
            </w:r>
            <w:r w:rsidR="0053159A">
              <w:rPr>
                <w:webHidden/>
              </w:rPr>
              <w:fldChar w:fldCharType="separate"/>
            </w:r>
            <w:r w:rsidR="0053159A">
              <w:rPr>
                <w:webHidden/>
              </w:rPr>
              <w:t>75</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77" w:history="1">
            <w:r w:rsidR="0053159A" w:rsidRPr="0012569F">
              <w:rPr>
                <w:rStyle w:val="Collegamentoipertestuale"/>
                <w:lang w:val="en"/>
              </w:rPr>
              <w:t>(a)</w:t>
            </w:r>
            <w:r w:rsidR="0053159A">
              <w:rPr>
                <w:rFonts w:asciiTheme="minorHAnsi" w:eastAsiaTheme="minorEastAsia" w:hAnsiTheme="minorHAnsi" w:cstheme="minorBidi"/>
                <w:sz w:val="24"/>
                <w:lang w:val="it-IT" w:eastAsia="it-IT"/>
              </w:rPr>
              <w:tab/>
            </w:r>
            <w:r w:rsidR="0053159A" w:rsidRPr="0012569F">
              <w:rPr>
                <w:rStyle w:val="Collegamentoipertestuale"/>
                <w:lang w:val="en"/>
              </w:rPr>
              <w:t>Gender dysphoria</w:t>
            </w:r>
            <w:r w:rsidR="0053159A">
              <w:rPr>
                <w:webHidden/>
              </w:rPr>
              <w:tab/>
            </w:r>
            <w:r w:rsidR="0053159A">
              <w:rPr>
                <w:webHidden/>
              </w:rPr>
              <w:fldChar w:fldCharType="begin"/>
            </w:r>
            <w:r w:rsidR="0053159A">
              <w:rPr>
                <w:webHidden/>
              </w:rPr>
              <w:instrText xml:space="preserve"> PAGEREF _Toc500308777 \h </w:instrText>
            </w:r>
            <w:r w:rsidR="0053159A">
              <w:rPr>
                <w:webHidden/>
              </w:rPr>
            </w:r>
            <w:r w:rsidR="0053159A">
              <w:rPr>
                <w:webHidden/>
              </w:rPr>
              <w:fldChar w:fldCharType="separate"/>
            </w:r>
            <w:r w:rsidR="0053159A">
              <w:rPr>
                <w:webHidden/>
              </w:rPr>
              <w:t>75</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78" w:history="1">
            <w:r w:rsidR="0053159A" w:rsidRPr="0012569F">
              <w:rPr>
                <w:rStyle w:val="Collegamentoipertestuale"/>
              </w:rPr>
              <w:t>(b)</w:t>
            </w:r>
            <w:r w:rsidR="0053159A">
              <w:rPr>
                <w:rFonts w:asciiTheme="minorHAnsi" w:eastAsiaTheme="minorEastAsia" w:hAnsiTheme="minorHAnsi" w:cstheme="minorBidi"/>
                <w:sz w:val="24"/>
                <w:lang w:val="it-IT" w:eastAsia="it-IT"/>
              </w:rPr>
              <w:tab/>
            </w:r>
            <w:r w:rsidR="0053159A" w:rsidRPr="0012569F">
              <w:rPr>
                <w:rStyle w:val="Collegamentoipertestuale"/>
              </w:rPr>
              <w:t>Access to treatments</w:t>
            </w:r>
            <w:r w:rsidR="0053159A">
              <w:rPr>
                <w:webHidden/>
              </w:rPr>
              <w:tab/>
            </w:r>
            <w:r w:rsidR="0053159A">
              <w:rPr>
                <w:webHidden/>
              </w:rPr>
              <w:fldChar w:fldCharType="begin"/>
            </w:r>
            <w:r w:rsidR="0053159A">
              <w:rPr>
                <w:webHidden/>
              </w:rPr>
              <w:instrText xml:space="preserve"> PAGEREF _Toc500308778 \h </w:instrText>
            </w:r>
            <w:r w:rsidR="0053159A">
              <w:rPr>
                <w:webHidden/>
              </w:rPr>
            </w:r>
            <w:r w:rsidR="0053159A">
              <w:rPr>
                <w:webHidden/>
              </w:rPr>
              <w:fldChar w:fldCharType="separate"/>
            </w:r>
            <w:r w:rsidR="0053159A">
              <w:rPr>
                <w:webHidden/>
              </w:rPr>
              <w:t>75</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79" w:history="1">
            <w:r w:rsidR="0053159A" w:rsidRPr="0012569F">
              <w:rPr>
                <w:rStyle w:val="Collegamentoipertestuale"/>
              </w:rPr>
              <w:t>(c)</w:t>
            </w:r>
            <w:r w:rsidR="0053159A">
              <w:rPr>
                <w:rFonts w:asciiTheme="minorHAnsi" w:eastAsiaTheme="minorEastAsia" w:hAnsiTheme="minorHAnsi" w:cstheme="minorBidi"/>
                <w:sz w:val="24"/>
                <w:lang w:val="it-IT" w:eastAsia="it-IT"/>
              </w:rPr>
              <w:tab/>
            </w:r>
            <w:r w:rsidR="0053159A" w:rsidRPr="0012569F">
              <w:rPr>
                <w:rStyle w:val="Collegamentoipertestuale"/>
              </w:rPr>
              <w:t>A children’s rights approach to the issue</w:t>
            </w:r>
            <w:r w:rsidR="0053159A">
              <w:rPr>
                <w:webHidden/>
              </w:rPr>
              <w:tab/>
            </w:r>
            <w:r w:rsidR="0053159A">
              <w:rPr>
                <w:webHidden/>
              </w:rPr>
              <w:fldChar w:fldCharType="begin"/>
            </w:r>
            <w:r w:rsidR="0053159A">
              <w:rPr>
                <w:webHidden/>
              </w:rPr>
              <w:instrText xml:space="preserve"> PAGEREF _Toc500308779 \h </w:instrText>
            </w:r>
            <w:r w:rsidR="0053159A">
              <w:rPr>
                <w:webHidden/>
              </w:rPr>
            </w:r>
            <w:r w:rsidR="0053159A">
              <w:rPr>
                <w:webHidden/>
              </w:rPr>
              <w:fldChar w:fldCharType="separate"/>
            </w:r>
            <w:r w:rsidR="0053159A">
              <w:rPr>
                <w:webHidden/>
              </w:rPr>
              <w:t>76</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80" w:history="1">
            <w:r w:rsidR="0053159A" w:rsidRPr="0012569F">
              <w:rPr>
                <w:rStyle w:val="Collegamentoipertestuale"/>
              </w:rPr>
              <w:t>(d)</w:t>
            </w:r>
            <w:r w:rsidR="0053159A">
              <w:rPr>
                <w:rFonts w:asciiTheme="minorHAnsi" w:eastAsiaTheme="minorEastAsia" w:hAnsiTheme="minorHAnsi" w:cstheme="minorBidi"/>
                <w:sz w:val="24"/>
                <w:lang w:val="it-IT" w:eastAsia="it-IT"/>
              </w:rPr>
              <w:tab/>
            </w:r>
            <w:r w:rsidR="0053159A" w:rsidRPr="0012569F">
              <w:rPr>
                <w:rStyle w:val="Collegamentoipertestuale"/>
                <w:i/>
              </w:rPr>
              <w:t>Re Kelvin</w:t>
            </w:r>
            <w:r w:rsidR="0053159A">
              <w:rPr>
                <w:webHidden/>
              </w:rPr>
              <w:tab/>
            </w:r>
            <w:r w:rsidR="0053159A">
              <w:rPr>
                <w:webHidden/>
              </w:rPr>
              <w:fldChar w:fldCharType="begin"/>
            </w:r>
            <w:r w:rsidR="0053159A">
              <w:rPr>
                <w:webHidden/>
              </w:rPr>
              <w:instrText xml:space="preserve"> PAGEREF _Toc500308780 \h </w:instrText>
            </w:r>
            <w:r w:rsidR="0053159A">
              <w:rPr>
                <w:webHidden/>
              </w:rPr>
            </w:r>
            <w:r w:rsidR="0053159A">
              <w:rPr>
                <w:webHidden/>
              </w:rPr>
              <w:fldChar w:fldCharType="separate"/>
            </w:r>
            <w:r w:rsidR="0053159A">
              <w:rPr>
                <w:webHidden/>
              </w:rPr>
              <w:t>77</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781" w:history="1">
            <w:r w:rsidR="0053159A" w:rsidRPr="0012569F">
              <w:rPr>
                <w:rStyle w:val="Collegamentoipertestuale"/>
              </w:rPr>
              <w:t>2.5</w:t>
            </w:r>
            <w:r w:rsidR="0053159A">
              <w:rPr>
                <w:rFonts w:asciiTheme="minorHAnsi" w:eastAsiaTheme="minorEastAsia" w:hAnsiTheme="minorHAnsi" w:cstheme="minorBidi"/>
                <w:b w:val="0"/>
                <w:sz w:val="24"/>
                <w:lang w:val="it-IT" w:eastAsia="it-IT"/>
              </w:rPr>
              <w:tab/>
            </w:r>
            <w:r w:rsidR="0053159A" w:rsidRPr="0012569F">
              <w:rPr>
                <w:rStyle w:val="Collegamentoipertestuale"/>
              </w:rPr>
              <w:t>Conclusion</w:t>
            </w:r>
            <w:r w:rsidR="0053159A">
              <w:rPr>
                <w:webHidden/>
              </w:rPr>
              <w:tab/>
            </w:r>
            <w:r w:rsidR="0053159A">
              <w:rPr>
                <w:webHidden/>
              </w:rPr>
              <w:fldChar w:fldCharType="begin"/>
            </w:r>
            <w:r w:rsidR="0053159A">
              <w:rPr>
                <w:webHidden/>
              </w:rPr>
              <w:instrText xml:space="preserve"> PAGEREF _Toc500308781 \h </w:instrText>
            </w:r>
            <w:r w:rsidR="0053159A">
              <w:rPr>
                <w:webHidden/>
              </w:rPr>
            </w:r>
            <w:r w:rsidR="0053159A">
              <w:rPr>
                <w:webHidden/>
              </w:rPr>
              <w:fldChar w:fldCharType="separate"/>
            </w:r>
            <w:r w:rsidR="0053159A">
              <w:rPr>
                <w:webHidden/>
              </w:rPr>
              <w:t>77</w:t>
            </w:r>
            <w:r w:rsidR="0053159A">
              <w:rPr>
                <w:webHidden/>
              </w:rPr>
              <w:fldChar w:fldCharType="end"/>
            </w:r>
          </w:hyperlink>
        </w:p>
        <w:p w:rsidR="0053159A" w:rsidRDefault="00C3029C">
          <w:pPr>
            <w:pStyle w:val="Sommario1"/>
            <w:tabs>
              <w:tab w:val="left" w:pos="1440"/>
            </w:tabs>
            <w:rPr>
              <w:rFonts w:asciiTheme="minorHAnsi" w:eastAsiaTheme="minorEastAsia" w:hAnsiTheme="minorHAnsi" w:cstheme="minorBidi"/>
              <w:b w:val="0"/>
              <w:lang w:val="it-IT" w:eastAsia="it-IT"/>
            </w:rPr>
          </w:pPr>
          <w:hyperlink w:anchor="_Toc500308782" w:history="1">
            <w:r w:rsidR="0053159A" w:rsidRPr="0012569F">
              <w:rPr>
                <w:rStyle w:val="Collegamentoipertestuale"/>
                <w:rFonts w:cs="Arial"/>
              </w:rPr>
              <w:t>Chapter 3:</w:t>
            </w:r>
            <w:r w:rsidR="0053159A">
              <w:rPr>
                <w:rFonts w:asciiTheme="minorHAnsi" w:eastAsiaTheme="minorEastAsia" w:hAnsiTheme="minorHAnsi" w:cstheme="minorBidi"/>
                <w:b w:val="0"/>
                <w:lang w:val="it-IT" w:eastAsia="it-IT"/>
              </w:rPr>
              <w:tab/>
            </w:r>
            <w:r w:rsidR="0053159A" w:rsidRPr="0012569F">
              <w:rPr>
                <w:rStyle w:val="Collegamentoipertestuale"/>
                <w:rFonts w:cs="Arial"/>
              </w:rPr>
              <w:t>Young parents and their children</w:t>
            </w:r>
            <w:r w:rsidR="0053159A">
              <w:rPr>
                <w:webHidden/>
              </w:rPr>
              <w:tab/>
            </w:r>
            <w:r w:rsidR="0053159A">
              <w:rPr>
                <w:webHidden/>
              </w:rPr>
              <w:fldChar w:fldCharType="begin"/>
            </w:r>
            <w:r w:rsidR="0053159A">
              <w:rPr>
                <w:webHidden/>
              </w:rPr>
              <w:instrText xml:space="preserve"> PAGEREF _Toc500308782 \h </w:instrText>
            </w:r>
            <w:r w:rsidR="0053159A">
              <w:rPr>
                <w:webHidden/>
              </w:rPr>
            </w:r>
            <w:r w:rsidR="0053159A">
              <w:rPr>
                <w:webHidden/>
              </w:rPr>
              <w:fldChar w:fldCharType="separate"/>
            </w:r>
            <w:r w:rsidR="0053159A">
              <w:rPr>
                <w:webHidden/>
              </w:rPr>
              <w:t>86</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783" w:history="1">
            <w:r w:rsidR="0053159A" w:rsidRPr="0012569F">
              <w:rPr>
                <w:rStyle w:val="Collegamentoipertestuale"/>
              </w:rPr>
              <w:t>3.1</w:t>
            </w:r>
            <w:r w:rsidR="0053159A">
              <w:rPr>
                <w:rFonts w:asciiTheme="minorHAnsi" w:eastAsiaTheme="minorEastAsia" w:hAnsiTheme="minorHAnsi" w:cstheme="minorBidi"/>
                <w:b w:val="0"/>
                <w:sz w:val="24"/>
                <w:lang w:val="it-IT" w:eastAsia="it-IT"/>
              </w:rPr>
              <w:tab/>
            </w:r>
            <w:r w:rsidR="0053159A" w:rsidRPr="0012569F">
              <w:rPr>
                <w:rStyle w:val="Collegamentoipertestuale"/>
              </w:rPr>
              <w:t>Introduction</w:t>
            </w:r>
            <w:r w:rsidR="0053159A">
              <w:rPr>
                <w:webHidden/>
              </w:rPr>
              <w:tab/>
            </w:r>
            <w:r w:rsidR="0053159A">
              <w:rPr>
                <w:webHidden/>
              </w:rPr>
              <w:fldChar w:fldCharType="begin"/>
            </w:r>
            <w:r w:rsidR="0053159A">
              <w:rPr>
                <w:webHidden/>
              </w:rPr>
              <w:instrText xml:space="preserve"> PAGEREF _Toc500308783 \h </w:instrText>
            </w:r>
            <w:r w:rsidR="0053159A">
              <w:rPr>
                <w:webHidden/>
              </w:rPr>
            </w:r>
            <w:r w:rsidR="0053159A">
              <w:rPr>
                <w:webHidden/>
              </w:rPr>
              <w:fldChar w:fldCharType="separate"/>
            </w:r>
            <w:r w:rsidR="0053159A">
              <w:rPr>
                <w:webHidden/>
              </w:rPr>
              <w:t>86</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784" w:history="1">
            <w:r w:rsidR="0053159A" w:rsidRPr="0012569F">
              <w:rPr>
                <w:rStyle w:val="Collegamentoipertestuale"/>
              </w:rPr>
              <w:t>3.2</w:t>
            </w:r>
            <w:r w:rsidR="0053159A">
              <w:rPr>
                <w:rFonts w:asciiTheme="minorHAnsi" w:eastAsiaTheme="minorEastAsia" w:hAnsiTheme="minorHAnsi" w:cstheme="minorBidi"/>
                <w:b w:val="0"/>
                <w:sz w:val="24"/>
                <w:lang w:val="it-IT" w:eastAsia="it-IT"/>
              </w:rPr>
              <w:tab/>
            </w:r>
            <w:r w:rsidR="0053159A" w:rsidRPr="0012569F">
              <w:rPr>
                <w:rStyle w:val="Collegamentoipertestuale"/>
              </w:rPr>
              <w:t>Why conduct a project on young parents and their children?</w:t>
            </w:r>
            <w:r w:rsidR="0053159A">
              <w:rPr>
                <w:webHidden/>
              </w:rPr>
              <w:tab/>
            </w:r>
            <w:r w:rsidR="0053159A">
              <w:rPr>
                <w:webHidden/>
              </w:rPr>
              <w:fldChar w:fldCharType="begin"/>
            </w:r>
            <w:r w:rsidR="0053159A">
              <w:rPr>
                <w:webHidden/>
              </w:rPr>
              <w:instrText xml:space="preserve"> PAGEREF _Toc500308784 \h </w:instrText>
            </w:r>
            <w:r w:rsidR="0053159A">
              <w:rPr>
                <w:webHidden/>
              </w:rPr>
            </w:r>
            <w:r w:rsidR="0053159A">
              <w:rPr>
                <w:webHidden/>
              </w:rPr>
              <w:fldChar w:fldCharType="separate"/>
            </w:r>
            <w:r w:rsidR="0053159A">
              <w:rPr>
                <w:webHidden/>
              </w:rPr>
              <w:t>87</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785" w:history="1">
            <w:r w:rsidR="0053159A" w:rsidRPr="0012569F">
              <w:rPr>
                <w:rStyle w:val="Collegamentoipertestuale"/>
              </w:rPr>
              <w:t>3.3</w:t>
            </w:r>
            <w:r w:rsidR="0053159A">
              <w:rPr>
                <w:rFonts w:asciiTheme="minorHAnsi" w:eastAsiaTheme="minorEastAsia" w:hAnsiTheme="minorHAnsi" w:cstheme="minorBidi"/>
                <w:b w:val="0"/>
                <w:sz w:val="24"/>
                <w:lang w:val="it-IT" w:eastAsia="it-IT"/>
              </w:rPr>
              <w:tab/>
            </w:r>
            <w:r w:rsidR="0053159A" w:rsidRPr="0012569F">
              <w:rPr>
                <w:rStyle w:val="Collegamentoipertestuale"/>
              </w:rPr>
              <w:t>Young parenthood as a human rights issue</w:t>
            </w:r>
            <w:r w:rsidR="0053159A">
              <w:rPr>
                <w:webHidden/>
              </w:rPr>
              <w:tab/>
            </w:r>
            <w:r w:rsidR="0053159A">
              <w:rPr>
                <w:webHidden/>
              </w:rPr>
              <w:fldChar w:fldCharType="begin"/>
            </w:r>
            <w:r w:rsidR="0053159A">
              <w:rPr>
                <w:webHidden/>
              </w:rPr>
              <w:instrText xml:space="preserve"> PAGEREF _Toc500308785 \h </w:instrText>
            </w:r>
            <w:r w:rsidR="0053159A">
              <w:rPr>
                <w:webHidden/>
              </w:rPr>
            </w:r>
            <w:r w:rsidR="0053159A">
              <w:rPr>
                <w:webHidden/>
              </w:rPr>
              <w:fldChar w:fldCharType="separate"/>
            </w:r>
            <w:r w:rsidR="0053159A">
              <w:rPr>
                <w:webHidden/>
              </w:rPr>
              <w:t>88</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86" w:history="1">
            <w:r w:rsidR="0053159A" w:rsidRPr="0012569F">
              <w:rPr>
                <w:rStyle w:val="Collegamentoipertestuale"/>
              </w:rPr>
              <w:t>(a)</w:t>
            </w:r>
            <w:r w:rsidR="0053159A">
              <w:rPr>
                <w:rFonts w:asciiTheme="minorHAnsi" w:eastAsiaTheme="minorEastAsia" w:hAnsiTheme="minorHAnsi" w:cstheme="minorBidi"/>
                <w:sz w:val="24"/>
                <w:lang w:val="it-IT" w:eastAsia="it-IT"/>
              </w:rPr>
              <w:tab/>
            </w:r>
            <w:r w:rsidR="0053159A" w:rsidRPr="0012569F">
              <w:rPr>
                <w:rStyle w:val="Collegamentoipertestuale"/>
              </w:rPr>
              <w:t>Education</w:t>
            </w:r>
            <w:r w:rsidR="0053159A">
              <w:rPr>
                <w:webHidden/>
              </w:rPr>
              <w:tab/>
            </w:r>
            <w:r w:rsidR="0053159A">
              <w:rPr>
                <w:webHidden/>
              </w:rPr>
              <w:fldChar w:fldCharType="begin"/>
            </w:r>
            <w:r w:rsidR="0053159A">
              <w:rPr>
                <w:webHidden/>
              </w:rPr>
              <w:instrText xml:space="preserve"> PAGEREF _Toc500308786 \h </w:instrText>
            </w:r>
            <w:r w:rsidR="0053159A">
              <w:rPr>
                <w:webHidden/>
              </w:rPr>
            </w:r>
            <w:r w:rsidR="0053159A">
              <w:rPr>
                <w:webHidden/>
              </w:rPr>
              <w:fldChar w:fldCharType="separate"/>
            </w:r>
            <w:r w:rsidR="0053159A">
              <w:rPr>
                <w:webHidden/>
              </w:rPr>
              <w:t>89</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87" w:history="1">
            <w:r w:rsidR="0053159A" w:rsidRPr="0012569F">
              <w:rPr>
                <w:rStyle w:val="Collegamentoipertestuale"/>
              </w:rPr>
              <w:t>(b)</w:t>
            </w:r>
            <w:r w:rsidR="0053159A">
              <w:rPr>
                <w:rFonts w:asciiTheme="minorHAnsi" w:eastAsiaTheme="minorEastAsia" w:hAnsiTheme="minorHAnsi" w:cstheme="minorBidi"/>
                <w:sz w:val="24"/>
                <w:lang w:val="it-IT" w:eastAsia="it-IT"/>
              </w:rPr>
              <w:tab/>
            </w:r>
            <w:r w:rsidR="0053159A" w:rsidRPr="0012569F">
              <w:rPr>
                <w:rStyle w:val="Collegamentoipertestuale"/>
              </w:rPr>
              <w:t>Survival and development</w:t>
            </w:r>
            <w:r w:rsidR="0053159A">
              <w:rPr>
                <w:webHidden/>
              </w:rPr>
              <w:tab/>
            </w:r>
            <w:r w:rsidR="0053159A">
              <w:rPr>
                <w:webHidden/>
              </w:rPr>
              <w:fldChar w:fldCharType="begin"/>
            </w:r>
            <w:r w:rsidR="0053159A">
              <w:rPr>
                <w:webHidden/>
              </w:rPr>
              <w:instrText xml:space="preserve"> PAGEREF _Toc500308787 \h </w:instrText>
            </w:r>
            <w:r w:rsidR="0053159A">
              <w:rPr>
                <w:webHidden/>
              </w:rPr>
            </w:r>
            <w:r w:rsidR="0053159A">
              <w:rPr>
                <w:webHidden/>
              </w:rPr>
              <w:fldChar w:fldCharType="separate"/>
            </w:r>
            <w:r w:rsidR="0053159A">
              <w:rPr>
                <w:webHidden/>
              </w:rPr>
              <w:t>90</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88" w:history="1">
            <w:r w:rsidR="0053159A" w:rsidRPr="0012569F">
              <w:rPr>
                <w:rStyle w:val="Collegamentoipertestuale"/>
              </w:rPr>
              <w:t>(c)</w:t>
            </w:r>
            <w:r w:rsidR="0053159A">
              <w:rPr>
                <w:rFonts w:asciiTheme="minorHAnsi" w:eastAsiaTheme="minorEastAsia" w:hAnsiTheme="minorHAnsi" w:cstheme="minorBidi"/>
                <w:sz w:val="24"/>
                <w:lang w:val="it-IT" w:eastAsia="it-IT"/>
              </w:rPr>
              <w:tab/>
            </w:r>
            <w:r w:rsidR="0053159A" w:rsidRPr="0012569F">
              <w:rPr>
                <w:rStyle w:val="Collegamentoipertestuale"/>
              </w:rPr>
              <w:t>Health care</w:t>
            </w:r>
            <w:r w:rsidR="0053159A">
              <w:rPr>
                <w:webHidden/>
              </w:rPr>
              <w:tab/>
            </w:r>
            <w:r w:rsidR="0053159A">
              <w:rPr>
                <w:webHidden/>
              </w:rPr>
              <w:fldChar w:fldCharType="begin"/>
            </w:r>
            <w:r w:rsidR="0053159A">
              <w:rPr>
                <w:webHidden/>
              </w:rPr>
              <w:instrText xml:space="preserve"> PAGEREF _Toc500308788 \h </w:instrText>
            </w:r>
            <w:r w:rsidR="0053159A">
              <w:rPr>
                <w:webHidden/>
              </w:rPr>
            </w:r>
            <w:r w:rsidR="0053159A">
              <w:rPr>
                <w:webHidden/>
              </w:rPr>
              <w:fldChar w:fldCharType="separate"/>
            </w:r>
            <w:r w:rsidR="0053159A">
              <w:rPr>
                <w:webHidden/>
              </w:rPr>
              <w:t>90</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89" w:history="1">
            <w:r w:rsidR="0053159A" w:rsidRPr="0012569F">
              <w:rPr>
                <w:rStyle w:val="Collegamentoipertestuale"/>
              </w:rPr>
              <w:t>(d)</w:t>
            </w:r>
            <w:r w:rsidR="0053159A">
              <w:rPr>
                <w:rFonts w:asciiTheme="minorHAnsi" w:eastAsiaTheme="minorEastAsia" w:hAnsiTheme="minorHAnsi" w:cstheme="minorBidi"/>
                <w:sz w:val="24"/>
                <w:lang w:val="it-IT" w:eastAsia="it-IT"/>
              </w:rPr>
              <w:tab/>
            </w:r>
            <w:r w:rsidR="0053159A" w:rsidRPr="0012569F">
              <w:rPr>
                <w:rStyle w:val="Collegamentoipertestuale"/>
              </w:rPr>
              <w:t>Adequate standard of living</w:t>
            </w:r>
            <w:r w:rsidR="0053159A">
              <w:rPr>
                <w:webHidden/>
              </w:rPr>
              <w:tab/>
            </w:r>
            <w:r w:rsidR="0053159A">
              <w:rPr>
                <w:webHidden/>
              </w:rPr>
              <w:fldChar w:fldCharType="begin"/>
            </w:r>
            <w:r w:rsidR="0053159A">
              <w:rPr>
                <w:webHidden/>
              </w:rPr>
              <w:instrText xml:space="preserve"> PAGEREF _Toc500308789 \h </w:instrText>
            </w:r>
            <w:r w:rsidR="0053159A">
              <w:rPr>
                <w:webHidden/>
              </w:rPr>
            </w:r>
            <w:r w:rsidR="0053159A">
              <w:rPr>
                <w:webHidden/>
              </w:rPr>
              <w:fldChar w:fldCharType="separate"/>
            </w:r>
            <w:r w:rsidR="0053159A">
              <w:rPr>
                <w:webHidden/>
              </w:rPr>
              <w:t>91</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90" w:history="1">
            <w:r w:rsidR="0053159A" w:rsidRPr="0012569F">
              <w:rPr>
                <w:rStyle w:val="Collegamentoipertestuale"/>
              </w:rPr>
              <w:t>(e)</w:t>
            </w:r>
            <w:r w:rsidR="0053159A">
              <w:rPr>
                <w:rFonts w:asciiTheme="minorHAnsi" w:eastAsiaTheme="minorEastAsia" w:hAnsiTheme="minorHAnsi" w:cstheme="minorBidi"/>
                <w:sz w:val="24"/>
                <w:lang w:val="it-IT" w:eastAsia="it-IT"/>
              </w:rPr>
              <w:tab/>
            </w:r>
            <w:r w:rsidR="0053159A" w:rsidRPr="0012569F">
              <w:rPr>
                <w:rStyle w:val="Collegamentoipertestuale"/>
              </w:rPr>
              <w:t>Early childhood education and care services</w:t>
            </w:r>
            <w:r w:rsidR="0053159A">
              <w:rPr>
                <w:webHidden/>
              </w:rPr>
              <w:tab/>
            </w:r>
            <w:r w:rsidR="0053159A">
              <w:rPr>
                <w:webHidden/>
              </w:rPr>
              <w:fldChar w:fldCharType="begin"/>
            </w:r>
            <w:r w:rsidR="0053159A">
              <w:rPr>
                <w:webHidden/>
              </w:rPr>
              <w:instrText xml:space="preserve"> PAGEREF _Toc500308790 \h </w:instrText>
            </w:r>
            <w:r w:rsidR="0053159A">
              <w:rPr>
                <w:webHidden/>
              </w:rPr>
            </w:r>
            <w:r w:rsidR="0053159A">
              <w:rPr>
                <w:webHidden/>
              </w:rPr>
              <w:fldChar w:fldCharType="separate"/>
            </w:r>
            <w:r w:rsidR="0053159A">
              <w:rPr>
                <w:webHidden/>
              </w:rPr>
              <w:t>91</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91" w:history="1">
            <w:r w:rsidR="0053159A" w:rsidRPr="0012569F">
              <w:rPr>
                <w:rStyle w:val="Collegamentoipertestuale"/>
              </w:rPr>
              <w:t>(f)</w:t>
            </w:r>
            <w:r w:rsidR="0053159A">
              <w:rPr>
                <w:rFonts w:asciiTheme="minorHAnsi" w:eastAsiaTheme="minorEastAsia" w:hAnsiTheme="minorHAnsi" w:cstheme="minorBidi"/>
                <w:sz w:val="24"/>
                <w:lang w:val="it-IT" w:eastAsia="it-IT"/>
              </w:rPr>
              <w:tab/>
            </w:r>
            <w:r w:rsidR="0053159A" w:rsidRPr="0012569F">
              <w:rPr>
                <w:rStyle w:val="Collegamentoipertestuale"/>
              </w:rPr>
              <w:t>Indigenous parents and their children</w:t>
            </w:r>
            <w:r w:rsidR="0053159A">
              <w:rPr>
                <w:webHidden/>
              </w:rPr>
              <w:tab/>
            </w:r>
            <w:r w:rsidR="0053159A">
              <w:rPr>
                <w:webHidden/>
              </w:rPr>
              <w:fldChar w:fldCharType="begin"/>
            </w:r>
            <w:r w:rsidR="0053159A">
              <w:rPr>
                <w:webHidden/>
              </w:rPr>
              <w:instrText xml:space="preserve"> PAGEREF _Toc500308791 \h </w:instrText>
            </w:r>
            <w:r w:rsidR="0053159A">
              <w:rPr>
                <w:webHidden/>
              </w:rPr>
            </w:r>
            <w:r w:rsidR="0053159A">
              <w:rPr>
                <w:webHidden/>
              </w:rPr>
              <w:fldChar w:fldCharType="separate"/>
            </w:r>
            <w:r w:rsidR="0053159A">
              <w:rPr>
                <w:webHidden/>
              </w:rPr>
              <w:t>92</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792" w:history="1">
            <w:r w:rsidR="0053159A" w:rsidRPr="0012569F">
              <w:rPr>
                <w:rStyle w:val="Collegamentoipertestuale"/>
              </w:rPr>
              <w:t>3.4</w:t>
            </w:r>
            <w:r w:rsidR="0053159A">
              <w:rPr>
                <w:rFonts w:asciiTheme="minorHAnsi" w:eastAsiaTheme="minorEastAsia" w:hAnsiTheme="minorHAnsi" w:cstheme="minorBidi"/>
                <w:b w:val="0"/>
                <w:sz w:val="24"/>
                <w:lang w:val="it-IT" w:eastAsia="it-IT"/>
              </w:rPr>
              <w:tab/>
            </w:r>
            <w:r w:rsidR="0053159A" w:rsidRPr="0012569F">
              <w:rPr>
                <w:rStyle w:val="Collegamentoipertestuale"/>
              </w:rPr>
              <w:t>How the project was conducted</w:t>
            </w:r>
            <w:r w:rsidR="0053159A">
              <w:rPr>
                <w:webHidden/>
              </w:rPr>
              <w:tab/>
            </w:r>
            <w:r w:rsidR="0053159A">
              <w:rPr>
                <w:webHidden/>
              </w:rPr>
              <w:fldChar w:fldCharType="begin"/>
            </w:r>
            <w:r w:rsidR="0053159A">
              <w:rPr>
                <w:webHidden/>
              </w:rPr>
              <w:instrText xml:space="preserve"> PAGEREF _Toc500308792 \h </w:instrText>
            </w:r>
            <w:r w:rsidR="0053159A">
              <w:rPr>
                <w:webHidden/>
              </w:rPr>
            </w:r>
            <w:r w:rsidR="0053159A">
              <w:rPr>
                <w:webHidden/>
              </w:rPr>
              <w:fldChar w:fldCharType="separate"/>
            </w:r>
            <w:r w:rsidR="0053159A">
              <w:rPr>
                <w:webHidden/>
              </w:rPr>
              <w:t>92</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93" w:history="1">
            <w:r w:rsidR="0053159A" w:rsidRPr="0012569F">
              <w:rPr>
                <w:rStyle w:val="Collegamentoipertestuale"/>
              </w:rPr>
              <w:t>(a)</w:t>
            </w:r>
            <w:r w:rsidR="0053159A">
              <w:rPr>
                <w:rFonts w:asciiTheme="minorHAnsi" w:eastAsiaTheme="minorEastAsia" w:hAnsiTheme="minorHAnsi" w:cstheme="minorBidi"/>
                <w:sz w:val="24"/>
                <w:lang w:val="it-IT" w:eastAsia="it-IT"/>
              </w:rPr>
              <w:tab/>
            </w:r>
            <w:r w:rsidR="0053159A" w:rsidRPr="0012569F">
              <w:rPr>
                <w:rStyle w:val="Collegamentoipertestuale"/>
              </w:rPr>
              <w:t>Aim and focus of project</w:t>
            </w:r>
            <w:r w:rsidR="0053159A">
              <w:rPr>
                <w:webHidden/>
              </w:rPr>
              <w:tab/>
            </w:r>
            <w:r w:rsidR="0053159A">
              <w:rPr>
                <w:webHidden/>
              </w:rPr>
              <w:fldChar w:fldCharType="begin"/>
            </w:r>
            <w:r w:rsidR="0053159A">
              <w:rPr>
                <w:webHidden/>
              </w:rPr>
              <w:instrText xml:space="preserve"> PAGEREF _Toc500308793 \h </w:instrText>
            </w:r>
            <w:r w:rsidR="0053159A">
              <w:rPr>
                <w:webHidden/>
              </w:rPr>
            </w:r>
            <w:r w:rsidR="0053159A">
              <w:rPr>
                <w:webHidden/>
              </w:rPr>
              <w:fldChar w:fldCharType="separate"/>
            </w:r>
            <w:r w:rsidR="0053159A">
              <w:rPr>
                <w:webHidden/>
              </w:rPr>
              <w:t>92</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94" w:history="1">
            <w:r w:rsidR="0053159A" w:rsidRPr="0012569F">
              <w:rPr>
                <w:rStyle w:val="Collegamentoipertestuale"/>
              </w:rPr>
              <w:t>(b)</w:t>
            </w:r>
            <w:r w:rsidR="0053159A">
              <w:rPr>
                <w:rFonts w:asciiTheme="minorHAnsi" w:eastAsiaTheme="minorEastAsia" w:hAnsiTheme="minorHAnsi" w:cstheme="minorBidi"/>
                <w:sz w:val="24"/>
                <w:lang w:val="it-IT" w:eastAsia="it-IT"/>
              </w:rPr>
              <w:tab/>
            </w:r>
            <w:r w:rsidR="0053159A" w:rsidRPr="0012569F">
              <w:rPr>
                <w:rStyle w:val="Collegamentoipertestuale"/>
              </w:rPr>
              <w:t>Methodology</w:t>
            </w:r>
            <w:r w:rsidR="0053159A">
              <w:rPr>
                <w:webHidden/>
              </w:rPr>
              <w:tab/>
            </w:r>
            <w:r w:rsidR="0053159A">
              <w:rPr>
                <w:webHidden/>
              </w:rPr>
              <w:fldChar w:fldCharType="begin"/>
            </w:r>
            <w:r w:rsidR="0053159A">
              <w:rPr>
                <w:webHidden/>
              </w:rPr>
              <w:instrText xml:space="preserve"> PAGEREF _Toc500308794 \h </w:instrText>
            </w:r>
            <w:r w:rsidR="0053159A">
              <w:rPr>
                <w:webHidden/>
              </w:rPr>
            </w:r>
            <w:r w:rsidR="0053159A">
              <w:rPr>
                <w:webHidden/>
              </w:rPr>
              <w:fldChar w:fldCharType="separate"/>
            </w:r>
            <w:r w:rsidR="0053159A">
              <w:rPr>
                <w:webHidden/>
              </w:rPr>
              <w:t>93</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795" w:history="1">
            <w:r w:rsidR="0053159A" w:rsidRPr="0012569F">
              <w:rPr>
                <w:rStyle w:val="Collegamentoipertestuale"/>
              </w:rPr>
              <w:t>3.5</w:t>
            </w:r>
            <w:r w:rsidR="0053159A">
              <w:rPr>
                <w:rFonts w:asciiTheme="minorHAnsi" w:eastAsiaTheme="minorEastAsia" w:hAnsiTheme="minorHAnsi" w:cstheme="minorBidi"/>
                <w:b w:val="0"/>
                <w:sz w:val="24"/>
                <w:lang w:val="it-IT" w:eastAsia="it-IT"/>
              </w:rPr>
              <w:tab/>
            </w:r>
            <w:r w:rsidR="0053159A" w:rsidRPr="0012569F">
              <w:rPr>
                <w:rStyle w:val="Collegamentoipertestuale"/>
              </w:rPr>
              <w:t>Research and other information about young parents</w:t>
            </w:r>
            <w:r w:rsidR="0053159A">
              <w:rPr>
                <w:webHidden/>
              </w:rPr>
              <w:tab/>
            </w:r>
            <w:r w:rsidR="0053159A">
              <w:rPr>
                <w:webHidden/>
              </w:rPr>
              <w:fldChar w:fldCharType="begin"/>
            </w:r>
            <w:r w:rsidR="0053159A">
              <w:rPr>
                <w:webHidden/>
              </w:rPr>
              <w:instrText xml:space="preserve"> PAGEREF _Toc500308795 \h </w:instrText>
            </w:r>
            <w:r w:rsidR="0053159A">
              <w:rPr>
                <w:webHidden/>
              </w:rPr>
            </w:r>
            <w:r w:rsidR="0053159A">
              <w:rPr>
                <w:webHidden/>
              </w:rPr>
              <w:fldChar w:fldCharType="separate"/>
            </w:r>
            <w:r w:rsidR="0053159A">
              <w:rPr>
                <w:webHidden/>
              </w:rPr>
              <w:t>95</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96" w:history="1">
            <w:r w:rsidR="0053159A" w:rsidRPr="0012569F">
              <w:rPr>
                <w:rStyle w:val="Collegamentoipertestuale"/>
              </w:rPr>
              <w:t>(a)</w:t>
            </w:r>
            <w:r w:rsidR="0053159A">
              <w:rPr>
                <w:rFonts w:asciiTheme="minorHAnsi" w:eastAsiaTheme="minorEastAsia" w:hAnsiTheme="minorHAnsi" w:cstheme="minorBidi"/>
                <w:sz w:val="24"/>
                <w:lang w:val="it-IT" w:eastAsia="it-IT"/>
              </w:rPr>
              <w:tab/>
            </w:r>
            <w:r w:rsidR="0053159A" w:rsidRPr="0012569F">
              <w:rPr>
                <w:rStyle w:val="Collegamentoipertestuale"/>
              </w:rPr>
              <w:t>Review of available research</w:t>
            </w:r>
            <w:r w:rsidR="0053159A">
              <w:rPr>
                <w:webHidden/>
              </w:rPr>
              <w:tab/>
            </w:r>
            <w:r w:rsidR="0053159A">
              <w:rPr>
                <w:webHidden/>
              </w:rPr>
              <w:fldChar w:fldCharType="begin"/>
            </w:r>
            <w:r w:rsidR="0053159A">
              <w:rPr>
                <w:webHidden/>
              </w:rPr>
              <w:instrText xml:space="preserve"> PAGEREF _Toc500308796 \h </w:instrText>
            </w:r>
            <w:r w:rsidR="0053159A">
              <w:rPr>
                <w:webHidden/>
              </w:rPr>
            </w:r>
            <w:r w:rsidR="0053159A">
              <w:rPr>
                <w:webHidden/>
              </w:rPr>
              <w:fldChar w:fldCharType="separate"/>
            </w:r>
            <w:r w:rsidR="0053159A">
              <w:rPr>
                <w:webHidden/>
              </w:rPr>
              <w:t>95</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97" w:history="1">
            <w:r w:rsidR="0053159A" w:rsidRPr="0012569F">
              <w:rPr>
                <w:rStyle w:val="Collegamentoipertestuale"/>
              </w:rPr>
              <w:t>(b)</w:t>
            </w:r>
            <w:r w:rsidR="0053159A">
              <w:rPr>
                <w:rFonts w:asciiTheme="minorHAnsi" w:eastAsiaTheme="minorEastAsia" w:hAnsiTheme="minorHAnsi" w:cstheme="minorBidi"/>
                <w:sz w:val="24"/>
                <w:lang w:val="it-IT" w:eastAsia="it-IT"/>
              </w:rPr>
              <w:tab/>
            </w:r>
            <w:r w:rsidR="0053159A" w:rsidRPr="0012569F">
              <w:rPr>
                <w:rStyle w:val="Collegamentoipertestuale"/>
              </w:rPr>
              <w:t>Other information related to children of young parents</w:t>
            </w:r>
            <w:r w:rsidR="0053159A">
              <w:rPr>
                <w:webHidden/>
              </w:rPr>
              <w:tab/>
            </w:r>
            <w:r w:rsidR="0053159A">
              <w:rPr>
                <w:webHidden/>
              </w:rPr>
              <w:fldChar w:fldCharType="begin"/>
            </w:r>
            <w:r w:rsidR="0053159A">
              <w:rPr>
                <w:webHidden/>
              </w:rPr>
              <w:instrText xml:space="preserve"> PAGEREF _Toc500308797 \h </w:instrText>
            </w:r>
            <w:r w:rsidR="0053159A">
              <w:rPr>
                <w:webHidden/>
              </w:rPr>
            </w:r>
            <w:r w:rsidR="0053159A">
              <w:rPr>
                <w:webHidden/>
              </w:rPr>
              <w:fldChar w:fldCharType="separate"/>
            </w:r>
            <w:r w:rsidR="0053159A">
              <w:rPr>
                <w:webHidden/>
              </w:rPr>
              <w:t>111</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798" w:history="1">
            <w:r w:rsidR="0053159A" w:rsidRPr="0012569F">
              <w:rPr>
                <w:rStyle w:val="Collegamentoipertestuale"/>
              </w:rPr>
              <w:t>3.6</w:t>
            </w:r>
            <w:r w:rsidR="0053159A">
              <w:rPr>
                <w:rFonts w:asciiTheme="minorHAnsi" w:eastAsiaTheme="minorEastAsia" w:hAnsiTheme="minorHAnsi" w:cstheme="minorBidi"/>
                <w:b w:val="0"/>
                <w:sz w:val="24"/>
                <w:lang w:val="it-IT" w:eastAsia="it-IT"/>
              </w:rPr>
              <w:tab/>
            </w:r>
            <w:r w:rsidR="0053159A" w:rsidRPr="0012569F">
              <w:rPr>
                <w:rStyle w:val="Collegamentoipertestuale"/>
              </w:rPr>
              <w:t>Submissions and roundtables</w:t>
            </w:r>
            <w:r w:rsidR="0053159A">
              <w:rPr>
                <w:webHidden/>
              </w:rPr>
              <w:tab/>
            </w:r>
            <w:r w:rsidR="0053159A">
              <w:rPr>
                <w:webHidden/>
              </w:rPr>
              <w:fldChar w:fldCharType="begin"/>
            </w:r>
            <w:r w:rsidR="0053159A">
              <w:rPr>
                <w:webHidden/>
              </w:rPr>
              <w:instrText xml:space="preserve"> PAGEREF _Toc500308798 \h </w:instrText>
            </w:r>
            <w:r w:rsidR="0053159A">
              <w:rPr>
                <w:webHidden/>
              </w:rPr>
            </w:r>
            <w:r w:rsidR="0053159A">
              <w:rPr>
                <w:webHidden/>
              </w:rPr>
              <w:fldChar w:fldCharType="separate"/>
            </w:r>
            <w:r w:rsidR="0053159A">
              <w:rPr>
                <w:webHidden/>
              </w:rPr>
              <w:t>120</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799" w:history="1">
            <w:r w:rsidR="0053159A" w:rsidRPr="0012569F">
              <w:rPr>
                <w:rStyle w:val="Collegamentoipertestuale"/>
              </w:rPr>
              <w:t>(a)</w:t>
            </w:r>
            <w:r w:rsidR="0053159A">
              <w:rPr>
                <w:rFonts w:asciiTheme="minorHAnsi" w:eastAsiaTheme="minorEastAsia" w:hAnsiTheme="minorHAnsi" w:cstheme="minorBidi"/>
                <w:sz w:val="24"/>
                <w:lang w:val="it-IT" w:eastAsia="it-IT"/>
              </w:rPr>
              <w:tab/>
            </w:r>
            <w:r w:rsidR="0053159A" w:rsidRPr="0012569F">
              <w:rPr>
                <w:rStyle w:val="Collegamentoipertestuale"/>
              </w:rPr>
              <w:t>Risk factors of young parenthood</w:t>
            </w:r>
            <w:r w:rsidR="0053159A">
              <w:rPr>
                <w:webHidden/>
              </w:rPr>
              <w:tab/>
            </w:r>
            <w:r w:rsidR="0053159A">
              <w:rPr>
                <w:webHidden/>
              </w:rPr>
              <w:fldChar w:fldCharType="begin"/>
            </w:r>
            <w:r w:rsidR="0053159A">
              <w:rPr>
                <w:webHidden/>
              </w:rPr>
              <w:instrText xml:space="preserve"> PAGEREF _Toc500308799 \h </w:instrText>
            </w:r>
            <w:r w:rsidR="0053159A">
              <w:rPr>
                <w:webHidden/>
              </w:rPr>
            </w:r>
            <w:r w:rsidR="0053159A">
              <w:rPr>
                <w:webHidden/>
              </w:rPr>
              <w:fldChar w:fldCharType="separate"/>
            </w:r>
            <w:r w:rsidR="0053159A">
              <w:rPr>
                <w:webHidden/>
              </w:rPr>
              <w:t>120</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00" w:history="1">
            <w:r w:rsidR="0053159A" w:rsidRPr="0012569F">
              <w:rPr>
                <w:rStyle w:val="Collegamentoipertestuale"/>
              </w:rPr>
              <w:t>(b)</w:t>
            </w:r>
            <w:r w:rsidR="0053159A">
              <w:rPr>
                <w:rFonts w:asciiTheme="minorHAnsi" w:eastAsiaTheme="minorEastAsia" w:hAnsiTheme="minorHAnsi" w:cstheme="minorBidi"/>
                <w:sz w:val="24"/>
                <w:lang w:val="it-IT" w:eastAsia="it-IT"/>
              </w:rPr>
              <w:tab/>
            </w:r>
            <w:r w:rsidR="0053159A" w:rsidRPr="0012569F">
              <w:rPr>
                <w:rStyle w:val="Collegamentoipertestuale"/>
              </w:rPr>
              <w:t>Stigma, prejudice and discrimination</w:t>
            </w:r>
            <w:r w:rsidR="0053159A">
              <w:rPr>
                <w:webHidden/>
              </w:rPr>
              <w:tab/>
            </w:r>
            <w:r w:rsidR="0053159A">
              <w:rPr>
                <w:webHidden/>
              </w:rPr>
              <w:fldChar w:fldCharType="begin"/>
            </w:r>
            <w:r w:rsidR="0053159A">
              <w:rPr>
                <w:webHidden/>
              </w:rPr>
              <w:instrText xml:space="preserve"> PAGEREF _Toc500308800 \h </w:instrText>
            </w:r>
            <w:r w:rsidR="0053159A">
              <w:rPr>
                <w:webHidden/>
              </w:rPr>
            </w:r>
            <w:r w:rsidR="0053159A">
              <w:rPr>
                <w:webHidden/>
              </w:rPr>
              <w:fldChar w:fldCharType="separate"/>
            </w:r>
            <w:r w:rsidR="0053159A">
              <w:rPr>
                <w:webHidden/>
              </w:rPr>
              <w:t>121</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01" w:history="1">
            <w:r w:rsidR="0053159A" w:rsidRPr="0012569F">
              <w:rPr>
                <w:rStyle w:val="Collegamentoipertestuale"/>
              </w:rPr>
              <w:t>(c)</w:t>
            </w:r>
            <w:r w:rsidR="0053159A">
              <w:rPr>
                <w:rFonts w:asciiTheme="minorHAnsi" w:eastAsiaTheme="minorEastAsia" w:hAnsiTheme="minorHAnsi" w:cstheme="minorBidi"/>
                <w:sz w:val="24"/>
                <w:lang w:val="it-IT" w:eastAsia="it-IT"/>
              </w:rPr>
              <w:tab/>
            </w:r>
            <w:r w:rsidR="0053159A" w:rsidRPr="0012569F">
              <w:rPr>
                <w:rStyle w:val="Collegamentoipertestuale"/>
              </w:rPr>
              <w:t>Child protection and family and domestic violence</w:t>
            </w:r>
            <w:r w:rsidR="0053159A">
              <w:rPr>
                <w:webHidden/>
              </w:rPr>
              <w:tab/>
            </w:r>
            <w:r w:rsidR="0053159A">
              <w:rPr>
                <w:webHidden/>
              </w:rPr>
              <w:fldChar w:fldCharType="begin"/>
            </w:r>
            <w:r w:rsidR="0053159A">
              <w:rPr>
                <w:webHidden/>
              </w:rPr>
              <w:instrText xml:space="preserve"> PAGEREF _Toc500308801 \h </w:instrText>
            </w:r>
            <w:r w:rsidR="0053159A">
              <w:rPr>
                <w:webHidden/>
              </w:rPr>
            </w:r>
            <w:r w:rsidR="0053159A">
              <w:rPr>
                <w:webHidden/>
              </w:rPr>
              <w:fldChar w:fldCharType="separate"/>
            </w:r>
            <w:r w:rsidR="0053159A">
              <w:rPr>
                <w:webHidden/>
              </w:rPr>
              <w:t>123</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02" w:history="1">
            <w:r w:rsidR="0053159A" w:rsidRPr="0012569F">
              <w:rPr>
                <w:rStyle w:val="Collegamentoipertestuale"/>
              </w:rPr>
              <w:t>(d)</w:t>
            </w:r>
            <w:r w:rsidR="0053159A">
              <w:rPr>
                <w:rFonts w:asciiTheme="minorHAnsi" w:eastAsiaTheme="minorEastAsia" w:hAnsiTheme="minorHAnsi" w:cstheme="minorBidi"/>
                <w:sz w:val="24"/>
                <w:lang w:val="it-IT" w:eastAsia="it-IT"/>
              </w:rPr>
              <w:tab/>
            </w:r>
            <w:r w:rsidR="0053159A" w:rsidRPr="0012569F">
              <w:rPr>
                <w:rStyle w:val="Collegamentoipertestuale"/>
              </w:rPr>
              <w:t>Access to early childhood education and care services</w:t>
            </w:r>
            <w:r w:rsidR="0053159A">
              <w:rPr>
                <w:webHidden/>
              </w:rPr>
              <w:tab/>
            </w:r>
            <w:r w:rsidR="0053159A">
              <w:rPr>
                <w:webHidden/>
              </w:rPr>
              <w:fldChar w:fldCharType="begin"/>
            </w:r>
            <w:r w:rsidR="0053159A">
              <w:rPr>
                <w:webHidden/>
              </w:rPr>
              <w:instrText xml:space="preserve"> PAGEREF _Toc500308802 \h </w:instrText>
            </w:r>
            <w:r w:rsidR="0053159A">
              <w:rPr>
                <w:webHidden/>
              </w:rPr>
            </w:r>
            <w:r w:rsidR="0053159A">
              <w:rPr>
                <w:webHidden/>
              </w:rPr>
              <w:fldChar w:fldCharType="separate"/>
            </w:r>
            <w:r w:rsidR="0053159A">
              <w:rPr>
                <w:webHidden/>
              </w:rPr>
              <w:t>125</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03" w:history="1">
            <w:r w:rsidR="0053159A" w:rsidRPr="0012569F">
              <w:rPr>
                <w:rStyle w:val="Collegamentoipertestuale"/>
              </w:rPr>
              <w:t>(e)</w:t>
            </w:r>
            <w:r w:rsidR="0053159A">
              <w:rPr>
                <w:rFonts w:asciiTheme="minorHAnsi" w:eastAsiaTheme="minorEastAsia" w:hAnsiTheme="minorHAnsi" w:cstheme="minorBidi"/>
                <w:sz w:val="24"/>
                <w:lang w:val="it-IT" w:eastAsia="it-IT"/>
              </w:rPr>
              <w:tab/>
            </w:r>
            <w:r w:rsidR="0053159A" w:rsidRPr="0012569F">
              <w:rPr>
                <w:rStyle w:val="Collegamentoipertestuale"/>
              </w:rPr>
              <w:t>Health, sexual health and contraception education</w:t>
            </w:r>
            <w:r w:rsidR="0053159A">
              <w:rPr>
                <w:webHidden/>
              </w:rPr>
              <w:tab/>
            </w:r>
            <w:r w:rsidR="0053159A">
              <w:rPr>
                <w:webHidden/>
              </w:rPr>
              <w:fldChar w:fldCharType="begin"/>
            </w:r>
            <w:r w:rsidR="0053159A">
              <w:rPr>
                <w:webHidden/>
              </w:rPr>
              <w:instrText xml:space="preserve"> PAGEREF _Toc500308803 \h </w:instrText>
            </w:r>
            <w:r w:rsidR="0053159A">
              <w:rPr>
                <w:webHidden/>
              </w:rPr>
            </w:r>
            <w:r w:rsidR="0053159A">
              <w:rPr>
                <w:webHidden/>
              </w:rPr>
              <w:fldChar w:fldCharType="separate"/>
            </w:r>
            <w:r w:rsidR="0053159A">
              <w:rPr>
                <w:webHidden/>
              </w:rPr>
              <w:t>127</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04" w:history="1">
            <w:r w:rsidR="0053159A" w:rsidRPr="0012569F">
              <w:rPr>
                <w:rStyle w:val="Collegamentoipertestuale"/>
              </w:rPr>
              <w:t>(f)</w:t>
            </w:r>
            <w:r w:rsidR="0053159A">
              <w:rPr>
                <w:rFonts w:asciiTheme="minorHAnsi" w:eastAsiaTheme="minorEastAsia" w:hAnsiTheme="minorHAnsi" w:cstheme="minorBidi"/>
                <w:sz w:val="24"/>
                <w:lang w:val="it-IT" w:eastAsia="it-IT"/>
              </w:rPr>
              <w:tab/>
            </w:r>
            <w:r w:rsidR="0053159A" w:rsidRPr="0012569F">
              <w:rPr>
                <w:rStyle w:val="Collegamentoipertestuale"/>
              </w:rPr>
              <w:t>Transport and driver’s licences</w:t>
            </w:r>
            <w:r w:rsidR="0053159A">
              <w:rPr>
                <w:webHidden/>
              </w:rPr>
              <w:tab/>
            </w:r>
            <w:r w:rsidR="0053159A">
              <w:rPr>
                <w:webHidden/>
              </w:rPr>
              <w:fldChar w:fldCharType="begin"/>
            </w:r>
            <w:r w:rsidR="0053159A">
              <w:rPr>
                <w:webHidden/>
              </w:rPr>
              <w:instrText xml:space="preserve"> PAGEREF _Toc500308804 \h </w:instrText>
            </w:r>
            <w:r w:rsidR="0053159A">
              <w:rPr>
                <w:webHidden/>
              </w:rPr>
            </w:r>
            <w:r w:rsidR="0053159A">
              <w:rPr>
                <w:webHidden/>
              </w:rPr>
              <w:fldChar w:fldCharType="separate"/>
            </w:r>
            <w:r w:rsidR="0053159A">
              <w:rPr>
                <w:webHidden/>
              </w:rPr>
              <w:t>128</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05" w:history="1">
            <w:r w:rsidR="0053159A" w:rsidRPr="0012569F">
              <w:rPr>
                <w:rStyle w:val="Collegamentoipertestuale"/>
              </w:rPr>
              <w:t>(g)</w:t>
            </w:r>
            <w:r w:rsidR="0053159A">
              <w:rPr>
                <w:rFonts w:asciiTheme="minorHAnsi" w:eastAsiaTheme="minorEastAsia" w:hAnsiTheme="minorHAnsi" w:cstheme="minorBidi"/>
                <w:sz w:val="24"/>
                <w:lang w:val="it-IT" w:eastAsia="it-IT"/>
              </w:rPr>
              <w:tab/>
            </w:r>
            <w:r w:rsidR="0053159A" w:rsidRPr="0012569F">
              <w:rPr>
                <w:rStyle w:val="Collegamentoipertestuale"/>
              </w:rPr>
              <w:t>Education, employment and economic security</w:t>
            </w:r>
            <w:r w:rsidR="0053159A">
              <w:rPr>
                <w:webHidden/>
              </w:rPr>
              <w:tab/>
            </w:r>
            <w:r w:rsidR="0053159A">
              <w:rPr>
                <w:webHidden/>
              </w:rPr>
              <w:fldChar w:fldCharType="begin"/>
            </w:r>
            <w:r w:rsidR="0053159A">
              <w:rPr>
                <w:webHidden/>
              </w:rPr>
              <w:instrText xml:space="preserve"> PAGEREF _Toc500308805 \h </w:instrText>
            </w:r>
            <w:r w:rsidR="0053159A">
              <w:rPr>
                <w:webHidden/>
              </w:rPr>
            </w:r>
            <w:r w:rsidR="0053159A">
              <w:rPr>
                <w:webHidden/>
              </w:rPr>
              <w:fldChar w:fldCharType="separate"/>
            </w:r>
            <w:r w:rsidR="0053159A">
              <w:rPr>
                <w:webHidden/>
              </w:rPr>
              <w:t>129</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06" w:history="1">
            <w:r w:rsidR="0053159A" w:rsidRPr="0012569F">
              <w:rPr>
                <w:rStyle w:val="Collegamentoipertestuale"/>
              </w:rPr>
              <w:t>(h)</w:t>
            </w:r>
            <w:r w:rsidR="0053159A">
              <w:rPr>
                <w:rFonts w:asciiTheme="minorHAnsi" w:eastAsiaTheme="minorEastAsia" w:hAnsiTheme="minorHAnsi" w:cstheme="minorBidi"/>
                <w:sz w:val="24"/>
                <w:lang w:val="it-IT" w:eastAsia="it-IT"/>
              </w:rPr>
              <w:tab/>
            </w:r>
            <w:r w:rsidR="0053159A" w:rsidRPr="0012569F">
              <w:rPr>
                <w:rStyle w:val="Collegamentoipertestuale"/>
              </w:rPr>
              <w:t>Housing</w:t>
            </w:r>
            <w:r w:rsidR="0053159A">
              <w:rPr>
                <w:webHidden/>
              </w:rPr>
              <w:tab/>
            </w:r>
            <w:r w:rsidR="0053159A">
              <w:rPr>
                <w:webHidden/>
              </w:rPr>
              <w:fldChar w:fldCharType="begin"/>
            </w:r>
            <w:r w:rsidR="0053159A">
              <w:rPr>
                <w:webHidden/>
              </w:rPr>
              <w:instrText xml:space="preserve"> PAGEREF _Toc500308806 \h </w:instrText>
            </w:r>
            <w:r w:rsidR="0053159A">
              <w:rPr>
                <w:webHidden/>
              </w:rPr>
            </w:r>
            <w:r w:rsidR="0053159A">
              <w:rPr>
                <w:webHidden/>
              </w:rPr>
              <w:fldChar w:fldCharType="separate"/>
            </w:r>
            <w:r w:rsidR="0053159A">
              <w:rPr>
                <w:webHidden/>
              </w:rPr>
              <w:t>133</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07" w:history="1">
            <w:r w:rsidR="0053159A" w:rsidRPr="0012569F">
              <w:rPr>
                <w:rStyle w:val="Collegamentoipertestuale"/>
              </w:rPr>
              <w:t>(i)</w:t>
            </w:r>
            <w:r w:rsidR="0053159A">
              <w:rPr>
                <w:rFonts w:asciiTheme="minorHAnsi" w:eastAsiaTheme="minorEastAsia" w:hAnsiTheme="minorHAnsi" w:cstheme="minorBidi"/>
                <w:sz w:val="24"/>
                <w:lang w:val="it-IT" w:eastAsia="it-IT"/>
              </w:rPr>
              <w:tab/>
            </w:r>
            <w:r w:rsidR="0053159A" w:rsidRPr="0012569F">
              <w:rPr>
                <w:rStyle w:val="Collegamentoipertestuale"/>
              </w:rPr>
              <w:t>Cultural safety</w:t>
            </w:r>
            <w:r w:rsidR="0053159A">
              <w:rPr>
                <w:webHidden/>
              </w:rPr>
              <w:tab/>
            </w:r>
            <w:r w:rsidR="0053159A">
              <w:rPr>
                <w:webHidden/>
              </w:rPr>
              <w:fldChar w:fldCharType="begin"/>
            </w:r>
            <w:r w:rsidR="0053159A">
              <w:rPr>
                <w:webHidden/>
              </w:rPr>
              <w:instrText xml:space="preserve"> PAGEREF _Toc500308807 \h </w:instrText>
            </w:r>
            <w:r w:rsidR="0053159A">
              <w:rPr>
                <w:webHidden/>
              </w:rPr>
            </w:r>
            <w:r w:rsidR="0053159A">
              <w:rPr>
                <w:webHidden/>
              </w:rPr>
              <w:fldChar w:fldCharType="separate"/>
            </w:r>
            <w:r w:rsidR="0053159A">
              <w:rPr>
                <w:webHidden/>
              </w:rPr>
              <w:t>135</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08" w:history="1">
            <w:r w:rsidR="0053159A" w:rsidRPr="0012569F">
              <w:rPr>
                <w:rStyle w:val="Collegamentoipertestuale"/>
              </w:rPr>
              <w:t>(j)</w:t>
            </w:r>
            <w:r w:rsidR="0053159A">
              <w:rPr>
                <w:rFonts w:asciiTheme="minorHAnsi" w:eastAsiaTheme="minorEastAsia" w:hAnsiTheme="minorHAnsi" w:cstheme="minorBidi"/>
                <w:sz w:val="24"/>
                <w:lang w:val="it-IT" w:eastAsia="it-IT"/>
              </w:rPr>
              <w:tab/>
            </w:r>
            <w:r w:rsidR="0053159A" w:rsidRPr="0012569F">
              <w:rPr>
                <w:rStyle w:val="Collegamentoipertestuale"/>
              </w:rPr>
              <w:t>Young fathers</w:t>
            </w:r>
            <w:r w:rsidR="0053159A">
              <w:rPr>
                <w:webHidden/>
              </w:rPr>
              <w:tab/>
            </w:r>
            <w:r w:rsidR="0053159A">
              <w:rPr>
                <w:webHidden/>
              </w:rPr>
              <w:fldChar w:fldCharType="begin"/>
            </w:r>
            <w:r w:rsidR="0053159A">
              <w:rPr>
                <w:webHidden/>
              </w:rPr>
              <w:instrText xml:space="preserve"> PAGEREF _Toc500308808 \h </w:instrText>
            </w:r>
            <w:r w:rsidR="0053159A">
              <w:rPr>
                <w:webHidden/>
              </w:rPr>
            </w:r>
            <w:r w:rsidR="0053159A">
              <w:rPr>
                <w:webHidden/>
              </w:rPr>
              <w:fldChar w:fldCharType="separate"/>
            </w:r>
            <w:r w:rsidR="0053159A">
              <w:rPr>
                <w:webHidden/>
              </w:rPr>
              <w:t>137</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09" w:history="1">
            <w:r w:rsidR="0053159A" w:rsidRPr="0012569F">
              <w:rPr>
                <w:rStyle w:val="Collegamentoipertestuale"/>
              </w:rPr>
              <w:t>(k)</w:t>
            </w:r>
            <w:r w:rsidR="0053159A">
              <w:rPr>
                <w:rFonts w:asciiTheme="minorHAnsi" w:eastAsiaTheme="minorEastAsia" w:hAnsiTheme="minorHAnsi" w:cstheme="minorBidi"/>
                <w:sz w:val="24"/>
                <w:lang w:val="it-IT" w:eastAsia="it-IT"/>
              </w:rPr>
              <w:tab/>
            </w:r>
            <w:r w:rsidR="0053159A" w:rsidRPr="0012569F">
              <w:rPr>
                <w:rStyle w:val="Collegamentoipertestuale"/>
              </w:rPr>
              <w:t>Lost in transition: Service disconnection</w:t>
            </w:r>
            <w:r w:rsidR="0053159A">
              <w:rPr>
                <w:webHidden/>
              </w:rPr>
              <w:tab/>
            </w:r>
            <w:r w:rsidR="0053159A">
              <w:rPr>
                <w:webHidden/>
              </w:rPr>
              <w:fldChar w:fldCharType="begin"/>
            </w:r>
            <w:r w:rsidR="0053159A">
              <w:rPr>
                <w:webHidden/>
              </w:rPr>
              <w:instrText xml:space="preserve"> PAGEREF _Toc500308809 \h </w:instrText>
            </w:r>
            <w:r w:rsidR="0053159A">
              <w:rPr>
                <w:webHidden/>
              </w:rPr>
            </w:r>
            <w:r w:rsidR="0053159A">
              <w:rPr>
                <w:webHidden/>
              </w:rPr>
              <w:fldChar w:fldCharType="separate"/>
            </w:r>
            <w:r w:rsidR="0053159A">
              <w:rPr>
                <w:webHidden/>
              </w:rPr>
              <w:t>139</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810" w:history="1">
            <w:r w:rsidR="0053159A" w:rsidRPr="0012569F">
              <w:rPr>
                <w:rStyle w:val="Collegamentoipertestuale"/>
              </w:rPr>
              <w:t>3.7</w:t>
            </w:r>
            <w:r w:rsidR="0053159A">
              <w:rPr>
                <w:rFonts w:asciiTheme="minorHAnsi" w:eastAsiaTheme="minorEastAsia" w:hAnsiTheme="minorHAnsi" w:cstheme="minorBidi"/>
                <w:b w:val="0"/>
                <w:sz w:val="24"/>
                <w:lang w:val="it-IT" w:eastAsia="it-IT"/>
              </w:rPr>
              <w:tab/>
            </w:r>
            <w:r w:rsidR="0053159A" w:rsidRPr="0012569F">
              <w:rPr>
                <w:rStyle w:val="Collegamentoipertestuale"/>
              </w:rPr>
              <w:t>What young parents said</w:t>
            </w:r>
            <w:r w:rsidR="0053159A">
              <w:rPr>
                <w:webHidden/>
              </w:rPr>
              <w:tab/>
            </w:r>
            <w:r w:rsidR="0053159A">
              <w:rPr>
                <w:webHidden/>
              </w:rPr>
              <w:fldChar w:fldCharType="begin"/>
            </w:r>
            <w:r w:rsidR="0053159A">
              <w:rPr>
                <w:webHidden/>
              </w:rPr>
              <w:instrText xml:space="preserve"> PAGEREF _Toc500308810 \h </w:instrText>
            </w:r>
            <w:r w:rsidR="0053159A">
              <w:rPr>
                <w:webHidden/>
              </w:rPr>
            </w:r>
            <w:r w:rsidR="0053159A">
              <w:rPr>
                <w:webHidden/>
              </w:rPr>
              <w:fldChar w:fldCharType="separate"/>
            </w:r>
            <w:r w:rsidR="0053159A">
              <w:rPr>
                <w:webHidden/>
              </w:rPr>
              <w:t>141</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11" w:history="1">
            <w:r w:rsidR="0053159A" w:rsidRPr="0012569F">
              <w:rPr>
                <w:rStyle w:val="Collegamentoipertestuale"/>
              </w:rPr>
              <w:t>(a)</w:t>
            </w:r>
            <w:r w:rsidR="0053159A">
              <w:rPr>
                <w:rFonts w:asciiTheme="minorHAnsi" w:eastAsiaTheme="minorEastAsia" w:hAnsiTheme="minorHAnsi" w:cstheme="minorBidi"/>
                <w:sz w:val="24"/>
                <w:lang w:val="it-IT" w:eastAsia="it-IT"/>
              </w:rPr>
              <w:tab/>
            </w:r>
            <w:r w:rsidR="0053159A" w:rsidRPr="0012569F">
              <w:rPr>
                <w:rStyle w:val="Collegamentoipertestuale"/>
              </w:rPr>
              <w:t>Who we spoke with</w:t>
            </w:r>
            <w:r w:rsidR="0053159A">
              <w:rPr>
                <w:webHidden/>
              </w:rPr>
              <w:tab/>
            </w:r>
            <w:r w:rsidR="0053159A">
              <w:rPr>
                <w:webHidden/>
              </w:rPr>
              <w:fldChar w:fldCharType="begin"/>
            </w:r>
            <w:r w:rsidR="0053159A">
              <w:rPr>
                <w:webHidden/>
              </w:rPr>
              <w:instrText xml:space="preserve"> PAGEREF _Toc500308811 \h </w:instrText>
            </w:r>
            <w:r w:rsidR="0053159A">
              <w:rPr>
                <w:webHidden/>
              </w:rPr>
            </w:r>
            <w:r w:rsidR="0053159A">
              <w:rPr>
                <w:webHidden/>
              </w:rPr>
              <w:fldChar w:fldCharType="separate"/>
            </w:r>
            <w:r w:rsidR="0053159A">
              <w:rPr>
                <w:webHidden/>
              </w:rPr>
              <w:t>141</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12" w:history="1">
            <w:r w:rsidR="0053159A" w:rsidRPr="0012569F">
              <w:rPr>
                <w:rStyle w:val="Collegamentoipertestuale"/>
              </w:rPr>
              <w:t>(b)</w:t>
            </w:r>
            <w:r w:rsidR="0053159A">
              <w:rPr>
                <w:rFonts w:asciiTheme="minorHAnsi" w:eastAsiaTheme="minorEastAsia" w:hAnsiTheme="minorHAnsi" w:cstheme="minorBidi"/>
                <w:sz w:val="24"/>
                <w:lang w:val="it-IT" w:eastAsia="it-IT"/>
              </w:rPr>
              <w:tab/>
            </w:r>
            <w:r w:rsidR="0053159A" w:rsidRPr="0012569F">
              <w:rPr>
                <w:rStyle w:val="Collegamentoipertestuale"/>
              </w:rPr>
              <w:t>Education</w:t>
            </w:r>
            <w:r w:rsidR="0053159A">
              <w:rPr>
                <w:webHidden/>
              </w:rPr>
              <w:tab/>
            </w:r>
            <w:r w:rsidR="0053159A">
              <w:rPr>
                <w:webHidden/>
              </w:rPr>
              <w:fldChar w:fldCharType="begin"/>
            </w:r>
            <w:r w:rsidR="0053159A">
              <w:rPr>
                <w:webHidden/>
              </w:rPr>
              <w:instrText xml:space="preserve"> PAGEREF _Toc500308812 \h </w:instrText>
            </w:r>
            <w:r w:rsidR="0053159A">
              <w:rPr>
                <w:webHidden/>
              </w:rPr>
            </w:r>
            <w:r w:rsidR="0053159A">
              <w:rPr>
                <w:webHidden/>
              </w:rPr>
              <w:fldChar w:fldCharType="separate"/>
            </w:r>
            <w:r w:rsidR="0053159A">
              <w:rPr>
                <w:webHidden/>
              </w:rPr>
              <w:t>143</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13" w:history="1">
            <w:r w:rsidR="0053159A" w:rsidRPr="0012569F">
              <w:rPr>
                <w:rStyle w:val="Collegamentoipertestuale"/>
              </w:rPr>
              <w:t>(c)</w:t>
            </w:r>
            <w:r w:rsidR="0053159A">
              <w:rPr>
                <w:rFonts w:asciiTheme="minorHAnsi" w:eastAsiaTheme="minorEastAsia" w:hAnsiTheme="minorHAnsi" w:cstheme="minorBidi"/>
                <w:sz w:val="24"/>
                <w:lang w:val="it-IT" w:eastAsia="it-IT"/>
              </w:rPr>
              <w:tab/>
            </w:r>
            <w:r w:rsidR="0053159A" w:rsidRPr="0012569F">
              <w:rPr>
                <w:rStyle w:val="Collegamentoipertestuale"/>
              </w:rPr>
              <w:t>Employment</w:t>
            </w:r>
            <w:r w:rsidR="0053159A">
              <w:rPr>
                <w:webHidden/>
              </w:rPr>
              <w:tab/>
            </w:r>
            <w:r w:rsidR="0053159A">
              <w:rPr>
                <w:webHidden/>
              </w:rPr>
              <w:fldChar w:fldCharType="begin"/>
            </w:r>
            <w:r w:rsidR="0053159A">
              <w:rPr>
                <w:webHidden/>
              </w:rPr>
              <w:instrText xml:space="preserve"> PAGEREF _Toc500308813 \h </w:instrText>
            </w:r>
            <w:r w:rsidR="0053159A">
              <w:rPr>
                <w:webHidden/>
              </w:rPr>
            </w:r>
            <w:r w:rsidR="0053159A">
              <w:rPr>
                <w:webHidden/>
              </w:rPr>
              <w:fldChar w:fldCharType="separate"/>
            </w:r>
            <w:r w:rsidR="0053159A">
              <w:rPr>
                <w:webHidden/>
              </w:rPr>
              <w:t>145</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14" w:history="1">
            <w:r w:rsidR="0053159A" w:rsidRPr="0012569F">
              <w:rPr>
                <w:rStyle w:val="Collegamentoipertestuale"/>
              </w:rPr>
              <w:t>(d)</w:t>
            </w:r>
            <w:r w:rsidR="0053159A">
              <w:rPr>
                <w:rFonts w:asciiTheme="minorHAnsi" w:eastAsiaTheme="minorEastAsia" w:hAnsiTheme="minorHAnsi" w:cstheme="minorBidi"/>
                <w:sz w:val="24"/>
                <w:lang w:val="it-IT" w:eastAsia="it-IT"/>
              </w:rPr>
              <w:tab/>
            </w:r>
            <w:r w:rsidR="0053159A" w:rsidRPr="0012569F">
              <w:rPr>
                <w:rStyle w:val="Collegamentoipertestuale"/>
              </w:rPr>
              <w:t>Health care and information</w:t>
            </w:r>
            <w:r w:rsidR="0053159A">
              <w:rPr>
                <w:webHidden/>
              </w:rPr>
              <w:tab/>
            </w:r>
            <w:r w:rsidR="0053159A">
              <w:rPr>
                <w:webHidden/>
              </w:rPr>
              <w:fldChar w:fldCharType="begin"/>
            </w:r>
            <w:r w:rsidR="0053159A">
              <w:rPr>
                <w:webHidden/>
              </w:rPr>
              <w:instrText xml:space="preserve"> PAGEREF _Toc500308814 \h </w:instrText>
            </w:r>
            <w:r w:rsidR="0053159A">
              <w:rPr>
                <w:webHidden/>
              </w:rPr>
            </w:r>
            <w:r w:rsidR="0053159A">
              <w:rPr>
                <w:webHidden/>
              </w:rPr>
              <w:fldChar w:fldCharType="separate"/>
            </w:r>
            <w:r w:rsidR="0053159A">
              <w:rPr>
                <w:webHidden/>
              </w:rPr>
              <w:t>146</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15" w:history="1">
            <w:r w:rsidR="0053159A" w:rsidRPr="0012569F">
              <w:rPr>
                <w:rStyle w:val="Collegamentoipertestuale"/>
              </w:rPr>
              <w:t>(e)</w:t>
            </w:r>
            <w:r w:rsidR="0053159A">
              <w:rPr>
                <w:rFonts w:asciiTheme="minorHAnsi" w:eastAsiaTheme="minorEastAsia" w:hAnsiTheme="minorHAnsi" w:cstheme="minorBidi"/>
                <w:sz w:val="24"/>
                <w:lang w:val="it-IT" w:eastAsia="it-IT"/>
              </w:rPr>
              <w:tab/>
            </w:r>
            <w:r w:rsidR="0053159A" w:rsidRPr="0012569F">
              <w:rPr>
                <w:rStyle w:val="Collegamentoipertestuale"/>
              </w:rPr>
              <w:t>Stigma, prejudice and lack of respect</w:t>
            </w:r>
            <w:r w:rsidR="0053159A">
              <w:rPr>
                <w:webHidden/>
              </w:rPr>
              <w:tab/>
            </w:r>
            <w:r w:rsidR="0053159A">
              <w:rPr>
                <w:webHidden/>
              </w:rPr>
              <w:fldChar w:fldCharType="begin"/>
            </w:r>
            <w:r w:rsidR="0053159A">
              <w:rPr>
                <w:webHidden/>
              </w:rPr>
              <w:instrText xml:space="preserve"> PAGEREF _Toc500308815 \h </w:instrText>
            </w:r>
            <w:r w:rsidR="0053159A">
              <w:rPr>
                <w:webHidden/>
              </w:rPr>
            </w:r>
            <w:r w:rsidR="0053159A">
              <w:rPr>
                <w:webHidden/>
              </w:rPr>
              <w:fldChar w:fldCharType="separate"/>
            </w:r>
            <w:r w:rsidR="0053159A">
              <w:rPr>
                <w:webHidden/>
              </w:rPr>
              <w:t>147</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16" w:history="1">
            <w:r w:rsidR="0053159A" w:rsidRPr="0012569F">
              <w:rPr>
                <w:rStyle w:val="Collegamentoipertestuale"/>
              </w:rPr>
              <w:t>(f)</w:t>
            </w:r>
            <w:r w:rsidR="0053159A">
              <w:rPr>
                <w:rFonts w:asciiTheme="minorHAnsi" w:eastAsiaTheme="minorEastAsia" w:hAnsiTheme="minorHAnsi" w:cstheme="minorBidi"/>
                <w:sz w:val="24"/>
                <w:lang w:val="it-IT" w:eastAsia="it-IT"/>
              </w:rPr>
              <w:tab/>
            </w:r>
            <w:r w:rsidR="0053159A" w:rsidRPr="0012569F">
              <w:rPr>
                <w:rStyle w:val="Collegamentoipertestuale"/>
              </w:rPr>
              <w:t>Affordable early childhood education and care services</w:t>
            </w:r>
            <w:r w:rsidR="0053159A">
              <w:rPr>
                <w:webHidden/>
              </w:rPr>
              <w:tab/>
            </w:r>
            <w:r w:rsidR="0053159A">
              <w:rPr>
                <w:webHidden/>
              </w:rPr>
              <w:fldChar w:fldCharType="begin"/>
            </w:r>
            <w:r w:rsidR="0053159A">
              <w:rPr>
                <w:webHidden/>
              </w:rPr>
              <w:instrText xml:space="preserve"> PAGEREF _Toc500308816 \h </w:instrText>
            </w:r>
            <w:r w:rsidR="0053159A">
              <w:rPr>
                <w:webHidden/>
              </w:rPr>
            </w:r>
            <w:r w:rsidR="0053159A">
              <w:rPr>
                <w:webHidden/>
              </w:rPr>
              <w:fldChar w:fldCharType="separate"/>
            </w:r>
            <w:r w:rsidR="0053159A">
              <w:rPr>
                <w:webHidden/>
              </w:rPr>
              <w:t>149</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17" w:history="1">
            <w:r w:rsidR="0053159A" w:rsidRPr="0012569F">
              <w:rPr>
                <w:rStyle w:val="Collegamentoipertestuale"/>
              </w:rPr>
              <w:t>(g)</w:t>
            </w:r>
            <w:r w:rsidR="0053159A">
              <w:rPr>
                <w:rFonts w:asciiTheme="minorHAnsi" w:eastAsiaTheme="minorEastAsia" w:hAnsiTheme="minorHAnsi" w:cstheme="minorBidi"/>
                <w:sz w:val="24"/>
                <w:lang w:val="it-IT" w:eastAsia="it-IT"/>
              </w:rPr>
              <w:tab/>
            </w:r>
            <w:r w:rsidR="0053159A" w:rsidRPr="0012569F">
              <w:rPr>
                <w:rStyle w:val="Collegamentoipertestuale"/>
              </w:rPr>
              <w:t>Accommodation</w:t>
            </w:r>
            <w:r w:rsidR="0053159A">
              <w:rPr>
                <w:webHidden/>
              </w:rPr>
              <w:tab/>
            </w:r>
            <w:r w:rsidR="0053159A">
              <w:rPr>
                <w:webHidden/>
              </w:rPr>
              <w:fldChar w:fldCharType="begin"/>
            </w:r>
            <w:r w:rsidR="0053159A">
              <w:rPr>
                <w:webHidden/>
              </w:rPr>
              <w:instrText xml:space="preserve"> PAGEREF _Toc500308817 \h </w:instrText>
            </w:r>
            <w:r w:rsidR="0053159A">
              <w:rPr>
                <w:webHidden/>
              </w:rPr>
            </w:r>
            <w:r w:rsidR="0053159A">
              <w:rPr>
                <w:webHidden/>
              </w:rPr>
              <w:fldChar w:fldCharType="separate"/>
            </w:r>
            <w:r w:rsidR="0053159A">
              <w:rPr>
                <w:webHidden/>
              </w:rPr>
              <w:t>149</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18" w:history="1">
            <w:r w:rsidR="0053159A" w:rsidRPr="0012569F">
              <w:rPr>
                <w:rStyle w:val="Collegamentoipertestuale"/>
              </w:rPr>
              <w:t>(h)</w:t>
            </w:r>
            <w:r w:rsidR="0053159A">
              <w:rPr>
                <w:rFonts w:asciiTheme="minorHAnsi" w:eastAsiaTheme="minorEastAsia" w:hAnsiTheme="minorHAnsi" w:cstheme="minorBidi"/>
                <w:sz w:val="24"/>
                <w:lang w:val="it-IT" w:eastAsia="it-IT"/>
              </w:rPr>
              <w:tab/>
            </w:r>
            <w:r w:rsidR="0053159A" w:rsidRPr="0012569F">
              <w:rPr>
                <w:rStyle w:val="Collegamentoipertestuale"/>
              </w:rPr>
              <w:t>Responsiveness of services</w:t>
            </w:r>
            <w:r w:rsidR="0053159A">
              <w:rPr>
                <w:webHidden/>
              </w:rPr>
              <w:tab/>
            </w:r>
            <w:r w:rsidR="0053159A">
              <w:rPr>
                <w:webHidden/>
              </w:rPr>
              <w:fldChar w:fldCharType="begin"/>
            </w:r>
            <w:r w:rsidR="0053159A">
              <w:rPr>
                <w:webHidden/>
              </w:rPr>
              <w:instrText xml:space="preserve"> PAGEREF _Toc500308818 \h </w:instrText>
            </w:r>
            <w:r w:rsidR="0053159A">
              <w:rPr>
                <w:webHidden/>
              </w:rPr>
            </w:r>
            <w:r w:rsidR="0053159A">
              <w:rPr>
                <w:webHidden/>
              </w:rPr>
              <w:fldChar w:fldCharType="separate"/>
            </w:r>
            <w:r w:rsidR="0053159A">
              <w:rPr>
                <w:webHidden/>
              </w:rPr>
              <w:t>150</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19" w:history="1">
            <w:r w:rsidR="0053159A" w:rsidRPr="0012569F">
              <w:rPr>
                <w:rStyle w:val="Collegamentoipertestuale"/>
              </w:rPr>
              <w:t>(i)</w:t>
            </w:r>
            <w:r w:rsidR="0053159A">
              <w:rPr>
                <w:rFonts w:asciiTheme="minorHAnsi" w:eastAsiaTheme="minorEastAsia" w:hAnsiTheme="minorHAnsi" w:cstheme="minorBidi"/>
                <w:sz w:val="24"/>
                <w:lang w:val="it-IT" w:eastAsia="it-IT"/>
              </w:rPr>
              <w:tab/>
            </w:r>
            <w:r w:rsidR="0053159A" w:rsidRPr="0012569F">
              <w:rPr>
                <w:rStyle w:val="Collegamentoipertestuale"/>
              </w:rPr>
              <w:t>Goals and aspirations</w:t>
            </w:r>
            <w:r w:rsidR="0053159A">
              <w:rPr>
                <w:webHidden/>
              </w:rPr>
              <w:tab/>
            </w:r>
            <w:r w:rsidR="0053159A">
              <w:rPr>
                <w:webHidden/>
              </w:rPr>
              <w:fldChar w:fldCharType="begin"/>
            </w:r>
            <w:r w:rsidR="0053159A">
              <w:rPr>
                <w:webHidden/>
              </w:rPr>
              <w:instrText xml:space="preserve"> PAGEREF _Toc500308819 \h </w:instrText>
            </w:r>
            <w:r w:rsidR="0053159A">
              <w:rPr>
                <w:webHidden/>
              </w:rPr>
            </w:r>
            <w:r w:rsidR="0053159A">
              <w:rPr>
                <w:webHidden/>
              </w:rPr>
              <w:fldChar w:fldCharType="separate"/>
            </w:r>
            <w:r w:rsidR="0053159A">
              <w:rPr>
                <w:webHidden/>
              </w:rPr>
              <w:t>153</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20" w:history="1">
            <w:r w:rsidR="0053159A" w:rsidRPr="0012569F">
              <w:rPr>
                <w:rStyle w:val="Collegamentoipertestuale"/>
              </w:rPr>
              <w:t>(j)</w:t>
            </w:r>
            <w:r w:rsidR="0053159A">
              <w:rPr>
                <w:rFonts w:asciiTheme="minorHAnsi" w:eastAsiaTheme="minorEastAsia" w:hAnsiTheme="minorHAnsi" w:cstheme="minorBidi"/>
                <w:sz w:val="24"/>
                <w:lang w:val="it-IT" w:eastAsia="it-IT"/>
              </w:rPr>
              <w:tab/>
            </w:r>
            <w:r w:rsidR="0053159A" w:rsidRPr="0012569F">
              <w:rPr>
                <w:rStyle w:val="Collegamentoipertestuale"/>
              </w:rPr>
              <w:t>Other reflections on being a young parent</w:t>
            </w:r>
            <w:r w:rsidR="0053159A">
              <w:rPr>
                <w:webHidden/>
              </w:rPr>
              <w:tab/>
            </w:r>
            <w:r w:rsidR="0053159A">
              <w:rPr>
                <w:webHidden/>
              </w:rPr>
              <w:fldChar w:fldCharType="begin"/>
            </w:r>
            <w:r w:rsidR="0053159A">
              <w:rPr>
                <w:webHidden/>
              </w:rPr>
              <w:instrText xml:space="preserve"> PAGEREF _Toc500308820 \h </w:instrText>
            </w:r>
            <w:r w:rsidR="0053159A">
              <w:rPr>
                <w:webHidden/>
              </w:rPr>
            </w:r>
            <w:r w:rsidR="0053159A">
              <w:rPr>
                <w:webHidden/>
              </w:rPr>
              <w:fldChar w:fldCharType="separate"/>
            </w:r>
            <w:r w:rsidR="0053159A">
              <w:rPr>
                <w:webHidden/>
              </w:rPr>
              <w:t>155</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821" w:history="1">
            <w:r w:rsidR="0053159A" w:rsidRPr="0012569F">
              <w:rPr>
                <w:rStyle w:val="Collegamentoipertestuale"/>
              </w:rPr>
              <w:t>3.8</w:t>
            </w:r>
            <w:r w:rsidR="0053159A">
              <w:rPr>
                <w:rFonts w:asciiTheme="minorHAnsi" w:eastAsiaTheme="minorEastAsia" w:hAnsiTheme="minorHAnsi" w:cstheme="minorBidi"/>
                <w:b w:val="0"/>
                <w:sz w:val="24"/>
                <w:lang w:val="it-IT" w:eastAsia="it-IT"/>
              </w:rPr>
              <w:tab/>
            </w:r>
            <w:r w:rsidR="0053159A" w:rsidRPr="0012569F">
              <w:rPr>
                <w:rStyle w:val="Collegamentoipertestuale"/>
              </w:rPr>
              <w:t>Conclusion</w:t>
            </w:r>
            <w:r w:rsidR="0053159A">
              <w:rPr>
                <w:webHidden/>
              </w:rPr>
              <w:tab/>
            </w:r>
            <w:r w:rsidR="0053159A">
              <w:rPr>
                <w:webHidden/>
              </w:rPr>
              <w:fldChar w:fldCharType="begin"/>
            </w:r>
            <w:r w:rsidR="0053159A">
              <w:rPr>
                <w:webHidden/>
              </w:rPr>
              <w:instrText xml:space="preserve"> PAGEREF _Toc500308821 \h </w:instrText>
            </w:r>
            <w:r w:rsidR="0053159A">
              <w:rPr>
                <w:webHidden/>
              </w:rPr>
            </w:r>
            <w:r w:rsidR="0053159A">
              <w:rPr>
                <w:webHidden/>
              </w:rPr>
              <w:fldChar w:fldCharType="separate"/>
            </w:r>
            <w:r w:rsidR="0053159A">
              <w:rPr>
                <w:webHidden/>
              </w:rPr>
              <w:t>157</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22" w:history="1">
            <w:r w:rsidR="0053159A" w:rsidRPr="0012569F">
              <w:rPr>
                <w:rStyle w:val="Collegamentoipertestuale"/>
              </w:rPr>
              <w:t>(a)</w:t>
            </w:r>
            <w:r w:rsidR="0053159A">
              <w:rPr>
                <w:rFonts w:asciiTheme="minorHAnsi" w:eastAsiaTheme="minorEastAsia" w:hAnsiTheme="minorHAnsi" w:cstheme="minorBidi"/>
                <w:sz w:val="24"/>
                <w:lang w:val="it-IT" w:eastAsia="it-IT"/>
              </w:rPr>
              <w:tab/>
            </w:r>
            <w:r w:rsidR="0053159A" w:rsidRPr="0012569F">
              <w:rPr>
                <w:rStyle w:val="Collegamentoipertestuale"/>
              </w:rPr>
              <w:t>Access to contraception and abortion</w:t>
            </w:r>
            <w:r w:rsidR="0053159A">
              <w:rPr>
                <w:webHidden/>
              </w:rPr>
              <w:tab/>
            </w:r>
            <w:r w:rsidR="0053159A">
              <w:rPr>
                <w:webHidden/>
              </w:rPr>
              <w:fldChar w:fldCharType="begin"/>
            </w:r>
            <w:r w:rsidR="0053159A">
              <w:rPr>
                <w:webHidden/>
              </w:rPr>
              <w:instrText xml:space="preserve"> PAGEREF _Toc500308822 \h </w:instrText>
            </w:r>
            <w:r w:rsidR="0053159A">
              <w:rPr>
                <w:webHidden/>
              </w:rPr>
            </w:r>
            <w:r w:rsidR="0053159A">
              <w:rPr>
                <w:webHidden/>
              </w:rPr>
              <w:fldChar w:fldCharType="separate"/>
            </w:r>
            <w:r w:rsidR="0053159A">
              <w:rPr>
                <w:webHidden/>
              </w:rPr>
              <w:t>157</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23" w:history="1">
            <w:r w:rsidR="0053159A" w:rsidRPr="0012569F">
              <w:rPr>
                <w:rStyle w:val="Collegamentoipertestuale"/>
              </w:rPr>
              <w:t>(b)</w:t>
            </w:r>
            <w:r w:rsidR="0053159A">
              <w:rPr>
                <w:rFonts w:asciiTheme="minorHAnsi" w:eastAsiaTheme="minorEastAsia" w:hAnsiTheme="minorHAnsi" w:cstheme="minorBidi"/>
                <w:sz w:val="24"/>
                <w:lang w:val="it-IT" w:eastAsia="it-IT"/>
              </w:rPr>
              <w:tab/>
            </w:r>
            <w:r w:rsidR="0053159A" w:rsidRPr="0012569F">
              <w:rPr>
                <w:rStyle w:val="Collegamentoipertestuale"/>
              </w:rPr>
              <w:t>Access to education</w:t>
            </w:r>
            <w:r w:rsidR="0053159A">
              <w:rPr>
                <w:webHidden/>
              </w:rPr>
              <w:tab/>
            </w:r>
            <w:r w:rsidR="0053159A">
              <w:rPr>
                <w:webHidden/>
              </w:rPr>
              <w:fldChar w:fldCharType="begin"/>
            </w:r>
            <w:r w:rsidR="0053159A">
              <w:rPr>
                <w:webHidden/>
              </w:rPr>
              <w:instrText xml:space="preserve"> PAGEREF _Toc500308823 \h </w:instrText>
            </w:r>
            <w:r w:rsidR="0053159A">
              <w:rPr>
                <w:webHidden/>
              </w:rPr>
            </w:r>
            <w:r w:rsidR="0053159A">
              <w:rPr>
                <w:webHidden/>
              </w:rPr>
              <w:fldChar w:fldCharType="separate"/>
            </w:r>
            <w:r w:rsidR="0053159A">
              <w:rPr>
                <w:webHidden/>
              </w:rPr>
              <w:t>158</w:t>
            </w:r>
            <w:r w:rsidR="0053159A">
              <w:rPr>
                <w:webHidden/>
              </w:rPr>
              <w:fldChar w:fldCharType="end"/>
            </w:r>
          </w:hyperlink>
        </w:p>
        <w:p w:rsidR="0053159A" w:rsidRDefault="00C3029C">
          <w:pPr>
            <w:pStyle w:val="Sommario3"/>
            <w:tabs>
              <w:tab w:val="left" w:pos="2138"/>
            </w:tabs>
            <w:rPr>
              <w:rStyle w:val="Collegamentoipertestuale"/>
            </w:rPr>
          </w:pPr>
          <w:hyperlink w:anchor="_Toc500308824" w:history="1">
            <w:r w:rsidR="0053159A" w:rsidRPr="0012569F">
              <w:rPr>
                <w:rStyle w:val="Collegamentoipertestuale"/>
              </w:rPr>
              <w:t>(c)</w:t>
            </w:r>
            <w:r w:rsidR="0053159A">
              <w:rPr>
                <w:rFonts w:asciiTheme="minorHAnsi" w:eastAsiaTheme="minorEastAsia" w:hAnsiTheme="minorHAnsi" w:cstheme="minorBidi"/>
                <w:sz w:val="24"/>
                <w:lang w:val="it-IT" w:eastAsia="it-IT"/>
              </w:rPr>
              <w:tab/>
            </w:r>
            <w:r w:rsidR="0053159A" w:rsidRPr="0012569F">
              <w:rPr>
                <w:rStyle w:val="Collegamentoipertestuale"/>
              </w:rPr>
              <w:t>Child protection and young parents</w:t>
            </w:r>
            <w:r w:rsidR="0053159A">
              <w:rPr>
                <w:webHidden/>
              </w:rPr>
              <w:tab/>
            </w:r>
            <w:r w:rsidR="0053159A">
              <w:rPr>
                <w:webHidden/>
              </w:rPr>
              <w:fldChar w:fldCharType="begin"/>
            </w:r>
            <w:r w:rsidR="0053159A">
              <w:rPr>
                <w:webHidden/>
              </w:rPr>
              <w:instrText xml:space="preserve"> PAGEREF _Toc500308824 \h </w:instrText>
            </w:r>
            <w:r w:rsidR="0053159A">
              <w:rPr>
                <w:webHidden/>
              </w:rPr>
            </w:r>
            <w:r w:rsidR="0053159A">
              <w:rPr>
                <w:webHidden/>
              </w:rPr>
              <w:fldChar w:fldCharType="separate"/>
            </w:r>
            <w:r w:rsidR="0053159A">
              <w:rPr>
                <w:webHidden/>
              </w:rPr>
              <w:t>160</w:t>
            </w:r>
            <w:r w:rsidR="0053159A">
              <w:rPr>
                <w:webHidden/>
              </w:rPr>
              <w:fldChar w:fldCharType="end"/>
            </w:r>
          </w:hyperlink>
        </w:p>
        <w:p w:rsidR="001E0439" w:rsidRPr="001E0439" w:rsidRDefault="001E0439" w:rsidP="001E0439"/>
        <w:p w:rsidR="0053159A" w:rsidRDefault="00C3029C">
          <w:pPr>
            <w:pStyle w:val="Sommario1"/>
            <w:tabs>
              <w:tab w:val="left" w:pos="1440"/>
            </w:tabs>
            <w:rPr>
              <w:rFonts w:asciiTheme="minorHAnsi" w:eastAsiaTheme="minorEastAsia" w:hAnsiTheme="minorHAnsi" w:cstheme="minorBidi"/>
              <w:b w:val="0"/>
              <w:lang w:val="it-IT" w:eastAsia="it-IT"/>
            </w:rPr>
          </w:pPr>
          <w:hyperlink w:anchor="_Toc500308825" w:history="1">
            <w:r w:rsidR="0053159A" w:rsidRPr="0012569F">
              <w:rPr>
                <w:rStyle w:val="Collegamentoipertestuale"/>
              </w:rPr>
              <w:t>Chapter 4:</w:t>
            </w:r>
            <w:r w:rsidR="0053159A">
              <w:rPr>
                <w:rFonts w:asciiTheme="minorHAnsi" w:eastAsiaTheme="minorEastAsia" w:hAnsiTheme="minorHAnsi" w:cstheme="minorBidi"/>
                <w:b w:val="0"/>
                <w:lang w:val="it-IT" w:eastAsia="it-IT"/>
              </w:rPr>
              <w:tab/>
            </w:r>
            <w:r w:rsidR="0053159A" w:rsidRPr="0012569F">
              <w:rPr>
                <w:rStyle w:val="Collegamentoipertestuale"/>
              </w:rPr>
              <w:t>Children’s safety and wellbeing</w:t>
            </w:r>
            <w:r w:rsidR="0053159A">
              <w:rPr>
                <w:webHidden/>
              </w:rPr>
              <w:tab/>
            </w:r>
            <w:r w:rsidR="0053159A">
              <w:rPr>
                <w:webHidden/>
              </w:rPr>
              <w:fldChar w:fldCharType="begin"/>
            </w:r>
            <w:r w:rsidR="0053159A">
              <w:rPr>
                <w:webHidden/>
              </w:rPr>
              <w:instrText xml:space="preserve"> PAGEREF _Toc500308825 \h </w:instrText>
            </w:r>
            <w:r w:rsidR="0053159A">
              <w:rPr>
                <w:webHidden/>
              </w:rPr>
            </w:r>
            <w:r w:rsidR="0053159A">
              <w:rPr>
                <w:webHidden/>
              </w:rPr>
              <w:fldChar w:fldCharType="separate"/>
            </w:r>
            <w:r w:rsidR="0053159A">
              <w:rPr>
                <w:webHidden/>
              </w:rPr>
              <w:t>190</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826" w:history="1">
            <w:r w:rsidR="0053159A" w:rsidRPr="0012569F">
              <w:rPr>
                <w:rStyle w:val="Collegamentoipertestuale"/>
              </w:rPr>
              <w:t>4.1</w:t>
            </w:r>
            <w:r w:rsidR="0053159A">
              <w:rPr>
                <w:rFonts w:asciiTheme="minorHAnsi" w:eastAsiaTheme="minorEastAsia" w:hAnsiTheme="minorHAnsi" w:cstheme="minorBidi"/>
                <w:b w:val="0"/>
                <w:sz w:val="24"/>
                <w:lang w:val="it-IT" w:eastAsia="it-IT"/>
              </w:rPr>
              <w:tab/>
            </w:r>
            <w:r w:rsidR="0053159A" w:rsidRPr="0012569F">
              <w:rPr>
                <w:rStyle w:val="Collegamentoipertestuale"/>
              </w:rPr>
              <w:t>Introduction</w:t>
            </w:r>
            <w:r w:rsidR="0053159A">
              <w:rPr>
                <w:webHidden/>
              </w:rPr>
              <w:tab/>
            </w:r>
            <w:r w:rsidR="0053159A">
              <w:rPr>
                <w:webHidden/>
              </w:rPr>
              <w:fldChar w:fldCharType="begin"/>
            </w:r>
            <w:r w:rsidR="0053159A">
              <w:rPr>
                <w:webHidden/>
              </w:rPr>
              <w:instrText xml:space="preserve"> PAGEREF _Toc500308826 \h </w:instrText>
            </w:r>
            <w:r w:rsidR="0053159A">
              <w:rPr>
                <w:webHidden/>
              </w:rPr>
            </w:r>
            <w:r w:rsidR="0053159A">
              <w:rPr>
                <w:webHidden/>
              </w:rPr>
              <w:fldChar w:fldCharType="separate"/>
            </w:r>
            <w:r w:rsidR="0053159A">
              <w:rPr>
                <w:webHidden/>
              </w:rPr>
              <w:t>190</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827" w:history="1">
            <w:r w:rsidR="0053159A" w:rsidRPr="0012569F">
              <w:rPr>
                <w:rStyle w:val="Collegamentoipertestuale"/>
              </w:rPr>
              <w:t>4.2</w:t>
            </w:r>
            <w:r w:rsidR="0053159A">
              <w:rPr>
                <w:rFonts w:asciiTheme="minorHAnsi" w:eastAsiaTheme="minorEastAsia" w:hAnsiTheme="minorHAnsi" w:cstheme="minorBidi"/>
                <w:b w:val="0"/>
                <w:sz w:val="24"/>
                <w:lang w:val="it-IT" w:eastAsia="it-IT"/>
              </w:rPr>
              <w:tab/>
            </w:r>
            <w:r w:rsidR="0053159A" w:rsidRPr="0012569F">
              <w:rPr>
                <w:rStyle w:val="Collegamentoipertestuale"/>
              </w:rPr>
              <w:t>Understanding child harm in Australia</w:t>
            </w:r>
            <w:r w:rsidR="0053159A">
              <w:rPr>
                <w:webHidden/>
              </w:rPr>
              <w:tab/>
            </w:r>
            <w:r w:rsidR="0053159A">
              <w:rPr>
                <w:webHidden/>
              </w:rPr>
              <w:fldChar w:fldCharType="begin"/>
            </w:r>
            <w:r w:rsidR="0053159A">
              <w:rPr>
                <w:webHidden/>
              </w:rPr>
              <w:instrText xml:space="preserve"> PAGEREF _Toc500308827 \h </w:instrText>
            </w:r>
            <w:r w:rsidR="0053159A">
              <w:rPr>
                <w:webHidden/>
              </w:rPr>
            </w:r>
            <w:r w:rsidR="0053159A">
              <w:rPr>
                <w:webHidden/>
              </w:rPr>
              <w:fldChar w:fldCharType="separate"/>
            </w:r>
            <w:r w:rsidR="0053159A">
              <w:rPr>
                <w:webHidden/>
              </w:rPr>
              <w:t>191</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28" w:history="1">
            <w:r w:rsidR="0053159A" w:rsidRPr="0012569F">
              <w:rPr>
                <w:rStyle w:val="Collegamentoipertestuale"/>
              </w:rPr>
              <w:t>(a)</w:t>
            </w:r>
            <w:r w:rsidR="0053159A">
              <w:rPr>
                <w:rFonts w:asciiTheme="minorHAnsi" w:eastAsiaTheme="minorEastAsia" w:hAnsiTheme="minorHAnsi" w:cstheme="minorBidi"/>
                <w:sz w:val="24"/>
                <w:lang w:val="it-IT" w:eastAsia="it-IT"/>
              </w:rPr>
              <w:tab/>
            </w:r>
            <w:r w:rsidR="0053159A" w:rsidRPr="0012569F">
              <w:rPr>
                <w:rStyle w:val="Collegamentoipertestuale"/>
              </w:rPr>
              <w:t>Child protection statistics</w:t>
            </w:r>
            <w:r w:rsidR="0053159A">
              <w:rPr>
                <w:webHidden/>
              </w:rPr>
              <w:tab/>
            </w:r>
            <w:r w:rsidR="0053159A">
              <w:rPr>
                <w:webHidden/>
              </w:rPr>
              <w:fldChar w:fldCharType="begin"/>
            </w:r>
            <w:r w:rsidR="0053159A">
              <w:rPr>
                <w:webHidden/>
              </w:rPr>
              <w:instrText xml:space="preserve"> PAGEREF _Toc500308828 \h </w:instrText>
            </w:r>
            <w:r w:rsidR="0053159A">
              <w:rPr>
                <w:webHidden/>
              </w:rPr>
            </w:r>
            <w:r w:rsidR="0053159A">
              <w:rPr>
                <w:webHidden/>
              </w:rPr>
              <w:fldChar w:fldCharType="separate"/>
            </w:r>
            <w:r w:rsidR="0053159A">
              <w:rPr>
                <w:webHidden/>
              </w:rPr>
              <w:t>191</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29" w:history="1">
            <w:r w:rsidR="0053159A" w:rsidRPr="0012569F">
              <w:rPr>
                <w:rStyle w:val="Collegamentoipertestuale"/>
              </w:rPr>
              <w:t>(b)</w:t>
            </w:r>
            <w:r w:rsidR="0053159A">
              <w:rPr>
                <w:rFonts w:asciiTheme="minorHAnsi" w:eastAsiaTheme="minorEastAsia" w:hAnsiTheme="minorHAnsi" w:cstheme="minorBidi"/>
                <w:sz w:val="24"/>
                <w:lang w:val="it-IT" w:eastAsia="it-IT"/>
              </w:rPr>
              <w:tab/>
            </w:r>
            <w:r w:rsidR="0053159A" w:rsidRPr="0012569F">
              <w:rPr>
                <w:rStyle w:val="Collegamentoipertestuale"/>
              </w:rPr>
              <w:t>Other sources of information about child harm</w:t>
            </w:r>
            <w:r w:rsidR="0053159A">
              <w:rPr>
                <w:webHidden/>
              </w:rPr>
              <w:tab/>
            </w:r>
            <w:r w:rsidR="0053159A">
              <w:rPr>
                <w:webHidden/>
              </w:rPr>
              <w:fldChar w:fldCharType="begin"/>
            </w:r>
            <w:r w:rsidR="0053159A">
              <w:rPr>
                <w:webHidden/>
              </w:rPr>
              <w:instrText xml:space="preserve"> PAGEREF _Toc500308829 \h </w:instrText>
            </w:r>
            <w:r w:rsidR="0053159A">
              <w:rPr>
                <w:webHidden/>
              </w:rPr>
            </w:r>
            <w:r w:rsidR="0053159A">
              <w:rPr>
                <w:webHidden/>
              </w:rPr>
              <w:fldChar w:fldCharType="separate"/>
            </w:r>
            <w:r w:rsidR="0053159A">
              <w:rPr>
                <w:webHidden/>
              </w:rPr>
              <w:t>192</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30" w:history="1">
            <w:r w:rsidR="0053159A" w:rsidRPr="0012569F">
              <w:rPr>
                <w:rStyle w:val="Collegamentoipertestuale"/>
              </w:rPr>
              <w:t>(c)</w:t>
            </w:r>
            <w:r w:rsidR="0053159A">
              <w:rPr>
                <w:rFonts w:asciiTheme="minorHAnsi" w:eastAsiaTheme="minorEastAsia" w:hAnsiTheme="minorHAnsi" w:cstheme="minorBidi"/>
                <w:sz w:val="24"/>
                <w:lang w:val="it-IT" w:eastAsia="it-IT"/>
              </w:rPr>
              <w:tab/>
            </w:r>
            <w:r w:rsidR="0053159A" w:rsidRPr="0012569F">
              <w:rPr>
                <w:rStyle w:val="Collegamentoipertestuale"/>
              </w:rPr>
              <w:t>Lack of information on child harm</w:t>
            </w:r>
            <w:r w:rsidR="0053159A">
              <w:rPr>
                <w:webHidden/>
              </w:rPr>
              <w:tab/>
            </w:r>
            <w:r w:rsidR="0053159A">
              <w:rPr>
                <w:webHidden/>
              </w:rPr>
              <w:fldChar w:fldCharType="begin"/>
            </w:r>
            <w:r w:rsidR="0053159A">
              <w:rPr>
                <w:webHidden/>
              </w:rPr>
              <w:instrText xml:space="preserve"> PAGEREF _Toc500308830 \h </w:instrText>
            </w:r>
            <w:r w:rsidR="0053159A">
              <w:rPr>
                <w:webHidden/>
              </w:rPr>
            </w:r>
            <w:r w:rsidR="0053159A">
              <w:rPr>
                <w:webHidden/>
              </w:rPr>
              <w:fldChar w:fldCharType="separate"/>
            </w:r>
            <w:r w:rsidR="0053159A">
              <w:rPr>
                <w:webHidden/>
              </w:rPr>
              <w:t>193</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831" w:history="1">
            <w:r w:rsidR="0053159A" w:rsidRPr="0012569F">
              <w:rPr>
                <w:rStyle w:val="Collegamentoipertestuale"/>
              </w:rPr>
              <w:t>4.3</w:t>
            </w:r>
            <w:r w:rsidR="0053159A">
              <w:rPr>
                <w:rFonts w:asciiTheme="minorHAnsi" w:eastAsiaTheme="minorEastAsia" w:hAnsiTheme="minorHAnsi" w:cstheme="minorBidi"/>
                <w:b w:val="0"/>
                <w:sz w:val="24"/>
                <w:lang w:val="it-IT" w:eastAsia="it-IT"/>
              </w:rPr>
              <w:tab/>
            </w:r>
            <w:r w:rsidR="0053159A" w:rsidRPr="0012569F">
              <w:rPr>
                <w:rStyle w:val="Collegamentoipertestuale"/>
              </w:rPr>
              <w:t>Recent government inquiries relevant to child safety and wellbeing</w:t>
            </w:r>
            <w:r w:rsidR="0053159A">
              <w:rPr>
                <w:webHidden/>
              </w:rPr>
              <w:tab/>
            </w:r>
            <w:r w:rsidR="0053159A">
              <w:rPr>
                <w:webHidden/>
              </w:rPr>
              <w:fldChar w:fldCharType="begin"/>
            </w:r>
            <w:r w:rsidR="0053159A">
              <w:rPr>
                <w:webHidden/>
              </w:rPr>
              <w:instrText xml:space="preserve"> PAGEREF _Toc500308831 \h </w:instrText>
            </w:r>
            <w:r w:rsidR="0053159A">
              <w:rPr>
                <w:webHidden/>
              </w:rPr>
            </w:r>
            <w:r w:rsidR="0053159A">
              <w:rPr>
                <w:webHidden/>
              </w:rPr>
              <w:fldChar w:fldCharType="separate"/>
            </w:r>
            <w:r w:rsidR="0053159A">
              <w:rPr>
                <w:webHidden/>
              </w:rPr>
              <w:t>194</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32" w:history="1">
            <w:r w:rsidR="0053159A" w:rsidRPr="0012569F">
              <w:rPr>
                <w:rStyle w:val="Collegamentoipertestuale"/>
              </w:rPr>
              <w:t>(a)</w:t>
            </w:r>
            <w:r w:rsidR="0053159A">
              <w:rPr>
                <w:rFonts w:asciiTheme="minorHAnsi" w:eastAsiaTheme="minorEastAsia" w:hAnsiTheme="minorHAnsi" w:cstheme="minorBidi"/>
                <w:sz w:val="24"/>
                <w:lang w:val="it-IT" w:eastAsia="it-IT"/>
              </w:rPr>
              <w:tab/>
            </w:r>
            <w:r w:rsidR="0053159A" w:rsidRPr="0012569F">
              <w:rPr>
                <w:rStyle w:val="Collegamentoipertestuale"/>
              </w:rPr>
              <w:t>Child Protection Systems Royal Commission</w:t>
            </w:r>
            <w:r w:rsidR="0053159A">
              <w:rPr>
                <w:webHidden/>
              </w:rPr>
              <w:tab/>
            </w:r>
            <w:r w:rsidR="0053159A">
              <w:rPr>
                <w:webHidden/>
              </w:rPr>
              <w:fldChar w:fldCharType="begin"/>
            </w:r>
            <w:r w:rsidR="0053159A">
              <w:rPr>
                <w:webHidden/>
              </w:rPr>
              <w:instrText xml:space="preserve"> PAGEREF _Toc500308832 \h </w:instrText>
            </w:r>
            <w:r w:rsidR="0053159A">
              <w:rPr>
                <w:webHidden/>
              </w:rPr>
            </w:r>
            <w:r w:rsidR="0053159A">
              <w:rPr>
                <w:webHidden/>
              </w:rPr>
              <w:fldChar w:fldCharType="separate"/>
            </w:r>
            <w:r w:rsidR="0053159A">
              <w:rPr>
                <w:webHidden/>
              </w:rPr>
              <w:t>194</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33" w:history="1">
            <w:r w:rsidR="0053159A" w:rsidRPr="0012569F">
              <w:rPr>
                <w:rStyle w:val="Collegamentoipertestuale"/>
              </w:rPr>
              <w:t>(b)</w:t>
            </w:r>
            <w:r w:rsidR="0053159A">
              <w:rPr>
                <w:rFonts w:asciiTheme="minorHAnsi" w:eastAsiaTheme="minorEastAsia" w:hAnsiTheme="minorHAnsi" w:cstheme="minorBidi"/>
                <w:sz w:val="24"/>
                <w:lang w:val="it-IT" w:eastAsia="it-IT"/>
              </w:rPr>
              <w:tab/>
            </w:r>
            <w:r w:rsidR="0053159A" w:rsidRPr="0012569F">
              <w:rPr>
                <w:rStyle w:val="Collegamentoipertestuale"/>
              </w:rPr>
              <w:t>When a child is missing: Remembering Tiahleigh — A report into Queensland’s children missing from out-of-home care</w:t>
            </w:r>
            <w:r w:rsidR="0053159A">
              <w:rPr>
                <w:webHidden/>
              </w:rPr>
              <w:tab/>
            </w:r>
            <w:r w:rsidR="0053159A">
              <w:rPr>
                <w:webHidden/>
              </w:rPr>
              <w:fldChar w:fldCharType="begin"/>
            </w:r>
            <w:r w:rsidR="0053159A">
              <w:rPr>
                <w:webHidden/>
              </w:rPr>
              <w:instrText xml:space="preserve"> PAGEREF _Toc500308833 \h </w:instrText>
            </w:r>
            <w:r w:rsidR="0053159A">
              <w:rPr>
                <w:webHidden/>
              </w:rPr>
            </w:r>
            <w:r w:rsidR="0053159A">
              <w:rPr>
                <w:webHidden/>
              </w:rPr>
              <w:fldChar w:fldCharType="separate"/>
            </w:r>
            <w:r w:rsidR="0053159A">
              <w:rPr>
                <w:webHidden/>
              </w:rPr>
              <w:t>195</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34" w:history="1">
            <w:r w:rsidR="0053159A" w:rsidRPr="0012569F">
              <w:rPr>
                <w:rStyle w:val="Collegamentoipertestuale"/>
              </w:rPr>
              <w:t>(c)</w:t>
            </w:r>
            <w:r w:rsidR="0053159A">
              <w:rPr>
                <w:rFonts w:asciiTheme="minorHAnsi" w:eastAsiaTheme="minorEastAsia" w:hAnsiTheme="minorHAnsi" w:cstheme="minorBidi"/>
                <w:sz w:val="24"/>
                <w:lang w:val="it-IT" w:eastAsia="it-IT"/>
              </w:rPr>
              <w:tab/>
            </w:r>
            <w:r w:rsidR="0053159A" w:rsidRPr="0012569F">
              <w:rPr>
                <w:rStyle w:val="Collegamentoipertestuale"/>
              </w:rPr>
              <w:t>Independent Review of Out-of-Home Care in New South Wales</w:t>
            </w:r>
            <w:r w:rsidR="0053159A">
              <w:rPr>
                <w:webHidden/>
              </w:rPr>
              <w:tab/>
            </w:r>
            <w:r w:rsidR="0053159A">
              <w:rPr>
                <w:webHidden/>
              </w:rPr>
              <w:fldChar w:fldCharType="begin"/>
            </w:r>
            <w:r w:rsidR="0053159A">
              <w:rPr>
                <w:webHidden/>
              </w:rPr>
              <w:instrText xml:space="preserve"> PAGEREF _Toc500308834 \h </w:instrText>
            </w:r>
            <w:r w:rsidR="0053159A">
              <w:rPr>
                <w:webHidden/>
              </w:rPr>
            </w:r>
            <w:r w:rsidR="0053159A">
              <w:rPr>
                <w:webHidden/>
              </w:rPr>
              <w:fldChar w:fldCharType="separate"/>
            </w:r>
            <w:r w:rsidR="0053159A">
              <w:rPr>
                <w:webHidden/>
              </w:rPr>
              <w:t>195</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35" w:history="1">
            <w:r w:rsidR="0053159A" w:rsidRPr="0012569F">
              <w:rPr>
                <w:rStyle w:val="Collegamentoipertestuale"/>
              </w:rPr>
              <w:t>(d)</w:t>
            </w:r>
            <w:r w:rsidR="0053159A">
              <w:rPr>
                <w:rFonts w:asciiTheme="minorHAnsi" w:eastAsiaTheme="minorEastAsia" w:hAnsiTheme="minorHAnsi" w:cstheme="minorBidi"/>
                <w:sz w:val="24"/>
                <w:lang w:val="it-IT" w:eastAsia="it-IT"/>
              </w:rPr>
              <w:tab/>
            </w:r>
            <w:r w:rsidR="0053159A" w:rsidRPr="0012569F">
              <w:rPr>
                <w:rStyle w:val="Collegamentoipertestuale"/>
              </w:rPr>
              <w:t>Royal Commission into the Protection and Detention of Children in the Northern Territory</w:t>
            </w:r>
            <w:r w:rsidR="0053159A">
              <w:rPr>
                <w:webHidden/>
              </w:rPr>
              <w:tab/>
            </w:r>
            <w:r w:rsidR="0053159A">
              <w:rPr>
                <w:webHidden/>
              </w:rPr>
              <w:fldChar w:fldCharType="begin"/>
            </w:r>
            <w:r w:rsidR="0053159A">
              <w:rPr>
                <w:webHidden/>
              </w:rPr>
              <w:instrText xml:space="preserve"> PAGEREF _Toc500308835 \h </w:instrText>
            </w:r>
            <w:r w:rsidR="0053159A">
              <w:rPr>
                <w:webHidden/>
              </w:rPr>
            </w:r>
            <w:r w:rsidR="0053159A">
              <w:rPr>
                <w:webHidden/>
              </w:rPr>
              <w:fldChar w:fldCharType="separate"/>
            </w:r>
            <w:r w:rsidR="0053159A">
              <w:rPr>
                <w:webHidden/>
              </w:rPr>
              <w:t>196</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36" w:history="1">
            <w:r w:rsidR="0053159A" w:rsidRPr="0012569F">
              <w:rPr>
                <w:rStyle w:val="Collegamentoipertestuale"/>
              </w:rPr>
              <w:t>(e)</w:t>
            </w:r>
            <w:r w:rsidR="0053159A">
              <w:rPr>
                <w:rFonts w:asciiTheme="minorHAnsi" w:eastAsiaTheme="minorEastAsia" w:hAnsiTheme="minorHAnsi" w:cstheme="minorBidi"/>
                <w:sz w:val="24"/>
                <w:lang w:val="it-IT" w:eastAsia="it-IT"/>
              </w:rPr>
              <w:tab/>
            </w:r>
            <w:r w:rsidR="0053159A" w:rsidRPr="0012569F">
              <w:rPr>
                <w:rStyle w:val="Collegamentoipertestuale"/>
              </w:rPr>
              <w:t>Royal Commission into Institutional Responses to Child Sexual Abuse</w:t>
            </w:r>
            <w:r w:rsidR="0053159A">
              <w:rPr>
                <w:webHidden/>
              </w:rPr>
              <w:tab/>
            </w:r>
            <w:r w:rsidR="0053159A">
              <w:rPr>
                <w:webHidden/>
              </w:rPr>
              <w:fldChar w:fldCharType="begin"/>
            </w:r>
            <w:r w:rsidR="0053159A">
              <w:rPr>
                <w:webHidden/>
              </w:rPr>
              <w:instrText xml:space="preserve"> PAGEREF _Toc500308836 \h </w:instrText>
            </w:r>
            <w:r w:rsidR="0053159A">
              <w:rPr>
                <w:webHidden/>
              </w:rPr>
            </w:r>
            <w:r w:rsidR="0053159A">
              <w:rPr>
                <w:webHidden/>
              </w:rPr>
              <w:fldChar w:fldCharType="separate"/>
            </w:r>
            <w:r w:rsidR="0053159A">
              <w:rPr>
                <w:webHidden/>
              </w:rPr>
              <w:t>196</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837" w:history="1">
            <w:r w:rsidR="0053159A" w:rsidRPr="0012569F">
              <w:rPr>
                <w:rStyle w:val="Collegamentoipertestuale"/>
              </w:rPr>
              <w:t>4.4</w:t>
            </w:r>
            <w:r w:rsidR="0053159A">
              <w:rPr>
                <w:rFonts w:asciiTheme="minorHAnsi" w:eastAsiaTheme="minorEastAsia" w:hAnsiTheme="minorHAnsi" w:cstheme="minorBidi"/>
                <w:b w:val="0"/>
                <w:sz w:val="24"/>
                <w:lang w:val="it-IT" w:eastAsia="it-IT"/>
              </w:rPr>
              <w:tab/>
            </w:r>
            <w:r w:rsidR="0053159A" w:rsidRPr="0012569F">
              <w:rPr>
                <w:rStyle w:val="Collegamentoipertestuale"/>
              </w:rPr>
              <w:t>Children’s safety and wellbeing in organisations</w:t>
            </w:r>
            <w:r w:rsidR="0053159A">
              <w:rPr>
                <w:webHidden/>
              </w:rPr>
              <w:tab/>
            </w:r>
            <w:r w:rsidR="0053159A">
              <w:rPr>
                <w:webHidden/>
              </w:rPr>
              <w:fldChar w:fldCharType="begin"/>
            </w:r>
            <w:r w:rsidR="0053159A">
              <w:rPr>
                <w:webHidden/>
              </w:rPr>
              <w:instrText xml:space="preserve"> PAGEREF _Toc500308837 \h </w:instrText>
            </w:r>
            <w:r w:rsidR="0053159A">
              <w:rPr>
                <w:webHidden/>
              </w:rPr>
            </w:r>
            <w:r w:rsidR="0053159A">
              <w:rPr>
                <w:webHidden/>
              </w:rPr>
              <w:fldChar w:fldCharType="separate"/>
            </w:r>
            <w:r w:rsidR="0053159A">
              <w:rPr>
                <w:webHidden/>
              </w:rPr>
              <w:t>197</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38" w:history="1">
            <w:r w:rsidR="0053159A" w:rsidRPr="0012569F">
              <w:rPr>
                <w:rStyle w:val="Collegamentoipertestuale"/>
              </w:rPr>
              <w:t>(a)</w:t>
            </w:r>
            <w:r w:rsidR="0053159A">
              <w:rPr>
                <w:rFonts w:asciiTheme="minorHAnsi" w:eastAsiaTheme="minorEastAsia" w:hAnsiTheme="minorHAnsi" w:cstheme="minorBidi"/>
                <w:sz w:val="24"/>
                <w:lang w:val="it-IT" w:eastAsia="it-IT"/>
              </w:rPr>
              <w:tab/>
            </w:r>
            <w:r w:rsidR="0053159A" w:rsidRPr="0012569F">
              <w:rPr>
                <w:rStyle w:val="Collegamentoipertestuale"/>
              </w:rPr>
              <w:t>A child rights approach</w:t>
            </w:r>
            <w:r w:rsidR="0053159A">
              <w:rPr>
                <w:webHidden/>
              </w:rPr>
              <w:tab/>
            </w:r>
            <w:r w:rsidR="0053159A">
              <w:rPr>
                <w:webHidden/>
              </w:rPr>
              <w:fldChar w:fldCharType="begin"/>
            </w:r>
            <w:r w:rsidR="0053159A">
              <w:rPr>
                <w:webHidden/>
              </w:rPr>
              <w:instrText xml:space="preserve"> PAGEREF _Toc500308838 \h </w:instrText>
            </w:r>
            <w:r w:rsidR="0053159A">
              <w:rPr>
                <w:webHidden/>
              </w:rPr>
            </w:r>
            <w:r w:rsidR="0053159A">
              <w:rPr>
                <w:webHidden/>
              </w:rPr>
              <w:fldChar w:fldCharType="separate"/>
            </w:r>
            <w:r w:rsidR="0053159A">
              <w:rPr>
                <w:webHidden/>
              </w:rPr>
              <w:t>197</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39" w:history="1">
            <w:r w:rsidR="0053159A" w:rsidRPr="0012569F">
              <w:rPr>
                <w:rStyle w:val="Collegamentoipertestuale"/>
              </w:rPr>
              <w:t>(b)</w:t>
            </w:r>
            <w:r w:rsidR="0053159A">
              <w:rPr>
                <w:rFonts w:asciiTheme="minorHAnsi" w:eastAsiaTheme="minorEastAsia" w:hAnsiTheme="minorHAnsi" w:cstheme="minorBidi"/>
                <w:sz w:val="24"/>
                <w:lang w:val="it-IT" w:eastAsia="it-IT"/>
              </w:rPr>
              <w:tab/>
            </w:r>
            <w:r w:rsidR="0053159A" w:rsidRPr="0012569F">
              <w:rPr>
                <w:rStyle w:val="Collegamentoipertestuale"/>
              </w:rPr>
              <w:t>What children say about their safety</w:t>
            </w:r>
            <w:r w:rsidR="0053159A">
              <w:rPr>
                <w:webHidden/>
              </w:rPr>
              <w:tab/>
            </w:r>
            <w:r w:rsidR="0053159A">
              <w:rPr>
                <w:webHidden/>
              </w:rPr>
              <w:fldChar w:fldCharType="begin"/>
            </w:r>
            <w:r w:rsidR="0053159A">
              <w:rPr>
                <w:webHidden/>
              </w:rPr>
              <w:instrText xml:space="preserve"> PAGEREF _Toc500308839 \h </w:instrText>
            </w:r>
            <w:r w:rsidR="0053159A">
              <w:rPr>
                <w:webHidden/>
              </w:rPr>
            </w:r>
            <w:r w:rsidR="0053159A">
              <w:rPr>
                <w:webHidden/>
              </w:rPr>
              <w:fldChar w:fldCharType="separate"/>
            </w:r>
            <w:r w:rsidR="0053159A">
              <w:rPr>
                <w:webHidden/>
              </w:rPr>
              <w:t>198</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40" w:history="1">
            <w:r w:rsidR="0053159A" w:rsidRPr="0012569F">
              <w:rPr>
                <w:rStyle w:val="Collegamentoipertestuale"/>
              </w:rPr>
              <w:t>(c)</w:t>
            </w:r>
            <w:r w:rsidR="0053159A">
              <w:rPr>
                <w:rFonts w:asciiTheme="minorHAnsi" w:eastAsiaTheme="minorEastAsia" w:hAnsiTheme="minorHAnsi" w:cstheme="minorBidi"/>
                <w:sz w:val="24"/>
                <w:lang w:val="it-IT" w:eastAsia="it-IT"/>
              </w:rPr>
              <w:tab/>
            </w:r>
            <w:r w:rsidR="0053159A" w:rsidRPr="0012569F">
              <w:rPr>
                <w:rStyle w:val="Collegamentoipertestuale"/>
              </w:rPr>
              <w:t>Risk and protective factors for child sexual abuse in organisations</w:t>
            </w:r>
            <w:r w:rsidR="0053159A">
              <w:rPr>
                <w:webHidden/>
              </w:rPr>
              <w:tab/>
            </w:r>
            <w:r w:rsidR="0053159A">
              <w:rPr>
                <w:webHidden/>
              </w:rPr>
              <w:fldChar w:fldCharType="begin"/>
            </w:r>
            <w:r w:rsidR="0053159A">
              <w:rPr>
                <w:webHidden/>
              </w:rPr>
              <w:instrText xml:space="preserve"> PAGEREF _Toc500308840 \h </w:instrText>
            </w:r>
            <w:r w:rsidR="0053159A">
              <w:rPr>
                <w:webHidden/>
              </w:rPr>
            </w:r>
            <w:r w:rsidR="0053159A">
              <w:rPr>
                <w:webHidden/>
              </w:rPr>
              <w:fldChar w:fldCharType="separate"/>
            </w:r>
            <w:r w:rsidR="0053159A">
              <w:rPr>
                <w:webHidden/>
              </w:rPr>
              <w:t>200</w:t>
            </w:r>
            <w:r w:rsidR="0053159A">
              <w:rPr>
                <w:webHidden/>
              </w:rPr>
              <w:fldChar w:fldCharType="end"/>
            </w:r>
          </w:hyperlink>
        </w:p>
        <w:p w:rsidR="0053159A" w:rsidRDefault="00C3029C">
          <w:pPr>
            <w:pStyle w:val="Sommario2"/>
            <w:tabs>
              <w:tab w:val="left" w:pos="1440"/>
            </w:tabs>
            <w:rPr>
              <w:rFonts w:asciiTheme="minorHAnsi" w:eastAsiaTheme="minorEastAsia" w:hAnsiTheme="minorHAnsi" w:cstheme="minorBidi"/>
              <w:b w:val="0"/>
              <w:sz w:val="24"/>
              <w:lang w:val="it-IT" w:eastAsia="it-IT"/>
            </w:rPr>
          </w:pPr>
          <w:hyperlink w:anchor="_Toc500308841" w:history="1">
            <w:r w:rsidR="0053159A" w:rsidRPr="0012569F">
              <w:rPr>
                <w:rStyle w:val="Collegamentoipertestuale"/>
              </w:rPr>
              <w:t>4.5</w:t>
            </w:r>
            <w:r w:rsidR="0053159A">
              <w:rPr>
                <w:rFonts w:asciiTheme="minorHAnsi" w:eastAsiaTheme="minorEastAsia" w:hAnsiTheme="minorHAnsi" w:cstheme="minorBidi"/>
                <w:b w:val="0"/>
                <w:sz w:val="24"/>
                <w:lang w:val="it-IT" w:eastAsia="it-IT"/>
              </w:rPr>
              <w:tab/>
            </w:r>
            <w:r w:rsidR="0053159A" w:rsidRPr="0012569F">
              <w:rPr>
                <w:rStyle w:val="Collegamentoipertestuale"/>
              </w:rPr>
              <w:t>National Statement of Principles for Child Safe Organisations</w:t>
            </w:r>
            <w:r w:rsidR="0053159A">
              <w:rPr>
                <w:webHidden/>
              </w:rPr>
              <w:tab/>
            </w:r>
            <w:r w:rsidR="0053159A">
              <w:rPr>
                <w:webHidden/>
              </w:rPr>
              <w:fldChar w:fldCharType="begin"/>
            </w:r>
            <w:r w:rsidR="0053159A">
              <w:rPr>
                <w:webHidden/>
              </w:rPr>
              <w:instrText xml:space="preserve"> PAGEREF _Toc500308841 \h </w:instrText>
            </w:r>
            <w:r w:rsidR="0053159A">
              <w:rPr>
                <w:webHidden/>
              </w:rPr>
            </w:r>
            <w:r w:rsidR="0053159A">
              <w:rPr>
                <w:webHidden/>
              </w:rPr>
              <w:fldChar w:fldCharType="separate"/>
            </w:r>
            <w:r w:rsidR="0053159A">
              <w:rPr>
                <w:webHidden/>
              </w:rPr>
              <w:t>202</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42" w:history="1">
            <w:r w:rsidR="0053159A" w:rsidRPr="0012569F">
              <w:rPr>
                <w:rStyle w:val="Collegamentoipertestuale"/>
              </w:rPr>
              <w:t>(a)</w:t>
            </w:r>
            <w:r w:rsidR="0053159A">
              <w:rPr>
                <w:rFonts w:asciiTheme="minorHAnsi" w:eastAsiaTheme="minorEastAsia" w:hAnsiTheme="minorHAnsi" w:cstheme="minorBidi"/>
                <w:sz w:val="24"/>
                <w:lang w:val="it-IT" w:eastAsia="it-IT"/>
              </w:rPr>
              <w:tab/>
            </w:r>
            <w:r w:rsidR="0053159A" w:rsidRPr="0012569F">
              <w:rPr>
                <w:rStyle w:val="Collegamentoipertestuale"/>
              </w:rPr>
              <w:t>Previous work on child safe principles</w:t>
            </w:r>
            <w:r w:rsidR="0053159A">
              <w:rPr>
                <w:webHidden/>
              </w:rPr>
              <w:tab/>
            </w:r>
            <w:r w:rsidR="0053159A">
              <w:rPr>
                <w:webHidden/>
              </w:rPr>
              <w:fldChar w:fldCharType="begin"/>
            </w:r>
            <w:r w:rsidR="0053159A">
              <w:rPr>
                <w:webHidden/>
              </w:rPr>
              <w:instrText xml:space="preserve"> PAGEREF _Toc500308842 \h </w:instrText>
            </w:r>
            <w:r w:rsidR="0053159A">
              <w:rPr>
                <w:webHidden/>
              </w:rPr>
            </w:r>
            <w:r w:rsidR="0053159A">
              <w:rPr>
                <w:webHidden/>
              </w:rPr>
              <w:fldChar w:fldCharType="separate"/>
            </w:r>
            <w:r w:rsidR="0053159A">
              <w:rPr>
                <w:webHidden/>
              </w:rPr>
              <w:t>202</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43" w:history="1">
            <w:r w:rsidR="0053159A" w:rsidRPr="0012569F">
              <w:rPr>
                <w:rStyle w:val="Collegamentoipertestuale"/>
              </w:rPr>
              <w:t>(b)</w:t>
            </w:r>
            <w:r w:rsidR="0053159A">
              <w:rPr>
                <w:rFonts w:asciiTheme="minorHAnsi" w:eastAsiaTheme="minorEastAsia" w:hAnsiTheme="minorHAnsi" w:cstheme="minorBidi"/>
                <w:sz w:val="24"/>
                <w:lang w:val="it-IT" w:eastAsia="it-IT"/>
              </w:rPr>
              <w:tab/>
            </w:r>
            <w:r w:rsidR="0053159A" w:rsidRPr="0012569F">
              <w:rPr>
                <w:rStyle w:val="Collegamentoipertestuale"/>
              </w:rPr>
              <w:t>National Framework for Protecting Australia’s Children</w:t>
            </w:r>
            <w:r w:rsidR="0053159A">
              <w:rPr>
                <w:webHidden/>
              </w:rPr>
              <w:tab/>
            </w:r>
            <w:r w:rsidR="0053159A">
              <w:rPr>
                <w:webHidden/>
              </w:rPr>
              <w:fldChar w:fldCharType="begin"/>
            </w:r>
            <w:r w:rsidR="0053159A">
              <w:rPr>
                <w:webHidden/>
              </w:rPr>
              <w:instrText xml:space="preserve"> PAGEREF _Toc500308843 \h </w:instrText>
            </w:r>
            <w:r w:rsidR="0053159A">
              <w:rPr>
                <w:webHidden/>
              </w:rPr>
            </w:r>
            <w:r w:rsidR="0053159A">
              <w:rPr>
                <w:webHidden/>
              </w:rPr>
              <w:fldChar w:fldCharType="separate"/>
            </w:r>
            <w:r w:rsidR="0053159A">
              <w:rPr>
                <w:webHidden/>
              </w:rPr>
              <w:t>203</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44" w:history="1">
            <w:r w:rsidR="0053159A" w:rsidRPr="0012569F">
              <w:rPr>
                <w:rStyle w:val="Collegamentoipertestuale"/>
              </w:rPr>
              <w:t>(c)</w:t>
            </w:r>
            <w:r w:rsidR="0053159A">
              <w:rPr>
                <w:rFonts w:asciiTheme="minorHAnsi" w:eastAsiaTheme="minorEastAsia" w:hAnsiTheme="minorHAnsi" w:cstheme="minorBidi"/>
                <w:sz w:val="24"/>
                <w:lang w:val="it-IT" w:eastAsia="it-IT"/>
              </w:rPr>
              <w:tab/>
            </w:r>
            <w:r w:rsidR="0053159A" w:rsidRPr="0012569F">
              <w:rPr>
                <w:rStyle w:val="Collegamentoipertestuale"/>
              </w:rPr>
              <w:t>National Statement of Principles for Child Safe Organisations</w:t>
            </w:r>
            <w:r w:rsidR="0053159A">
              <w:rPr>
                <w:webHidden/>
              </w:rPr>
              <w:tab/>
            </w:r>
            <w:r w:rsidR="0053159A">
              <w:rPr>
                <w:webHidden/>
              </w:rPr>
              <w:fldChar w:fldCharType="begin"/>
            </w:r>
            <w:r w:rsidR="0053159A">
              <w:rPr>
                <w:webHidden/>
              </w:rPr>
              <w:instrText xml:space="preserve"> PAGEREF _Toc500308844 \h </w:instrText>
            </w:r>
            <w:r w:rsidR="0053159A">
              <w:rPr>
                <w:webHidden/>
              </w:rPr>
            </w:r>
            <w:r w:rsidR="0053159A">
              <w:rPr>
                <w:webHidden/>
              </w:rPr>
              <w:fldChar w:fldCharType="separate"/>
            </w:r>
            <w:r w:rsidR="0053159A">
              <w:rPr>
                <w:webHidden/>
              </w:rPr>
              <w:t>203</w:t>
            </w:r>
            <w:r w:rsidR="0053159A">
              <w:rPr>
                <w:webHidden/>
              </w:rPr>
              <w:fldChar w:fldCharType="end"/>
            </w:r>
          </w:hyperlink>
        </w:p>
        <w:p w:rsidR="0053159A" w:rsidRDefault="00C3029C">
          <w:pPr>
            <w:pStyle w:val="Sommario3"/>
            <w:tabs>
              <w:tab w:val="left" w:pos="2138"/>
            </w:tabs>
            <w:rPr>
              <w:rFonts w:asciiTheme="minorHAnsi" w:eastAsiaTheme="minorEastAsia" w:hAnsiTheme="minorHAnsi" w:cstheme="minorBidi"/>
              <w:sz w:val="24"/>
              <w:lang w:val="it-IT" w:eastAsia="it-IT"/>
            </w:rPr>
          </w:pPr>
          <w:hyperlink w:anchor="_Toc500308845" w:history="1">
            <w:r w:rsidR="0053159A" w:rsidRPr="0012569F">
              <w:rPr>
                <w:rStyle w:val="Collegamentoipertestuale"/>
              </w:rPr>
              <w:t>(d)</w:t>
            </w:r>
            <w:r w:rsidR="0053159A">
              <w:rPr>
                <w:rFonts w:asciiTheme="minorHAnsi" w:eastAsiaTheme="minorEastAsia" w:hAnsiTheme="minorHAnsi" w:cstheme="minorBidi"/>
                <w:sz w:val="24"/>
                <w:lang w:val="it-IT" w:eastAsia="it-IT"/>
              </w:rPr>
              <w:tab/>
            </w:r>
            <w:r w:rsidR="0053159A" w:rsidRPr="0012569F">
              <w:rPr>
                <w:rStyle w:val="Collegamentoipertestuale"/>
              </w:rPr>
              <w:t>Future-proofing for child safe organisations</w:t>
            </w:r>
            <w:r w:rsidR="0053159A">
              <w:rPr>
                <w:webHidden/>
              </w:rPr>
              <w:tab/>
            </w:r>
            <w:r w:rsidR="0053159A">
              <w:rPr>
                <w:webHidden/>
              </w:rPr>
              <w:fldChar w:fldCharType="begin"/>
            </w:r>
            <w:r w:rsidR="0053159A">
              <w:rPr>
                <w:webHidden/>
              </w:rPr>
              <w:instrText xml:space="preserve"> PAGEREF _Toc500308845 \h </w:instrText>
            </w:r>
            <w:r w:rsidR="0053159A">
              <w:rPr>
                <w:webHidden/>
              </w:rPr>
            </w:r>
            <w:r w:rsidR="0053159A">
              <w:rPr>
                <w:webHidden/>
              </w:rPr>
              <w:fldChar w:fldCharType="separate"/>
            </w:r>
            <w:r w:rsidR="0053159A">
              <w:rPr>
                <w:webHidden/>
              </w:rPr>
              <w:t>206</w:t>
            </w:r>
            <w:r w:rsidR="0053159A">
              <w:rPr>
                <w:webHidden/>
              </w:rPr>
              <w:fldChar w:fldCharType="end"/>
            </w:r>
          </w:hyperlink>
        </w:p>
        <w:p w:rsidR="0053159A" w:rsidRDefault="00C3029C">
          <w:pPr>
            <w:pStyle w:val="Sommario1"/>
            <w:rPr>
              <w:rFonts w:asciiTheme="minorHAnsi" w:eastAsiaTheme="minorEastAsia" w:hAnsiTheme="minorHAnsi" w:cstheme="minorBidi"/>
              <w:b w:val="0"/>
              <w:lang w:val="it-IT" w:eastAsia="it-IT"/>
            </w:rPr>
          </w:pPr>
          <w:hyperlink w:anchor="_Toc500308846" w:history="1">
            <w:r w:rsidR="0053159A" w:rsidRPr="0012569F">
              <w:rPr>
                <w:rStyle w:val="Collegamentoipertestuale"/>
                <w:rFonts w:cs="Arial"/>
              </w:rPr>
              <w:t>Appendices</w:t>
            </w:r>
            <w:r w:rsidR="0053159A">
              <w:rPr>
                <w:webHidden/>
              </w:rPr>
              <w:tab/>
            </w:r>
            <w:r w:rsidR="0053159A">
              <w:rPr>
                <w:webHidden/>
              </w:rPr>
              <w:fldChar w:fldCharType="begin"/>
            </w:r>
            <w:r w:rsidR="0053159A">
              <w:rPr>
                <w:webHidden/>
              </w:rPr>
              <w:instrText xml:space="preserve"> PAGEREF _Toc500308846 \h </w:instrText>
            </w:r>
            <w:r w:rsidR="0053159A">
              <w:rPr>
                <w:webHidden/>
              </w:rPr>
            </w:r>
            <w:r w:rsidR="0053159A">
              <w:rPr>
                <w:webHidden/>
              </w:rPr>
              <w:fldChar w:fldCharType="separate"/>
            </w:r>
            <w:r w:rsidR="0053159A">
              <w:rPr>
                <w:webHidden/>
              </w:rPr>
              <w:t>215</w:t>
            </w:r>
            <w:r w:rsidR="0053159A">
              <w:rPr>
                <w:webHidden/>
              </w:rPr>
              <w:fldChar w:fldCharType="end"/>
            </w:r>
          </w:hyperlink>
        </w:p>
        <w:p w:rsidR="0053159A" w:rsidRDefault="00C3029C">
          <w:pPr>
            <w:pStyle w:val="Sommario4"/>
            <w:rPr>
              <w:rFonts w:asciiTheme="minorHAnsi" w:eastAsiaTheme="minorEastAsia" w:hAnsiTheme="minorHAnsi" w:cstheme="minorBidi"/>
              <w:sz w:val="24"/>
              <w:lang w:val="it-IT" w:eastAsia="it-IT"/>
            </w:rPr>
          </w:pPr>
          <w:hyperlink w:anchor="_Toc500308847" w:history="1">
            <w:r w:rsidR="0053159A" w:rsidRPr="001E0439">
              <w:rPr>
                <w:rStyle w:val="Collegamentoipertestuale"/>
                <w:b/>
              </w:rPr>
              <w:t>Appendix 1:</w:t>
            </w:r>
            <w:r w:rsidR="0053159A" w:rsidRPr="0012569F">
              <w:rPr>
                <w:rStyle w:val="Collegamentoipertestuale"/>
              </w:rPr>
              <w:t xml:space="preserve"> Speaking engagements</w:t>
            </w:r>
            <w:r w:rsidR="0053159A">
              <w:rPr>
                <w:webHidden/>
              </w:rPr>
              <w:tab/>
            </w:r>
            <w:r w:rsidR="0053159A">
              <w:rPr>
                <w:webHidden/>
              </w:rPr>
              <w:fldChar w:fldCharType="begin"/>
            </w:r>
            <w:r w:rsidR="0053159A">
              <w:rPr>
                <w:webHidden/>
              </w:rPr>
              <w:instrText xml:space="preserve"> PAGEREF _Toc500308847 \h </w:instrText>
            </w:r>
            <w:r w:rsidR="0053159A">
              <w:rPr>
                <w:webHidden/>
              </w:rPr>
            </w:r>
            <w:r w:rsidR="0053159A">
              <w:rPr>
                <w:webHidden/>
              </w:rPr>
              <w:fldChar w:fldCharType="separate"/>
            </w:r>
            <w:r w:rsidR="0053159A">
              <w:rPr>
                <w:webHidden/>
              </w:rPr>
              <w:t>215</w:t>
            </w:r>
            <w:r w:rsidR="0053159A">
              <w:rPr>
                <w:webHidden/>
              </w:rPr>
              <w:fldChar w:fldCharType="end"/>
            </w:r>
          </w:hyperlink>
        </w:p>
        <w:p w:rsidR="0053159A" w:rsidRDefault="00C3029C">
          <w:pPr>
            <w:pStyle w:val="Sommario4"/>
            <w:rPr>
              <w:rFonts w:asciiTheme="minorHAnsi" w:eastAsiaTheme="minorEastAsia" w:hAnsiTheme="minorHAnsi" w:cstheme="minorBidi"/>
              <w:sz w:val="24"/>
              <w:lang w:val="it-IT" w:eastAsia="it-IT"/>
            </w:rPr>
          </w:pPr>
          <w:hyperlink w:anchor="_Toc500308848" w:history="1">
            <w:r w:rsidR="0053159A" w:rsidRPr="001E0439">
              <w:rPr>
                <w:rStyle w:val="Collegamentoipertestuale"/>
                <w:b/>
              </w:rPr>
              <w:t>Appendix 2:</w:t>
            </w:r>
            <w:r w:rsidR="0053159A" w:rsidRPr="0012569F">
              <w:rPr>
                <w:rStyle w:val="Collegamentoipertestuale"/>
              </w:rPr>
              <w:t xml:space="preserve"> Face to face meetings and teleconferences about issues affecting children and young people</w:t>
            </w:r>
            <w:r w:rsidR="0053159A">
              <w:rPr>
                <w:webHidden/>
              </w:rPr>
              <w:tab/>
            </w:r>
            <w:r w:rsidR="0053159A">
              <w:rPr>
                <w:webHidden/>
              </w:rPr>
              <w:fldChar w:fldCharType="begin"/>
            </w:r>
            <w:r w:rsidR="0053159A">
              <w:rPr>
                <w:webHidden/>
              </w:rPr>
              <w:instrText xml:space="preserve"> PAGEREF _Toc500308848 \h </w:instrText>
            </w:r>
            <w:r w:rsidR="0053159A">
              <w:rPr>
                <w:webHidden/>
              </w:rPr>
            </w:r>
            <w:r w:rsidR="0053159A">
              <w:rPr>
                <w:webHidden/>
              </w:rPr>
              <w:fldChar w:fldCharType="separate"/>
            </w:r>
            <w:r w:rsidR="0053159A">
              <w:rPr>
                <w:webHidden/>
              </w:rPr>
              <w:t>217</w:t>
            </w:r>
            <w:r w:rsidR="0053159A">
              <w:rPr>
                <w:webHidden/>
              </w:rPr>
              <w:fldChar w:fldCharType="end"/>
            </w:r>
          </w:hyperlink>
        </w:p>
        <w:p w:rsidR="0053159A" w:rsidRDefault="00C3029C">
          <w:pPr>
            <w:pStyle w:val="Sommario4"/>
            <w:rPr>
              <w:rFonts w:asciiTheme="minorHAnsi" w:eastAsiaTheme="minorEastAsia" w:hAnsiTheme="minorHAnsi" w:cstheme="minorBidi"/>
              <w:sz w:val="24"/>
              <w:lang w:val="it-IT" w:eastAsia="it-IT"/>
            </w:rPr>
          </w:pPr>
          <w:hyperlink w:anchor="_Toc500308849" w:history="1">
            <w:r w:rsidR="0053159A" w:rsidRPr="001E0439">
              <w:rPr>
                <w:rStyle w:val="Collegamentoipertestuale"/>
                <w:b/>
              </w:rPr>
              <w:t>Appendix 3:</w:t>
            </w:r>
            <w:r w:rsidR="0053159A" w:rsidRPr="0012569F">
              <w:rPr>
                <w:rStyle w:val="Collegamentoipertestuale"/>
              </w:rPr>
              <w:t xml:space="preserve"> Membership of advisory groups and ambassadorships</w:t>
            </w:r>
            <w:r w:rsidR="0053159A">
              <w:rPr>
                <w:webHidden/>
              </w:rPr>
              <w:tab/>
            </w:r>
            <w:r w:rsidR="0053159A">
              <w:rPr>
                <w:webHidden/>
              </w:rPr>
              <w:fldChar w:fldCharType="begin"/>
            </w:r>
            <w:r w:rsidR="0053159A">
              <w:rPr>
                <w:webHidden/>
              </w:rPr>
              <w:instrText xml:space="preserve"> PAGEREF _Toc500308849 \h </w:instrText>
            </w:r>
            <w:r w:rsidR="0053159A">
              <w:rPr>
                <w:webHidden/>
              </w:rPr>
            </w:r>
            <w:r w:rsidR="0053159A">
              <w:rPr>
                <w:webHidden/>
              </w:rPr>
              <w:fldChar w:fldCharType="separate"/>
            </w:r>
            <w:r w:rsidR="0053159A">
              <w:rPr>
                <w:webHidden/>
              </w:rPr>
              <w:t>235</w:t>
            </w:r>
            <w:r w:rsidR="0053159A">
              <w:rPr>
                <w:webHidden/>
              </w:rPr>
              <w:fldChar w:fldCharType="end"/>
            </w:r>
          </w:hyperlink>
        </w:p>
        <w:p w:rsidR="0053159A" w:rsidRDefault="00C3029C">
          <w:pPr>
            <w:pStyle w:val="Sommario4"/>
            <w:rPr>
              <w:rFonts w:asciiTheme="minorHAnsi" w:eastAsiaTheme="minorEastAsia" w:hAnsiTheme="minorHAnsi" w:cstheme="minorBidi"/>
              <w:sz w:val="24"/>
              <w:lang w:val="it-IT" w:eastAsia="it-IT"/>
            </w:rPr>
          </w:pPr>
          <w:hyperlink w:anchor="_Toc500308850" w:history="1">
            <w:r w:rsidR="0053159A" w:rsidRPr="001E0439">
              <w:rPr>
                <w:rStyle w:val="Collegamentoipertestuale"/>
                <w:b/>
              </w:rPr>
              <w:t>Appendix 4:</w:t>
            </w:r>
            <w:r w:rsidR="0053159A" w:rsidRPr="0012569F">
              <w:rPr>
                <w:rStyle w:val="Collegamentoipertestuale"/>
              </w:rPr>
              <w:t xml:space="preserve"> Recent and current reviews of youth justice in Australia</w:t>
            </w:r>
            <w:r w:rsidR="0053159A">
              <w:rPr>
                <w:webHidden/>
              </w:rPr>
              <w:tab/>
            </w:r>
            <w:r w:rsidR="0053159A">
              <w:rPr>
                <w:webHidden/>
              </w:rPr>
              <w:fldChar w:fldCharType="begin"/>
            </w:r>
            <w:r w:rsidR="0053159A">
              <w:rPr>
                <w:webHidden/>
              </w:rPr>
              <w:instrText xml:space="preserve"> PAGEREF _Toc500308850 \h </w:instrText>
            </w:r>
            <w:r w:rsidR="0053159A">
              <w:rPr>
                <w:webHidden/>
              </w:rPr>
            </w:r>
            <w:r w:rsidR="0053159A">
              <w:rPr>
                <w:webHidden/>
              </w:rPr>
              <w:fldChar w:fldCharType="separate"/>
            </w:r>
            <w:r w:rsidR="0053159A">
              <w:rPr>
                <w:webHidden/>
              </w:rPr>
              <w:t>236</w:t>
            </w:r>
            <w:r w:rsidR="0053159A">
              <w:rPr>
                <w:webHidden/>
              </w:rPr>
              <w:fldChar w:fldCharType="end"/>
            </w:r>
          </w:hyperlink>
        </w:p>
        <w:p w:rsidR="0053159A" w:rsidRDefault="00C3029C">
          <w:pPr>
            <w:pStyle w:val="Sommario4"/>
            <w:rPr>
              <w:rFonts w:asciiTheme="minorHAnsi" w:eastAsiaTheme="minorEastAsia" w:hAnsiTheme="minorHAnsi" w:cstheme="minorBidi"/>
              <w:sz w:val="24"/>
              <w:lang w:val="it-IT" w:eastAsia="it-IT"/>
            </w:rPr>
          </w:pPr>
          <w:hyperlink w:anchor="_Toc500308851" w:history="1">
            <w:r w:rsidR="0053159A" w:rsidRPr="001E0439">
              <w:rPr>
                <w:rStyle w:val="Collegamentoipertestuale"/>
                <w:b/>
              </w:rPr>
              <w:t>Appendix 5:</w:t>
            </w:r>
            <w:r w:rsidR="0053159A" w:rsidRPr="0012569F">
              <w:rPr>
                <w:rStyle w:val="Collegamentoipertestuale"/>
              </w:rPr>
              <w:t xml:space="preserve"> Submissions by the Australian Human Rights Commission to government and other inquiries which included consideration of children’s rights</w:t>
            </w:r>
            <w:r w:rsidR="0053159A">
              <w:rPr>
                <w:webHidden/>
              </w:rPr>
              <w:tab/>
            </w:r>
            <w:r w:rsidR="0053159A">
              <w:rPr>
                <w:webHidden/>
              </w:rPr>
              <w:fldChar w:fldCharType="begin"/>
            </w:r>
            <w:r w:rsidR="0053159A">
              <w:rPr>
                <w:webHidden/>
              </w:rPr>
              <w:instrText xml:space="preserve"> PAGEREF _Toc500308851 \h </w:instrText>
            </w:r>
            <w:r w:rsidR="0053159A">
              <w:rPr>
                <w:webHidden/>
              </w:rPr>
            </w:r>
            <w:r w:rsidR="0053159A">
              <w:rPr>
                <w:webHidden/>
              </w:rPr>
              <w:fldChar w:fldCharType="separate"/>
            </w:r>
            <w:r w:rsidR="0053159A">
              <w:rPr>
                <w:webHidden/>
              </w:rPr>
              <w:t>240</w:t>
            </w:r>
            <w:r w:rsidR="0053159A">
              <w:rPr>
                <w:webHidden/>
              </w:rPr>
              <w:fldChar w:fldCharType="end"/>
            </w:r>
          </w:hyperlink>
        </w:p>
        <w:p w:rsidR="0053159A" w:rsidRDefault="00C3029C">
          <w:pPr>
            <w:pStyle w:val="Sommario4"/>
            <w:rPr>
              <w:rFonts w:asciiTheme="minorHAnsi" w:eastAsiaTheme="minorEastAsia" w:hAnsiTheme="minorHAnsi" w:cstheme="minorBidi"/>
              <w:sz w:val="24"/>
              <w:lang w:val="it-IT" w:eastAsia="it-IT"/>
            </w:rPr>
          </w:pPr>
          <w:hyperlink w:anchor="_Toc500308852" w:history="1">
            <w:r w:rsidR="0053159A" w:rsidRPr="001E0439">
              <w:rPr>
                <w:rStyle w:val="Collegamentoipertestuale"/>
                <w:b/>
              </w:rPr>
              <w:t>Appendix 6:</w:t>
            </w:r>
            <w:r w:rsidR="0053159A" w:rsidRPr="0012569F">
              <w:rPr>
                <w:rStyle w:val="Collegamentoipertestuale"/>
              </w:rPr>
              <w:t xml:space="preserve"> List of responses on progress of recommendations in Children’s Rights Reports 2013–2016</w:t>
            </w:r>
            <w:r w:rsidR="0053159A">
              <w:rPr>
                <w:webHidden/>
              </w:rPr>
              <w:tab/>
            </w:r>
            <w:r w:rsidR="0053159A">
              <w:rPr>
                <w:webHidden/>
              </w:rPr>
              <w:fldChar w:fldCharType="begin"/>
            </w:r>
            <w:r w:rsidR="0053159A">
              <w:rPr>
                <w:webHidden/>
              </w:rPr>
              <w:instrText xml:space="preserve"> PAGEREF _Toc500308852 \h </w:instrText>
            </w:r>
            <w:r w:rsidR="0053159A">
              <w:rPr>
                <w:webHidden/>
              </w:rPr>
            </w:r>
            <w:r w:rsidR="0053159A">
              <w:rPr>
                <w:webHidden/>
              </w:rPr>
              <w:fldChar w:fldCharType="separate"/>
            </w:r>
            <w:r w:rsidR="0053159A">
              <w:rPr>
                <w:webHidden/>
              </w:rPr>
              <w:t>242</w:t>
            </w:r>
            <w:r w:rsidR="0053159A">
              <w:rPr>
                <w:webHidden/>
              </w:rPr>
              <w:fldChar w:fldCharType="end"/>
            </w:r>
          </w:hyperlink>
        </w:p>
        <w:p w:rsidR="0053159A" w:rsidRDefault="00C3029C">
          <w:pPr>
            <w:pStyle w:val="Sommario4"/>
            <w:rPr>
              <w:rFonts w:asciiTheme="minorHAnsi" w:eastAsiaTheme="minorEastAsia" w:hAnsiTheme="minorHAnsi" w:cstheme="minorBidi"/>
              <w:sz w:val="24"/>
              <w:lang w:val="it-IT" w:eastAsia="it-IT"/>
            </w:rPr>
          </w:pPr>
          <w:hyperlink w:anchor="_Toc500308853" w:history="1">
            <w:r w:rsidR="0053159A" w:rsidRPr="001E0439">
              <w:rPr>
                <w:rStyle w:val="Collegamentoipertestuale"/>
                <w:b/>
              </w:rPr>
              <w:t>Appendix 7:</w:t>
            </w:r>
            <w:r w:rsidR="0053159A" w:rsidRPr="0012569F">
              <w:rPr>
                <w:rStyle w:val="Collegamentoipertestuale"/>
              </w:rPr>
              <w:t xml:space="preserve"> Submissions made to the National Children’s Commissioner about young parents and their children</w:t>
            </w:r>
            <w:r w:rsidR="0053159A">
              <w:rPr>
                <w:webHidden/>
              </w:rPr>
              <w:tab/>
            </w:r>
            <w:r w:rsidR="0053159A">
              <w:rPr>
                <w:webHidden/>
              </w:rPr>
              <w:fldChar w:fldCharType="begin"/>
            </w:r>
            <w:r w:rsidR="0053159A">
              <w:rPr>
                <w:webHidden/>
              </w:rPr>
              <w:instrText xml:space="preserve"> PAGEREF _Toc500308853 \h </w:instrText>
            </w:r>
            <w:r w:rsidR="0053159A">
              <w:rPr>
                <w:webHidden/>
              </w:rPr>
            </w:r>
            <w:r w:rsidR="0053159A">
              <w:rPr>
                <w:webHidden/>
              </w:rPr>
              <w:fldChar w:fldCharType="separate"/>
            </w:r>
            <w:r w:rsidR="0053159A">
              <w:rPr>
                <w:webHidden/>
              </w:rPr>
              <w:t>244</w:t>
            </w:r>
            <w:r w:rsidR="0053159A">
              <w:rPr>
                <w:webHidden/>
              </w:rPr>
              <w:fldChar w:fldCharType="end"/>
            </w:r>
          </w:hyperlink>
        </w:p>
        <w:p w:rsidR="0053159A" w:rsidRDefault="00C3029C">
          <w:pPr>
            <w:pStyle w:val="Sommario4"/>
            <w:rPr>
              <w:rFonts w:asciiTheme="minorHAnsi" w:eastAsiaTheme="minorEastAsia" w:hAnsiTheme="minorHAnsi" w:cstheme="minorBidi"/>
              <w:sz w:val="24"/>
              <w:lang w:val="it-IT" w:eastAsia="it-IT"/>
            </w:rPr>
          </w:pPr>
          <w:hyperlink w:anchor="_Toc500308854" w:history="1">
            <w:r w:rsidR="0053159A" w:rsidRPr="001E0439">
              <w:rPr>
                <w:rStyle w:val="Collegamentoipertestuale"/>
                <w:b/>
              </w:rPr>
              <w:t>Appendix 8:</w:t>
            </w:r>
            <w:r w:rsidR="0053159A" w:rsidRPr="0012569F">
              <w:rPr>
                <w:rStyle w:val="Collegamentoipertestuale"/>
              </w:rPr>
              <w:t xml:space="preserve"> National roundtables with experts on the challenges facing young parents and their children</w:t>
            </w:r>
            <w:r w:rsidR="0053159A">
              <w:rPr>
                <w:webHidden/>
              </w:rPr>
              <w:tab/>
            </w:r>
            <w:r w:rsidR="0053159A">
              <w:rPr>
                <w:webHidden/>
              </w:rPr>
              <w:fldChar w:fldCharType="begin"/>
            </w:r>
            <w:r w:rsidR="0053159A">
              <w:rPr>
                <w:webHidden/>
              </w:rPr>
              <w:instrText xml:space="preserve"> PAGEREF _Toc500308854 \h </w:instrText>
            </w:r>
            <w:r w:rsidR="0053159A">
              <w:rPr>
                <w:webHidden/>
              </w:rPr>
            </w:r>
            <w:r w:rsidR="0053159A">
              <w:rPr>
                <w:webHidden/>
              </w:rPr>
              <w:fldChar w:fldCharType="separate"/>
            </w:r>
            <w:r w:rsidR="0053159A">
              <w:rPr>
                <w:webHidden/>
              </w:rPr>
              <w:t>250</w:t>
            </w:r>
            <w:r w:rsidR="0053159A">
              <w:rPr>
                <w:webHidden/>
              </w:rPr>
              <w:fldChar w:fldCharType="end"/>
            </w:r>
          </w:hyperlink>
        </w:p>
        <w:p w:rsidR="0053159A" w:rsidRDefault="00C3029C">
          <w:pPr>
            <w:pStyle w:val="Sommario4"/>
            <w:rPr>
              <w:rFonts w:asciiTheme="minorHAnsi" w:eastAsiaTheme="minorEastAsia" w:hAnsiTheme="minorHAnsi" w:cstheme="minorBidi"/>
              <w:sz w:val="24"/>
              <w:lang w:val="it-IT" w:eastAsia="it-IT"/>
            </w:rPr>
          </w:pPr>
          <w:hyperlink w:anchor="_Toc500308855" w:history="1">
            <w:r w:rsidR="0053159A" w:rsidRPr="001E0439">
              <w:rPr>
                <w:rStyle w:val="Collegamentoipertestuale"/>
                <w:b/>
              </w:rPr>
              <w:t>Appendix 9:</w:t>
            </w:r>
            <w:r w:rsidR="0053159A" w:rsidRPr="0012569F">
              <w:rPr>
                <w:rStyle w:val="Collegamentoipertestuale"/>
              </w:rPr>
              <w:t xml:space="preserve"> Workshop consultations with young parents</w:t>
            </w:r>
            <w:r w:rsidR="0053159A">
              <w:rPr>
                <w:webHidden/>
              </w:rPr>
              <w:tab/>
            </w:r>
            <w:r w:rsidR="0053159A">
              <w:rPr>
                <w:webHidden/>
              </w:rPr>
              <w:fldChar w:fldCharType="begin"/>
            </w:r>
            <w:r w:rsidR="0053159A">
              <w:rPr>
                <w:webHidden/>
              </w:rPr>
              <w:instrText xml:space="preserve"> PAGEREF _Toc500308855 \h </w:instrText>
            </w:r>
            <w:r w:rsidR="0053159A">
              <w:rPr>
                <w:webHidden/>
              </w:rPr>
            </w:r>
            <w:r w:rsidR="0053159A">
              <w:rPr>
                <w:webHidden/>
              </w:rPr>
              <w:fldChar w:fldCharType="separate"/>
            </w:r>
            <w:r w:rsidR="0053159A">
              <w:rPr>
                <w:webHidden/>
              </w:rPr>
              <w:t>253</w:t>
            </w:r>
            <w:r w:rsidR="0053159A">
              <w:rPr>
                <w:webHidden/>
              </w:rPr>
              <w:fldChar w:fldCharType="end"/>
            </w:r>
          </w:hyperlink>
        </w:p>
        <w:p w:rsidR="0053159A" w:rsidRDefault="00C3029C">
          <w:pPr>
            <w:pStyle w:val="Sommario4"/>
            <w:rPr>
              <w:rFonts w:asciiTheme="minorHAnsi" w:eastAsiaTheme="minorEastAsia" w:hAnsiTheme="minorHAnsi" w:cstheme="minorBidi"/>
              <w:sz w:val="24"/>
              <w:lang w:val="it-IT" w:eastAsia="it-IT"/>
            </w:rPr>
          </w:pPr>
          <w:hyperlink w:anchor="_Toc500308856" w:history="1">
            <w:r w:rsidR="0053159A" w:rsidRPr="001E0439">
              <w:rPr>
                <w:rStyle w:val="Collegamentoipertestuale"/>
                <w:b/>
              </w:rPr>
              <w:t>Appendix 10:</w:t>
            </w:r>
            <w:r w:rsidR="0053159A" w:rsidRPr="0012569F">
              <w:rPr>
                <w:rStyle w:val="Collegamentoipertestuale"/>
              </w:rPr>
              <w:t xml:space="preserve"> State and territory education policies to support young parents</w:t>
            </w:r>
            <w:r w:rsidR="0053159A">
              <w:rPr>
                <w:webHidden/>
              </w:rPr>
              <w:tab/>
            </w:r>
            <w:r w:rsidR="0053159A">
              <w:rPr>
                <w:webHidden/>
              </w:rPr>
              <w:fldChar w:fldCharType="begin"/>
            </w:r>
            <w:r w:rsidR="0053159A">
              <w:rPr>
                <w:webHidden/>
              </w:rPr>
              <w:instrText xml:space="preserve"> PAGEREF _Toc500308856 \h </w:instrText>
            </w:r>
            <w:r w:rsidR="0053159A">
              <w:rPr>
                <w:webHidden/>
              </w:rPr>
            </w:r>
            <w:r w:rsidR="0053159A">
              <w:rPr>
                <w:webHidden/>
              </w:rPr>
              <w:fldChar w:fldCharType="separate"/>
            </w:r>
            <w:r w:rsidR="0053159A">
              <w:rPr>
                <w:webHidden/>
              </w:rPr>
              <w:t>254</w:t>
            </w:r>
            <w:r w:rsidR="0053159A">
              <w:rPr>
                <w:webHidden/>
              </w:rPr>
              <w:fldChar w:fldCharType="end"/>
            </w:r>
          </w:hyperlink>
        </w:p>
        <w:p w:rsidR="0053159A" w:rsidRDefault="00C3029C">
          <w:pPr>
            <w:pStyle w:val="Sommario4"/>
            <w:rPr>
              <w:rFonts w:asciiTheme="minorHAnsi" w:eastAsiaTheme="minorEastAsia" w:hAnsiTheme="minorHAnsi" w:cstheme="minorBidi"/>
              <w:sz w:val="24"/>
              <w:lang w:val="it-IT" w:eastAsia="it-IT"/>
            </w:rPr>
          </w:pPr>
          <w:hyperlink w:anchor="_Toc500308857" w:history="1">
            <w:r w:rsidR="0053159A" w:rsidRPr="001E0439">
              <w:rPr>
                <w:rStyle w:val="Collegamentoipertestuale"/>
                <w:b/>
              </w:rPr>
              <w:t>Appendix 11:</w:t>
            </w:r>
            <w:r w:rsidR="0053159A" w:rsidRPr="0012569F">
              <w:rPr>
                <w:rStyle w:val="Collegamentoipertestuale"/>
              </w:rPr>
              <w:t xml:space="preserve"> State and territory government programs for young parents</w:t>
            </w:r>
            <w:r w:rsidR="0053159A">
              <w:rPr>
                <w:webHidden/>
              </w:rPr>
              <w:tab/>
            </w:r>
            <w:r w:rsidR="0053159A">
              <w:rPr>
                <w:webHidden/>
              </w:rPr>
              <w:fldChar w:fldCharType="begin"/>
            </w:r>
            <w:r w:rsidR="0053159A">
              <w:rPr>
                <w:webHidden/>
              </w:rPr>
              <w:instrText xml:space="preserve"> PAGEREF _Toc500308857 \h </w:instrText>
            </w:r>
            <w:r w:rsidR="0053159A">
              <w:rPr>
                <w:webHidden/>
              </w:rPr>
            </w:r>
            <w:r w:rsidR="0053159A">
              <w:rPr>
                <w:webHidden/>
              </w:rPr>
              <w:fldChar w:fldCharType="separate"/>
            </w:r>
            <w:r w:rsidR="0053159A">
              <w:rPr>
                <w:webHidden/>
              </w:rPr>
              <w:t>257</w:t>
            </w:r>
            <w:r w:rsidR="0053159A">
              <w:rPr>
                <w:webHidden/>
              </w:rPr>
              <w:fldChar w:fldCharType="end"/>
            </w:r>
          </w:hyperlink>
        </w:p>
        <w:p w:rsidR="0053159A" w:rsidRDefault="00C3029C">
          <w:pPr>
            <w:pStyle w:val="Sommario4"/>
            <w:rPr>
              <w:rFonts w:asciiTheme="minorHAnsi" w:eastAsiaTheme="minorEastAsia" w:hAnsiTheme="minorHAnsi" w:cstheme="minorBidi"/>
              <w:sz w:val="24"/>
              <w:lang w:val="it-IT" w:eastAsia="it-IT"/>
            </w:rPr>
          </w:pPr>
          <w:hyperlink w:anchor="_Toc500308858" w:history="1">
            <w:r w:rsidR="0053159A" w:rsidRPr="001E0439">
              <w:rPr>
                <w:rStyle w:val="Collegamentoipertestuale"/>
                <w:b/>
              </w:rPr>
              <w:t>Appendix 12:</w:t>
            </w:r>
            <w:r w:rsidR="0053159A" w:rsidRPr="0012569F">
              <w:rPr>
                <w:rStyle w:val="Collegamentoipertestuale"/>
              </w:rPr>
              <w:t xml:space="preserve"> Laws relevant to children’s access to prescribed medical forms of contraception and abortion</w:t>
            </w:r>
            <w:r w:rsidR="0053159A">
              <w:rPr>
                <w:webHidden/>
              </w:rPr>
              <w:tab/>
            </w:r>
            <w:r w:rsidR="0053159A">
              <w:rPr>
                <w:webHidden/>
              </w:rPr>
              <w:fldChar w:fldCharType="begin"/>
            </w:r>
            <w:r w:rsidR="0053159A">
              <w:rPr>
                <w:webHidden/>
              </w:rPr>
              <w:instrText xml:space="preserve"> PAGEREF _Toc500308858 \h </w:instrText>
            </w:r>
            <w:r w:rsidR="0053159A">
              <w:rPr>
                <w:webHidden/>
              </w:rPr>
            </w:r>
            <w:r w:rsidR="0053159A">
              <w:rPr>
                <w:webHidden/>
              </w:rPr>
              <w:fldChar w:fldCharType="separate"/>
            </w:r>
            <w:r w:rsidR="0053159A">
              <w:rPr>
                <w:webHidden/>
              </w:rPr>
              <w:t>266</w:t>
            </w:r>
            <w:r w:rsidR="0053159A">
              <w:rPr>
                <w:webHidden/>
              </w:rPr>
              <w:fldChar w:fldCharType="end"/>
            </w:r>
          </w:hyperlink>
        </w:p>
        <w:p w:rsidR="0053159A" w:rsidRDefault="00C3029C">
          <w:pPr>
            <w:pStyle w:val="Sommario4"/>
            <w:rPr>
              <w:rFonts w:asciiTheme="minorHAnsi" w:eastAsiaTheme="minorEastAsia" w:hAnsiTheme="minorHAnsi" w:cstheme="minorBidi"/>
              <w:sz w:val="24"/>
              <w:lang w:val="it-IT" w:eastAsia="it-IT"/>
            </w:rPr>
          </w:pPr>
          <w:hyperlink w:anchor="_Toc500308859" w:history="1">
            <w:r w:rsidR="0053159A" w:rsidRPr="001E0439">
              <w:rPr>
                <w:rStyle w:val="Collegamentoipertestuale"/>
                <w:b/>
              </w:rPr>
              <w:t>Appendix 13:</w:t>
            </w:r>
            <w:r w:rsidR="0053159A" w:rsidRPr="0012569F">
              <w:rPr>
                <w:rStyle w:val="Collegamentoipertestuale"/>
              </w:rPr>
              <w:t xml:space="preserve"> Laws relevant to access to education for children who are parents or are pregnant</w:t>
            </w:r>
            <w:r w:rsidR="0053159A">
              <w:rPr>
                <w:webHidden/>
              </w:rPr>
              <w:tab/>
            </w:r>
            <w:r w:rsidR="0053159A">
              <w:rPr>
                <w:webHidden/>
              </w:rPr>
              <w:fldChar w:fldCharType="begin"/>
            </w:r>
            <w:r w:rsidR="0053159A">
              <w:rPr>
                <w:webHidden/>
              </w:rPr>
              <w:instrText xml:space="preserve"> PAGEREF _Toc500308859 \h </w:instrText>
            </w:r>
            <w:r w:rsidR="0053159A">
              <w:rPr>
                <w:webHidden/>
              </w:rPr>
            </w:r>
            <w:r w:rsidR="0053159A">
              <w:rPr>
                <w:webHidden/>
              </w:rPr>
              <w:fldChar w:fldCharType="separate"/>
            </w:r>
            <w:r w:rsidR="0053159A">
              <w:rPr>
                <w:webHidden/>
              </w:rPr>
              <w:t>287</w:t>
            </w:r>
            <w:r w:rsidR="0053159A">
              <w:rPr>
                <w:webHidden/>
              </w:rPr>
              <w:fldChar w:fldCharType="end"/>
            </w:r>
          </w:hyperlink>
        </w:p>
        <w:p w:rsidR="0053159A" w:rsidRDefault="00C3029C">
          <w:pPr>
            <w:pStyle w:val="Sommario4"/>
            <w:rPr>
              <w:rFonts w:asciiTheme="minorHAnsi" w:eastAsiaTheme="minorEastAsia" w:hAnsiTheme="minorHAnsi" w:cstheme="minorBidi"/>
              <w:sz w:val="24"/>
              <w:lang w:val="it-IT" w:eastAsia="it-IT"/>
            </w:rPr>
          </w:pPr>
          <w:hyperlink w:anchor="_Toc500308860" w:history="1">
            <w:r w:rsidR="0053159A" w:rsidRPr="001E0439">
              <w:rPr>
                <w:rStyle w:val="Collegamentoipertestuale"/>
                <w:b/>
              </w:rPr>
              <w:t>Appendix 14:</w:t>
            </w:r>
            <w:r w:rsidR="0053159A" w:rsidRPr="0012569F">
              <w:rPr>
                <w:rStyle w:val="Collegamentoipertestuale"/>
              </w:rPr>
              <w:t xml:space="preserve"> State and territory child protection policies and data collection relevant to young parents</w:t>
            </w:r>
            <w:r w:rsidR="0053159A">
              <w:rPr>
                <w:webHidden/>
              </w:rPr>
              <w:tab/>
            </w:r>
            <w:r w:rsidR="0053159A">
              <w:rPr>
                <w:webHidden/>
              </w:rPr>
              <w:fldChar w:fldCharType="begin"/>
            </w:r>
            <w:r w:rsidR="0053159A">
              <w:rPr>
                <w:webHidden/>
              </w:rPr>
              <w:instrText xml:space="preserve"> PAGEREF _Toc500308860 \h </w:instrText>
            </w:r>
            <w:r w:rsidR="0053159A">
              <w:rPr>
                <w:webHidden/>
              </w:rPr>
            </w:r>
            <w:r w:rsidR="0053159A">
              <w:rPr>
                <w:webHidden/>
              </w:rPr>
              <w:fldChar w:fldCharType="separate"/>
            </w:r>
            <w:r w:rsidR="0053159A">
              <w:rPr>
                <w:webHidden/>
              </w:rPr>
              <w:t>315</w:t>
            </w:r>
            <w:r w:rsidR="0053159A">
              <w:rPr>
                <w:webHidden/>
              </w:rPr>
              <w:fldChar w:fldCharType="end"/>
            </w:r>
          </w:hyperlink>
        </w:p>
        <w:p w:rsidR="0053159A" w:rsidRDefault="00C3029C">
          <w:pPr>
            <w:pStyle w:val="Sommario4"/>
            <w:rPr>
              <w:rFonts w:asciiTheme="minorHAnsi" w:eastAsiaTheme="minorEastAsia" w:hAnsiTheme="minorHAnsi" w:cstheme="minorBidi"/>
              <w:sz w:val="24"/>
              <w:lang w:val="it-IT" w:eastAsia="it-IT"/>
            </w:rPr>
          </w:pPr>
          <w:hyperlink w:anchor="_Toc500308861" w:history="1">
            <w:r w:rsidR="0053159A" w:rsidRPr="001E0439">
              <w:rPr>
                <w:rStyle w:val="Collegamentoipertestuale"/>
                <w:b/>
              </w:rPr>
              <w:t>Appendix 15:</w:t>
            </w:r>
            <w:r w:rsidR="0053159A" w:rsidRPr="0012569F">
              <w:rPr>
                <w:rStyle w:val="Collegamentoipertestuale"/>
              </w:rPr>
              <w:t xml:space="preserve"> Attendees at the Child Safe Organisations roundtables</w:t>
            </w:r>
            <w:r w:rsidR="0053159A">
              <w:rPr>
                <w:webHidden/>
              </w:rPr>
              <w:tab/>
            </w:r>
            <w:r w:rsidR="0053159A">
              <w:rPr>
                <w:webHidden/>
              </w:rPr>
              <w:fldChar w:fldCharType="begin"/>
            </w:r>
            <w:r w:rsidR="0053159A">
              <w:rPr>
                <w:webHidden/>
              </w:rPr>
              <w:instrText xml:space="preserve"> PAGEREF _Toc500308861 \h </w:instrText>
            </w:r>
            <w:r w:rsidR="0053159A">
              <w:rPr>
                <w:webHidden/>
              </w:rPr>
            </w:r>
            <w:r w:rsidR="0053159A">
              <w:rPr>
                <w:webHidden/>
              </w:rPr>
              <w:fldChar w:fldCharType="separate"/>
            </w:r>
            <w:r w:rsidR="0053159A">
              <w:rPr>
                <w:webHidden/>
              </w:rPr>
              <w:t>325</w:t>
            </w:r>
            <w:r w:rsidR="0053159A">
              <w:rPr>
                <w:webHidden/>
              </w:rPr>
              <w:fldChar w:fldCharType="end"/>
            </w:r>
          </w:hyperlink>
        </w:p>
        <w:p w:rsidR="00FD423E" w:rsidRPr="00021DD2" w:rsidRDefault="0053159A" w:rsidP="00FD423E">
          <w:pPr>
            <w:rPr>
              <w:rFonts w:cs="Arial"/>
            </w:rPr>
          </w:pPr>
          <w:r>
            <w:rPr>
              <w:rFonts w:cs="Arial"/>
              <w:noProof/>
            </w:rPr>
            <w:fldChar w:fldCharType="end"/>
          </w:r>
        </w:p>
      </w:sdtContent>
    </w:sdt>
    <w:bookmarkEnd w:id="3" w:displacedByCustomXml="prev"/>
    <w:bookmarkEnd w:id="2" w:displacedByCustomXml="prev"/>
    <w:bookmarkEnd w:id="1" w:displacedByCustomXml="prev"/>
    <w:bookmarkStart w:id="6" w:name="_Toc495926750" w:displacedByCustomXml="prev"/>
    <w:p w:rsidR="001E2654" w:rsidRDefault="001E2654">
      <w:pPr>
        <w:spacing w:before="0" w:after="0"/>
        <w:rPr>
          <w:rFonts w:cs="Arial"/>
          <w:b/>
          <w:bCs/>
          <w:sz w:val="28"/>
          <w:szCs w:val="28"/>
        </w:rPr>
      </w:pPr>
      <w:r>
        <w:rPr>
          <w:rFonts w:cs="Arial"/>
        </w:rPr>
        <w:br w:type="page"/>
      </w:r>
    </w:p>
    <w:p w:rsidR="002940E9" w:rsidRPr="00021DD2" w:rsidRDefault="002940E9" w:rsidP="001E2654">
      <w:pPr>
        <w:pStyle w:val="Titolo1"/>
        <w:numPr>
          <w:ilvl w:val="0"/>
          <w:numId w:val="0"/>
        </w:numPr>
        <w:rPr>
          <w:rFonts w:cs="Arial"/>
        </w:rPr>
      </w:pPr>
      <w:bookmarkStart w:id="7" w:name="_Toc500308734"/>
      <w:r w:rsidRPr="00021DD2">
        <w:rPr>
          <w:rFonts w:cs="Arial"/>
        </w:rPr>
        <w:t>Overview</w:t>
      </w:r>
      <w:bookmarkEnd w:id="6"/>
      <w:bookmarkEnd w:id="7"/>
    </w:p>
    <w:p w:rsidR="002940E9" w:rsidRPr="00021DD2" w:rsidRDefault="002940E9" w:rsidP="00372758">
      <w:r w:rsidRPr="00021DD2">
        <w:t xml:space="preserve">I am pleased to present my fifth Children’s Rights Report as the National Children’s Commissioner. This report details how I have fulfilled my statutory functions, outlined in Section 46MB of the </w:t>
      </w:r>
      <w:r w:rsidRPr="00021DD2">
        <w:rPr>
          <w:i/>
        </w:rPr>
        <w:t>Australia</w:t>
      </w:r>
      <w:r w:rsidR="004B3161" w:rsidRPr="00021DD2">
        <w:rPr>
          <w:i/>
        </w:rPr>
        <w:t>n</w:t>
      </w:r>
      <w:r w:rsidRPr="00021DD2">
        <w:rPr>
          <w:i/>
        </w:rPr>
        <w:t xml:space="preserve"> Human Rights Commission Act 1986</w:t>
      </w:r>
      <w:r w:rsidRPr="00021DD2">
        <w:t xml:space="preserve"> (Cth) (the Act) during 2016</w:t>
      </w:r>
      <w:r w:rsidR="00A821D7">
        <w:t>–</w:t>
      </w:r>
      <w:r w:rsidR="004B3161" w:rsidRPr="00021DD2">
        <w:t>1</w:t>
      </w:r>
      <w:r w:rsidRPr="00021DD2">
        <w:t>7.</w:t>
      </w:r>
    </w:p>
    <w:p w:rsidR="002940E9" w:rsidRPr="00021DD2" w:rsidRDefault="002940E9" w:rsidP="00372758">
      <w:r w:rsidRPr="00021DD2">
        <w:t xml:space="preserve">During this period, I have continued to monitor Australia’s progress in meeting our responsibilities to children and young people under international law. The work I do as Commissioner is guided by the </w:t>
      </w:r>
      <w:r w:rsidRPr="00021DD2">
        <w:rPr>
          <w:i/>
        </w:rPr>
        <w:t>Convention on the Rights of the Child</w:t>
      </w:r>
      <w:r w:rsidRPr="00021DD2">
        <w:t xml:space="preserve">, which articulates all the basic conditions children and young people need to thrive and flourish. </w:t>
      </w:r>
    </w:p>
    <w:p w:rsidR="002940E9" w:rsidRPr="00021DD2" w:rsidRDefault="002940E9" w:rsidP="00372758">
      <w:r w:rsidRPr="00021DD2">
        <w:t>This report sets out significant advances in community understanding of children’s rights and of</w:t>
      </w:r>
      <w:r w:rsidR="004B3161" w:rsidRPr="00021DD2">
        <w:t xml:space="preserve"> our</w:t>
      </w:r>
      <w:r w:rsidRPr="00021DD2">
        <w:t xml:space="preserve"> obligations to ensure that these are respected and upheld. I also point to areas where more action is needed and refer to the major strands of advocacy and research activity I have undertaken throughout the year.</w:t>
      </w:r>
    </w:p>
    <w:p w:rsidR="005B1A77" w:rsidRPr="00021DD2" w:rsidRDefault="002940E9" w:rsidP="00372758">
      <w:r w:rsidRPr="00021DD2">
        <w:t xml:space="preserve">Following on from my work in previous years, I have continued to advocate for a national focus on suicide and self-harm among children and young people, and for improved responses to the needs of children affected by family and domestic violence. I also continue to seek improvements in the oversight and treatment of children in custodial detention. </w:t>
      </w:r>
    </w:p>
    <w:p w:rsidR="002940E9" w:rsidRPr="00021DD2" w:rsidRDefault="002940E9" w:rsidP="00372758">
      <w:r w:rsidRPr="00021DD2">
        <w:t xml:space="preserve">I am pleased to note that this report outlines positive progress in these areas, including the Australian Government announcement in April 2016 that it intends to ratify the </w:t>
      </w:r>
      <w:r w:rsidRPr="00021DD2">
        <w:rPr>
          <w:i/>
        </w:rPr>
        <w:t>Optional Protocol to the Convention against Torture</w:t>
      </w:r>
      <w:r w:rsidRPr="00021DD2">
        <w:t xml:space="preserve"> by December 2017.</w:t>
      </w:r>
    </w:p>
    <w:p w:rsidR="005B1A77" w:rsidRPr="00021DD2" w:rsidRDefault="002940E9" w:rsidP="00372758">
      <w:r w:rsidRPr="00021DD2">
        <w:t>This year my major project has focused on the rights and needs of young parents and their children. Recent modelling has shown that life outcomes are particularly poor for this small but highly vulnerable group. They may struggle to complete their education, find stable housing, or get a job. Without access to adequate health services, the wellbeing of these families may be compromised. Young parents may need help to learn about parenting and</w:t>
      </w:r>
      <w:r w:rsidR="004B3161" w:rsidRPr="00021DD2">
        <w:t xml:space="preserve"> may</w:t>
      </w:r>
      <w:r w:rsidRPr="00021DD2">
        <w:t xml:space="preserve"> be unable to afford or access </w:t>
      </w:r>
      <w:r w:rsidR="004B3161" w:rsidRPr="00021DD2">
        <w:t>early childhood services</w:t>
      </w:r>
      <w:r w:rsidRPr="00021DD2">
        <w:t xml:space="preserve">. Some are at risk of having their children removed and taken into care. </w:t>
      </w:r>
    </w:p>
    <w:p w:rsidR="002940E9" w:rsidRPr="00021DD2" w:rsidRDefault="002940E9" w:rsidP="00372758">
      <w:r w:rsidRPr="00021DD2">
        <w:t>In doing this work we have spoken with many young people who told us about the struggles, stigma and barriers they face. Despite this, overwhelmingly they are motivated to be great parents, to provide the</w:t>
      </w:r>
      <w:r w:rsidR="004B3161" w:rsidRPr="00021DD2">
        <w:t xml:space="preserve"> best care for their children, </w:t>
      </w:r>
      <w:r w:rsidRPr="00021DD2">
        <w:t>to get an education and</w:t>
      </w:r>
      <w:r w:rsidR="004B3161" w:rsidRPr="00021DD2">
        <w:t xml:space="preserve"> to</w:t>
      </w:r>
      <w:r w:rsidRPr="00021DD2">
        <w:t xml:space="preserve"> do well in life. I hope that the findings of this investigation will help to identify the supports </w:t>
      </w:r>
      <w:r w:rsidR="004B3161" w:rsidRPr="00021DD2">
        <w:t xml:space="preserve">these </w:t>
      </w:r>
      <w:r w:rsidRPr="00021DD2">
        <w:t xml:space="preserve">young families need at different points in time. </w:t>
      </w:r>
    </w:p>
    <w:p w:rsidR="002940E9" w:rsidRPr="00021DD2" w:rsidRDefault="002940E9" w:rsidP="00372758">
      <w:r w:rsidRPr="00021DD2">
        <w:t xml:space="preserve">As children are increasingly recognised as rights holders, citizens, consumers, clients and customers, the idea of engaging them in the design and delivery of programs and services becomes more natural. The </w:t>
      </w:r>
      <w:r w:rsidRPr="00021DD2">
        <w:rPr>
          <w:i/>
        </w:rPr>
        <w:t>National Framework for Protecting Australia’s</w:t>
      </w:r>
      <w:r w:rsidR="00A821D7">
        <w:rPr>
          <w:i/>
        </w:rPr>
        <w:t xml:space="preserve"> Children 2009–</w:t>
      </w:r>
      <w:r w:rsidRPr="00021DD2">
        <w:rPr>
          <w:i/>
        </w:rPr>
        <w:t>2020</w:t>
      </w:r>
      <w:r w:rsidRPr="00021DD2">
        <w:t xml:space="preserve"> (National Framework) provides an example of this, where ongoing consultation with children and young people is now embedded in its development, implementation and evaluation. I wish to thank the jurisdictional Minsters, the officials and non-government representatives involved in the work of the National Framework who have supported the rights of children by </w:t>
      </w:r>
      <w:r w:rsidR="005B1A77" w:rsidRPr="00021DD2">
        <w:t>ensuring</w:t>
      </w:r>
      <w:r w:rsidRPr="00021DD2">
        <w:t xml:space="preserve"> their engagement in the process. I have no doubt the actions that flow from the Framework will be more successful as a result. </w:t>
      </w:r>
    </w:p>
    <w:p w:rsidR="002940E9" w:rsidRPr="00021DD2" w:rsidRDefault="002940E9" w:rsidP="00372758">
      <w:r w:rsidRPr="00021DD2">
        <w:t>Every year I have the privilege of talking with a diversity of children and young people. This year I listened as they told me about: what makes them feel safe and welcomed; the help they need as they grow into adulthood; and, for some, their experiences of being young parents. What they have said about these issues very much relates to their individual journeys and circumstances. Understanding their ‘backstories’ is vital if we are to effectively tailor our supports to them. I thank all those children and young people for opening up to me, letting me into their lives and giving me such sound advice to pass on to decision makers.</w:t>
      </w:r>
      <w:r w:rsidR="000F10F4">
        <w:t xml:space="preserve"> </w:t>
      </w:r>
    </w:p>
    <w:p w:rsidR="00C72B28" w:rsidRPr="00021DD2" w:rsidRDefault="00C72B28" w:rsidP="002940E9">
      <w:pPr>
        <w:spacing w:before="0" w:after="0"/>
        <w:rPr>
          <w:rFonts w:cs="Arial"/>
        </w:rPr>
      </w:pPr>
      <w:r w:rsidRPr="00021DD2">
        <w:rPr>
          <w:rFonts w:cs="Arial"/>
        </w:rPr>
        <w:t xml:space="preserve">I could not do my job without the generous support of the many individuals and agencies who care about and care for children and young people and I thank them for their assistance. </w:t>
      </w:r>
    </w:p>
    <w:p w:rsidR="002940E9" w:rsidRPr="00021DD2" w:rsidRDefault="002940E9" w:rsidP="002940E9">
      <w:pPr>
        <w:spacing w:before="0" w:after="0"/>
        <w:rPr>
          <w:rFonts w:cs="Arial"/>
        </w:rPr>
      </w:pPr>
      <w:r w:rsidRPr="00021DD2">
        <w:rPr>
          <w:rFonts w:cs="Arial"/>
        </w:rPr>
        <w:t xml:space="preserve">In closing, I wish to acknowledge the tireless work of the staff of the Australian Human Rights Commission who have supported me in all the activities undertaken over the year, and who were instrumental in delivering this report. </w:t>
      </w:r>
    </w:p>
    <w:p w:rsidR="002940E9" w:rsidRPr="00372758" w:rsidRDefault="00C72B28" w:rsidP="00372758">
      <w:pPr>
        <w:rPr>
          <w:b/>
        </w:rPr>
      </w:pPr>
      <w:r w:rsidRPr="00372758">
        <w:rPr>
          <w:b/>
        </w:rPr>
        <w:t xml:space="preserve">Chapter 1: </w:t>
      </w:r>
      <w:r w:rsidR="002940E9" w:rsidRPr="00372758">
        <w:rPr>
          <w:b/>
        </w:rPr>
        <w:t>Promoting discussion and awareness of children’s rights</w:t>
      </w:r>
    </w:p>
    <w:p w:rsidR="002940E9" w:rsidRPr="00021DD2" w:rsidRDefault="002940E9" w:rsidP="00372758">
      <w:r w:rsidRPr="00021DD2">
        <w:t>Chapter 1 examines the work I have undertaken throughout the past year to promote discussion and awareness of matters relating to the human rights of children and young people in Australia. This work is reported against the five themes which emerged from my consultations with children and young people when I started my term in 2013. The chapter also discusses the encouraging progress in relation to recommendations I made in my previous Children’s Rights Reports.</w:t>
      </w:r>
    </w:p>
    <w:p w:rsidR="002940E9" w:rsidRPr="00021DD2" w:rsidRDefault="002940E9" w:rsidP="002940E9">
      <w:pPr>
        <w:spacing w:before="0" w:after="0"/>
        <w:rPr>
          <w:rFonts w:cs="Arial"/>
          <w:b/>
        </w:rPr>
      </w:pPr>
      <w:r w:rsidRPr="00021DD2">
        <w:rPr>
          <w:rFonts w:cs="Arial"/>
          <w:b/>
        </w:rPr>
        <w:t>Chapter 2: Children’s rights in Commonwealth legislation and court proceedings</w:t>
      </w:r>
    </w:p>
    <w:p w:rsidR="002940E9" w:rsidRPr="00021DD2" w:rsidRDefault="002940E9" w:rsidP="00372758">
      <w:r w:rsidRPr="00021DD2">
        <w:t xml:space="preserve">Chapter 2 reports on the consideration of children’s rights in the development of Commonwealth legislation and related policies. In particular, it reviews the comments of the Joint Parliamentary Committee </w:t>
      </w:r>
      <w:r w:rsidR="00A821D7">
        <w:t>on Human Rights (JPCHR) in 2016–</w:t>
      </w:r>
      <w:r w:rsidRPr="00021DD2">
        <w:t xml:space="preserve">17 on how children’s rights are taken into account in Statements of Compatibility with Human Rights, which accompany Bills introduced to federal Parliament. It includes summaries of submissions made by the Australian Human Rights Commission in relation to these Bills. On the consideration of children’s rights in court proceedings, I include a case study on children with gender dysphoria. </w:t>
      </w:r>
    </w:p>
    <w:p w:rsidR="00372758" w:rsidRDefault="00372758">
      <w:pPr>
        <w:keepLines w:val="0"/>
        <w:spacing w:before="0" w:after="0"/>
        <w:rPr>
          <w:rFonts w:cs="Arial"/>
        </w:rPr>
      </w:pPr>
      <w:r>
        <w:rPr>
          <w:rFonts w:cs="Arial"/>
        </w:rPr>
        <w:br w:type="page"/>
      </w:r>
    </w:p>
    <w:p w:rsidR="002940E9" w:rsidRPr="00021DD2" w:rsidRDefault="002940E9" w:rsidP="002940E9">
      <w:pPr>
        <w:spacing w:before="0" w:after="0"/>
        <w:rPr>
          <w:rFonts w:cs="Arial"/>
          <w:b/>
        </w:rPr>
      </w:pPr>
      <w:r w:rsidRPr="00021DD2">
        <w:rPr>
          <w:rFonts w:cs="Arial"/>
          <w:b/>
        </w:rPr>
        <w:t>Chapter 3: Young parents and their children</w:t>
      </w:r>
    </w:p>
    <w:p w:rsidR="002940E9" w:rsidRPr="00E224A3" w:rsidRDefault="002940E9" w:rsidP="00E224A3">
      <w:pPr>
        <w:rPr>
          <w:rFonts w:cs="Arial"/>
          <w:b/>
        </w:rPr>
      </w:pPr>
      <w:r w:rsidRPr="00021DD2">
        <w:rPr>
          <w:rFonts w:cs="Arial"/>
        </w:rPr>
        <w:t xml:space="preserve">Chapter 3 presents the findings of our project on the rights of young parents and their children. </w:t>
      </w:r>
      <w:r w:rsidRPr="00021DD2">
        <w:rPr>
          <w:rFonts w:eastAsia="Times New Roman" w:cs="Arial"/>
        </w:rPr>
        <w:t>Young</w:t>
      </w:r>
      <w:r w:rsidR="00C72B28" w:rsidRPr="00021DD2">
        <w:rPr>
          <w:rFonts w:eastAsia="Times New Roman" w:cs="Arial"/>
        </w:rPr>
        <w:t xml:space="preserve"> parents and their children </w:t>
      </w:r>
      <w:r w:rsidRPr="00021DD2">
        <w:rPr>
          <w:rFonts w:eastAsia="Times New Roman" w:cs="Arial"/>
        </w:rPr>
        <w:t>are particularly vulnerable to breaches of their rights to health, education and care,</w:t>
      </w:r>
      <w:r w:rsidR="00C72B28" w:rsidRPr="00021DD2">
        <w:rPr>
          <w:rFonts w:eastAsia="Times New Roman" w:cs="Arial"/>
        </w:rPr>
        <w:t xml:space="preserve"> and </w:t>
      </w:r>
      <w:r w:rsidR="00774750">
        <w:rPr>
          <w:rFonts w:eastAsia="Times New Roman" w:cs="Arial"/>
        </w:rPr>
        <w:t xml:space="preserve">are </w:t>
      </w:r>
      <w:r w:rsidR="00C72B28" w:rsidRPr="00021DD2">
        <w:rPr>
          <w:rFonts w:eastAsia="Times New Roman" w:cs="Arial"/>
        </w:rPr>
        <w:t xml:space="preserve">at risk of </w:t>
      </w:r>
      <w:r w:rsidRPr="00021DD2">
        <w:rPr>
          <w:rFonts w:eastAsia="Times New Roman" w:cs="Arial"/>
        </w:rPr>
        <w:t xml:space="preserve">long-term disadvantage and welfare dependency. For this project, I hosted a series of expert forums across Australia, received submissions, </w:t>
      </w:r>
      <w:r w:rsidR="00C72B28" w:rsidRPr="00021DD2">
        <w:rPr>
          <w:rFonts w:eastAsia="Times New Roman" w:cs="Arial"/>
        </w:rPr>
        <w:t>consulted</w:t>
      </w:r>
      <w:r w:rsidRPr="00021DD2">
        <w:rPr>
          <w:rFonts w:eastAsia="Times New Roman" w:cs="Arial"/>
        </w:rPr>
        <w:t xml:space="preserve"> with young parents, and conducted a survey of young parents. I also considered key data and research relevant to the wellbeing of young parents. This chapter identifies gaps in knowledge regarding the experiences and trajectories of young parents, and analyses good practice in early intervention and support services that lead to better outcomes for young parents and their children. I make a number of recommendations to improve the protection of human rights for this vulnerable group of children and young people.</w:t>
      </w:r>
      <w:r w:rsidR="000F10F4">
        <w:rPr>
          <w:rFonts w:eastAsia="Times New Roman" w:cs="Arial"/>
        </w:rPr>
        <w:t xml:space="preserve"> </w:t>
      </w:r>
    </w:p>
    <w:p w:rsidR="002940E9" w:rsidRPr="00021DD2" w:rsidRDefault="002940E9" w:rsidP="002940E9">
      <w:pPr>
        <w:spacing w:before="0" w:after="0"/>
        <w:rPr>
          <w:rFonts w:cs="Arial"/>
          <w:b/>
        </w:rPr>
      </w:pPr>
      <w:r w:rsidRPr="00021DD2">
        <w:rPr>
          <w:rFonts w:cs="Arial"/>
          <w:b/>
        </w:rPr>
        <w:t>Chapter 4: Child safety and wellbeing</w:t>
      </w:r>
    </w:p>
    <w:p w:rsidR="002940E9" w:rsidRPr="00021DD2" w:rsidRDefault="002940E9" w:rsidP="00372758">
      <w:r w:rsidRPr="00021DD2">
        <w:t>Chapter 4 outlines our contemporary understanding of child harm and abuse in Australia, with a particular focus on children and young people in organisational settings. It highlights data on child harm and abuse, noting trends and gaps in available information. It also refers to findings from recent government inquiries that emphasise the importance of valuing and empowering childre</w:t>
      </w:r>
      <w:r w:rsidR="00E6324B" w:rsidRPr="00021DD2">
        <w:t>n and listening to what they say</w:t>
      </w:r>
      <w:r w:rsidRPr="00021DD2">
        <w:t>. In addition, it describes the work I am leading to embed child safe cultures and child rights knowledge throughout organisations that work for and</w:t>
      </w:r>
      <w:r w:rsidR="00E6324B" w:rsidRPr="00021DD2">
        <w:t xml:space="preserve"> with children across Australia.</w:t>
      </w:r>
      <w:r w:rsidRPr="00021DD2">
        <w:t xml:space="preserve"> </w:t>
      </w:r>
    </w:p>
    <w:p w:rsidR="002940E9" w:rsidRPr="00021DD2" w:rsidRDefault="00E6324B" w:rsidP="002940E9">
      <w:pPr>
        <w:spacing w:before="0" w:after="0"/>
        <w:rPr>
          <w:rFonts w:cs="Arial"/>
          <w:b/>
        </w:rPr>
      </w:pPr>
      <w:r w:rsidRPr="00021DD2">
        <w:rPr>
          <w:rFonts w:cs="Arial"/>
          <w:b/>
        </w:rPr>
        <w:t>Support s</w:t>
      </w:r>
      <w:r w:rsidR="002940E9" w:rsidRPr="00021DD2">
        <w:rPr>
          <w:rFonts w:cs="Arial"/>
          <w:b/>
        </w:rPr>
        <w:t>ervices</w:t>
      </w:r>
    </w:p>
    <w:p w:rsidR="002940E9" w:rsidRPr="00021DD2" w:rsidRDefault="002940E9" w:rsidP="00372758">
      <w:r w:rsidRPr="00021DD2">
        <w:t>Whether you are younger or older, if you are feeling distressed, are worried about someone, or would like someone to talk to, please contact:</w:t>
      </w:r>
    </w:p>
    <w:p w:rsidR="002940E9" w:rsidRPr="00021DD2" w:rsidRDefault="002940E9" w:rsidP="002940E9">
      <w:pPr>
        <w:spacing w:before="0" w:after="0"/>
        <w:rPr>
          <w:rFonts w:cs="Arial"/>
        </w:rPr>
      </w:pPr>
      <w:r w:rsidRPr="00021DD2">
        <w:rPr>
          <w:rFonts w:cs="Arial"/>
        </w:rPr>
        <w:t>•</w:t>
      </w:r>
      <w:r w:rsidRPr="00021DD2">
        <w:rPr>
          <w:rFonts w:cs="Arial"/>
        </w:rPr>
        <w:tab/>
        <w:t xml:space="preserve">Kids Helpline on 1800 55 1800 or </w:t>
      </w:r>
      <w:hyperlink r:id="rId34" w:history="1">
        <w:r w:rsidRPr="00372758">
          <w:rPr>
            <w:rStyle w:val="Collegamentoipertestuale"/>
            <w:rFonts w:cs="Arial"/>
          </w:rPr>
          <w:t>www.kidshelp.com.au</w:t>
        </w:r>
      </w:hyperlink>
    </w:p>
    <w:p w:rsidR="002940E9" w:rsidRPr="00021DD2" w:rsidRDefault="002940E9" w:rsidP="002940E9">
      <w:pPr>
        <w:spacing w:before="0" w:after="0"/>
        <w:rPr>
          <w:rFonts w:cs="Arial"/>
        </w:rPr>
      </w:pPr>
      <w:r w:rsidRPr="00021DD2">
        <w:rPr>
          <w:rFonts w:cs="Arial"/>
        </w:rPr>
        <w:t>•</w:t>
      </w:r>
      <w:r w:rsidRPr="00021DD2">
        <w:rPr>
          <w:rFonts w:cs="Arial"/>
        </w:rPr>
        <w:tab/>
        <w:t xml:space="preserve">Headspace on 1800 650 890 or </w:t>
      </w:r>
      <w:hyperlink r:id="rId35" w:history="1">
        <w:r w:rsidRPr="00372758">
          <w:rPr>
            <w:rStyle w:val="Collegamentoipertestuale"/>
            <w:rFonts w:cs="Arial"/>
          </w:rPr>
          <w:t>www.headspace.org.au</w:t>
        </w:r>
      </w:hyperlink>
    </w:p>
    <w:p w:rsidR="002940E9" w:rsidRPr="00021DD2" w:rsidRDefault="002940E9" w:rsidP="002940E9">
      <w:pPr>
        <w:spacing w:before="0" w:after="0"/>
        <w:rPr>
          <w:rFonts w:cs="Arial"/>
        </w:rPr>
      </w:pPr>
      <w:r w:rsidRPr="00021DD2">
        <w:rPr>
          <w:rFonts w:cs="Arial"/>
        </w:rPr>
        <w:t>•</w:t>
      </w:r>
      <w:r w:rsidRPr="00021DD2">
        <w:rPr>
          <w:rFonts w:cs="Arial"/>
        </w:rPr>
        <w:tab/>
        <w:t xml:space="preserve">Lifeline </w:t>
      </w:r>
      <w:r w:rsidR="00372758">
        <w:rPr>
          <w:rFonts w:cs="Arial"/>
        </w:rPr>
        <w:t xml:space="preserve">on 13 11 14 or </w:t>
      </w:r>
      <w:hyperlink r:id="rId36" w:history="1">
        <w:r w:rsidR="00372758" w:rsidRPr="00372758">
          <w:rPr>
            <w:rStyle w:val="Collegamentoipertestuale"/>
            <w:rFonts w:cs="Arial"/>
          </w:rPr>
          <w:t>www.lifeline.org</w:t>
        </w:r>
      </w:hyperlink>
    </w:p>
    <w:p w:rsidR="002940E9" w:rsidRPr="00021DD2" w:rsidRDefault="002940E9" w:rsidP="002940E9">
      <w:pPr>
        <w:spacing w:before="0" w:after="0"/>
        <w:rPr>
          <w:rFonts w:cs="Arial"/>
        </w:rPr>
      </w:pPr>
      <w:r w:rsidRPr="00021DD2">
        <w:rPr>
          <w:rFonts w:cs="Arial"/>
        </w:rPr>
        <w:t>•</w:t>
      </w:r>
      <w:r w:rsidRPr="00021DD2">
        <w:rPr>
          <w:rFonts w:cs="Arial"/>
        </w:rPr>
        <w:tab/>
        <w:t xml:space="preserve">1800 RESPECT on </w:t>
      </w:r>
      <w:r w:rsidRPr="00021DD2">
        <w:rPr>
          <w:rFonts w:eastAsia="Times New Roman" w:cs="Arial"/>
          <w:color w:val="3B2D21"/>
          <w:shd w:val="clear" w:color="auto" w:fill="FBF8F2"/>
        </w:rPr>
        <w:t>1800 737 732</w:t>
      </w:r>
      <w:r w:rsidRPr="00021DD2">
        <w:rPr>
          <w:rFonts w:cs="Arial"/>
        </w:rPr>
        <w:t xml:space="preserve"> or </w:t>
      </w:r>
      <w:hyperlink r:id="rId37" w:history="1">
        <w:r w:rsidRPr="00372758">
          <w:rPr>
            <w:rStyle w:val="Collegamentoipertestuale"/>
            <w:rFonts w:cs="Arial"/>
          </w:rPr>
          <w:t>www.1800respect.org.au</w:t>
        </w:r>
      </w:hyperlink>
    </w:p>
    <w:p w:rsidR="002940E9" w:rsidRPr="00021DD2" w:rsidRDefault="002940E9" w:rsidP="002940E9">
      <w:pPr>
        <w:spacing w:before="0" w:after="0"/>
        <w:rPr>
          <w:rFonts w:cs="Arial"/>
        </w:rPr>
      </w:pPr>
      <w:r w:rsidRPr="00021DD2">
        <w:rPr>
          <w:rFonts w:cs="Arial"/>
        </w:rPr>
        <w:t>•</w:t>
      </w:r>
      <w:r w:rsidRPr="00021DD2">
        <w:rPr>
          <w:rFonts w:cs="Arial"/>
        </w:rPr>
        <w:tab/>
        <w:t xml:space="preserve">MensLine Australia on 1300 78 99 78 or </w:t>
      </w:r>
      <w:hyperlink r:id="rId38" w:history="1">
        <w:r w:rsidRPr="00372758">
          <w:rPr>
            <w:rStyle w:val="Collegamentoipertestuale"/>
            <w:rFonts w:cs="Arial"/>
          </w:rPr>
          <w:t>www.mensline.org.au</w:t>
        </w:r>
      </w:hyperlink>
    </w:p>
    <w:p w:rsidR="00F16BC8" w:rsidRPr="00021DD2" w:rsidRDefault="002940E9" w:rsidP="002940E9">
      <w:pPr>
        <w:spacing w:before="0" w:after="0"/>
        <w:rPr>
          <w:rFonts w:cs="Arial"/>
        </w:rPr>
      </w:pPr>
      <w:r w:rsidRPr="00021DD2">
        <w:rPr>
          <w:rFonts w:cs="Arial"/>
        </w:rPr>
        <w:t>•</w:t>
      </w:r>
      <w:r w:rsidRPr="00021DD2">
        <w:rPr>
          <w:rFonts w:cs="Arial"/>
        </w:rPr>
        <w:tab/>
        <w:t>Police and ambulance services on 000</w:t>
      </w:r>
    </w:p>
    <w:p w:rsidR="001E2654" w:rsidRDefault="001E2654">
      <w:pPr>
        <w:spacing w:before="0" w:after="0"/>
        <w:rPr>
          <w:rFonts w:cs="Arial"/>
        </w:rPr>
      </w:pPr>
      <w:r>
        <w:rPr>
          <w:rFonts w:cs="Arial"/>
        </w:rPr>
        <w:br w:type="page"/>
      </w:r>
    </w:p>
    <w:p w:rsidR="00F16BC8" w:rsidRPr="00021DD2" w:rsidRDefault="00F16BC8" w:rsidP="00996014">
      <w:pPr>
        <w:pStyle w:val="Titolo1"/>
        <w:numPr>
          <w:ilvl w:val="0"/>
          <w:numId w:val="0"/>
        </w:numPr>
      </w:pPr>
      <w:bookmarkStart w:id="8" w:name="_Toc500308735"/>
      <w:r w:rsidRPr="00021DD2">
        <w:t>Recommendations</w:t>
      </w:r>
      <w:bookmarkEnd w:id="8"/>
    </w:p>
    <w:p w:rsidR="00F16BC8" w:rsidRPr="00021DD2" w:rsidRDefault="00A749D4" w:rsidP="00A749D4">
      <w:pPr>
        <w:spacing w:before="0" w:after="0"/>
        <w:rPr>
          <w:rFonts w:cs="Arial"/>
        </w:rPr>
      </w:pPr>
      <w:r w:rsidRPr="00DB1C2F">
        <w:rPr>
          <w:b/>
        </w:rPr>
        <w:t xml:space="preserve">Recommendation </w:t>
      </w:r>
      <w:r>
        <w:rPr>
          <w:b/>
        </w:rPr>
        <w:t>1</w:t>
      </w:r>
      <w:r w:rsidRPr="00DB1C2F">
        <w:rPr>
          <w:b/>
        </w:rPr>
        <w:t xml:space="preserve">: </w:t>
      </w:r>
      <w:r w:rsidRPr="005A4D38">
        <w:t>The Australian Institute of Health and Welfare and the Australian Bureau of Statistics</w:t>
      </w:r>
      <w:r>
        <w:t xml:space="preserve"> </w:t>
      </w:r>
      <w:r w:rsidR="00D644F3">
        <w:t xml:space="preserve">should </w:t>
      </w:r>
      <w:r>
        <w:t xml:space="preserve">work </w:t>
      </w:r>
      <w:r w:rsidRPr="00DB1C2F">
        <w:t xml:space="preserve">with state and territory governments to ensure that national data on fertility </w:t>
      </w:r>
      <w:r>
        <w:t>rates</w:t>
      </w:r>
      <w:r w:rsidRPr="00DB1C2F">
        <w:t xml:space="preserve"> consistently record age, sex, indigeneity and remoteness.</w:t>
      </w:r>
    </w:p>
    <w:p w:rsidR="002940E9" w:rsidRDefault="00A749D4" w:rsidP="002940E9">
      <w:r w:rsidRPr="00DB1C2F">
        <w:rPr>
          <w:b/>
        </w:rPr>
        <w:t xml:space="preserve">Recommendation </w:t>
      </w:r>
      <w:r>
        <w:rPr>
          <w:b/>
        </w:rPr>
        <w:t>2</w:t>
      </w:r>
      <w:r w:rsidRPr="00DB1C2F">
        <w:t>:</w:t>
      </w:r>
      <w:r>
        <w:t xml:space="preserve"> The</w:t>
      </w:r>
      <w:r w:rsidRPr="00F93DB5">
        <w:rPr>
          <w:i/>
        </w:rPr>
        <w:t xml:space="preserve"> </w:t>
      </w:r>
      <w:r>
        <w:t xml:space="preserve">Australian Institute of Health and Welfare </w:t>
      </w:r>
      <w:r w:rsidR="00D644F3">
        <w:t xml:space="preserve">should </w:t>
      </w:r>
      <w:r>
        <w:t xml:space="preserve">work with </w:t>
      </w:r>
      <w:r w:rsidRPr="00F93DB5">
        <w:t xml:space="preserve">state and territory governments </w:t>
      </w:r>
      <w:r>
        <w:t>to</w:t>
      </w:r>
      <w:r w:rsidRPr="00F93DB5">
        <w:t xml:space="preserve"> collect nationallyconsistent data</w:t>
      </w:r>
      <w:r>
        <w:t>,</w:t>
      </w:r>
      <w:r w:rsidRPr="00F93DB5">
        <w:t xml:space="preserve"> over time</w:t>
      </w:r>
      <w:r>
        <w:t>,</w:t>
      </w:r>
      <w:r w:rsidRPr="00F93DB5">
        <w:t xml:space="preserve"> on the</w:t>
      </w:r>
      <w:r w:rsidR="00D644F3">
        <w:t xml:space="preserve"> characteristics </w:t>
      </w:r>
      <w:r>
        <w:t xml:space="preserve">and </w:t>
      </w:r>
      <w:r w:rsidRPr="00F93DB5">
        <w:t>number of young parents in detention</w:t>
      </w:r>
      <w:r>
        <w:t>.</w:t>
      </w:r>
    </w:p>
    <w:p w:rsidR="00A749D4" w:rsidRPr="00021DD2" w:rsidRDefault="00A749D4" w:rsidP="002940E9">
      <w:pPr>
        <w:rPr>
          <w:rFonts w:cs="Arial"/>
        </w:rPr>
      </w:pPr>
      <w:r w:rsidRPr="00DB1C2F">
        <w:rPr>
          <w:b/>
        </w:rPr>
        <w:t xml:space="preserve">Recommendation </w:t>
      </w:r>
      <w:r>
        <w:rPr>
          <w:b/>
        </w:rPr>
        <w:t>3</w:t>
      </w:r>
      <w:r w:rsidRPr="00DB1C2F">
        <w:t>:</w:t>
      </w:r>
      <w:r w:rsidRPr="00F93DB5">
        <w:t xml:space="preserve"> </w:t>
      </w:r>
      <w:r>
        <w:t>S</w:t>
      </w:r>
      <w:r w:rsidRPr="00F93DB5">
        <w:t xml:space="preserve">tate and territory governments </w:t>
      </w:r>
      <w:r w:rsidR="00D644F3">
        <w:t xml:space="preserve">should </w:t>
      </w:r>
      <w:r w:rsidRPr="00F93DB5">
        <w:t>explore</w:t>
      </w:r>
      <w:r w:rsidR="00D644F3">
        <w:t xml:space="preserve"> the use of alternative sentencing options, such as home detention, for offenders who are young parents. Where a young parent who is a primary carer is given a custodial sentence, programs which allow them to remain with their children should be made available, when this is in the best interests of the child. </w:t>
      </w:r>
    </w:p>
    <w:p w:rsidR="00454E92" w:rsidRPr="00021DD2" w:rsidRDefault="003A516F" w:rsidP="003A516F">
      <w:pPr>
        <w:rPr>
          <w:rFonts w:cs="Arial"/>
        </w:rPr>
      </w:pPr>
      <w:r w:rsidRPr="00D33E97">
        <w:rPr>
          <w:b/>
        </w:rPr>
        <w:t>Recommendation</w:t>
      </w:r>
      <w:r w:rsidRPr="00D33E97">
        <w:t xml:space="preserve"> </w:t>
      </w:r>
      <w:r>
        <w:rPr>
          <w:b/>
        </w:rPr>
        <w:t>4</w:t>
      </w:r>
      <w:r w:rsidRPr="00DB1C2F">
        <w:rPr>
          <w:b/>
        </w:rPr>
        <w:t>:</w:t>
      </w:r>
      <w:r w:rsidRPr="00D33E97">
        <w:t xml:space="preserve"> </w:t>
      </w:r>
      <w:r>
        <w:t xml:space="preserve">The </w:t>
      </w:r>
      <w:r w:rsidRPr="00D33E97">
        <w:t xml:space="preserve">Australian </w:t>
      </w:r>
      <w:r>
        <w:t>G</w:t>
      </w:r>
      <w:r w:rsidRPr="00D33E97">
        <w:t>overnment</w:t>
      </w:r>
      <w:r w:rsidR="00D644F3">
        <w:t xml:space="preserve"> should</w:t>
      </w:r>
      <w:r w:rsidRPr="00D33E97">
        <w:t xml:space="preserve"> commission the development of a mobile enabled e-resource </w:t>
      </w:r>
      <w:r>
        <w:t>for</w:t>
      </w:r>
      <w:r w:rsidRPr="00D33E97">
        <w:t xml:space="preserve"> young people to address the</w:t>
      </w:r>
      <w:r>
        <w:t>ir</w:t>
      </w:r>
      <w:r w:rsidRPr="00D33E97">
        <w:t xml:space="preserve"> education and knowledge gap </w:t>
      </w:r>
      <w:r>
        <w:t>on</w:t>
      </w:r>
      <w:r w:rsidRPr="00D33E97">
        <w:t xml:space="preserve"> sexual health issues such as contraception, pregnancy and parenting.</w:t>
      </w:r>
    </w:p>
    <w:p w:rsidR="00454E92" w:rsidRDefault="003A516F" w:rsidP="002940E9">
      <w:r w:rsidRPr="00D33E97">
        <w:rPr>
          <w:b/>
        </w:rPr>
        <w:t xml:space="preserve">Recommendation </w:t>
      </w:r>
      <w:r>
        <w:rPr>
          <w:b/>
        </w:rPr>
        <w:t>5</w:t>
      </w:r>
      <w:r w:rsidRPr="00D33E97">
        <w:t xml:space="preserve">: </w:t>
      </w:r>
      <w:r>
        <w:t xml:space="preserve">The </w:t>
      </w:r>
      <w:r w:rsidRPr="00D33E97">
        <w:t xml:space="preserve">Australian Government </w:t>
      </w:r>
      <w:r w:rsidR="00D644F3">
        <w:t xml:space="preserve">should </w:t>
      </w:r>
      <w:r w:rsidRPr="00D33E97">
        <w:t>commission research into the distinct needs and characteristics of young parents that present barriers to employment pathways, and the kinds of targeted interventions that are most likely to assist in overcoming these.</w:t>
      </w:r>
      <w:r w:rsidR="000F10F4">
        <w:t xml:space="preserve"> </w:t>
      </w:r>
    </w:p>
    <w:p w:rsidR="003A516F" w:rsidRPr="00021DD2" w:rsidRDefault="003A516F" w:rsidP="002940E9">
      <w:pPr>
        <w:rPr>
          <w:rFonts w:cs="Arial"/>
        </w:rPr>
      </w:pPr>
      <w:r w:rsidRPr="00D33E97">
        <w:rPr>
          <w:b/>
        </w:rPr>
        <w:t xml:space="preserve">Recommendation </w:t>
      </w:r>
      <w:r>
        <w:rPr>
          <w:b/>
        </w:rPr>
        <w:t>6</w:t>
      </w:r>
      <w:r w:rsidRPr="00D33E97">
        <w:rPr>
          <w:b/>
        </w:rPr>
        <w:t xml:space="preserve">: </w:t>
      </w:r>
      <w:r>
        <w:t>The Australian Government</w:t>
      </w:r>
      <w:r w:rsidRPr="00262FE4">
        <w:t xml:space="preserve"> </w:t>
      </w:r>
      <w:r w:rsidR="00D644F3">
        <w:t xml:space="preserve">should </w:t>
      </w:r>
      <w:r w:rsidRPr="00262FE4">
        <w:t xml:space="preserve">commission research </w:t>
      </w:r>
      <w:r>
        <w:t xml:space="preserve">into </w:t>
      </w:r>
      <w:r w:rsidRPr="00262FE4">
        <w:t>how to deliver housing and homelessness services that more effectively suit the unique needs of young parents and their children. This research will necessarily involve consulting with young parents and their children themselves.</w:t>
      </w:r>
    </w:p>
    <w:p w:rsidR="00454E92" w:rsidRPr="00021DD2" w:rsidRDefault="003A516F" w:rsidP="002940E9">
      <w:pPr>
        <w:rPr>
          <w:rFonts w:cs="Arial"/>
        </w:rPr>
      </w:pPr>
      <w:r w:rsidRPr="00DB1C2F">
        <w:rPr>
          <w:b/>
        </w:rPr>
        <w:t xml:space="preserve">Recommendation </w:t>
      </w:r>
      <w:r>
        <w:rPr>
          <w:b/>
        </w:rPr>
        <w:t>7</w:t>
      </w:r>
      <w:r w:rsidRPr="00DB1C2F">
        <w:rPr>
          <w:b/>
        </w:rPr>
        <w:t xml:space="preserve">: </w:t>
      </w:r>
      <w:r w:rsidRPr="00106410">
        <w:t xml:space="preserve">The </w:t>
      </w:r>
      <w:r w:rsidRPr="003B0484">
        <w:t>Australian</w:t>
      </w:r>
      <w:r>
        <w:t xml:space="preserve"> Government </w:t>
      </w:r>
      <w:r w:rsidR="00D644F3">
        <w:t xml:space="preserve">should </w:t>
      </w:r>
      <w:r w:rsidRPr="00CD0880">
        <w:t xml:space="preserve">commission research </w:t>
      </w:r>
      <w:r>
        <w:t>into</w:t>
      </w:r>
      <w:r w:rsidRPr="00CD0880">
        <w:t xml:space="preserve"> the factors that lead to parenthood for young fathers and how young fathers can be meaningfully included in education, health and community services programs </w:t>
      </w:r>
      <w:r>
        <w:t xml:space="preserve">for </w:t>
      </w:r>
      <w:r w:rsidRPr="00CD0880">
        <w:t>parents.</w:t>
      </w:r>
    </w:p>
    <w:p w:rsidR="00454E92" w:rsidRPr="00021DD2" w:rsidRDefault="003A516F" w:rsidP="002940E9">
      <w:pPr>
        <w:rPr>
          <w:rFonts w:cs="Arial"/>
        </w:rPr>
      </w:pPr>
      <w:r w:rsidRPr="00DB1C2F">
        <w:rPr>
          <w:b/>
        </w:rPr>
        <w:t xml:space="preserve">Recommendation </w:t>
      </w:r>
      <w:r>
        <w:rPr>
          <w:b/>
        </w:rPr>
        <w:t>8</w:t>
      </w:r>
      <w:r w:rsidRPr="00DB1C2F">
        <w:rPr>
          <w:b/>
        </w:rPr>
        <w:t>:</w:t>
      </w:r>
      <w:r w:rsidRPr="00DB1C2F">
        <w:t xml:space="preserve"> </w:t>
      </w:r>
      <w:r>
        <w:t xml:space="preserve">The Australian Government, through the </w:t>
      </w:r>
      <w:r w:rsidRPr="003E056D">
        <w:t xml:space="preserve">Council of Australian Governments’ </w:t>
      </w:r>
      <w:r>
        <w:t>Education Council,</w:t>
      </w:r>
      <w:r w:rsidR="00024740">
        <w:t xml:space="preserve"> should</w:t>
      </w:r>
      <w:r>
        <w:t xml:space="preserve"> work with state and territory g</w:t>
      </w:r>
      <w:r w:rsidR="00024740">
        <w:t>overnments to develop systemic</w:t>
      </w:r>
      <w:r>
        <w:t xml:space="preserve"> policies to address </w:t>
      </w:r>
      <w:r w:rsidRPr="00CD0880">
        <w:t>the needs of young pregnant and parenting students, including through specific policies and programs.</w:t>
      </w:r>
    </w:p>
    <w:p w:rsidR="00454E92" w:rsidRPr="00021DD2" w:rsidRDefault="003A516F" w:rsidP="003A516F">
      <w:pPr>
        <w:rPr>
          <w:rFonts w:cs="Arial"/>
        </w:rPr>
      </w:pPr>
      <w:r w:rsidRPr="00DB1C2F">
        <w:rPr>
          <w:b/>
        </w:rPr>
        <w:t xml:space="preserve">Recommendation </w:t>
      </w:r>
      <w:r>
        <w:rPr>
          <w:b/>
        </w:rPr>
        <w:t>9</w:t>
      </w:r>
      <w:r w:rsidRPr="00DB1C2F">
        <w:rPr>
          <w:b/>
        </w:rPr>
        <w:t xml:space="preserve">: </w:t>
      </w:r>
      <w:r>
        <w:t>S</w:t>
      </w:r>
      <w:r w:rsidRPr="00DB1C2F">
        <w:t>tate</w:t>
      </w:r>
      <w:r w:rsidRPr="00CD0880">
        <w:t xml:space="preserve"> and territory </w:t>
      </w:r>
      <w:r>
        <w:t>education d</w:t>
      </w:r>
      <w:r w:rsidRPr="00CD0880">
        <w:t>epartments</w:t>
      </w:r>
      <w:r w:rsidR="00024740">
        <w:t xml:space="preserve"> should</w:t>
      </w:r>
      <w:r w:rsidRPr="00CD0880">
        <w:t xml:space="preserve"> systematically collect data on the numbers of young pregnant and parenting young people who are enrolled students.</w:t>
      </w:r>
    </w:p>
    <w:p w:rsidR="00454E92" w:rsidRPr="00021DD2" w:rsidRDefault="003A516F" w:rsidP="003A516F">
      <w:pPr>
        <w:rPr>
          <w:rFonts w:cs="Arial"/>
        </w:rPr>
      </w:pPr>
      <w:r w:rsidRPr="00DB1C2F">
        <w:rPr>
          <w:b/>
          <w:bCs/>
        </w:rPr>
        <w:t xml:space="preserve">Recommendation </w:t>
      </w:r>
      <w:r>
        <w:rPr>
          <w:b/>
          <w:bCs/>
        </w:rPr>
        <w:t>10</w:t>
      </w:r>
      <w:r w:rsidRPr="00DB1C2F">
        <w:rPr>
          <w:b/>
          <w:bCs/>
        </w:rPr>
        <w:t>:</w:t>
      </w:r>
      <w:r w:rsidRPr="00DB1C2F">
        <w:rPr>
          <w:bCs/>
        </w:rPr>
        <w:t xml:space="preserve"> </w:t>
      </w:r>
      <w:r>
        <w:rPr>
          <w:bCs/>
        </w:rPr>
        <w:t>The Australian Government</w:t>
      </w:r>
      <w:r w:rsidRPr="00FD4BB1">
        <w:rPr>
          <w:bCs/>
        </w:rPr>
        <w:t xml:space="preserve"> </w:t>
      </w:r>
      <w:r w:rsidR="00024740">
        <w:rPr>
          <w:bCs/>
        </w:rPr>
        <w:t xml:space="preserve">should </w:t>
      </w:r>
      <w:r w:rsidRPr="00FD4BB1">
        <w:rPr>
          <w:bCs/>
        </w:rPr>
        <w:t>develop a specific ParentsNext stream for young parents, in particular for those living in rural or remote Australia.</w:t>
      </w:r>
    </w:p>
    <w:p w:rsidR="00F16BC8" w:rsidRDefault="003A516F" w:rsidP="002940E9">
      <w:r w:rsidRPr="00DB1C2F">
        <w:rPr>
          <w:b/>
        </w:rPr>
        <w:t xml:space="preserve">Recommendation </w:t>
      </w:r>
      <w:r>
        <w:rPr>
          <w:b/>
        </w:rPr>
        <w:t>11</w:t>
      </w:r>
      <w:r w:rsidRPr="00DB1C2F">
        <w:t>:</w:t>
      </w:r>
      <w:r w:rsidRPr="007E0DD0">
        <w:t xml:space="preserve"> </w:t>
      </w:r>
      <w:r>
        <w:t>The Australian Government</w:t>
      </w:r>
      <w:r w:rsidRPr="007E0DD0">
        <w:t xml:space="preserve">, through the Council of Australian Governments’ Health Council, </w:t>
      </w:r>
      <w:r w:rsidR="00024740">
        <w:t xml:space="preserve">should </w:t>
      </w:r>
      <w:r>
        <w:t xml:space="preserve">work with states and territories to </w:t>
      </w:r>
      <w:r w:rsidR="00024740">
        <w:t xml:space="preserve">review </w:t>
      </w:r>
      <w:r w:rsidRPr="007E0DD0">
        <w:t>laws, policies and practices</w:t>
      </w:r>
      <w:r>
        <w:t xml:space="preserve">, so </w:t>
      </w:r>
      <w:r w:rsidRPr="007E0DD0">
        <w:t>that all children and young people who are determined to be Gillick competent have access to prescribed medical forms of contraception and abortion</w:t>
      </w:r>
      <w:r>
        <w:t>.</w:t>
      </w:r>
    </w:p>
    <w:p w:rsidR="003A516F" w:rsidRPr="003E056D" w:rsidRDefault="003A516F" w:rsidP="003A516F">
      <w:r w:rsidRPr="00DB1C2F">
        <w:rPr>
          <w:b/>
        </w:rPr>
        <w:t xml:space="preserve">Recommendation </w:t>
      </w:r>
      <w:r>
        <w:rPr>
          <w:b/>
        </w:rPr>
        <w:t>12</w:t>
      </w:r>
      <w:r w:rsidRPr="00DB1C2F">
        <w:rPr>
          <w:b/>
        </w:rPr>
        <w:t>:</w:t>
      </w:r>
      <w:r w:rsidRPr="003E056D">
        <w:t xml:space="preserve"> </w:t>
      </w:r>
      <w:r>
        <w:t>The Australian Government</w:t>
      </w:r>
      <w:r w:rsidRPr="003E056D">
        <w:t xml:space="preserve">, through the Council of Australian Governments’ Education Council, </w:t>
      </w:r>
      <w:r w:rsidR="00024740">
        <w:t xml:space="preserve">should </w:t>
      </w:r>
      <w:r>
        <w:t xml:space="preserve">work with states and territories to </w:t>
      </w:r>
      <w:r w:rsidRPr="003E056D">
        <w:t>review their laws, policies and practices to ensure that:</w:t>
      </w:r>
    </w:p>
    <w:p w:rsidR="003A516F" w:rsidRPr="003E056D" w:rsidRDefault="003A516F" w:rsidP="00B934D7">
      <w:pPr>
        <w:pStyle w:val="Paragrafoelenco"/>
        <w:numPr>
          <w:ilvl w:val="0"/>
          <w:numId w:val="137"/>
        </w:numPr>
        <w:jc w:val="left"/>
      </w:pPr>
      <w:r w:rsidRPr="003E056D">
        <w:t>access to education for all children is guaranteed</w:t>
      </w:r>
    </w:p>
    <w:p w:rsidR="003A516F" w:rsidRPr="003E056D" w:rsidRDefault="003A516F" w:rsidP="00B934D7">
      <w:pPr>
        <w:pStyle w:val="Paragrafoelenco"/>
        <w:numPr>
          <w:ilvl w:val="0"/>
          <w:numId w:val="137"/>
        </w:numPr>
        <w:jc w:val="left"/>
      </w:pPr>
      <w:r w:rsidRPr="003E056D">
        <w:t xml:space="preserve">educational authorities and educational institutions – both public and private – are required to make all necessary adjustments and provide all necessary support to facilitate and ensure access to education for children and young people who are pregnant or are parents </w:t>
      </w:r>
    </w:p>
    <w:p w:rsidR="003A516F" w:rsidRDefault="003A516F" w:rsidP="00B934D7">
      <w:pPr>
        <w:pStyle w:val="Paragrafoelenco"/>
        <w:numPr>
          <w:ilvl w:val="0"/>
          <w:numId w:val="137"/>
        </w:numPr>
        <w:jc w:val="left"/>
      </w:pPr>
      <w:r w:rsidRPr="003E056D">
        <w:t>regular publication of information on adjustments made to support children and young people who are pregnant or are parents is required</w:t>
      </w:r>
    </w:p>
    <w:p w:rsidR="003A516F" w:rsidRPr="003A516F" w:rsidRDefault="003A516F" w:rsidP="00B934D7">
      <w:pPr>
        <w:pStyle w:val="Paragrafoelenco"/>
        <w:numPr>
          <w:ilvl w:val="0"/>
          <w:numId w:val="137"/>
        </w:numPr>
        <w:jc w:val="left"/>
      </w:pPr>
      <w:r w:rsidRPr="003E056D">
        <w:t>suspension, expulsion or denial of education of a child or young person on the ground of their being pregnant or a parent is prohibited.</w:t>
      </w:r>
    </w:p>
    <w:p w:rsidR="00F16BC8" w:rsidRPr="00021DD2" w:rsidRDefault="003A516F" w:rsidP="003A516F">
      <w:pPr>
        <w:rPr>
          <w:rFonts w:cs="Arial"/>
        </w:rPr>
      </w:pPr>
      <w:r w:rsidRPr="00DB1C2F">
        <w:rPr>
          <w:b/>
        </w:rPr>
        <w:t xml:space="preserve">Recommendation </w:t>
      </w:r>
      <w:r>
        <w:rPr>
          <w:b/>
        </w:rPr>
        <w:t>13</w:t>
      </w:r>
      <w:r w:rsidRPr="00DB1C2F">
        <w:rPr>
          <w:b/>
        </w:rPr>
        <w:t>:</w:t>
      </w:r>
      <w:r>
        <w:rPr>
          <w:b/>
        </w:rPr>
        <w:t xml:space="preserve"> </w:t>
      </w:r>
      <w:r>
        <w:t>The Australian Government</w:t>
      </w:r>
      <w:r w:rsidRPr="003E056D">
        <w:t xml:space="preserve">, through the Council of Australian Governments’ </w:t>
      </w:r>
      <w:r>
        <w:t>Attorneys-General Council</w:t>
      </w:r>
      <w:r w:rsidRPr="003E056D">
        <w:t>,</w:t>
      </w:r>
      <w:r w:rsidR="00024740">
        <w:t xml:space="preserve"> should</w:t>
      </w:r>
      <w:r w:rsidRPr="003E056D">
        <w:t xml:space="preserve"> </w:t>
      </w:r>
      <w:r>
        <w:t>work with states and territories to</w:t>
      </w:r>
      <w:r w:rsidRPr="003E056D">
        <w:t xml:space="preserve"> review their laws, policies and practices to ensure that discrimination against a child or young person on the ground of their pregnancy, breastfeeding or parental status/responsibilities is prohibited without exceptions</w:t>
      </w:r>
      <w:r>
        <w:t>.</w:t>
      </w:r>
    </w:p>
    <w:p w:rsidR="00F16BC8" w:rsidRPr="00021DD2" w:rsidRDefault="003A516F" w:rsidP="002940E9">
      <w:pPr>
        <w:rPr>
          <w:rFonts w:cs="Arial"/>
        </w:rPr>
      </w:pPr>
      <w:r w:rsidRPr="00DB1C2F">
        <w:rPr>
          <w:b/>
        </w:rPr>
        <w:t xml:space="preserve">Recommendation </w:t>
      </w:r>
      <w:r>
        <w:rPr>
          <w:b/>
        </w:rPr>
        <w:t>14</w:t>
      </w:r>
      <w:r w:rsidRPr="00DB1C2F">
        <w:rPr>
          <w:b/>
        </w:rPr>
        <w:t>:</w:t>
      </w:r>
      <w:r w:rsidRPr="005D6E24">
        <w:rPr>
          <w:b/>
        </w:rPr>
        <w:t xml:space="preserve"> </w:t>
      </w:r>
      <w:r>
        <w:t>S</w:t>
      </w:r>
      <w:r w:rsidRPr="003E056D">
        <w:t xml:space="preserve">tate and territory governments </w:t>
      </w:r>
      <w:r w:rsidR="00024740">
        <w:t xml:space="preserve">should </w:t>
      </w:r>
      <w:r w:rsidRPr="003E056D">
        <w:t xml:space="preserve">review their policies and practices to ensure that young parents are not targeted </w:t>
      </w:r>
      <w:r>
        <w:t xml:space="preserve">on the basis of their age </w:t>
      </w:r>
      <w:r w:rsidR="00024740">
        <w:t>as an at-</w:t>
      </w:r>
      <w:r w:rsidRPr="003E056D">
        <w:t>risk group for child protection</w:t>
      </w:r>
      <w:r w:rsidRPr="0096344B">
        <w:t xml:space="preserve"> assessment purposes.</w:t>
      </w:r>
    </w:p>
    <w:p w:rsidR="00F16BC8" w:rsidRPr="00021DD2" w:rsidRDefault="003A516F" w:rsidP="003A516F">
      <w:pPr>
        <w:rPr>
          <w:rFonts w:cs="Arial"/>
        </w:rPr>
      </w:pPr>
      <w:r w:rsidRPr="00DB1C2F">
        <w:rPr>
          <w:b/>
        </w:rPr>
        <w:t xml:space="preserve">Recommendation </w:t>
      </w:r>
      <w:r>
        <w:rPr>
          <w:b/>
        </w:rPr>
        <w:t>15</w:t>
      </w:r>
      <w:r w:rsidRPr="00DB1C2F">
        <w:rPr>
          <w:b/>
        </w:rPr>
        <w:t>:</w:t>
      </w:r>
      <w:r w:rsidRPr="005D6E24">
        <w:rPr>
          <w:b/>
        </w:rPr>
        <w:t xml:space="preserve"> </w:t>
      </w:r>
      <w:r>
        <w:t>S</w:t>
      </w:r>
      <w:r w:rsidRPr="00424E9A">
        <w:t xml:space="preserve">tate and territory governments </w:t>
      </w:r>
      <w:r w:rsidR="00024740">
        <w:t xml:space="preserve">should </w:t>
      </w:r>
      <w:r w:rsidRPr="00424E9A">
        <w:t xml:space="preserve">review their policies and practices to ensure that young parents </w:t>
      </w:r>
      <w:r>
        <w:t>receive services designed to support them in their parenting role.</w:t>
      </w:r>
    </w:p>
    <w:p w:rsidR="00F16BC8" w:rsidRDefault="003A516F" w:rsidP="003A516F">
      <w:r w:rsidRPr="00DB1C2F">
        <w:rPr>
          <w:b/>
        </w:rPr>
        <w:t xml:space="preserve">Recommendation </w:t>
      </w:r>
      <w:r>
        <w:rPr>
          <w:b/>
        </w:rPr>
        <w:t>16</w:t>
      </w:r>
      <w:r w:rsidRPr="00DB1C2F">
        <w:rPr>
          <w:b/>
        </w:rPr>
        <w:t>:</w:t>
      </w:r>
      <w:r>
        <w:rPr>
          <w:b/>
        </w:rPr>
        <w:t xml:space="preserve"> </w:t>
      </w:r>
      <w:r w:rsidRPr="003E056D">
        <w:t xml:space="preserve">As part of the </w:t>
      </w:r>
      <w:r w:rsidRPr="003E056D">
        <w:rPr>
          <w:i/>
        </w:rPr>
        <w:t>National Framework for Protecting Australia’s Children</w:t>
      </w:r>
      <w:r w:rsidRPr="003E056D">
        <w:t xml:space="preserve">, </w:t>
      </w:r>
      <w:r>
        <w:t>Commonwealth, s</w:t>
      </w:r>
      <w:r w:rsidRPr="003E056D">
        <w:t xml:space="preserve">tate and </w:t>
      </w:r>
      <w:r>
        <w:t>t</w:t>
      </w:r>
      <w:r w:rsidRPr="003E056D">
        <w:t xml:space="preserve">erritory governments </w:t>
      </w:r>
      <w:r w:rsidR="00024740">
        <w:t xml:space="preserve">should </w:t>
      </w:r>
      <w:r>
        <w:t xml:space="preserve">collect </w:t>
      </w:r>
      <w:r w:rsidRPr="003E056D">
        <w:t>nationally consistent data on children receiving child protection and care services who have teen</w:t>
      </w:r>
      <w:r w:rsidR="00C96769">
        <w:t>age</w:t>
      </w:r>
      <w:r w:rsidRPr="003E056D">
        <w:t xml:space="preserve"> parents and on young people receiving child protection and care services who have chi</w:t>
      </w:r>
      <w:r>
        <w:t>ldren as teenagers themselves.</w:t>
      </w:r>
    </w:p>
    <w:p w:rsidR="00D8711E" w:rsidRPr="00372758" w:rsidRDefault="00D8711E" w:rsidP="00372758">
      <w:pPr>
        <w:spacing w:before="100" w:beforeAutospacing="1" w:after="100" w:afterAutospacing="1"/>
        <w:rPr>
          <w:rFonts w:cs="Arial"/>
          <w:color w:val="000000"/>
        </w:rPr>
      </w:pPr>
      <w:r w:rsidRPr="00D8711E">
        <w:rPr>
          <w:rFonts w:cs="Arial"/>
          <w:b/>
          <w:color w:val="000000"/>
        </w:rPr>
        <w:t>Recommendation 17</w:t>
      </w:r>
      <w:r w:rsidRPr="00BD3729">
        <w:rPr>
          <w:rFonts w:cs="Arial"/>
          <w:color w:val="000000"/>
        </w:rPr>
        <w:t>:</w:t>
      </w:r>
      <w:r>
        <w:rPr>
          <w:rFonts w:cs="Arial"/>
          <w:color w:val="000000"/>
        </w:rPr>
        <w:t xml:space="preserve"> All states and territories, led by the Australian Government, </w:t>
      </w:r>
      <w:r w:rsidR="007A4B90">
        <w:rPr>
          <w:rFonts w:cs="Arial"/>
          <w:color w:val="000000"/>
        </w:rPr>
        <w:t xml:space="preserve">should </w:t>
      </w:r>
      <w:r>
        <w:rPr>
          <w:rFonts w:cs="Arial"/>
          <w:color w:val="000000"/>
        </w:rPr>
        <w:t xml:space="preserve">commit to conducting a routine national child maltreatment </w:t>
      </w:r>
      <w:r w:rsidR="00372758">
        <w:rPr>
          <w:rFonts w:cs="Arial"/>
          <w:color w:val="000000"/>
        </w:rPr>
        <w:t>incidence and prevalence study.</w:t>
      </w:r>
    </w:p>
    <w:p w:rsidR="00996014" w:rsidRDefault="00996014">
      <w:pPr>
        <w:spacing w:before="0" w:after="0"/>
        <w:rPr>
          <w:rFonts w:cs="Arial"/>
        </w:rPr>
      </w:pPr>
      <w:r>
        <w:rPr>
          <w:rFonts w:cs="Arial"/>
        </w:rPr>
        <w:br w:type="page"/>
      </w:r>
    </w:p>
    <w:p w:rsidR="000B0677" w:rsidRPr="00021DD2" w:rsidRDefault="00D35298" w:rsidP="00D35298">
      <w:pPr>
        <w:pStyle w:val="Titolo1"/>
        <w:rPr>
          <w:rFonts w:cs="Arial"/>
        </w:rPr>
      </w:pPr>
      <w:bookmarkStart w:id="9" w:name="_Toc500308736"/>
      <w:r w:rsidRPr="00021DD2">
        <w:rPr>
          <w:rFonts w:cs="Arial"/>
        </w:rPr>
        <w:t>Promoting discussion and awareness of children’s rights</w:t>
      </w:r>
      <w:bookmarkEnd w:id="9"/>
    </w:p>
    <w:p w:rsidR="00F16BC8" w:rsidRPr="00021DD2" w:rsidRDefault="00F16BC8" w:rsidP="00DC5AAF">
      <w:pPr>
        <w:pStyle w:val="11"/>
      </w:pPr>
      <w:bookmarkStart w:id="10" w:name="_Toc500308737"/>
      <w:r w:rsidRPr="00021DD2">
        <w:t>Introduction</w:t>
      </w:r>
      <w:bookmarkEnd w:id="10"/>
    </w:p>
    <w:p w:rsidR="00F16BC8" w:rsidRPr="00021DD2" w:rsidRDefault="00F16BC8" w:rsidP="00F16BC8">
      <w:pPr>
        <w:spacing w:before="0" w:after="0"/>
        <w:rPr>
          <w:rFonts w:cs="Arial"/>
        </w:rPr>
      </w:pPr>
      <w:r w:rsidRPr="00021DD2">
        <w:rPr>
          <w:rFonts w:cs="Arial"/>
        </w:rPr>
        <w:t>This chapter reports on work I have undertaken in the period from 1 July 2016 to 30 September 2017 to promote discussion and awareness of children’s rights in Australia. These activities are structured according to five key themes that guide my work as National Children’s Commissioner:</w:t>
      </w:r>
    </w:p>
    <w:p w:rsidR="00F16BC8" w:rsidRPr="00021DD2" w:rsidRDefault="00F16BC8" w:rsidP="00F16BC8">
      <w:pPr>
        <w:spacing w:before="0" w:after="0"/>
        <w:rPr>
          <w:rFonts w:cs="Arial"/>
        </w:rPr>
      </w:pPr>
    </w:p>
    <w:p w:rsidR="00F16BC8" w:rsidRPr="00021DD2" w:rsidRDefault="00F16BC8" w:rsidP="00B934D7">
      <w:pPr>
        <w:numPr>
          <w:ilvl w:val="0"/>
          <w:numId w:val="18"/>
        </w:numPr>
        <w:spacing w:before="0" w:after="0"/>
        <w:rPr>
          <w:rFonts w:cs="Arial"/>
        </w:rPr>
      </w:pPr>
      <w:r w:rsidRPr="00021DD2">
        <w:rPr>
          <w:rFonts w:cs="Arial"/>
          <w:b/>
        </w:rPr>
        <w:t>A right to be heard:</w:t>
      </w:r>
      <w:r w:rsidRPr="00021DD2">
        <w:rPr>
          <w:rFonts w:cs="Arial"/>
        </w:rPr>
        <w:t xml:space="preserve"> elevating children’s voices and participation in decision-making. </w:t>
      </w:r>
    </w:p>
    <w:p w:rsidR="00F16BC8" w:rsidRPr="00021DD2" w:rsidRDefault="00F16BC8" w:rsidP="00B934D7">
      <w:pPr>
        <w:numPr>
          <w:ilvl w:val="0"/>
          <w:numId w:val="18"/>
        </w:numPr>
        <w:spacing w:before="0" w:after="0"/>
        <w:rPr>
          <w:rFonts w:cs="Arial"/>
        </w:rPr>
      </w:pPr>
      <w:r w:rsidRPr="00021DD2">
        <w:rPr>
          <w:rFonts w:cs="Arial"/>
          <w:b/>
        </w:rPr>
        <w:t>Freedom from violence, abuse and neglect:</w:t>
      </w:r>
      <w:r w:rsidRPr="00021DD2">
        <w:rPr>
          <w:rFonts w:cs="Arial"/>
        </w:rPr>
        <w:t xml:space="preserve"> ensuring safe environments and respect for the dignity of the child. </w:t>
      </w:r>
    </w:p>
    <w:p w:rsidR="00F16BC8" w:rsidRPr="00021DD2" w:rsidRDefault="00F16BC8" w:rsidP="00B934D7">
      <w:pPr>
        <w:numPr>
          <w:ilvl w:val="0"/>
          <w:numId w:val="18"/>
        </w:numPr>
        <w:spacing w:before="0" w:after="0"/>
        <w:rPr>
          <w:rFonts w:cs="Arial"/>
        </w:rPr>
      </w:pPr>
      <w:r w:rsidRPr="00021DD2">
        <w:rPr>
          <w:rFonts w:cs="Arial"/>
          <w:b/>
        </w:rPr>
        <w:t>The opportunity to thrive:</w:t>
      </w:r>
      <w:r w:rsidRPr="00021DD2">
        <w:rPr>
          <w:rFonts w:cs="Arial"/>
        </w:rPr>
        <w:t xml:space="preserve"> safeguarding the health and wellbeing of all children, particularly those who are most vulnerable. </w:t>
      </w:r>
    </w:p>
    <w:p w:rsidR="00F16BC8" w:rsidRPr="00021DD2" w:rsidRDefault="00F16BC8" w:rsidP="00B934D7">
      <w:pPr>
        <w:numPr>
          <w:ilvl w:val="0"/>
          <w:numId w:val="18"/>
        </w:numPr>
        <w:spacing w:before="0" w:after="0"/>
        <w:rPr>
          <w:rFonts w:cs="Arial"/>
        </w:rPr>
      </w:pPr>
      <w:r w:rsidRPr="00021DD2">
        <w:rPr>
          <w:rFonts w:cs="Arial"/>
          <w:b/>
        </w:rPr>
        <w:t>Engaged citizenship:</w:t>
      </w:r>
      <w:r w:rsidRPr="00021DD2">
        <w:rPr>
          <w:rFonts w:cs="Arial"/>
        </w:rPr>
        <w:t xml:space="preserve"> promoting children’s civic engagement and active citizenship through education and awareness-raising. </w:t>
      </w:r>
    </w:p>
    <w:p w:rsidR="00F16BC8" w:rsidRPr="00021DD2" w:rsidRDefault="00F16BC8" w:rsidP="00B934D7">
      <w:pPr>
        <w:numPr>
          <w:ilvl w:val="0"/>
          <w:numId w:val="18"/>
        </w:numPr>
        <w:spacing w:before="0" w:after="0"/>
        <w:rPr>
          <w:rFonts w:cs="Arial"/>
        </w:rPr>
      </w:pPr>
      <w:r w:rsidRPr="00021DD2">
        <w:rPr>
          <w:rFonts w:cs="Arial"/>
          <w:b/>
        </w:rPr>
        <w:t>Action and accountability:</w:t>
      </w:r>
      <w:r w:rsidRPr="00021DD2">
        <w:rPr>
          <w:rFonts w:cs="Arial"/>
        </w:rPr>
        <w:t xml:space="preserve"> monitoring the progress of Australia’s commitments to protect the rights and wellbeing of children. </w:t>
      </w:r>
    </w:p>
    <w:p w:rsidR="00F16BC8" w:rsidRPr="00021DD2" w:rsidRDefault="00F16BC8" w:rsidP="00080D93">
      <w:r w:rsidRPr="00021DD2">
        <w:t>These key themes arose from the national listening tour (</w:t>
      </w:r>
      <w:r w:rsidRPr="00021DD2">
        <w:rPr>
          <w:i/>
        </w:rPr>
        <w:t>the Big Banter</w:t>
      </w:r>
      <w:r w:rsidRPr="00021DD2">
        <w:t>) I conducted at the beginning of my term in 2013. The consultations with children and young people and their advocates identified the main issues affecting children and young people in Australia and have shaped the strategic direction of my work to date.</w:t>
      </w:r>
    </w:p>
    <w:p w:rsidR="00F16BC8" w:rsidRPr="00021DD2" w:rsidRDefault="00F16BC8" w:rsidP="00080D93">
      <w:r w:rsidRPr="00021DD2">
        <w:t>I continue to engage with children and young people and other key stakeholders in the work that I do. My speaking engagements for this year are detailed in Appendix 1, my meetings with stakeholders are listed in Appendix 2, and my memberships of advisory groups and ambassadorships are provided in Appendix 3.</w:t>
      </w:r>
    </w:p>
    <w:p w:rsidR="00F16BC8" w:rsidRPr="00021DD2" w:rsidRDefault="00F16BC8" w:rsidP="00080D93">
      <w:r w:rsidRPr="00021DD2">
        <w:t>In this chapter</w:t>
      </w:r>
      <w:r w:rsidR="00FF7FD6" w:rsidRPr="00021DD2">
        <w:t>,</w:t>
      </w:r>
      <w:r w:rsidRPr="00021DD2">
        <w:t xml:space="preserve"> I also report on the progress of the recommendations I made in my statutory reports to federal Parliament since 2013.</w:t>
      </w:r>
    </w:p>
    <w:p w:rsidR="00D6256B" w:rsidRPr="00021DD2" w:rsidRDefault="00D6256B" w:rsidP="00EC07F8">
      <w:pPr>
        <w:pStyle w:val="11"/>
      </w:pPr>
      <w:bookmarkStart w:id="11" w:name="_Toc500308738"/>
      <w:r w:rsidRPr="00021DD2">
        <w:t>A right to be heard</w:t>
      </w:r>
      <w:bookmarkEnd w:id="11"/>
    </w:p>
    <w:p w:rsidR="00D6256B" w:rsidRPr="00021DD2" w:rsidRDefault="00D6256B" w:rsidP="00D6256B">
      <w:pPr>
        <w:rPr>
          <w:rFonts w:eastAsiaTheme="minorHAnsi" w:cs="Arial"/>
          <w:lang w:eastAsia="en-US"/>
        </w:rPr>
      </w:pPr>
      <w:r w:rsidRPr="00021DD2">
        <w:rPr>
          <w:rFonts w:eastAsiaTheme="minorHAnsi" w:cs="Arial"/>
          <w:lang w:eastAsia="en-US"/>
        </w:rPr>
        <w:t>One of my main objectives as National Children’s Commissioner is to ensure that children and young people’s views and opinions are sought and taken into account in decision-making processes.</w:t>
      </w:r>
    </w:p>
    <w:p w:rsidR="00D6256B" w:rsidRPr="00021DD2" w:rsidRDefault="00D6256B" w:rsidP="00D6256B">
      <w:pPr>
        <w:rPr>
          <w:rFonts w:eastAsiaTheme="minorHAnsi" w:cs="Arial"/>
          <w:lang w:eastAsia="en-US"/>
        </w:rPr>
      </w:pPr>
      <w:r w:rsidRPr="00021DD2">
        <w:rPr>
          <w:rFonts w:eastAsiaTheme="minorHAnsi" w:cs="Arial"/>
          <w:lang w:eastAsia="en-US"/>
        </w:rPr>
        <w:t xml:space="preserve">The right of children and young people to be heard is set out in article 12 of the </w:t>
      </w:r>
      <w:r w:rsidRPr="00021DD2">
        <w:rPr>
          <w:rFonts w:eastAsiaTheme="minorHAnsi" w:cs="Arial"/>
          <w:i/>
          <w:lang w:eastAsia="en-US"/>
        </w:rPr>
        <w:t>Convention on the Rights of the Child</w:t>
      </w:r>
      <w:r w:rsidRPr="00021DD2">
        <w:rPr>
          <w:rFonts w:eastAsiaTheme="minorHAnsi" w:cs="Arial"/>
          <w:lang w:eastAsia="en-US"/>
        </w:rPr>
        <w:t xml:space="preserve"> (CRC),</w:t>
      </w:r>
      <w:r w:rsidRPr="00021DD2">
        <w:rPr>
          <w:rStyle w:val="Rimandonotadichiusura"/>
          <w:rFonts w:eastAsiaTheme="minorHAnsi" w:cs="Arial"/>
          <w:lang w:eastAsia="en-US"/>
        </w:rPr>
        <w:endnoteReference w:id="2"/>
      </w:r>
      <w:r w:rsidRPr="00021DD2">
        <w:rPr>
          <w:rFonts w:eastAsiaTheme="minorHAnsi" w:cs="Arial"/>
          <w:lang w:eastAsia="en-US"/>
        </w:rPr>
        <w:t xml:space="preserve"> and is considered to be one of the four guiding principles of the CRC.</w:t>
      </w:r>
      <w:r w:rsidRPr="00021DD2">
        <w:rPr>
          <w:rStyle w:val="Rimandonotadichiusura"/>
          <w:rFonts w:eastAsiaTheme="minorHAnsi" w:cs="Arial"/>
          <w:lang w:eastAsia="en-US"/>
        </w:rPr>
        <w:endnoteReference w:id="3"/>
      </w:r>
      <w:r w:rsidRPr="00021DD2">
        <w:rPr>
          <w:rFonts w:eastAsiaTheme="minorHAnsi" w:cs="Arial"/>
          <w:lang w:eastAsia="en-US"/>
        </w:rPr>
        <w:t xml:space="preserve"> This means that it is a right that underpins the interpretation and implementation of all other rights under the CRC. </w:t>
      </w:r>
    </w:p>
    <w:p w:rsidR="00D6256B" w:rsidRPr="00021DD2" w:rsidRDefault="00D6256B" w:rsidP="00D6256B">
      <w:pPr>
        <w:rPr>
          <w:rFonts w:cs="Arial"/>
        </w:rPr>
      </w:pPr>
      <w:r w:rsidRPr="00021DD2">
        <w:rPr>
          <w:rFonts w:eastAsiaTheme="minorHAnsi" w:cs="Arial"/>
          <w:lang w:eastAsia="en-US"/>
        </w:rPr>
        <w:t>T</w:t>
      </w:r>
      <w:r w:rsidRPr="00021DD2">
        <w:rPr>
          <w:rFonts w:cs="Arial"/>
        </w:rPr>
        <w:t>he United Nations Committee on the Rights of the Child has stated that ‘article 12 is connected to all other articles of the CRC, which cannot be fully implemented if the child is not respected as a subject with her or his own views’.</w:t>
      </w:r>
      <w:r w:rsidRPr="00021DD2">
        <w:rPr>
          <w:rFonts w:cs="Arial"/>
          <w:vertAlign w:val="superscript"/>
        </w:rPr>
        <w:endnoteReference w:id="4"/>
      </w:r>
      <w:r w:rsidRPr="00021DD2">
        <w:rPr>
          <w:rFonts w:cs="Arial"/>
        </w:rPr>
        <w:t xml:space="preserve"> </w:t>
      </w:r>
    </w:p>
    <w:p w:rsidR="00D6256B" w:rsidRPr="00021DD2" w:rsidRDefault="00D6256B" w:rsidP="00D6256B">
      <w:pPr>
        <w:rPr>
          <w:rFonts w:cs="Arial"/>
        </w:rPr>
      </w:pPr>
      <w:r w:rsidRPr="00021DD2">
        <w:rPr>
          <w:rFonts w:cs="Arial"/>
        </w:rPr>
        <w:t>A key aspect of my work involves regular consultations with children and young people and ongoing advocacy for the inclusion of children and young people’s perspectives in decisions and processes that affect them.</w:t>
      </w:r>
    </w:p>
    <w:p w:rsidR="00D6256B" w:rsidRPr="00021DD2" w:rsidRDefault="00D6256B" w:rsidP="007811D8">
      <w:pPr>
        <w:pStyle w:val="Titolo3"/>
        <w:rPr>
          <w:rFonts w:cs="Arial"/>
          <w:i/>
        </w:rPr>
      </w:pPr>
      <w:bookmarkStart w:id="12" w:name="_Toc500308739"/>
      <w:r w:rsidRPr="00021DD2">
        <w:rPr>
          <w:rFonts w:cs="Arial"/>
        </w:rPr>
        <w:t>National Framework for Protecting Australia’s Children</w:t>
      </w:r>
      <w:bookmarkEnd w:id="12"/>
    </w:p>
    <w:p w:rsidR="00D6256B" w:rsidRPr="00021DD2" w:rsidRDefault="00D6256B" w:rsidP="00D6256B">
      <w:pPr>
        <w:rPr>
          <w:rFonts w:eastAsiaTheme="minorHAnsi" w:cs="Arial"/>
          <w:lang w:eastAsia="en-US"/>
        </w:rPr>
      </w:pPr>
      <w:r w:rsidRPr="00021DD2">
        <w:rPr>
          <w:rFonts w:eastAsiaTheme="minorHAnsi" w:cs="Arial"/>
          <w:lang w:eastAsia="en-US"/>
        </w:rPr>
        <w:t xml:space="preserve">The </w:t>
      </w:r>
      <w:r w:rsidRPr="00021DD2">
        <w:rPr>
          <w:rFonts w:eastAsiaTheme="minorHAnsi" w:cs="Arial"/>
          <w:i/>
          <w:lang w:eastAsia="en-US"/>
        </w:rPr>
        <w:t>National Framework for Protecting Australia’s Children</w:t>
      </w:r>
      <w:r w:rsidRPr="00021DD2">
        <w:rPr>
          <w:rFonts w:eastAsiaTheme="minorHAnsi" w:cs="Arial"/>
          <w:lang w:eastAsia="en-US"/>
        </w:rPr>
        <w:t xml:space="preserve"> </w:t>
      </w:r>
      <w:r w:rsidRPr="00021DD2">
        <w:rPr>
          <w:rFonts w:eastAsiaTheme="minorHAnsi" w:cs="Arial"/>
          <w:i/>
          <w:lang w:eastAsia="en-US"/>
        </w:rPr>
        <w:t>2009</w:t>
      </w:r>
      <w:r w:rsidR="00A821D7">
        <w:rPr>
          <w:rFonts w:eastAsiaTheme="minorHAnsi" w:cs="Arial"/>
          <w:i/>
          <w:lang w:eastAsia="en-US"/>
        </w:rPr>
        <w:t>–</w:t>
      </w:r>
      <w:r w:rsidRPr="00021DD2">
        <w:rPr>
          <w:rFonts w:eastAsiaTheme="minorHAnsi" w:cs="Arial"/>
          <w:i/>
          <w:lang w:eastAsia="en-US"/>
        </w:rPr>
        <w:t>2020</w:t>
      </w:r>
      <w:r w:rsidRPr="00021DD2">
        <w:rPr>
          <w:rFonts w:eastAsiaTheme="minorHAnsi" w:cs="Arial"/>
          <w:lang w:eastAsia="en-US"/>
        </w:rPr>
        <w:t xml:space="preserve"> (National Framework) is a national policy initiative which brings together the Commonwealth, state and territory governments and non-government organisations in a sustained commitment to improving the safety and wellbeing of Australia’s children. </w:t>
      </w:r>
    </w:p>
    <w:p w:rsidR="00D6256B" w:rsidRPr="00021DD2" w:rsidRDefault="00D6256B" w:rsidP="00D6256B">
      <w:pPr>
        <w:rPr>
          <w:rFonts w:eastAsiaTheme="minorHAnsi" w:cs="Arial"/>
          <w:lang w:eastAsia="en-US"/>
        </w:rPr>
      </w:pPr>
      <w:r w:rsidRPr="00021DD2">
        <w:rPr>
          <w:rFonts w:eastAsiaTheme="minorHAnsi" w:cs="Arial"/>
          <w:lang w:eastAsia="en-US"/>
        </w:rPr>
        <w:t>The National Framework is implemented through three-year action plans. The National Framewo</w:t>
      </w:r>
      <w:r w:rsidR="00A821D7">
        <w:rPr>
          <w:rFonts w:eastAsiaTheme="minorHAnsi" w:cs="Arial"/>
          <w:lang w:eastAsia="en-US"/>
        </w:rPr>
        <w:t>rk’s Third Action Plan for 2015–</w:t>
      </w:r>
      <w:r w:rsidRPr="00021DD2">
        <w:rPr>
          <w:rFonts w:eastAsiaTheme="minorHAnsi" w:cs="Arial"/>
          <w:lang w:eastAsia="en-US"/>
        </w:rPr>
        <w:t>2018 outlines three strategies to achieve the Framework outcomes:</w:t>
      </w:r>
    </w:p>
    <w:p w:rsidR="00D6256B" w:rsidRPr="00021DD2" w:rsidRDefault="00D6256B" w:rsidP="00B934D7">
      <w:pPr>
        <w:pStyle w:val="Paragrafoelenco"/>
        <w:numPr>
          <w:ilvl w:val="0"/>
          <w:numId w:val="19"/>
        </w:numPr>
        <w:jc w:val="left"/>
        <w:rPr>
          <w:rFonts w:eastAsiaTheme="minorHAnsi"/>
          <w:lang w:eastAsia="en-US"/>
        </w:rPr>
      </w:pPr>
      <w:r w:rsidRPr="00021DD2">
        <w:rPr>
          <w:rFonts w:eastAsiaTheme="minorHAnsi"/>
          <w:lang w:eastAsia="en-US"/>
        </w:rPr>
        <w:t>Early intervention with a focus on the early years, particularly the first 1000 days for a child.</w:t>
      </w:r>
    </w:p>
    <w:p w:rsidR="00D6256B" w:rsidRPr="00021DD2" w:rsidRDefault="00D6256B" w:rsidP="00B934D7">
      <w:pPr>
        <w:pStyle w:val="Paragrafoelenco"/>
        <w:numPr>
          <w:ilvl w:val="0"/>
          <w:numId w:val="19"/>
        </w:numPr>
        <w:jc w:val="left"/>
        <w:rPr>
          <w:rFonts w:eastAsiaTheme="minorHAnsi"/>
          <w:lang w:eastAsia="en-US"/>
        </w:rPr>
      </w:pPr>
      <w:r w:rsidRPr="00021DD2">
        <w:rPr>
          <w:rFonts w:eastAsiaTheme="minorHAnsi"/>
          <w:lang w:eastAsia="en-US"/>
        </w:rPr>
        <w:t>Helping young people in out-of-home care to thrive into adulthood.</w:t>
      </w:r>
    </w:p>
    <w:p w:rsidR="00454E92" w:rsidRPr="00021DD2" w:rsidRDefault="00D6256B" w:rsidP="00B934D7">
      <w:pPr>
        <w:pStyle w:val="Paragrafoelenco"/>
        <w:numPr>
          <w:ilvl w:val="0"/>
          <w:numId w:val="19"/>
        </w:numPr>
        <w:jc w:val="left"/>
        <w:rPr>
          <w:rFonts w:eastAsiaTheme="minorHAnsi"/>
          <w:lang w:eastAsia="en-US"/>
        </w:rPr>
      </w:pPr>
      <w:r w:rsidRPr="00021DD2">
        <w:rPr>
          <w:rFonts w:eastAsiaTheme="minorHAnsi"/>
          <w:lang w:eastAsia="en-US"/>
        </w:rPr>
        <w:t>Organisations responding better to children and young people to keep them safe.</w:t>
      </w:r>
      <w:r w:rsidRPr="00021DD2">
        <w:rPr>
          <w:rStyle w:val="Rimandonotadichiusura"/>
          <w:rFonts w:eastAsiaTheme="minorHAnsi"/>
          <w:lang w:eastAsia="en-US"/>
        </w:rPr>
        <w:endnoteReference w:id="5"/>
      </w:r>
    </w:p>
    <w:p w:rsidR="00D6256B" w:rsidRPr="00021DD2" w:rsidRDefault="00283BF4" w:rsidP="00D6256B">
      <w:pPr>
        <w:rPr>
          <w:rFonts w:eastAsiaTheme="minorHAnsi" w:cs="Arial"/>
          <w:lang w:eastAsia="en-US"/>
        </w:rPr>
      </w:pPr>
      <w:r w:rsidRPr="00021DD2">
        <w:rPr>
          <w:rFonts w:eastAsiaTheme="minorHAnsi" w:cs="Arial"/>
          <w:lang w:eastAsia="en-US"/>
        </w:rPr>
        <w:t xml:space="preserve">The National Forum, of which I am a member, oversees the development and implementation of the National Framework. </w:t>
      </w:r>
    </w:p>
    <w:p w:rsidR="00D6256B" w:rsidRPr="00021DD2" w:rsidRDefault="00D6256B" w:rsidP="00996014">
      <w:pPr>
        <w:pStyle w:val="Titolo4"/>
      </w:pPr>
      <w:r w:rsidRPr="00021DD2">
        <w:t>Consultations with children and young people</w:t>
      </w:r>
    </w:p>
    <w:p w:rsidR="00D6256B" w:rsidRPr="00021DD2" w:rsidRDefault="00D6256B" w:rsidP="00DC5AAF">
      <w:pPr>
        <w:rPr>
          <w:lang w:eastAsia="en-US"/>
        </w:rPr>
      </w:pPr>
      <w:r w:rsidRPr="00021DD2">
        <w:rPr>
          <w:lang w:eastAsia="en-US"/>
        </w:rPr>
        <w:t xml:space="preserve">From the beginning of my involvement in the National Framework, I have advocated for the inclusion of children and young people’s voices in its development and implementation, along with others such as Families Australia and the CREATE Foundation. </w:t>
      </w:r>
    </w:p>
    <w:p w:rsidR="00D6256B" w:rsidRPr="00021DD2" w:rsidRDefault="00D6256B" w:rsidP="00DC5AAF">
      <w:pPr>
        <w:rPr>
          <w:lang w:eastAsia="en-US"/>
        </w:rPr>
      </w:pPr>
      <w:r w:rsidRPr="00021DD2">
        <w:rPr>
          <w:lang w:eastAsia="en-US"/>
        </w:rPr>
        <w:t xml:space="preserve">In 2016, I worked in partnership with the Department of Social Services </w:t>
      </w:r>
      <w:r w:rsidR="00FF7FD6" w:rsidRPr="00021DD2">
        <w:rPr>
          <w:lang w:eastAsia="en-US"/>
        </w:rPr>
        <w:t xml:space="preserve">(DSS) </w:t>
      </w:r>
      <w:r w:rsidRPr="00021DD2">
        <w:rPr>
          <w:lang w:eastAsia="en-US"/>
        </w:rPr>
        <w:t xml:space="preserve">and the CREATE Foundation to facilitate two roundtables with young people to assist in the development of the Third Action Plan of the National Framework. </w:t>
      </w:r>
    </w:p>
    <w:p w:rsidR="00D6256B" w:rsidRPr="00021DD2" w:rsidRDefault="00D6256B" w:rsidP="00DC5AAF">
      <w:r w:rsidRPr="00021DD2">
        <w:t>In March and April 2017, the CREATE Foundation and I facilitated further consultations with children and young people about the implementation of the Third Action Plan. The consultations involved a series of focus groups with 323 children and young people from diverse backgrounds across Australia. These children and young people shared their insights into how strategies related to the Third Action Plan can be improved, implemented and evaluated.</w:t>
      </w:r>
    </w:p>
    <w:p w:rsidR="00D6256B" w:rsidRPr="00021DD2" w:rsidRDefault="00D6256B" w:rsidP="00DC5AAF">
      <w:r w:rsidRPr="00021DD2">
        <w:t xml:space="preserve">The final report on the consultations, dated June 2017, reflects the views and insights of </w:t>
      </w:r>
      <w:r w:rsidR="00FF7FD6" w:rsidRPr="00021DD2">
        <w:t>young parents,</w:t>
      </w:r>
      <w:r w:rsidRPr="00021DD2">
        <w:t xml:space="preserve"> young people transitioning to adulthood from out-of-home care</w:t>
      </w:r>
      <w:r w:rsidR="00FF7FD6" w:rsidRPr="00021DD2">
        <w:t xml:space="preserve"> (OOHC),</w:t>
      </w:r>
      <w:r w:rsidRPr="00021DD2">
        <w:t xml:space="preserve"> and vulnerable young people about what makes places and spaces safe and welcoming for them. </w:t>
      </w:r>
    </w:p>
    <w:p w:rsidR="00D6256B" w:rsidRPr="00021DD2" w:rsidRDefault="00D6256B" w:rsidP="00DC5AAF">
      <w:r w:rsidRPr="00021DD2">
        <w:t xml:space="preserve">Most young parents said that access to affordable, safe accommodation and day-care, and more money, would help them going into the future. Many young parents also said that access to information about services and supports, including mental health support, </w:t>
      </w:r>
      <w:r w:rsidR="00FF7FD6" w:rsidRPr="00021DD2">
        <w:t xml:space="preserve">as well as </w:t>
      </w:r>
      <w:r w:rsidR="00E46E43">
        <w:t>less judging</w:t>
      </w:r>
      <w:r w:rsidRPr="00021DD2">
        <w:t>, stigma</w:t>
      </w:r>
      <w:r w:rsidR="00E46E43">
        <w:t>tising</w:t>
      </w:r>
      <w:r w:rsidRPr="00021DD2">
        <w:t xml:space="preserve"> and stereotyping</w:t>
      </w:r>
      <w:r w:rsidR="00E46E43">
        <w:t xml:space="preserve"> of them</w:t>
      </w:r>
      <w:r w:rsidRPr="00021DD2">
        <w:t xml:space="preserve">, would assist them. </w:t>
      </w:r>
    </w:p>
    <w:p w:rsidR="00D6256B" w:rsidRPr="00021DD2" w:rsidRDefault="00D6256B" w:rsidP="00DC5AAF">
      <w:r w:rsidRPr="00021DD2">
        <w:t>Most young people leaving care said that they needed support to find a job and to access the documentation necessary for living and travelling independently. They would welcome information about available services and supports</w:t>
      </w:r>
      <w:r w:rsidR="00E46E43">
        <w:t>,</w:t>
      </w:r>
      <w:r w:rsidRPr="00021DD2">
        <w:t xml:space="preserve"> before and after leaving care, as well as financial assistance. Many said that they needed support to find somewhere to live, obtain their driver’s licence, and acquire day-to-day life skills to look after themselves.</w:t>
      </w:r>
    </w:p>
    <w:p w:rsidR="00D6256B" w:rsidRPr="00021DD2" w:rsidRDefault="00D6256B" w:rsidP="00D6256B">
      <w:pPr>
        <w:rPr>
          <w:rFonts w:cs="Arial"/>
        </w:rPr>
      </w:pPr>
      <w:r w:rsidRPr="00021DD2">
        <w:rPr>
          <w:rFonts w:cs="Arial"/>
        </w:rPr>
        <w:t xml:space="preserve">Vulnerable young people said </w:t>
      </w:r>
      <w:r w:rsidR="00E46E43" w:rsidRPr="00021DD2">
        <w:rPr>
          <w:rFonts w:cs="Arial"/>
        </w:rPr>
        <w:t xml:space="preserve">in the consultations </w:t>
      </w:r>
      <w:r w:rsidRPr="00021DD2">
        <w:rPr>
          <w:rFonts w:cs="Arial"/>
        </w:rPr>
        <w:t>that increased security, maintenance of places and spaces, availability of mentors or others in the community they could talk with, and participating in events with other young people would make them feel safe and more welcome.</w:t>
      </w:r>
    </w:p>
    <w:p w:rsidR="00D6256B" w:rsidRDefault="00D6256B" w:rsidP="00B44D4B">
      <w:pPr>
        <w:spacing w:after="400"/>
        <w:rPr>
          <w:rFonts w:cs="Arial"/>
        </w:rPr>
      </w:pPr>
      <w:r w:rsidRPr="00021DD2">
        <w:rPr>
          <w:rFonts w:cs="Arial"/>
        </w:rPr>
        <w:t xml:space="preserve">Like all young people, those we spoke with need the right help at the right time to navigate their worlds and grasp the opportunities that are presented to them. However, because of their life journeys, this help is not always readily available to them. One of the main messages of these young people to the Australian Government is: </w:t>
      </w:r>
      <w:r w:rsidRPr="00021DD2">
        <w:rPr>
          <w:rFonts w:cs="Arial"/>
          <w:b/>
          <w:i/>
        </w:rPr>
        <w:t>keep supporting us, don</w:t>
      </w:r>
      <w:r w:rsidR="00080D93">
        <w:rPr>
          <w:rFonts w:cs="Arial"/>
          <w:b/>
          <w:i/>
        </w:rPr>
        <w:t>’</w:t>
      </w:r>
      <w:r w:rsidRPr="00021DD2">
        <w:rPr>
          <w:rFonts w:cs="Arial"/>
          <w:b/>
          <w:i/>
        </w:rPr>
        <w:t>t give up on us, and listen to what we have to say</w:t>
      </w:r>
      <w:r w:rsidRPr="00080D93">
        <w:rPr>
          <w:rFonts w:cs="Arial"/>
        </w:rPr>
        <w:t>.</w:t>
      </w:r>
    </w:p>
    <w:tbl>
      <w:tblPr>
        <w:tblStyle w:val="Grigliatabella"/>
        <w:tblW w:w="0" w:type="auto"/>
        <w:tblCellMar>
          <w:left w:w="284" w:type="dxa"/>
          <w:right w:w="284" w:type="dxa"/>
        </w:tblCellMar>
        <w:tblLook w:val="04A0" w:firstRow="1" w:lastRow="0" w:firstColumn="1" w:lastColumn="0" w:noHBand="0" w:noVBand="1"/>
      </w:tblPr>
      <w:tblGrid>
        <w:gridCol w:w="9060"/>
      </w:tblGrid>
      <w:tr w:rsidR="00AE274F" w:rsidTr="00C63606">
        <w:tc>
          <w:tcPr>
            <w:tcW w:w="9060" w:type="dxa"/>
          </w:tcPr>
          <w:p w:rsidR="00C63606" w:rsidRPr="00021DD2" w:rsidRDefault="00C63606" w:rsidP="00C63606">
            <w:pPr>
              <w:rPr>
                <w:rFonts w:cs="Arial"/>
                <w:b/>
                <w:lang w:eastAsia="en-US"/>
              </w:rPr>
            </w:pPr>
            <w:r w:rsidRPr="00021DD2">
              <w:rPr>
                <w:rFonts w:cs="Arial"/>
                <w:b/>
                <w:lang w:eastAsia="en-US"/>
              </w:rPr>
              <w:t>Messages to the Australian Government from young people</w:t>
            </w:r>
          </w:p>
          <w:p w:rsidR="00C63606" w:rsidRPr="00021DD2" w:rsidRDefault="00C63606" w:rsidP="00C63606">
            <w:pPr>
              <w:rPr>
                <w:rFonts w:cs="Arial"/>
                <w:b/>
                <w:highlight w:val="yellow"/>
                <w:lang w:eastAsia="en-US"/>
              </w:rPr>
            </w:pPr>
            <w:r w:rsidRPr="00021DD2">
              <w:rPr>
                <w:rFonts w:cs="Arial"/>
                <w:b/>
                <w:lang w:eastAsia="en-US"/>
              </w:rPr>
              <w:t>How to support young parents in the first 1000 days</w:t>
            </w:r>
          </w:p>
          <w:p w:rsidR="00C63606" w:rsidRPr="00021DD2" w:rsidRDefault="00C63606" w:rsidP="00C63606">
            <w:pPr>
              <w:rPr>
                <w:rFonts w:cs="Arial"/>
                <w:lang w:eastAsia="en-US"/>
              </w:rPr>
            </w:pPr>
            <w:r w:rsidRPr="00021DD2">
              <w:rPr>
                <w:rFonts w:cs="Arial"/>
                <w:lang w:eastAsia="en-US"/>
              </w:rPr>
              <w:t>‘Live in my shoes for one month and I’m sure you will make a lot of changes to your health, social support and education systems. Financially I only just manage to survive on good weeks, on a bad week I find myself eating</w:t>
            </w:r>
            <w:r>
              <w:rPr>
                <w:rFonts w:cs="Arial"/>
                <w:lang w:eastAsia="en-US"/>
              </w:rPr>
              <w:t xml:space="preserve"> toast for dinner and walking 5–</w:t>
            </w:r>
            <w:r w:rsidRPr="00021DD2">
              <w:rPr>
                <w:rFonts w:cs="Arial"/>
                <w:lang w:eastAsia="en-US"/>
              </w:rPr>
              <w:t xml:space="preserve">8kms to the shopping centre. It’s about time you try before you buy – that goes for everything!’ </w:t>
            </w:r>
          </w:p>
          <w:p w:rsidR="00C63606" w:rsidRPr="00021DD2" w:rsidRDefault="00C63606" w:rsidP="00C63606">
            <w:pPr>
              <w:rPr>
                <w:rFonts w:cs="Arial"/>
                <w:lang w:eastAsia="en-US"/>
              </w:rPr>
            </w:pPr>
            <w:r w:rsidRPr="00021DD2">
              <w:rPr>
                <w:rFonts w:cs="Arial"/>
                <w:lang w:eastAsia="en-US"/>
              </w:rPr>
              <w:t xml:space="preserve">‘All young mums would appreciate a little more financial help and housing help without being judged.’ </w:t>
            </w:r>
          </w:p>
          <w:p w:rsidR="00C63606" w:rsidRPr="00021DD2" w:rsidRDefault="00C63606" w:rsidP="00C63606">
            <w:pPr>
              <w:rPr>
                <w:rFonts w:cs="Arial"/>
                <w:lang w:eastAsia="en-US"/>
              </w:rPr>
            </w:pPr>
            <w:r w:rsidRPr="00021DD2">
              <w:rPr>
                <w:rFonts w:cs="Arial"/>
                <w:lang w:eastAsia="en-US"/>
              </w:rPr>
              <w:t>‘Listen to young people. Stop cutting funding for organisations. Make organisations more accessible and easier to find.’</w:t>
            </w:r>
          </w:p>
          <w:p w:rsidR="00C63606" w:rsidRPr="00021DD2" w:rsidRDefault="00C63606" w:rsidP="00C63606">
            <w:pPr>
              <w:rPr>
                <w:rFonts w:cs="Arial"/>
                <w:b/>
                <w:lang w:eastAsia="en-US"/>
              </w:rPr>
            </w:pPr>
            <w:r w:rsidRPr="00021DD2">
              <w:rPr>
                <w:rFonts w:cs="Arial"/>
                <w:b/>
                <w:lang w:eastAsia="en-US"/>
              </w:rPr>
              <w:t>How to improve the lives of young people leaving care</w:t>
            </w:r>
          </w:p>
          <w:p w:rsidR="00C63606" w:rsidRPr="00021DD2" w:rsidRDefault="00C63606" w:rsidP="00C63606">
            <w:pPr>
              <w:rPr>
                <w:rFonts w:cs="Arial"/>
                <w:lang w:eastAsia="en-US"/>
              </w:rPr>
            </w:pPr>
            <w:r w:rsidRPr="00021DD2">
              <w:rPr>
                <w:rFonts w:cs="Arial"/>
                <w:lang w:eastAsia="en-US"/>
              </w:rPr>
              <w:t xml:space="preserve">‘That we are more than what you see on a piece of paper and more than just another name/number. We too need all the support to live a fulfilled and accomplished life. We too need better access to resources to mental health and after-care services. We need you to be open and honest with us about our lives. We need you to be 110% dedicated to us, or there is no point working for us.’ </w:t>
            </w:r>
          </w:p>
          <w:p w:rsidR="00C63606" w:rsidRPr="00021DD2" w:rsidRDefault="00C63606" w:rsidP="00C63606">
            <w:pPr>
              <w:rPr>
                <w:rFonts w:cs="Arial"/>
                <w:lang w:eastAsia="en-US"/>
              </w:rPr>
            </w:pPr>
            <w:r w:rsidRPr="00021DD2">
              <w:rPr>
                <w:rFonts w:cs="Arial"/>
                <w:lang w:eastAsia="en-US"/>
              </w:rPr>
              <w:t xml:space="preserve">‘I believe that you should start listening to younger children. It’s not just the adults that have a say. The children have a say and should always have an opinion and say.’ </w:t>
            </w:r>
          </w:p>
          <w:p w:rsidR="00C63606" w:rsidRDefault="00C63606" w:rsidP="00C63606">
            <w:pPr>
              <w:rPr>
                <w:rFonts w:cs="Arial"/>
                <w:lang w:eastAsia="en-US"/>
              </w:rPr>
            </w:pPr>
            <w:r w:rsidRPr="00021DD2">
              <w:rPr>
                <w:rFonts w:cs="Arial"/>
                <w:lang w:eastAsia="en-US"/>
              </w:rPr>
              <w:t>‘Help young people on their feet once they leave care as they don’t have any support after 18 years of age.’</w:t>
            </w:r>
          </w:p>
          <w:p w:rsidR="00C63606" w:rsidRPr="00021DD2" w:rsidRDefault="00B44D4B" w:rsidP="00C63606">
            <w:pPr>
              <w:rPr>
                <w:rFonts w:cs="Arial"/>
                <w:b/>
                <w:lang w:eastAsia="en-US"/>
              </w:rPr>
            </w:pPr>
            <w:r>
              <w:rPr>
                <w:rFonts w:cs="Arial"/>
                <w:lang w:eastAsia="en-US"/>
              </w:rPr>
              <w:br/>
            </w:r>
            <w:r w:rsidR="00C63606" w:rsidRPr="00021DD2">
              <w:rPr>
                <w:rFonts w:cs="Arial"/>
                <w:b/>
                <w:lang w:eastAsia="en-US"/>
              </w:rPr>
              <w:t>How to support young people recently arrived in Australia</w:t>
            </w:r>
          </w:p>
          <w:p w:rsidR="00C63606" w:rsidRPr="00021DD2" w:rsidRDefault="00C63606" w:rsidP="00C63606">
            <w:pPr>
              <w:rPr>
                <w:rFonts w:cs="Arial"/>
                <w:lang w:eastAsia="en-US"/>
              </w:rPr>
            </w:pPr>
            <w:r w:rsidRPr="00021DD2">
              <w:rPr>
                <w:rFonts w:cs="Arial"/>
                <w:lang w:eastAsia="en-US"/>
              </w:rPr>
              <w:t>‘… Sometimes when I feel alone and sad I don’t have someone to talk with. Someone who can listen me and give me an advice. Someone to trust.’</w:t>
            </w:r>
          </w:p>
          <w:p w:rsidR="00C63606" w:rsidRDefault="00C63606" w:rsidP="00D6256B">
            <w:pPr>
              <w:rPr>
                <w:rFonts w:cs="Arial"/>
                <w:lang w:eastAsia="en-US"/>
              </w:rPr>
            </w:pPr>
            <w:r w:rsidRPr="00021DD2">
              <w:rPr>
                <w:rFonts w:cs="Arial"/>
                <w:lang w:eastAsia="en-US"/>
              </w:rPr>
              <w:t xml:space="preserve">‘Australia is made up of people from all around the world. Let’s keep that in mind when making decisions that affect them.’ </w:t>
            </w:r>
          </w:p>
        </w:tc>
      </w:tr>
    </w:tbl>
    <w:p w:rsidR="00D6256B" w:rsidRPr="00021DD2" w:rsidRDefault="00D6256B" w:rsidP="00B46AB5">
      <w:pPr>
        <w:spacing w:before="400"/>
        <w:rPr>
          <w:rFonts w:cs="Arial"/>
          <w:lang w:eastAsia="en-US"/>
        </w:rPr>
      </w:pPr>
      <w:r w:rsidRPr="00021DD2">
        <w:rPr>
          <w:rFonts w:cs="Arial"/>
          <w:lang w:eastAsia="en-US"/>
        </w:rPr>
        <w:t xml:space="preserve">I would like to thank the children and young people who participated in these consultations. I would also like to thank the Department of Social Services for demonstrating strong leadership in this area by </w:t>
      </w:r>
      <w:r w:rsidR="00FF7FD6" w:rsidRPr="00021DD2">
        <w:rPr>
          <w:rFonts w:cs="Arial"/>
          <w:lang w:eastAsia="en-US"/>
        </w:rPr>
        <w:t xml:space="preserve">making </w:t>
      </w:r>
      <w:r w:rsidRPr="00021DD2">
        <w:rPr>
          <w:rFonts w:cs="Arial"/>
          <w:lang w:eastAsia="en-US"/>
        </w:rPr>
        <w:t>consultations wi</w:t>
      </w:r>
      <w:r w:rsidR="00FF7FD6" w:rsidRPr="00021DD2">
        <w:rPr>
          <w:rFonts w:cs="Arial"/>
          <w:lang w:eastAsia="en-US"/>
        </w:rPr>
        <w:t xml:space="preserve">th children and young people </w:t>
      </w:r>
      <w:r w:rsidRPr="00021DD2">
        <w:rPr>
          <w:rFonts w:cs="Arial"/>
          <w:lang w:eastAsia="en-US"/>
        </w:rPr>
        <w:t xml:space="preserve">a core element of the National Framework. </w:t>
      </w:r>
    </w:p>
    <w:p w:rsidR="00D6256B" w:rsidRPr="00021DD2" w:rsidRDefault="00D6256B" w:rsidP="00D6256B">
      <w:pPr>
        <w:rPr>
          <w:rFonts w:cs="Arial"/>
        </w:rPr>
      </w:pPr>
      <w:r w:rsidRPr="00021DD2">
        <w:rPr>
          <w:rFonts w:cs="Arial"/>
        </w:rPr>
        <w:t>As the Third Action Plan of the National Framework is implemented, I trust that the voices of children and young people will be heard and acted on, and influence the agendas of governments and service providers alike. I look forward to the development of the Fourth Action Plan of the National Framework, and the inclusion of children and young people as co-designers of this Plan.</w:t>
      </w:r>
    </w:p>
    <w:p w:rsidR="00D6256B" w:rsidRPr="00021DD2" w:rsidRDefault="00D6256B" w:rsidP="00996014">
      <w:pPr>
        <w:pStyle w:val="Titolo4"/>
      </w:pPr>
      <w:r w:rsidRPr="00021DD2">
        <w:t>National Standards for Out-of-Home Care</w:t>
      </w:r>
    </w:p>
    <w:p w:rsidR="00D6256B" w:rsidRPr="00021DD2" w:rsidRDefault="00D6256B" w:rsidP="00D6256B">
      <w:pPr>
        <w:rPr>
          <w:rFonts w:eastAsiaTheme="minorHAnsi" w:cs="Arial"/>
          <w:lang w:eastAsia="en-US"/>
        </w:rPr>
      </w:pPr>
      <w:r w:rsidRPr="00021DD2">
        <w:rPr>
          <w:rFonts w:eastAsiaTheme="minorHAnsi" w:cs="Arial"/>
          <w:lang w:eastAsia="en-US"/>
        </w:rPr>
        <w:t xml:space="preserve">One outcome under the National Framework has been the development of </w:t>
      </w:r>
      <w:r w:rsidRPr="00021DD2">
        <w:rPr>
          <w:rFonts w:eastAsiaTheme="minorHAnsi" w:cs="Arial"/>
          <w:i/>
          <w:iCs/>
          <w:lang w:eastAsia="en-US"/>
        </w:rPr>
        <w:t xml:space="preserve">National Standards for Out-of-Home Care </w:t>
      </w:r>
      <w:r w:rsidRPr="00021DD2">
        <w:rPr>
          <w:rFonts w:eastAsiaTheme="minorHAnsi" w:cs="Arial"/>
          <w:iCs/>
          <w:lang w:eastAsia="en-US"/>
        </w:rPr>
        <w:t>(National Standards)</w:t>
      </w:r>
      <w:r w:rsidRPr="00021DD2">
        <w:rPr>
          <w:rFonts w:eastAsiaTheme="minorHAnsi" w:cs="Arial"/>
          <w:lang w:eastAsia="en-US"/>
        </w:rPr>
        <w:t xml:space="preserve">. The 13 National Standards are designed to improve the quality of care provided to children and young people in the </w:t>
      </w:r>
      <w:r w:rsidR="00FF7FD6" w:rsidRPr="00021DD2">
        <w:rPr>
          <w:rFonts w:eastAsiaTheme="minorHAnsi" w:cs="Arial"/>
          <w:lang w:eastAsia="en-US"/>
        </w:rPr>
        <w:t>OOHC</w:t>
      </w:r>
      <w:r w:rsidRPr="00021DD2">
        <w:rPr>
          <w:rFonts w:eastAsiaTheme="minorHAnsi" w:cs="Arial"/>
          <w:lang w:eastAsia="en-US"/>
        </w:rPr>
        <w:t xml:space="preserve"> system. It is intended that progress towards these National Standards will be measured in part through an annual national survey of children in </w:t>
      </w:r>
      <w:r w:rsidR="00C16AD0">
        <w:rPr>
          <w:rFonts w:eastAsiaTheme="minorHAnsi" w:cs="Arial"/>
          <w:lang w:eastAsia="en-US"/>
        </w:rPr>
        <w:t>OOHC</w:t>
      </w:r>
      <w:r w:rsidRPr="00021DD2">
        <w:rPr>
          <w:rFonts w:eastAsiaTheme="minorHAnsi" w:cs="Arial"/>
          <w:lang w:eastAsia="en-US"/>
        </w:rPr>
        <w:t xml:space="preserve">, ensuring children’s perspectives are a formal </w:t>
      </w:r>
      <w:r w:rsidR="00B44D4B">
        <w:rPr>
          <w:rFonts w:eastAsiaTheme="minorHAnsi" w:cs="Arial"/>
          <w:lang w:eastAsia="en-US"/>
        </w:rPr>
        <w:t>part of the evaluation process.</w:t>
      </w:r>
    </w:p>
    <w:p w:rsidR="00D6256B" w:rsidRPr="00021DD2" w:rsidRDefault="00D6256B" w:rsidP="00D6256B">
      <w:pPr>
        <w:rPr>
          <w:rFonts w:eastAsiaTheme="minorHAnsi" w:cs="Arial"/>
          <w:lang w:eastAsia="en-US"/>
        </w:rPr>
      </w:pPr>
      <w:r w:rsidRPr="00021DD2">
        <w:rPr>
          <w:rFonts w:eastAsiaTheme="minorHAnsi" w:cs="Arial"/>
          <w:lang w:eastAsia="en-US"/>
        </w:rPr>
        <w:t xml:space="preserve">In my </w:t>
      </w:r>
      <w:r w:rsidRPr="00021DD2">
        <w:rPr>
          <w:rFonts w:eastAsiaTheme="minorHAnsi" w:cs="Arial"/>
          <w:i/>
          <w:lang w:eastAsia="en-US"/>
        </w:rPr>
        <w:t>Children’s Rights Report</w:t>
      </w:r>
      <w:r w:rsidR="00FF7FD6" w:rsidRPr="00021DD2">
        <w:rPr>
          <w:rFonts w:eastAsiaTheme="minorHAnsi" w:cs="Arial"/>
          <w:i/>
          <w:lang w:eastAsia="en-US"/>
        </w:rPr>
        <w:t xml:space="preserve"> 2016</w:t>
      </w:r>
      <w:r w:rsidRPr="00021DD2">
        <w:rPr>
          <w:rFonts w:eastAsiaTheme="minorHAnsi" w:cs="Arial"/>
          <w:lang w:eastAsia="en-US"/>
        </w:rPr>
        <w:t>, I described some of the results of a pilot version of this survey carried out in 2015.</w:t>
      </w:r>
    </w:p>
    <w:p w:rsidR="00D6256B" w:rsidRPr="00021DD2" w:rsidRDefault="00D6256B" w:rsidP="00D6256B">
      <w:pPr>
        <w:rPr>
          <w:rFonts w:eastAsiaTheme="minorHAnsi" w:cs="Arial"/>
          <w:lang w:eastAsia="en-US"/>
        </w:rPr>
      </w:pPr>
      <w:r w:rsidRPr="00021DD2">
        <w:rPr>
          <w:rFonts w:eastAsiaTheme="minorHAnsi" w:cs="Arial"/>
          <w:lang w:eastAsia="en-US"/>
        </w:rPr>
        <w:t xml:space="preserve">The Department of Social Services (DSS) and the Australian Institute of Health and Welfare (AIHW) advise that a second national survey on the views of children in </w:t>
      </w:r>
      <w:r w:rsidR="00FF7FD6" w:rsidRPr="00021DD2">
        <w:rPr>
          <w:rFonts w:eastAsiaTheme="minorHAnsi" w:cs="Arial"/>
          <w:lang w:eastAsia="en-US"/>
        </w:rPr>
        <w:t>OOHC</w:t>
      </w:r>
      <w:r w:rsidRPr="00021DD2">
        <w:rPr>
          <w:rFonts w:eastAsiaTheme="minorHAnsi" w:cs="Arial"/>
          <w:lang w:eastAsia="en-US"/>
        </w:rPr>
        <w:t xml:space="preserve"> will be undertaken by states and territories in 2018. Data collection will occur as part of local case management processes bet</w:t>
      </w:r>
      <w:r w:rsidR="00B44D4B">
        <w:rPr>
          <w:rFonts w:eastAsiaTheme="minorHAnsi" w:cs="Arial"/>
          <w:lang w:eastAsia="en-US"/>
        </w:rPr>
        <w:t>ween January and May 2018.</w:t>
      </w:r>
    </w:p>
    <w:p w:rsidR="00D6256B" w:rsidRPr="00021DD2" w:rsidRDefault="00FF7FD6" w:rsidP="00D6256B">
      <w:pPr>
        <w:rPr>
          <w:rFonts w:eastAsiaTheme="minorHAnsi" w:cs="Arial"/>
          <w:lang w:eastAsia="en-US"/>
        </w:rPr>
      </w:pPr>
      <w:r w:rsidRPr="00021DD2">
        <w:rPr>
          <w:rFonts w:eastAsiaTheme="minorHAnsi" w:cs="Arial"/>
          <w:lang w:eastAsia="en-US"/>
        </w:rPr>
        <w:t xml:space="preserve">The </w:t>
      </w:r>
      <w:r w:rsidR="00D6256B" w:rsidRPr="00021DD2">
        <w:rPr>
          <w:rFonts w:eastAsiaTheme="minorHAnsi" w:cs="Arial"/>
          <w:lang w:eastAsia="en-US"/>
        </w:rPr>
        <w:t>AIHW has been commissioned by the DSS to analyse the data collected by the states and territories, and provide updated national reporting for eight indicators under the National Standards. It is anticipated that the results will be released on the A</w:t>
      </w:r>
      <w:r w:rsidR="00B44D4B">
        <w:rPr>
          <w:rFonts w:eastAsiaTheme="minorHAnsi" w:cs="Arial"/>
          <w:lang w:eastAsia="en-US"/>
        </w:rPr>
        <w:t>IHW website by the end of 2018.</w:t>
      </w:r>
    </w:p>
    <w:p w:rsidR="00D6256B" w:rsidRPr="00021DD2" w:rsidRDefault="00D6256B" w:rsidP="00D6256B">
      <w:pPr>
        <w:rPr>
          <w:rFonts w:eastAsiaTheme="minorHAnsi" w:cs="Arial"/>
          <w:lang w:eastAsia="en-US"/>
        </w:rPr>
      </w:pPr>
      <w:r w:rsidRPr="00021DD2">
        <w:rPr>
          <w:rFonts w:eastAsiaTheme="minorHAnsi" w:cs="Arial"/>
          <w:lang w:eastAsia="en-US"/>
        </w:rPr>
        <w:t xml:space="preserve">A national working group, comprising representatives from states and </w:t>
      </w:r>
      <w:r w:rsidR="00FF7FD6" w:rsidRPr="00021DD2">
        <w:rPr>
          <w:rFonts w:eastAsiaTheme="minorHAnsi" w:cs="Arial"/>
          <w:lang w:eastAsia="en-US"/>
        </w:rPr>
        <w:t>territories, DSS</w:t>
      </w:r>
      <w:r w:rsidRPr="00021DD2">
        <w:rPr>
          <w:rFonts w:eastAsiaTheme="minorHAnsi" w:cs="Arial"/>
          <w:lang w:eastAsia="en-US"/>
        </w:rPr>
        <w:t xml:space="preserve"> and </w:t>
      </w:r>
      <w:r w:rsidR="00FF7FD6" w:rsidRPr="00021DD2">
        <w:rPr>
          <w:rFonts w:eastAsiaTheme="minorHAnsi" w:cs="Arial"/>
          <w:lang w:eastAsia="en-US"/>
        </w:rPr>
        <w:t xml:space="preserve">the </w:t>
      </w:r>
      <w:r w:rsidRPr="00021DD2">
        <w:rPr>
          <w:rFonts w:eastAsiaTheme="minorHAnsi" w:cs="Arial"/>
          <w:lang w:eastAsia="en-US"/>
        </w:rPr>
        <w:t>AIHW, is currently completing preparations for the delivery of the 2018 survey.</w:t>
      </w:r>
    </w:p>
    <w:p w:rsidR="00D6256B" w:rsidRPr="00021DD2" w:rsidRDefault="00D6256B" w:rsidP="00D6256B">
      <w:pPr>
        <w:rPr>
          <w:rFonts w:eastAsiaTheme="minorHAnsi" w:cs="Arial"/>
          <w:lang w:eastAsia="en-US"/>
        </w:rPr>
      </w:pPr>
      <w:r w:rsidRPr="00021DD2">
        <w:rPr>
          <w:rFonts w:eastAsiaTheme="minorHAnsi" w:cs="Arial"/>
          <w:lang w:eastAsia="en-US"/>
        </w:rPr>
        <w:t>I look forward to the ongoing development of the 2018 survey and examinin</w:t>
      </w:r>
      <w:r w:rsidR="00B44D4B">
        <w:rPr>
          <w:rFonts w:eastAsiaTheme="minorHAnsi" w:cs="Arial"/>
          <w:lang w:eastAsia="en-US"/>
        </w:rPr>
        <w:t>g the findings in coming years.</w:t>
      </w:r>
    </w:p>
    <w:p w:rsidR="00D6256B" w:rsidRPr="00021DD2" w:rsidRDefault="00D6256B" w:rsidP="007811D8">
      <w:pPr>
        <w:pStyle w:val="Titolo3"/>
        <w:rPr>
          <w:rFonts w:cs="Arial"/>
        </w:rPr>
      </w:pPr>
      <w:bookmarkStart w:id="13" w:name="_Toc500308740"/>
      <w:r w:rsidRPr="00021DD2">
        <w:rPr>
          <w:rFonts w:cs="Arial"/>
        </w:rPr>
        <w:t>Children and young people from refugee, asylum seeker and migrant backgrounds</w:t>
      </w:r>
      <w:bookmarkEnd w:id="13"/>
    </w:p>
    <w:p w:rsidR="00D6256B" w:rsidRPr="00021DD2" w:rsidRDefault="00D6256B" w:rsidP="00D6256B">
      <w:pPr>
        <w:rPr>
          <w:rFonts w:cs="Arial"/>
          <w:color w:val="000000"/>
        </w:rPr>
      </w:pPr>
      <w:r w:rsidRPr="00021DD2">
        <w:rPr>
          <w:rFonts w:cs="Arial"/>
          <w:color w:val="000000"/>
        </w:rPr>
        <w:t xml:space="preserve">Children and young people from refugee, asylum seeker and migrant backgrounds have enormous potential </w:t>
      </w:r>
      <w:r w:rsidR="00FF7FD6" w:rsidRPr="00021DD2">
        <w:rPr>
          <w:rFonts w:cs="Arial"/>
          <w:color w:val="000000"/>
        </w:rPr>
        <w:t>as</w:t>
      </w:r>
      <w:r w:rsidRPr="00021DD2">
        <w:rPr>
          <w:rFonts w:cs="Arial"/>
          <w:color w:val="000000"/>
        </w:rPr>
        <w:t xml:space="preserve"> active participants in Australian society. However, they face unique challenges and barriers in accessing the support and opportunities they need to reach their full potential, including racism and discrimination, limited social capital, and learning a new language and culture. This places them at greater social and economic disadvantage than Australian-born children and young people, and often means that their voices are marginalised.</w:t>
      </w:r>
      <w:r w:rsidRPr="00021DD2">
        <w:rPr>
          <w:rStyle w:val="Rimandonotadichiusura"/>
          <w:rFonts w:cs="Arial"/>
          <w:color w:val="000000"/>
        </w:rPr>
        <w:endnoteReference w:id="6"/>
      </w:r>
    </w:p>
    <w:p w:rsidR="00D6256B" w:rsidRPr="00021DD2" w:rsidRDefault="00D6256B" w:rsidP="00D6256B">
      <w:pPr>
        <w:rPr>
          <w:rFonts w:cs="Arial"/>
          <w:color w:val="000000"/>
          <w:sz w:val="17"/>
          <w:szCs w:val="17"/>
        </w:rPr>
      </w:pPr>
      <w:r w:rsidRPr="00021DD2">
        <w:rPr>
          <w:rFonts w:eastAsiaTheme="minorHAnsi" w:cs="Arial"/>
          <w:lang w:eastAsia="en-US"/>
        </w:rPr>
        <w:t>In December 2016, I participated in FUSE 2016, a three-day National Multicultural Youth Summit hosted by the Multicultural Youth Advocacy Network (Australia) (MYAN) in Melbourne. Working with the themes of ‘Connect’, ‘Ignite’ and ‘Trailblaze’, FUSE 2016 brought together 35 children and young people from across Australia to network with peers, share perspectives and ideas, and engage with experienced advocates, Members of Parliament and other decision</w:t>
      </w:r>
      <w:r w:rsidR="00C16AD0">
        <w:rPr>
          <w:rFonts w:eastAsiaTheme="minorHAnsi" w:cs="Arial"/>
          <w:lang w:eastAsia="en-US"/>
        </w:rPr>
        <w:t xml:space="preserve"> </w:t>
      </w:r>
      <w:r w:rsidRPr="00021DD2">
        <w:rPr>
          <w:rFonts w:eastAsiaTheme="minorHAnsi" w:cs="Arial"/>
          <w:lang w:eastAsia="en-US"/>
        </w:rPr>
        <w:t xml:space="preserve">makers. The participants worked together </w:t>
      </w:r>
      <w:r w:rsidRPr="00021DD2">
        <w:rPr>
          <w:rFonts w:cs="Arial"/>
        </w:rPr>
        <w:t>to develop ideas and explore key issues facing children and young people from refugee, asylum seeker and migrant backgrounds in Australia. These issues included education, health, community and belonging, racism and discrimination, and youth leadership and empowerment.</w:t>
      </w:r>
      <w:r w:rsidRPr="00021DD2">
        <w:rPr>
          <w:rStyle w:val="Rimandonotadichiusura"/>
          <w:rFonts w:cs="Arial"/>
        </w:rPr>
        <w:endnoteReference w:id="7"/>
      </w:r>
      <w:r w:rsidRPr="00021DD2">
        <w:rPr>
          <w:rFonts w:cs="Arial"/>
          <w:color w:val="000000"/>
          <w:sz w:val="17"/>
          <w:szCs w:val="17"/>
        </w:rPr>
        <w:t xml:space="preserve"> </w:t>
      </w:r>
    </w:p>
    <w:p w:rsidR="00D6256B" w:rsidRPr="00021DD2" w:rsidRDefault="00D6256B" w:rsidP="00D6256B">
      <w:pPr>
        <w:rPr>
          <w:rFonts w:cs="Arial"/>
          <w:color w:val="000000"/>
        </w:rPr>
      </w:pPr>
      <w:r w:rsidRPr="00021DD2">
        <w:rPr>
          <w:rFonts w:cs="Arial"/>
          <w:color w:val="000000"/>
        </w:rPr>
        <w:t>As part of the Summit, I gave a presentation on the relevance of the CRC and my work as the National Children’s Commissioner. I spoke about how children and young people can be leaders, role models, change-makers, and the importance of having their voices heard.</w:t>
      </w:r>
    </w:p>
    <w:p w:rsidR="00D6256B" w:rsidRPr="00021DD2" w:rsidRDefault="00D6256B" w:rsidP="00D6256B">
      <w:pPr>
        <w:rPr>
          <w:rFonts w:cs="Arial"/>
          <w:color w:val="000000"/>
        </w:rPr>
      </w:pPr>
      <w:r w:rsidRPr="00021DD2">
        <w:rPr>
          <w:rFonts w:cs="Arial"/>
          <w:color w:val="000000"/>
        </w:rPr>
        <w:t xml:space="preserve">The children and young people at the Summit demonstrated their strengths and capabilities, and their potential to contribute as leaders within their communities. I am encouraged to hear that the delegates have continued to run events in the community and advocate on issues that matter to them. I look forward to the next Summit, to be held in 2018. </w:t>
      </w:r>
    </w:p>
    <w:p w:rsidR="00D6256B" w:rsidRPr="00021DD2" w:rsidRDefault="00D6256B" w:rsidP="00D6256B">
      <w:pPr>
        <w:rPr>
          <w:rFonts w:cs="Arial"/>
          <w:color w:val="000000"/>
        </w:rPr>
      </w:pPr>
      <w:r w:rsidRPr="00021DD2">
        <w:rPr>
          <w:rFonts w:cs="Arial"/>
          <w:color w:val="000000"/>
        </w:rPr>
        <w:t>I also look forward to participating in the MYAN Conference in November 2017. This event will bring together international and local policymakers, practitioners, young people, academics and the business sector to consider the experiences of young people in the context of current global challenges and explore how research, policy and practice can best respond into the future.</w:t>
      </w:r>
      <w:r w:rsidRPr="00021DD2">
        <w:rPr>
          <w:rStyle w:val="Rimandonotadichiusura"/>
          <w:rFonts w:cs="Arial"/>
          <w:color w:val="000000"/>
        </w:rPr>
        <w:endnoteReference w:id="8"/>
      </w:r>
    </w:p>
    <w:p w:rsidR="00D6256B" w:rsidRPr="00021DD2" w:rsidRDefault="00D6256B" w:rsidP="007811D8">
      <w:pPr>
        <w:pStyle w:val="Titolo3"/>
        <w:rPr>
          <w:rFonts w:cs="Arial"/>
        </w:rPr>
      </w:pPr>
      <w:bookmarkStart w:id="14" w:name="_Toc500308741"/>
      <w:r w:rsidRPr="0006249D">
        <w:rPr>
          <w:rFonts w:cs="Arial"/>
          <w:i/>
        </w:rPr>
        <w:t>What Matters?</w:t>
      </w:r>
      <w:r w:rsidRPr="00021DD2">
        <w:rPr>
          <w:rFonts w:cs="Arial"/>
        </w:rPr>
        <w:t xml:space="preserve"> writing competition</w:t>
      </w:r>
      <w:bookmarkEnd w:id="14"/>
    </w:p>
    <w:p w:rsidR="00437EC7" w:rsidRPr="00021DD2" w:rsidRDefault="00D6256B" w:rsidP="00D6256B">
      <w:pPr>
        <w:rPr>
          <w:rFonts w:cs="Arial"/>
        </w:rPr>
      </w:pPr>
      <w:r w:rsidRPr="00021DD2">
        <w:rPr>
          <w:rFonts w:cs="Arial"/>
        </w:rPr>
        <w:t xml:space="preserve">In 2017, I </w:t>
      </w:r>
      <w:r w:rsidR="009B5BFD" w:rsidRPr="00021DD2">
        <w:rPr>
          <w:rFonts w:cs="Arial"/>
        </w:rPr>
        <w:t>was part of the judging panel at</w:t>
      </w:r>
      <w:r w:rsidRPr="00021DD2">
        <w:rPr>
          <w:rFonts w:cs="Arial"/>
        </w:rPr>
        <w:t xml:space="preserve"> </w:t>
      </w:r>
      <w:r w:rsidRPr="00021DD2">
        <w:rPr>
          <w:rFonts w:cs="Arial"/>
          <w:i/>
          <w:iCs/>
        </w:rPr>
        <w:t>What Matters?</w:t>
      </w:r>
      <w:r w:rsidRPr="00021DD2">
        <w:rPr>
          <w:rFonts w:cs="Arial"/>
          <w:iCs/>
        </w:rPr>
        <w:t>, an annual</w:t>
      </w:r>
      <w:r w:rsidRPr="00021DD2">
        <w:rPr>
          <w:rFonts w:cs="Arial"/>
        </w:rPr>
        <w:t xml:space="preserve"> writing competition run by the </w:t>
      </w:r>
      <w:r w:rsidRPr="00021DD2">
        <w:rPr>
          <w:rFonts w:cs="Arial"/>
          <w:bCs/>
        </w:rPr>
        <w:t xml:space="preserve">Whitlam Institute within Western Sydney University. </w:t>
      </w:r>
      <w:r w:rsidRPr="00021DD2">
        <w:rPr>
          <w:rFonts w:cs="Arial"/>
        </w:rPr>
        <w:t xml:space="preserve">Inspired by Gough Whitlam's commitment to involving young people in shaping Australia's future, the competition is open to </w:t>
      </w:r>
      <w:r w:rsidR="0006249D" w:rsidRPr="00021DD2">
        <w:rPr>
          <w:rFonts w:cs="Arial"/>
        </w:rPr>
        <w:t>school students in Years 5 to 12</w:t>
      </w:r>
      <w:r w:rsidR="0006249D">
        <w:rPr>
          <w:rFonts w:cs="Arial"/>
        </w:rPr>
        <w:t xml:space="preserve"> in </w:t>
      </w:r>
      <w:r w:rsidRPr="00021DD2">
        <w:rPr>
          <w:rFonts w:cs="Arial"/>
        </w:rPr>
        <w:t>N</w:t>
      </w:r>
      <w:r w:rsidR="0013536D" w:rsidRPr="00021DD2">
        <w:rPr>
          <w:rFonts w:cs="Arial"/>
        </w:rPr>
        <w:t xml:space="preserve">ew </w:t>
      </w:r>
      <w:r w:rsidRPr="00021DD2">
        <w:rPr>
          <w:rFonts w:cs="Arial"/>
        </w:rPr>
        <w:t>S</w:t>
      </w:r>
      <w:r w:rsidR="0013536D" w:rsidRPr="00021DD2">
        <w:rPr>
          <w:rFonts w:cs="Arial"/>
        </w:rPr>
        <w:t xml:space="preserve">outh </w:t>
      </w:r>
      <w:r w:rsidRPr="00021DD2">
        <w:rPr>
          <w:rFonts w:cs="Arial"/>
        </w:rPr>
        <w:t>W</w:t>
      </w:r>
      <w:r w:rsidR="0013536D" w:rsidRPr="00021DD2">
        <w:rPr>
          <w:rFonts w:cs="Arial"/>
        </w:rPr>
        <w:t>ales (NSW)</w:t>
      </w:r>
      <w:r w:rsidRPr="00021DD2">
        <w:rPr>
          <w:rFonts w:cs="Arial"/>
        </w:rPr>
        <w:t>, the A</w:t>
      </w:r>
      <w:r w:rsidR="0013536D" w:rsidRPr="00021DD2">
        <w:rPr>
          <w:rFonts w:cs="Arial"/>
        </w:rPr>
        <w:t>ustralia</w:t>
      </w:r>
      <w:r w:rsidR="009F00E0">
        <w:rPr>
          <w:rFonts w:cs="Arial"/>
        </w:rPr>
        <w:t>n</w:t>
      </w:r>
      <w:r w:rsidR="0013536D" w:rsidRPr="00021DD2">
        <w:rPr>
          <w:rFonts w:cs="Arial"/>
        </w:rPr>
        <w:t xml:space="preserve"> Capital Territory (A</w:t>
      </w:r>
      <w:r w:rsidRPr="00021DD2">
        <w:rPr>
          <w:rFonts w:cs="Arial"/>
        </w:rPr>
        <w:t>CT</w:t>
      </w:r>
      <w:r w:rsidR="0013536D" w:rsidRPr="00021DD2">
        <w:rPr>
          <w:rFonts w:cs="Arial"/>
        </w:rPr>
        <w:t>)</w:t>
      </w:r>
      <w:r w:rsidRPr="00021DD2">
        <w:rPr>
          <w:rFonts w:cs="Arial"/>
        </w:rPr>
        <w:t xml:space="preserve"> an</w:t>
      </w:r>
      <w:r w:rsidR="0006249D">
        <w:rPr>
          <w:rFonts w:cs="Arial"/>
        </w:rPr>
        <w:t>d Tasmania (Tas)</w:t>
      </w:r>
      <w:r w:rsidRPr="00021DD2">
        <w:rPr>
          <w:rFonts w:cs="Arial"/>
        </w:rPr>
        <w:t>. Responding to the simple question 'what matters?', entrants submi</w:t>
      </w:r>
      <w:r w:rsidR="00254DC2">
        <w:rPr>
          <w:rFonts w:cs="Arial"/>
        </w:rPr>
        <w:t>t</w:t>
      </w:r>
      <w:r w:rsidRPr="00021DD2">
        <w:rPr>
          <w:rFonts w:cs="Arial"/>
        </w:rPr>
        <w:t>t</w:t>
      </w:r>
      <w:r w:rsidR="0013536D" w:rsidRPr="00021DD2">
        <w:rPr>
          <w:rFonts w:cs="Arial"/>
        </w:rPr>
        <w:t>ed</w:t>
      </w:r>
      <w:r w:rsidRPr="00021DD2">
        <w:rPr>
          <w:rFonts w:cs="Arial"/>
        </w:rPr>
        <w:t xml:space="preserve"> an opinion piece expressing their views on any matter they care about.</w:t>
      </w:r>
      <w:r w:rsidRPr="00021DD2">
        <w:rPr>
          <w:rStyle w:val="Rimandonotadichiusura"/>
          <w:rFonts w:cs="Arial"/>
        </w:rPr>
        <w:endnoteReference w:id="9"/>
      </w:r>
      <w:r w:rsidRPr="00021DD2">
        <w:rPr>
          <w:rFonts w:cs="Arial"/>
        </w:rPr>
        <w:t xml:space="preserve"> In 2017, I </w:t>
      </w:r>
      <w:r w:rsidRPr="00021DD2">
        <w:rPr>
          <w:rFonts w:cs="Arial"/>
          <w:bCs/>
          <w:color w:val="404040"/>
        </w:rPr>
        <w:t>co-judged the</w:t>
      </w:r>
      <w:r w:rsidRPr="00021DD2">
        <w:rPr>
          <w:rFonts w:cs="Arial"/>
          <w:b/>
          <w:bCs/>
          <w:color w:val="404040"/>
        </w:rPr>
        <w:t xml:space="preserve"> </w:t>
      </w:r>
      <w:r w:rsidRPr="00021DD2">
        <w:rPr>
          <w:rFonts w:cs="Arial"/>
        </w:rPr>
        <w:t xml:space="preserve">Year 5/6 category entries. The winner in this category, </w:t>
      </w:r>
      <w:r w:rsidR="0013536D" w:rsidRPr="00021DD2">
        <w:rPr>
          <w:rFonts w:cs="Arial"/>
        </w:rPr>
        <w:t xml:space="preserve">a </w:t>
      </w:r>
      <w:r w:rsidRPr="00021DD2">
        <w:rPr>
          <w:rFonts w:cs="Arial"/>
        </w:rPr>
        <w:t>Year 5 student at Greenacre Public School, Anhaar Kareem, prepared a poem titled ‘My Dreams Matter’</w:t>
      </w:r>
      <w:r w:rsidR="00C16AD0">
        <w:rPr>
          <w:rFonts w:cs="Arial"/>
        </w:rPr>
        <w:t xml:space="preserve"> (see following page).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4" w:type="dxa"/>
          <w:bottom w:w="284" w:type="dxa"/>
          <w:right w:w="284" w:type="dxa"/>
        </w:tblCellMar>
        <w:tblLook w:val="04A0" w:firstRow="1" w:lastRow="0" w:firstColumn="1" w:lastColumn="0" w:noHBand="0" w:noVBand="1"/>
      </w:tblPr>
      <w:tblGrid>
        <w:gridCol w:w="9060"/>
      </w:tblGrid>
      <w:tr w:rsidR="00D6256B" w:rsidRPr="00021DD2" w:rsidTr="00B44D4B">
        <w:tc>
          <w:tcPr>
            <w:tcW w:w="9060" w:type="dxa"/>
            <w:shd w:val="clear" w:color="auto" w:fill="E7E6E6" w:themeFill="background2"/>
          </w:tcPr>
          <w:p w:rsidR="00BA02DC" w:rsidRDefault="00BA02DC" w:rsidP="00D6256B">
            <w:pPr>
              <w:autoSpaceDE w:val="0"/>
              <w:autoSpaceDN w:val="0"/>
              <w:adjustRightInd w:val="0"/>
              <w:spacing w:before="0" w:after="0"/>
              <w:rPr>
                <w:rFonts w:cs="Arial"/>
                <w:b/>
                <w:iCs/>
              </w:rPr>
            </w:pPr>
          </w:p>
          <w:p w:rsidR="00D6256B" w:rsidRPr="00021DD2" w:rsidRDefault="00D6256B" w:rsidP="00D6256B">
            <w:pPr>
              <w:autoSpaceDE w:val="0"/>
              <w:autoSpaceDN w:val="0"/>
              <w:adjustRightInd w:val="0"/>
              <w:spacing w:before="0" w:after="0"/>
              <w:rPr>
                <w:rFonts w:cs="Arial"/>
                <w:b/>
                <w:iCs/>
              </w:rPr>
            </w:pPr>
            <w:r w:rsidRPr="00021DD2">
              <w:rPr>
                <w:rFonts w:cs="Arial"/>
                <w:b/>
                <w:iCs/>
              </w:rPr>
              <w:t>‘My Dreams Matter’ by Anhaar Kareem</w:t>
            </w:r>
          </w:p>
          <w:p w:rsidR="00D6256B" w:rsidRPr="00021DD2" w:rsidRDefault="00D6256B" w:rsidP="00D6256B">
            <w:pPr>
              <w:autoSpaceDE w:val="0"/>
              <w:autoSpaceDN w:val="0"/>
              <w:adjustRightInd w:val="0"/>
              <w:spacing w:before="0" w:after="0"/>
              <w:rPr>
                <w:rFonts w:cs="Arial"/>
                <w:i/>
                <w:iCs/>
                <w:sz w:val="20"/>
                <w:szCs w:val="20"/>
              </w:rPr>
            </w:pP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War,</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Tragedy,</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Destruction,</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Where she grew up.</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Everything gone …</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Her school gone,</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Her home gone,</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Her people gone,</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Her heart gone.</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Her dream of becoming a vet,</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Vanishes before her tired green eyes.</w:t>
            </w:r>
          </w:p>
          <w:p w:rsidR="00D6256B" w:rsidRPr="00021DD2" w:rsidRDefault="00D6256B" w:rsidP="00D6256B">
            <w:pPr>
              <w:autoSpaceDE w:val="0"/>
              <w:autoSpaceDN w:val="0"/>
              <w:adjustRightInd w:val="0"/>
              <w:spacing w:before="0" w:after="0"/>
              <w:rPr>
                <w:rFonts w:cs="Arial"/>
                <w:sz w:val="20"/>
                <w:szCs w:val="20"/>
              </w:rPr>
            </w:pP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Boat,</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Moans,</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Cries and life haunting screams,</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A petrifying journey …</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At last,</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Arrived,</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 xml:space="preserve">Just </w:t>
            </w:r>
            <w:r w:rsidRPr="00021DD2">
              <w:rPr>
                <w:rFonts w:cs="Arial"/>
                <w:i/>
                <w:iCs/>
                <w:sz w:val="20"/>
                <w:szCs w:val="20"/>
              </w:rPr>
              <w:t xml:space="preserve">another </w:t>
            </w:r>
            <w:r w:rsidRPr="00021DD2">
              <w:rPr>
                <w:rFonts w:cs="Arial"/>
                <w:sz w:val="20"/>
                <w:szCs w:val="20"/>
              </w:rPr>
              <w:t>refugee in Australia.</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Missing her home and family,</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Isolated,</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Terrified,</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But alive …</w:t>
            </w:r>
          </w:p>
          <w:p w:rsidR="00D6256B" w:rsidRPr="00021DD2" w:rsidRDefault="00D6256B" w:rsidP="00D6256B">
            <w:pPr>
              <w:autoSpaceDE w:val="0"/>
              <w:autoSpaceDN w:val="0"/>
              <w:adjustRightInd w:val="0"/>
              <w:spacing w:before="0" w:after="0"/>
              <w:rPr>
                <w:rFonts w:cs="Arial"/>
                <w:sz w:val="20"/>
                <w:szCs w:val="20"/>
              </w:rPr>
            </w:pP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Her circumstances,</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Her background,</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No English,</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Being a refugee,</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Being Syrian,</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No friends,</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So many limitations.</w:t>
            </w:r>
          </w:p>
          <w:p w:rsidR="00D6256B" w:rsidRPr="00021DD2" w:rsidRDefault="00D6256B" w:rsidP="00D6256B">
            <w:pPr>
              <w:autoSpaceDE w:val="0"/>
              <w:autoSpaceDN w:val="0"/>
              <w:adjustRightInd w:val="0"/>
              <w:spacing w:before="0" w:after="0"/>
              <w:rPr>
                <w:rFonts w:cs="Arial"/>
                <w:i/>
                <w:iCs/>
                <w:sz w:val="20"/>
                <w:szCs w:val="20"/>
              </w:rPr>
            </w:pPr>
            <w:r w:rsidRPr="00021DD2">
              <w:rPr>
                <w:rFonts w:cs="Arial"/>
                <w:i/>
                <w:iCs/>
                <w:sz w:val="20"/>
                <w:szCs w:val="20"/>
              </w:rPr>
              <w:t>Does her dream matter?</w:t>
            </w:r>
          </w:p>
          <w:p w:rsidR="00D6256B" w:rsidRPr="00021DD2" w:rsidRDefault="00D6256B" w:rsidP="00D6256B">
            <w:pPr>
              <w:autoSpaceDE w:val="0"/>
              <w:autoSpaceDN w:val="0"/>
              <w:adjustRightInd w:val="0"/>
              <w:spacing w:before="0" w:after="0"/>
              <w:rPr>
                <w:rFonts w:cs="Arial"/>
                <w:i/>
                <w:iCs/>
                <w:sz w:val="20"/>
                <w:szCs w:val="20"/>
              </w:rPr>
            </w:pP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A ten year old,</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Thriving at school,</w:t>
            </w:r>
          </w:p>
          <w:p w:rsidR="00D6256B" w:rsidRPr="00021DD2" w:rsidRDefault="00D6256B" w:rsidP="00D6256B">
            <w:pPr>
              <w:spacing w:before="0" w:after="0"/>
              <w:rPr>
                <w:rFonts w:cs="Arial"/>
                <w:sz w:val="20"/>
                <w:szCs w:val="20"/>
              </w:rPr>
            </w:pPr>
            <w:r w:rsidRPr="00021DD2">
              <w:rPr>
                <w:rFonts w:cs="Arial"/>
                <w:sz w:val="20"/>
                <w:szCs w:val="20"/>
              </w:rPr>
              <w:t>A wealth of knowledge,</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Enjoying every bit of his science project.</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From then on he dreamed of becoming a computer engineer.</w:t>
            </w:r>
          </w:p>
          <w:p w:rsidR="00C63606" w:rsidRPr="00021DD2" w:rsidRDefault="00C63606" w:rsidP="00D6256B">
            <w:pPr>
              <w:autoSpaceDE w:val="0"/>
              <w:autoSpaceDN w:val="0"/>
              <w:adjustRightInd w:val="0"/>
              <w:spacing w:before="0" w:after="0"/>
              <w:rPr>
                <w:rFonts w:cs="Arial"/>
                <w:sz w:val="20"/>
                <w:szCs w:val="20"/>
              </w:rPr>
            </w:pP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He worked day and night,</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Worked his heart out,</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His dream finally came true,</w:t>
            </w:r>
          </w:p>
          <w:p w:rsidR="00C63606" w:rsidRDefault="00C63606" w:rsidP="00D6256B">
            <w:pPr>
              <w:autoSpaceDE w:val="0"/>
              <w:autoSpaceDN w:val="0"/>
              <w:adjustRightInd w:val="0"/>
              <w:spacing w:before="0" w:after="0"/>
              <w:rPr>
                <w:rFonts w:cs="Arial"/>
                <w:sz w:val="20"/>
                <w:szCs w:val="20"/>
              </w:rPr>
            </w:pP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Creating state of the art software.</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He loved his career,</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 xml:space="preserve">He truly </w:t>
            </w:r>
            <w:r w:rsidRPr="00021DD2">
              <w:rPr>
                <w:rFonts w:cs="Arial"/>
                <w:i/>
                <w:iCs/>
                <w:sz w:val="20"/>
                <w:szCs w:val="20"/>
              </w:rPr>
              <w:t xml:space="preserve">was </w:t>
            </w:r>
            <w:r w:rsidRPr="00021DD2">
              <w:rPr>
                <w:rFonts w:cs="Arial"/>
                <w:sz w:val="20"/>
                <w:szCs w:val="20"/>
              </w:rPr>
              <w:t>living the dream.</w:t>
            </w:r>
          </w:p>
          <w:p w:rsidR="00D6256B" w:rsidRPr="00021DD2" w:rsidRDefault="00D6256B" w:rsidP="00D6256B">
            <w:pPr>
              <w:autoSpaceDE w:val="0"/>
              <w:autoSpaceDN w:val="0"/>
              <w:adjustRightInd w:val="0"/>
              <w:spacing w:before="0" w:after="0"/>
              <w:rPr>
                <w:rFonts w:cs="Arial"/>
                <w:sz w:val="20"/>
                <w:szCs w:val="20"/>
              </w:rPr>
            </w:pP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After a holiday,</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Going back to his family and beloved job,</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Could he be banned? Banned from entering the country he now calls home?</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His background,</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Discrimination,</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#Muslimban,</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Will he be forced to say goodbye to his dream?</w:t>
            </w:r>
          </w:p>
          <w:p w:rsidR="00D6256B" w:rsidRPr="00021DD2" w:rsidRDefault="00D6256B" w:rsidP="00D6256B">
            <w:pPr>
              <w:autoSpaceDE w:val="0"/>
              <w:autoSpaceDN w:val="0"/>
              <w:adjustRightInd w:val="0"/>
              <w:spacing w:before="0" w:after="0"/>
              <w:rPr>
                <w:rFonts w:cs="Arial"/>
                <w:i/>
                <w:iCs/>
                <w:sz w:val="20"/>
                <w:szCs w:val="20"/>
              </w:rPr>
            </w:pPr>
            <w:r w:rsidRPr="00021DD2">
              <w:rPr>
                <w:rFonts w:cs="Arial"/>
                <w:i/>
                <w:iCs/>
                <w:sz w:val="20"/>
                <w:szCs w:val="20"/>
              </w:rPr>
              <w:t>Does his dream matter?</w:t>
            </w:r>
          </w:p>
          <w:p w:rsidR="00154D67" w:rsidRDefault="00154D67" w:rsidP="00D6256B">
            <w:pPr>
              <w:autoSpaceDE w:val="0"/>
              <w:autoSpaceDN w:val="0"/>
              <w:adjustRightInd w:val="0"/>
              <w:spacing w:before="0" w:after="0"/>
              <w:rPr>
                <w:rFonts w:cs="Arial"/>
                <w:i/>
                <w:iCs/>
                <w:sz w:val="20"/>
                <w:szCs w:val="20"/>
              </w:rPr>
            </w:pPr>
          </w:p>
          <w:p w:rsidR="00B44D4B" w:rsidRDefault="00B44D4B" w:rsidP="00D6256B">
            <w:pPr>
              <w:autoSpaceDE w:val="0"/>
              <w:autoSpaceDN w:val="0"/>
              <w:adjustRightInd w:val="0"/>
              <w:spacing w:before="0" w:after="0"/>
              <w:rPr>
                <w:rFonts w:cs="Arial"/>
                <w:i/>
                <w:iCs/>
                <w:sz w:val="20"/>
                <w:szCs w:val="20"/>
              </w:rPr>
            </w:pPr>
          </w:p>
          <w:p w:rsidR="009636A9" w:rsidRDefault="009636A9" w:rsidP="00D6256B">
            <w:pPr>
              <w:autoSpaceDE w:val="0"/>
              <w:autoSpaceDN w:val="0"/>
              <w:adjustRightInd w:val="0"/>
              <w:spacing w:before="0" w:after="0"/>
              <w:rPr>
                <w:rFonts w:cs="Arial"/>
                <w:i/>
                <w:iCs/>
                <w:sz w:val="20"/>
                <w:szCs w:val="20"/>
              </w:rPr>
            </w:pP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Dreaming,</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First female Prime Minister,</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Working hard,</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To achieve her dreams.</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At last she achieved the impossible,</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Prime Minister of Australia!</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First female,</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Going strong,</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Ready to prove them wrong,</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She pursued her dreams.</w:t>
            </w:r>
          </w:p>
          <w:p w:rsidR="00D6256B" w:rsidRPr="00021DD2" w:rsidRDefault="00D6256B" w:rsidP="00D6256B">
            <w:pPr>
              <w:autoSpaceDE w:val="0"/>
              <w:autoSpaceDN w:val="0"/>
              <w:adjustRightInd w:val="0"/>
              <w:spacing w:before="0" w:after="0"/>
              <w:rPr>
                <w:rFonts w:cs="Arial"/>
                <w:sz w:val="20"/>
                <w:szCs w:val="20"/>
              </w:rPr>
            </w:pP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Oh,</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Underestimated,</w:t>
            </w:r>
          </w:p>
          <w:p w:rsidR="00D6256B" w:rsidRPr="00021DD2" w:rsidRDefault="00D6256B" w:rsidP="00D6256B">
            <w:pPr>
              <w:spacing w:before="0" w:after="0"/>
              <w:rPr>
                <w:rFonts w:cs="Arial"/>
                <w:sz w:val="20"/>
                <w:szCs w:val="20"/>
              </w:rPr>
            </w:pPr>
            <w:r w:rsidRPr="00021DD2">
              <w:rPr>
                <w:rFonts w:cs="Arial"/>
                <w:sz w:val="20"/>
                <w:szCs w:val="20"/>
              </w:rPr>
              <w:t>Treated unfairly,</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 xml:space="preserve">No one thinks a </w:t>
            </w:r>
            <w:r w:rsidRPr="00021DD2">
              <w:rPr>
                <w:rFonts w:cs="Arial"/>
                <w:i/>
                <w:iCs/>
                <w:sz w:val="20"/>
                <w:szCs w:val="20"/>
              </w:rPr>
              <w:t xml:space="preserve">girl </w:t>
            </w:r>
            <w:r w:rsidRPr="00021DD2">
              <w:rPr>
                <w:rFonts w:cs="Arial"/>
                <w:sz w:val="20"/>
                <w:szCs w:val="20"/>
              </w:rPr>
              <w:t>can run a country,</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She didn’t feel her dream fulfilled,</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Gender discrimination,</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For her whole career.</w:t>
            </w:r>
          </w:p>
          <w:p w:rsidR="00D6256B" w:rsidRPr="00021DD2" w:rsidRDefault="00D6256B" w:rsidP="00D6256B">
            <w:pPr>
              <w:autoSpaceDE w:val="0"/>
              <w:autoSpaceDN w:val="0"/>
              <w:adjustRightInd w:val="0"/>
              <w:spacing w:before="0" w:after="0"/>
              <w:rPr>
                <w:rFonts w:cs="Arial"/>
                <w:i/>
                <w:iCs/>
                <w:sz w:val="20"/>
                <w:szCs w:val="20"/>
              </w:rPr>
            </w:pPr>
            <w:r w:rsidRPr="00021DD2">
              <w:rPr>
                <w:rFonts w:cs="Arial"/>
                <w:i/>
                <w:iCs/>
                <w:sz w:val="20"/>
                <w:szCs w:val="20"/>
              </w:rPr>
              <w:t>Does her dream matter?</w:t>
            </w:r>
          </w:p>
          <w:p w:rsidR="00D6256B" w:rsidRPr="00021DD2" w:rsidRDefault="00D6256B" w:rsidP="00D6256B">
            <w:pPr>
              <w:autoSpaceDE w:val="0"/>
              <w:autoSpaceDN w:val="0"/>
              <w:adjustRightInd w:val="0"/>
              <w:spacing w:before="0" w:after="0"/>
              <w:rPr>
                <w:rFonts w:cs="Arial"/>
                <w:i/>
                <w:iCs/>
                <w:sz w:val="20"/>
                <w:szCs w:val="20"/>
              </w:rPr>
            </w:pP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A young boy,</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Dreaming of becoming an Australian TV star,</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Constantly practicing in front of the mirror,</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Gazing wondrously at the screen,</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Loving everything about the telly,</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The endless magic,</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The touching stories,</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The intriguing characters,</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The various voices,</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It is his dream.</w:t>
            </w:r>
          </w:p>
          <w:p w:rsidR="00D6256B" w:rsidRPr="00021DD2" w:rsidRDefault="00D6256B" w:rsidP="00D6256B">
            <w:pPr>
              <w:autoSpaceDE w:val="0"/>
              <w:autoSpaceDN w:val="0"/>
              <w:adjustRightInd w:val="0"/>
              <w:spacing w:before="0" w:after="0"/>
              <w:rPr>
                <w:rFonts w:cs="Arial"/>
                <w:sz w:val="20"/>
                <w:szCs w:val="20"/>
              </w:rPr>
            </w:pP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As he grows older,</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His dream slowly fades,</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He is restricted,</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Racism …</w:t>
            </w:r>
          </w:p>
          <w:p w:rsidR="00D6256B" w:rsidRPr="00021DD2" w:rsidRDefault="00D6256B" w:rsidP="00D6256B">
            <w:pPr>
              <w:autoSpaceDE w:val="0"/>
              <w:autoSpaceDN w:val="0"/>
              <w:adjustRightInd w:val="0"/>
              <w:spacing w:before="0" w:after="0"/>
              <w:rPr>
                <w:rFonts w:cs="Arial"/>
                <w:sz w:val="20"/>
                <w:szCs w:val="20"/>
              </w:rPr>
            </w:pP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Wait,</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A glimmer of hope,</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A job opening,</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An amazing opportunity,</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His dream,</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Since he was a child,</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He can see himself on the screen now.</w:t>
            </w:r>
          </w:p>
          <w:p w:rsidR="00D6256B" w:rsidRDefault="00D6256B" w:rsidP="00D6256B">
            <w:pPr>
              <w:autoSpaceDE w:val="0"/>
              <w:autoSpaceDN w:val="0"/>
              <w:adjustRightInd w:val="0"/>
              <w:spacing w:before="0" w:after="0"/>
              <w:rPr>
                <w:rFonts w:cs="Arial"/>
                <w:sz w:val="20"/>
                <w:szCs w:val="20"/>
              </w:rPr>
            </w:pP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Finally he faces the sad truth,</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In order to fulfil his long life dream,</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He must change his name,</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The first word he learnt to write,</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The name given to him by his beloved parents.</w:t>
            </w:r>
          </w:p>
          <w:p w:rsidR="00D6256B" w:rsidRPr="00021DD2" w:rsidRDefault="00D6256B" w:rsidP="00D6256B">
            <w:pPr>
              <w:autoSpaceDE w:val="0"/>
              <w:autoSpaceDN w:val="0"/>
              <w:adjustRightInd w:val="0"/>
              <w:spacing w:before="0" w:after="0"/>
              <w:rPr>
                <w:rFonts w:cs="Arial"/>
                <w:i/>
                <w:iCs/>
                <w:sz w:val="20"/>
                <w:szCs w:val="20"/>
              </w:rPr>
            </w:pPr>
            <w:r w:rsidRPr="00021DD2">
              <w:rPr>
                <w:rFonts w:cs="Arial"/>
                <w:i/>
                <w:iCs/>
                <w:sz w:val="20"/>
                <w:szCs w:val="20"/>
              </w:rPr>
              <w:t>Does his dream matter?</w:t>
            </w:r>
          </w:p>
          <w:p w:rsidR="00D6256B" w:rsidRPr="00021DD2" w:rsidRDefault="00D6256B" w:rsidP="00D6256B">
            <w:pPr>
              <w:autoSpaceDE w:val="0"/>
              <w:autoSpaceDN w:val="0"/>
              <w:adjustRightInd w:val="0"/>
              <w:spacing w:before="0" w:after="0"/>
              <w:rPr>
                <w:rFonts w:cs="Arial"/>
                <w:i/>
                <w:iCs/>
                <w:sz w:val="20"/>
                <w:szCs w:val="20"/>
              </w:rPr>
            </w:pP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A nine year old,</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Public speaking state finalist,</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Debating champion,</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Loving politics and government,</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Dreaming of being The Prime Minister of Australia.</w:t>
            </w:r>
          </w:p>
          <w:p w:rsidR="00D6256B" w:rsidRDefault="00D6256B" w:rsidP="00D6256B">
            <w:pPr>
              <w:autoSpaceDE w:val="0"/>
              <w:autoSpaceDN w:val="0"/>
              <w:adjustRightInd w:val="0"/>
              <w:spacing w:before="0" w:after="0"/>
              <w:rPr>
                <w:rFonts w:cs="Arial"/>
                <w:sz w:val="20"/>
                <w:szCs w:val="20"/>
              </w:rPr>
            </w:pPr>
          </w:p>
          <w:p w:rsidR="00154D67" w:rsidRDefault="00154D67" w:rsidP="00D6256B">
            <w:pPr>
              <w:autoSpaceDE w:val="0"/>
              <w:autoSpaceDN w:val="0"/>
              <w:adjustRightInd w:val="0"/>
              <w:spacing w:before="0" w:after="0"/>
              <w:rPr>
                <w:rFonts w:cs="Arial"/>
                <w:sz w:val="20"/>
                <w:szCs w:val="20"/>
              </w:rPr>
            </w:pPr>
          </w:p>
          <w:p w:rsidR="00154D67" w:rsidRDefault="00154D67" w:rsidP="00D6256B">
            <w:pPr>
              <w:autoSpaceDE w:val="0"/>
              <w:autoSpaceDN w:val="0"/>
              <w:adjustRightInd w:val="0"/>
              <w:spacing w:before="0" w:after="0"/>
              <w:rPr>
                <w:rFonts w:cs="Arial"/>
                <w:sz w:val="20"/>
                <w:szCs w:val="20"/>
              </w:rPr>
            </w:pPr>
          </w:p>
          <w:p w:rsidR="009636A9" w:rsidRDefault="009636A9" w:rsidP="00D6256B">
            <w:pPr>
              <w:autoSpaceDE w:val="0"/>
              <w:autoSpaceDN w:val="0"/>
              <w:adjustRightInd w:val="0"/>
              <w:spacing w:before="0" w:after="0"/>
              <w:rPr>
                <w:rFonts w:cs="Arial"/>
                <w:sz w:val="20"/>
                <w:szCs w:val="20"/>
              </w:rPr>
            </w:pP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For the people,</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True to the people.</w:t>
            </w:r>
          </w:p>
          <w:p w:rsidR="00D6256B" w:rsidRDefault="00D6256B" w:rsidP="00D6256B">
            <w:pPr>
              <w:autoSpaceDE w:val="0"/>
              <w:autoSpaceDN w:val="0"/>
              <w:adjustRightInd w:val="0"/>
              <w:spacing w:before="0" w:after="0"/>
              <w:rPr>
                <w:rFonts w:cs="Arial"/>
                <w:sz w:val="20"/>
                <w:szCs w:val="20"/>
              </w:rPr>
            </w:pP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 xml:space="preserve">First </w:t>
            </w:r>
            <w:r w:rsidRPr="00021DD2">
              <w:rPr>
                <w:rFonts w:cs="Arial"/>
                <w:i/>
                <w:iCs/>
                <w:sz w:val="20"/>
                <w:szCs w:val="20"/>
              </w:rPr>
              <w:t xml:space="preserve">Muslim </w:t>
            </w:r>
            <w:r w:rsidRPr="00021DD2">
              <w:rPr>
                <w:rFonts w:cs="Arial"/>
                <w:sz w:val="20"/>
                <w:szCs w:val="20"/>
              </w:rPr>
              <w:t>Prime Minister in Australia?</w:t>
            </w:r>
          </w:p>
          <w:p w:rsidR="00D6256B" w:rsidRPr="00021DD2" w:rsidRDefault="00D6256B" w:rsidP="00D6256B">
            <w:pPr>
              <w:autoSpaceDE w:val="0"/>
              <w:autoSpaceDN w:val="0"/>
              <w:adjustRightInd w:val="0"/>
              <w:spacing w:before="0" w:after="0"/>
              <w:rPr>
                <w:rFonts w:cs="Arial"/>
                <w:i/>
                <w:iCs/>
                <w:sz w:val="20"/>
                <w:szCs w:val="20"/>
              </w:rPr>
            </w:pPr>
            <w:r w:rsidRPr="00021DD2">
              <w:rPr>
                <w:rFonts w:cs="Arial"/>
                <w:sz w:val="20"/>
                <w:szCs w:val="20"/>
              </w:rPr>
              <w:t xml:space="preserve">And </w:t>
            </w:r>
            <w:r w:rsidRPr="00021DD2">
              <w:rPr>
                <w:rFonts w:cs="Arial"/>
                <w:i/>
                <w:iCs/>
                <w:sz w:val="20"/>
                <w:szCs w:val="20"/>
              </w:rPr>
              <w:t>female?</w:t>
            </w:r>
          </w:p>
          <w:p w:rsidR="00D6256B" w:rsidRPr="00021DD2" w:rsidRDefault="00D6256B" w:rsidP="00D6256B">
            <w:pPr>
              <w:autoSpaceDE w:val="0"/>
              <w:autoSpaceDN w:val="0"/>
              <w:adjustRightInd w:val="0"/>
              <w:spacing w:before="0" w:after="0"/>
              <w:rPr>
                <w:rFonts w:cs="Arial"/>
                <w:i/>
                <w:iCs/>
                <w:sz w:val="20"/>
                <w:szCs w:val="20"/>
              </w:rPr>
            </w:pPr>
            <w:r w:rsidRPr="00021DD2">
              <w:rPr>
                <w:rFonts w:cs="Arial"/>
                <w:sz w:val="20"/>
                <w:szCs w:val="20"/>
              </w:rPr>
              <w:t xml:space="preserve">And wearing a </w:t>
            </w:r>
            <w:r w:rsidRPr="00021DD2">
              <w:rPr>
                <w:rFonts w:cs="Arial"/>
                <w:i/>
                <w:iCs/>
                <w:sz w:val="20"/>
                <w:szCs w:val="20"/>
              </w:rPr>
              <w:t>Hijab?</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I must be dreaming …</w:t>
            </w:r>
          </w:p>
          <w:p w:rsidR="00D6256B" w:rsidRPr="00021DD2" w:rsidRDefault="00D6256B" w:rsidP="00D6256B">
            <w:pPr>
              <w:autoSpaceDE w:val="0"/>
              <w:autoSpaceDN w:val="0"/>
              <w:adjustRightInd w:val="0"/>
              <w:spacing w:before="0" w:after="0"/>
              <w:rPr>
                <w:rFonts w:cs="Arial"/>
                <w:sz w:val="20"/>
                <w:szCs w:val="20"/>
              </w:rPr>
            </w:pP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Cultural discrimination,</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Racism,</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Hate speech,</w:t>
            </w:r>
          </w:p>
          <w:p w:rsidR="00D6256B" w:rsidRPr="00021DD2" w:rsidRDefault="00E46E43" w:rsidP="00D6256B">
            <w:pPr>
              <w:autoSpaceDE w:val="0"/>
              <w:autoSpaceDN w:val="0"/>
              <w:adjustRightInd w:val="0"/>
              <w:spacing w:before="0" w:after="0"/>
              <w:rPr>
                <w:rFonts w:cs="Arial"/>
                <w:sz w:val="20"/>
                <w:szCs w:val="20"/>
              </w:rPr>
            </w:pPr>
            <w:r>
              <w:rPr>
                <w:rFonts w:cs="Arial"/>
                <w:sz w:val="20"/>
                <w:szCs w:val="20"/>
              </w:rPr>
              <w:t>Section 18C</w:t>
            </w:r>
            <w:r w:rsidR="00D6256B" w:rsidRPr="00021DD2">
              <w:rPr>
                <w:rFonts w:cs="Arial"/>
                <w:sz w:val="20"/>
                <w:szCs w:val="20"/>
              </w:rPr>
              <w:t>,</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Gender discrimination,</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Bias,</w:t>
            </w:r>
          </w:p>
          <w:p w:rsidR="00D6256B" w:rsidRPr="00021DD2" w:rsidRDefault="00D6256B" w:rsidP="00D6256B">
            <w:pPr>
              <w:autoSpaceDE w:val="0"/>
              <w:autoSpaceDN w:val="0"/>
              <w:adjustRightInd w:val="0"/>
              <w:spacing w:before="0" w:after="0"/>
              <w:rPr>
                <w:rFonts w:cs="Arial"/>
                <w:sz w:val="20"/>
                <w:szCs w:val="20"/>
              </w:rPr>
            </w:pPr>
            <w:r w:rsidRPr="00021DD2">
              <w:rPr>
                <w:rFonts w:cs="Arial"/>
                <w:i/>
                <w:iCs/>
                <w:sz w:val="20"/>
                <w:szCs w:val="20"/>
              </w:rPr>
              <w:t xml:space="preserve">My </w:t>
            </w:r>
            <w:r w:rsidRPr="00021DD2">
              <w:rPr>
                <w:rFonts w:cs="Arial"/>
                <w:sz w:val="20"/>
                <w:szCs w:val="20"/>
              </w:rPr>
              <w:t>dream appears far from reach …</w:t>
            </w:r>
          </w:p>
          <w:p w:rsidR="00D6256B" w:rsidRPr="00021DD2" w:rsidRDefault="00D6256B" w:rsidP="00D6256B">
            <w:pPr>
              <w:autoSpaceDE w:val="0"/>
              <w:autoSpaceDN w:val="0"/>
              <w:adjustRightInd w:val="0"/>
              <w:spacing w:before="0" w:after="0"/>
              <w:rPr>
                <w:rFonts w:cs="Arial"/>
                <w:i/>
                <w:iCs/>
                <w:sz w:val="20"/>
                <w:szCs w:val="20"/>
              </w:rPr>
            </w:pPr>
            <w:r w:rsidRPr="00021DD2">
              <w:rPr>
                <w:rFonts w:cs="Arial"/>
                <w:i/>
                <w:iCs/>
                <w:sz w:val="20"/>
                <w:szCs w:val="20"/>
              </w:rPr>
              <w:t>Does my dream matter?</w:t>
            </w:r>
          </w:p>
          <w:p w:rsidR="00D6256B" w:rsidRPr="00021DD2" w:rsidRDefault="00D6256B" w:rsidP="00D6256B">
            <w:pPr>
              <w:autoSpaceDE w:val="0"/>
              <w:autoSpaceDN w:val="0"/>
              <w:adjustRightInd w:val="0"/>
              <w:spacing w:before="0" w:after="0"/>
              <w:rPr>
                <w:rFonts w:cs="Arial"/>
                <w:i/>
                <w:iCs/>
                <w:sz w:val="20"/>
                <w:szCs w:val="20"/>
              </w:rPr>
            </w:pP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Everyone’s dream matters,</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No fear,</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Dream big,</w:t>
            </w:r>
          </w:p>
          <w:p w:rsidR="00D6256B" w:rsidRPr="00021DD2" w:rsidRDefault="00D6256B" w:rsidP="00D6256B">
            <w:pPr>
              <w:autoSpaceDE w:val="0"/>
              <w:autoSpaceDN w:val="0"/>
              <w:adjustRightInd w:val="0"/>
              <w:spacing w:before="0" w:after="0"/>
              <w:rPr>
                <w:rFonts w:cs="Arial"/>
                <w:sz w:val="20"/>
                <w:szCs w:val="20"/>
              </w:rPr>
            </w:pPr>
            <w:r w:rsidRPr="00021DD2">
              <w:rPr>
                <w:rFonts w:cs="Arial"/>
                <w:sz w:val="20"/>
                <w:szCs w:val="20"/>
              </w:rPr>
              <w:t>Limitless …</w:t>
            </w:r>
          </w:p>
          <w:p w:rsidR="00D6256B" w:rsidRPr="00B44D4B" w:rsidRDefault="00D6256B" w:rsidP="00765006">
            <w:pPr>
              <w:autoSpaceDE w:val="0"/>
              <w:autoSpaceDN w:val="0"/>
              <w:adjustRightInd w:val="0"/>
              <w:spacing w:before="0" w:after="0"/>
              <w:rPr>
                <w:rFonts w:cs="Arial"/>
                <w:sz w:val="20"/>
                <w:szCs w:val="20"/>
              </w:rPr>
            </w:pPr>
            <w:r w:rsidRPr="00021DD2">
              <w:rPr>
                <w:rFonts w:cs="Arial"/>
                <w:sz w:val="20"/>
                <w:szCs w:val="20"/>
              </w:rPr>
              <w:t>My dream matters!</w:t>
            </w:r>
          </w:p>
        </w:tc>
      </w:tr>
    </w:tbl>
    <w:p w:rsidR="00D6256B" w:rsidRPr="00021DD2" w:rsidRDefault="00D6256B" w:rsidP="007811D8">
      <w:pPr>
        <w:pStyle w:val="Titolo3"/>
        <w:rPr>
          <w:rFonts w:cs="Arial"/>
        </w:rPr>
      </w:pPr>
      <w:bookmarkStart w:id="15" w:name="_Toc500308742"/>
      <w:r w:rsidRPr="00021DD2">
        <w:rPr>
          <w:rFonts w:cs="Arial"/>
        </w:rPr>
        <w:t>Children’s and youth parliaments</w:t>
      </w:r>
      <w:bookmarkEnd w:id="15"/>
    </w:p>
    <w:p w:rsidR="00D6256B" w:rsidRPr="00021DD2" w:rsidRDefault="00D6256B" w:rsidP="00D6256B">
      <w:pPr>
        <w:rPr>
          <w:rFonts w:cs="Arial"/>
        </w:rPr>
      </w:pPr>
      <w:r w:rsidRPr="00021DD2">
        <w:rPr>
          <w:rFonts w:cs="Arial"/>
        </w:rPr>
        <w:t xml:space="preserve">In 2017, I was involved in a number of initiatives to support and promote children’s civic participation through children’s and youth parliaments. Children and young people have unique ideas and views to contribute to the development of public policy. However, due to their age, they are disenfranchised. </w:t>
      </w:r>
    </w:p>
    <w:p w:rsidR="00D6256B" w:rsidRPr="00021DD2" w:rsidRDefault="00D6256B" w:rsidP="00D6256B">
      <w:pPr>
        <w:rPr>
          <w:rFonts w:cs="Arial"/>
          <w:lang w:val="en"/>
        </w:rPr>
      </w:pPr>
      <w:r w:rsidRPr="00021DD2">
        <w:rPr>
          <w:rFonts w:cs="Arial"/>
        </w:rPr>
        <w:t xml:space="preserve">The YMCA NSW Youth Parliament </w:t>
      </w:r>
      <w:r w:rsidRPr="00021DD2">
        <w:rPr>
          <w:rFonts w:cs="Arial"/>
          <w:lang w:val="en"/>
        </w:rPr>
        <w:t>empowers children to connect with their community and be advocates for causes they care about. The children voice their ideas, passions and experiences in a parliamentary format, proposing positive change for their futures.</w:t>
      </w:r>
      <w:r w:rsidRPr="00021DD2">
        <w:rPr>
          <w:rStyle w:val="Rimandonotadichiusura"/>
          <w:rFonts w:cs="Arial"/>
          <w:lang w:val="en"/>
        </w:rPr>
        <w:endnoteReference w:id="10"/>
      </w:r>
      <w:r w:rsidRPr="00021DD2">
        <w:rPr>
          <w:rFonts w:cs="Arial"/>
          <w:lang w:val="en"/>
        </w:rPr>
        <w:t xml:space="preserve"> </w:t>
      </w:r>
      <w:r w:rsidRPr="00021DD2">
        <w:rPr>
          <w:rFonts w:cs="Arial"/>
        </w:rPr>
        <w:t>I am currently working with the YMCA to assess the feasibility of establishing a youth parliament. We have written jointly t</w:t>
      </w:r>
      <w:r w:rsidR="00765006" w:rsidRPr="00021DD2">
        <w:rPr>
          <w:rFonts w:cs="Arial"/>
        </w:rPr>
        <w:t>o the Prime Minister to push this</w:t>
      </w:r>
      <w:r w:rsidRPr="00021DD2">
        <w:rPr>
          <w:rFonts w:cs="Arial"/>
        </w:rPr>
        <w:t xml:space="preserve"> issue forward.</w:t>
      </w:r>
    </w:p>
    <w:p w:rsidR="00D6256B" w:rsidRPr="00021DD2" w:rsidRDefault="00D6256B" w:rsidP="00D6256B">
      <w:pPr>
        <w:rPr>
          <w:rFonts w:cs="Arial"/>
          <w:bCs/>
        </w:rPr>
      </w:pPr>
      <w:r w:rsidRPr="00021DD2">
        <w:rPr>
          <w:rFonts w:cs="Arial"/>
        </w:rPr>
        <w:t>In 2017, Liverpool Council Chambers launched the ‘2168 Children’s Parliament’, giving students aged eight to 12 years from ten schools in the 2168 postcode area the opportunity to express the aspirations and ambitions of their local community. As a member of the Ambassadors Panel, I am involved in advocating on behalf of the Children’s Parliament and championing their voices to achieve children’s aspirations for change. I participated in the inaugural Children’s Parliament sitting on 21 June 2017, discussing matters of importance to the young parliamentarians: safety and anti-socia</w:t>
      </w:r>
      <w:r w:rsidR="00765006" w:rsidRPr="00021DD2">
        <w:rPr>
          <w:rFonts w:cs="Arial"/>
        </w:rPr>
        <w:t xml:space="preserve">l behaviour; parks maintenance and </w:t>
      </w:r>
      <w:r w:rsidRPr="00021DD2">
        <w:rPr>
          <w:rFonts w:cs="Arial"/>
        </w:rPr>
        <w:t>refurbishment; wellbeing; and community facilities.</w:t>
      </w:r>
      <w:r w:rsidRPr="00021DD2">
        <w:rPr>
          <w:rFonts w:cs="Arial"/>
          <w:bCs/>
        </w:rPr>
        <w:t xml:space="preserve"> </w:t>
      </w:r>
      <w:r w:rsidRPr="00021DD2">
        <w:rPr>
          <w:rFonts w:cs="Arial"/>
        </w:rPr>
        <w:t>I have also contributed to the advocacy implementation plan for the Ambassadors Panel on these themes.</w:t>
      </w:r>
    </w:p>
    <w:p w:rsidR="00D6256B" w:rsidRPr="00021DD2" w:rsidRDefault="00D6256B" w:rsidP="007811D8">
      <w:pPr>
        <w:pStyle w:val="Titolo3"/>
        <w:rPr>
          <w:rFonts w:cs="Arial"/>
        </w:rPr>
      </w:pPr>
      <w:bookmarkStart w:id="16" w:name="_Toc500308743"/>
      <w:r w:rsidRPr="00021DD2">
        <w:rPr>
          <w:rFonts w:cs="Arial"/>
        </w:rPr>
        <w:t>Young parents</w:t>
      </w:r>
      <w:bookmarkEnd w:id="16"/>
    </w:p>
    <w:p w:rsidR="00D6256B" w:rsidRPr="00021DD2" w:rsidRDefault="00765006" w:rsidP="00D6256B">
      <w:pPr>
        <w:rPr>
          <w:rFonts w:cs="Arial"/>
        </w:rPr>
      </w:pPr>
      <w:r w:rsidRPr="00021DD2">
        <w:rPr>
          <w:rFonts w:cs="Arial"/>
        </w:rPr>
        <w:t>A</w:t>
      </w:r>
      <w:r w:rsidR="00D6256B" w:rsidRPr="00021DD2">
        <w:rPr>
          <w:rFonts w:cs="Arial"/>
        </w:rPr>
        <w:t>s part of my investigation into the experiences of young parents</w:t>
      </w:r>
      <w:r w:rsidRPr="00021DD2">
        <w:rPr>
          <w:rFonts w:cs="Arial"/>
        </w:rPr>
        <w:t xml:space="preserve"> this year</w:t>
      </w:r>
      <w:r w:rsidR="00D6256B" w:rsidRPr="00021DD2">
        <w:rPr>
          <w:rFonts w:cs="Arial"/>
        </w:rPr>
        <w:t xml:space="preserve">, I conducted consultations with children and young people who became parents when they were teenagers. This included several young parents who are detained in juvenile justice centres. I also asked them to complete a survey about their experiences. I report on this in detail in </w:t>
      </w:r>
      <w:r w:rsidR="00D6256B" w:rsidRPr="00E34166">
        <w:rPr>
          <w:rFonts w:cs="Arial"/>
        </w:rPr>
        <w:t>Chapter 3</w:t>
      </w:r>
      <w:r w:rsidR="00D6256B" w:rsidRPr="00EC2C3D">
        <w:rPr>
          <w:rFonts w:cs="Arial"/>
        </w:rPr>
        <w:t>.</w:t>
      </w:r>
      <w:r w:rsidR="00D6256B" w:rsidRPr="00021DD2">
        <w:rPr>
          <w:rFonts w:cs="Arial"/>
        </w:rPr>
        <w:t xml:space="preserve"> </w:t>
      </w:r>
    </w:p>
    <w:p w:rsidR="00D6256B" w:rsidRPr="00021DD2" w:rsidRDefault="00D6256B" w:rsidP="00EC07F8">
      <w:pPr>
        <w:pStyle w:val="11"/>
      </w:pPr>
      <w:bookmarkStart w:id="17" w:name="_Toc500308744"/>
      <w:r w:rsidRPr="00021DD2">
        <w:t>Freedom from violence, abuse and neglect</w:t>
      </w:r>
      <w:bookmarkEnd w:id="17"/>
    </w:p>
    <w:p w:rsidR="00D6256B" w:rsidRPr="00021DD2" w:rsidRDefault="00D6256B" w:rsidP="00D6256B">
      <w:pPr>
        <w:rPr>
          <w:rFonts w:cs="Arial"/>
        </w:rPr>
      </w:pPr>
      <w:r w:rsidRPr="00021DD2">
        <w:rPr>
          <w:rFonts w:cs="Arial"/>
        </w:rPr>
        <w:t xml:space="preserve">The obligation to protect children and young people from all forms of violence, abuse and neglect is set out in article 19 of the CRC, and is a key theme for my work as National Children’s Commissioner. </w:t>
      </w:r>
    </w:p>
    <w:p w:rsidR="00D6256B" w:rsidRPr="00021DD2" w:rsidRDefault="00D6256B" w:rsidP="00D6256B">
      <w:pPr>
        <w:rPr>
          <w:rFonts w:cs="Arial"/>
        </w:rPr>
      </w:pPr>
      <w:r w:rsidRPr="00021DD2">
        <w:rPr>
          <w:rFonts w:cs="Arial"/>
        </w:rPr>
        <w:t xml:space="preserve">In my 2015 and 2016 Children’s Rights Reports I examined intentional self-harm involving children, the impact of family and domestic violence on children, and the oversight mechanisms in youth justice processes. These examinations highlighted that certain vulnerable groups of children continue to experience disproportionately high levels of violence and disadvantage. These groups include Aboriginal and Torres Strait Islander children and young people, children in </w:t>
      </w:r>
      <w:r w:rsidR="00765006" w:rsidRPr="00021DD2">
        <w:rPr>
          <w:rFonts w:cs="Arial"/>
        </w:rPr>
        <w:t>OOHC</w:t>
      </w:r>
      <w:r w:rsidRPr="00021DD2">
        <w:rPr>
          <w:rFonts w:cs="Arial"/>
        </w:rPr>
        <w:t xml:space="preserve">, children with disability, children who are sexually diverse, transgender, gender diverse and intersex, children from culturally and linguistically diverse backgrounds, and children living in rural and remote areas. </w:t>
      </w:r>
    </w:p>
    <w:p w:rsidR="00D6256B" w:rsidRPr="00021DD2" w:rsidRDefault="00D6256B" w:rsidP="00D6256B">
      <w:pPr>
        <w:rPr>
          <w:rFonts w:cs="Arial"/>
        </w:rPr>
      </w:pPr>
      <w:r w:rsidRPr="00021DD2">
        <w:rPr>
          <w:rFonts w:cs="Arial"/>
        </w:rPr>
        <w:t>More details of my continued advocacy regarding suicide and self-harm, family and domestic violence, and the youth justice system are set out below.</w:t>
      </w:r>
    </w:p>
    <w:p w:rsidR="00D6256B" w:rsidRPr="00B934D7" w:rsidRDefault="00D6256B" w:rsidP="00222517">
      <w:pPr>
        <w:pStyle w:val="Titolo3"/>
        <w:numPr>
          <w:ilvl w:val="2"/>
          <w:numId w:val="198"/>
        </w:numPr>
        <w:rPr>
          <w:rFonts w:cs="Arial"/>
        </w:rPr>
      </w:pPr>
      <w:bookmarkStart w:id="18" w:name="_Toc500308745"/>
      <w:r w:rsidRPr="00B934D7">
        <w:rPr>
          <w:rFonts w:cs="Arial"/>
        </w:rPr>
        <w:t>Children and young people in the youth justice system</w:t>
      </w:r>
      <w:bookmarkEnd w:id="18"/>
    </w:p>
    <w:p w:rsidR="00D6256B" w:rsidRPr="00021DD2" w:rsidRDefault="00D6256B" w:rsidP="00D6256B">
      <w:pPr>
        <w:rPr>
          <w:rFonts w:cs="Arial"/>
        </w:rPr>
      </w:pPr>
      <w:r w:rsidRPr="00021DD2">
        <w:rPr>
          <w:rFonts w:cs="Arial"/>
        </w:rPr>
        <w:t>In 2016, following the release of images and footage of abuse and mistreatment at Don Dale Youth Detention Centre in the Northern Territory</w:t>
      </w:r>
      <w:r w:rsidR="00765006" w:rsidRPr="00021DD2">
        <w:rPr>
          <w:rFonts w:cs="Arial"/>
        </w:rPr>
        <w:t xml:space="preserve"> (NT)</w:t>
      </w:r>
      <w:r w:rsidRPr="00021DD2">
        <w:rPr>
          <w:rFonts w:cs="Arial"/>
        </w:rPr>
        <w:t xml:space="preserve">, the Royal Commission </w:t>
      </w:r>
      <w:r w:rsidRPr="00021DD2">
        <w:rPr>
          <w:rFonts w:cs="Arial"/>
          <w:bCs/>
        </w:rPr>
        <w:t>into the Protection and Detention of Children in the Northern Territory (NT Royal Commission)</w:t>
      </w:r>
      <w:r w:rsidRPr="00021DD2">
        <w:rPr>
          <w:rFonts w:cs="Arial"/>
          <w:b/>
          <w:bCs/>
        </w:rPr>
        <w:t xml:space="preserve"> </w:t>
      </w:r>
      <w:r w:rsidRPr="00021DD2">
        <w:rPr>
          <w:rFonts w:cs="Arial"/>
        </w:rPr>
        <w:t>was established. On 9 October 2016, I provided a statement to the NT Royal Commission, outlining the international human rights standards as they relate to the situation of children and young people who are detained. On 11 October 2016, I provided oral evidence to the NT Royal Commission about the extent and sufficiency of existing legislative protections for the rights of children in det</w:t>
      </w:r>
      <w:r w:rsidR="00765006" w:rsidRPr="00021DD2">
        <w:rPr>
          <w:rFonts w:cs="Arial"/>
        </w:rPr>
        <w:t>ention in the NT</w:t>
      </w:r>
      <w:r w:rsidRPr="00021DD2">
        <w:rPr>
          <w:rFonts w:cs="Arial"/>
        </w:rPr>
        <w:t>. I look forward to the release of the NT Royal Commission final report.</w:t>
      </w:r>
    </w:p>
    <w:p w:rsidR="00D6256B" w:rsidRPr="00021DD2" w:rsidRDefault="00D6256B" w:rsidP="00D6256B">
      <w:pPr>
        <w:rPr>
          <w:rFonts w:cs="Arial"/>
        </w:rPr>
      </w:pPr>
      <w:r w:rsidRPr="00021DD2">
        <w:rPr>
          <w:rFonts w:cs="Arial"/>
        </w:rPr>
        <w:t xml:space="preserve">On 9 February 2017, the Australian Government announced that it intends to ratify the </w:t>
      </w:r>
      <w:r w:rsidRPr="00021DD2">
        <w:rPr>
          <w:rFonts w:cs="Arial"/>
          <w:i/>
        </w:rPr>
        <w:t>Optional Protocol to the Convention against Torture</w:t>
      </w:r>
      <w:r w:rsidRPr="00021DD2">
        <w:rPr>
          <w:rFonts w:cs="Arial"/>
        </w:rPr>
        <w:t xml:space="preserve"> (OPCAT) by December 2017.</w:t>
      </w:r>
      <w:r w:rsidRPr="00021DD2">
        <w:rPr>
          <w:rStyle w:val="Rimandonotadichiusura"/>
          <w:rFonts w:cs="Arial"/>
        </w:rPr>
        <w:endnoteReference w:id="11"/>
      </w:r>
      <w:r w:rsidRPr="00021DD2">
        <w:rPr>
          <w:rFonts w:cs="Arial"/>
        </w:rPr>
        <w:t xml:space="preserve"> This will provide for a system of independent inspections and oversight of all places of detention across Australia.</w:t>
      </w:r>
      <w:r w:rsidRPr="00021DD2">
        <w:rPr>
          <w:rStyle w:val="Rimandonotadichiusura"/>
          <w:rFonts w:cs="Arial"/>
        </w:rPr>
        <w:endnoteReference w:id="12"/>
      </w:r>
      <w:r w:rsidRPr="00021DD2">
        <w:rPr>
          <w:rFonts w:cs="Arial"/>
        </w:rPr>
        <w:t xml:space="preserve"> I commend the Government for taking this initiative. The Australian Human Rights Commission (the Commission) continues to have an ongoing role in the implementation of OPCAT, with the Human Rights Commissioner conducting consultations with civil society to provide advice to the Australian Government on views of how OPCAT should be implemented within Australia. The Attorney-General has indicated that multiple bodies from the federal, state and territory governments will be responsible for conducting regular inspections and monitoring the treatment of people in detention. The work of these various inspection bodies will be supported by the Commonwealth Ombudsman as the national preventive mechanism </w:t>
      </w:r>
      <w:r w:rsidR="00765006" w:rsidRPr="00021DD2">
        <w:rPr>
          <w:rFonts w:cs="Arial"/>
        </w:rPr>
        <w:t xml:space="preserve">(NPM) </w:t>
      </w:r>
      <w:r w:rsidRPr="00021DD2">
        <w:rPr>
          <w:rFonts w:cs="Arial"/>
        </w:rPr>
        <w:t>responsible for coordination and capacity building.</w:t>
      </w:r>
      <w:r w:rsidRPr="00021DD2">
        <w:rPr>
          <w:rFonts w:cs="Arial"/>
          <w:vertAlign w:val="superscript"/>
        </w:rPr>
        <w:endnoteReference w:id="13"/>
      </w:r>
      <w:r w:rsidRPr="00021DD2">
        <w:rPr>
          <w:rFonts w:cs="Arial"/>
        </w:rPr>
        <w:t xml:space="preserve"> </w:t>
      </w:r>
    </w:p>
    <w:p w:rsidR="00D6256B" w:rsidRPr="00021DD2" w:rsidRDefault="00D6256B" w:rsidP="00D6256B">
      <w:pPr>
        <w:rPr>
          <w:rFonts w:cs="Arial"/>
        </w:rPr>
      </w:pPr>
      <w:r w:rsidRPr="00021DD2">
        <w:rPr>
          <w:rFonts w:cs="Arial"/>
        </w:rPr>
        <w:t>I note that various reviews of juvenile justice systems across Australia have recently been completed or are currently underway. I look forward to their outcomes. The reviews are summarised in Appendix 4.</w:t>
      </w:r>
      <w:r w:rsidR="000F10F4">
        <w:rPr>
          <w:rFonts w:cs="Arial"/>
        </w:rPr>
        <w:t xml:space="preserve"> </w:t>
      </w:r>
    </w:p>
    <w:p w:rsidR="00D6256B" w:rsidRPr="00021DD2" w:rsidRDefault="00D6256B" w:rsidP="00D6256B">
      <w:pPr>
        <w:rPr>
          <w:rFonts w:cs="Arial"/>
        </w:rPr>
      </w:pPr>
      <w:r w:rsidRPr="00021DD2">
        <w:rPr>
          <w:rFonts w:cs="Arial"/>
        </w:rPr>
        <w:t>On 13 February 2017, I presented at the inaugural meeting of the NSW Juvenile Justice Advisory Committee, which was established by Juvenile Justice NSW to provide independent advice and guidance on practices in juvenile justice centres across NSW. In my presentation, I reflected on my experience of visiting juvenile justice centres around the country as part of my 2016 investigation into whether the oversight mechanisms that are in place are compatible with our international obligations, meet relevant standards, and can readily feed into a national oversi</w:t>
      </w:r>
      <w:r w:rsidR="00765006" w:rsidRPr="00021DD2">
        <w:rPr>
          <w:rFonts w:cs="Arial"/>
        </w:rPr>
        <w:t>ght monitoring and prevent</w:t>
      </w:r>
      <w:r w:rsidRPr="00021DD2">
        <w:rPr>
          <w:rFonts w:cs="Arial"/>
        </w:rPr>
        <w:t>ive mechanism. I also discussed some good practices in Australia and other jurisdictions in relation to the treatment of incarcerated children.</w:t>
      </w:r>
    </w:p>
    <w:p w:rsidR="00D6256B" w:rsidRPr="00021DD2" w:rsidRDefault="00D6256B" w:rsidP="00D6256B">
      <w:pPr>
        <w:rPr>
          <w:rFonts w:cs="Arial"/>
        </w:rPr>
      </w:pPr>
      <w:r w:rsidRPr="00021DD2">
        <w:rPr>
          <w:rFonts w:cs="Arial"/>
        </w:rPr>
        <w:t>In May 2017, I provided a written submission to the NSW Inspector of Custodial Services’ review of how the use of force against detainees in juvenile justice centres in NSW is managed.</w:t>
      </w:r>
      <w:r w:rsidRPr="00021DD2">
        <w:rPr>
          <w:rStyle w:val="Rimandonotadichiusura"/>
          <w:rFonts w:cs="Arial"/>
        </w:rPr>
        <w:endnoteReference w:id="14"/>
      </w:r>
      <w:r w:rsidRPr="00021DD2">
        <w:rPr>
          <w:rFonts w:cs="Arial"/>
        </w:rPr>
        <w:t xml:space="preserve"> I recommended that </w:t>
      </w:r>
      <w:r w:rsidRPr="00021DD2">
        <w:rPr>
          <w:rFonts w:cs="Arial"/>
          <w:lang w:eastAsia="zh-CN"/>
        </w:rPr>
        <w:t xml:space="preserve">the NSW Inspector take OPCAT’s oversight mechanisms into account when reviewing the use of isolation, force and restraints in NSW juvenile justice centres. I also recommended that </w:t>
      </w:r>
      <w:r w:rsidRPr="00021DD2">
        <w:rPr>
          <w:rFonts w:cs="Arial"/>
        </w:rPr>
        <w:t>more specific and robust monitoring and reporting processes be implemented when force or restraints are used against child detainees,</w:t>
      </w:r>
      <w:r w:rsidR="00E46E43">
        <w:rPr>
          <w:rFonts w:cs="Arial"/>
        </w:rPr>
        <w:t xml:space="preserve"> and that the Inspector develop</w:t>
      </w:r>
      <w:r w:rsidRPr="00021DD2">
        <w:rPr>
          <w:rFonts w:cs="Arial"/>
        </w:rPr>
        <w:t xml:space="preserve"> alternative management techniques to the use of force, restraints and isolation.</w:t>
      </w:r>
    </w:p>
    <w:p w:rsidR="00D6256B" w:rsidRPr="00021DD2" w:rsidRDefault="00D6256B" w:rsidP="00D6256B">
      <w:pPr>
        <w:rPr>
          <w:rFonts w:cs="Arial"/>
        </w:rPr>
      </w:pPr>
      <w:r w:rsidRPr="00021DD2">
        <w:rPr>
          <w:rFonts w:cs="Arial"/>
        </w:rPr>
        <w:t>On 27 October 2016, the Australian Government announced the Australian Law Reform Commission (ALRC) inquiry into the incarceration rates of Aboriginal and Torres Strait Islander peoples.</w:t>
      </w:r>
      <w:r w:rsidRPr="00021DD2">
        <w:rPr>
          <w:rStyle w:val="Rimandonotadichiusura"/>
          <w:rFonts w:cs="Arial"/>
        </w:rPr>
        <w:endnoteReference w:id="15"/>
      </w:r>
      <w:r w:rsidRPr="00021DD2">
        <w:rPr>
          <w:rFonts w:cs="Arial"/>
        </w:rPr>
        <w:t xml:space="preserve"> The ALRC is due to report to the Attorney-General by 22 December 2017.</w:t>
      </w:r>
    </w:p>
    <w:p w:rsidR="00D6256B" w:rsidRPr="00021DD2" w:rsidRDefault="00D6256B" w:rsidP="00D6256B">
      <w:pPr>
        <w:rPr>
          <w:rFonts w:cs="Arial"/>
        </w:rPr>
      </w:pPr>
      <w:r w:rsidRPr="00021DD2">
        <w:rPr>
          <w:rFonts w:cs="Arial"/>
        </w:rPr>
        <w:t>I hope to see legislative and policy changes to strengthen and develop therapeutic, non-punitive systems for children in contact with the law across Australia.</w:t>
      </w:r>
      <w:r w:rsidR="000F10F4">
        <w:rPr>
          <w:rFonts w:cs="Arial"/>
        </w:rPr>
        <w:t xml:space="preserve"> </w:t>
      </w:r>
      <w:r w:rsidRPr="00021DD2">
        <w:rPr>
          <w:rFonts w:cs="Arial"/>
        </w:rPr>
        <w:t xml:space="preserve">I also look forward to the ratification, and subsequent implementation, of OPCAT, which will strengthen oversight of these systems. </w:t>
      </w:r>
    </w:p>
    <w:p w:rsidR="00D6256B" w:rsidRPr="00021DD2" w:rsidRDefault="00D6256B" w:rsidP="007811D8">
      <w:pPr>
        <w:pStyle w:val="Titolo3"/>
        <w:rPr>
          <w:rFonts w:cs="Arial"/>
        </w:rPr>
      </w:pPr>
      <w:bookmarkStart w:id="19" w:name="_Toc500308746"/>
      <w:r w:rsidRPr="00021DD2">
        <w:rPr>
          <w:rFonts w:cs="Arial"/>
        </w:rPr>
        <w:t>Creating child-safe institutions</w:t>
      </w:r>
      <w:bookmarkEnd w:id="19"/>
    </w:p>
    <w:p w:rsidR="00D6256B" w:rsidRPr="00996014" w:rsidRDefault="00D6256B" w:rsidP="00EF00EE">
      <w:pPr>
        <w:pStyle w:val="Titolo4"/>
        <w:rPr>
          <w:lang w:eastAsia="en-US"/>
        </w:rPr>
      </w:pPr>
      <w:r w:rsidRPr="00996014">
        <w:rPr>
          <w:lang w:eastAsia="en-US"/>
        </w:rPr>
        <w:t>National Statement of Principles for Child Safe Organisations</w:t>
      </w:r>
    </w:p>
    <w:p w:rsidR="00D6256B" w:rsidRPr="00021DD2" w:rsidRDefault="00D6256B" w:rsidP="00D6256B">
      <w:pPr>
        <w:rPr>
          <w:rFonts w:cs="Arial"/>
          <w:iCs/>
        </w:rPr>
      </w:pPr>
      <w:r w:rsidRPr="00021DD2">
        <w:rPr>
          <w:rFonts w:cs="Arial"/>
          <w:iCs/>
        </w:rPr>
        <w:t>In November 2016, under the National Framework, Community Services Ministers agreed to the development of a National Statement of Principles for Child Safe Organisations</w:t>
      </w:r>
      <w:r w:rsidR="00765006" w:rsidRPr="00021DD2">
        <w:rPr>
          <w:rFonts w:cs="Arial"/>
          <w:iCs/>
        </w:rPr>
        <w:t xml:space="preserve"> (National Principles)</w:t>
      </w:r>
      <w:r w:rsidRPr="00021DD2">
        <w:rPr>
          <w:rFonts w:cs="Arial"/>
          <w:iCs/>
        </w:rPr>
        <w:t xml:space="preserve">. </w:t>
      </w:r>
    </w:p>
    <w:p w:rsidR="00D6256B" w:rsidRPr="00021DD2" w:rsidRDefault="00D6256B" w:rsidP="00D6256B">
      <w:pPr>
        <w:rPr>
          <w:rFonts w:cs="Arial"/>
        </w:rPr>
      </w:pPr>
      <w:r w:rsidRPr="00021DD2">
        <w:rPr>
          <w:rFonts w:cs="Arial"/>
          <w:iCs/>
        </w:rPr>
        <w:t xml:space="preserve">The National </w:t>
      </w:r>
      <w:r w:rsidR="00765006" w:rsidRPr="00021DD2">
        <w:rPr>
          <w:rFonts w:cs="Arial"/>
          <w:iCs/>
        </w:rPr>
        <w:t>Principles are</w:t>
      </w:r>
      <w:r w:rsidRPr="00021DD2">
        <w:rPr>
          <w:rFonts w:cs="Arial"/>
          <w:iCs/>
        </w:rPr>
        <w:t xml:space="preserve"> being developed over an 18-month period under a phased approach led by me as National Children’s Commissioner. </w:t>
      </w:r>
      <w:r w:rsidR="00765006" w:rsidRPr="00021DD2">
        <w:rPr>
          <w:rFonts w:cs="Arial"/>
          <w:iCs/>
        </w:rPr>
        <w:t>A</w:t>
      </w:r>
      <w:r w:rsidRPr="00021DD2">
        <w:rPr>
          <w:rFonts w:cs="Arial"/>
          <w:iCs/>
        </w:rPr>
        <w:t xml:space="preserve"> cross-sector consultation and engagement process, involving everyone from sports to health services, from very small clubs to large businesses.</w:t>
      </w:r>
      <w:r w:rsidRPr="00021DD2">
        <w:rPr>
          <w:rFonts w:cs="Arial"/>
        </w:rPr>
        <w:t xml:space="preserve"> The development of these principles has been designed to take into account and build upon the work of the Royal Commission into Institutional Responses to Child Sexual Abuse (Royal Commission), which is due to report by 15 December 2017. It is understood that the Royal Commission’s final report will include a volume on making institutions child safe, including recommendations relating to child safe elements.</w:t>
      </w:r>
    </w:p>
    <w:p w:rsidR="00D6256B" w:rsidRPr="00021DD2" w:rsidRDefault="00D6256B" w:rsidP="00D6256B">
      <w:pPr>
        <w:rPr>
          <w:rFonts w:cs="Arial"/>
          <w:color w:val="000000"/>
        </w:rPr>
      </w:pPr>
      <w:r w:rsidRPr="00021DD2">
        <w:rPr>
          <w:rFonts w:cs="Arial"/>
          <w:color w:val="000000"/>
        </w:rPr>
        <w:t xml:space="preserve">The draft National </w:t>
      </w:r>
      <w:r w:rsidR="00765006" w:rsidRPr="00021DD2">
        <w:rPr>
          <w:rFonts w:cs="Arial"/>
          <w:color w:val="000000"/>
        </w:rPr>
        <w:t>Principles consist</w:t>
      </w:r>
      <w:r w:rsidRPr="00021DD2">
        <w:rPr>
          <w:rFonts w:cs="Arial"/>
          <w:color w:val="000000"/>
        </w:rPr>
        <w:t xml:space="preserve"> of ten principles based largely on the child safe elements developed by the Royal Commission. It is underpinned by a child rights approach to building capacity in organisations and settings </w:t>
      </w:r>
      <w:r w:rsidR="00765006" w:rsidRPr="00021DD2">
        <w:rPr>
          <w:rFonts w:cs="Arial"/>
          <w:color w:val="000000"/>
        </w:rPr>
        <w:t xml:space="preserve">in order </w:t>
      </w:r>
      <w:r w:rsidRPr="00021DD2">
        <w:rPr>
          <w:rFonts w:cs="Arial"/>
          <w:color w:val="000000"/>
        </w:rPr>
        <w:t xml:space="preserve">to deliver child safety and wellbeing. </w:t>
      </w:r>
    </w:p>
    <w:p w:rsidR="00D6256B" w:rsidRPr="00021DD2" w:rsidRDefault="00D6256B" w:rsidP="00D6256B">
      <w:pPr>
        <w:rPr>
          <w:rFonts w:cs="Arial"/>
          <w:lang w:eastAsia="en-US"/>
        </w:rPr>
      </w:pPr>
      <w:r w:rsidRPr="00021DD2">
        <w:rPr>
          <w:rFonts w:cs="Arial"/>
          <w:lang w:eastAsia="en-US"/>
        </w:rPr>
        <w:t xml:space="preserve">Further details of my work on Child Safe Organisations are set out in </w:t>
      </w:r>
      <w:r w:rsidRPr="00E34166">
        <w:rPr>
          <w:rFonts w:cs="Arial"/>
          <w:lang w:eastAsia="en-US"/>
        </w:rPr>
        <w:t>Chapter 4</w:t>
      </w:r>
      <w:r w:rsidRPr="00E2650A">
        <w:rPr>
          <w:rFonts w:cs="Arial"/>
          <w:lang w:eastAsia="en-US"/>
        </w:rPr>
        <w:t>.</w:t>
      </w:r>
      <w:r w:rsidRPr="00021DD2">
        <w:rPr>
          <w:rFonts w:cs="Arial"/>
          <w:lang w:eastAsia="en-US"/>
        </w:rPr>
        <w:t xml:space="preserve"> </w:t>
      </w:r>
    </w:p>
    <w:p w:rsidR="00D6256B" w:rsidRPr="00E34166" w:rsidRDefault="00D6256B" w:rsidP="00EF00EE">
      <w:pPr>
        <w:pStyle w:val="Titolo4"/>
        <w:rPr>
          <w:lang w:eastAsia="en-US"/>
        </w:rPr>
      </w:pPr>
      <w:r w:rsidRPr="00E34166">
        <w:rPr>
          <w:lang w:eastAsia="en-US"/>
        </w:rPr>
        <w:t>Child Safeguarding Framework</w:t>
      </w:r>
    </w:p>
    <w:p w:rsidR="00D6256B" w:rsidRPr="00021DD2" w:rsidRDefault="00D6256B" w:rsidP="00D6256B">
      <w:pPr>
        <w:rPr>
          <w:rFonts w:cs="Arial"/>
          <w:lang w:eastAsia="en-US"/>
        </w:rPr>
      </w:pPr>
      <w:r w:rsidRPr="00021DD2">
        <w:rPr>
          <w:rFonts w:cs="Arial"/>
          <w:lang w:eastAsia="en-US"/>
        </w:rPr>
        <w:t xml:space="preserve">In March 2015, the Department of Immigration and Border Protection established the Child Protection Panel to provide independent advice on issues concerning the wellbeing and protection of children in immigration detention and in regional processing centres. </w:t>
      </w:r>
      <w:r w:rsidR="00765006" w:rsidRPr="00021DD2">
        <w:rPr>
          <w:rFonts w:cs="Arial"/>
          <w:lang w:eastAsia="en-US"/>
        </w:rPr>
        <w:t>T</w:t>
      </w:r>
      <w:r w:rsidRPr="00021DD2">
        <w:rPr>
          <w:rFonts w:cs="Arial"/>
          <w:lang w:eastAsia="en-US"/>
        </w:rPr>
        <w:t>he Panel has focus</w:t>
      </w:r>
      <w:r w:rsidR="00765006" w:rsidRPr="00021DD2">
        <w:rPr>
          <w:rFonts w:cs="Arial"/>
          <w:lang w:eastAsia="en-US"/>
        </w:rPr>
        <w:t>ed</w:t>
      </w:r>
      <w:r w:rsidRPr="00021DD2">
        <w:rPr>
          <w:rFonts w:cs="Arial"/>
          <w:lang w:eastAsia="en-US"/>
        </w:rPr>
        <w:t xml:space="preserve"> on strategies to improve child wellbeing</w:t>
      </w:r>
      <w:r w:rsidR="003B3CCB" w:rsidRPr="00021DD2">
        <w:rPr>
          <w:rFonts w:cs="Arial"/>
          <w:lang w:eastAsia="en-US"/>
        </w:rPr>
        <w:t xml:space="preserve"> and</w:t>
      </w:r>
      <w:r w:rsidRPr="00021DD2">
        <w:rPr>
          <w:rFonts w:cs="Arial"/>
          <w:lang w:eastAsia="en-US"/>
        </w:rPr>
        <w:t xml:space="preserve"> the responses of the Department of Immigration and Border Protection to incidents involving children. In 2017, the Panel released its final report, </w:t>
      </w:r>
      <w:r w:rsidRPr="00021DD2">
        <w:rPr>
          <w:rFonts w:cs="Arial"/>
          <w:i/>
          <w:iCs/>
          <w:lang w:eastAsia="en-US"/>
        </w:rPr>
        <w:t>Making Children Safer: The wellbeing and protection of children in immigration detention and regional processing centres</w:t>
      </w:r>
      <w:r w:rsidRPr="00021DD2">
        <w:rPr>
          <w:rFonts w:cs="Arial"/>
          <w:lang w:eastAsia="en-US"/>
        </w:rPr>
        <w:t>.</w:t>
      </w:r>
      <w:r w:rsidRPr="00021DD2">
        <w:rPr>
          <w:rStyle w:val="Rimandonotadichiusura"/>
          <w:rFonts w:cs="Arial"/>
          <w:lang w:eastAsia="en-US"/>
        </w:rPr>
        <w:endnoteReference w:id="16"/>
      </w:r>
      <w:r w:rsidRPr="00021DD2">
        <w:rPr>
          <w:rFonts w:cs="Arial"/>
          <w:lang w:eastAsia="en-US"/>
        </w:rPr>
        <w:t xml:space="preserve"> A focus of the Panel has been the development of the Department's Child Safeguarding Framework, which outlines the principles, policies and procedures for staff and contracted service providers to safeguard children who receive our services.</w:t>
      </w:r>
      <w:r w:rsidRPr="00021DD2">
        <w:rPr>
          <w:rStyle w:val="Rimandonotadichiusura"/>
          <w:rFonts w:cs="Arial"/>
          <w:lang w:eastAsia="en-US"/>
        </w:rPr>
        <w:endnoteReference w:id="17"/>
      </w:r>
      <w:r w:rsidRPr="00021DD2">
        <w:rPr>
          <w:rFonts w:cs="Arial"/>
          <w:lang w:eastAsia="en-US"/>
        </w:rPr>
        <w:t xml:space="preserve"> I understand that the Department of Immigration and Border Protection is reviewing this Framework. I look forward to contri</w:t>
      </w:r>
      <w:r w:rsidR="003B3CCB" w:rsidRPr="00021DD2">
        <w:rPr>
          <w:rFonts w:cs="Arial"/>
          <w:lang w:eastAsia="en-US"/>
        </w:rPr>
        <w:t xml:space="preserve">buting to this opportunity for </w:t>
      </w:r>
      <w:r w:rsidRPr="00021DD2">
        <w:rPr>
          <w:rFonts w:cs="Arial"/>
          <w:lang w:eastAsia="en-US"/>
        </w:rPr>
        <w:t xml:space="preserve">reshaping child protection policy for children in immigration detention and in regional processing centres. </w:t>
      </w:r>
    </w:p>
    <w:p w:rsidR="00D6256B" w:rsidRPr="00021DD2" w:rsidRDefault="00D6256B" w:rsidP="007811D8">
      <w:pPr>
        <w:pStyle w:val="Titolo3"/>
        <w:rPr>
          <w:rFonts w:cs="Arial"/>
        </w:rPr>
      </w:pPr>
      <w:bookmarkStart w:id="20" w:name="_Toc500308747"/>
      <w:r w:rsidRPr="00021DD2">
        <w:rPr>
          <w:rFonts w:cs="Arial"/>
        </w:rPr>
        <w:t>The impact of family and domestic violence on children and young people</w:t>
      </w:r>
      <w:bookmarkEnd w:id="20"/>
    </w:p>
    <w:p w:rsidR="00D6256B" w:rsidRPr="00E34166" w:rsidRDefault="00D6256B" w:rsidP="00EF00EE">
      <w:pPr>
        <w:pStyle w:val="Titolo4"/>
        <w:rPr>
          <w:lang w:val="en"/>
        </w:rPr>
      </w:pPr>
      <w:r w:rsidRPr="00E34166">
        <w:rPr>
          <w:lang w:val="en"/>
        </w:rPr>
        <w:t>National Plan to Reduce Violence against Women and their Children</w:t>
      </w:r>
    </w:p>
    <w:p w:rsidR="00D6256B" w:rsidRPr="00021DD2" w:rsidRDefault="00D6256B" w:rsidP="00D6256B">
      <w:pPr>
        <w:rPr>
          <w:rFonts w:cs="Arial"/>
          <w:lang w:val="en"/>
        </w:rPr>
      </w:pPr>
      <w:r w:rsidRPr="00021DD2">
        <w:rPr>
          <w:rFonts w:cs="Arial"/>
          <w:lang w:val="en"/>
        </w:rPr>
        <w:t xml:space="preserve">The </w:t>
      </w:r>
      <w:r w:rsidRPr="00021DD2">
        <w:rPr>
          <w:rFonts w:cs="Arial"/>
          <w:i/>
          <w:iCs/>
          <w:lang w:val="en"/>
        </w:rPr>
        <w:t xml:space="preserve">National Plan to Reduce Violence against Women and their Children 2010–2022 </w:t>
      </w:r>
      <w:r w:rsidRPr="00021DD2">
        <w:rPr>
          <w:rFonts w:cs="Arial"/>
          <w:iCs/>
          <w:lang w:val="en"/>
        </w:rPr>
        <w:t xml:space="preserve">(National Plan) </w:t>
      </w:r>
      <w:r w:rsidRPr="00021DD2">
        <w:rPr>
          <w:rFonts w:cs="Arial"/>
          <w:lang w:val="en"/>
        </w:rPr>
        <w:t>brings together governments, key organisations, the community sector and individuals to prevent and respond to domestic, family and sexual violence.</w:t>
      </w:r>
      <w:r w:rsidRPr="00021DD2">
        <w:rPr>
          <w:rStyle w:val="Rimandonotadichiusura"/>
          <w:rFonts w:cs="Arial"/>
          <w:lang w:val="en"/>
        </w:rPr>
        <w:endnoteReference w:id="18"/>
      </w:r>
    </w:p>
    <w:p w:rsidR="00D6256B" w:rsidRPr="00021DD2" w:rsidRDefault="00D6256B" w:rsidP="00D6256B">
      <w:pPr>
        <w:rPr>
          <w:rFonts w:cs="Arial"/>
        </w:rPr>
      </w:pPr>
      <w:r w:rsidRPr="00021DD2">
        <w:rPr>
          <w:rFonts w:cs="Arial"/>
        </w:rPr>
        <w:t>The Advisory Panel on Reducing Violence against Women and their Children presented their final report to the Council of Australian Governments (COAG) in April 2016. This report, containing 28 recommendations, acknowledged that the needs and wellbeing of children and young people should be considered across all areas of action in government responses to violence against women.</w:t>
      </w:r>
      <w:r w:rsidRPr="00021DD2">
        <w:rPr>
          <w:rStyle w:val="Rimandonotadichiusura"/>
          <w:rFonts w:cs="Arial"/>
        </w:rPr>
        <w:endnoteReference w:id="19"/>
      </w:r>
      <w:r w:rsidRPr="00021DD2">
        <w:rPr>
          <w:rFonts w:cs="Arial"/>
        </w:rPr>
        <w:t xml:space="preserve"> </w:t>
      </w:r>
      <w:r w:rsidRPr="00021DD2">
        <w:rPr>
          <w:rFonts w:cs="Arial"/>
          <w:color w:val="1E1E1E"/>
          <w:spacing w:val="5"/>
          <w:szCs w:val="20"/>
          <w:lang w:val="en"/>
        </w:rPr>
        <w:t xml:space="preserve">COAG gave </w:t>
      </w:r>
      <w:r w:rsidR="00E46E43">
        <w:rPr>
          <w:rFonts w:cs="Arial"/>
          <w:color w:val="1E1E1E"/>
          <w:spacing w:val="5"/>
          <w:szCs w:val="20"/>
          <w:lang w:val="en"/>
        </w:rPr>
        <w:t>‘</w:t>
      </w:r>
      <w:r w:rsidRPr="00021DD2">
        <w:rPr>
          <w:rFonts w:cs="Arial"/>
          <w:color w:val="1E1E1E"/>
          <w:spacing w:val="5"/>
          <w:szCs w:val="20"/>
          <w:lang w:val="en"/>
        </w:rPr>
        <w:t>in principle</w:t>
      </w:r>
      <w:r w:rsidR="00E46E43">
        <w:rPr>
          <w:rFonts w:cs="Arial"/>
          <w:color w:val="1E1E1E"/>
          <w:spacing w:val="5"/>
          <w:szCs w:val="20"/>
          <w:lang w:val="en"/>
        </w:rPr>
        <w:t>’</w:t>
      </w:r>
      <w:r w:rsidRPr="00021DD2">
        <w:rPr>
          <w:rFonts w:cs="Arial"/>
          <w:color w:val="1E1E1E"/>
          <w:spacing w:val="5"/>
          <w:szCs w:val="20"/>
          <w:lang w:val="en"/>
        </w:rPr>
        <w:t xml:space="preserve"> support to the six areas identified for further joint action. </w:t>
      </w:r>
      <w:r w:rsidRPr="00021DD2">
        <w:rPr>
          <w:rFonts w:cs="Arial"/>
        </w:rPr>
        <w:t>I especially welcome Action Area 3 of the Panel’s report, which states that children and young people should be recognised as victims of violence against women in their own right, and recommends that the views and experiences of children and young people be taken into account during the scoping, design, and evaluation of services.</w:t>
      </w:r>
      <w:r w:rsidRPr="00021DD2">
        <w:rPr>
          <w:rStyle w:val="Rimandonotadichiusura"/>
          <w:rFonts w:cs="Arial"/>
        </w:rPr>
        <w:endnoteReference w:id="20"/>
      </w:r>
      <w:r w:rsidRPr="00021DD2">
        <w:rPr>
          <w:rFonts w:cs="Arial"/>
          <w:color w:val="1E1E1E"/>
          <w:spacing w:val="5"/>
          <w:szCs w:val="20"/>
          <w:lang w:val="en"/>
        </w:rPr>
        <w:t xml:space="preserve"> COAG agreed that jurisdictions would consider the recommendations in developing the Third Action Plan </w:t>
      </w:r>
      <w:r w:rsidR="00A821D7">
        <w:rPr>
          <w:rFonts w:cs="Arial"/>
        </w:rPr>
        <w:t>2016–</w:t>
      </w:r>
      <w:r w:rsidRPr="00021DD2">
        <w:rPr>
          <w:rFonts w:cs="Arial"/>
        </w:rPr>
        <w:t xml:space="preserve">2019 </w:t>
      </w:r>
      <w:r w:rsidRPr="00021DD2">
        <w:rPr>
          <w:rFonts w:cs="Arial"/>
          <w:color w:val="1E1E1E"/>
          <w:spacing w:val="5"/>
          <w:szCs w:val="20"/>
          <w:lang w:val="en"/>
        </w:rPr>
        <w:t>of the National Plan.</w:t>
      </w:r>
      <w:r w:rsidRPr="00021DD2">
        <w:rPr>
          <w:rStyle w:val="Rimandonotadichiusura"/>
          <w:rFonts w:cs="Arial"/>
          <w:color w:val="1E1E1E"/>
          <w:spacing w:val="5"/>
          <w:szCs w:val="20"/>
          <w:lang w:val="en"/>
        </w:rPr>
        <w:endnoteReference w:id="21"/>
      </w:r>
    </w:p>
    <w:p w:rsidR="00D6256B" w:rsidRPr="00021DD2" w:rsidRDefault="00D6256B" w:rsidP="00D6256B">
      <w:pPr>
        <w:rPr>
          <w:rFonts w:cs="Arial"/>
        </w:rPr>
      </w:pPr>
      <w:r w:rsidRPr="00021DD2">
        <w:rPr>
          <w:rFonts w:cs="Arial"/>
        </w:rPr>
        <w:t xml:space="preserve">In October 2016, I participated in the COAG National Summit on Reducing Violence against Women and their Children in Brisbane, focusing on the distinct needs of children affected by family and domestic violence. </w:t>
      </w:r>
      <w:r w:rsidRPr="00021DD2">
        <w:rPr>
          <w:rFonts w:cs="Arial"/>
          <w:lang w:val="en"/>
        </w:rPr>
        <w:t>The purpose of the Summit was for governments to review progress and profile best practice in their collective efforts to make Australia safer for women and their children. I was involved in consultations for the development of the Third Action Plan of the National Plan, which was launched at the Summit.</w:t>
      </w:r>
    </w:p>
    <w:p w:rsidR="00D6256B" w:rsidRPr="00021DD2" w:rsidRDefault="00D6256B" w:rsidP="00D6256B">
      <w:pPr>
        <w:spacing w:before="100" w:beforeAutospacing="1" w:after="100" w:afterAutospacing="1"/>
        <w:rPr>
          <w:rFonts w:cs="Arial"/>
          <w:lang w:val="en-US"/>
        </w:rPr>
      </w:pPr>
      <w:r w:rsidRPr="00021DD2">
        <w:rPr>
          <w:rFonts w:cs="Arial"/>
          <w:lang w:val="en-US"/>
        </w:rPr>
        <w:t>The Third Action Plan of the National Plan outlines 36 practical actions under the following six priority areas:</w:t>
      </w:r>
    </w:p>
    <w:p w:rsidR="00D6256B" w:rsidRPr="00021DD2" w:rsidRDefault="00D6256B" w:rsidP="00B934D7">
      <w:pPr>
        <w:numPr>
          <w:ilvl w:val="0"/>
          <w:numId w:val="20"/>
        </w:numPr>
        <w:spacing w:before="100" w:beforeAutospacing="1" w:after="100" w:afterAutospacing="1"/>
        <w:rPr>
          <w:rFonts w:cs="Arial"/>
          <w:lang w:val="en-US"/>
        </w:rPr>
      </w:pPr>
      <w:r w:rsidRPr="00021DD2">
        <w:rPr>
          <w:rFonts w:cs="Arial"/>
          <w:lang w:val="en-US"/>
        </w:rPr>
        <w:t>Prevention and early intervention</w:t>
      </w:r>
    </w:p>
    <w:p w:rsidR="00D6256B" w:rsidRPr="00021DD2" w:rsidRDefault="00D6256B" w:rsidP="00B934D7">
      <w:pPr>
        <w:numPr>
          <w:ilvl w:val="0"/>
          <w:numId w:val="20"/>
        </w:numPr>
        <w:spacing w:before="100" w:beforeAutospacing="1" w:after="100" w:afterAutospacing="1"/>
        <w:rPr>
          <w:rFonts w:cs="Arial"/>
          <w:lang w:val="en-US"/>
        </w:rPr>
      </w:pPr>
      <w:r w:rsidRPr="00021DD2">
        <w:rPr>
          <w:rFonts w:cs="Arial"/>
          <w:lang w:val="en-US"/>
        </w:rPr>
        <w:t>Aboriginal and Torres Strait Islander women and their children</w:t>
      </w:r>
    </w:p>
    <w:p w:rsidR="00D6256B" w:rsidRPr="00021DD2" w:rsidRDefault="00D6256B" w:rsidP="00B934D7">
      <w:pPr>
        <w:numPr>
          <w:ilvl w:val="0"/>
          <w:numId w:val="20"/>
        </w:numPr>
        <w:spacing w:before="100" w:beforeAutospacing="1" w:after="100" w:afterAutospacing="1"/>
        <w:rPr>
          <w:rFonts w:cs="Arial"/>
          <w:lang w:val="en-US"/>
        </w:rPr>
      </w:pPr>
      <w:r w:rsidRPr="00021DD2">
        <w:rPr>
          <w:rFonts w:cs="Arial"/>
          <w:lang w:val="en-US"/>
        </w:rPr>
        <w:t>Greater support and choice</w:t>
      </w:r>
    </w:p>
    <w:p w:rsidR="00D6256B" w:rsidRPr="00021DD2" w:rsidRDefault="00D6256B" w:rsidP="00B934D7">
      <w:pPr>
        <w:numPr>
          <w:ilvl w:val="0"/>
          <w:numId w:val="20"/>
        </w:numPr>
        <w:spacing w:before="100" w:beforeAutospacing="1" w:after="100" w:afterAutospacing="1"/>
        <w:rPr>
          <w:rFonts w:cs="Arial"/>
          <w:lang w:val="en-US"/>
        </w:rPr>
      </w:pPr>
      <w:r w:rsidRPr="00021DD2">
        <w:rPr>
          <w:rFonts w:cs="Arial"/>
          <w:lang w:val="en-US"/>
        </w:rPr>
        <w:t>Sexual violence</w:t>
      </w:r>
    </w:p>
    <w:p w:rsidR="00D6256B" w:rsidRPr="00021DD2" w:rsidRDefault="00D6256B" w:rsidP="00B934D7">
      <w:pPr>
        <w:numPr>
          <w:ilvl w:val="0"/>
          <w:numId w:val="20"/>
        </w:numPr>
        <w:spacing w:before="100" w:beforeAutospacing="1" w:after="100" w:afterAutospacing="1"/>
        <w:rPr>
          <w:rFonts w:cs="Arial"/>
          <w:lang w:val="en-US"/>
        </w:rPr>
      </w:pPr>
      <w:r w:rsidRPr="00021DD2">
        <w:rPr>
          <w:rFonts w:cs="Arial"/>
          <w:lang w:val="en-US"/>
        </w:rPr>
        <w:t>Responding to children living with violence</w:t>
      </w:r>
    </w:p>
    <w:p w:rsidR="00D6256B" w:rsidRPr="00021DD2" w:rsidRDefault="00D6256B" w:rsidP="00B934D7">
      <w:pPr>
        <w:numPr>
          <w:ilvl w:val="0"/>
          <w:numId w:val="20"/>
        </w:numPr>
        <w:spacing w:before="100" w:beforeAutospacing="1" w:after="100" w:afterAutospacing="1"/>
        <w:rPr>
          <w:rFonts w:cs="Arial"/>
          <w:lang w:val="en-US"/>
        </w:rPr>
      </w:pPr>
      <w:r w:rsidRPr="00021DD2">
        <w:rPr>
          <w:rFonts w:cs="Arial"/>
          <w:lang w:val="en-US"/>
        </w:rPr>
        <w:t>Keeping perpetrators accountable across all systems.</w:t>
      </w:r>
      <w:r w:rsidRPr="00021DD2">
        <w:rPr>
          <w:rStyle w:val="Rimandonotadichiusura"/>
          <w:rFonts w:cs="Arial"/>
          <w:lang w:val="en-US"/>
        </w:rPr>
        <w:endnoteReference w:id="22"/>
      </w:r>
    </w:p>
    <w:p w:rsidR="00D6256B" w:rsidRPr="00021DD2" w:rsidRDefault="00D6256B" w:rsidP="00D6256B">
      <w:pPr>
        <w:rPr>
          <w:rFonts w:cs="Arial"/>
        </w:rPr>
      </w:pPr>
      <w:r w:rsidRPr="00021DD2">
        <w:rPr>
          <w:rFonts w:cs="Arial"/>
        </w:rPr>
        <w:t xml:space="preserve">I am pleased that the Third Action Plan of the National Plan contains several priorities addressing the needs of children affected by family and domestic violence, including Aboriginal and Torres Strait Islander children, and ensuring children’s environments are safe from violence. </w:t>
      </w:r>
    </w:p>
    <w:p w:rsidR="00D6256B" w:rsidRPr="00021DD2" w:rsidRDefault="00D6256B" w:rsidP="005D5B33">
      <w:pPr>
        <w:rPr>
          <w:iCs/>
        </w:rPr>
      </w:pPr>
      <w:r w:rsidRPr="00021DD2">
        <w:t>On 7 March 2017, I attended the first joint meeting of the National Plan Implementation Executive Group and the National Forum for Protecting Australia’s Children. The purpose of these meetings is to discuss opportunities for collaboration on activities concerning the interlinked issues of family and domestic violence and child protection. Given the strong linkages between the Third Action Plans under the National Plan</w:t>
      </w:r>
      <w:r w:rsidR="003B3CCB" w:rsidRPr="00021DD2">
        <w:t>s</w:t>
      </w:r>
      <w:r w:rsidRPr="00021DD2">
        <w:t xml:space="preserve"> and the National Framework, these meetings represent a significant step towards better coordination of the two national policy initiatives.</w:t>
      </w:r>
    </w:p>
    <w:p w:rsidR="00D6256B" w:rsidRPr="00021DD2" w:rsidRDefault="00D6256B" w:rsidP="005D5B33">
      <w:pPr>
        <w:rPr>
          <w:iCs/>
        </w:rPr>
      </w:pPr>
      <w:r w:rsidRPr="00021DD2">
        <w:rPr>
          <w:iCs/>
        </w:rPr>
        <w:t>Several working groups and initiatives have been established under the Third Action Plan of the National Plan,</w:t>
      </w:r>
      <w:r w:rsidRPr="00021DD2">
        <w:rPr>
          <w:b/>
          <w:iCs/>
        </w:rPr>
        <w:t xml:space="preserve"> </w:t>
      </w:r>
      <w:r w:rsidRPr="00021DD2">
        <w:rPr>
          <w:iCs/>
        </w:rPr>
        <w:t>which relate to the impact of</w:t>
      </w:r>
      <w:r w:rsidRPr="00021DD2">
        <w:rPr>
          <w:b/>
          <w:iCs/>
        </w:rPr>
        <w:t xml:space="preserve"> </w:t>
      </w:r>
      <w:r w:rsidRPr="00021DD2">
        <w:rPr>
          <w:iCs/>
        </w:rPr>
        <w:t>family and domestic violence on children</w:t>
      </w:r>
      <w:r w:rsidR="003B3CCB" w:rsidRPr="00021DD2">
        <w:rPr>
          <w:iCs/>
        </w:rPr>
        <w:t xml:space="preserve">. Two of these working groups are highlighted below. </w:t>
      </w:r>
    </w:p>
    <w:p w:rsidR="00D6256B" w:rsidRPr="00021DD2" w:rsidRDefault="00D6256B" w:rsidP="005D5B33">
      <w:pPr>
        <w:rPr>
          <w:iCs/>
        </w:rPr>
      </w:pPr>
      <w:r w:rsidRPr="00021DD2">
        <w:t xml:space="preserve">A </w:t>
      </w:r>
      <w:r w:rsidRPr="00021DD2">
        <w:rPr>
          <w:b/>
          <w:iCs/>
        </w:rPr>
        <w:t xml:space="preserve">Children and Parenting Working Group, </w:t>
      </w:r>
      <w:r w:rsidRPr="00021DD2">
        <w:rPr>
          <w:iCs/>
        </w:rPr>
        <w:t>co-led by Queensland</w:t>
      </w:r>
      <w:r w:rsidR="00E46E43">
        <w:rPr>
          <w:iCs/>
        </w:rPr>
        <w:t xml:space="preserve"> (Qld)</w:t>
      </w:r>
      <w:r w:rsidRPr="00021DD2">
        <w:rPr>
          <w:iCs/>
        </w:rPr>
        <w:t xml:space="preserve"> and Western Australia</w:t>
      </w:r>
      <w:r w:rsidR="003B3CCB" w:rsidRPr="00021DD2">
        <w:rPr>
          <w:iCs/>
        </w:rPr>
        <w:t xml:space="preserve"> (WA)</w:t>
      </w:r>
      <w:r w:rsidRPr="00021DD2">
        <w:rPr>
          <w:iCs/>
        </w:rPr>
        <w:t>, will identify ways to support community-based and government services to recognise and respond to the impact of violence on children.</w:t>
      </w:r>
      <w:r w:rsidRPr="00021DD2">
        <w:rPr>
          <w:i/>
          <w:iCs/>
        </w:rPr>
        <w:t xml:space="preserve"> </w:t>
      </w:r>
      <w:r w:rsidR="00E46E43">
        <w:rPr>
          <w:iCs/>
        </w:rPr>
        <w:t>C</w:t>
      </w:r>
      <w:r w:rsidRPr="00021DD2">
        <w:rPr>
          <w:iCs/>
        </w:rPr>
        <w:t>hild and domestic and family violence reforms in train</w:t>
      </w:r>
      <w:r w:rsidR="00E46E43">
        <w:rPr>
          <w:iCs/>
        </w:rPr>
        <w:t xml:space="preserve"> in Qld</w:t>
      </w:r>
      <w:r w:rsidRPr="00021DD2">
        <w:rPr>
          <w:iCs/>
        </w:rPr>
        <w:t xml:space="preserve"> will inform the work of other jurisdictions. The working group’s first project is being undertaken by the Australian Catholic University’s Institute of Child Protection Studies. The project will examine service system responses, in two pilot jurisdictions, to children and their families where there is domestic and family violence and the family is known to child protection authorities. The working group will maintain close links between the work of the Third Action Plan of the National Plan and the Third Action Plan of the National Framework.</w:t>
      </w:r>
      <w:r w:rsidRPr="00021DD2">
        <w:rPr>
          <w:rStyle w:val="Rimandonotadichiusura"/>
          <w:rFonts w:cs="Arial"/>
          <w:iCs/>
        </w:rPr>
        <w:endnoteReference w:id="23"/>
      </w:r>
      <w:r w:rsidR="000F10F4">
        <w:rPr>
          <w:iCs/>
        </w:rPr>
        <w:t xml:space="preserve"> </w:t>
      </w:r>
    </w:p>
    <w:p w:rsidR="00D6256B" w:rsidRPr="00021DD2" w:rsidRDefault="00D6256B" w:rsidP="00D6256B">
      <w:pPr>
        <w:spacing w:before="0" w:after="0"/>
        <w:rPr>
          <w:rFonts w:cs="Arial"/>
          <w:iCs/>
        </w:rPr>
      </w:pPr>
      <w:r w:rsidRPr="00021DD2">
        <w:rPr>
          <w:rFonts w:cs="Arial"/>
          <w:iCs/>
        </w:rPr>
        <w:t xml:space="preserve">An </w:t>
      </w:r>
      <w:r w:rsidRPr="00021DD2">
        <w:rPr>
          <w:rFonts w:cs="Arial"/>
          <w:b/>
          <w:iCs/>
        </w:rPr>
        <w:t>Aboriginal and Torres Strait Islander Working Group</w:t>
      </w:r>
      <w:r w:rsidRPr="00021DD2">
        <w:rPr>
          <w:rFonts w:cs="Arial"/>
          <w:iCs/>
        </w:rPr>
        <w:t xml:space="preserve">, </w:t>
      </w:r>
      <w:r w:rsidR="003B3CCB" w:rsidRPr="00021DD2">
        <w:rPr>
          <w:rFonts w:cs="Arial"/>
          <w:iCs/>
        </w:rPr>
        <w:t>co-</w:t>
      </w:r>
      <w:r w:rsidRPr="00021DD2">
        <w:rPr>
          <w:rFonts w:cs="Arial"/>
          <w:iCs/>
        </w:rPr>
        <w:t>led by South Australia</w:t>
      </w:r>
      <w:r w:rsidR="003B3CCB" w:rsidRPr="00021DD2">
        <w:rPr>
          <w:rFonts w:cs="Arial"/>
          <w:iCs/>
        </w:rPr>
        <w:t xml:space="preserve"> (SA)</w:t>
      </w:r>
      <w:r w:rsidRPr="00021DD2">
        <w:rPr>
          <w:rFonts w:cs="Arial"/>
          <w:iCs/>
        </w:rPr>
        <w:t xml:space="preserve"> and the </w:t>
      </w:r>
      <w:r w:rsidR="003B3CCB" w:rsidRPr="00021DD2">
        <w:rPr>
          <w:rFonts w:cs="Arial"/>
          <w:iCs/>
        </w:rPr>
        <w:t>NT</w:t>
      </w:r>
      <w:r w:rsidRPr="00021DD2">
        <w:rPr>
          <w:rFonts w:cs="Arial"/>
          <w:iCs/>
        </w:rPr>
        <w:t>, will ensure a strong focus on reducing domestic and family violence experienced by Aboriginal and Torres Strait Islander women and children. The working group’s first research project will develop resources to guide researchers and service providers on how to obtain consent to work with Aboriginal and Torres Strait Islander children who have experienced family and domestic violence. This work is also being undertaken by the Institute of Child Protection Studies at the Australian Catholic University. In addition, DSS has commissioned the Australian National University to conduct a study examining the extent of exposure to violence amongst Aboriginal and Torres Strait Islander women and children. This working group will engage closely with the Aboriginal and Torres Strait Islander Working Group under the Third Action Plan of the National Framework.</w:t>
      </w:r>
      <w:r w:rsidRPr="00021DD2">
        <w:rPr>
          <w:rStyle w:val="Rimandonotadichiusura"/>
          <w:rFonts w:cs="Arial"/>
          <w:iCs/>
        </w:rPr>
        <w:endnoteReference w:id="24"/>
      </w:r>
    </w:p>
    <w:p w:rsidR="00D6256B" w:rsidRPr="00E34166" w:rsidRDefault="00D6256B" w:rsidP="00C362D5">
      <w:pPr>
        <w:pStyle w:val="Titolo4"/>
      </w:pPr>
      <w:bookmarkStart w:id="21" w:name="_Toc464554013"/>
      <w:bookmarkStart w:id="22" w:name="_Toc464554301"/>
      <w:bookmarkStart w:id="23" w:name="_Toc464631827"/>
      <w:bookmarkStart w:id="24" w:name="_Toc464634917"/>
      <w:r w:rsidRPr="00E34166">
        <w:t>Educating children and young people about respectful relationships</w:t>
      </w:r>
      <w:bookmarkEnd w:id="21"/>
      <w:bookmarkEnd w:id="22"/>
      <w:bookmarkEnd w:id="23"/>
      <w:bookmarkEnd w:id="24"/>
    </w:p>
    <w:p w:rsidR="00D6256B" w:rsidRPr="00021DD2" w:rsidRDefault="00D6256B" w:rsidP="000C52DC">
      <w:r w:rsidRPr="00021DD2">
        <w:t>In recent years there has been substantial advocacy for, and commitments made to, respectful relationships education across Australia. As part of the Third Action Plan of the Natio</w:t>
      </w:r>
      <w:r w:rsidR="003B3CCB" w:rsidRPr="00021DD2">
        <w:t>nal Plan, the Commonwealth and state and t</w:t>
      </w:r>
      <w:r w:rsidRPr="00021DD2">
        <w:t xml:space="preserve">erritory </w:t>
      </w:r>
      <w:r w:rsidR="00BB709A">
        <w:t>g</w:t>
      </w:r>
      <w:r w:rsidRPr="00021DD2">
        <w:t>overnments agreed to ‘support schools and teachers to deliver age-appropriate and evidence-based respectful relationships education to all school children covering sexual violence, gender equality issues and a range of other relationships issues and tailored to vulnerable cohorts’.</w:t>
      </w:r>
    </w:p>
    <w:p w:rsidR="00D6256B" w:rsidRPr="00021DD2" w:rsidRDefault="00D6256B" w:rsidP="000C52DC">
      <w:r w:rsidRPr="00021DD2">
        <w:t xml:space="preserve">To drive this commitment forward, the </w:t>
      </w:r>
      <w:r w:rsidRPr="00021DD2">
        <w:rPr>
          <w:lang w:val="en-US"/>
        </w:rPr>
        <w:t>National Respectful Relationships Education Expert Group has been established to</w:t>
      </w:r>
      <w:r w:rsidRPr="00021DD2">
        <w:t xml:space="preserve"> oversee the development of evidence</w:t>
      </w:r>
      <w:r w:rsidRPr="00021DD2">
        <w:noBreakHyphen/>
        <w:t xml:space="preserve">based, best practice respectful relationships education policy and practice across Australia. The Expert Group will also provide technical support for specific initiatives, such as Our Watch and Luke Batty Foundation’s Creating a violence free future: Respectful Relationships Education in Australian Primary Schools program. The Expert Group, of which I am a member, is tasked with reviewing respectful relationships education policy, programs and practice; advising on emerging issues; sharing current approaches, research and evidence; and providing expertise and advice to </w:t>
      </w:r>
      <w:r w:rsidRPr="00021DD2">
        <w:rPr>
          <w:lang w:val="en-US"/>
        </w:rPr>
        <w:t>assist the effective implementation of respectful relationships education in primary and secondary schools</w:t>
      </w:r>
      <w:r w:rsidRPr="00021DD2">
        <w:t>.</w:t>
      </w:r>
    </w:p>
    <w:p w:rsidR="00D6256B" w:rsidRPr="00021DD2" w:rsidRDefault="00D6256B" w:rsidP="000C52DC">
      <w:r w:rsidRPr="00021DD2">
        <w:t xml:space="preserve">In March 2017, I presented at the Wellbeing Australia Conference on </w:t>
      </w:r>
      <w:r w:rsidRPr="00021DD2">
        <w:rPr>
          <w:u w:color="000000"/>
          <w:bdr w:val="nil"/>
        </w:rPr>
        <w:t xml:space="preserve">how child rights-based approaches in education and care help to promote respectful relationships and resilience, and contribute to the protection of children’s rights in Australia. </w:t>
      </w:r>
      <w:r w:rsidRPr="00021DD2">
        <w:t xml:space="preserve">In July 2017, I presented at the National Suicide Prevention Conference on ‘creating safety: building respect, resilience and relationships using children’s rights’. </w:t>
      </w:r>
    </w:p>
    <w:p w:rsidR="00D6256B" w:rsidRPr="00E34166" w:rsidRDefault="00D6256B" w:rsidP="00C362D5">
      <w:pPr>
        <w:pStyle w:val="Titolo4"/>
      </w:pPr>
      <w:r w:rsidRPr="00E34166">
        <w:t>Raising awareness about the impact of family and domestic violence on children</w:t>
      </w:r>
    </w:p>
    <w:p w:rsidR="00D6256B" w:rsidRPr="00021DD2" w:rsidRDefault="00D6256B" w:rsidP="00D6256B">
      <w:pPr>
        <w:rPr>
          <w:rFonts w:cs="Arial"/>
        </w:rPr>
      </w:pPr>
      <w:r w:rsidRPr="00021DD2">
        <w:rPr>
          <w:rFonts w:cs="Arial"/>
        </w:rPr>
        <w:t xml:space="preserve">Over the reporting period, I gave a number of presentations concerning the impact of family and domestic violence on children and young people. </w:t>
      </w:r>
    </w:p>
    <w:p w:rsidR="00D6256B" w:rsidRPr="00021DD2" w:rsidRDefault="00D6256B" w:rsidP="00D6256B">
      <w:pPr>
        <w:rPr>
          <w:rFonts w:cs="Arial"/>
        </w:rPr>
      </w:pPr>
      <w:r w:rsidRPr="00021DD2">
        <w:rPr>
          <w:rFonts w:cs="Arial"/>
        </w:rPr>
        <w:t xml:space="preserve">In August 2016, I presented at the </w:t>
      </w:r>
      <w:r w:rsidRPr="00021DD2">
        <w:rPr>
          <w:rFonts w:cs="Arial"/>
          <w:lang w:val="en-US"/>
        </w:rPr>
        <w:t>International Congress on Child Abuse and Neglect in Calgary, Canada.</w:t>
      </w:r>
      <w:r w:rsidRPr="00021DD2">
        <w:rPr>
          <w:rFonts w:cs="Arial"/>
        </w:rPr>
        <w:t xml:space="preserve"> My presentation focused on the intersection of intentional self-harm among children and their experiences of family and domestic violence, outlining key findings, policy and research implications, and areas of promising practice. I recommended a public health approach to family violence that prioritises the unique needs and rights of children.</w:t>
      </w:r>
    </w:p>
    <w:p w:rsidR="00D6256B" w:rsidRPr="00021DD2" w:rsidRDefault="00D6256B" w:rsidP="00D6256B">
      <w:pPr>
        <w:rPr>
          <w:rFonts w:cs="Arial"/>
          <w:color w:val="000000"/>
          <w:lang w:eastAsia="en-US"/>
        </w:rPr>
      </w:pPr>
      <w:r w:rsidRPr="00021DD2">
        <w:rPr>
          <w:rFonts w:cs="Arial"/>
          <w:color w:val="000000"/>
          <w:lang w:eastAsia="en-US"/>
        </w:rPr>
        <w:t xml:space="preserve">In November 2016, I presented on the Children and Family Violence Panel of the Sydney Children’s Hospital Network. </w:t>
      </w:r>
      <w:r w:rsidRPr="00021DD2">
        <w:rPr>
          <w:rFonts w:cs="Arial"/>
        </w:rPr>
        <w:t xml:space="preserve">I discussed the findings of my 2015 examination into the impact of family and domestic violence on children and young people, and outlined current initiatives to promote the rights and wellbeing of children exposed to violence in the home, highlighting areas where further action is required. </w:t>
      </w:r>
    </w:p>
    <w:p w:rsidR="00D6256B" w:rsidRPr="00021DD2" w:rsidRDefault="00D6256B" w:rsidP="00D6256B">
      <w:pPr>
        <w:rPr>
          <w:rFonts w:cs="Arial"/>
          <w:color w:val="000000"/>
          <w:lang w:eastAsia="en-US"/>
        </w:rPr>
      </w:pPr>
      <w:r w:rsidRPr="00021DD2">
        <w:rPr>
          <w:rFonts w:cs="Arial"/>
        </w:rPr>
        <w:t>Also in November 2016, I participated as a panellist on a Commonwealth Bank discussion raising awareness of the impact of family and domestic violen</w:t>
      </w:r>
      <w:r w:rsidR="003B3CCB" w:rsidRPr="00021DD2">
        <w:rPr>
          <w:rFonts w:cs="Arial"/>
        </w:rPr>
        <w:t>ce on families, women, children</w:t>
      </w:r>
      <w:r w:rsidRPr="00021DD2">
        <w:rPr>
          <w:rFonts w:cs="Arial"/>
        </w:rPr>
        <w:t xml:space="preserve"> and the workplace. I highlighted the unique and significant impacts that family and domestic violence has on children and young people as witnesses, bystanders and direct victims of violence in the home. I also raised the</w:t>
      </w:r>
      <w:r w:rsidRPr="00021DD2">
        <w:rPr>
          <w:rFonts w:cs="Arial"/>
          <w:color w:val="000000"/>
          <w:lang w:eastAsia="en-US"/>
        </w:rPr>
        <w:t xml:space="preserve"> lack of nationally consistent and disaggregated data about children affected by family and domestic violence.</w:t>
      </w:r>
    </w:p>
    <w:p w:rsidR="00D6256B" w:rsidRPr="00021DD2" w:rsidRDefault="00D6256B" w:rsidP="00D6256B">
      <w:pPr>
        <w:rPr>
          <w:rFonts w:cs="Arial"/>
        </w:rPr>
      </w:pPr>
      <w:r w:rsidRPr="00021DD2">
        <w:rPr>
          <w:rFonts w:cs="Arial"/>
        </w:rPr>
        <w:t xml:space="preserve">I have also raised awareness of the impact of family and domestic violence on children through my involvement in meetings, forums and initiatives. </w:t>
      </w:r>
    </w:p>
    <w:p w:rsidR="00D6256B" w:rsidRPr="00021DD2" w:rsidRDefault="00D6256B" w:rsidP="00D6256B">
      <w:pPr>
        <w:rPr>
          <w:rFonts w:cs="Arial"/>
        </w:rPr>
      </w:pPr>
      <w:r w:rsidRPr="00021DD2">
        <w:rPr>
          <w:rFonts w:cs="Arial"/>
        </w:rPr>
        <w:t>In February 2017, I attended a meeting with members of Goodstart’s Early Learning &amp; Care Reference Committee. Goodstart is Australia’s largest early learning provider, providing services to almost 70,000 children, and is driving a program to Enhance Children’s Outcomes (EChO). Under this program, 40 centres have be</w:t>
      </w:r>
      <w:r w:rsidR="003B3CCB" w:rsidRPr="00021DD2">
        <w:rPr>
          <w:rFonts w:cs="Arial"/>
        </w:rPr>
        <w:t>en selected to provide prevent</w:t>
      </w:r>
      <w:r w:rsidRPr="00021DD2">
        <w:rPr>
          <w:rFonts w:cs="Arial"/>
        </w:rPr>
        <w:t>ive and early intervention support for children aged up to five years from disadvantaged families, including those who may be vulnerable to family and domestic violence. The aim of the EChO approach is to increase children’s learning, development and wellbeing.</w:t>
      </w:r>
      <w:r w:rsidRPr="00021DD2">
        <w:rPr>
          <w:rStyle w:val="Rimandonotadichiusura"/>
          <w:rFonts w:cs="Arial"/>
        </w:rPr>
        <w:endnoteReference w:id="25"/>
      </w:r>
      <w:r w:rsidRPr="00021DD2">
        <w:rPr>
          <w:rFonts w:cs="Arial"/>
        </w:rPr>
        <w:t xml:space="preserve"> Goodstart’s Family and Domestic Violence Project is looking into the best support for children and families who are experiencing or have experienced domestic and family violence. The aim of the project is to determine new and better ways to connect children and families to wider support services and information.</w:t>
      </w:r>
      <w:r w:rsidR="000F10F4">
        <w:rPr>
          <w:rFonts w:cs="Arial"/>
        </w:rPr>
        <w:t xml:space="preserve"> </w:t>
      </w:r>
    </w:p>
    <w:p w:rsidR="00D6256B" w:rsidRPr="00021DD2" w:rsidRDefault="00D6256B" w:rsidP="00D6256B">
      <w:pPr>
        <w:rPr>
          <w:rFonts w:cs="Arial"/>
        </w:rPr>
      </w:pPr>
      <w:r w:rsidRPr="00021DD2">
        <w:rPr>
          <w:rFonts w:cs="Arial"/>
          <w:bCs/>
        </w:rPr>
        <w:t>In November 2016, I</w:t>
      </w:r>
      <w:r w:rsidRPr="00021DD2">
        <w:rPr>
          <w:rFonts w:cs="Arial"/>
          <w:b/>
          <w:bCs/>
        </w:rPr>
        <w:t xml:space="preserve"> </w:t>
      </w:r>
      <w:r w:rsidRPr="00021DD2">
        <w:rPr>
          <w:rFonts w:cs="Arial"/>
        </w:rPr>
        <w:t xml:space="preserve">stood alongside domestic violence prevention advocates </w:t>
      </w:r>
      <w:r w:rsidRPr="00021DD2">
        <w:rPr>
          <w:rFonts w:cs="Arial"/>
          <w:bCs/>
          <w:iCs/>
        </w:rPr>
        <w:t>Rosie Batty and Jimmy Bartel for the</w:t>
      </w:r>
      <w:r w:rsidRPr="00021DD2">
        <w:rPr>
          <w:rFonts w:cs="Arial"/>
          <w:b/>
          <w:bCs/>
          <w:i/>
          <w:iCs/>
        </w:rPr>
        <w:t xml:space="preserve"> </w:t>
      </w:r>
      <w:r w:rsidRPr="00021DD2">
        <w:rPr>
          <w:rFonts w:cs="Arial"/>
        </w:rPr>
        <w:t>1800RESPECT’s Stand Together Against Domestic and Family Violence and the 16 Days of Action campaign launch in Melbourne. The campaign was launched in conjunction with 1800RESPECT’s Frontline Workers Toolkit, which will equip frontline workers across Australia with information to help identify the signs of family and domestic violence and respond appropriately.</w:t>
      </w:r>
      <w:r w:rsidRPr="00021DD2">
        <w:rPr>
          <w:rStyle w:val="Rimandonotadichiusura"/>
          <w:rFonts w:cs="Arial"/>
        </w:rPr>
        <w:endnoteReference w:id="26"/>
      </w:r>
      <w:r w:rsidR="000F10F4">
        <w:rPr>
          <w:rFonts w:cs="Arial"/>
        </w:rPr>
        <w:t xml:space="preserve"> </w:t>
      </w:r>
    </w:p>
    <w:p w:rsidR="00D6256B" w:rsidRPr="00021DD2" w:rsidRDefault="00D6256B" w:rsidP="00D6256B">
      <w:pPr>
        <w:rPr>
          <w:rFonts w:cs="Arial"/>
        </w:rPr>
      </w:pPr>
      <w:r w:rsidRPr="00021DD2">
        <w:rPr>
          <w:rFonts w:cs="Arial"/>
        </w:rPr>
        <w:t xml:space="preserve">On 14 February 2017, members of the Commission and I met with the United Nations Special Rapporteur on Violence Against Women during her visit to Australia. This followed a submission that the Commission made to the Special Rapporteur to inform her visit, which provided general background information on violence against women in Australia, recent policy developments in Australia relating to violence against women, and the Commission’s work on violence against women. During her visit, </w:t>
      </w:r>
      <w:r w:rsidR="003B3CCB" w:rsidRPr="00021DD2">
        <w:rPr>
          <w:rFonts w:cs="Arial"/>
        </w:rPr>
        <w:t xml:space="preserve">some of the topics </w:t>
      </w:r>
      <w:r w:rsidRPr="00021DD2">
        <w:rPr>
          <w:rFonts w:cs="Arial"/>
        </w:rPr>
        <w:t xml:space="preserve">discussed, </w:t>
      </w:r>
      <w:r w:rsidR="003B3CCB" w:rsidRPr="00021DD2">
        <w:rPr>
          <w:rFonts w:cs="Arial"/>
        </w:rPr>
        <w:t>were</w:t>
      </w:r>
      <w:r w:rsidRPr="00021DD2">
        <w:rPr>
          <w:rFonts w:cs="Arial"/>
        </w:rPr>
        <w:t xml:space="preserve"> the experiences of violence amongst women and girls who face multiple intersecting forms of violence, feedback on the National Plan to Reduce Violence Against Women and their Children, and the Commission’s report on domestic and family violence death review mechanisms.</w:t>
      </w:r>
    </w:p>
    <w:p w:rsidR="00D6256B" w:rsidRPr="00021DD2" w:rsidRDefault="00D6256B" w:rsidP="00D6256B">
      <w:pPr>
        <w:rPr>
          <w:rFonts w:cs="Arial"/>
        </w:rPr>
      </w:pPr>
      <w:r w:rsidRPr="00021DD2">
        <w:rPr>
          <w:rFonts w:cs="Arial"/>
        </w:rPr>
        <w:t xml:space="preserve">I will continue to emphasise the importance of understanding children’s experiences and needs in relation to family and domestic violence as distinctive and separate to the experiences of adults. </w:t>
      </w:r>
    </w:p>
    <w:p w:rsidR="00D6256B" w:rsidRPr="00021DD2" w:rsidRDefault="00D6256B" w:rsidP="007811D8">
      <w:pPr>
        <w:pStyle w:val="Titolo3"/>
        <w:rPr>
          <w:rFonts w:cs="Arial"/>
        </w:rPr>
      </w:pPr>
      <w:bookmarkStart w:id="25" w:name="_Toc500308748"/>
      <w:r w:rsidRPr="00021DD2">
        <w:rPr>
          <w:rFonts w:cs="Arial"/>
        </w:rPr>
        <w:t>Self-harm and suicidal behaviour</w:t>
      </w:r>
      <w:bookmarkEnd w:id="25"/>
    </w:p>
    <w:p w:rsidR="00D6256B" w:rsidRPr="00021DD2" w:rsidRDefault="00D6256B" w:rsidP="00D6256B">
      <w:pPr>
        <w:rPr>
          <w:rFonts w:cs="Arial"/>
        </w:rPr>
      </w:pPr>
      <w:r w:rsidRPr="00021DD2">
        <w:rPr>
          <w:rFonts w:cs="Arial"/>
        </w:rPr>
        <w:t>In my Children’s Rights Report</w:t>
      </w:r>
      <w:r w:rsidR="003B3CCB" w:rsidRPr="00021DD2">
        <w:rPr>
          <w:rFonts w:cs="Arial"/>
        </w:rPr>
        <w:t xml:space="preserve"> 2014</w:t>
      </w:r>
      <w:r w:rsidRPr="00021DD2">
        <w:rPr>
          <w:rFonts w:cs="Arial"/>
        </w:rPr>
        <w:t>, I examined the issue of intentional self-harm, with or without suicidal intent, in children. Reflecting on what was known about intentional self-harm and suicidal behaviour in children in Australia, I became acutely aware of the gaps in our knowledge base, and continue to advocate for improvements in data, research and policy focus.</w:t>
      </w:r>
    </w:p>
    <w:p w:rsidR="00D6256B" w:rsidRPr="00021DD2" w:rsidRDefault="00D6256B" w:rsidP="00D6256B">
      <w:pPr>
        <w:rPr>
          <w:rFonts w:cs="Arial"/>
          <w:shd w:val="clear" w:color="auto" w:fill="FFFFFF"/>
        </w:rPr>
      </w:pPr>
      <w:r w:rsidRPr="00021DD2">
        <w:rPr>
          <w:rFonts w:cs="Arial"/>
        </w:rPr>
        <w:t>The Australian Bureau of Statistics (ABS) reports that, in 2016, suicide was the leading cause of death of children between five and 17 years of age.</w:t>
      </w:r>
      <w:r w:rsidRPr="00021DD2">
        <w:rPr>
          <w:rFonts w:cs="Arial"/>
          <w:shd w:val="clear" w:color="auto" w:fill="FFFFFF"/>
        </w:rPr>
        <w:t xml:space="preserve"> In 2016, the age-specific rate of suicide of children in this age group was 2.3 deaths per 100,000.</w:t>
      </w:r>
      <w:r w:rsidRPr="00021DD2">
        <w:rPr>
          <w:rStyle w:val="Rimandonotadichiusura"/>
          <w:rFonts w:cs="Arial"/>
        </w:rPr>
        <w:endnoteReference w:id="27"/>
      </w:r>
      <w:r w:rsidRPr="00021DD2">
        <w:rPr>
          <w:rFonts w:cs="Arial"/>
          <w:shd w:val="clear" w:color="auto" w:fill="FFFFFF"/>
        </w:rPr>
        <w:t xml:space="preserve"> </w:t>
      </w:r>
    </w:p>
    <w:p w:rsidR="00D6256B" w:rsidRPr="00021DD2" w:rsidRDefault="00D6256B" w:rsidP="00D6256B">
      <w:pPr>
        <w:spacing w:before="0" w:after="0"/>
        <w:rPr>
          <w:rFonts w:eastAsiaTheme="minorHAnsi" w:cs="Arial"/>
        </w:rPr>
      </w:pPr>
      <w:r w:rsidRPr="00021DD2">
        <w:rPr>
          <w:rFonts w:cs="Arial"/>
        </w:rPr>
        <w:t>In July 2017, I presented at the National Suicide Prevention Conference on how child safe organisations can create an environment that promotes child wellbeing and safety and protect</w:t>
      </w:r>
      <w:r w:rsidR="00766255" w:rsidRPr="00021DD2">
        <w:rPr>
          <w:rFonts w:cs="Arial"/>
        </w:rPr>
        <w:t>s</w:t>
      </w:r>
      <w:r w:rsidRPr="00021DD2">
        <w:rPr>
          <w:rFonts w:cs="Arial"/>
        </w:rPr>
        <w:t xml:space="preserve"> children from harm, including self-harm. My main message was that respectful, safe environments and cultures constitute a protective factor in preventing self-harm and suicide. Organisations that recognise children’s right to be heard enable children to feel empowered to speak up about their concerns, and this reduces rates of self-harm. </w:t>
      </w:r>
    </w:p>
    <w:p w:rsidR="00D6256B" w:rsidRPr="00021DD2" w:rsidRDefault="00D6256B" w:rsidP="00D6256B">
      <w:pPr>
        <w:rPr>
          <w:rFonts w:cs="Arial"/>
        </w:rPr>
      </w:pPr>
      <w:r w:rsidRPr="00021DD2">
        <w:rPr>
          <w:rFonts w:cs="Arial"/>
        </w:rPr>
        <w:t xml:space="preserve">In August 2017, the Australian Institute of Family Studies (AIFS) released the seventh edition of its </w:t>
      </w:r>
      <w:r w:rsidRPr="00021DD2">
        <w:rPr>
          <w:rFonts w:cs="Arial"/>
          <w:i/>
          <w:iCs/>
          <w:lang w:val="en"/>
        </w:rPr>
        <w:t>Longitudinal Study of Australian Children</w:t>
      </w:r>
      <w:r w:rsidRPr="00021DD2">
        <w:rPr>
          <w:rFonts w:cs="Arial"/>
          <w:lang w:val="en"/>
        </w:rPr>
        <w:t xml:space="preserve"> (</w:t>
      </w:r>
      <w:r w:rsidRPr="00021DD2">
        <w:rPr>
          <w:rFonts w:cs="Arial"/>
        </w:rPr>
        <w:t>LSAC) Annual Statistical Report, presenting findings on self-harm and suicidal behaviour of young people aged 14–15 years old.</w:t>
      </w:r>
      <w:r w:rsidRPr="00021DD2">
        <w:rPr>
          <w:rStyle w:val="Rimandonotadichiusura"/>
          <w:rFonts w:cs="Arial"/>
        </w:rPr>
        <w:endnoteReference w:id="28"/>
      </w:r>
      <w:r w:rsidRPr="00021DD2">
        <w:rPr>
          <w:rFonts w:cs="Arial"/>
        </w:rPr>
        <w:t xml:space="preserve"> Th</w:t>
      </w:r>
      <w:r w:rsidR="00766255" w:rsidRPr="00021DD2">
        <w:rPr>
          <w:rFonts w:cs="Arial"/>
        </w:rPr>
        <w:t xml:space="preserve">is national study, </w:t>
      </w:r>
      <w:r w:rsidRPr="00021DD2">
        <w:rPr>
          <w:rFonts w:cs="Arial"/>
          <w:lang w:val="en"/>
        </w:rPr>
        <w:t xml:space="preserve">involving </w:t>
      </w:r>
      <w:r w:rsidR="00E46E43">
        <w:rPr>
          <w:rFonts w:cs="Arial"/>
          <w:lang w:val="en"/>
        </w:rPr>
        <w:t>3,</w:t>
      </w:r>
      <w:r w:rsidR="00766255" w:rsidRPr="00021DD2">
        <w:rPr>
          <w:rFonts w:cs="Arial"/>
          <w:lang w:val="en"/>
        </w:rPr>
        <w:t xml:space="preserve">318 teenagers, </w:t>
      </w:r>
      <w:r w:rsidRPr="00021DD2">
        <w:rPr>
          <w:rFonts w:cs="Arial"/>
          <w:lang w:val="en"/>
        </w:rPr>
        <w:t>found that ten per cent of 14</w:t>
      </w:r>
      <w:r w:rsidR="00A821D7">
        <w:rPr>
          <w:rFonts w:cs="Arial"/>
          <w:lang w:val="en"/>
        </w:rPr>
        <w:t>–</w:t>
      </w:r>
      <w:r w:rsidRPr="00021DD2">
        <w:rPr>
          <w:rFonts w:cs="Arial"/>
          <w:lang w:val="en"/>
        </w:rPr>
        <w:t xml:space="preserve">15 year-olds reported that they had self-harmed in the previous 12 months and five per cent had attempted suicide. Girls were at greater risk of self-harm and suicide than boys. Certain teens were more at risk of self-harm than others, including those who reported being same-sex attracted, bisexual, or unsure of their sexuality; those with depression, anxiety or general feelings of unhappiness; and those who reported being threatened or feeling victimised by their peers because of their health, skin colour, sexual orientation, language, culture or religion. </w:t>
      </w:r>
    </w:p>
    <w:p w:rsidR="00D6256B" w:rsidRPr="00021DD2" w:rsidRDefault="00D6256B" w:rsidP="00D6256B">
      <w:pPr>
        <w:rPr>
          <w:rFonts w:cs="Arial"/>
        </w:rPr>
      </w:pPr>
      <w:r w:rsidRPr="00021DD2">
        <w:rPr>
          <w:rFonts w:cs="Arial"/>
        </w:rPr>
        <w:t>Overall, the findings highlight that interventions and preventive strategies should take place at both individual a</w:t>
      </w:r>
      <w:r w:rsidR="00766255" w:rsidRPr="00021DD2">
        <w:rPr>
          <w:rFonts w:cs="Arial"/>
        </w:rPr>
        <w:t>nd school levels. These preven</w:t>
      </w:r>
      <w:r w:rsidRPr="00021DD2">
        <w:rPr>
          <w:rFonts w:cs="Arial"/>
        </w:rPr>
        <w:t>tive strategies should be directed towards young people, in order to increase their awareness of risk factors, support services and other resources available. Programs to assist teachers and parents to appropriately assess the signs of self-harm and suicidal intent could considerably help to reduce the overall disability burden of self-destructive behaviour by young people.</w:t>
      </w:r>
      <w:r w:rsidRPr="00021DD2">
        <w:rPr>
          <w:rStyle w:val="Rimandonotadichiusura"/>
          <w:rFonts w:cs="Arial"/>
        </w:rPr>
        <w:endnoteReference w:id="29"/>
      </w:r>
    </w:p>
    <w:p w:rsidR="00D6256B" w:rsidRPr="00021DD2" w:rsidRDefault="00D6256B" w:rsidP="007811D8">
      <w:pPr>
        <w:pStyle w:val="Titolo3"/>
        <w:rPr>
          <w:rFonts w:cs="Arial"/>
        </w:rPr>
      </w:pPr>
      <w:bookmarkStart w:id="26" w:name="_Toc500308749"/>
      <w:r w:rsidRPr="00021DD2">
        <w:rPr>
          <w:rFonts w:cs="Arial"/>
        </w:rPr>
        <w:t>Harmful sexual behaviours</w:t>
      </w:r>
      <w:bookmarkEnd w:id="26"/>
    </w:p>
    <w:p w:rsidR="00D6256B" w:rsidRPr="00021DD2" w:rsidRDefault="00D6256B" w:rsidP="00D6256B">
      <w:pPr>
        <w:rPr>
          <w:rFonts w:cs="Arial"/>
        </w:rPr>
      </w:pPr>
      <w:r w:rsidRPr="00021DD2">
        <w:rPr>
          <w:rFonts w:cs="Arial"/>
        </w:rPr>
        <w:t>In 2017, a working group of representatives from the Australian Children’s Commissioners and Guardians (ACCG), of which I am a member, was established on the issue of harmful sexual behaviours among children and young people. The working group has been formed to exchange information on relevant initiatives in each jurisdiction, and may recommend</w:t>
      </w:r>
      <w:r w:rsidR="00F43E1D" w:rsidRPr="00021DD2">
        <w:rPr>
          <w:rFonts w:cs="Arial"/>
        </w:rPr>
        <w:t xml:space="preserve"> </w:t>
      </w:r>
      <w:r w:rsidRPr="00021DD2">
        <w:rPr>
          <w:rFonts w:cs="Arial"/>
        </w:rPr>
        <w:t>the ACCG conduct joint work or resource development</w:t>
      </w:r>
      <w:r w:rsidR="00766255" w:rsidRPr="00021DD2">
        <w:rPr>
          <w:rFonts w:cs="Arial"/>
        </w:rPr>
        <w:t xml:space="preserve"> in this</w:t>
      </w:r>
      <w:r w:rsidRPr="00021DD2">
        <w:rPr>
          <w:rFonts w:cs="Arial"/>
        </w:rPr>
        <w:t xml:space="preserve"> area. The working group is developing a discussion paper for consideration by ACCG members.</w:t>
      </w:r>
    </w:p>
    <w:p w:rsidR="00F43E1D" w:rsidRPr="00021DD2" w:rsidRDefault="00766255" w:rsidP="00EC07F8">
      <w:pPr>
        <w:pStyle w:val="11"/>
      </w:pPr>
      <w:bookmarkStart w:id="27" w:name="_Toc463356884"/>
      <w:bookmarkStart w:id="28" w:name="_Toc500308750"/>
      <w:r w:rsidRPr="00021DD2">
        <w:t>The o</w:t>
      </w:r>
      <w:r w:rsidR="00F43E1D" w:rsidRPr="00021DD2">
        <w:t>pportunity to thrive</w:t>
      </w:r>
      <w:bookmarkEnd w:id="27"/>
      <w:bookmarkEnd w:id="28"/>
    </w:p>
    <w:p w:rsidR="00F43E1D" w:rsidRPr="00021DD2" w:rsidRDefault="00F43E1D" w:rsidP="00F43E1D">
      <w:pPr>
        <w:rPr>
          <w:rFonts w:cs="Arial"/>
        </w:rPr>
      </w:pPr>
      <w:r w:rsidRPr="00021DD2">
        <w:rPr>
          <w:rFonts w:cs="Arial"/>
        </w:rPr>
        <w:t xml:space="preserve">The opportunity to thrive involves promoting the health and wellbeing of all children and young people in Australia and, in particular, addressing the unequal life opportunities that exist for vulnerable groups of children and young people. </w:t>
      </w:r>
    </w:p>
    <w:p w:rsidR="00F43E1D" w:rsidRPr="00021DD2" w:rsidRDefault="00F43E1D" w:rsidP="00F43E1D">
      <w:pPr>
        <w:rPr>
          <w:rFonts w:cs="Arial"/>
        </w:rPr>
      </w:pPr>
      <w:r w:rsidRPr="00021DD2">
        <w:rPr>
          <w:rFonts w:cs="Arial"/>
        </w:rPr>
        <w:t>Children who experience poverty, marginalisation and discrimination are especially vulnerable to abuses of their rights. In my work, I pay particular attention to promoting the rights of these children.</w:t>
      </w:r>
    </w:p>
    <w:p w:rsidR="00F43E1D" w:rsidRPr="00B934D7" w:rsidRDefault="00F43E1D" w:rsidP="00222517">
      <w:pPr>
        <w:pStyle w:val="Titolo3"/>
        <w:numPr>
          <w:ilvl w:val="2"/>
          <w:numId w:val="197"/>
        </w:numPr>
        <w:rPr>
          <w:rFonts w:cs="Arial"/>
        </w:rPr>
      </w:pPr>
      <w:bookmarkStart w:id="29" w:name="_Toc500308751"/>
      <w:r w:rsidRPr="00B934D7">
        <w:rPr>
          <w:rFonts w:cs="Arial"/>
        </w:rPr>
        <w:t>Identity documents for children and young people in out-of-home care</w:t>
      </w:r>
      <w:bookmarkEnd w:id="29"/>
      <w:r w:rsidRPr="00B934D7">
        <w:rPr>
          <w:rFonts w:cs="Arial"/>
        </w:rPr>
        <w:t xml:space="preserve"> </w:t>
      </w:r>
    </w:p>
    <w:p w:rsidR="00F43E1D" w:rsidRPr="00021DD2" w:rsidRDefault="00F43E1D" w:rsidP="00F43E1D">
      <w:pPr>
        <w:spacing w:after="0"/>
        <w:rPr>
          <w:rFonts w:cs="Arial"/>
        </w:rPr>
      </w:pPr>
      <w:r w:rsidRPr="00021DD2">
        <w:rPr>
          <w:rStyle w:val="Titolodellibro"/>
          <w:rFonts w:cs="Arial"/>
        </w:rPr>
        <w:t xml:space="preserve">Children and young people receiving statutory child protection services often face difficulties accessing identity documents, stemming from the lack of birth registration or access to a birth certificate; the complexity of citizenship and passport requirements; and the limited communication and information sharing between jurisdictions and portfolio agencies. </w:t>
      </w:r>
      <w:r w:rsidRPr="00021DD2">
        <w:rPr>
          <w:rFonts w:cs="Arial"/>
        </w:rPr>
        <w:t xml:space="preserve">This can mean that children and young people in </w:t>
      </w:r>
      <w:r w:rsidR="00766255" w:rsidRPr="00021DD2">
        <w:rPr>
          <w:rFonts w:cs="Arial"/>
        </w:rPr>
        <w:t>OOHC</w:t>
      </w:r>
      <w:r w:rsidRPr="00021DD2">
        <w:rPr>
          <w:rFonts w:cs="Arial"/>
        </w:rPr>
        <w:t xml:space="preserve"> do not receive timely treatment for health conditions, have difficulties enrolling in school, and miss out on school excursions, sporting and cultural opportunities. Families may be prevented from taking overseas holidays together. </w:t>
      </w:r>
    </w:p>
    <w:p w:rsidR="00F43E1D" w:rsidRPr="00021DD2" w:rsidRDefault="00F43E1D" w:rsidP="00F43E1D">
      <w:pPr>
        <w:rPr>
          <w:rFonts w:cs="Arial"/>
        </w:rPr>
      </w:pPr>
      <w:r w:rsidRPr="00021DD2">
        <w:rPr>
          <w:rFonts w:cs="Arial"/>
        </w:rPr>
        <w:t>This kind of differential treatment raises significant human rights issues for children, including violations of their rights to be recognised as Australian citizens,</w:t>
      </w:r>
      <w:r w:rsidRPr="00021DD2">
        <w:rPr>
          <w:rStyle w:val="Rimandonotadichiusura"/>
          <w:rFonts w:cs="Arial"/>
        </w:rPr>
        <w:endnoteReference w:id="30"/>
      </w:r>
      <w:r w:rsidRPr="00021DD2">
        <w:rPr>
          <w:rFonts w:cs="Arial"/>
        </w:rPr>
        <w:t xml:space="preserve"> access health services and income support,</w:t>
      </w:r>
      <w:r w:rsidRPr="00021DD2">
        <w:rPr>
          <w:rStyle w:val="Rimandonotadichiusura"/>
          <w:rFonts w:cs="Arial"/>
        </w:rPr>
        <w:endnoteReference w:id="31"/>
      </w:r>
      <w:r w:rsidRPr="00021DD2">
        <w:rPr>
          <w:rFonts w:cs="Arial"/>
        </w:rPr>
        <w:t xml:space="preserve"> and be treated without discrimination.</w:t>
      </w:r>
      <w:r w:rsidRPr="00021DD2">
        <w:rPr>
          <w:rStyle w:val="Rimandonotadichiusura"/>
          <w:rFonts w:cs="Arial"/>
        </w:rPr>
        <w:endnoteReference w:id="32"/>
      </w:r>
      <w:r w:rsidRPr="00021DD2">
        <w:rPr>
          <w:rFonts w:cs="Arial"/>
        </w:rPr>
        <w:t xml:space="preserve"> It also significantly impacts on children's sense of identity and belonging and the quality of their relationships with carers. </w:t>
      </w:r>
    </w:p>
    <w:p w:rsidR="00F43E1D" w:rsidRPr="00021DD2" w:rsidRDefault="00F43E1D" w:rsidP="00F43E1D">
      <w:pPr>
        <w:spacing w:after="0"/>
        <w:rPr>
          <w:rStyle w:val="Titolodellibro"/>
          <w:rFonts w:cs="Arial"/>
        </w:rPr>
      </w:pPr>
      <w:r w:rsidRPr="00021DD2">
        <w:rPr>
          <w:rFonts w:cs="Arial"/>
        </w:rPr>
        <w:t xml:space="preserve">I am pleased to report that this issue is now under active consideration at a national level by the Identity Documents Working Group (IDWG). </w:t>
      </w:r>
      <w:r w:rsidRPr="00021DD2">
        <w:rPr>
          <w:rStyle w:val="Titolodellibro"/>
          <w:rFonts w:cs="Arial"/>
        </w:rPr>
        <w:t xml:space="preserve">The IDWG was established in August 2016 to identify opportunities and practical solutions across state, territory and Commonwealth governments to simplify the process of accessing identity documents for children and young people receiving statutory child protection services. The IDWG is chaired by the Commonwealth </w:t>
      </w:r>
      <w:r w:rsidR="00766255" w:rsidRPr="00021DD2">
        <w:rPr>
          <w:rStyle w:val="Titolodellibro"/>
          <w:rFonts w:cs="Arial"/>
        </w:rPr>
        <w:t xml:space="preserve">DSS </w:t>
      </w:r>
      <w:r w:rsidRPr="00021DD2">
        <w:rPr>
          <w:rStyle w:val="Titolodellibro"/>
          <w:rFonts w:cs="Arial"/>
        </w:rPr>
        <w:t xml:space="preserve">in partnership with the National Children’s Commissioner. The IDWG will report directly to the Children and Families Secretaries Group. </w:t>
      </w:r>
    </w:p>
    <w:p w:rsidR="00F43E1D" w:rsidRPr="00021DD2" w:rsidRDefault="00F43E1D" w:rsidP="00F43E1D">
      <w:pPr>
        <w:spacing w:after="0"/>
        <w:rPr>
          <w:rFonts w:cs="Arial"/>
        </w:rPr>
      </w:pPr>
      <w:r w:rsidRPr="00021DD2">
        <w:rPr>
          <w:rFonts w:cs="Arial"/>
        </w:rPr>
        <w:t xml:space="preserve">The IDWG is currently exploring opportunities for reform to help children involved in child protection obtain a passport, and is in the process of documenting current barriers and opportunities in this area. </w:t>
      </w:r>
    </w:p>
    <w:p w:rsidR="00F43E1D" w:rsidRPr="00021DD2" w:rsidRDefault="00F43E1D" w:rsidP="007811D8">
      <w:pPr>
        <w:pStyle w:val="Titolo3"/>
        <w:rPr>
          <w:rFonts w:cs="Arial"/>
        </w:rPr>
      </w:pPr>
      <w:bookmarkStart w:id="30" w:name="_Toc500308752"/>
      <w:r w:rsidRPr="00021DD2">
        <w:rPr>
          <w:rFonts w:cs="Arial"/>
        </w:rPr>
        <w:t>Creating safe digital environments for children and young people</w:t>
      </w:r>
      <w:bookmarkEnd w:id="30"/>
    </w:p>
    <w:p w:rsidR="00F43E1D" w:rsidRPr="00021DD2" w:rsidRDefault="00F43E1D" w:rsidP="00F43E1D">
      <w:pPr>
        <w:rPr>
          <w:rFonts w:cs="Arial"/>
        </w:rPr>
      </w:pPr>
      <w:r w:rsidRPr="00021DD2">
        <w:rPr>
          <w:rFonts w:cs="Arial"/>
        </w:rPr>
        <w:t>During the past year, I have continued to engage in discussion about the creation of safe online spaces for children and young people.</w:t>
      </w:r>
    </w:p>
    <w:p w:rsidR="00F43E1D" w:rsidRPr="00021DD2" w:rsidRDefault="00F43E1D" w:rsidP="00F43E1D">
      <w:pPr>
        <w:rPr>
          <w:rFonts w:cs="Arial"/>
        </w:rPr>
      </w:pPr>
      <w:r w:rsidRPr="00021DD2">
        <w:rPr>
          <w:rFonts w:cs="Arial"/>
        </w:rPr>
        <w:t xml:space="preserve">A key avenue for this aspect of my work is my membership of the national Online Safety Consultative Working Group (OSCWG), chaired by the eSafety Commissioner. In November 2016, the Senate Environment and Communications References Committee released its report on </w:t>
      </w:r>
      <w:r w:rsidRPr="00021DD2">
        <w:rPr>
          <w:rFonts w:cs="Arial"/>
          <w:i/>
        </w:rPr>
        <w:t>Harm being done to Australian children through access to pornography on the Internet</w:t>
      </w:r>
      <w:r w:rsidRPr="00021DD2">
        <w:rPr>
          <w:rFonts w:cs="Arial"/>
        </w:rPr>
        <w:t>.</w:t>
      </w:r>
      <w:r w:rsidRPr="00021DD2">
        <w:rPr>
          <w:rStyle w:val="Rimandonotadichiusura"/>
          <w:rFonts w:cs="Arial"/>
        </w:rPr>
        <w:endnoteReference w:id="33"/>
      </w:r>
      <w:r w:rsidRPr="00021DD2">
        <w:rPr>
          <w:rFonts w:cs="Arial"/>
        </w:rPr>
        <w:t xml:space="preserve"> On 20 April 2017, the </w:t>
      </w:r>
      <w:r w:rsidR="00F20B5B">
        <w:rPr>
          <w:rFonts w:cs="Arial"/>
        </w:rPr>
        <w:t xml:space="preserve">Australian </w:t>
      </w:r>
      <w:r w:rsidRPr="00021DD2">
        <w:rPr>
          <w:rFonts w:cs="Arial"/>
        </w:rPr>
        <w:t>Government responded to the Senate repor</w:t>
      </w:r>
      <w:r w:rsidR="00766255" w:rsidRPr="00021DD2">
        <w:rPr>
          <w:rFonts w:cs="Arial"/>
        </w:rPr>
        <w:t xml:space="preserve">t </w:t>
      </w:r>
      <w:r w:rsidRPr="00021DD2">
        <w:rPr>
          <w:rFonts w:cs="Arial"/>
        </w:rPr>
        <w:t>and asked the eSafety Commissioner to establish an expert panel from the OSCWG to assist with shaping policy measures in response to the Senate report.</w:t>
      </w:r>
      <w:r w:rsidRPr="00021DD2">
        <w:rPr>
          <w:rStyle w:val="Rimandonotadichiusura"/>
          <w:rFonts w:cs="Arial"/>
        </w:rPr>
        <w:endnoteReference w:id="34"/>
      </w:r>
      <w:r w:rsidRPr="00021DD2">
        <w:rPr>
          <w:rFonts w:cs="Arial"/>
        </w:rPr>
        <w:t xml:space="preserve"> </w:t>
      </w:r>
    </w:p>
    <w:p w:rsidR="00F43E1D" w:rsidRPr="00021DD2" w:rsidRDefault="00F43E1D" w:rsidP="00F43E1D">
      <w:pPr>
        <w:rPr>
          <w:rFonts w:cs="Arial"/>
        </w:rPr>
      </w:pPr>
      <w:r w:rsidRPr="00021DD2">
        <w:rPr>
          <w:rFonts w:cs="Arial"/>
        </w:rPr>
        <w:t xml:space="preserve">On 4 April 2017, I participated in an eSafety Expert Panel Meeting and consultation with children and young people, chaired by Justice Jennifer Coate and Commissioner Bob Atkinson from the Royal Commission. The purpose of the meeting was to discuss how to prevent online child sexual abuse in institutions, as well as institutional responses to online child sexual abuse. Our consultation sought the views of children and young people on risks, prevention, responses, and child safe institutions in the context of e-safety. </w:t>
      </w:r>
    </w:p>
    <w:p w:rsidR="00F43E1D" w:rsidRPr="00021DD2" w:rsidRDefault="00F43E1D" w:rsidP="00F43E1D">
      <w:pPr>
        <w:rPr>
          <w:rFonts w:cs="Arial"/>
        </w:rPr>
      </w:pPr>
      <w:r w:rsidRPr="00021DD2">
        <w:rPr>
          <w:rFonts w:cs="Arial"/>
          <w:lang w:val="en"/>
        </w:rPr>
        <w:t>One unintended consequence of the explosion of digital technology is the proliferation of onlin</w:t>
      </w:r>
      <w:r w:rsidR="00766255" w:rsidRPr="00021DD2">
        <w:rPr>
          <w:rFonts w:cs="Arial"/>
          <w:lang w:val="en"/>
        </w:rPr>
        <w:t xml:space="preserve">e child exploitation material </w:t>
      </w:r>
      <w:r w:rsidRPr="00021DD2">
        <w:rPr>
          <w:rFonts w:cs="Arial"/>
          <w:lang w:val="en"/>
        </w:rPr>
        <w:t xml:space="preserve">and increased opportunities for child sex offenders to connect with other offenders. This is the central finding of Anti-Slavery Australia’s report, </w:t>
      </w:r>
      <w:r w:rsidRPr="00021DD2">
        <w:rPr>
          <w:rFonts w:cs="Arial"/>
          <w:i/>
          <w:lang w:val="en"/>
        </w:rPr>
        <w:t>Behind the Screen: Online Child Exploitation in Australia</w:t>
      </w:r>
      <w:r w:rsidRPr="00021DD2">
        <w:rPr>
          <w:rFonts w:cs="Arial"/>
          <w:lang w:val="en"/>
        </w:rPr>
        <w:t>,</w:t>
      </w:r>
      <w:r w:rsidRPr="00021DD2">
        <w:rPr>
          <w:rStyle w:val="Rimandonotadichiusura"/>
          <w:rFonts w:cs="Arial"/>
        </w:rPr>
        <w:endnoteReference w:id="35"/>
      </w:r>
      <w:r w:rsidRPr="00021DD2">
        <w:rPr>
          <w:rFonts w:cs="Arial"/>
        </w:rPr>
        <w:t xml:space="preserve"> which was launched in May 2017</w:t>
      </w:r>
      <w:r w:rsidRPr="00021DD2">
        <w:rPr>
          <w:rFonts w:cs="Arial"/>
          <w:lang w:val="en"/>
        </w:rPr>
        <w:t xml:space="preserve">. This report is the first comprehensive summary of Australia’s response to online child exploitation and identifies the critical need for decisive and urgent action. </w:t>
      </w:r>
      <w:r w:rsidRPr="00021DD2">
        <w:rPr>
          <w:rFonts w:cs="Arial"/>
        </w:rPr>
        <w:t xml:space="preserve">As a member of the Child Cybersex Crime Research Project Advisory Board, I provided guidance on the development and implementation of recommendations for this report. </w:t>
      </w:r>
    </w:p>
    <w:p w:rsidR="00F43E1D" w:rsidRPr="00021DD2" w:rsidRDefault="00F43E1D" w:rsidP="00F43E1D">
      <w:pPr>
        <w:rPr>
          <w:rFonts w:cs="Arial"/>
          <w:lang w:val="en"/>
        </w:rPr>
      </w:pPr>
      <w:r w:rsidRPr="00021DD2">
        <w:rPr>
          <w:rFonts w:cs="Arial"/>
        </w:rPr>
        <w:t>The report brings together data and statistics previously unavailable to the public, provides expert commentary from interviews with representatives from leading law enforcement and non-government agencies, and draws on primary and secondary research to provide a comprehensive summary of Australia’s legal response to the issue of online child exploitation.</w:t>
      </w:r>
      <w:r w:rsidRPr="00021DD2">
        <w:rPr>
          <w:rFonts w:cs="Arial"/>
          <w:lang w:val="en"/>
        </w:rPr>
        <w:t xml:space="preserve"> The report recommends the establishment of a peak national body with representatives from government departments, law enforcement agencies and key stakeholders to streamline our response to th</w:t>
      </w:r>
      <w:r w:rsidR="00766255" w:rsidRPr="00021DD2">
        <w:rPr>
          <w:rFonts w:cs="Arial"/>
          <w:lang w:val="en"/>
        </w:rPr>
        <w:t>is</w:t>
      </w:r>
      <w:r w:rsidRPr="00021DD2">
        <w:rPr>
          <w:rFonts w:cs="Arial"/>
          <w:lang w:val="en"/>
        </w:rPr>
        <w:t xml:space="preserve"> issue. This could build on the important work of the eSafety Commissioner and others who are already turning their minds to addressing the online exploitation of children.</w:t>
      </w:r>
    </w:p>
    <w:p w:rsidR="00F43E1D" w:rsidRPr="00021DD2" w:rsidRDefault="00F43E1D" w:rsidP="007811D8">
      <w:pPr>
        <w:pStyle w:val="Titolo3"/>
        <w:rPr>
          <w:rFonts w:cs="Arial"/>
        </w:rPr>
      </w:pPr>
      <w:bookmarkStart w:id="31" w:name="_Toc500308753"/>
      <w:r w:rsidRPr="00021DD2">
        <w:rPr>
          <w:rFonts w:cs="Arial"/>
        </w:rPr>
        <w:t>Supporting improved outcomes for Aboriginal and Torres Strait Islander children and young people</w:t>
      </w:r>
      <w:bookmarkEnd w:id="31"/>
      <w:r w:rsidRPr="00021DD2">
        <w:rPr>
          <w:rFonts w:cs="Arial"/>
        </w:rPr>
        <w:t xml:space="preserve"> </w:t>
      </w:r>
    </w:p>
    <w:p w:rsidR="00F43E1D" w:rsidRPr="00021DD2" w:rsidRDefault="00F43E1D" w:rsidP="00F43E1D">
      <w:pPr>
        <w:rPr>
          <w:rFonts w:cs="Arial"/>
        </w:rPr>
      </w:pPr>
      <w:r w:rsidRPr="00021DD2">
        <w:rPr>
          <w:rFonts w:cs="Arial"/>
        </w:rPr>
        <w:t>In Australia, Aboriginal and Torres Strait Islander children and young people continue to face greater barriers to accessing their rights than their non-Indigenous peers and consistently experience lower levels of health, educat</w:t>
      </w:r>
      <w:r w:rsidR="00766255" w:rsidRPr="00021DD2">
        <w:rPr>
          <w:rFonts w:cs="Arial"/>
        </w:rPr>
        <w:t>ion</w:t>
      </w:r>
      <w:r w:rsidRPr="00021DD2">
        <w:rPr>
          <w:rFonts w:cs="Arial"/>
        </w:rPr>
        <w:t xml:space="preserve"> and socio-economic status.</w:t>
      </w:r>
      <w:r w:rsidRPr="00021DD2">
        <w:rPr>
          <w:rStyle w:val="Rimandonotadichiusura"/>
          <w:rFonts w:cs="Arial"/>
        </w:rPr>
        <w:endnoteReference w:id="36"/>
      </w:r>
    </w:p>
    <w:p w:rsidR="00F43E1D" w:rsidRPr="00021DD2" w:rsidRDefault="00F43E1D" w:rsidP="00F43E1D">
      <w:pPr>
        <w:rPr>
          <w:rFonts w:cs="Arial"/>
        </w:rPr>
      </w:pPr>
      <w:r w:rsidRPr="00021DD2">
        <w:rPr>
          <w:rFonts w:cs="Arial"/>
        </w:rPr>
        <w:t>A corollary of this is that Aboriginal and Torres Strait Islander children and young people are significantly overrepresented in the care and justice systems.</w:t>
      </w:r>
      <w:r w:rsidRPr="00021DD2">
        <w:rPr>
          <w:rStyle w:val="Rimandonotadichiusura"/>
          <w:rFonts w:cs="Arial"/>
        </w:rPr>
        <w:endnoteReference w:id="37"/>
      </w:r>
    </w:p>
    <w:p w:rsidR="00F43E1D" w:rsidRPr="00E34166" w:rsidRDefault="00F43E1D" w:rsidP="00C362D5">
      <w:pPr>
        <w:pStyle w:val="Titolo4"/>
      </w:pPr>
      <w:r w:rsidRPr="00E34166">
        <w:t xml:space="preserve">Justice Reinvestment </w:t>
      </w:r>
    </w:p>
    <w:p w:rsidR="00F43E1D" w:rsidRPr="00021DD2" w:rsidRDefault="00F43E1D" w:rsidP="00F43E1D">
      <w:pPr>
        <w:rPr>
          <w:rFonts w:cs="Arial"/>
        </w:rPr>
      </w:pPr>
      <w:r w:rsidRPr="00021DD2">
        <w:rPr>
          <w:rFonts w:cs="Arial"/>
        </w:rPr>
        <w:t xml:space="preserve">In the </w:t>
      </w:r>
      <w:r w:rsidRPr="00021DD2">
        <w:rPr>
          <w:rFonts w:cs="Arial"/>
          <w:i/>
        </w:rPr>
        <w:t>Children’s Rights Report 2016</w:t>
      </w:r>
      <w:r w:rsidRPr="00021DD2">
        <w:rPr>
          <w:rFonts w:cs="Arial"/>
        </w:rPr>
        <w:t>, I reported on the Just Reinvest NSW campaign, and my support for the campaign as a Justice Reinvestment Champion.</w:t>
      </w:r>
      <w:r w:rsidRPr="00021DD2">
        <w:rPr>
          <w:rStyle w:val="Rimandonotadichiusura"/>
          <w:rFonts w:cs="Arial"/>
        </w:rPr>
        <w:endnoteReference w:id="38"/>
      </w:r>
      <w:r w:rsidRPr="00021DD2">
        <w:rPr>
          <w:rFonts w:cs="Arial"/>
        </w:rPr>
        <w:t xml:space="preserve"> Justice reinvestment is a data driven, place-based approach to reduce offending and imprisonment and increase community safety. It is about re-orienting investment from costly tertiary services, like prisons, police and child protection systems,</w:t>
      </w:r>
      <w:r w:rsidR="0050582B">
        <w:rPr>
          <w:rFonts w:cs="Arial"/>
        </w:rPr>
        <w:t xml:space="preserve"> to prevention and diversionary-</w:t>
      </w:r>
      <w:r w:rsidRPr="00021DD2">
        <w:rPr>
          <w:rFonts w:cs="Arial"/>
        </w:rPr>
        <w:t>focused actions, services and programs in communities.</w:t>
      </w:r>
    </w:p>
    <w:p w:rsidR="00F43E1D" w:rsidRPr="00021DD2" w:rsidRDefault="00F43E1D" w:rsidP="00F43E1D">
      <w:pPr>
        <w:rPr>
          <w:rFonts w:cs="Arial"/>
          <w:lang w:val="en"/>
        </w:rPr>
      </w:pPr>
      <w:r w:rsidRPr="00021DD2">
        <w:rPr>
          <w:rFonts w:cs="Arial"/>
        </w:rPr>
        <w:t xml:space="preserve">In September 2016, KPMG published a report, </w:t>
      </w:r>
      <w:r w:rsidRPr="00021DD2">
        <w:rPr>
          <w:rFonts w:cs="Arial"/>
          <w:i/>
        </w:rPr>
        <w:t>Unlocking the future</w:t>
      </w:r>
      <w:r w:rsidRPr="00021DD2">
        <w:rPr>
          <w:rFonts w:cs="Arial"/>
        </w:rPr>
        <w:t>, providing</w:t>
      </w:r>
      <w:r w:rsidRPr="00021DD2">
        <w:rPr>
          <w:rFonts w:cs="Arial"/>
          <w:lang w:val="en"/>
        </w:rPr>
        <w:t xml:space="preserve"> a comprehensive overview and preliminary assessment of activities undertaken during the first two years of justice reinvestment in Bourke, NSW, up to June 2016.</w:t>
      </w:r>
      <w:r w:rsidRPr="00AC65EB">
        <w:rPr>
          <w:rStyle w:val="Rimandonotadichiusura"/>
          <w:rFonts w:cs="Arial"/>
          <w:vertAlign w:val="baseline"/>
          <w:lang w:val="en"/>
        </w:rPr>
        <w:t xml:space="preserve"> </w:t>
      </w:r>
      <w:r w:rsidRPr="00021DD2">
        <w:rPr>
          <w:rFonts w:cs="Arial"/>
          <w:lang w:val="en"/>
        </w:rPr>
        <w:t>The report shows the strength in the approach taken in Bourke by the Maranguka Justice Reinvestment Project in reducing incarceration rates for Aboriginal young people. The Maranguka Justice Reinvestment Project is the first major justice reinvestment project occurring in Australia.</w:t>
      </w:r>
      <w:r w:rsidRPr="00021DD2">
        <w:rPr>
          <w:rStyle w:val="Rimandonotadichiusura"/>
          <w:rFonts w:cs="Arial"/>
          <w:lang w:val="en"/>
        </w:rPr>
        <w:endnoteReference w:id="39"/>
      </w:r>
    </w:p>
    <w:p w:rsidR="00F43E1D" w:rsidRPr="00021DD2" w:rsidRDefault="00F43E1D" w:rsidP="00F43E1D">
      <w:pPr>
        <w:rPr>
          <w:rFonts w:cs="Arial"/>
        </w:rPr>
      </w:pPr>
      <w:r w:rsidRPr="00021DD2">
        <w:rPr>
          <w:rFonts w:cs="Arial"/>
        </w:rPr>
        <w:t xml:space="preserve">On 10 August 2017, Just Reinvest NSW launched the first of its policy papers, </w:t>
      </w:r>
      <w:r w:rsidRPr="00021DD2">
        <w:rPr>
          <w:rFonts w:cs="Arial"/>
          <w:i/>
        </w:rPr>
        <w:t>Key Proposals #1</w:t>
      </w:r>
      <w:r w:rsidR="0050582B">
        <w:rPr>
          <w:rFonts w:cs="Arial"/>
          <w:i/>
        </w:rPr>
        <w:t xml:space="preserve"> </w:t>
      </w:r>
      <w:r w:rsidR="00645177" w:rsidRPr="00645177">
        <w:rPr>
          <w:rFonts w:cs="Arial"/>
          <w:i/>
        </w:rPr>
        <w:t>—</w:t>
      </w:r>
      <w:r w:rsidRPr="00021DD2">
        <w:rPr>
          <w:rFonts w:cs="Arial"/>
          <w:i/>
        </w:rPr>
        <w:t xml:space="preserve"> Smarter Sentencing and Parole Law Reform</w:t>
      </w:r>
      <w:r w:rsidRPr="00021DD2">
        <w:rPr>
          <w:rFonts w:cs="Arial"/>
        </w:rPr>
        <w:t xml:space="preserve">, at </w:t>
      </w:r>
      <w:r w:rsidR="00766255" w:rsidRPr="00021DD2">
        <w:rPr>
          <w:rFonts w:cs="Arial"/>
        </w:rPr>
        <w:t xml:space="preserve">NSW </w:t>
      </w:r>
      <w:r w:rsidRPr="00021DD2">
        <w:rPr>
          <w:rFonts w:cs="Arial"/>
        </w:rPr>
        <w:t>Parliament House. The paper details key proposals to reduce the rising prison population in</w:t>
      </w:r>
      <w:r w:rsidR="00766255" w:rsidRPr="00021DD2">
        <w:rPr>
          <w:rFonts w:cs="Arial"/>
        </w:rPr>
        <w:t xml:space="preserve"> NSW</w:t>
      </w:r>
      <w:r w:rsidRPr="00021DD2">
        <w:rPr>
          <w:rFonts w:cs="Arial"/>
        </w:rPr>
        <w:t>, with a particular view to addressing the level of Aboriginal overrepresentation.</w:t>
      </w:r>
      <w:r w:rsidRPr="00021DD2">
        <w:rPr>
          <w:rStyle w:val="Rimandonotadichiusura"/>
          <w:rFonts w:cs="Arial"/>
        </w:rPr>
        <w:endnoteReference w:id="40"/>
      </w:r>
    </w:p>
    <w:p w:rsidR="00F43E1D" w:rsidRPr="00021DD2" w:rsidRDefault="00F43E1D" w:rsidP="00F43E1D">
      <w:pPr>
        <w:rPr>
          <w:rFonts w:cs="Arial"/>
          <w:lang w:val="en"/>
        </w:rPr>
      </w:pPr>
      <w:r w:rsidRPr="00021DD2">
        <w:rPr>
          <w:rFonts w:cs="Arial"/>
        </w:rPr>
        <w:t xml:space="preserve">On 14 August 2017, I attended the second Maranguka Cross-Sector Leadership Group in Dubbo convened by The Hon Brad Hazzard, Minister for Health and Medical Research. </w:t>
      </w:r>
      <w:r w:rsidRPr="00021DD2">
        <w:rPr>
          <w:rFonts w:cs="Arial"/>
          <w:lang w:val="en"/>
        </w:rPr>
        <w:t>Senior representati</w:t>
      </w:r>
      <w:r w:rsidR="00927D7E" w:rsidRPr="00021DD2">
        <w:rPr>
          <w:rFonts w:cs="Arial"/>
          <w:lang w:val="en"/>
        </w:rPr>
        <w:t>ves from government, non-profit and philanthropic organisations</w:t>
      </w:r>
      <w:r w:rsidRPr="00021DD2">
        <w:rPr>
          <w:rFonts w:cs="Arial"/>
          <w:lang w:val="en"/>
        </w:rPr>
        <w:t xml:space="preserve"> and the Bourke community came together to continue their commitment to creating the conditions needed to achieve the goals of the Maranguka Justice Reinvestment Project: to reduce youth offending and incarceration, build alternate pathways and create a safer community.</w:t>
      </w:r>
      <w:r w:rsidRPr="00021DD2">
        <w:rPr>
          <w:rStyle w:val="Rimandonotadichiusura"/>
          <w:rFonts w:cs="Arial"/>
          <w:color w:val="394E57"/>
          <w:szCs w:val="21"/>
          <w:lang w:val="en"/>
        </w:rPr>
        <w:endnoteReference w:id="41"/>
      </w:r>
    </w:p>
    <w:p w:rsidR="00F43E1D" w:rsidRPr="00021DD2" w:rsidRDefault="00F43E1D" w:rsidP="00F43E1D">
      <w:pPr>
        <w:rPr>
          <w:rFonts w:cs="Arial"/>
        </w:rPr>
      </w:pPr>
      <w:r w:rsidRPr="00021DD2">
        <w:rPr>
          <w:rFonts w:cs="Arial"/>
        </w:rPr>
        <w:t>As in previous years, in August 2017 I also visited Bourke Primary School to consult with t</w:t>
      </w:r>
      <w:r w:rsidR="00645177">
        <w:rPr>
          <w:rFonts w:cs="Arial"/>
        </w:rPr>
        <w:t xml:space="preserve">he students about their rights </w:t>
      </w:r>
      <w:r w:rsidR="00645177" w:rsidRPr="00645177">
        <w:rPr>
          <w:rFonts w:cs="Arial"/>
          <w:i/>
        </w:rPr>
        <w:t>—</w:t>
      </w:r>
      <w:r w:rsidR="00645177">
        <w:rPr>
          <w:rFonts w:cs="Arial"/>
        </w:rPr>
        <w:t xml:space="preserve"> </w:t>
      </w:r>
      <w:r w:rsidRPr="00021DD2">
        <w:rPr>
          <w:rFonts w:cs="Arial"/>
        </w:rPr>
        <w:t>what they know about their rights, what their ideal community would look like, and what rights are important to them.</w:t>
      </w:r>
    </w:p>
    <w:p w:rsidR="00F43E1D" w:rsidRPr="00021DD2" w:rsidRDefault="00F43E1D" w:rsidP="007811D8">
      <w:pPr>
        <w:pStyle w:val="Titolo3"/>
        <w:rPr>
          <w:rFonts w:cs="Arial"/>
        </w:rPr>
      </w:pPr>
      <w:bookmarkStart w:id="32" w:name="_Toc500308754"/>
      <w:r w:rsidRPr="00021DD2">
        <w:rPr>
          <w:rFonts w:cs="Arial"/>
        </w:rPr>
        <w:t>Children involved in the family law and child protection systems</w:t>
      </w:r>
      <w:bookmarkEnd w:id="32"/>
    </w:p>
    <w:p w:rsidR="00F43E1D" w:rsidRPr="00021DD2" w:rsidRDefault="00F43E1D" w:rsidP="00996014">
      <w:r w:rsidRPr="00021DD2">
        <w:t>Many families seeking to resolve parenting disputes face complex issues, including emotional, sexual and physical abuse, family violence, substance abuse, and mental health issues. Some of these families are assisted by relationship support services and/or court processes that cross both the care and protection and family law systems.</w:t>
      </w:r>
      <w:r w:rsidRPr="00021DD2">
        <w:rPr>
          <w:rStyle w:val="Rimandonotadichiusura"/>
          <w:rFonts w:cs="Arial"/>
        </w:rPr>
        <w:endnoteReference w:id="42"/>
      </w:r>
      <w:r w:rsidRPr="00021DD2">
        <w:t xml:space="preserve"> </w:t>
      </w:r>
    </w:p>
    <w:p w:rsidR="00F43E1D" w:rsidRPr="00021DD2" w:rsidRDefault="00F43E1D" w:rsidP="00996014">
      <w:r w:rsidRPr="00021DD2">
        <w:t xml:space="preserve">Concerns about the impact of the family law system and its related processes on children, and the system’s capacity to protect children’s rights, have been raised consistently with me throughout my term. </w:t>
      </w:r>
    </w:p>
    <w:p w:rsidR="00F43E1D" w:rsidRPr="00021DD2" w:rsidRDefault="00F43E1D" w:rsidP="00996014">
      <w:pPr>
        <w:rPr>
          <w:lang w:val="en"/>
        </w:rPr>
      </w:pPr>
      <w:r w:rsidRPr="00021DD2">
        <w:t xml:space="preserve">On 30 June 2016, the </w:t>
      </w:r>
      <w:r w:rsidRPr="00021DD2">
        <w:rPr>
          <w:lang w:val="en"/>
        </w:rPr>
        <w:t>Fa</w:t>
      </w:r>
      <w:r w:rsidR="00927D7E" w:rsidRPr="00021DD2">
        <w:rPr>
          <w:lang w:val="en"/>
        </w:rPr>
        <w:t>mily Law Council delivered its final r</w:t>
      </w:r>
      <w:r w:rsidRPr="00021DD2">
        <w:rPr>
          <w:lang w:val="en"/>
        </w:rPr>
        <w:t>eport to the Attorney-General</w:t>
      </w:r>
      <w:r w:rsidR="00927D7E" w:rsidRPr="00021DD2">
        <w:rPr>
          <w:lang w:val="en"/>
        </w:rPr>
        <w:t xml:space="preserve">, </w:t>
      </w:r>
      <w:r w:rsidRPr="00021DD2">
        <w:rPr>
          <w:i/>
          <w:iCs/>
          <w:lang w:val="en"/>
        </w:rPr>
        <w:t>Families with complex needs and the intersection of the family law and child protection systems.</w:t>
      </w:r>
      <w:r w:rsidRPr="00610381">
        <w:rPr>
          <w:rStyle w:val="Rimandonotadichiusura"/>
          <w:rFonts w:cs="Arial"/>
          <w:iCs/>
          <w:lang w:val="en"/>
        </w:rPr>
        <w:endnoteReference w:id="43"/>
      </w:r>
      <w:r w:rsidRPr="00021DD2">
        <w:rPr>
          <w:i/>
          <w:iCs/>
          <w:lang w:val="en"/>
        </w:rPr>
        <w:t xml:space="preserve"> </w:t>
      </w:r>
      <w:r w:rsidRPr="00021DD2">
        <w:rPr>
          <w:iCs/>
        </w:rPr>
        <w:t xml:space="preserve">The report focuses on opportunities to enhance collaboration and information sharing within the family law system, such as between the family courts and family relationship services, as well as between the family law system and other support services </w:t>
      </w:r>
      <w:r w:rsidR="00927D7E" w:rsidRPr="00021DD2">
        <w:rPr>
          <w:iCs/>
        </w:rPr>
        <w:t xml:space="preserve">including </w:t>
      </w:r>
      <w:r w:rsidRPr="00021DD2">
        <w:rPr>
          <w:iCs/>
        </w:rPr>
        <w:t xml:space="preserve">child protection, mental health, family violence, drug and alcohol, Aboriginal and Torres Strait Islander and migrant settlement services. </w:t>
      </w:r>
      <w:r w:rsidRPr="00021DD2">
        <w:rPr>
          <w:lang w:val="en"/>
        </w:rPr>
        <w:t>The report</w:t>
      </w:r>
      <w:r w:rsidR="00927D7E" w:rsidRPr="00021DD2">
        <w:rPr>
          <w:lang w:val="en"/>
        </w:rPr>
        <w:t xml:space="preserve"> is</w:t>
      </w:r>
      <w:r w:rsidRPr="00021DD2">
        <w:rPr>
          <w:lang w:val="en"/>
        </w:rPr>
        <w:t xml:space="preserve"> a major contribut</w:t>
      </w:r>
      <w:r w:rsidR="00927D7E" w:rsidRPr="00021DD2">
        <w:rPr>
          <w:lang w:val="en"/>
        </w:rPr>
        <w:t>ion to identifying solutions to</w:t>
      </w:r>
      <w:r w:rsidRPr="00021DD2">
        <w:rPr>
          <w:lang w:val="en"/>
        </w:rPr>
        <w:t xml:space="preserve"> the challenges facing Australians involved in the family law and child protection systems.</w:t>
      </w:r>
      <w:r w:rsidRPr="00021DD2">
        <w:rPr>
          <w:rStyle w:val="Rimandonotadichiusura"/>
          <w:rFonts w:cs="Arial"/>
          <w:lang w:val="en"/>
        </w:rPr>
        <w:endnoteReference w:id="44"/>
      </w:r>
    </w:p>
    <w:p w:rsidR="00F43E1D" w:rsidRPr="00021DD2" w:rsidRDefault="00F43E1D" w:rsidP="00F43E1D">
      <w:pPr>
        <w:rPr>
          <w:rFonts w:eastAsiaTheme="minorHAnsi" w:cs="Arial"/>
          <w:lang w:eastAsia="en-US"/>
        </w:rPr>
      </w:pPr>
      <w:r w:rsidRPr="00021DD2">
        <w:rPr>
          <w:rFonts w:eastAsiaTheme="minorHAnsi" w:cs="Arial"/>
          <w:lang w:eastAsia="en-US"/>
        </w:rPr>
        <w:t xml:space="preserve">In the </w:t>
      </w:r>
      <w:r w:rsidRPr="00021DD2">
        <w:rPr>
          <w:rFonts w:eastAsiaTheme="minorHAnsi" w:cs="Arial"/>
          <w:i/>
          <w:lang w:eastAsia="en-US"/>
        </w:rPr>
        <w:t>Children’s Rights Report 2016</w:t>
      </w:r>
      <w:r w:rsidRPr="00021DD2">
        <w:rPr>
          <w:rFonts w:eastAsiaTheme="minorHAnsi" w:cs="Arial"/>
          <w:lang w:eastAsia="en-US"/>
        </w:rPr>
        <w:t>, I reported that</w:t>
      </w:r>
      <w:r w:rsidR="00927D7E" w:rsidRPr="00021DD2">
        <w:rPr>
          <w:rFonts w:eastAsiaTheme="minorHAnsi" w:cs="Arial"/>
          <w:lang w:eastAsia="en-US"/>
        </w:rPr>
        <w:t xml:space="preserve"> the</w:t>
      </w:r>
      <w:r w:rsidRPr="00021DD2">
        <w:rPr>
          <w:rFonts w:eastAsiaTheme="minorHAnsi" w:cs="Arial"/>
          <w:lang w:eastAsia="en-US"/>
        </w:rPr>
        <w:t xml:space="preserve"> AIFS has be</w:t>
      </w:r>
      <w:r w:rsidR="00610381">
        <w:rPr>
          <w:rFonts w:eastAsiaTheme="minorHAnsi" w:cs="Arial"/>
          <w:lang w:eastAsia="en-US"/>
        </w:rPr>
        <w:t xml:space="preserve">en </w:t>
      </w:r>
      <w:r w:rsidRPr="00021DD2">
        <w:rPr>
          <w:rFonts w:eastAsiaTheme="minorHAnsi" w:cs="Arial"/>
          <w:lang w:eastAsia="en-US"/>
        </w:rPr>
        <w:t>commissioned by the Attorney-General’s Department to undertake the</w:t>
      </w:r>
      <w:r w:rsidR="00610381">
        <w:rPr>
          <w:rFonts w:eastAsiaTheme="minorHAnsi" w:cs="Arial"/>
          <w:lang w:eastAsia="en-US"/>
        </w:rPr>
        <w:t xml:space="preserve"> project,</w:t>
      </w:r>
      <w:r w:rsidRPr="00021DD2">
        <w:rPr>
          <w:rFonts w:eastAsiaTheme="minorHAnsi" w:cs="Arial"/>
          <w:lang w:eastAsia="en-US"/>
        </w:rPr>
        <w:t xml:space="preserve"> </w:t>
      </w:r>
      <w:r w:rsidRPr="00021DD2">
        <w:rPr>
          <w:rFonts w:eastAsiaTheme="minorHAnsi" w:cs="Arial"/>
          <w:i/>
          <w:iCs/>
          <w:lang w:eastAsia="en-US"/>
        </w:rPr>
        <w:t>Children and young people in separated families:</w:t>
      </w:r>
      <w:r w:rsidRPr="00021DD2">
        <w:rPr>
          <w:rFonts w:eastAsiaTheme="minorHAnsi" w:cs="Arial"/>
          <w:lang w:eastAsia="en-US"/>
        </w:rPr>
        <w:t xml:space="preserve"> </w:t>
      </w:r>
      <w:r w:rsidRPr="00021DD2">
        <w:rPr>
          <w:rFonts w:eastAsiaTheme="minorHAnsi" w:cs="Arial"/>
          <w:i/>
          <w:iCs/>
          <w:lang w:eastAsia="en-US"/>
        </w:rPr>
        <w:t>family law system experiences and needs</w:t>
      </w:r>
      <w:r w:rsidRPr="00021DD2">
        <w:rPr>
          <w:rFonts w:eastAsiaTheme="minorHAnsi" w:cs="Arial"/>
          <w:lang w:eastAsia="en-US"/>
        </w:rPr>
        <w:t>. This project is designed to build on existing research on separated families to develop a better understanding of the direct experiences of children after the separation of their parents, and the extent to which their needs are being met by the family law system.</w:t>
      </w:r>
      <w:r w:rsidRPr="00021DD2">
        <w:rPr>
          <w:rStyle w:val="Rimandonotadichiusura"/>
          <w:rFonts w:eastAsiaTheme="minorHAnsi" w:cs="Arial"/>
          <w:lang w:eastAsia="en-US"/>
        </w:rPr>
        <w:endnoteReference w:id="45"/>
      </w:r>
      <w:r w:rsidRPr="00021DD2">
        <w:rPr>
          <w:rFonts w:eastAsiaTheme="minorHAnsi" w:cs="Arial"/>
          <w:lang w:eastAsia="en-US"/>
        </w:rPr>
        <w:t xml:space="preserve"> </w:t>
      </w:r>
    </w:p>
    <w:p w:rsidR="00F43E1D" w:rsidRPr="00021DD2" w:rsidRDefault="00F43E1D" w:rsidP="00F43E1D">
      <w:pPr>
        <w:rPr>
          <w:rFonts w:eastAsiaTheme="minorHAnsi" w:cs="Arial"/>
          <w:lang w:eastAsia="en-US"/>
        </w:rPr>
      </w:pPr>
      <w:r w:rsidRPr="00021DD2">
        <w:rPr>
          <w:rFonts w:cs="Arial"/>
        </w:rPr>
        <w:t>The AIFS has advised me that the project will involve int</w:t>
      </w:r>
      <w:r w:rsidR="00927D7E" w:rsidRPr="00021DD2">
        <w:rPr>
          <w:rFonts w:cs="Arial"/>
        </w:rPr>
        <w:t>erviews with children between ten</w:t>
      </w:r>
      <w:r w:rsidRPr="00021DD2">
        <w:rPr>
          <w:rFonts w:cs="Arial"/>
        </w:rPr>
        <w:t xml:space="preserve"> and 17 years of age</w:t>
      </w:r>
      <w:r w:rsidRPr="00021DD2">
        <w:rPr>
          <w:rFonts w:eastAsiaTheme="minorHAnsi" w:cs="Arial"/>
          <w:lang w:eastAsia="en-US"/>
        </w:rPr>
        <w:t>, together with a short separate interview with one parent of the child</w:t>
      </w:r>
      <w:r w:rsidRPr="00021DD2">
        <w:rPr>
          <w:rFonts w:cs="Arial"/>
        </w:rPr>
        <w:t>.</w:t>
      </w:r>
      <w:r w:rsidRPr="00021DD2">
        <w:rPr>
          <w:rFonts w:eastAsiaTheme="minorHAnsi" w:cs="Arial"/>
          <w:lang w:eastAsia="en-US"/>
        </w:rPr>
        <w:t xml:space="preserve"> The interviews canvas issues including:</w:t>
      </w:r>
    </w:p>
    <w:p w:rsidR="00F43E1D" w:rsidRPr="00021DD2" w:rsidRDefault="00F43E1D" w:rsidP="00B934D7">
      <w:pPr>
        <w:pStyle w:val="Paragrafoelenco"/>
        <w:numPr>
          <w:ilvl w:val="0"/>
          <w:numId w:val="21"/>
        </w:numPr>
        <w:rPr>
          <w:rFonts w:eastAsiaTheme="minorHAnsi"/>
          <w:lang w:eastAsia="en-US"/>
        </w:rPr>
      </w:pPr>
      <w:r w:rsidRPr="00021DD2">
        <w:rPr>
          <w:rFonts w:eastAsiaTheme="minorHAnsi"/>
          <w:lang w:eastAsia="en-US"/>
        </w:rPr>
        <w:t>the services and supports that children find to be of assistance in d</w:t>
      </w:r>
      <w:r w:rsidR="00927D7E" w:rsidRPr="00021DD2">
        <w:rPr>
          <w:rFonts w:eastAsiaTheme="minorHAnsi"/>
          <w:lang w:eastAsia="en-US"/>
        </w:rPr>
        <w:t>ealing with parental separation</w:t>
      </w:r>
    </w:p>
    <w:p w:rsidR="00F43E1D" w:rsidRPr="00021DD2" w:rsidRDefault="00F43E1D" w:rsidP="00B934D7">
      <w:pPr>
        <w:pStyle w:val="Paragrafoelenco"/>
        <w:numPr>
          <w:ilvl w:val="0"/>
          <w:numId w:val="21"/>
        </w:numPr>
        <w:rPr>
          <w:rFonts w:eastAsiaTheme="minorHAnsi"/>
          <w:lang w:eastAsia="en-US"/>
        </w:rPr>
      </w:pPr>
      <w:r w:rsidRPr="00021DD2">
        <w:rPr>
          <w:rFonts w:eastAsiaTheme="minorHAnsi"/>
          <w:lang w:eastAsia="en-US"/>
        </w:rPr>
        <w:t>the issues of importance from the perspective of children when parenting arrangements are made</w:t>
      </w:r>
    </w:p>
    <w:p w:rsidR="00F43E1D" w:rsidRPr="00021DD2" w:rsidRDefault="00F43E1D" w:rsidP="00B934D7">
      <w:pPr>
        <w:pStyle w:val="Paragrafoelenco"/>
        <w:numPr>
          <w:ilvl w:val="0"/>
          <w:numId w:val="21"/>
        </w:numPr>
        <w:jc w:val="left"/>
        <w:rPr>
          <w:rFonts w:eastAsiaTheme="minorHAnsi"/>
          <w:lang w:eastAsia="en-US"/>
        </w:rPr>
      </w:pPr>
      <w:r w:rsidRPr="00021DD2">
        <w:rPr>
          <w:rFonts w:eastAsiaTheme="minorHAnsi"/>
          <w:lang w:eastAsia="en-US"/>
        </w:rPr>
        <w:t>the nature of children’s experiences where their families have used family law system services (including their acknowledgement and participation in decision-making)</w:t>
      </w:r>
    </w:p>
    <w:p w:rsidR="00F43E1D" w:rsidRPr="00021DD2" w:rsidRDefault="00F43E1D" w:rsidP="00B934D7">
      <w:pPr>
        <w:pStyle w:val="Paragrafoelenco"/>
        <w:numPr>
          <w:ilvl w:val="0"/>
          <w:numId w:val="21"/>
        </w:numPr>
        <w:rPr>
          <w:rFonts w:eastAsiaTheme="minorHAnsi"/>
          <w:lang w:eastAsia="en-US"/>
        </w:rPr>
      </w:pPr>
      <w:r w:rsidRPr="00021DD2">
        <w:rPr>
          <w:rFonts w:eastAsiaTheme="minorHAnsi"/>
          <w:lang w:eastAsia="en-US"/>
        </w:rPr>
        <w:t>the characteristics of effective professional practice from the perspective of children.</w:t>
      </w:r>
    </w:p>
    <w:p w:rsidR="00F43E1D" w:rsidRPr="00021DD2" w:rsidRDefault="00F43E1D" w:rsidP="00F43E1D">
      <w:pPr>
        <w:rPr>
          <w:rFonts w:eastAsiaTheme="minorHAnsi" w:cs="Arial"/>
          <w:lang w:eastAsia="en-US"/>
        </w:rPr>
      </w:pPr>
      <w:r w:rsidRPr="00021DD2">
        <w:rPr>
          <w:rFonts w:eastAsiaTheme="minorHAnsi" w:cs="Arial"/>
          <w:lang w:eastAsia="en-US"/>
        </w:rPr>
        <w:t>The fieldwork for the project will conclude on 31 December 2017, with the final report due to the Attorney-General’s Department on 28 February 2017.</w:t>
      </w:r>
    </w:p>
    <w:p w:rsidR="00F43E1D" w:rsidRPr="00021DD2" w:rsidRDefault="00F43E1D" w:rsidP="00F43E1D">
      <w:pPr>
        <w:rPr>
          <w:rFonts w:cs="Arial"/>
        </w:rPr>
      </w:pPr>
      <w:r w:rsidRPr="00021DD2">
        <w:rPr>
          <w:rFonts w:cs="Arial"/>
        </w:rPr>
        <w:t>Over the reporting period, I met with children affected by family and domestic violence to discuss their experiences of the family law system. The children raised with me a number of issues about these experiences, including the following:</w:t>
      </w:r>
    </w:p>
    <w:p w:rsidR="00F43E1D" w:rsidRPr="00021DD2" w:rsidRDefault="00F43E1D" w:rsidP="00B934D7">
      <w:pPr>
        <w:pStyle w:val="Paragrafoelenco"/>
        <w:numPr>
          <w:ilvl w:val="0"/>
          <w:numId w:val="22"/>
        </w:numPr>
        <w:jc w:val="left"/>
      </w:pPr>
      <w:r w:rsidRPr="00021DD2">
        <w:rPr>
          <w:bCs/>
          <w:lang w:val="en-US"/>
        </w:rPr>
        <w:t xml:space="preserve">They felt they had no rights, they </w:t>
      </w:r>
      <w:r w:rsidRPr="00021DD2">
        <w:rPr>
          <w:lang w:val="en-US"/>
        </w:rPr>
        <w:t xml:space="preserve">were not properly listened to, and </w:t>
      </w:r>
      <w:r w:rsidRPr="00021DD2">
        <w:rPr>
          <w:bCs/>
          <w:lang w:val="en-US"/>
        </w:rPr>
        <w:t>their voice wasn’t important</w:t>
      </w:r>
      <w:r w:rsidR="00927D7E" w:rsidRPr="00021DD2">
        <w:rPr>
          <w:bCs/>
          <w:lang w:val="en-US"/>
        </w:rPr>
        <w:t>.</w:t>
      </w:r>
    </w:p>
    <w:p w:rsidR="00F43E1D" w:rsidRPr="00021DD2" w:rsidRDefault="00F43E1D" w:rsidP="00B934D7">
      <w:pPr>
        <w:pStyle w:val="Paragrafoelenco"/>
        <w:numPr>
          <w:ilvl w:val="0"/>
          <w:numId w:val="22"/>
        </w:numPr>
        <w:jc w:val="left"/>
      </w:pPr>
      <w:r w:rsidRPr="00021DD2">
        <w:rPr>
          <w:bCs/>
          <w:lang w:val="en-US"/>
        </w:rPr>
        <w:t>They didn’t feel they were believed, and they felt an adult’s word was taken over theirs</w:t>
      </w:r>
      <w:r w:rsidR="00927D7E" w:rsidRPr="00021DD2">
        <w:rPr>
          <w:bCs/>
          <w:lang w:val="en-US"/>
        </w:rPr>
        <w:t>.</w:t>
      </w:r>
    </w:p>
    <w:p w:rsidR="00F43E1D" w:rsidRPr="00021DD2" w:rsidRDefault="00F43E1D" w:rsidP="00B934D7">
      <w:pPr>
        <w:pStyle w:val="Paragrafoelenco"/>
        <w:numPr>
          <w:ilvl w:val="0"/>
          <w:numId w:val="22"/>
        </w:numPr>
        <w:jc w:val="left"/>
      </w:pPr>
      <w:r w:rsidRPr="00021DD2">
        <w:t>Court processes and the ways that they could participate were not properly explained to them</w:t>
      </w:r>
      <w:r w:rsidR="00927D7E" w:rsidRPr="00021DD2">
        <w:t>.</w:t>
      </w:r>
    </w:p>
    <w:p w:rsidR="00F43E1D" w:rsidRPr="00021DD2" w:rsidRDefault="00F43E1D" w:rsidP="00B934D7">
      <w:pPr>
        <w:pStyle w:val="Paragrafoelenco"/>
        <w:numPr>
          <w:ilvl w:val="0"/>
          <w:numId w:val="22"/>
        </w:numPr>
        <w:jc w:val="left"/>
      </w:pPr>
      <w:r w:rsidRPr="00021DD2">
        <w:t>They felt that being involved with courts over many years is really bad for children.</w:t>
      </w:r>
    </w:p>
    <w:p w:rsidR="00C362D5" w:rsidRDefault="00F43E1D" w:rsidP="00B934D7">
      <w:pPr>
        <w:ind w:left="60"/>
        <w:rPr>
          <w:rFonts w:cs="Arial"/>
        </w:rPr>
      </w:pPr>
      <w:r w:rsidRPr="00021DD2">
        <w:rPr>
          <w:rFonts w:cs="Arial"/>
        </w:rPr>
        <w:t>I have included a poem titled ‘From Sunshine to Darkness’ that a child who went through a family law experience wrote, and which describes his feelings.</w:t>
      </w:r>
    </w:p>
    <w:tbl>
      <w:tblPr>
        <w:tblStyle w:val="Grigliatabella"/>
        <w:tblW w:w="0" w:type="auto"/>
        <w:tblInd w:w="60" w:type="dxa"/>
        <w:tblCellMar>
          <w:left w:w="284" w:type="dxa"/>
          <w:right w:w="284" w:type="dxa"/>
        </w:tblCellMar>
        <w:tblLook w:val="04A0" w:firstRow="1" w:lastRow="0" w:firstColumn="1" w:lastColumn="0" w:noHBand="0" w:noVBand="1"/>
      </w:tblPr>
      <w:tblGrid>
        <w:gridCol w:w="9000"/>
      </w:tblGrid>
      <w:tr w:rsidR="00B934D7" w:rsidTr="00B934D7">
        <w:tc>
          <w:tcPr>
            <w:tcW w:w="9060" w:type="dxa"/>
          </w:tcPr>
          <w:p w:rsidR="00B934D7" w:rsidRPr="00021DD2" w:rsidRDefault="00B934D7" w:rsidP="00B934D7">
            <w:pPr>
              <w:rPr>
                <w:rFonts w:cs="Arial"/>
              </w:rPr>
            </w:pPr>
            <w:r w:rsidRPr="00021DD2">
              <w:rPr>
                <w:rFonts w:cs="Arial"/>
                <w:b/>
                <w:bCs/>
                <w:iCs/>
              </w:rPr>
              <w:t>From Sunshine to Darkness</w:t>
            </w:r>
          </w:p>
          <w:p w:rsidR="00B934D7" w:rsidRPr="00021DD2" w:rsidRDefault="00B934D7" w:rsidP="00B934D7">
            <w:pPr>
              <w:rPr>
                <w:rFonts w:cs="Arial"/>
              </w:rPr>
            </w:pPr>
            <w:r w:rsidRPr="00021DD2">
              <w:rPr>
                <w:rFonts w:cs="Arial"/>
              </w:rPr>
              <w:t xml:space="preserve">You start off as a little kid thinking everything is sunny and nice the world is an adventure. There’s nothing scary and that everybody is good and you don’t even know what badness is. </w:t>
            </w:r>
          </w:p>
          <w:p w:rsidR="00B934D7" w:rsidRPr="00021DD2" w:rsidRDefault="00B934D7" w:rsidP="00B934D7">
            <w:pPr>
              <w:rPr>
                <w:rFonts w:cs="Arial"/>
              </w:rPr>
            </w:pPr>
            <w:r w:rsidRPr="00021DD2">
              <w:rPr>
                <w:rFonts w:cs="Arial"/>
              </w:rPr>
              <w:t xml:space="preserve">Its easy, you make friends and play its all so easy, learnings fun and you don’t have to worry about anything. </w:t>
            </w:r>
          </w:p>
          <w:p w:rsidR="00B934D7" w:rsidRPr="00021DD2" w:rsidRDefault="00B934D7" w:rsidP="00B934D7">
            <w:pPr>
              <w:rPr>
                <w:rFonts w:cs="Arial"/>
              </w:rPr>
            </w:pPr>
            <w:r w:rsidRPr="00021DD2">
              <w:rPr>
                <w:rFonts w:cs="Arial"/>
              </w:rPr>
              <w:t xml:space="preserve">Then someone like him comes along and your world goes from sunshine to blackness and everything goes bad, nothings easy, nothings fun and nobody is good anymore. </w:t>
            </w:r>
          </w:p>
          <w:p w:rsidR="00B934D7" w:rsidRDefault="00B934D7" w:rsidP="00F43E1D">
            <w:pPr>
              <w:rPr>
                <w:rFonts w:cs="Arial"/>
              </w:rPr>
            </w:pPr>
            <w:r w:rsidRPr="00021DD2">
              <w:rPr>
                <w:rFonts w:cs="Arial"/>
              </w:rPr>
              <w:t>I want to live for a really long time because I’m not going to die until everything is like when you</w:t>
            </w:r>
            <w:r>
              <w:rPr>
                <w:rFonts w:cs="Arial"/>
              </w:rPr>
              <w:t xml:space="preserve"> are a little kid again.</w:t>
            </w:r>
          </w:p>
        </w:tc>
      </w:tr>
    </w:tbl>
    <w:p w:rsidR="00F43E1D" w:rsidRPr="00021DD2" w:rsidRDefault="00F43E1D" w:rsidP="00F43E1D">
      <w:pPr>
        <w:rPr>
          <w:rFonts w:cs="Arial"/>
        </w:rPr>
      </w:pPr>
      <w:r w:rsidRPr="00021DD2">
        <w:rPr>
          <w:rFonts w:cs="Arial"/>
        </w:rPr>
        <w:t>In June 2017, I presented at the World Congress on Family Law and Children’s Rights, held in Dublin</w:t>
      </w:r>
      <w:r w:rsidR="00927D7E" w:rsidRPr="00021DD2">
        <w:rPr>
          <w:rFonts w:cs="Arial"/>
        </w:rPr>
        <w:t>, Ireland</w:t>
      </w:r>
      <w:r w:rsidRPr="00021DD2">
        <w:rPr>
          <w:rFonts w:cs="Arial"/>
        </w:rPr>
        <w:t xml:space="preserve">. The World Congress is a leading international forum that </w:t>
      </w:r>
      <w:r w:rsidRPr="00021DD2">
        <w:rPr>
          <w:rFonts w:cs="Arial"/>
          <w:sz w:val="25"/>
          <w:szCs w:val="25"/>
          <w:lang w:val="en-US"/>
        </w:rPr>
        <w:t xml:space="preserve">brings together those working in family law and children’s rights </w:t>
      </w:r>
      <w:r w:rsidR="00610381" w:rsidRPr="00645177">
        <w:rPr>
          <w:rFonts w:cs="Arial"/>
          <w:i/>
        </w:rPr>
        <w:t>—</w:t>
      </w:r>
      <w:r w:rsidRPr="00021DD2">
        <w:rPr>
          <w:rFonts w:cs="Arial"/>
          <w:sz w:val="25"/>
          <w:szCs w:val="25"/>
          <w:lang w:val="en-US"/>
        </w:rPr>
        <w:t xml:space="preserve"> including lawyers, judges, academics, politicians, non-government organ</w:t>
      </w:r>
      <w:r w:rsidR="00610381">
        <w:rPr>
          <w:rFonts w:cs="Arial"/>
          <w:sz w:val="25"/>
          <w:szCs w:val="25"/>
          <w:lang w:val="en-US"/>
        </w:rPr>
        <w:t xml:space="preserve">isations and social scientists </w:t>
      </w:r>
      <w:r w:rsidR="00610381" w:rsidRPr="00645177">
        <w:rPr>
          <w:rFonts w:cs="Arial"/>
          <w:i/>
        </w:rPr>
        <w:t>—</w:t>
      </w:r>
      <w:r w:rsidRPr="00021DD2">
        <w:rPr>
          <w:rFonts w:cs="Arial"/>
          <w:sz w:val="25"/>
          <w:szCs w:val="25"/>
          <w:lang w:val="en-US"/>
        </w:rPr>
        <w:t xml:space="preserve"> to discuss and deliberate on </w:t>
      </w:r>
      <w:r w:rsidRPr="00021DD2">
        <w:rPr>
          <w:rFonts w:cs="Arial"/>
        </w:rPr>
        <w:t xml:space="preserve">issues in family law and children’s rights. </w:t>
      </w:r>
    </w:p>
    <w:p w:rsidR="00BF7F88" w:rsidRPr="00021DD2" w:rsidRDefault="00F43E1D" w:rsidP="00F43E1D">
      <w:pPr>
        <w:pStyle w:val="Titolo3"/>
        <w:rPr>
          <w:rFonts w:cs="Arial"/>
        </w:rPr>
      </w:pPr>
      <w:bookmarkStart w:id="33" w:name="_Toc500308755"/>
      <w:r w:rsidRPr="00021DD2">
        <w:rPr>
          <w:rFonts w:cs="Arial"/>
        </w:rPr>
        <w:t>Early intervention and prevention</w:t>
      </w:r>
      <w:bookmarkEnd w:id="33"/>
      <w:r w:rsidRPr="00021DD2">
        <w:rPr>
          <w:rFonts w:cs="Arial"/>
        </w:rPr>
        <w:t xml:space="preserve"> </w:t>
      </w:r>
    </w:p>
    <w:p w:rsidR="00BF7F88" w:rsidRPr="00021DD2" w:rsidRDefault="00BF7F88" w:rsidP="00BF7F88">
      <w:pPr>
        <w:rPr>
          <w:rFonts w:cs="Arial"/>
        </w:rPr>
      </w:pPr>
      <w:r w:rsidRPr="00021DD2">
        <w:rPr>
          <w:rFonts w:cs="Arial"/>
        </w:rPr>
        <w:t>Early intervention and prevention is key to addressing the unequal life opportunities that exist for vulnerable groups of children and young people.</w:t>
      </w:r>
    </w:p>
    <w:p w:rsidR="00F43E1D" w:rsidRPr="00021DD2" w:rsidRDefault="00F43E1D" w:rsidP="00F43E1D">
      <w:pPr>
        <w:rPr>
          <w:rFonts w:cs="Arial"/>
        </w:rPr>
      </w:pPr>
      <w:r w:rsidRPr="00021DD2">
        <w:rPr>
          <w:rFonts w:cs="Arial"/>
        </w:rPr>
        <w:t xml:space="preserve">I am pleased to report on some of the projects under the </w:t>
      </w:r>
      <w:r w:rsidRPr="00021DD2">
        <w:rPr>
          <w:rFonts w:cs="Arial"/>
          <w:lang w:val="en"/>
        </w:rPr>
        <w:t xml:space="preserve">Third Action Plan of the National Framework </w:t>
      </w:r>
      <w:r w:rsidRPr="00021DD2">
        <w:rPr>
          <w:rFonts w:cs="Arial"/>
        </w:rPr>
        <w:t xml:space="preserve">which prioritise prevention and early intervention efforts. </w:t>
      </w:r>
    </w:p>
    <w:p w:rsidR="00F43E1D" w:rsidRPr="00021DD2" w:rsidRDefault="00F43E1D" w:rsidP="00F43E1D">
      <w:pPr>
        <w:rPr>
          <w:rFonts w:cs="Arial"/>
        </w:rPr>
      </w:pPr>
      <w:r w:rsidRPr="00021DD2">
        <w:rPr>
          <w:rFonts w:cs="Arial"/>
        </w:rPr>
        <w:t>A key component of Strategy 1 of the Third Action Plan of the National Framework is to raise awareness of effective parenting strategies and the importance of the early years.</w:t>
      </w:r>
      <w:r w:rsidRPr="00021DD2">
        <w:rPr>
          <w:rStyle w:val="Rimandonotadichiusura"/>
          <w:rFonts w:cs="Arial"/>
        </w:rPr>
        <w:endnoteReference w:id="46"/>
      </w:r>
      <w:r w:rsidRPr="00021DD2">
        <w:rPr>
          <w:rFonts w:cs="Arial"/>
        </w:rPr>
        <w:t xml:space="preserve"> </w:t>
      </w:r>
      <w:r w:rsidRPr="00021DD2">
        <w:rPr>
          <w:rFonts w:cs="Arial"/>
          <w:lang w:val="en"/>
        </w:rPr>
        <w:t xml:space="preserve">One of the projects being delivered under Strategy 1 is the </w:t>
      </w:r>
      <w:r w:rsidRPr="00021DD2">
        <w:rPr>
          <w:rFonts w:cs="Arial"/>
          <w:iCs/>
        </w:rPr>
        <w:t xml:space="preserve">Building Capacity in Australian Parents (BCAP) trial. </w:t>
      </w:r>
      <w:r w:rsidRPr="00021DD2">
        <w:rPr>
          <w:rFonts w:cs="Arial"/>
          <w:iCs/>
          <w:lang w:val="en"/>
        </w:rPr>
        <w:t>The BCAP trial aims to evaluate different ways to build parenting skills and strengths-based parenting behaviours in expectant parents and parents whose children are aged up to two years old (the first 1000 days for a child).</w:t>
      </w:r>
      <w:r w:rsidRPr="00021DD2">
        <w:rPr>
          <w:rStyle w:val="Rimandonotadichiusura"/>
          <w:rFonts w:cs="Arial"/>
          <w:iCs/>
          <w:lang w:val="en"/>
        </w:rPr>
        <w:endnoteReference w:id="47"/>
      </w:r>
      <w:r w:rsidRPr="00021DD2">
        <w:rPr>
          <w:rFonts w:cs="Arial"/>
          <w:iCs/>
        </w:rPr>
        <w:t xml:space="preserve"> It consists of a national-level community awareness raising project, and an opt-in text messaging service for new and prospective parents. DSS </w:t>
      </w:r>
      <w:r w:rsidR="0006249D">
        <w:rPr>
          <w:rFonts w:cs="Arial"/>
          <w:iCs/>
        </w:rPr>
        <w:t>has partnered with the Ql</w:t>
      </w:r>
      <w:r w:rsidRPr="00021DD2">
        <w:rPr>
          <w:rFonts w:cs="Arial"/>
          <w:iCs/>
        </w:rPr>
        <w:t>d Government to deliver the BCAP trial in three sites: Ipswich, Toowoomba and Rockhampton.</w:t>
      </w:r>
      <w:r w:rsidRPr="00021DD2">
        <w:rPr>
          <w:rStyle w:val="Rimandonotadichiusura"/>
          <w:rFonts w:cs="Arial"/>
          <w:iCs/>
        </w:rPr>
        <w:endnoteReference w:id="48"/>
      </w:r>
    </w:p>
    <w:p w:rsidR="00F43E1D" w:rsidRPr="00021DD2" w:rsidRDefault="00F43E1D" w:rsidP="00F43E1D">
      <w:pPr>
        <w:rPr>
          <w:rFonts w:cs="Arial"/>
        </w:rPr>
      </w:pPr>
      <w:r w:rsidRPr="00021DD2">
        <w:rPr>
          <w:rFonts w:cs="Arial"/>
        </w:rPr>
        <w:t>Through its ‘Child Aware Approaches National Initiative’, the National Framework also aims to encourage organisations, communities, business and governments to address risk factors for child abuse and neglect. Child Aware projects under this initiative include the Child Aware Approaches conferences, which showcase and disseminate knowledge about current research and innovative practices to address risk factors for child abuse and neglect.</w:t>
      </w:r>
      <w:r w:rsidRPr="00021DD2">
        <w:rPr>
          <w:rStyle w:val="Rimandonotadichiusura"/>
          <w:rFonts w:cs="Arial"/>
        </w:rPr>
        <w:endnoteReference w:id="49"/>
      </w:r>
      <w:r w:rsidRPr="00021DD2">
        <w:rPr>
          <w:rFonts w:cs="Arial"/>
        </w:rPr>
        <w:t xml:space="preserve"> The 2017 conference on ‘Driving national action on child safety and wellbeing’ brought together policymakers, researchers and service providers to focus on strengths and capabilities, and enhance early intervention and prevention approaches.</w:t>
      </w:r>
      <w:r w:rsidRPr="00021DD2">
        <w:rPr>
          <w:rStyle w:val="Rimandonotadichiusura"/>
          <w:rFonts w:cs="Arial"/>
        </w:rPr>
        <w:endnoteReference w:id="50"/>
      </w:r>
    </w:p>
    <w:p w:rsidR="00F43E1D" w:rsidRPr="00021DD2" w:rsidRDefault="00F43E1D" w:rsidP="00F43E1D">
      <w:pPr>
        <w:spacing w:before="120" w:after="120"/>
        <w:rPr>
          <w:rFonts w:cs="Arial"/>
        </w:rPr>
      </w:pPr>
      <w:r w:rsidRPr="00021DD2">
        <w:rPr>
          <w:rFonts w:cs="Arial"/>
        </w:rPr>
        <w:t xml:space="preserve">I continue to participate in the </w:t>
      </w:r>
      <w:r w:rsidRPr="00021DD2">
        <w:rPr>
          <w:rFonts w:cs="Arial"/>
          <w:bCs/>
        </w:rPr>
        <w:t>Australian and New Zealand Child Death Review and Prevention Group, which consists of child mortality review teams from Australia and New Zealand. The Group’s annual meeting in April 2017 focused on sudden unexpected infant death, suicide, perinatal deaths, and monitoring and national reporting. I presented</w:t>
      </w:r>
      <w:r w:rsidRPr="00021DD2">
        <w:rPr>
          <w:rFonts w:cs="Arial"/>
          <w:b/>
          <w:bCs/>
        </w:rPr>
        <w:t xml:space="preserve"> </w:t>
      </w:r>
      <w:r w:rsidRPr="00021DD2">
        <w:rPr>
          <w:rFonts w:cs="Arial"/>
          <w:bCs/>
        </w:rPr>
        <w:t xml:space="preserve">at this annual meeting </w:t>
      </w:r>
      <w:r w:rsidRPr="00021DD2">
        <w:rPr>
          <w:rFonts w:cs="Arial"/>
        </w:rPr>
        <w:t>on key priorities for children from</w:t>
      </w:r>
      <w:r w:rsidRPr="00021DD2">
        <w:rPr>
          <w:rFonts w:cs="Arial"/>
          <w:bCs/>
        </w:rPr>
        <w:t xml:space="preserve"> my</w:t>
      </w:r>
      <w:r w:rsidRPr="00021DD2">
        <w:rPr>
          <w:rFonts w:cs="Arial"/>
        </w:rPr>
        <w:t xml:space="preserve"> perspective as National Children’s Commissioner, Australia’s upcoming report to the UN Committee on the Rights of the Child, and progress on information-sharing across borders. The work of this group, building a national picture of the nature and causes of child deaths, is critical to effective prevention interventions. </w:t>
      </w:r>
    </w:p>
    <w:p w:rsidR="00F43E1D" w:rsidRPr="00021DD2" w:rsidRDefault="00F43E1D" w:rsidP="007811D8">
      <w:pPr>
        <w:pStyle w:val="Titolo3"/>
        <w:rPr>
          <w:rFonts w:cs="Arial"/>
        </w:rPr>
      </w:pPr>
      <w:bookmarkStart w:id="34" w:name="_Toc500308756"/>
      <w:r w:rsidRPr="00021DD2">
        <w:rPr>
          <w:rFonts w:cs="Arial"/>
        </w:rPr>
        <w:t>Children transitioning from care into adulthood</w:t>
      </w:r>
      <w:bookmarkEnd w:id="34"/>
    </w:p>
    <w:p w:rsidR="00F43E1D" w:rsidRPr="00021DD2" w:rsidRDefault="00F43E1D" w:rsidP="00F43E1D">
      <w:pPr>
        <w:rPr>
          <w:rFonts w:cs="Arial"/>
        </w:rPr>
      </w:pPr>
      <w:r w:rsidRPr="00021DD2">
        <w:rPr>
          <w:rFonts w:cs="Arial"/>
        </w:rPr>
        <w:t xml:space="preserve">As mentioned earlier, during the reporting period I joined forces with the CREATE Foundation to consult with children and young people on the strategies under the Third Action Plan of the National Framework, including Strategy 2 which aims to help young people in </w:t>
      </w:r>
      <w:r w:rsidR="00927D7E" w:rsidRPr="00021DD2">
        <w:rPr>
          <w:rFonts w:cs="Arial"/>
        </w:rPr>
        <w:t>OOHC</w:t>
      </w:r>
      <w:r w:rsidRPr="00021DD2">
        <w:rPr>
          <w:rFonts w:cs="Arial"/>
        </w:rPr>
        <w:t xml:space="preserve"> to successfully transition into adulthood. As part of this strategy, the Commonwealth is trialling ways to improve pre</w:t>
      </w:r>
      <w:r w:rsidR="005262F9">
        <w:rPr>
          <w:rFonts w:cs="Arial"/>
        </w:rPr>
        <w:t>- and post-</w:t>
      </w:r>
      <w:r w:rsidRPr="00021DD2">
        <w:rPr>
          <w:rFonts w:cs="Arial"/>
        </w:rPr>
        <w:t>care support to young people by delivering intensive case management</w:t>
      </w:r>
      <w:r w:rsidR="001B5E7B" w:rsidRPr="00021DD2">
        <w:rPr>
          <w:rFonts w:cs="Arial"/>
        </w:rPr>
        <w:t>,</w:t>
      </w:r>
      <w:r w:rsidRPr="00021DD2">
        <w:rPr>
          <w:rFonts w:cs="Arial"/>
        </w:rPr>
        <w:t xml:space="preserve"> including wrap-around services linking to education, health and housing. All jurisdictions have committed to using the findings to guide future interventions for young people. </w:t>
      </w:r>
    </w:p>
    <w:p w:rsidR="00F43E1D" w:rsidRPr="00021DD2" w:rsidRDefault="00F43E1D" w:rsidP="00F43E1D">
      <w:pPr>
        <w:rPr>
          <w:rFonts w:cs="Arial"/>
        </w:rPr>
      </w:pPr>
      <w:r w:rsidRPr="00021DD2">
        <w:rPr>
          <w:rFonts w:cs="Arial"/>
        </w:rPr>
        <w:t xml:space="preserve">One of the projects being delivered under Strategy 2 of the Third Action Plan of the National Framework is the Towards Independent Adulthood (TIA) trial. This three-year trial aims to improve the wellbeing and social and economic outcomes of young people transitioning from care by supporting them to engage with education, training and employment. Implementation of the trial is underway in </w:t>
      </w:r>
      <w:r w:rsidR="001B5E7B" w:rsidRPr="00021DD2">
        <w:rPr>
          <w:rFonts w:cs="Arial"/>
        </w:rPr>
        <w:t>W</w:t>
      </w:r>
      <w:r w:rsidR="005E2FF9">
        <w:rPr>
          <w:rFonts w:cs="Arial"/>
        </w:rPr>
        <w:t>estern Australia (W</w:t>
      </w:r>
      <w:r w:rsidR="001B5E7B" w:rsidRPr="00021DD2">
        <w:rPr>
          <w:rFonts w:cs="Arial"/>
        </w:rPr>
        <w:t>A</w:t>
      </w:r>
      <w:r w:rsidR="005E2FF9">
        <w:rPr>
          <w:rFonts w:cs="Arial"/>
        </w:rPr>
        <w:t>)</w:t>
      </w:r>
      <w:r w:rsidRPr="00021DD2">
        <w:rPr>
          <w:rFonts w:cs="Arial"/>
        </w:rPr>
        <w:t xml:space="preserve">, with Wanslea Family Services, in collaboration with Yorgum Aboriginal Corporation. Young people are referred to the TIA trial by the </w:t>
      </w:r>
      <w:r w:rsidR="001B5E7B" w:rsidRPr="00021DD2">
        <w:rPr>
          <w:rFonts w:cs="Arial"/>
        </w:rPr>
        <w:t>WA</w:t>
      </w:r>
      <w:r w:rsidRPr="00021DD2">
        <w:rPr>
          <w:rFonts w:cs="Arial"/>
        </w:rPr>
        <w:t xml:space="preserve"> Department of Communities, Child Protection and Family Support. Participants are supported by youth workers employed by Wans</w:t>
      </w:r>
      <w:r w:rsidR="001B5E7B" w:rsidRPr="00021DD2">
        <w:rPr>
          <w:rFonts w:cs="Arial"/>
        </w:rPr>
        <w:t>lea Family Services who act as personal a</w:t>
      </w:r>
      <w:r w:rsidRPr="00021DD2">
        <w:rPr>
          <w:rFonts w:cs="Arial"/>
        </w:rPr>
        <w:t>dvisers, providing intensive support to the young people to help them develop skills to live independently, as well as priority access to housing, education, training, employment and specialist support services.</w:t>
      </w:r>
      <w:r w:rsidRPr="00021DD2">
        <w:rPr>
          <w:rStyle w:val="Rimandonotadichiusura"/>
          <w:rFonts w:cs="Arial"/>
        </w:rPr>
        <w:endnoteReference w:id="51"/>
      </w:r>
      <w:r w:rsidRPr="00021DD2">
        <w:rPr>
          <w:rFonts w:cs="Arial"/>
        </w:rPr>
        <w:t xml:space="preserve"> Noting the significant representation of Aboriginal children and young people in the child protection system, one of the key aims of the trial is to contribute to improving outcomes for Aboriginal children, families and communities.</w:t>
      </w:r>
      <w:r w:rsidRPr="00021DD2">
        <w:rPr>
          <w:rStyle w:val="Rimandonotadichiusura"/>
          <w:rFonts w:cs="Arial"/>
        </w:rPr>
        <w:endnoteReference w:id="52"/>
      </w:r>
    </w:p>
    <w:p w:rsidR="00F43E1D" w:rsidRPr="00021DD2" w:rsidRDefault="00F43E1D" w:rsidP="00F43E1D">
      <w:pPr>
        <w:rPr>
          <w:rFonts w:cs="Arial"/>
          <w:highlight w:val="green"/>
        </w:rPr>
      </w:pPr>
      <w:r w:rsidRPr="00021DD2">
        <w:rPr>
          <w:rFonts w:cs="Arial"/>
        </w:rPr>
        <w:t>I look forward to the evaluation of the trial, especially from the point of view of the young people involved, and the potential scaling up of similar initiatives nationally. A broader goal, however, should be to ensure young people in care continue to be supported after they turn 18 and at least until they are 21, so that they can stay with their families in stable living situations. This is the focus of current campaigns within the non-government sector, including Anglicare’s HOMESTRETCH.</w:t>
      </w:r>
      <w:r w:rsidRPr="00021DD2">
        <w:rPr>
          <w:rStyle w:val="Rimandonotadichiusura"/>
          <w:rFonts w:cs="Arial"/>
        </w:rPr>
        <w:endnoteReference w:id="53"/>
      </w:r>
      <w:r w:rsidRPr="00021DD2">
        <w:rPr>
          <w:rFonts w:cs="Arial"/>
        </w:rPr>
        <w:t xml:space="preserve"> These campaigns promote an approach similar to that adopted in the United Kingdom, which introduced a new legal duty to ensure young people can remain with their foster care families until they turn 21.</w:t>
      </w:r>
    </w:p>
    <w:p w:rsidR="00F43E1D" w:rsidRPr="00021DD2" w:rsidRDefault="00F43E1D" w:rsidP="007811D8">
      <w:pPr>
        <w:pStyle w:val="Titolo3"/>
        <w:rPr>
          <w:rFonts w:cs="Arial"/>
        </w:rPr>
      </w:pPr>
      <w:bookmarkStart w:id="35" w:name="_Toc500308757"/>
      <w:r w:rsidRPr="00021DD2">
        <w:rPr>
          <w:rFonts w:cs="Arial"/>
        </w:rPr>
        <w:t>Asylum seeker children</w:t>
      </w:r>
      <w:bookmarkEnd w:id="35"/>
    </w:p>
    <w:p w:rsidR="00F43E1D" w:rsidRPr="00021DD2" w:rsidRDefault="00F43E1D" w:rsidP="00F43E1D">
      <w:pPr>
        <w:rPr>
          <w:rFonts w:eastAsiaTheme="minorHAnsi" w:cs="Arial"/>
        </w:rPr>
      </w:pPr>
      <w:r w:rsidRPr="00021DD2">
        <w:rPr>
          <w:rFonts w:cs="Arial"/>
        </w:rPr>
        <w:t>As at 30 July 2017, there were fewer than five children (aged under 18 years) in onshore closed immigration detention in Australia and 200 children living in community immigration detention. There were also 43 asylum seeker children in Nauru.</w:t>
      </w:r>
      <w:r w:rsidRPr="00021DD2">
        <w:rPr>
          <w:rStyle w:val="Rimandonotadichiusura"/>
          <w:rFonts w:cs="Arial"/>
        </w:rPr>
        <w:endnoteReference w:id="54"/>
      </w:r>
    </w:p>
    <w:p w:rsidR="00F43E1D" w:rsidRPr="00021DD2" w:rsidRDefault="00F43E1D" w:rsidP="00F43E1D">
      <w:pPr>
        <w:rPr>
          <w:rFonts w:cs="Arial"/>
        </w:rPr>
      </w:pPr>
      <w:r w:rsidRPr="00021DD2">
        <w:rPr>
          <w:rFonts w:cs="Arial"/>
        </w:rPr>
        <w:t>On 21 April 2017, the Senate Legal and Constitutional Affairs Committee published a report following its inquiry into serious allegations of abuse, self-harm and neglect of asylum seekers in relation to the Nauru Regional Processing Centre, and any like allegations in relation to the Manus Regional Processing Centre.</w:t>
      </w:r>
      <w:r w:rsidRPr="00021DD2">
        <w:rPr>
          <w:rStyle w:val="Rimandonotadichiusura"/>
          <w:rFonts w:cs="Arial"/>
        </w:rPr>
        <w:endnoteReference w:id="55"/>
      </w:r>
      <w:r w:rsidRPr="00021DD2">
        <w:rPr>
          <w:rFonts w:cs="Arial"/>
        </w:rPr>
        <w:t xml:space="preserve"> I wrote to the Committee on 15 May 2017, welcoming its report. In particular, I support recommendation 5 that the Australian Government undertake to work with the Government of the Republic of Nauru to establish an independent children's advocate who would have both the jurisdiction and authority to advocate for the rights of children being held in the Republic of Nauru. I will continue to monitor any developments in this area.</w:t>
      </w:r>
    </w:p>
    <w:p w:rsidR="00F43E1D" w:rsidRPr="00021DD2" w:rsidRDefault="00F43E1D" w:rsidP="00F43E1D">
      <w:pPr>
        <w:rPr>
          <w:rFonts w:cs="Arial"/>
        </w:rPr>
      </w:pPr>
      <w:r w:rsidRPr="00021DD2">
        <w:rPr>
          <w:rFonts w:cs="Arial"/>
        </w:rPr>
        <w:t>On 21 May 2017, the Australian Government announced a new deadline of 1 October 2017 for asylum se</w:t>
      </w:r>
      <w:r w:rsidR="005262F9">
        <w:rPr>
          <w:rFonts w:cs="Arial"/>
        </w:rPr>
        <w:t xml:space="preserve">ekers in the ‘Legacy Caseload’ </w:t>
      </w:r>
      <w:r w:rsidR="005262F9" w:rsidRPr="00021DD2">
        <w:rPr>
          <w:rFonts w:cs="Arial"/>
        </w:rPr>
        <w:t>to apply for a protection visa</w:t>
      </w:r>
      <w:r w:rsidR="005262F9">
        <w:rPr>
          <w:rFonts w:cs="Arial"/>
        </w:rPr>
        <w:t xml:space="preserve">. This applies to </w:t>
      </w:r>
      <w:r w:rsidRPr="00021DD2">
        <w:rPr>
          <w:rFonts w:cs="Arial"/>
        </w:rPr>
        <w:t xml:space="preserve">those asylum seekers who arrived in Australia by boat between 13 </w:t>
      </w:r>
      <w:r w:rsidR="005262F9">
        <w:rPr>
          <w:rFonts w:cs="Arial"/>
        </w:rPr>
        <w:t>August 2012 and 1 January 2014</w:t>
      </w:r>
      <w:r w:rsidRPr="00021DD2">
        <w:rPr>
          <w:rFonts w:cs="Arial"/>
        </w:rPr>
        <w:t>. Those who do not apply for protection by this deadline will no longer be eligible to receive government income support. I have been informed that over 3,000 of the people affected by this announcement are members of family units with children.</w:t>
      </w:r>
    </w:p>
    <w:p w:rsidR="00F43E1D" w:rsidRPr="00021DD2" w:rsidRDefault="00F43E1D" w:rsidP="00F43E1D">
      <w:pPr>
        <w:rPr>
          <w:rFonts w:cs="Arial"/>
        </w:rPr>
      </w:pPr>
      <w:r w:rsidRPr="00021DD2">
        <w:rPr>
          <w:rFonts w:cs="Arial"/>
        </w:rPr>
        <w:t xml:space="preserve">On 28 June 2017, I wrote to the Secretary of the Department of Immigration and Border Protection seeking information regarding the possible impacts of this announcement on families with children. Specifically, I asked whether any assistance will be provided to families with children to help them apply for protection in a timely manner. I also asked whether the Department has considered measures to protect the best interests and ensure the welfare of children whose families will no longer be eligible for income support. The Department responded to my letter on 10 July, advising that </w:t>
      </w:r>
      <w:r w:rsidRPr="00021DD2">
        <w:rPr>
          <w:rFonts w:cs="Arial"/>
          <w:color w:val="000000"/>
        </w:rPr>
        <w:t>families will have access to funded interpreting and migration assistance. The Department also advised that those who do not meet the deadline wil</w:t>
      </w:r>
      <w:r w:rsidR="001B5E7B" w:rsidRPr="00021DD2">
        <w:rPr>
          <w:rFonts w:cs="Arial"/>
          <w:color w:val="000000"/>
        </w:rPr>
        <w:t xml:space="preserve">l still have permission to work, </w:t>
      </w:r>
      <w:r w:rsidRPr="00021DD2">
        <w:rPr>
          <w:rFonts w:cs="Arial"/>
          <w:color w:val="000000"/>
        </w:rPr>
        <w:t xml:space="preserve">access to Medicare and education for school-aged children, while they make arrangements to leave Australia. However, I am concerned that the response did not make any mention of income support. If the parents are unable to find work, families who have missed the deadline might not receive any form of income. </w:t>
      </w:r>
      <w:r w:rsidRPr="00021DD2">
        <w:rPr>
          <w:rFonts w:cs="Arial"/>
        </w:rPr>
        <w:t>I will continue to monitor this issue.</w:t>
      </w:r>
    </w:p>
    <w:p w:rsidR="00F43E1D" w:rsidRPr="00021DD2" w:rsidRDefault="00F43E1D" w:rsidP="007811D8">
      <w:pPr>
        <w:pStyle w:val="Titolo3"/>
        <w:rPr>
          <w:rFonts w:cs="Arial"/>
        </w:rPr>
      </w:pPr>
      <w:bookmarkStart w:id="36" w:name="_Toc500308758"/>
      <w:r w:rsidRPr="00021DD2">
        <w:rPr>
          <w:rFonts w:cs="Arial"/>
        </w:rPr>
        <w:t>Access to services for isolated children</w:t>
      </w:r>
      <w:bookmarkEnd w:id="36"/>
      <w:r w:rsidRPr="00021DD2">
        <w:rPr>
          <w:rFonts w:cs="Arial"/>
        </w:rPr>
        <w:t xml:space="preserve"> </w:t>
      </w:r>
    </w:p>
    <w:p w:rsidR="00F43E1D" w:rsidRPr="00021DD2" w:rsidRDefault="00F43E1D" w:rsidP="00F43E1D">
      <w:pPr>
        <w:rPr>
          <w:rFonts w:cs="Arial"/>
        </w:rPr>
      </w:pPr>
      <w:r w:rsidRPr="00021DD2">
        <w:rPr>
          <w:rFonts w:cs="Arial"/>
        </w:rPr>
        <w:t xml:space="preserve">Some children live in families and communities that are isolated, whether geographically, socially, culturally or economically. These include some children in rural and remote communities, children from culturally and linguistically diverse backgrounds, Aboriginal and Torres Strait Islander children and children from low income families. Equal access to services for children experiencing isolation is essential to ensuring their right to health, wellbeing and development. </w:t>
      </w:r>
    </w:p>
    <w:p w:rsidR="00F43E1D" w:rsidRPr="00021DD2" w:rsidRDefault="00F43E1D" w:rsidP="00F43E1D">
      <w:pPr>
        <w:rPr>
          <w:rFonts w:cs="Arial"/>
        </w:rPr>
      </w:pPr>
      <w:r w:rsidRPr="00021DD2">
        <w:rPr>
          <w:rFonts w:cs="Arial"/>
        </w:rPr>
        <w:t xml:space="preserve">Mobile Children’s Services, supported by the peak body </w:t>
      </w:r>
      <w:r w:rsidRPr="00021DD2">
        <w:rPr>
          <w:rFonts w:cs="Arial"/>
          <w:lang w:val="en-US"/>
        </w:rPr>
        <w:t xml:space="preserve">Mobile Children’s Services Association (MCSA), are early learning services ‘on wheels’ that aim to </w:t>
      </w:r>
      <w:r w:rsidRPr="00021DD2">
        <w:rPr>
          <w:rFonts w:cs="Arial"/>
        </w:rPr>
        <w:t>deliver access to early learning and care services where centre-based delivery is not readily available.</w:t>
      </w:r>
      <w:r w:rsidRPr="00021DD2">
        <w:rPr>
          <w:rStyle w:val="Rimandonotadichiusura"/>
          <w:rFonts w:cs="Arial"/>
        </w:rPr>
        <w:endnoteReference w:id="56"/>
      </w:r>
      <w:r w:rsidRPr="00021DD2">
        <w:rPr>
          <w:rFonts w:cs="Arial"/>
          <w:lang w:val="en-US"/>
        </w:rPr>
        <w:t xml:space="preserve"> These services </w:t>
      </w:r>
      <w:r w:rsidRPr="00021DD2">
        <w:rPr>
          <w:rFonts w:cs="Arial"/>
        </w:rPr>
        <w:t>play an essential role in reaching isolated, disadvantaged and vulnerable children, families and communities that may not otherwise have access to services for children.</w:t>
      </w:r>
      <w:r w:rsidRPr="00021DD2">
        <w:rPr>
          <w:rStyle w:val="Rimandonotadichiusura"/>
          <w:rFonts w:cs="Arial"/>
        </w:rPr>
        <w:endnoteReference w:id="57"/>
      </w:r>
      <w:r w:rsidRPr="00021DD2">
        <w:rPr>
          <w:rFonts w:cs="Arial"/>
          <w:lang w:val="en-US"/>
        </w:rPr>
        <w:t xml:space="preserve"> </w:t>
      </w:r>
    </w:p>
    <w:p w:rsidR="00F43E1D" w:rsidRPr="00021DD2" w:rsidRDefault="00F43E1D" w:rsidP="00F43E1D">
      <w:pPr>
        <w:rPr>
          <w:rFonts w:cs="Arial"/>
          <w:lang w:val="en-US"/>
        </w:rPr>
      </w:pPr>
      <w:r w:rsidRPr="00021DD2">
        <w:rPr>
          <w:rFonts w:cs="Arial"/>
        </w:rPr>
        <w:t>In March 2017, I was a keynote speaker at the 2017 Mobile Meet, a professional development event bringing together a range of Mobile Children’s Services. I presented on my work to promo</w:t>
      </w:r>
      <w:r w:rsidR="001B5E7B" w:rsidRPr="00021DD2">
        <w:rPr>
          <w:rFonts w:cs="Arial"/>
        </w:rPr>
        <w:t>te children’s right to be heard</w:t>
      </w:r>
      <w:r w:rsidRPr="00021DD2">
        <w:rPr>
          <w:rFonts w:cs="Arial"/>
        </w:rPr>
        <w:t xml:space="preserve"> and educational resources that have been developed by the Commission</w:t>
      </w:r>
      <w:r w:rsidRPr="00021DD2">
        <w:rPr>
          <w:rFonts w:cs="Arial"/>
          <w:iCs/>
        </w:rPr>
        <w:t xml:space="preserve"> to help practitioners implement human rights in their workplaces and communities</w:t>
      </w:r>
      <w:r w:rsidRPr="00021DD2">
        <w:rPr>
          <w:rFonts w:cs="Arial"/>
        </w:rPr>
        <w:t xml:space="preserve">. </w:t>
      </w:r>
    </w:p>
    <w:p w:rsidR="00F43E1D" w:rsidRPr="00021DD2" w:rsidRDefault="00F43E1D" w:rsidP="007811D8">
      <w:pPr>
        <w:pStyle w:val="Titolo3"/>
        <w:rPr>
          <w:rFonts w:cs="Arial"/>
        </w:rPr>
      </w:pPr>
      <w:bookmarkStart w:id="37" w:name="_Toc500308759"/>
      <w:r w:rsidRPr="00021DD2">
        <w:rPr>
          <w:rFonts w:cs="Arial"/>
        </w:rPr>
        <w:t>Young workers</w:t>
      </w:r>
      <w:bookmarkEnd w:id="37"/>
    </w:p>
    <w:p w:rsidR="00F43E1D" w:rsidRPr="00021DD2" w:rsidRDefault="00F43E1D" w:rsidP="00154D67">
      <w:r w:rsidRPr="00021DD2">
        <w:t xml:space="preserve">A first job can be an exciting time for a young person. However, young workers, due to their lack of experience, may be unaware of their rights and entitlements in the workplace. Employers may also be unaware of the vulnerabilities and needs of young workers, and how they can best support them. </w:t>
      </w:r>
    </w:p>
    <w:p w:rsidR="00F43E1D" w:rsidRPr="00021DD2" w:rsidRDefault="00F43E1D" w:rsidP="00154D67">
      <w:r w:rsidRPr="00021DD2">
        <w:t>In 2017, I provided advice to the Fair Work Ombudsman on guides they are currently developing for young workers and businesses employing young workers. The guides will set out:</w:t>
      </w:r>
    </w:p>
    <w:p w:rsidR="00F43E1D" w:rsidRPr="00021DD2" w:rsidRDefault="00F43E1D" w:rsidP="00B934D7">
      <w:pPr>
        <w:pStyle w:val="Paragrafoelenco"/>
        <w:numPr>
          <w:ilvl w:val="0"/>
          <w:numId w:val="23"/>
        </w:numPr>
        <w:spacing w:before="0" w:after="0"/>
      </w:pPr>
      <w:r w:rsidRPr="00021DD2">
        <w:t>the legal requirements for employing young workers</w:t>
      </w:r>
    </w:p>
    <w:p w:rsidR="00F43E1D" w:rsidRPr="00021DD2" w:rsidRDefault="00F43E1D" w:rsidP="00B934D7">
      <w:pPr>
        <w:pStyle w:val="Paragrafoelenco"/>
        <w:numPr>
          <w:ilvl w:val="0"/>
          <w:numId w:val="23"/>
        </w:numPr>
        <w:spacing w:before="0" w:after="0"/>
      </w:pPr>
      <w:r w:rsidRPr="00021DD2">
        <w:t>what young workers should expect from their employers and how they can thrive in the workplace</w:t>
      </w:r>
    </w:p>
    <w:p w:rsidR="00454E92" w:rsidRPr="006B12A7" w:rsidRDefault="00F43E1D" w:rsidP="00B934D7">
      <w:pPr>
        <w:pStyle w:val="Paragrafoelenco"/>
        <w:numPr>
          <w:ilvl w:val="0"/>
          <w:numId w:val="23"/>
        </w:numPr>
        <w:spacing w:before="0" w:after="0"/>
      </w:pPr>
      <w:r w:rsidRPr="00021DD2">
        <w:t xml:space="preserve">how employers can best support and engage young workers and create a safe work environment that is free from bullying, harassment and discrimination. </w:t>
      </w:r>
    </w:p>
    <w:p w:rsidR="00F43E1D" w:rsidRPr="00021DD2" w:rsidRDefault="00F43E1D" w:rsidP="00EC07F8">
      <w:pPr>
        <w:pStyle w:val="11"/>
      </w:pPr>
      <w:bookmarkStart w:id="38" w:name="_Toc462996653"/>
      <w:bookmarkStart w:id="39" w:name="_Toc500308760"/>
      <w:r w:rsidRPr="00021DD2">
        <w:t>Engaged citizenship</w:t>
      </w:r>
      <w:bookmarkEnd w:id="38"/>
      <w:bookmarkEnd w:id="39"/>
    </w:p>
    <w:p w:rsidR="00F43E1D" w:rsidRPr="00021DD2" w:rsidRDefault="00F43E1D" w:rsidP="00F43E1D">
      <w:pPr>
        <w:rPr>
          <w:rFonts w:cs="Arial"/>
        </w:rPr>
      </w:pPr>
      <w:r w:rsidRPr="00021DD2">
        <w:rPr>
          <w:rFonts w:cs="Arial"/>
        </w:rPr>
        <w:t xml:space="preserve">Promoting engaged civics and citizenship through education and awareness raising is one of my core functions as the National Children’s Commissioner. I achieve this through presentations at conferences, forums and other public engagements and my advocacy on children’s rights issues in the media. </w:t>
      </w:r>
    </w:p>
    <w:p w:rsidR="00F43E1D" w:rsidRPr="00021DD2" w:rsidRDefault="00F43E1D" w:rsidP="00F43E1D">
      <w:pPr>
        <w:rPr>
          <w:rFonts w:cs="Arial"/>
        </w:rPr>
      </w:pPr>
      <w:r w:rsidRPr="00021DD2">
        <w:rPr>
          <w:rFonts w:cs="Arial"/>
        </w:rPr>
        <w:t>I also support the work of the Australian Human Rights Commission to promote awareness of and respect for children’s rights, through the development and distribution of human rights education resources for children and young people.</w:t>
      </w:r>
    </w:p>
    <w:p w:rsidR="00F43E1D" w:rsidRPr="00B934D7" w:rsidRDefault="00F43E1D" w:rsidP="00222517">
      <w:pPr>
        <w:pStyle w:val="Titolo3"/>
        <w:numPr>
          <w:ilvl w:val="2"/>
          <w:numId w:val="199"/>
        </w:numPr>
        <w:rPr>
          <w:rFonts w:cs="Arial"/>
        </w:rPr>
      </w:pPr>
      <w:bookmarkStart w:id="40" w:name="_Toc500308761"/>
      <w:r w:rsidRPr="00B934D7">
        <w:rPr>
          <w:rFonts w:cs="Arial"/>
        </w:rPr>
        <w:t>Encouraging human rights education</w:t>
      </w:r>
      <w:bookmarkEnd w:id="40"/>
    </w:p>
    <w:p w:rsidR="00F43E1D" w:rsidRPr="00021DD2" w:rsidRDefault="00F43E1D" w:rsidP="00F43E1D">
      <w:pPr>
        <w:rPr>
          <w:rFonts w:cs="Arial"/>
        </w:rPr>
      </w:pPr>
      <w:r w:rsidRPr="00021DD2">
        <w:rPr>
          <w:rFonts w:cs="Arial"/>
        </w:rPr>
        <w:t xml:space="preserve">In 2016, the Commission developed its first series of early childhood educational resources. This series of resources, called </w:t>
      </w:r>
      <w:r w:rsidRPr="00021DD2">
        <w:rPr>
          <w:rFonts w:cs="Arial"/>
          <w:i/>
        </w:rPr>
        <w:t>Building Belonging</w:t>
      </w:r>
      <w:r w:rsidRPr="00021DD2">
        <w:rPr>
          <w:rFonts w:cs="Arial"/>
        </w:rPr>
        <w:t>, focuses on encouraging respect for cultural diversity and addressing racial prejudice in early childhood education and care settings. It is a comprehensive toolkit of resources which includes an ebook, song with actions, educator guide, posters and lesson plans. I launched these resources at the Early Childhood Australia national conference in October 2016.</w:t>
      </w:r>
      <w:r w:rsidRPr="00021DD2">
        <w:rPr>
          <w:rStyle w:val="Rimandonotadichiusura"/>
          <w:rFonts w:cs="Arial"/>
        </w:rPr>
        <w:endnoteReference w:id="58"/>
      </w:r>
      <w:r w:rsidRPr="00021DD2">
        <w:rPr>
          <w:rFonts w:cs="Arial"/>
        </w:rPr>
        <w:t xml:space="preserve"> As at September 2017, the toolkit had been viewed over 44,000 times and downloaded over 27,000 times. </w:t>
      </w:r>
    </w:p>
    <w:p w:rsidR="00F43E1D" w:rsidRPr="00021DD2" w:rsidRDefault="00F43E1D" w:rsidP="007811D8">
      <w:pPr>
        <w:pStyle w:val="Titolo3"/>
        <w:rPr>
          <w:rFonts w:cs="Arial"/>
        </w:rPr>
      </w:pPr>
      <w:bookmarkStart w:id="41" w:name="_Toc500308762"/>
      <w:r w:rsidRPr="00021DD2">
        <w:rPr>
          <w:rFonts w:cs="Arial"/>
        </w:rPr>
        <w:t>Children’s Week 2017</w:t>
      </w:r>
      <w:bookmarkEnd w:id="41"/>
    </w:p>
    <w:p w:rsidR="00F43E1D" w:rsidRPr="00021DD2" w:rsidRDefault="00F43E1D" w:rsidP="00826906">
      <w:r w:rsidRPr="00021DD2">
        <w:t>Children’s Week is an annual event celebrated in Australia in October. The theme of Children’s Week in 2017 was</w:t>
      </w:r>
      <w:r w:rsidR="001B5E7B" w:rsidRPr="00021DD2">
        <w:t xml:space="preserve"> a</w:t>
      </w:r>
      <w:r w:rsidRPr="00021DD2">
        <w:t xml:space="preserve">rticle 29 of the </w:t>
      </w:r>
      <w:r w:rsidRPr="00021DD2">
        <w:rPr>
          <w:iCs/>
        </w:rPr>
        <w:t>CRC</w:t>
      </w:r>
      <w:r w:rsidRPr="00021DD2">
        <w:t xml:space="preserve"> on the aims of education. Article 29 provides that education should be directed to:</w:t>
      </w:r>
    </w:p>
    <w:p w:rsidR="00F43E1D" w:rsidRPr="00021DD2" w:rsidRDefault="00F43E1D" w:rsidP="00B934D7">
      <w:pPr>
        <w:numPr>
          <w:ilvl w:val="0"/>
          <w:numId w:val="24"/>
        </w:numPr>
        <w:spacing w:before="0" w:after="0"/>
        <w:rPr>
          <w:rFonts w:cs="Arial"/>
        </w:rPr>
      </w:pPr>
      <w:r w:rsidRPr="00021DD2">
        <w:rPr>
          <w:rFonts w:cs="Arial"/>
        </w:rPr>
        <w:t xml:space="preserve">the development of </w:t>
      </w:r>
      <w:r w:rsidR="001B5E7B" w:rsidRPr="00021DD2">
        <w:rPr>
          <w:rFonts w:cs="Arial"/>
        </w:rPr>
        <w:t>each child’s full potential</w:t>
      </w:r>
      <w:r w:rsidRPr="00021DD2">
        <w:rPr>
          <w:rFonts w:cs="Arial"/>
        </w:rPr>
        <w:t xml:space="preserve"> </w:t>
      </w:r>
    </w:p>
    <w:p w:rsidR="00F43E1D" w:rsidRPr="00021DD2" w:rsidRDefault="00F43E1D" w:rsidP="00B934D7">
      <w:pPr>
        <w:numPr>
          <w:ilvl w:val="0"/>
          <w:numId w:val="24"/>
        </w:numPr>
        <w:spacing w:before="0" w:after="0"/>
        <w:rPr>
          <w:rFonts w:cs="Arial"/>
        </w:rPr>
      </w:pPr>
      <w:r w:rsidRPr="00021DD2">
        <w:rPr>
          <w:rFonts w:cs="Arial"/>
        </w:rPr>
        <w:t>the development of respect for human rights and fundamental freedoms</w:t>
      </w:r>
    </w:p>
    <w:p w:rsidR="00F43E1D" w:rsidRPr="00021DD2" w:rsidRDefault="00F43E1D" w:rsidP="00B934D7">
      <w:pPr>
        <w:numPr>
          <w:ilvl w:val="0"/>
          <w:numId w:val="24"/>
        </w:numPr>
        <w:spacing w:before="0" w:after="0"/>
        <w:rPr>
          <w:rFonts w:cs="Arial"/>
        </w:rPr>
      </w:pPr>
      <w:r w:rsidRPr="00021DD2">
        <w:rPr>
          <w:rFonts w:cs="Arial"/>
        </w:rPr>
        <w:t>the development of respect for the child’s parents, and cultural identity</w:t>
      </w:r>
    </w:p>
    <w:p w:rsidR="00F43E1D" w:rsidRPr="00021DD2" w:rsidRDefault="00F43E1D" w:rsidP="00B934D7">
      <w:pPr>
        <w:numPr>
          <w:ilvl w:val="0"/>
          <w:numId w:val="24"/>
        </w:numPr>
        <w:spacing w:before="0" w:after="0"/>
        <w:rPr>
          <w:rFonts w:cs="Arial"/>
        </w:rPr>
      </w:pPr>
      <w:r w:rsidRPr="00021DD2">
        <w:rPr>
          <w:rFonts w:cs="Arial"/>
        </w:rPr>
        <w:t>preparation for responsible life in a free society</w:t>
      </w:r>
    </w:p>
    <w:p w:rsidR="00F43E1D" w:rsidRPr="00021DD2" w:rsidRDefault="00F43E1D" w:rsidP="00B934D7">
      <w:pPr>
        <w:numPr>
          <w:ilvl w:val="0"/>
          <w:numId w:val="24"/>
        </w:numPr>
        <w:spacing w:before="0"/>
        <w:ind w:left="714" w:hanging="357"/>
        <w:rPr>
          <w:rFonts w:cs="Arial"/>
        </w:rPr>
      </w:pPr>
      <w:r w:rsidRPr="00021DD2">
        <w:rPr>
          <w:rFonts w:cs="Arial"/>
        </w:rPr>
        <w:t xml:space="preserve">the development of respect for the natural environment. </w:t>
      </w:r>
    </w:p>
    <w:p w:rsidR="00F43E1D" w:rsidRPr="00021DD2" w:rsidRDefault="00F43E1D" w:rsidP="00826906">
      <w:r w:rsidRPr="00021DD2">
        <w:t xml:space="preserve">Article 29 positions education as the key to influencing how a child views and treats others, and understands themselves as part of their community and society. </w:t>
      </w:r>
    </w:p>
    <w:p w:rsidR="00996014" w:rsidRPr="00021DD2" w:rsidRDefault="00F43E1D" w:rsidP="00826906">
      <w:r w:rsidRPr="00021DD2">
        <w:t>As National Ambassador for Children’</w:t>
      </w:r>
      <w:r w:rsidRPr="00021DD2">
        <w:rPr>
          <w:lang w:val="nl-NL"/>
        </w:rPr>
        <w:t xml:space="preserve">s </w:t>
      </w:r>
      <w:r w:rsidR="001B5E7B" w:rsidRPr="00021DD2">
        <w:rPr>
          <w:lang w:val="nl-NL"/>
        </w:rPr>
        <w:t>Week in 2017, my message focused</w:t>
      </w:r>
      <w:r w:rsidRPr="00021DD2">
        <w:rPr>
          <w:lang w:val="nl-NL"/>
        </w:rPr>
        <w:t xml:space="preserve"> on </w:t>
      </w:r>
      <w:r w:rsidRPr="00021DD2">
        <w:t xml:space="preserve">children’s mental health needs, school connectedness, </w:t>
      </w:r>
      <w:r w:rsidR="001B5E7B" w:rsidRPr="00021DD2">
        <w:t>f</w:t>
      </w:r>
      <w:r w:rsidRPr="00021DD2">
        <w:t xml:space="preserve">eelings of belonging, and having a voice as key factors for their overall wellbeing in the school setting. Consistent with the emphasis in </w:t>
      </w:r>
      <w:r w:rsidR="001B5E7B" w:rsidRPr="00021DD2">
        <w:t>a</w:t>
      </w:r>
      <w:r w:rsidRPr="00021DD2">
        <w:t>rticle 29 on the holistic development of each child, families, schools and communities each play a role in encouraging and facilitating children’s participation in decisions that affect them. Providing children with meaningful opportunities to be heard is both safeguarding and empowering, and supports their preparation for an active, engaged and responsib</w:t>
      </w:r>
      <w:r w:rsidR="006B12A7">
        <w:t>le life in a free society.</w:t>
      </w:r>
    </w:p>
    <w:p w:rsidR="00F43E1D" w:rsidRPr="00021DD2" w:rsidRDefault="00F43E1D" w:rsidP="0071613D">
      <w:pPr>
        <w:pStyle w:val="11"/>
      </w:pPr>
      <w:bookmarkStart w:id="42" w:name="_Toc462996654"/>
      <w:bookmarkStart w:id="43" w:name="_Toc500308763"/>
      <w:r w:rsidRPr="00021DD2">
        <w:t>Action and accountability</w:t>
      </w:r>
      <w:bookmarkEnd w:id="42"/>
      <w:bookmarkEnd w:id="43"/>
    </w:p>
    <w:p w:rsidR="00F43E1D" w:rsidRPr="00021DD2" w:rsidRDefault="00F43E1D" w:rsidP="00F43E1D">
      <w:pPr>
        <w:rPr>
          <w:rFonts w:cs="Arial"/>
        </w:rPr>
      </w:pPr>
      <w:r w:rsidRPr="00021DD2">
        <w:rPr>
          <w:rFonts w:cs="Arial"/>
        </w:rPr>
        <w:t>During the year, I have promoted action and accountability in relation to children’s rights through my</w:t>
      </w:r>
      <w:r w:rsidR="001B5E7B" w:rsidRPr="00021DD2">
        <w:rPr>
          <w:rFonts w:cs="Arial"/>
        </w:rPr>
        <w:t>:</w:t>
      </w:r>
    </w:p>
    <w:p w:rsidR="00F43E1D" w:rsidRPr="00021DD2" w:rsidRDefault="00F43E1D" w:rsidP="00B934D7">
      <w:pPr>
        <w:pStyle w:val="Paragrafoelenco"/>
        <w:numPr>
          <w:ilvl w:val="0"/>
          <w:numId w:val="25"/>
        </w:numPr>
      </w:pPr>
      <w:r w:rsidRPr="00021DD2">
        <w:t xml:space="preserve">participation in key government and non-government forums </w:t>
      </w:r>
    </w:p>
    <w:p w:rsidR="00F43E1D" w:rsidRPr="00021DD2" w:rsidRDefault="00F43E1D" w:rsidP="00B934D7">
      <w:pPr>
        <w:pStyle w:val="Paragrafoelenco"/>
        <w:numPr>
          <w:ilvl w:val="0"/>
          <w:numId w:val="25"/>
        </w:numPr>
      </w:pPr>
      <w:r w:rsidRPr="00021DD2">
        <w:t>submissions to inquiries</w:t>
      </w:r>
    </w:p>
    <w:p w:rsidR="00F43E1D" w:rsidRPr="00021DD2" w:rsidRDefault="00F43E1D" w:rsidP="00B934D7">
      <w:pPr>
        <w:pStyle w:val="Paragrafoelenco"/>
        <w:numPr>
          <w:ilvl w:val="0"/>
          <w:numId w:val="25"/>
        </w:numPr>
      </w:pPr>
      <w:r w:rsidRPr="00021DD2">
        <w:t xml:space="preserve">ongoing advocacy to improve the monitoring of child wellbeing in Australia. </w:t>
      </w:r>
    </w:p>
    <w:p w:rsidR="00F43E1D" w:rsidRPr="00021DD2" w:rsidRDefault="00F43E1D" w:rsidP="00F43E1D">
      <w:pPr>
        <w:rPr>
          <w:rFonts w:cs="Arial"/>
        </w:rPr>
      </w:pPr>
      <w:r w:rsidRPr="00021DD2">
        <w:rPr>
          <w:rFonts w:cs="Arial"/>
        </w:rPr>
        <w:t>My participation in government and non-government forums between 1 July 2016 and 30 September 2017 is listed in Appendix 3.</w:t>
      </w:r>
    </w:p>
    <w:p w:rsidR="00F43E1D" w:rsidRPr="00021DD2" w:rsidRDefault="00F43E1D" w:rsidP="00F43E1D">
      <w:pPr>
        <w:rPr>
          <w:rFonts w:cs="Arial"/>
        </w:rPr>
      </w:pPr>
      <w:r w:rsidRPr="00021DD2">
        <w:rPr>
          <w:rFonts w:cs="Arial"/>
        </w:rPr>
        <w:t>Making submissions to government and other inquiries is another important way that I hope to ensure children’s rights are taken into account in policy development. Between 1 July 2016 and 30 September 2017, the Australian Human Rights Commission made a number of submissions to government and other inquiries which included consideration of children’s rights. These submissions are noted at Appendix 5.</w:t>
      </w:r>
    </w:p>
    <w:p w:rsidR="00F43E1D" w:rsidRPr="00021DD2" w:rsidRDefault="00F43E1D" w:rsidP="00F43E1D">
      <w:pPr>
        <w:rPr>
          <w:rFonts w:cs="Arial"/>
        </w:rPr>
      </w:pPr>
      <w:r w:rsidRPr="00021DD2">
        <w:rPr>
          <w:rFonts w:cs="Arial"/>
        </w:rPr>
        <w:t xml:space="preserve">Additionally, I continue to advocate for the development of accessible and child-friendly complaints mechanisms that allow children and young people to seek redress if their rights have been contravened. </w:t>
      </w:r>
    </w:p>
    <w:p w:rsidR="00F43E1D" w:rsidRPr="00021DD2" w:rsidRDefault="00F43E1D" w:rsidP="00826906">
      <w:pPr>
        <w:spacing w:after="400"/>
        <w:rPr>
          <w:rFonts w:cs="Arial"/>
        </w:rPr>
      </w:pPr>
      <w:r w:rsidRPr="00021DD2">
        <w:rPr>
          <w:rFonts w:cs="Arial"/>
        </w:rPr>
        <w:t>The Australian Human Rights Commission’s Investigation and Conciliation Service is an example of a complaints service that allows children and young people to claim their rights. Under Australia’s federal anti-discrimination and human rights legislation, the Commission can investigate and conciliate complaints of discrimination, harassment and bullying based on a person’s sex, disability, age and race. The Commission can also investigate and conciliate complaints alleging sexual harassment, racial hatred and breaches of human rights by the Commonwealth, including the rights set out under the CRC.</w:t>
      </w:r>
      <w:r w:rsidR="000F10F4">
        <w:rPr>
          <w:rFonts w:cs="Arial"/>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5" w:themeFillTint="66"/>
        <w:tblCellMar>
          <w:top w:w="284" w:type="dxa"/>
          <w:left w:w="284" w:type="dxa"/>
          <w:bottom w:w="284" w:type="dxa"/>
          <w:right w:w="284" w:type="dxa"/>
        </w:tblCellMar>
        <w:tblLook w:val="04A0" w:firstRow="1" w:lastRow="0" w:firstColumn="1" w:lastColumn="0" w:noHBand="0" w:noVBand="1"/>
      </w:tblPr>
      <w:tblGrid>
        <w:gridCol w:w="9060"/>
      </w:tblGrid>
      <w:tr w:rsidR="00996014" w:rsidRPr="00996014" w:rsidTr="00E201D2">
        <w:tc>
          <w:tcPr>
            <w:tcW w:w="9060" w:type="dxa"/>
            <w:shd w:val="clear" w:color="auto" w:fill="E7E6E6" w:themeFill="background2"/>
          </w:tcPr>
          <w:p w:rsidR="00F43E1D" w:rsidRPr="00996014" w:rsidRDefault="00F43E1D" w:rsidP="00E201D2">
            <w:pPr>
              <w:spacing w:before="0"/>
              <w:rPr>
                <w:rFonts w:cs="Arial"/>
                <w:b/>
                <w:bCs/>
              </w:rPr>
            </w:pPr>
            <w:r w:rsidRPr="00996014">
              <w:rPr>
                <w:rFonts w:cs="Arial"/>
                <w:b/>
                <w:bCs/>
              </w:rPr>
              <w:t>Complaints handled by the Australian Human Rights Commission involving children</w:t>
            </w:r>
          </w:p>
          <w:p w:rsidR="00F43E1D" w:rsidRPr="00996014" w:rsidRDefault="001B5E7B" w:rsidP="001A4945">
            <w:pPr>
              <w:rPr>
                <w:rFonts w:cs="Arial"/>
              </w:rPr>
            </w:pPr>
            <w:r w:rsidRPr="00996014">
              <w:rPr>
                <w:rFonts w:cs="Arial"/>
              </w:rPr>
              <w:t>In the 2016–</w:t>
            </w:r>
            <w:r w:rsidR="00F43E1D" w:rsidRPr="00996014">
              <w:rPr>
                <w:rFonts w:cs="Arial"/>
              </w:rPr>
              <w:t xml:space="preserve">2017 reporting year, the Investigation and Conciliation Service at the Australian Human Rights Commission received </w:t>
            </w:r>
            <w:r w:rsidR="00F43E1D" w:rsidRPr="00996014">
              <w:rPr>
                <w:rFonts w:cs="Arial"/>
                <w:b/>
                <w:bCs/>
              </w:rPr>
              <w:t>157 complaints</w:t>
            </w:r>
            <w:r w:rsidR="00F43E1D" w:rsidRPr="00996014">
              <w:rPr>
                <w:rFonts w:cs="Arial"/>
              </w:rPr>
              <w:t xml:space="preserve"> involving children (that is, complaints by a child or on behalf of a child, or raising an issue concerning a child). This represents around nine per cent of all complaints received during this period. </w:t>
            </w:r>
          </w:p>
          <w:p w:rsidR="00F43E1D" w:rsidRPr="00996014" w:rsidRDefault="00F43E1D" w:rsidP="001A4945">
            <w:pPr>
              <w:rPr>
                <w:rFonts w:cs="Arial"/>
              </w:rPr>
            </w:pPr>
            <w:r w:rsidRPr="00996014">
              <w:rPr>
                <w:rFonts w:cs="Arial"/>
              </w:rPr>
              <w:t xml:space="preserve">As was the case last year, the main area of complaint involving children was </w:t>
            </w:r>
            <w:r w:rsidRPr="00996014">
              <w:rPr>
                <w:rFonts w:cs="Arial"/>
                <w:b/>
                <w:bCs/>
              </w:rPr>
              <w:t>complaints alleging disability discrimination in the provision of education</w:t>
            </w:r>
            <w:r w:rsidRPr="00996014">
              <w:rPr>
                <w:rFonts w:cs="Arial"/>
              </w:rPr>
              <w:t xml:space="preserve">. </w:t>
            </w:r>
          </w:p>
          <w:p w:rsidR="009636A9" w:rsidRPr="00B44D4B" w:rsidRDefault="00F43E1D" w:rsidP="00154D67">
            <w:pPr>
              <w:rPr>
                <w:rFonts w:cs="Arial"/>
              </w:rPr>
            </w:pPr>
            <w:r w:rsidRPr="00996014">
              <w:rPr>
                <w:rFonts w:cs="Arial"/>
              </w:rPr>
              <w:t>The following is an example of a complaint of disability discrimination in education that was conciliated by the Investigation and Conciliation Service.</w:t>
            </w:r>
          </w:p>
          <w:p w:rsidR="00F43E1D" w:rsidRPr="00996014" w:rsidRDefault="00B44D4B" w:rsidP="00154D67">
            <w:r>
              <w:br/>
            </w:r>
            <w:r w:rsidR="00F43E1D" w:rsidRPr="00996014">
              <w:t>The complainant is blind and uses Braille to read and r</w:t>
            </w:r>
            <w:r w:rsidR="001B5E7B" w:rsidRPr="00996014">
              <w:t>ecord information. He attended Y</w:t>
            </w:r>
            <w:r w:rsidR="00F43E1D" w:rsidRPr="00996014">
              <w:t>ear 11 at a public high school and claimed he was denied reasonable adjustments to accommodate his disability during final exams, including additional time.</w:t>
            </w:r>
          </w:p>
          <w:p w:rsidR="00F43E1D" w:rsidRPr="00996014" w:rsidRDefault="00F43E1D" w:rsidP="00154D67">
            <w:r w:rsidRPr="00996014">
              <w:t>The relevant educational authority noted it had provided the complainant with a number of adjustments to enable him to complete examinations on the same basis as other students without disability.</w:t>
            </w:r>
          </w:p>
          <w:p w:rsidR="0090766A" w:rsidRPr="00996014" w:rsidRDefault="00F43E1D" w:rsidP="00154D67">
            <w:r w:rsidRPr="00996014">
              <w:t>Following discussion of the complai</w:t>
            </w:r>
            <w:r w:rsidR="005262F9" w:rsidRPr="00996014">
              <w:t>nant's situation and disability-</w:t>
            </w:r>
            <w:r w:rsidRPr="00996014">
              <w:t>related needs, the complaint was resolved with an agreement that he would be provided with a number of adjustments to accommodate his disability during examinations, including additional time.</w:t>
            </w:r>
          </w:p>
        </w:tc>
      </w:tr>
    </w:tbl>
    <w:p w:rsidR="00F43E1D" w:rsidRPr="00B934D7" w:rsidRDefault="00F43E1D" w:rsidP="00222517">
      <w:pPr>
        <w:pStyle w:val="Titolo3"/>
        <w:numPr>
          <w:ilvl w:val="2"/>
          <w:numId w:val="200"/>
        </w:numPr>
        <w:rPr>
          <w:rFonts w:cs="Arial"/>
        </w:rPr>
      </w:pPr>
      <w:bookmarkStart w:id="44" w:name="_Toc500308764"/>
      <w:r w:rsidRPr="00B934D7">
        <w:rPr>
          <w:rFonts w:cs="Arial"/>
        </w:rPr>
        <w:t>Monitoring the wellbeing of children in Australia</w:t>
      </w:r>
      <w:bookmarkEnd w:id="44"/>
      <w:r w:rsidRPr="00B934D7">
        <w:rPr>
          <w:rFonts w:cs="Arial"/>
        </w:rPr>
        <w:t xml:space="preserve"> </w:t>
      </w:r>
    </w:p>
    <w:p w:rsidR="00F43E1D" w:rsidRPr="00021DD2" w:rsidRDefault="00F43E1D" w:rsidP="00F43E1D">
      <w:pPr>
        <w:rPr>
          <w:rFonts w:cs="Arial"/>
        </w:rPr>
      </w:pPr>
      <w:r w:rsidRPr="00021DD2">
        <w:rPr>
          <w:rFonts w:cs="Arial"/>
        </w:rPr>
        <w:t xml:space="preserve">As highlighted in my previous Children’s Rights Reports, there are significant gaps in the way Australia monitors and reports on child wellbeing, which reduces our accountability </w:t>
      </w:r>
      <w:r w:rsidR="005262F9">
        <w:rPr>
          <w:rFonts w:cs="Arial"/>
        </w:rPr>
        <w:t xml:space="preserve">in relation </w:t>
      </w:r>
      <w:r w:rsidRPr="00021DD2">
        <w:rPr>
          <w:rFonts w:cs="Arial"/>
        </w:rPr>
        <w:t>to children and young people. Intentional self-harm, with or without suicidal intent, and children’s exposure to family and domestic violence are two areas where these gaps are evident.</w:t>
      </w:r>
      <w:r w:rsidRPr="00021DD2">
        <w:rPr>
          <w:rStyle w:val="Rimandonotadichiusura"/>
          <w:rFonts w:cs="Arial"/>
        </w:rPr>
        <w:endnoteReference w:id="59"/>
      </w:r>
      <w:r w:rsidRPr="00021DD2">
        <w:rPr>
          <w:rFonts w:cs="Arial"/>
        </w:rPr>
        <w:t xml:space="preserve"> Other areas include information on children and young people’s educational outcomes, physical and mental health, prevalence of disability, participation and civic engagement, and safety and wellbeing. It continues to be difficult to obtain data which can be disaggregated between different age ranges and cultural and socio-economic backgrounds. </w:t>
      </w:r>
    </w:p>
    <w:p w:rsidR="00F43E1D" w:rsidRPr="00021DD2" w:rsidRDefault="00F43E1D" w:rsidP="00F43E1D">
      <w:pPr>
        <w:rPr>
          <w:rFonts w:cs="Arial"/>
        </w:rPr>
      </w:pPr>
      <w:r w:rsidRPr="00021DD2">
        <w:rPr>
          <w:rFonts w:cs="Arial"/>
        </w:rPr>
        <w:t>The many data gaps relating to Australia’s children prevent us from building an effective picture of child wellbeing in Australia, and hamper our ability to understand when and how best to intervene in ways that will support all children to thrive. This also means that in many domains relating to children we are unable to compare ourselves internationally. Progress in this area will be critical to the preparation of Australia’s report on its implementation of the CRC and its Optional Protocols, to be submitted to the UN Committee on the Rights of the Child in 2018.</w:t>
      </w:r>
    </w:p>
    <w:p w:rsidR="00F43E1D" w:rsidRPr="00021DD2" w:rsidRDefault="00F43E1D" w:rsidP="00F43E1D">
      <w:pPr>
        <w:rPr>
          <w:rFonts w:cs="Arial"/>
        </w:rPr>
      </w:pPr>
      <w:r w:rsidRPr="00021DD2">
        <w:rPr>
          <w:rFonts w:cs="Arial"/>
        </w:rPr>
        <w:t>To this end, I highlight below a number of research and measurement projects designed to assess and promote child wellbeing and where Australia has an opportunity to build its information base in relation to child well-being.</w:t>
      </w:r>
    </w:p>
    <w:p w:rsidR="00F43E1D" w:rsidRPr="00E34166" w:rsidRDefault="00F43E1D" w:rsidP="001A4945">
      <w:pPr>
        <w:pStyle w:val="Titolo4"/>
      </w:pPr>
      <w:r w:rsidRPr="00E34166">
        <w:t>T</w:t>
      </w:r>
      <w:r w:rsidRPr="00E34166">
        <w:rPr>
          <w:lang w:val="en-US"/>
        </w:rPr>
        <w:t xml:space="preserve">he World Health Organisation Health Behaviour in School-aged Children study </w:t>
      </w:r>
    </w:p>
    <w:p w:rsidR="00F43E1D" w:rsidRPr="00021DD2" w:rsidRDefault="00F43E1D" w:rsidP="00F43E1D">
      <w:pPr>
        <w:spacing w:after="0"/>
        <w:rPr>
          <w:rFonts w:cs="Arial"/>
          <w:color w:val="000000"/>
        </w:rPr>
      </w:pPr>
      <w:r w:rsidRPr="00021DD2">
        <w:rPr>
          <w:rFonts w:cs="Arial"/>
          <w:color w:val="000000"/>
          <w:lang w:val="en-US"/>
        </w:rPr>
        <w:t>The World Health Organisation Health Behaviour in School-aged Children study (HBSC) is th</w:t>
      </w:r>
      <w:r w:rsidR="005262F9">
        <w:rPr>
          <w:rFonts w:cs="Arial"/>
          <w:color w:val="000000"/>
          <w:lang w:val="en-US"/>
        </w:rPr>
        <w:t>e world’s longest running cross-</w:t>
      </w:r>
      <w:r w:rsidRPr="00021DD2">
        <w:rPr>
          <w:rFonts w:cs="Arial"/>
          <w:color w:val="000000"/>
          <w:lang w:val="en-US"/>
        </w:rPr>
        <w:t xml:space="preserve">national study in the area of adolescent health, since </w:t>
      </w:r>
      <w:r w:rsidR="001B5E7B" w:rsidRPr="00021DD2">
        <w:rPr>
          <w:rFonts w:cs="Arial"/>
          <w:color w:val="000000"/>
          <w:lang w:val="en-US"/>
        </w:rPr>
        <w:t xml:space="preserve">begun </w:t>
      </w:r>
      <w:r w:rsidR="005262F9">
        <w:rPr>
          <w:rFonts w:cs="Arial"/>
          <w:color w:val="000000"/>
          <w:lang w:val="en-US"/>
        </w:rPr>
        <w:t>1982. This international cross-</w:t>
      </w:r>
      <w:r w:rsidRPr="00021DD2">
        <w:rPr>
          <w:rFonts w:cs="Arial"/>
          <w:color w:val="000000"/>
          <w:lang w:val="en-US"/>
        </w:rPr>
        <w:t>sectional study takes place in 45 countries and is concerned with the social determinants of young people’s health and wellbeing.</w:t>
      </w:r>
      <w:r w:rsidRPr="00021DD2">
        <w:rPr>
          <w:rFonts w:cs="Arial"/>
          <w:color w:val="000000"/>
        </w:rPr>
        <w:t xml:space="preserve"> The study examines early adolescents’ views on their physical, mental and sexual health, wellbeing, relationships, bullying, school engagement, and family, social and economic circumstances. </w:t>
      </w:r>
    </w:p>
    <w:p w:rsidR="00F43E1D" w:rsidRPr="00021DD2" w:rsidRDefault="00F43E1D" w:rsidP="00F43E1D">
      <w:pPr>
        <w:spacing w:after="0"/>
        <w:rPr>
          <w:rFonts w:eastAsiaTheme="minorHAnsi" w:cs="Arial"/>
          <w:color w:val="000000"/>
        </w:rPr>
      </w:pPr>
      <w:r w:rsidRPr="00021DD2">
        <w:rPr>
          <w:rFonts w:eastAsiaTheme="minorHAnsi" w:cs="Arial"/>
          <w:color w:val="000000"/>
        </w:rPr>
        <w:t xml:space="preserve">HBSC's findings show how young people's health changes as they move from childhood, through adolescence into adulthood. Member countries and stakeholders at national and international levels use </w:t>
      </w:r>
      <w:r w:rsidR="001B5E7B" w:rsidRPr="00021DD2">
        <w:rPr>
          <w:rFonts w:eastAsiaTheme="minorHAnsi" w:cs="Arial"/>
          <w:color w:val="000000"/>
        </w:rPr>
        <w:t xml:space="preserve">this </w:t>
      </w:r>
      <w:r w:rsidRPr="00021DD2">
        <w:rPr>
          <w:rFonts w:eastAsiaTheme="minorHAnsi" w:cs="Arial"/>
          <w:color w:val="000000"/>
        </w:rPr>
        <w:t>data to monitor young people's health, understand the social determinants of health, and determine effective health improvement interventions. Those working in child and adolescent health view HBSC as an extensive databank and repository of multidi</w:t>
      </w:r>
      <w:r w:rsidR="001B5E7B" w:rsidRPr="00021DD2">
        <w:rPr>
          <w:rFonts w:eastAsiaTheme="minorHAnsi" w:cs="Arial"/>
          <w:color w:val="000000"/>
        </w:rPr>
        <w:t>sciplinary expertise, which can</w:t>
      </w:r>
      <w:r w:rsidRPr="00021DD2">
        <w:rPr>
          <w:rFonts w:eastAsiaTheme="minorHAnsi" w:cs="Arial"/>
          <w:color w:val="000000"/>
        </w:rPr>
        <w:t xml:space="preserve"> support and further their research interests, lobby for change, inform policy and practice, and monitor trends over time.</w:t>
      </w:r>
      <w:r w:rsidRPr="00021DD2">
        <w:rPr>
          <w:rStyle w:val="Rimandonotadichiusura"/>
          <w:rFonts w:eastAsiaTheme="minorHAnsi" w:cs="Arial"/>
          <w:color w:val="000000"/>
        </w:rPr>
        <w:endnoteReference w:id="60"/>
      </w:r>
    </w:p>
    <w:p w:rsidR="00F43E1D" w:rsidRPr="00021DD2" w:rsidRDefault="00F43E1D" w:rsidP="00F43E1D">
      <w:pPr>
        <w:spacing w:after="0"/>
        <w:rPr>
          <w:rFonts w:cs="Arial"/>
          <w:color w:val="000000"/>
        </w:rPr>
      </w:pPr>
      <w:r w:rsidRPr="00021DD2">
        <w:rPr>
          <w:rFonts w:cs="Arial"/>
          <w:color w:val="000000"/>
        </w:rPr>
        <w:t>Until recently</w:t>
      </w:r>
      <w:r w:rsidR="001B5E7B" w:rsidRPr="00021DD2">
        <w:rPr>
          <w:rFonts w:cs="Arial"/>
          <w:color w:val="000000"/>
        </w:rPr>
        <w:t>,</w:t>
      </w:r>
      <w:r w:rsidRPr="00021DD2">
        <w:rPr>
          <w:rFonts w:cs="Arial"/>
          <w:color w:val="000000"/>
        </w:rPr>
        <w:t xml:space="preserve"> the study has primarily focused on Europe and North America, but is now moving to a global study with China, Hong Kong and a number of other OECD countries. It has never been conducted in Australia and, as a result, Australian data is missing from many comparative analyses that use the study. Participating in this study would provide valuable insight into the wellbeing of children across Australia as compared with children internationally.</w:t>
      </w:r>
    </w:p>
    <w:p w:rsidR="00F43E1D" w:rsidRPr="00E34166" w:rsidRDefault="00F43E1D" w:rsidP="001A4945">
      <w:pPr>
        <w:pStyle w:val="Titolo4"/>
      </w:pPr>
      <w:r w:rsidRPr="00E34166">
        <w:t>National Collaborative Network for Child Health Informatics</w:t>
      </w:r>
    </w:p>
    <w:p w:rsidR="00F43E1D" w:rsidRPr="00021DD2" w:rsidRDefault="00F43E1D" w:rsidP="00F43E1D">
      <w:pPr>
        <w:rPr>
          <w:rFonts w:cs="Arial"/>
          <w:bCs/>
        </w:rPr>
      </w:pPr>
      <w:r w:rsidRPr="00021DD2">
        <w:rPr>
          <w:rFonts w:cs="Arial"/>
          <w:bCs/>
        </w:rPr>
        <w:t>In 2017, the Australian Digital Health Agency partnered with eHealth NSW and the Sydney Children’s Hospitals Network to establish the National Collaborative Network for Child Health Informatics (the Network). The Network’s objective is to identify and scope four to five strategic national projects and initiatives, aimed at achieving positive health and wellbeing outcomes for Australian children and young people, made possible through patient-centred and clinician-friendly digital systems and capabilities.</w:t>
      </w:r>
    </w:p>
    <w:p w:rsidR="00F43E1D" w:rsidRPr="00021DD2" w:rsidRDefault="00F43E1D" w:rsidP="00F43E1D">
      <w:pPr>
        <w:rPr>
          <w:rFonts w:cs="Arial"/>
        </w:rPr>
      </w:pPr>
      <w:r w:rsidRPr="00021DD2">
        <w:rPr>
          <w:rFonts w:cs="Arial"/>
          <w:bCs/>
        </w:rPr>
        <w:t>Through a number of collaborative workshops held in June 2017, the Network identified 41 potential digital health initiatives to support children’s health and wellbeing</w:t>
      </w:r>
      <w:r w:rsidRPr="00021DD2">
        <w:rPr>
          <w:rFonts w:cs="Arial"/>
        </w:rPr>
        <w:t>, and five priority initiatives:</w:t>
      </w:r>
    </w:p>
    <w:p w:rsidR="00F43E1D" w:rsidRPr="00021DD2" w:rsidRDefault="00F43E1D" w:rsidP="00B934D7">
      <w:pPr>
        <w:pStyle w:val="Paragrafoelenco"/>
        <w:numPr>
          <w:ilvl w:val="0"/>
          <w:numId w:val="26"/>
        </w:numPr>
        <w:jc w:val="left"/>
        <w:rPr>
          <w:bCs/>
        </w:rPr>
      </w:pPr>
      <w:r w:rsidRPr="00021DD2">
        <w:rPr>
          <w:bCs/>
        </w:rPr>
        <w:t>Child Digital Health Record</w:t>
      </w:r>
    </w:p>
    <w:p w:rsidR="00F43E1D" w:rsidRPr="00021DD2" w:rsidRDefault="001B5E7B" w:rsidP="00B934D7">
      <w:pPr>
        <w:pStyle w:val="Paragrafoelenco"/>
        <w:numPr>
          <w:ilvl w:val="0"/>
          <w:numId w:val="26"/>
        </w:numPr>
        <w:jc w:val="left"/>
        <w:rPr>
          <w:bCs/>
        </w:rPr>
      </w:pPr>
      <w:r w:rsidRPr="00021DD2">
        <w:rPr>
          <w:bCs/>
        </w:rPr>
        <w:t xml:space="preserve">Integration of School Immunisation Programs with </w:t>
      </w:r>
      <w:r w:rsidR="00F43E1D" w:rsidRPr="00021DD2">
        <w:rPr>
          <w:bCs/>
        </w:rPr>
        <w:t>Australian Immunisation Register</w:t>
      </w:r>
    </w:p>
    <w:p w:rsidR="00F43E1D" w:rsidRPr="00021DD2" w:rsidRDefault="00F43E1D" w:rsidP="00B934D7">
      <w:pPr>
        <w:pStyle w:val="Paragrafoelenco"/>
        <w:numPr>
          <w:ilvl w:val="0"/>
          <w:numId w:val="26"/>
        </w:numPr>
        <w:jc w:val="left"/>
        <w:rPr>
          <w:bCs/>
        </w:rPr>
      </w:pPr>
      <w:r w:rsidRPr="00021DD2">
        <w:rPr>
          <w:bCs/>
        </w:rPr>
        <w:t>Child Digital Health Checks</w:t>
      </w:r>
    </w:p>
    <w:p w:rsidR="00F43E1D" w:rsidRPr="00021DD2" w:rsidRDefault="00F43E1D" w:rsidP="00B934D7">
      <w:pPr>
        <w:pStyle w:val="Paragrafoelenco"/>
        <w:numPr>
          <w:ilvl w:val="0"/>
          <w:numId w:val="26"/>
        </w:numPr>
        <w:jc w:val="left"/>
        <w:rPr>
          <w:bCs/>
        </w:rPr>
      </w:pPr>
      <w:r w:rsidRPr="00021DD2">
        <w:rPr>
          <w:bCs/>
        </w:rPr>
        <w:t>Digital Pregnancy Health Record</w:t>
      </w:r>
    </w:p>
    <w:p w:rsidR="00F43E1D" w:rsidRPr="00021DD2" w:rsidRDefault="00F43E1D" w:rsidP="00B934D7">
      <w:pPr>
        <w:pStyle w:val="Paragrafoelenco"/>
        <w:numPr>
          <w:ilvl w:val="0"/>
          <w:numId w:val="26"/>
        </w:numPr>
        <w:jc w:val="left"/>
        <w:rPr>
          <w:bCs/>
        </w:rPr>
      </w:pPr>
      <w:r w:rsidRPr="00021DD2">
        <w:rPr>
          <w:bCs/>
        </w:rPr>
        <w:t>Research</w:t>
      </w:r>
      <w:r w:rsidR="001B5E7B" w:rsidRPr="00021DD2">
        <w:rPr>
          <w:bCs/>
        </w:rPr>
        <w:t>.</w:t>
      </w:r>
    </w:p>
    <w:p w:rsidR="00F43E1D" w:rsidRPr="00021DD2" w:rsidRDefault="00F43E1D" w:rsidP="00F43E1D">
      <w:pPr>
        <w:rPr>
          <w:rFonts w:cs="Arial"/>
          <w:bCs/>
        </w:rPr>
      </w:pPr>
      <w:r w:rsidRPr="00021DD2">
        <w:rPr>
          <w:rFonts w:cs="Arial"/>
          <w:bCs/>
        </w:rPr>
        <w:t xml:space="preserve">As at September 2017, a project outline for the first priority initiative is being developed for the Network Steering Committee and the Australian Digital Health Agency Board. This project aims to produce a child-owned longitudinal digital health record from preconception through to adulthood, supporting a child’s healthy development and growth. It provides the starting point for a lifelong electronic health record. It offers a significant opportunity to drive meaningful use of digital health technology at a national level, and will lead to significant population health and economic benefits in the longer term. </w:t>
      </w:r>
    </w:p>
    <w:p w:rsidR="00F43E1D" w:rsidRPr="00021DD2" w:rsidRDefault="00F43E1D" w:rsidP="00F43E1D">
      <w:pPr>
        <w:rPr>
          <w:rFonts w:cs="Arial"/>
          <w:bCs/>
        </w:rPr>
      </w:pPr>
      <w:r w:rsidRPr="00021DD2">
        <w:rPr>
          <w:rFonts w:cs="Arial"/>
          <w:bCs/>
        </w:rPr>
        <w:t>I am involved in providing advice to the Network on the development of these projects.</w:t>
      </w:r>
    </w:p>
    <w:p w:rsidR="00F43E1D" w:rsidRPr="00E34166" w:rsidRDefault="00F43E1D" w:rsidP="001A4945">
      <w:pPr>
        <w:pStyle w:val="Titolo4"/>
      </w:pPr>
      <w:r w:rsidRPr="00E34166">
        <w:t xml:space="preserve">Report on youth mental health and homelessness </w:t>
      </w:r>
    </w:p>
    <w:p w:rsidR="00F43E1D" w:rsidRPr="00021DD2" w:rsidRDefault="00F43E1D" w:rsidP="00F43E1D">
      <w:pPr>
        <w:rPr>
          <w:rFonts w:cs="Arial"/>
        </w:rPr>
      </w:pPr>
      <w:r w:rsidRPr="00021DD2">
        <w:rPr>
          <w:rFonts w:cs="Arial"/>
        </w:rPr>
        <w:t xml:space="preserve">In 2016, Mission Australia co-authored the </w:t>
      </w:r>
      <w:r w:rsidRPr="00021DD2">
        <w:rPr>
          <w:rFonts w:cs="Arial"/>
          <w:i/>
        </w:rPr>
        <w:t>Youth mental health report</w:t>
      </w:r>
      <w:r w:rsidRPr="00021DD2">
        <w:rPr>
          <w:rFonts w:cs="Arial"/>
        </w:rPr>
        <w:t xml:space="preserve"> with the Black Dog Institute, reporting findings on the mental health of young people in Australia over the past five years based on data collected in the Youth Survey.</w:t>
      </w:r>
      <w:r w:rsidRPr="00021DD2">
        <w:rPr>
          <w:rStyle w:val="Rimandonotadichiusura"/>
          <w:rFonts w:cs="Arial"/>
        </w:rPr>
        <w:endnoteReference w:id="61"/>
      </w:r>
      <w:r w:rsidRPr="00021DD2">
        <w:rPr>
          <w:rFonts w:cs="Arial"/>
        </w:rPr>
        <w:t xml:space="preserve"> </w:t>
      </w:r>
    </w:p>
    <w:p w:rsidR="00F43E1D" w:rsidRPr="00021DD2" w:rsidRDefault="00F43E1D" w:rsidP="00F43E1D">
      <w:pPr>
        <w:rPr>
          <w:rFonts w:cs="Arial"/>
        </w:rPr>
      </w:pPr>
      <w:r w:rsidRPr="00021DD2">
        <w:rPr>
          <w:rFonts w:cs="Arial"/>
        </w:rPr>
        <w:t>Building upon this, in August 2017 Mission Australia released a new national report on the relationship between mental illness and homelessness in young people in Australia. The report found that young people with a probable serious mental illness are 3.5 times more likely to have spent time away from home than those without a probable serious mental illness.</w:t>
      </w:r>
      <w:r w:rsidRPr="00021DD2">
        <w:rPr>
          <w:rStyle w:val="Rimandonotadichiusura"/>
          <w:rFonts w:cs="Arial"/>
        </w:rPr>
        <w:endnoteReference w:id="62"/>
      </w:r>
      <w:r w:rsidRPr="00021DD2">
        <w:rPr>
          <w:rFonts w:cs="Arial"/>
        </w:rPr>
        <w:t xml:space="preserve"> The report also found that homelessness increases as family functioning decreases, and having a probable serious mental illness greatly increases this risk. An alarming 57.7% of those with a probable serious mental illness who rated their family functioning as poor had spent time away from home, as compared to 37.0% without a probable serious mental illness.</w:t>
      </w:r>
      <w:r w:rsidRPr="00021DD2">
        <w:rPr>
          <w:rStyle w:val="Rimandonotadichiusura"/>
          <w:rFonts w:cs="Arial"/>
        </w:rPr>
        <w:endnoteReference w:id="63"/>
      </w:r>
      <w:r w:rsidRPr="00021DD2">
        <w:rPr>
          <w:rFonts w:cs="Arial"/>
        </w:rPr>
        <w:t xml:space="preserve"> </w:t>
      </w:r>
    </w:p>
    <w:p w:rsidR="00F43E1D" w:rsidRPr="00021DD2" w:rsidRDefault="00F43E1D" w:rsidP="00F43E1D">
      <w:pPr>
        <w:rPr>
          <w:rFonts w:cs="Arial"/>
        </w:rPr>
      </w:pPr>
      <w:r w:rsidRPr="00021DD2">
        <w:rPr>
          <w:rFonts w:cs="Arial"/>
        </w:rPr>
        <w:t>The report demonstrates the strong links between mental illness, family functioning and the risk of homelessness, and provides key recommendations for improving mental health and decreasing homelessness among young people.</w:t>
      </w:r>
      <w:r w:rsidR="000F10F4">
        <w:rPr>
          <w:rFonts w:cs="Arial"/>
        </w:rPr>
        <w:t xml:space="preserve"> </w:t>
      </w:r>
    </w:p>
    <w:p w:rsidR="00F43E1D" w:rsidRPr="00E34166" w:rsidRDefault="00F43E1D" w:rsidP="001A4945">
      <w:pPr>
        <w:pStyle w:val="Titolo4"/>
      </w:pPr>
      <w:r w:rsidRPr="00E34166">
        <w:t xml:space="preserve">Growing Up in Australia: The Longitudinal Study of Australian Children </w:t>
      </w:r>
      <w:r w:rsidR="000A38E0" w:rsidRPr="00E34166">
        <w:t>(LSAC)</w:t>
      </w:r>
    </w:p>
    <w:p w:rsidR="00F43E1D" w:rsidRPr="00021DD2" w:rsidRDefault="00F43E1D" w:rsidP="00F43E1D">
      <w:pPr>
        <w:rPr>
          <w:rFonts w:cs="Arial"/>
        </w:rPr>
      </w:pPr>
      <w:r w:rsidRPr="00021DD2">
        <w:rPr>
          <w:rFonts w:cs="Arial"/>
          <w:i/>
        </w:rPr>
        <w:t xml:space="preserve">Growing Up in Australia </w:t>
      </w:r>
      <w:r w:rsidRPr="00021DD2">
        <w:rPr>
          <w:rFonts w:cs="Arial"/>
        </w:rPr>
        <w:t>is a large scale longitudinal study that documents the development experiences of 10,000 Australian children and their families.</w:t>
      </w:r>
      <w:r w:rsidRPr="00021DD2">
        <w:rPr>
          <w:rStyle w:val="Rimandonotadichiusura"/>
          <w:rFonts w:cs="Arial"/>
          <w:color w:val="000000"/>
        </w:rPr>
        <w:endnoteReference w:id="64"/>
      </w:r>
      <w:r w:rsidRPr="00021DD2">
        <w:rPr>
          <w:rFonts w:cs="Arial"/>
        </w:rPr>
        <w:t xml:space="preserve"> The study commenced in 2004 and is a joint initiative of the</w:t>
      </w:r>
      <w:r w:rsidR="001B5E7B" w:rsidRPr="00021DD2">
        <w:rPr>
          <w:rFonts w:cs="Arial"/>
        </w:rPr>
        <w:t xml:space="preserve"> DSS, </w:t>
      </w:r>
      <w:r w:rsidRPr="00021DD2">
        <w:rPr>
          <w:rFonts w:cs="Arial"/>
        </w:rPr>
        <w:t xml:space="preserve">the </w:t>
      </w:r>
      <w:r w:rsidR="001B5E7B" w:rsidRPr="00021DD2">
        <w:rPr>
          <w:rFonts w:cs="Arial"/>
        </w:rPr>
        <w:t>AIFS</w:t>
      </w:r>
      <w:r w:rsidRPr="00021DD2">
        <w:rPr>
          <w:rFonts w:cs="Arial"/>
        </w:rPr>
        <w:t xml:space="preserve"> and the </w:t>
      </w:r>
      <w:r w:rsidR="001B5E7B" w:rsidRPr="00021DD2">
        <w:rPr>
          <w:rFonts w:cs="Arial"/>
        </w:rPr>
        <w:t>ABS</w:t>
      </w:r>
      <w:r w:rsidRPr="00021DD2">
        <w:rPr>
          <w:rFonts w:cs="Arial"/>
        </w:rPr>
        <w:t>.</w:t>
      </w:r>
      <w:r w:rsidRPr="00021DD2">
        <w:rPr>
          <w:rStyle w:val="Rimandonotadichiusura"/>
          <w:rFonts w:cs="Arial"/>
        </w:rPr>
        <w:endnoteReference w:id="65"/>
      </w:r>
      <w:r w:rsidRPr="00021DD2">
        <w:rPr>
          <w:rFonts w:cs="Arial"/>
        </w:rPr>
        <w:t xml:space="preserve"> </w:t>
      </w:r>
    </w:p>
    <w:p w:rsidR="00F43E1D" w:rsidRPr="00021DD2" w:rsidRDefault="00F43E1D" w:rsidP="00F43E1D">
      <w:pPr>
        <w:rPr>
          <w:rFonts w:cs="Arial"/>
        </w:rPr>
      </w:pPr>
      <w:r w:rsidRPr="00021DD2">
        <w:rPr>
          <w:rFonts w:cs="Arial"/>
        </w:rPr>
        <w:t>The study tracks the experiences of two cohorts of children over time and investigates the impacts of various social, economic and cultural environments on the children’s wellbeing and development trajectories. The findings provide data on factors influencing child development, which can assist in formulating policies and strategies to support children and families.</w:t>
      </w:r>
      <w:r w:rsidRPr="00021DD2">
        <w:rPr>
          <w:rStyle w:val="Rimandonotadichiusura"/>
          <w:rFonts w:cs="Arial"/>
        </w:rPr>
        <w:endnoteReference w:id="66"/>
      </w:r>
    </w:p>
    <w:p w:rsidR="00F43E1D" w:rsidRPr="00021DD2" w:rsidRDefault="00F43E1D" w:rsidP="00F43E1D">
      <w:pPr>
        <w:rPr>
          <w:rFonts w:cs="Arial"/>
        </w:rPr>
      </w:pPr>
      <w:r w:rsidRPr="00021DD2">
        <w:rPr>
          <w:rFonts w:cs="Arial"/>
        </w:rPr>
        <w:t xml:space="preserve">In 2016, the LSAC Annual Statistical Report presented research on the experiences of older children. Amongst the issues addressed, the report examined adolescent alcohol consumption, self-harm and suicidal behaviour in young people, and maternal age and family circumstances of firstborn children. </w:t>
      </w:r>
    </w:p>
    <w:p w:rsidR="00F43E1D" w:rsidRPr="00021DD2" w:rsidRDefault="00F43E1D" w:rsidP="00F43E1D">
      <w:pPr>
        <w:rPr>
          <w:rFonts w:cs="Arial"/>
        </w:rPr>
      </w:pPr>
      <w:r w:rsidRPr="00021DD2">
        <w:rPr>
          <w:rFonts w:cs="Arial"/>
        </w:rPr>
        <w:t xml:space="preserve">The value of this longitudinal study for monitoring and policy development purposes </w:t>
      </w:r>
      <w:r w:rsidR="005262F9">
        <w:rPr>
          <w:rFonts w:cs="Arial"/>
        </w:rPr>
        <w:t>is extremely significant</w:t>
      </w:r>
      <w:r w:rsidRPr="00021DD2">
        <w:rPr>
          <w:rFonts w:cs="Arial"/>
        </w:rPr>
        <w:t>. To this end, given the cohorts of children are now in adolescence and above, it is important to give consideration to including a new wave of children in their early years. This would ensure we capture contemporary influences on children’s lives, such as new and evolving technologies, respectful relationships education, and early childhood quality reforms.</w:t>
      </w:r>
    </w:p>
    <w:p w:rsidR="00F43E1D" w:rsidRPr="00E34166" w:rsidRDefault="00F43E1D" w:rsidP="001A4945">
      <w:pPr>
        <w:pStyle w:val="Titolo4"/>
      </w:pPr>
      <w:r w:rsidRPr="00E34166">
        <w:t xml:space="preserve">Australian Youth Development Index </w:t>
      </w:r>
    </w:p>
    <w:p w:rsidR="00F43E1D" w:rsidRPr="00021DD2" w:rsidRDefault="00F43E1D" w:rsidP="00F43E1D">
      <w:pPr>
        <w:rPr>
          <w:rFonts w:cs="Arial"/>
        </w:rPr>
      </w:pPr>
      <w:r w:rsidRPr="00021DD2">
        <w:rPr>
          <w:rFonts w:cs="Arial"/>
        </w:rPr>
        <w:t xml:space="preserve">The Australian </w:t>
      </w:r>
      <w:r w:rsidR="0080555F" w:rsidRPr="00021DD2">
        <w:rPr>
          <w:rFonts w:cs="Arial"/>
        </w:rPr>
        <w:t>Youth Development Index (</w:t>
      </w:r>
      <w:r w:rsidRPr="00021DD2">
        <w:rPr>
          <w:rFonts w:cs="Arial"/>
        </w:rPr>
        <w:t>YDI</w:t>
      </w:r>
      <w:r w:rsidR="0080555F" w:rsidRPr="00021DD2">
        <w:rPr>
          <w:rFonts w:cs="Arial"/>
        </w:rPr>
        <w:t>)</w:t>
      </w:r>
      <w:r w:rsidRPr="00021DD2">
        <w:rPr>
          <w:rFonts w:cs="Arial"/>
        </w:rPr>
        <w:t xml:space="preserve"> is a composite index that measures progress in youth development through the comparison of data across Australian states and territories. The project is an initiative of the Commonwealth Youth Programme, which aims to increase focus on youth development through presenting and collecting relevant data.</w:t>
      </w:r>
      <w:r w:rsidRPr="00021DD2">
        <w:rPr>
          <w:rStyle w:val="Rimandonotadichiusura"/>
          <w:rFonts w:cs="Arial"/>
        </w:rPr>
        <w:endnoteReference w:id="67"/>
      </w:r>
      <w:r w:rsidRPr="00021DD2">
        <w:rPr>
          <w:rFonts w:cs="Arial"/>
        </w:rPr>
        <w:t xml:space="preserve"> </w:t>
      </w:r>
    </w:p>
    <w:p w:rsidR="00F43E1D" w:rsidRPr="00021DD2" w:rsidRDefault="00F43E1D" w:rsidP="00F43E1D">
      <w:pPr>
        <w:rPr>
          <w:rFonts w:cs="Arial"/>
        </w:rPr>
      </w:pPr>
      <w:r w:rsidRPr="00021DD2">
        <w:rPr>
          <w:rFonts w:cs="Arial"/>
        </w:rPr>
        <w:t>The YDI includes 16 indicators that measure youth development in the five key areas of health and wellbeing, education, employment and opportunity, civic participation, and political participation.</w:t>
      </w:r>
      <w:r w:rsidRPr="00021DD2">
        <w:rPr>
          <w:rStyle w:val="Rimandonotadichiusura"/>
          <w:rFonts w:cs="Arial"/>
        </w:rPr>
        <w:endnoteReference w:id="68"/>
      </w:r>
      <w:r w:rsidRPr="00021DD2">
        <w:rPr>
          <w:rFonts w:cs="Arial"/>
        </w:rPr>
        <w:t xml:space="preserve"> The YDI is an important tool for analysis, policy development and evaluation as it provides a holistic overview of progress across these key areas. The YDI report findings also provide important insights on trends, gaps and disparities in development progress between and within jurisdictions.</w:t>
      </w:r>
    </w:p>
    <w:p w:rsidR="00F43E1D" w:rsidRPr="00021DD2" w:rsidRDefault="00F43E1D" w:rsidP="00F43E1D">
      <w:pPr>
        <w:rPr>
          <w:rFonts w:cs="Arial"/>
        </w:rPr>
      </w:pPr>
      <w:r w:rsidRPr="00021DD2">
        <w:rPr>
          <w:rFonts w:cs="Arial"/>
        </w:rPr>
        <w:t xml:space="preserve">In 2016, the YDI report found that while all Australian states and </w:t>
      </w:r>
      <w:r w:rsidR="0006249D">
        <w:rPr>
          <w:rFonts w:cs="Arial"/>
        </w:rPr>
        <w:t>territories (except for Tas</w:t>
      </w:r>
      <w:r w:rsidR="000A38E0">
        <w:rPr>
          <w:rFonts w:cs="Arial"/>
        </w:rPr>
        <w:t>mania</w:t>
      </w:r>
      <w:r w:rsidRPr="00021DD2">
        <w:rPr>
          <w:rFonts w:cs="Arial"/>
        </w:rPr>
        <w:t>) have experienced improvement in their overall YDI scores over the past decade, there is significant variation in performance between and within states and territories.</w:t>
      </w:r>
      <w:r w:rsidRPr="00021DD2">
        <w:rPr>
          <w:rStyle w:val="Rimandonotadichiusura"/>
          <w:rFonts w:cs="Arial"/>
        </w:rPr>
        <w:endnoteReference w:id="69"/>
      </w:r>
      <w:r w:rsidRPr="00021DD2">
        <w:rPr>
          <w:rFonts w:cs="Arial"/>
        </w:rPr>
        <w:t xml:space="preserve"> Notably, there are regional disparities as well as disparities in performance between urban and rural youth and between Indigenous and non-Indigenous youth across the development indicators.</w:t>
      </w:r>
      <w:r w:rsidRPr="00021DD2">
        <w:rPr>
          <w:rStyle w:val="Rimandonotadichiusura"/>
          <w:rFonts w:cs="Arial"/>
        </w:rPr>
        <w:endnoteReference w:id="70"/>
      </w:r>
      <w:r w:rsidRPr="00021DD2">
        <w:rPr>
          <w:rFonts w:cs="Arial"/>
        </w:rPr>
        <w:t xml:space="preserve"> For example, there are ‘stark divisions in education and employment opportunities between youth living in rural and urban areas’, revealing a large developmental gap for rural youth.</w:t>
      </w:r>
      <w:r w:rsidRPr="00021DD2">
        <w:rPr>
          <w:rStyle w:val="Rimandonotadichiusura"/>
          <w:rFonts w:cs="Arial"/>
        </w:rPr>
        <w:endnoteReference w:id="71"/>
      </w:r>
      <w:r w:rsidRPr="00021DD2">
        <w:rPr>
          <w:rFonts w:cs="Arial"/>
        </w:rPr>
        <w:t xml:space="preserve"> The </w:t>
      </w:r>
      <w:r w:rsidR="0080555F" w:rsidRPr="00021DD2">
        <w:rPr>
          <w:rFonts w:cs="Arial"/>
        </w:rPr>
        <w:t>NT</w:t>
      </w:r>
      <w:r w:rsidRPr="00021DD2">
        <w:rPr>
          <w:rFonts w:cs="Arial"/>
        </w:rPr>
        <w:t xml:space="preserve"> was the jurisdiction with the greatest disparity in opportunities for rural youth. </w:t>
      </w:r>
    </w:p>
    <w:p w:rsidR="00F43E1D" w:rsidRPr="00021DD2" w:rsidRDefault="00F43E1D" w:rsidP="00F43E1D">
      <w:pPr>
        <w:rPr>
          <w:rFonts w:cs="Arial"/>
        </w:rPr>
      </w:pPr>
      <w:r w:rsidRPr="00021DD2">
        <w:rPr>
          <w:rFonts w:cs="Arial"/>
        </w:rPr>
        <w:t>The report also found that there are large variations in performance within each state and territory between the different areas</w:t>
      </w:r>
      <w:r w:rsidR="0006249D">
        <w:rPr>
          <w:rFonts w:cs="Arial"/>
        </w:rPr>
        <w:t xml:space="preserve"> measured. For example, Tas</w:t>
      </w:r>
      <w:r w:rsidR="000A38E0">
        <w:rPr>
          <w:rFonts w:cs="Arial"/>
        </w:rPr>
        <w:t>mania</w:t>
      </w:r>
      <w:r w:rsidRPr="00021DD2">
        <w:rPr>
          <w:rFonts w:cs="Arial"/>
        </w:rPr>
        <w:t xml:space="preserve"> performed poorly in the areas of wellbeing and health</w:t>
      </w:r>
      <w:r w:rsidR="0080555F" w:rsidRPr="00021DD2">
        <w:rPr>
          <w:rFonts w:cs="Arial"/>
        </w:rPr>
        <w:t>,</w:t>
      </w:r>
      <w:r w:rsidRPr="00021DD2">
        <w:rPr>
          <w:rFonts w:cs="Arial"/>
        </w:rPr>
        <w:t xml:space="preserve"> and employment and opportunity</w:t>
      </w:r>
      <w:r w:rsidR="0080555F" w:rsidRPr="00021DD2">
        <w:rPr>
          <w:rFonts w:cs="Arial"/>
        </w:rPr>
        <w:t>. H</w:t>
      </w:r>
      <w:r w:rsidRPr="00021DD2">
        <w:rPr>
          <w:rFonts w:cs="Arial"/>
        </w:rPr>
        <w:t>owever</w:t>
      </w:r>
      <w:r w:rsidR="00D13F25">
        <w:rPr>
          <w:rFonts w:cs="Arial"/>
        </w:rPr>
        <w:t xml:space="preserve">, </w:t>
      </w:r>
      <w:r w:rsidR="000A38E0">
        <w:rPr>
          <w:rFonts w:cs="Arial"/>
        </w:rPr>
        <w:t>it</w:t>
      </w:r>
      <w:r w:rsidRPr="00021DD2">
        <w:rPr>
          <w:rFonts w:cs="Arial"/>
        </w:rPr>
        <w:t xml:space="preserve"> had positive results in the area of political participation.</w:t>
      </w:r>
      <w:r w:rsidRPr="00021DD2">
        <w:rPr>
          <w:rStyle w:val="Rimandonotadichiusura"/>
          <w:rFonts w:cs="Arial"/>
        </w:rPr>
        <w:endnoteReference w:id="72"/>
      </w:r>
      <w:r w:rsidRPr="00021DD2">
        <w:rPr>
          <w:rFonts w:cs="Arial"/>
        </w:rPr>
        <w:t xml:space="preserve"> </w:t>
      </w:r>
    </w:p>
    <w:p w:rsidR="00F43E1D" w:rsidRPr="00E34166" w:rsidRDefault="00F43E1D" w:rsidP="001A4945">
      <w:pPr>
        <w:pStyle w:val="Titolo4"/>
      </w:pPr>
      <w:r w:rsidRPr="00E34166">
        <w:t xml:space="preserve">Australia’s National Research Organisation for Women’s Safety </w:t>
      </w:r>
    </w:p>
    <w:p w:rsidR="00F43E1D" w:rsidRPr="00021DD2" w:rsidRDefault="00F43E1D" w:rsidP="00F43E1D">
      <w:pPr>
        <w:rPr>
          <w:rFonts w:cs="Arial"/>
        </w:rPr>
      </w:pPr>
      <w:r w:rsidRPr="00021DD2">
        <w:rPr>
          <w:rFonts w:cs="Arial"/>
        </w:rPr>
        <w:t>A</w:t>
      </w:r>
      <w:r w:rsidR="0080555F" w:rsidRPr="00021DD2">
        <w:rPr>
          <w:rFonts w:cs="Arial"/>
        </w:rPr>
        <w:t>ustralia’s National Research Organisation for Women’s Safety (A</w:t>
      </w:r>
      <w:r w:rsidRPr="00021DD2">
        <w:rPr>
          <w:rFonts w:cs="Arial"/>
        </w:rPr>
        <w:t>NROWS</w:t>
      </w:r>
      <w:r w:rsidR="0080555F" w:rsidRPr="00021DD2">
        <w:rPr>
          <w:rFonts w:cs="Arial"/>
        </w:rPr>
        <w:t>)</w:t>
      </w:r>
      <w:r w:rsidRPr="00021DD2">
        <w:rPr>
          <w:rFonts w:cs="Arial"/>
        </w:rPr>
        <w:t xml:space="preserve"> is an independent initiative established under Australia’s </w:t>
      </w:r>
      <w:r w:rsidRPr="00021DD2">
        <w:rPr>
          <w:rFonts w:cs="Arial"/>
          <w:i/>
        </w:rPr>
        <w:t>National Plan to Reduce Violence against Women and their Children 2010–2022</w:t>
      </w:r>
      <w:r w:rsidRPr="00021DD2">
        <w:rPr>
          <w:rFonts w:cs="Arial"/>
        </w:rPr>
        <w:t>.</w:t>
      </w:r>
      <w:r w:rsidRPr="00021DD2">
        <w:rPr>
          <w:rStyle w:val="Rimandonotadichiusura"/>
          <w:rFonts w:cs="Arial"/>
        </w:rPr>
        <w:endnoteReference w:id="73"/>
      </w:r>
      <w:r w:rsidRPr="00021DD2">
        <w:rPr>
          <w:rFonts w:cs="Arial"/>
        </w:rPr>
        <w:t xml:space="preserve"> ANROWS’ mission is to deliver research to better understand and improve knowledge about violence again</w:t>
      </w:r>
      <w:r w:rsidR="0080555F" w:rsidRPr="00021DD2">
        <w:rPr>
          <w:rFonts w:cs="Arial"/>
        </w:rPr>
        <w:t>st</w:t>
      </w:r>
      <w:r w:rsidRPr="00021DD2">
        <w:rPr>
          <w:rFonts w:cs="Arial"/>
        </w:rPr>
        <w:t xml:space="preserve"> women and children and its effects.</w:t>
      </w:r>
      <w:r w:rsidRPr="00021DD2">
        <w:rPr>
          <w:rStyle w:val="Rimandonotadichiusura"/>
          <w:rFonts w:cs="Arial"/>
        </w:rPr>
        <w:endnoteReference w:id="74"/>
      </w:r>
      <w:r w:rsidRPr="00021DD2">
        <w:rPr>
          <w:rFonts w:cs="Arial"/>
        </w:rPr>
        <w:t xml:space="preserve"> </w:t>
      </w:r>
    </w:p>
    <w:p w:rsidR="00F43E1D" w:rsidRPr="00021DD2" w:rsidRDefault="00F43E1D" w:rsidP="00F43E1D">
      <w:pPr>
        <w:rPr>
          <w:rFonts w:cs="Arial"/>
          <w:color w:val="000000"/>
        </w:rPr>
      </w:pPr>
      <w:r w:rsidRPr="00021DD2">
        <w:rPr>
          <w:rFonts w:cs="Arial"/>
        </w:rPr>
        <w:t>In June 2017, ANROWS published a report on the effects of inter-parental conflict and domestic and famil</w:t>
      </w:r>
      <w:r w:rsidR="005E1A28">
        <w:rPr>
          <w:rFonts w:cs="Arial"/>
        </w:rPr>
        <w:t>y violence on parenting, parent-</w:t>
      </w:r>
      <w:r w:rsidRPr="00021DD2">
        <w:rPr>
          <w:rFonts w:cs="Arial"/>
        </w:rPr>
        <w:t xml:space="preserve">child relationships, and children’s wellbeing. </w:t>
      </w:r>
      <w:r w:rsidRPr="00021DD2">
        <w:rPr>
          <w:rFonts w:cs="Arial"/>
          <w:color w:val="000000"/>
        </w:rPr>
        <w:t>The findings of the study show that both inter-parental conflict and domestic and family violence have negative impacts on children’s physical, social and emotional wellbeing. The study found that children from families experiencing inter-parental conflict are more likely to have poorer physical health, socio-emotional adjustment and academic achievement than other children. These findings were consistent across different ages of children and across a range of measures from different sources.</w:t>
      </w:r>
      <w:r w:rsidRPr="00021DD2">
        <w:rPr>
          <w:rStyle w:val="Rimandonotadichiusura"/>
          <w:rFonts w:cs="Arial"/>
          <w:color w:val="000000"/>
        </w:rPr>
        <w:endnoteReference w:id="75"/>
      </w:r>
      <w:r w:rsidRPr="00021DD2">
        <w:rPr>
          <w:rFonts w:cs="Arial"/>
          <w:color w:val="000000"/>
        </w:rPr>
        <w:t xml:space="preserve"> The research also found that the negative impact of domestic and family violence on the mother’s mental and physical health adversely affected the child-mother relationship as well as the mother’s ability to care for the child.</w:t>
      </w:r>
      <w:r w:rsidRPr="00021DD2">
        <w:rPr>
          <w:rStyle w:val="Rimandonotadichiusura"/>
          <w:rFonts w:cs="Arial"/>
          <w:color w:val="000000"/>
        </w:rPr>
        <w:endnoteReference w:id="76"/>
      </w:r>
    </w:p>
    <w:p w:rsidR="00F43E1D" w:rsidRPr="00021DD2" w:rsidRDefault="00F43E1D" w:rsidP="00F43E1D">
      <w:pPr>
        <w:rPr>
          <w:rFonts w:cs="Arial"/>
          <w:color w:val="000000"/>
          <w:shd w:val="clear" w:color="auto" w:fill="FFFFFF"/>
        </w:rPr>
      </w:pPr>
      <w:r w:rsidRPr="00021DD2">
        <w:rPr>
          <w:rFonts w:cs="Arial"/>
        </w:rPr>
        <w:t>This research, alongside ANROWS’ broader research program, provides insights into the effects of family violence on the wellbeing of children, and helps to inform policies</w:t>
      </w:r>
      <w:r w:rsidRPr="00021DD2">
        <w:rPr>
          <w:rFonts w:cs="Arial"/>
          <w:color w:val="000000"/>
          <w:shd w:val="clear" w:color="auto" w:fill="FFFFFF"/>
        </w:rPr>
        <w:t>, programs and services to reduce violence against women and children.</w:t>
      </w:r>
    </w:p>
    <w:p w:rsidR="00F43E1D" w:rsidRPr="00021DD2" w:rsidRDefault="00F43E1D" w:rsidP="004A7140">
      <w:pPr>
        <w:pStyle w:val="11"/>
      </w:pPr>
      <w:bookmarkStart w:id="45" w:name="_Toc463356895"/>
      <w:bookmarkStart w:id="46" w:name="_Toc500308765"/>
      <w:r w:rsidRPr="00021DD2">
        <w:t>Progress towards Children’s Rights Report Recommendations</w:t>
      </w:r>
      <w:bookmarkEnd w:id="45"/>
      <w:bookmarkEnd w:id="46"/>
    </w:p>
    <w:p w:rsidR="00BF7F88" w:rsidRPr="00021DD2" w:rsidRDefault="00F43E1D" w:rsidP="00F43E1D">
      <w:pPr>
        <w:rPr>
          <w:rFonts w:cs="Arial"/>
        </w:rPr>
      </w:pPr>
      <w:r w:rsidRPr="00021DD2">
        <w:rPr>
          <w:rFonts w:cs="Arial"/>
        </w:rPr>
        <w:t>Each year I review any progress the Australian Government, state and territory governments and other bodies have made towards implementing the recommendations contained in my annual Children’s Rights Reports. To this end, every year I seek information from Ministers, government departments and others in relation to my recommendations. This information is included in the following sub-sections on each year’s report</w:t>
      </w:r>
      <w:r w:rsidR="0080555F" w:rsidRPr="00021DD2">
        <w:rPr>
          <w:rFonts w:cs="Arial"/>
        </w:rPr>
        <w:t>. A</w:t>
      </w:r>
      <w:r w:rsidR="00BF7F88" w:rsidRPr="00021DD2">
        <w:rPr>
          <w:rFonts w:cs="Arial"/>
        </w:rPr>
        <w:t xml:space="preserve"> full list of respondents is provided in Appendix </w:t>
      </w:r>
      <w:r w:rsidR="009D5646" w:rsidRPr="00021DD2">
        <w:rPr>
          <w:rFonts w:cs="Arial"/>
        </w:rPr>
        <w:t>6</w:t>
      </w:r>
      <w:r w:rsidR="00BF7F88" w:rsidRPr="00021DD2">
        <w:rPr>
          <w:rFonts w:cs="Arial"/>
        </w:rPr>
        <w:t xml:space="preserve">. </w:t>
      </w:r>
    </w:p>
    <w:p w:rsidR="00F43E1D" w:rsidRPr="00021DD2" w:rsidRDefault="00F43E1D" w:rsidP="002940E9">
      <w:pPr>
        <w:rPr>
          <w:rFonts w:cs="Arial"/>
        </w:rPr>
      </w:pPr>
      <w:r w:rsidRPr="00021DD2">
        <w:rPr>
          <w:rFonts w:cs="Arial"/>
        </w:rPr>
        <w:t xml:space="preserve">I have included updates on recommendations that continue to be relevant and where some progress has been reported. Recommendations not included here are those that have been implemented, and which </w:t>
      </w:r>
      <w:r w:rsidR="0080555F" w:rsidRPr="00021DD2">
        <w:rPr>
          <w:rFonts w:cs="Arial"/>
        </w:rPr>
        <w:t xml:space="preserve">I </w:t>
      </w:r>
      <w:r w:rsidRPr="00021DD2">
        <w:rPr>
          <w:rFonts w:cs="Arial"/>
        </w:rPr>
        <w:t xml:space="preserve">have </w:t>
      </w:r>
      <w:r w:rsidR="0080555F" w:rsidRPr="00021DD2">
        <w:rPr>
          <w:rFonts w:cs="Arial"/>
        </w:rPr>
        <w:t>previously</w:t>
      </w:r>
      <w:r w:rsidRPr="00021DD2">
        <w:rPr>
          <w:rFonts w:cs="Arial"/>
        </w:rPr>
        <w:t xml:space="preserve"> reported on</w:t>
      </w:r>
      <w:r w:rsidR="0080555F" w:rsidRPr="00021DD2">
        <w:rPr>
          <w:rFonts w:cs="Arial"/>
        </w:rPr>
        <w:t>.</w:t>
      </w:r>
      <w:r w:rsidRPr="00021DD2">
        <w:rPr>
          <w:rFonts w:cs="Arial"/>
        </w:rPr>
        <w:t xml:space="preserve"> Others have been overtaken by other initiatives, or there has been no substantive progress reported to me. </w:t>
      </w:r>
    </w:p>
    <w:p w:rsidR="00F43E1D" w:rsidRPr="00B934D7" w:rsidRDefault="00F43E1D" w:rsidP="00222517">
      <w:pPr>
        <w:pStyle w:val="Titolo3"/>
        <w:numPr>
          <w:ilvl w:val="2"/>
          <w:numId w:val="201"/>
        </w:numPr>
        <w:rPr>
          <w:rFonts w:cs="Arial"/>
        </w:rPr>
      </w:pPr>
      <w:bookmarkStart w:id="47" w:name="_Toc500308766"/>
      <w:r w:rsidRPr="00B934D7">
        <w:rPr>
          <w:rFonts w:cs="Arial"/>
        </w:rPr>
        <w:t xml:space="preserve">Recommendations made in the </w:t>
      </w:r>
      <w:r w:rsidRPr="00B934D7">
        <w:rPr>
          <w:rFonts w:cs="Arial"/>
          <w:i/>
        </w:rPr>
        <w:t>Children’s Rights Report 2016</w:t>
      </w:r>
      <w:bookmarkEnd w:id="47"/>
    </w:p>
    <w:tbl>
      <w:tblPr>
        <w:tblStyle w:val="Grigliatabella"/>
        <w:tblW w:w="0" w:type="auto"/>
        <w:tblCellMar>
          <w:left w:w="284" w:type="dxa"/>
          <w:right w:w="284" w:type="dxa"/>
        </w:tblCellMar>
        <w:tblLook w:val="04A0" w:firstRow="1" w:lastRow="0" w:firstColumn="1" w:lastColumn="0" w:noHBand="0" w:noVBand="1"/>
      </w:tblPr>
      <w:tblGrid>
        <w:gridCol w:w="9060"/>
      </w:tblGrid>
      <w:tr w:rsidR="00F43E1D" w:rsidRPr="00021DD2" w:rsidTr="004A7140">
        <w:tc>
          <w:tcPr>
            <w:tcW w:w="9060" w:type="dxa"/>
            <w:shd w:val="clear" w:color="auto" w:fill="auto"/>
          </w:tcPr>
          <w:p w:rsidR="00F43E1D" w:rsidRPr="00021DD2" w:rsidRDefault="00F43E1D" w:rsidP="007811D8">
            <w:pPr>
              <w:rPr>
                <w:rFonts w:cs="Arial"/>
              </w:rPr>
            </w:pPr>
            <w:r w:rsidRPr="00021DD2">
              <w:rPr>
                <w:rFonts w:cs="Arial"/>
                <w:b/>
              </w:rPr>
              <w:t xml:space="preserve">Recommendation 2: </w:t>
            </w:r>
            <w:r w:rsidRPr="00021DD2">
              <w:rPr>
                <w:rFonts w:cs="Arial"/>
              </w:rPr>
              <w:t>That all jurisdictions commence stocktakes of how their existing systems of monitoring and inspection meet the criteria laid out in the OPCAT, and amend their legislative frameworks accordingly.</w:t>
            </w:r>
          </w:p>
        </w:tc>
      </w:tr>
    </w:tbl>
    <w:p w:rsidR="00F43E1D" w:rsidRPr="00021DD2" w:rsidRDefault="00F43E1D" w:rsidP="00F43E1D">
      <w:pPr>
        <w:rPr>
          <w:rFonts w:cs="Arial"/>
        </w:rPr>
      </w:pPr>
      <w:r w:rsidRPr="00021DD2">
        <w:rPr>
          <w:rFonts w:cs="Arial"/>
        </w:rPr>
        <w:t>On 9 February 2017, the Australian Government committed to ratify OPCAT by December 2017, working closely with states and territories.</w:t>
      </w:r>
      <w:r w:rsidRPr="00021DD2">
        <w:rPr>
          <w:rFonts w:cs="Arial"/>
          <w:vertAlign w:val="superscript"/>
        </w:rPr>
        <w:endnoteReference w:id="77"/>
      </w:r>
      <w:r w:rsidRPr="00021DD2">
        <w:rPr>
          <w:rFonts w:cs="Arial"/>
        </w:rPr>
        <w:t xml:space="preserve"> Currently, work is underway to establish </w:t>
      </w:r>
      <w:r w:rsidR="0080555F" w:rsidRPr="00021DD2">
        <w:rPr>
          <w:rFonts w:cs="Arial"/>
        </w:rPr>
        <w:t>NPMs</w:t>
      </w:r>
      <w:r w:rsidRPr="00021DD2">
        <w:rPr>
          <w:rFonts w:cs="Arial"/>
        </w:rPr>
        <w:t xml:space="preserve"> at the national, state and territory levels through an Intergovernmental Agreement between the Commonwealth, states and territories. This will set out arrangements for ratifying and implementing OPCAT in Australia.</w:t>
      </w:r>
    </w:p>
    <w:p w:rsidR="00F43E1D" w:rsidRPr="00021DD2" w:rsidRDefault="00F43E1D" w:rsidP="00F43E1D">
      <w:pPr>
        <w:rPr>
          <w:rFonts w:cs="Arial"/>
        </w:rPr>
      </w:pPr>
      <w:r w:rsidRPr="00021DD2">
        <w:rPr>
          <w:rFonts w:cs="Arial"/>
        </w:rPr>
        <w:t xml:space="preserve">The </w:t>
      </w:r>
      <w:r w:rsidRPr="00021DD2">
        <w:rPr>
          <w:rFonts w:cs="Arial"/>
          <w:b/>
        </w:rPr>
        <w:t>NSW Government</w:t>
      </w:r>
      <w:r w:rsidRPr="00021DD2">
        <w:rPr>
          <w:rFonts w:cs="Arial"/>
        </w:rPr>
        <w:t xml:space="preserve"> advised me that the timeframes for ratifying and implementing the scheme are yet to be settled.</w:t>
      </w:r>
    </w:p>
    <w:p w:rsidR="00F43E1D" w:rsidRPr="00021DD2" w:rsidRDefault="00F43E1D" w:rsidP="00F43E1D">
      <w:pPr>
        <w:rPr>
          <w:rFonts w:cs="Arial"/>
        </w:rPr>
      </w:pPr>
      <w:r w:rsidRPr="00021DD2">
        <w:rPr>
          <w:rFonts w:cs="Arial"/>
        </w:rPr>
        <w:t xml:space="preserve">The </w:t>
      </w:r>
      <w:r w:rsidR="0080555F" w:rsidRPr="00021DD2">
        <w:rPr>
          <w:rFonts w:cs="Arial"/>
          <w:b/>
        </w:rPr>
        <w:t>NT</w:t>
      </w:r>
      <w:r w:rsidRPr="00021DD2">
        <w:rPr>
          <w:rFonts w:cs="Arial"/>
          <w:b/>
        </w:rPr>
        <w:t xml:space="preserve"> Government</w:t>
      </w:r>
      <w:r w:rsidRPr="00021DD2">
        <w:rPr>
          <w:rFonts w:cs="Arial"/>
        </w:rPr>
        <w:t xml:space="preserve"> advised me that implementation is anticipated to commence in 2018.</w:t>
      </w:r>
    </w:p>
    <w:p w:rsidR="00F43E1D" w:rsidRPr="00021DD2" w:rsidRDefault="00F43E1D" w:rsidP="00F43E1D">
      <w:pPr>
        <w:rPr>
          <w:rFonts w:cs="Arial"/>
        </w:rPr>
      </w:pPr>
      <w:r w:rsidRPr="00021DD2">
        <w:rPr>
          <w:rFonts w:cs="Arial"/>
        </w:rPr>
        <w:t xml:space="preserve">The </w:t>
      </w:r>
      <w:r w:rsidR="0080555F" w:rsidRPr="00021DD2">
        <w:rPr>
          <w:rFonts w:cs="Arial"/>
          <w:b/>
        </w:rPr>
        <w:t>SA</w:t>
      </w:r>
      <w:r w:rsidRPr="00021DD2">
        <w:rPr>
          <w:rFonts w:cs="Arial"/>
          <w:b/>
        </w:rPr>
        <w:t xml:space="preserve"> Government</w:t>
      </w:r>
      <w:r w:rsidRPr="00021DD2">
        <w:rPr>
          <w:rFonts w:cs="Arial"/>
        </w:rPr>
        <w:t xml:space="preserve"> advised me that once the NPMs have been established and the responsibilities of the Commonwealth and state and territory governments are confirmed, it ‘will seek legal advice as to whether any legislative amendments are required to our Youth Justice Administration Act to align with the national mechanism’.</w:t>
      </w:r>
    </w:p>
    <w:p w:rsidR="00F43E1D" w:rsidRPr="00021DD2" w:rsidRDefault="00F43E1D" w:rsidP="00F43E1D">
      <w:pPr>
        <w:rPr>
          <w:rFonts w:cs="Arial"/>
        </w:rPr>
      </w:pPr>
      <w:r w:rsidRPr="00021DD2">
        <w:rPr>
          <w:rFonts w:cs="Arial"/>
        </w:rPr>
        <w:t xml:space="preserve">The </w:t>
      </w:r>
      <w:r w:rsidR="00D13F25">
        <w:rPr>
          <w:rFonts w:cs="Arial"/>
          <w:b/>
        </w:rPr>
        <w:t>Tas</w:t>
      </w:r>
      <w:r w:rsidR="007872A3">
        <w:rPr>
          <w:rFonts w:cs="Arial"/>
          <w:b/>
        </w:rPr>
        <w:t>manian</w:t>
      </w:r>
      <w:r w:rsidRPr="00021DD2">
        <w:rPr>
          <w:rFonts w:cs="Arial"/>
          <w:b/>
        </w:rPr>
        <w:t xml:space="preserve"> Government</w:t>
      </w:r>
      <w:r w:rsidRPr="00021DD2">
        <w:rPr>
          <w:rFonts w:cs="Arial"/>
        </w:rPr>
        <w:t xml:space="preserve"> advised me that its Department of Justice has established an inter-agency working group to examine OPCAT obligations and to advise on options for implementation. Children and Youth Services, within the Department of Health and Human Services, is represented on this group to provide input on how potential arrangements relate to young people detained at Ashley Youth Detention Centre. The Ashley Youth Detention Centre is now subject to oversight by the office of the Custodial Inspector, which was recently established under the </w:t>
      </w:r>
      <w:r w:rsidRPr="00021DD2">
        <w:rPr>
          <w:rFonts w:cs="Arial"/>
          <w:i/>
        </w:rPr>
        <w:t>Custodial Inspector Act 2016</w:t>
      </w:r>
      <w:r w:rsidRPr="00021DD2">
        <w:rPr>
          <w:rFonts w:cs="Arial"/>
        </w:rPr>
        <w:t xml:space="preserve"> (Tas).</w:t>
      </w:r>
    </w:p>
    <w:p w:rsidR="00F43E1D" w:rsidRPr="00021DD2" w:rsidRDefault="00F43E1D" w:rsidP="00F43E1D">
      <w:pPr>
        <w:rPr>
          <w:rFonts w:cs="Arial"/>
        </w:rPr>
      </w:pPr>
      <w:r w:rsidRPr="00021DD2">
        <w:rPr>
          <w:rFonts w:cs="Arial"/>
        </w:rPr>
        <w:t xml:space="preserve">The </w:t>
      </w:r>
      <w:r w:rsidR="00A77524">
        <w:rPr>
          <w:rFonts w:cs="Arial"/>
          <w:b/>
        </w:rPr>
        <w:t>Victorian</w:t>
      </w:r>
      <w:r w:rsidRPr="00021DD2">
        <w:rPr>
          <w:rFonts w:cs="Arial"/>
          <w:b/>
        </w:rPr>
        <w:t xml:space="preserve"> Government </w:t>
      </w:r>
      <w:r w:rsidR="00D13F25">
        <w:rPr>
          <w:rFonts w:cs="Arial"/>
        </w:rPr>
        <w:t>advised me that Vic</w:t>
      </w:r>
      <w:r w:rsidR="00B62E6A">
        <w:rPr>
          <w:rFonts w:cs="Arial"/>
        </w:rPr>
        <w:t>toria</w:t>
      </w:r>
      <w:r w:rsidRPr="00021DD2">
        <w:rPr>
          <w:rFonts w:cs="Arial"/>
        </w:rPr>
        <w:t xml:space="preserve"> has been participating in the Commonwealth-led process to implement OPCAT. However, it is not yet in a position to assess how existing systems meet the criteria laid out in OPCAT, as the Intergovernmental Agreement is not yet finalised, nor is the framework for implementation agreed. Upon agreement and finalisation, standards and principles will be able to be developed and an assessm</w:t>
      </w:r>
      <w:r w:rsidR="00D13F25">
        <w:rPr>
          <w:rFonts w:cs="Arial"/>
        </w:rPr>
        <w:t>ent framework prepared. Vic</w:t>
      </w:r>
      <w:r w:rsidR="0058142F">
        <w:rPr>
          <w:rFonts w:cs="Arial"/>
        </w:rPr>
        <w:t>toria</w:t>
      </w:r>
      <w:r w:rsidRPr="00021DD2">
        <w:rPr>
          <w:rFonts w:cs="Arial"/>
        </w:rPr>
        <w:t xml:space="preserve"> will soon begin the proc</w:t>
      </w:r>
      <w:r w:rsidR="00D13F25">
        <w:rPr>
          <w:rFonts w:cs="Arial"/>
        </w:rPr>
        <w:t>ess of seeking a Vic</w:t>
      </w:r>
      <w:r w:rsidR="0058142F">
        <w:rPr>
          <w:rFonts w:cs="Arial"/>
        </w:rPr>
        <w:t>torian</w:t>
      </w:r>
      <w:r w:rsidRPr="00021DD2">
        <w:rPr>
          <w:rFonts w:cs="Arial"/>
        </w:rPr>
        <w:t xml:space="preserve"> Government position on their </w:t>
      </w:r>
      <w:r w:rsidR="0080555F" w:rsidRPr="00021DD2">
        <w:rPr>
          <w:rFonts w:cs="Arial"/>
        </w:rPr>
        <w:t>NPM</w:t>
      </w:r>
      <w:r w:rsidR="00D13F25">
        <w:rPr>
          <w:rFonts w:cs="Arial"/>
        </w:rPr>
        <w:t>. The Vic</w:t>
      </w:r>
      <w:r w:rsidR="0058142F">
        <w:rPr>
          <w:rFonts w:cs="Arial"/>
        </w:rPr>
        <w:t>torian</w:t>
      </w:r>
      <w:r w:rsidRPr="00021DD2">
        <w:rPr>
          <w:rFonts w:cs="Arial"/>
        </w:rPr>
        <w:t xml:space="preserve"> Ombudsman is currently undertaking an own motion ‘OPCAT-style’ investigation which</w:t>
      </w:r>
      <w:r w:rsidR="00D13F25">
        <w:rPr>
          <w:rFonts w:cs="Arial"/>
        </w:rPr>
        <w:t xml:space="preserve"> will be used to inform Vic</w:t>
      </w:r>
      <w:r w:rsidR="0058142F">
        <w:rPr>
          <w:rFonts w:cs="Arial"/>
        </w:rPr>
        <w:t>toria</w:t>
      </w:r>
      <w:r w:rsidRPr="00021DD2">
        <w:rPr>
          <w:rFonts w:cs="Arial"/>
        </w:rPr>
        <w:t xml:space="preserve">’s work on the actions required to implement OPCAT. </w:t>
      </w:r>
    </w:p>
    <w:p w:rsidR="00F43E1D" w:rsidRPr="00021DD2" w:rsidRDefault="00F43E1D" w:rsidP="00F43E1D">
      <w:pPr>
        <w:rPr>
          <w:rFonts w:cs="Arial"/>
        </w:rPr>
      </w:pPr>
      <w:r w:rsidRPr="00021DD2">
        <w:rPr>
          <w:rFonts w:cs="Arial"/>
        </w:rPr>
        <w:t xml:space="preserve">The </w:t>
      </w:r>
      <w:r w:rsidR="005E1A28">
        <w:rPr>
          <w:rFonts w:cs="Arial"/>
          <w:b/>
        </w:rPr>
        <w:t>Ql</w:t>
      </w:r>
      <w:r w:rsidRPr="00021DD2">
        <w:rPr>
          <w:rFonts w:cs="Arial"/>
          <w:b/>
        </w:rPr>
        <w:t>d Government</w:t>
      </w:r>
      <w:r w:rsidRPr="00021DD2">
        <w:rPr>
          <w:rFonts w:cs="Arial"/>
        </w:rPr>
        <w:t xml:space="preserve"> advised me that it is working closely with other jurisdictions to implement OPCAT. It noted that jurisdictions will use their best endeavours to settle a model for ratification and implementation.</w:t>
      </w:r>
    </w:p>
    <w:p w:rsidR="00B44D4B" w:rsidRPr="00E201D2" w:rsidRDefault="00F43E1D" w:rsidP="00B46AB5">
      <w:pPr>
        <w:autoSpaceDE w:val="0"/>
        <w:autoSpaceDN w:val="0"/>
        <w:adjustRightInd w:val="0"/>
        <w:spacing w:before="0" w:after="400"/>
        <w:rPr>
          <w:rFonts w:cs="Arial"/>
        </w:rPr>
      </w:pPr>
      <w:r w:rsidRPr="00021DD2">
        <w:rPr>
          <w:rFonts w:cs="Arial"/>
        </w:rPr>
        <w:t xml:space="preserve">The </w:t>
      </w:r>
      <w:r w:rsidRPr="00021DD2">
        <w:rPr>
          <w:rFonts w:cs="Arial"/>
          <w:b/>
        </w:rPr>
        <w:t xml:space="preserve">ACT Government </w:t>
      </w:r>
      <w:r w:rsidRPr="00021DD2">
        <w:rPr>
          <w:rFonts w:cs="Arial"/>
        </w:rPr>
        <w:t xml:space="preserve">notified me that it has introduced the </w:t>
      </w:r>
      <w:r w:rsidRPr="00021DD2">
        <w:rPr>
          <w:rFonts w:cs="Arial"/>
          <w:i/>
        </w:rPr>
        <w:t>Monitoring of Places of Detention (Optional Protocol to the Convention Against Torture) Bill 2017</w:t>
      </w:r>
      <w:r w:rsidRPr="00021DD2">
        <w:rPr>
          <w:rFonts w:cs="Arial"/>
        </w:rPr>
        <w:t>, which will facilitate visits by the UN Subcommittee</w:t>
      </w:r>
      <w:r w:rsidR="00254DC2">
        <w:rPr>
          <w:rFonts w:cs="Arial"/>
        </w:rPr>
        <w:t xml:space="preserve"> on Prevention of Tor</w:t>
      </w:r>
      <w:r w:rsidR="0080555F" w:rsidRPr="00021DD2">
        <w:rPr>
          <w:rFonts w:cs="Arial"/>
        </w:rPr>
        <w:t>ture and other Cruel, Inhuman or Degrading Treatment or Punishment,</w:t>
      </w:r>
      <w:r w:rsidRPr="00021DD2">
        <w:rPr>
          <w:rFonts w:cs="Arial"/>
        </w:rPr>
        <w:t xml:space="preserve"> should OPCAT be ratified. The ACT has considered its existing oversight arrangements and will continue this exercise as the Commonwealth refines its definition of ‘primary places of detention’. The ACT is finalising the model for the Inspectorate of Custodial Services, which will determine the ACT’s ultimate </w:t>
      </w:r>
      <w:r w:rsidR="0080555F" w:rsidRPr="00021DD2">
        <w:rPr>
          <w:rFonts w:cs="Arial"/>
        </w:rPr>
        <w:t>NPM</w:t>
      </w:r>
      <w:r w:rsidRPr="00021DD2">
        <w:rPr>
          <w:rFonts w:cs="Arial"/>
        </w:rPr>
        <w:t xml:space="preserve"> arrangements. As such, the ACT’s final NPM is likely to be different from those recommended in my </w:t>
      </w:r>
      <w:r w:rsidRPr="00021DD2">
        <w:rPr>
          <w:rFonts w:cs="Arial"/>
          <w:i/>
        </w:rPr>
        <w:t>Children’s Rights Report</w:t>
      </w:r>
      <w:r w:rsidR="0080555F" w:rsidRPr="00021DD2">
        <w:rPr>
          <w:rFonts w:cs="Arial"/>
          <w:i/>
        </w:rPr>
        <w:t xml:space="preserve"> 2016</w:t>
      </w:r>
      <w:r w:rsidRPr="00021DD2">
        <w:rPr>
          <w:rFonts w:cs="Arial"/>
        </w:rPr>
        <w:t xml:space="preserve">. </w:t>
      </w:r>
    </w:p>
    <w:tbl>
      <w:tblPr>
        <w:tblStyle w:val="Grigliatabella"/>
        <w:tblW w:w="0" w:type="auto"/>
        <w:tblCellMar>
          <w:left w:w="284" w:type="dxa"/>
          <w:right w:w="284" w:type="dxa"/>
        </w:tblCellMar>
        <w:tblLook w:val="04A0" w:firstRow="1" w:lastRow="0" w:firstColumn="1" w:lastColumn="0" w:noHBand="0" w:noVBand="1"/>
      </w:tblPr>
      <w:tblGrid>
        <w:gridCol w:w="9060"/>
      </w:tblGrid>
      <w:tr w:rsidR="00F43E1D" w:rsidRPr="00021DD2" w:rsidTr="004A7140">
        <w:tc>
          <w:tcPr>
            <w:tcW w:w="9060" w:type="dxa"/>
            <w:shd w:val="clear" w:color="auto" w:fill="auto"/>
          </w:tcPr>
          <w:p w:rsidR="00F43E1D" w:rsidRPr="00021DD2" w:rsidRDefault="00F43E1D" w:rsidP="007811D8">
            <w:pPr>
              <w:rPr>
                <w:rFonts w:cs="Arial"/>
                <w:b/>
              </w:rPr>
            </w:pPr>
            <w:r w:rsidRPr="00021DD2">
              <w:rPr>
                <w:rFonts w:cs="Arial"/>
                <w:b/>
              </w:rPr>
              <w:t xml:space="preserve">Recommendation 3: </w:t>
            </w:r>
            <w:r w:rsidRPr="00021DD2">
              <w:rPr>
                <w:rFonts w:cs="Arial"/>
              </w:rPr>
              <w:t>That</w:t>
            </w:r>
            <w:r w:rsidRPr="00021DD2">
              <w:rPr>
                <w:rFonts w:cs="Arial"/>
                <w:b/>
              </w:rPr>
              <w:t xml:space="preserve"> </w:t>
            </w:r>
            <w:r w:rsidRPr="00021DD2">
              <w:rPr>
                <w:rFonts w:cs="Arial"/>
              </w:rPr>
              <w:t>the Australian Institute of Health and Welfare (AIHW) and the Australasian Juvenile Justice Administrators (AJJA) work together in 2017 to develop a reporting framework to meet OPCAT requirements over time.</w:t>
            </w:r>
          </w:p>
          <w:p w:rsidR="00F43E1D" w:rsidRPr="00021DD2" w:rsidRDefault="00F43E1D" w:rsidP="007811D8">
            <w:pPr>
              <w:rPr>
                <w:rFonts w:cs="Arial"/>
              </w:rPr>
            </w:pPr>
            <w:r w:rsidRPr="00021DD2">
              <w:rPr>
                <w:rFonts w:cs="Arial"/>
                <w:b/>
              </w:rPr>
              <w:t>Recommendation 4</w:t>
            </w:r>
            <w:r w:rsidRPr="00021DD2">
              <w:rPr>
                <w:rFonts w:cs="Arial"/>
              </w:rPr>
              <w:t xml:space="preserve">: That the Australian Institute of Health and Welfare (AIHW) and the Australasian Juvenile Justice Administrators (AJJA) work together in 2017 </w:t>
            </w:r>
            <w:r w:rsidR="005E1A28">
              <w:rPr>
                <w:rFonts w:cs="Arial"/>
              </w:rPr>
              <w:t>to generate additional publicl</w:t>
            </w:r>
            <w:r w:rsidRPr="00021DD2">
              <w:rPr>
                <w:rFonts w:cs="Arial"/>
              </w:rPr>
              <w:t>y available data on characteristics of detainees, their treatment and conditions.</w:t>
            </w:r>
          </w:p>
          <w:p w:rsidR="00F43E1D" w:rsidRPr="00021DD2" w:rsidRDefault="00F43E1D" w:rsidP="007811D8">
            <w:pPr>
              <w:rPr>
                <w:rFonts w:cs="Arial"/>
              </w:rPr>
            </w:pPr>
            <w:r w:rsidRPr="00021DD2">
              <w:rPr>
                <w:rFonts w:cs="Arial"/>
                <w:b/>
              </w:rPr>
              <w:t xml:space="preserve">Recommendation 5: </w:t>
            </w:r>
            <w:r w:rsidRPr="00021DD2">
              <w:rPr>
                <w:rFonts w:cs="Arial"/>
              </w:rPr>
              <w:t>That the Productivity Commission, the Australian Institute of Health and Welfare (AIHW) and the Australasian Juvenile Justice Administrators (AJJA) work together in 2017 to progress the collection of ‘outcome’ based data for children and young people in the youth justice system.</w:t>
            </w:r>
          </w:p>
        </w:tc>
      </w:tr>
    </w:tbl>
    <w:p w:rsidR="00F43E1D" w:rsidRPr="00021DD2" w:rsidRDefault="00F43E1D" w:rsidP="00F43E1D">
      <w:pPr>
        <w:rPr>
          <w:rFonts w:cs="Arial"/>
        </w:rPr>
      </w:pPr>
      <w:r w:rsidRPr="00021DD2">
        <w:rPr>
          <w:rFonts w:cs="Arial"/>
        </w:rPr>
        <w:t>The</w:t>
      </w:r>
      <w:r w:rsidRPr="00021DD2">
        <w:rPr>
          <w:rFonts w:cs="Arial"/>
          <w:b/>
        </w:rPr>
        <w:t xml:space="preserve"> Department of Health </w:t>
      </w:r>
      <w:r w:rsidRPr="00021DD2">
        <w:rPr>
          <w:rFonts w:cs="Arial"/>
        </w:rPr>
        <w:t>provided the following updates:</w:t>
      </w:r>
    </w:p>
    <w:p w:rsidR="00F43E1D" w:rsidRPr="00021DD2" w:rsidRDefault="00F43E1D" w:rsidP="00F43E1D">
      <w:pPr>
        <w:rPr>
          <w:rFonts w:cs="Arial"/>
          <w:lang w:val="en-US"/>
        </w:rPr>
      </w:pPr>
      <w:r w:rsidRPr="00021DD2">
        <w:rPr>
          <w:rFonts w:cs="Arial"/>
          <w:lang w:val="en-US"/>
        </w:rPr>
        <w:t xml:space="preserve">The AIHW, </w:t>
      </w:r>
      <w:r w:rsidRPr="00021DD2">
        <w:rPr>
          <w:rFonts w:cs="Arial"/>
        </w:rPr>
        <w:t xml:space="preserve">AJJA and the Productivity Commission </w:t>
      </w:r>
      <w:r w:rsidRPr="00021DD2">
        <w:rPr>
          <w:rFonts w:cs="Arial"/>
          <w:lang w:val="en-US"/>
        </w:rPr>
        <w:t>(PC) have agreed to further discuss and work together on these recommendations. As NPM components are agreed, the development of a nationally agreed reporting framework, and relevant indicators and data items on the characteristics, treatment and conditions for these young people</w:t>
      </w:r>
      <w:r w:rsidR="0082586A" w:rsidRPr="00021DD2">
        <w:rPr>
          <w:rFonts w:cs="Arial"/>
          <w:lang w:val="en-US"/>
        </w:rPr>
        <w:t>,</w:t>
      </w:r>
      <w:r w:rsidRPr="00021DD2">
        <w:rPr>
          <w:rFonts w:cs="Arial"/>
          <w:lang w:val="en-US"/>
        </w:rPr>
        <w:t xml:space="preserve"> required for recommendations 3 and 4 will become possible. </w:t>
      </w:r>
    </w:p>
    <w:p w:rsidR="00F43E1D" w:rsidRPr="00021DD2" w:rsidRDefault="00F43E1D" w:rsidP="00F43E1D">
      <w:pPr>
        <w:rPr>
          <w:rFonts w:cs="Arial"/>
          <w:lang w:val="en-US"/>
        </w:rPr>
      </w:pPr>
      <w:r w:rsidRPr="00021DD2">
        <w:rPr>
          <w:rFonts w:cs="Arial"/>
          <w:lang w:val="en-US"/>
        </w:rPr>
        <w:t xml:space="preserve">The AIHW has implemented a comprehensive reporting framework for child protection services and intervention indicators for mental health services (eg restraint and seclusion indicators), which could readily </w:t>
      </w:r>
      <w:r w:rsidR="005E1A28" w:rsidRPr="00021DD2">
        <w:rPr>
          <w:rFonts w:cs="Arial"/>
          <w:lang w:val="en-US"/>
        </w:rPr>
        <w:t xml:space="preserve">be </w:t>
      </w:r>
      <w:r w:rsidRPr="00021DD2">
        <w:rPr>
          <w:rFonts w:cs="Arial"/>
          <w:lang w:val="en-US"/>
        </w:rPr>
        <w:t>used to inform work on recommendations 3 and 4 for the youth justice sector.</w:t>
      </w:r>
    </w:p>
    <w:p w:rsidR="00F43E1D" w:rsidRPr="00021DD2" w:rsidRDefault="00F43E1D" w:rsidP="00F43E1D">
      <w:pPr>
        <w:rPr>
          <w:rFonts w:cs="Arial"/>
          <w:lang w:val="en-US"/>
        </w:rPr>
      </w:pPr>
      <w:r w:rsidRPr="00021DD2">
        <w:rPr>
          <w:rFonts w:cs="Arial"/>
          <w:lang w:val="en-US"/>
        </w:rPr>
        <w:t>The AIHW and PC report annually on longitudinal analysis of rates of return to youth justice supervision. The AIHW is also building the capacity to link data across relevant sectors to enable various outcomes analyses, including:</w:t>
      </w:r>
    </w:p>
    <w:p w:rsidR="00F43E1D" w:rsidRPr="00826906" w:rsidRDefault="00F43E1D" w:rsidP="00B934D7">
      <w:pPr>
        <w:pStyle w:val="Paragrafoelenco"/>
        <w:numPr>
          <w:ilvl w:val="0"/>
          <w:numId w:val="28"/>
        </w:numPr>
        <w:spacing w:after="100"/>
        <w:ind w:left="714" w:hanging="357"/>
        <w:contextualSpacing w:val="0"/>
        <w:jc w:val="left"/>
        <w:rPr>
          <w:lang w:val="en-US"/>
        </w:rPr>
      </w:pPr>
      <w:r w:rsidRPr="00021DD2">
        <w:rPr>
          <w:lang w:val="en-US"/>
        </w:rPr>
        <w:t>a study linking data on young people under youth justice supervision who also receive a homelessness services (in collaboration with state and territory departments responsible for homelessness services)</w:t>
      </w:r>
    </w:p>
    <w:p w:rsidR="00F43E1D" w:rsidRPr="00021DD2" w:rsidRDefault="00F43E1D" w:rsidP="00B934D7">
      <w:pPr>
        <w:pStyle w:val="Paragrafoelenco"/>
        <w:numPr>
          <w:ilvl w:val="0"/>
          <w:numId w:val="28"/>
        </w:numPr>
        <w:ind w:left="720"/>
        <w:jc w:val="left"/>
        <w:rPr>
          <w:lang w:val="en-US"/>
        </w:rPr>
      </w:pPr>
      <w:r w:rsidRPr="00021DD2">
        <w:rPr>
          <w:lang w:val="en-US"/>
        </w:rPr>
        <w:t xml:space="preserve">measuring subsequent imprisonment rates for these young people (in collaboration with the </w:t>
      </w:r>
      <w:r w:rsidR="0082586A" w:rsidRPr="00021DD2">
        <w:rPr>
          <w:lang w:val="en-US"/>
        </w:rPr>
        <w:t>ABS</w:t>
      </w:r>
      <w:r w:rsidRPr="00021DD2">
        <w:rPr>
          <w:lang w:val="en-US"/>
        </w:rPr>
        <w:t xml:space="preserve"> and funded by the Department of Prime Minister and Cabinet). </w:t>
      </w:r>
    </w:p>
    <w:p w:rsidR="00F43E1D" w:rsidRPr="00021DD2" w:rsidRDefault="00F43E1D" w:rsidP="00F43E1D">
      <w:pPr>
        <w:rPr>
          <w:rFonts w:cs="Arial"/>
          <w:lang w:val="en-US"/>
        </w:rPr>
      </w:pPr>
      <w:r w:rsidRPr="00021DD2">
        <w:rPr>
          <w:rFonts w:cs="Arial"/>
          <w:lang w:val="en-US"/>
        </w:rPr>
        <w:t>The AIHW told me that it is currently reviewing state and territory health department data holdings on the health status, risk behavior and health service usage of young people under youth justice supervision. This project is expected to provide recommendations for a national data collection on health services provided in detention facilities and linking of the national youth justice data with national health services. A data linkage project is currently underway linking youth justice data with alcohol and other drug treatment services data.</w:t>
      </w:r>
      <w:r w:rsidR="000F10F4">
        <w:rPr>
          <w:rFonts w:cs="Arial"/>
          <w:lang w:val="en-US"/>
        </w:rPr>
        <w:t xml:space="preserve"> </w:t>
      </w:r>
    </w:p>
    <w:p w:rsidR="00F43E1D" w:rsidRPr="00021DD2" w:rsidRDefault="00F43E1D" w:rsidP="00F43E1D">
      <w:pPr>
        <w:rPr>
          <w:rFonts w:cs="Arial"/>
          <w:sz w:val="22"/>
          <w:szCs w:val="22"/>
        </w:rPr>
      </w:pPr>
      <w:r w:rsidRPr="00021DD2">
        <w:rPr>
          <w:rFonts w:cs="Arial"/>
          <w:b/>
        </w:rPr>
        <w:t>AJJA</w:t>
      </w:r>
      <w:r w:rsidRPr="00021DD2">
        <w:rPr>
          <w:rFonts w:cs="Arial"/>
        </w:rPr>
        <w:t xml:space="preserve"> informed me that it noted the contents and recommendations of the </w:t>
      </w:r>
      <w:r w:rsidRPr="00021DD2">
        <w:rPr>
          <w:rFonts w:cs="Arial"/>
          <w:i/>
        </w:rPr>
        <w:t>Children’s Rights Report 2016</w:t>
      </w:r>
      <w:r w:rsidRPr="00021DD2">
        <w:rPr>
          <w:rFonts w:cs="Arial"/>
        </w:rPr>
        <w:t xml:space="preserve"> at its meeting on 31 January 2017.</w:t>
      </w:r>
      <w:r w:rsidRPr="00021DD2">
        <w:rPr>
          <w:rFonts w:cs="Arial"/>
          <w:sz w:val="22"/>
          <w:szCs w:val="22"/>
        </w:rPr>
        <w:t xml:space="preserve"> </w:t>
      </w:r>
      <w:r w:rsidRPr="00021DD2">
        <w:rPr>
          <w:rFonts w:cs="Arial"/>
        </w:rPr>
        <w:t>AJJA has established OPCAT as a standing agenda item for its face-to-face meetings to ensure discussions continue as work advances to implement OPCAT across jurisdictions.</w:t>
      </w:r>
    </w:p>
    <w:tbl>
      <w:tblPr>
        <w:tblStyle w:val="Grigliatabella"/>
        <w:tblW w:w="0" w:type="auto"/>
        <w:shd w:val="clear" w:color="auto" w:fill="D5DCE4" w:themeFill="text2" w:themeFillTint="33"/>
        <w:tblCellMar>
          <w:left w:w="284" w:type="dxa"/>
          <w:right w:w="284" w:type="dxa"/>
        </w:tblCellMar>
        <w:tblLook w:val="04A0" w:firstRow="1" w:lastRow="0" w:firstColumn="1" w:lastColumn="0" w:noHBand="0" w:noVBand="1"/>
      </w:tblPr>
      <w:tblGrid>
        <w:gridCol w:w="9060"/>
      </w:tblGrid>
      <w:tr w:rsidR="00F43E1D" w:rsidRPr="00021DD2" w:rsidTr="004A7140">
        <w:tc>
          <w:tcPr>
            <w:tcW w:w="9060" w:type="dxa"/>
            <w:shd w:val="clear" w:color="auto" w:fill="auto"/>
          </w:tcPr>
          <w:p w:rsidR="00F43E1D" w:rsidRPr="00021DD2" w:rsidRDefault="00F43E1D" w:rsidP="007811D8">
            <w:pPr>
              <w:rPr>
                <w:rFonts w:cs="Arial"/>
                <w:b/>
              </w:rPr>
            </w:pPr>
            <w:r w:rsidRPr="00021DD2">
              <w:rPr>
                <w:rFonts w:cs="Arial"/>
                <w:b/>
              </w:rPr>
              <w:t>Recommendation 9:</w:t>
            </w:r>
            <w:r w:rsidRPr="00021DD2">
              <w:rPr>
                <w:rFonts w:cs="Arial"/>
                <w:b/>
                <w:i/>
              </w:rPr>
              <w:t xml:space="preserve"> </w:t>
            </w:r>
            <w:r w:rsidRPr="00021DD2">
              <w:rPr>
                <w:rFonts w:cs="Arial"/>
              </w:rPr>
              <w:t xml:space="preserve">That the age of criminal responsibility should be raised from 10 years to 12 years in the first instance, with preservation of </w:t>
            </w:r>
            <w:r w:rsidRPr="00021DD2">
              <w:rPr>
                <w:rFonts w:cs="Arial"/>
                <w:i/>
              </w:rPr>
              <w:t>doli incapax</w:t>
            </w:r>
            <w:r w:rsidRPr="00021DD2">
              <w:rPr>
                <w:rFonts w:cs="Arial"/>
              </w:rPr>
              <w:t>.</w:t>
            </w:r>
          </w:p>
        </w:tc>
      </w:tr>
    </w:tbl>
    <w:p w:rsidR="00F43E1D" w:rsidRPr="00021DD2" w:rsidRDefault="00F43E1D" w:rsidP="00F43E1D">
      <w:pPr>
        <w:rPr>
          <w:rFonts w:cs="Arial"/>
        </w:rPr>
      </w:pPr>
      <w:r w:rsidRPr="00021DD2">
        <w:rPr>
          <w:rFonts w:cs="Arial"/>
        </w:rPr>
        <w:t xml:space="preserve">The </w:t>
      </w:r>
      <w:r w:rsidRPr="00021DD2">
        <w:rPr>
          <w:rFonts w:cs="Arial"/>
          <w:b/>
        </w:rPr>
        <w:t>NSW Government</w:t>
      </w:r>
      <w:r w:rsidRPr="00021DD2">
        <w:rPr>
          <w:rFonts w:cs="Arial"/>
        </w:rPr>
        <w:t xml:space="preserve"> advised me that it has no plans at this stage to review the minimum age of criminal responsibility, noting that the current arrangements in NSW are consistent with all other Australian jurisdictions.</w:t>
      </w:r>
    </w:p>
    <w:p w:rsidR="00F43E1D" w:rsidRPr="00021DD2" w:rsidRDefault="00F43E1D" w:rsidP="00F43E1D">
      <w:pPr>
        <w:rPr>
          <w:rFonts w:cs="Arial"/>
        </w:rPr>
      </w:pPr>
      <w:r w:rsidRPr="00021DD2">
        <w:rPr>
          <w:rFonts w:cs="Arial"/>
        </w:rPr>
        <w:t xml:space="preserve">The </w:t>
      </w:r>
      <w:r w:rsidR="0082586A" w:rsidRPr="00021DD2">
        <w:rPr>
          <w:rFonts w:cs="Arial"/>
          <w:b/>
        </w:rPr>
        <w:t>SA</w:t>
      </w:r>
      <w:r w:rsidRPr="00021DD2">
        <w:rPr>
          <w:rFonts w:cs="Arial"/>
          <w:b/>
        </w:rPr>
        <w:t xml:space="preserve"> Government</w:t>
      </w:r>
      <w:r w:rsidRPr="00021DD2">
        <w:rPr>
          <w:rFonts w:cs="Arial"/>
        </w:rPr>
        <w:t xml:space="preserve"> said that it considers national consistency on the age of criminal responsibility to be important, and that any change to the current minimum age should be by national agreement. It suggested writing to the Commonwealth Attorney-General to request this issue be put on the agenda for his next ministerial meeting with state and territory counterparts.</w:t>
      </w:r>
      <w:r w:rsidR="000F10F4">
        <w:rPr>
          <w:rFonts w:cs="Arial"/>
        </w:rPr>
        <w:t xml:space="preserve"> </w:t>
      </w:r>
    </w:p>
    <w:p w:rsidR="00F43E1D" w:rsidRPr="00021DD2" w:rsidRDefault="00F43E1D" w:rsidP="00F43E1D">
      <w:pPr>
        <w:rPr>
          <w:rFonts w:cs="Arial"/>
        </w:rPr>
      </w:pPr>
      <w:r w:rsidRPr="00021DD2">
        <w:rPr>
          <w:rFonts w:cs="Arial"/>
        </w:rPr>
        <w:t xml:space="preserve">The </w:t>
      </w:r>
      <w:r w:rsidR="0082586A" w:rsidRPr="00021DD2">
        <w:rPr>
          <w:rFonts w:cs="Arial"/>
          <w:b/>
        </w:rPr>
        <w:t>NT</w:t>
      </w:r>
      <w:r w:rsidRPr="00021DD2">
        <w:rPr>
          <w:rFonts w:cs="Arial"/>
          <w:b/>
        </w:rPr>
        <w:t xml:space="preserve"> Government</w:t>
      </w:r>
      <w:r w:rsidRPr="00021DD2">
        <w:rPr>
          <w:rFonts w:cs="Arial"/>
        </w:rPr>
        <w:t xml:space="preserve"> advised me that it is not currently considering changing the age of criminal responsibility, and is awaiting the final report of the </w:t>
      </w:r>
      <w:r w:rsidR="00D13F25">
        <w:rPr>
          <w:rFonts w:cs="Arial"/>
        </w:rPr>
        <w:t>NT Royal Commission</w:t>
      </w:r>
      <w:r w:rsidRPr="00021DD2">
        <w:rPr>
          <w:rFonts w:cs="Arial"/>
        </w:rPr>
        <w:t xml:space="preserve">, which may include recommendations relevant to the issues raised in my Children's Rights Report 2016, and which will inform the </w:t>
      </w:r>
      <w:r w:rsidR="0082586A" w:rsidRPr="00021DD2">
        <w:rPr>
          <w:rFonts w:cs="Arial"/>
        </w:rPr>
        <w:t>NT</w:t>
      </w:r>
      <w:r w:rsidRPr="00021DD2">
        <w:rPr>
          <w:rFonts w:cs="Arial"/>
        </w:rPr>
        <w:t xml:space="preserve"> Government’s reform program.</w:t>
      </w:r>
    </w:p>
    <w:p w:rsidR="00F43E1D" w:rsidRPr="00021DD2" w:rsidRDefault="00F43E1D" w:rsidP="00F43E1D">
      <w:pPr>
        <w:rPr>
          <w:rFonts w:cs="Arial"/>
        </w:rPr>
      </w:pPr>
      <w:r w:rsidRPr="00021DD2">
        <w:rPr>
          <w:rFonts w:cs="Arial"/>
        </w:rPr>
        <w:t xml:space="preserve">The </w:t>
      </w:r>
      <w:r w:rsidR="00D13F25">
        <w:rPr>
          <w:rFonts w:cs="Arial"/>
          <w:b/>
        </w:rPr>
        <w:t>Vic</w:t>
      </w:r>
      <w:r w:rsidR="00224EF5">
        <w:rPr>
          <w:rFonts w:cs="Arial"/>
          <w:b/>
        </w:rPr>
        <w:t>torian</w:t>
      </w:r>
      <w:r w:rsidRPr="00021DD2">
        <w:rPr>
          <w:rFonts w:cs="Arial"/>
          <w:b/>
        </w:rPr>
        <w:t xml:space="preserve"> Government </w:t>
      </w:r>
      <w:r w:rsidRPr="00021DD2">
        <w:rPr>
          <w:rFonts w:cs="Arial"/>
        </w:rPr>
        <w:t>advised me that they do not intend to raise their current age of</w:t>
      </w:r>
      <w:r w:rsidR="0082586A" w:rsidRPr="00021DD2">
        <w:rPr>
          <w:rFonts w:cs="Arial"/>
        </w:rPr>
        <w:t xml:space="preserve"> criminal responsibility from ten</w:t>
      </w:r>
      <w:r w:rsidRPr="00021DD2">
        <w:rPr>
          <w:rFonts w:cs="Arial"/>
        </w:rPr>
        <w:t xml:space="preserve"> to 12 y</w:t>
      </w:r>
      <w:r w:rsidR="00D13F25">
        <w:rPr>
          <w:rFonts w:cs="Arial"/>
        </w:rPr>
        <w:t xml:space="preserve">ears, as this would put </w:t>
      </w:r>
      <w:r w:rsidR="00224EF5">
        <w:rPr>
          <w:rFonts w:cs="Arial"/>
        </w:rPr>
        <w:t>it</w:t>
      </w:r>
      <w:r w:rsidRPr="00021DD2">
        <w:rPr>
          <w:rFonts w:cs="Arial"/>
        </w:rPr>
        <w:t xml:space="preserve"> out of alignment with the other Australian jurisdictions. </w:t>
      </w:r>
    </w:p>
    <w:p w:rsidR="00F43E1D" w:rsidRPr="00021DD2" w:rsidRDefault="00F43E1D" w:rsidP="00F43E1D">
      <w:pPr>
        <w:rPr>
          <w:rFonts w:cs="Arial"/>
        </w:rPr>
      </w:pPr>
      <w:r w:rsidRPr="00021DD2">
        <w:rPr>
          <w:rFonts w:cs="Arial"/>
        </w:rPr>
        <w:t xml:space="preserve">The </w:t>
      </w:r>
      <w:r w:rsidRPr="00021DD2">
        <w:rPr>
          <w:rFonts w:cs="Arial"/>
          <w:b/>
        </w:rPr>
        <w:t xml:space="preserve">ACT Government </w:t>
      </w:r>
      <w:r w:rsidRPr="00021DD2">
        <w:rPr>
          <w:rFonts w:cs="Arial"/>
        </w:rPr>
        <w:t>informed me that changing the age of criminal responsibility should reflect a nationally consistent approach, be informed by community consultation, and consider the measures to support and supervise young children who would otherwise be dealt with by the youth justice system.</w:t>
      </w:r>
    </w:p>
    <w:tbl>
      <w:tblPr>
        <w:tblStyle w:val="Grigliatabella"/>
        <w:tblW w:w="0" w:type="auto"/>
        <w:shd w:val="clear" w:color="auto" w:fill="D5DCE4" w:themeFill="text2" w:themeFillTint="33"/>
        <w:tblCellMar>
          <w:left w:w="284" w:type="dxa"/>
          <w:right w:w="284" w:type="dxa"/>
        </w:tblCellMar>
        <w:tblLook w:val="04A0" w:firstRow="1" w:lastRow="0" w:firstColumn="1" w:lastColumn="0" w:noHBand="0" w:noVBand="1"/>
      </w:tblPr>
      <w:tblGrid>
        <w:gridCol w:w="9060"/>
      </w:tblGrid>
      <w:tr w:rsidR="00F43E1D" w:rsidRPr="00021DD2" w:rsidTr="004A7140">
        <w:tc>
          <w:tcPr>
            <w:tcW w:w="9060" w:type="dxa"/>
            <w:shd w:val="clear" w:color="auto" w:fill="auto"/>
          </w:tcPr>
          <w:p w:rsidR="00F43E1D" w:rsidRPr="00021DD2" w:rsidRDefault="00F43E1D" w:rsidP="007811D8">
            <w:pPr>
              <w:rPr>
                <w:rFonts w:cs="Arial"/>
                <w:b/>
              </w:rPr>
            </w:pPr>
            <w:r w:rsidRPr="00021DD2">
              <w:rPr>
                <w:rFonts w:cs="Arial"/>
                <w:b/>
              </w:rPr>
              <w:t xml:space="preserve">Recommendation 11: </w:t>
            </w:r>
            <w:r w:rsidRPr="00021DD2">
              <w:rPr>
                <w:rFonts w:cs="Arial"/>
              </w:rPr>
              <w:t xml:space="preserve">That the Council of Australian Governments resource a national strategy to reduce the overrepresentation of Aboriginal and Torres Strait Islander children and adults in detention under the Close the Gap Framework, including: </w:t>
            </w:r>
          </w:p>
          <w:p w:rsidR="00F43E1D" w:rsidRPr="00021DD2" w:rsidRDefault="00F43E1D" w:rsidP="004A7140">
            <w:pPr>
              <w:spacing w:before="0" w:after="100"/>
              <w:ind w:left="1440" w:hanging="720"/>
              <w:rPr>
                <w:rFonts w:cs="Arial"/>
              </w:rPr>
            </w:pPr>
            <w:r w:rsidRPr="00021DD2">
              <w:rPr>
                <w:rFonts w:cs="Arial"/>
              </w:rPr>
              <w:t>a)</w:t>
            </w:r>
            <w:r w:rsidRPr="00021DD2">
              <w:rPr>
                <w:rFonts w:cs="Arial"/>
              </w:rPr>
              <w:tab/>
              <w:t xml:space="preserve">Strategies to address underlying social and economic causes of children and young people coming into contact with the criminal justice system. </w:t>
            </w:r>
          </w:p>
          <w:p w:rsidR="00F43E1D" w:rsidRPr="00021DD2" w:rsidRDefault="00F43E1D" w:rsidP="004A7140">
            <w:pPr>
              <w:spacing w:before="0" w:after="100"/>
              <w:ind w:left="1440" w:hanging="720"/>
              <w:rPr>
                <w:rFonts w:cs="Arial"/>
              </w:rPr>
            </w:pPr>
            <w:r w:rsidRPr="00021DD2">
              <w:rPr>
                <w:rFonts w:cs="Arial"/>
              </w:rPr>
              <w:t>b)</w:t>
            </w:r>
            <w:r w:rsidRPr="00021DD2">
              <w:rPr>
                <w:rFonts w:cs="Arial"/>
              </w:rPr>
              <w:tab/>
              <w:t xml:space="preserve">Establishing justice targets and strategies aimed at significantly reducing the number of Aboriginal and Torres Strait Islander children and young people in detention. </w:t>
            </w:r>
          </w:p>
          <w:p w:rsidR="00F43E1D" w:rsidRPr="00021DD2" w:rsidRDefault="00F43E1D" w:rsidP="004A7140">
            <w:pPr>
              <w:spacing w:before="0" w:after="100"/>
              <w:ind w:left="1440" w:hanging="720"/>
              <w:rPr>
                <w:rFonts w:cs="Arial"/>
              </w:rPr>
            </w:pPr>
            <w:r w:rsidRPr="00021DD2">
              <w:rPr>
                <w:rFonts w:cs="Arial"/>
              </w:rPr>
              <w:t>c)</w:t>
            </w:r>
            <w:r w:rsidRPr="00021DD2">
              <w:rPr>
                <w:rFonts w:cs="Arial"/>
              </w:rPr>
              <w:tab/>
              <w:t>Developing a commitment to working in genuine partnership with Aboriginal and Torres Strait Islander communities, leaders and representative bodies</w:t>
            </w:r>
            <w:r w:rsidR="0082586A" w:rsidRPr="00021DD2">
              <w:rPr>
                <w:rFonts w:cs="Arial"/>
              </w:rPr>
              <w:t>.</w:t>
            </w:r>
          </w:p>
          <w:p w:rsidR="00F43E1D" w:rsidRPr="00021DD2" w:rsidRDefault="00F43E1D" w:rsidP="004A7140">
            <w:pPr>
              <w:spacing w:before="0"/>
              <w:ind w:left="720"/>
              <w:rPr>
                <w:rFonts w:cs="Arial"/>
              </w:rPr>
            </w:pPr>
            <w:r w:rsidRPr="00021DD2">
              <w:rPr>
                <w:rFonts w:cs="Arial"/>
              </w:rPr>
              <w:t>d)</w:t>
            </w:r>
            <w:r w:rsidRPr="00021DD2">
              <w:rPr>
                <w:rFonts w:cs="Arial"/>
              </w:rPr>
              <w:tab/>
              <w:t>Investing sufficient resources to ensure practical implementation.</w:t>
            </w:r>
          </w:p>
        </w:tc>
      </w:tr>
    </w:tbl>
    <w:p w:rsidR="00F43E1D" w:rsidRPr="00021DD2" w:rsidRDefault="00F43E1D" w:rsidP="00F43E1D">
      <w:pPr>
        <w:rPr>
          <w:rFonts w:cs="Arial"/>
        </w:rPr>
      </w:pPr>
      <w:r w:rsidRPr="00021DD2">
        <w:rPr>
          <w:rFonts w:cs="Arial"/>
        </w:rPr>
        <w:t xml:space="preserve">The </w:t>
      </w:r>
      <w:r w:rsidRPr="00021DD2">
        <w:rPr>
          <w:rFonts w:cs="Arial"/>
          <w:b/>
        </w:rPr>
        <w:t>Minister for Indigenous Health, the Hon Ken Wyatt AM, MP</w:t>
      </w:r>
      <w:r w:rsidRPr="005E1A28">
        <w:rPr>
          <w:rFonts w:cs="Arial"/>
        </w:rPr>
        <w:t>, and the</w:t>
      </w:r>
      <w:r w:rsidRPr="00021DD2">
        <w:rPr>
          <w:rFonts w:cs="Arial"/>
          <w:b/>
        </w:rPr>
        <w:t xml:space="preserve"> Minister for Indigenous Affairs, Senator the Hon Nigel Scullion</w:t>
      </w:r>
      <w:r w:rsidRPr="005E1A28">
        <w:rPr>
          <w:rFonts w:cs="Arial"/>
        </w:rPr>
        <w:t>,</w:t>
      </w:r>
      <w:r w:rsidRPr="00021DD2">
        <w:rPr>
          <w:rFonts w:cs="Arial"/>
        </w:rPr>
        <w:t xml:space="preserve"> advised me that all Australian governments are committed to working with each other and with Aboriginal and Torres Strait Islander Australians to refresh the Closing the Gap agenda. On 9 June 2017,</w:t>
      </w:r>
      <w:r w:rsidR="005E1A28">
        <w:rPr>
          <w:rFonts w:cs="Arial"/>
        </w:rPr>
        <w:t xml:space="preserve"> COAG welcomed early work focus</w:t>
      </w:r>
      <w:r w:rsidRPr="00021DD2">
        <w:rPr>
          <w:rFonts w:cs="Arial"/>
        </w:rPr>
        <w:t xml:space="preserve">ing on a strength-based approach that supports Indigenous advancement in partnership with Aboriginal and Torres Strait Islander peoples. COAG has asked this work to continue over the remainder of 2017, informed by broad engagement with Indigenous Australians and the wider Australian community. COAG will consider a refreshed agenda, targets and implementation principles at its last meeting in 2017. </w:t>
      </w:r>
    </w:p>
    <w:p w:rsidR="00F43E1D" w:rsidRPr="00021DD2" w:rsidRDefault="00F43E1D" w:rsidP="00F43E1D">
      <w:pPr>
        <w:rPr>
          <w:rFonts w:cs="Arial"/>
        </w:rPr>
      </w:pPr>
      <w:r w:rsidRPr="00021DD2">
        <w:rPr>
          <w:rFonts w:cs="Arial"/>
        </w:rPr>
        <w:t xml:space="preserve">The Ministers advised me that several jurisdictions have already established justice targets, including the </w:t>
      </w:r>
      <w:r w:rsidR="0082586A" w:rsidRPr="00021DD2">
        <w:rPr>
          <w:rFonts w:cs="Arial"/>
        </w:rPr>
        <w:t>NT</w:t>
      </w:r>
      <w:r w:rsidR="00D13F25">
        <w:rPr>
          <w:rFonts w:cs="Arial"/>
        </w:rPr>
        <w:t>, Vic</w:t>
      </w:r>
      <w:r w:rsidR="00224EF5">
        <w:rPr>
          <w:rFonts w:cs="Arial"/>
        </w:rPr>
        <w:t>toria</w:t>
      </w:r>
      <w:r w:rsidRPr="00021DD2">
        <w:rPr>
          <w:rFonts w:cs="Arial"/>
        </w:rPr>
        <w:t xml:space="preserve">, </w:t>
      </w:r>
      <w:r w:rsidR="0082586A" w:rsidRPr="00021DD2">
        <w:rPr>
          <w:rFonts w:cs="Arial"/>
        </w:rPr>
        <w:t>SA</w:t>
      </w:r>
      <w:r w:rsidRPr="00021DD2">
        <w:rPr>
          <w:rFonts w:cs="Arial"/>
        </w:rPr>
        <w:t xml:space="preserve"> and the </w:t>
      </w:r>
      <w:r w:rsidR="0082586A" w:rsidRPr="00021DD2">
        <w:rPr>
          <w:rFonts w:cs="Arial"/>
        </w:rPr>
        <w:t>ACT</w:t>
      </w:r>
      <w:r w:rsidRPr="00021DD2">
        <w:rPr>
          <w:rFonts w:cs="Arial"/>
        </w:rPr>
        <w:t>. They advised that it is a priority for the Commonwealth Government to work collaboratively with states and territories to identify practical actions to help achieve their targets and reduce Indigenous offending, victimisation and incarceration.</w:t>
      </w:r>
    </w:p>
    <w:p w:rsidR="00F43E1D" w:rsidRPr="00021DD2" w:rsidRDefault="00F43E1D" w:rsidP="00F43E1D">
      <w:pPr>
        <w:rPr>
          <w:rFonts w:cs="Arial"/>
        </w:rPr>
      </w:pPr>
      <w:r w:rsidRPr="00021DD2">
        <w:rPr>
          <w:rFonts w:cs="Arial"/>
        </w:rPr>
        <w:t>According to the Ministers’ advi</w:t>
      </w:r>
      <w:r w:rsidR="005E1A28">
        <w:rPr>
          <w:rFonts w:cs="Arial"/>
        </w:rPr>
        <w:t>ce, the Commonwealth Government’</w:t>
      </w:r>
      <w:r w:rsidRPr="00021DD2">
        <w:rPr>
          <w:rFonts w:cs="Arial"/>
        </w:rPr>
        <w:t>s focus is ‘firmly on investing in activities at the local level to tackle the drivers of offending, victimisation and incarceration for Aboriginal and Torres Strait Islander peoples, including alcohol and drug misuse, low parenting skills and poor educational an</w:t>
      </w:r>
      <w:r w:rsidR="008C2BFB">
        <w:rPr>
          <w:rFonts w:cs="Arial"/>
        </w:rPr>
        <w:t>d employment outcomes’. In 2017–</w:t>
      </w:r>
      <w:r w:rsidRPr="00021DD2">
        <w:rPr>
          <w:rFonts w:cs="Arial"/>
        </w:rPr>
        <w:t xml:space="preserve">18, approximately $264 million is available through the </w:t>
      </w:r>
      <w:r w:rsidR="008C2BFB">
        <w:rPr>
          <w:rFonts w:cs="Arial"/>
        </w:rPr>
        <w:t>Indigenous Advancement Strategy’</w:t>
      </w:r>
      <w:r w:rsidRPr="00021DD2">
        <w:rPr>
          <w:rFonts w:cs="Arial"/>
        </w:rPr>
        <w:t>s Safety and Wellbeing Programme for activities which aim to:</w:t>
      </w:r>
    </w:p>
    <w:p w:rsidR="00F43E1D" w:rsidRPr="00021DD2" w:rsidRDefault="00F43E1D" w:rsidP="00B934D7">
      <w:pPr>
        <w:pStyle w:val="Paragrafoelenco"/>
        <w:numPr>
          <w:ilvl w:val="0"/>
          <w:numId w:val="27"/>
        </w:numPr>
        <w:jc w:val="left"/>
      </w:pPr>
      <w:r w:rsidRPr="00021DD2">
        <w:t>prevent young people from engaging in offending or antisocial behaviour and divert them away from the justice system</w:t>
      </w:r>
    </w:p>
    <w:p w:rsidR="00F43E1D" w:rsidRPr="00021DD2" w:rsidRDefault="00F43E1D" w:rsidP="00B934D7">
      <w:pPr>
        <w:pStyle w:val="Paragrafoelenco"/>
        <w:numPr>
          <w:ilvl w:val="0"/>
          <w:numId w:val="27"/>
        </w:numPr>
        <w:jc w:val="left"/>
      </w:pPr>
      <w:r w:rsidRPr="00021DD2">
        <w:t>change offending and antisocial behaviour, including intensive support for people exiting detention</w:t>
      </w:r>
    </w:p>
    <w:p w:rsidR="00F43E1D" w:rsidRPr="00021DD2" w:rsidRDefault="00F43E1D" w:rsidP="00B934D7">
      <w:pPr>
        <w:pStyle w:val="Paragrafoelenco"/>
        <w:numPr>
          <w:ilvl w:val="0"/>
          <w:numId w:val="27"/>
        </w:numPr>
        <w:jc w:val="left"/>
      </w:pPr>
      <w:r w:rsidRPr="00021DD2">
        <w:t>reduce alcohol and substance misuse</w:t>
      </w:r>
    </w:p>
    <w:p w:rsidR="00F43E1D" w:rsidRPr="00021DD2" w:rsidRDefault="00F43E1D" w:rsidP="00B934D7">
      <w:pPr>
        <w:pStyle w:val="Paragrafoelenco"/>
        <w:numPr>
          <w:ilvl w:val="0"/>
          <w:numId w:val="27"/>
        </w:numPr>
        <w:jc w:val="left"/>
      </w:pPr>
      <w:r w:rsidRPr="00021DD2">
        <w:t>improve social and emotional wellbeing through connection to culture and community.</w:t>
      </w:r>
    </w:p>
    <w:p w:rsidR="00F43E1D" w:rsidRPr="00021DD2" w:rsidRDefault="00F43E1D" w:rsidP="00F43E1D">
      <w:pPr>
        <w:autoSpaceDE w:val="0"/>
        <w:autoSpaceDN w:val="0"/>
        <w:adjustRightInd w:val="0"/>
        <w:spacing w:before="0" w:after="0"/>
        <w:rPr>
          <w:rFonts w:cs="Arial"/>
        </w:rPr>
      </w:pPr>
      <w:r w:rsidRPr="00021DD2">
        <w:rPr>
          <w:rFonts w:cs="Arial"/>
        </w:rPr>
        <w:t>The Minister for Indigenous Affairs reported that the Commonwealth is also working closely with state and territory governments and Indigenous communities to implem</w:t>
      </w:r>
      <w:r w:rsidR="008C2BFB">
        <w:rPr>
          <w:rFonts w:cs="Arial"/>
        </w:rPr>
        <w:t>ent actions in response to COAG’</w:t>
      </w:r>
      <w:r w:rsidRPr="00021DD2">
        <w:rPr>
          <w:rFonts w:cs="Arial"/>
        </w:rPr>
        <w:t xml:space="preserve">s </w:t>
      </w:r>
      <w:r w:rsidRPr="00021DD2">
        <w:rPr>
          <w:rFonts w:cs="Arial"/>
          <w:i/>
        </w:rPr>
        <w:t>Prison to Work Report</w:t>
      </w:r>
      <w:r w:rsidRPr="00021DD2">
        <w:rPr>
          <w:rFonts w:cs="Arial"/>
        </w:rPr>
        <w:t xml:space="preserve"> and break the cycle of recidivism, </w:t>
      </w:r>
      <w:r w:rsidR="008C2BFB">
        <w:rPr>
          <w:rFonts w:cs="Arial"/>
        </w:rPr>
        <w:t>by supporting Aboriginal and Torr</w:t>
      </w:r>
      <w:r w:rsidRPr="00021DD2">
        <w:rPr>
          <w:rFonts w:cs="Arial"/>
        </w:rPr>
        <w:t>es Strait Islander people exiting prison into jobs.</w:t>
      </w:r>
    </w:p>
    <w:p w:rsidR="00F43E1D" w:rsidRPr="00021DD2" w:rsidRDefault="00F43E1D" w:rsidP="00F43E1D">
      <w:pPr>
        <w:rPr>
          <w:rFonts w:cs="Arial"/>
          <w:sz w:val="22"/>
          <w:szCs w:val="22"/>
        </w:rPr>
      </w:pPr>
      <w:r w:rsidRPr="00021DD2">
        <w:rPr>
          <w:rFonts w:cs="Arial"/>
        </w:rPr>
        <w:t xml:space="preserve">The Minister for Indigenous Health reported that a cross-portfolio working group, led by the Department of Health, was established in early 2017 to develop approaches to address the social and cultural determinants of Indigenous health and prepare recommendations for the Commonwealth to consider. This work will inform the next iteration of the Implementation Plan </w:t>
      </w:r>
      <w:r w:rsidR="008C2BFB">
        <w:rPr>
          <w:rFonts w:cs="Arial"/>
        </w:rPr>
        <w:t>of</w:t>
      </w:r>
      <w:r w:rsidRPr="00021DD2">
        <w:rPr>
          <w:rFonts w:cs="Arial"/>
        </w:rPr>
        <w:t xml:space="preserve"> the National Aboriginal and Torres Strait Islander Health Plan, due in 2018. </w:t>
      </w:r>
    </w:p>
    <w:tbl>
      <w:tblPr>
        <w:tblStyle w:val="Grigliatabella"/>
        <w:tblW w:w="0" w:type="auto"/>
        <w:shd w:val="clear" w:color="auto" w:fill="D5DCE4" w:themeFill="text2" w:themeFillTint="33"/>
        <w:tblCellMar>
          <w:left w:w="284" w:type="dxa"/>
          <w:right w:w="284" w:type="dxa"/>
        </w:tblCellMar>
        <w:tblLook w:val="04A0" w:firstRow="1" w:lastRow="0" w:firstColumn="1" w:lastColumn="0" w:noHBand="0" w:noVBand="1"/>
      </w:tblPr>
      <w:tblGrid>
        <w:gridCol w:w="9060"/>
      </w:tblGrid>
      <w:tr w:rsidR="00F43E1D" w:rsidRPr="00021DD2" w:rsidTr="004A7140">
        <w:tc>
          <w:tcPr>
            <w:tcW w:w="9060" w:type="dxa"/>
            <w:shd w:val="clear" w:color="auto" w:fill="auto"/>
          </w:tcPr>
          <w:p w:rsidR="00F43E1D" w:rsidRPr="00021DD2" w:rsidRDefault="00F43E1D" w:rsidP="007811D8">
            <w:pPr>
              <w:rPr>
                <w:rFonts w:cs="Arial"/>
                <w:b/>
              </w:rPr>
            </w:pPr>
            <w:r w:rsidRPr="00021DD2">
              <w:rPr>
                <w:rFonts w:cs="Arial"/>
                <w:b/>
              </w:rPr>
              <w:t xml:space="preserve">Recommendation 12: </w:t>
            </w:r>
            <w:r w:rsidRPr="00021DD2">
              <w:rPr>
                <w:rFonts w:cs="Arial"/>
              </w:rPr>
              <w:t>That mandatory sentencing for children and young people should be discontinued in all jurisdictions that are currently using it.</w:t>
            </w:r>
          </w:p>
        </w:tc>
      </w:tr>
    </w:tbl>
    <w:p w:rsidR="00F43E1D" w:rsidRDefault="00F43E1D" w:rsidP="00F43E1D">
      <w:pPr>
        <w:rPr>
          <w:rFonts w:cs="Arial"/>
        </w:rPr>
      </w:pPr>
      <w:r w:rsidRPr="00021DD2">
        <w:rPr>
          <w:rFonts w:cs="Arial"/>
        </w:rPr>
        <w:t xml:space="preserve">The </w:t>
      </w:r>
      <w:r w:rsidR="0082586A" w:rsidRPr="00021DD2">
        <w:rPr>
          <w:rFonts w:cs="Arial"/>
          <w:b/>
        </w:rPr>
        <w:t>NT</w:t>
      </w:r>
      <w:r w:rsidRPr="00021DD2">
        <w:rPr>
          <w:rFonts w:cs="Arial"/>
          <w:b/>
        </w:rPr>
        <w:t xml:space="preserve"> Government</w:t>
      </w:r>
      <w:r w:rsidRPr="00021DD2">
        <w:rPr>
          <w:rFonts w:cs="Arial"/>
        </w:rPr>
        <w:t xml:space="preserve"> advised me that it is actively working towards implementing this recommendation, including options for the repeal of all mandatory sentencing provisions in </w:t>
      </w:r>
      <w:r w:rsidR="0082586A" w:rsidRPr="00021DD2">
        <w:rPr>
          <w:rFonts w:cs="Arial"/>
        </w:rPr>
        <w:t>NT</w:t>
      </w:r>
      <w:r w:rsidRPr="00021DD2">
        <w:rPr>
          <w:rFonts w:cs="Arial"/>
        </w:rPr>
        <w:t xml:space="preserve"> legislation.</w:t>
      </w:r>
    </w:p>
    <w:p w:rsidR="00E8391D" w:rsidRDefault="00E8391D">
      <w:pPr>
        <w:keepLines w:val="0"/>
        <w:spacing w:before="0" w:after="0"/>
        <w:rPr>
          <w:rFonts w:cs="Arial"/>
        </w:rPr>
      </w:pPr>
      <w:r>
        <w:rPr>
          <w:rFonts w:cs="Arial"/>
        </w:rPr>
        <w:br w:type="page"/>
      </w:r>
    </w:p>
    <w:p w:rsidR="000B0677" w:rsidRPr="00992A44" w:rsidRDefault="000B0677" w:rsidP="007811D8">
      <w:pPr>
        <w:pStyle w:val="Titolo3"/>
        <w:rPr>
          <w:rFonts w:cs="Arial"/>
        </w:rPr>
      </w:pPr>
      <w:bookmarkStart w:id="48" w:name="_Toc500308767"/>
      <w:r w:rsidRPr="00021DD2">
        <w:rPr>
          <w:rFonts w:cs="Arial"/>
        </w:rPr>
        <w:t xml:space="preserve">Recommendations made in the </w:t>
      </w:r>
      <w:r w:rsidRPr="00992A44">
        <w:rPr>
          <w:rFonts w:cs="Arial"/>
        </w:rPr>
        <w:t>Children’s Rights Report 2015</w:t>
      </w:r>
      <w:bookmarkEnd w:id="48"/>
    </w:p>
    <w:tbl>
      <w:tblPr>
        <w:tblStyle w:val="Grigliatabella"/>
        <w:tblW w:w="0" w:type="auto"/>
        <w:shd w:val="clear" w:color="auto" w:fill="D5DCE4" w:themeFill="text2" w:themeFillTint="33"/>
        <w:tblCellMar>
          <w:left w:w="284" w:type="dxa"/>
          <w:right w:w="284" w:type="dxa"/>
        </w:tblCellMar>
        <w:tblLook w:val="04A0" w:firstRow="1" w:lastRow="0" w:firstColumn="1" w:lastColumn="0" w:noHBand="0" w:noVBand="1"/>
      </w:tblPr>
      <w:tblGrid>
        <w:gridCol w:w="9060"/>
      </w:tblGrid>
      <w:tr w:rsidR="000B0677" w:rsidRPr="00021DD2" w:rsidTr="00465D05">
        <w:tc>
          <w:tcPr>
            <w:tcW w:w="9060" w:type="dxa"/>
            <w:shd w:val="clear" w:color="auto" w:fill="auto"/>
          </w:tcPr>
          <w:p w:rsidR="0090766A" w:rsidRPr="00CB694C" w:rsidRDefault="000B0677" w:rsidP="007811D8">
            <w:pPr>
              <w:rPr>
                <w:rFonts w:cs="Arial"/>
                <w:b/>
              </w:rPr>
            </w:pPr>
            <w:r w:rsidRPr="00021DD2">
              <w:rPr>
                <w:rFonts w:cs="Arial"/>
                <w:b/>
              </w:rPr>
              <w:t>Recommendation 4</w:t>
            </w:r>
            <w:r w:rsidR="0082586A" w:rsidRPr="00021DD2">
              <w:rPr>
                <w:rFonts w:cs="Arial"/>
                <w:b/>
              </w:rPr>
              <w:t>:</w:t>
            </w:r>
          </w:p>
          <w:p w:rsidR="000B0677" w:rsidRPr="00021DD2" w:rsidRDefault="000B0677" w:rsidP="007811D8">
            <w:pPr>
              <w:rPr>
                <w:rFonts w:cs="Arial"/>
              </w:rPr>
            </w:pPr>
            <w:r w:rsidRPr="00021DD2">
              <w:rPr>
                <w:rFonts w:cs="Arial"/>
              </w:rPr>
              <w:t>Data about a child’s experience as a victim of family and domestic violence should be recorded as a separate entry in the Australian Bureau of Statistics National Data Collection and Reporting Framework, and not just part of an adult entry.</w:t>
            </w:r>
          </w:p>
        </w:tc>
      </w:tr>
    </w:tbl>
    <w:p w:rsidR="000B0677" w:rsidRPr="00021DD2" w:rsidRDefault="000B0677" w:rsidP="000B0677">
      <w:pPr>
        <w:rPr>
          <w:rFonts w:cs="Arial"/>
        </w:rPr>
      </w:pPr>
      <w:r w:rsidRPr="00021DD2">
        <w:rPr>
          <w:rFonts w:cs="Arial"/>
        </w:rPr>
        <w:t xml:space="preserve">The </w:t>
      </w:r>
      <w:r w:rsidRPr="00021DD2">
        <w:rPr>
          <w:rFonts w:cs="Arial"/>
          <w:b/>
        </w:rPr>
        <w:t>ABS</w:t>
      </w:r>
      <w:r w:rsidRPr="00021DD2">
        <w:rPr>
          <w:rFonts w:cs="Arial"/>
        </w:rPr>
        <w:t xml:space="preserve"> and the </w:t>
      </w:r>
      <w:r w:rsidRPr="00021DD2">
        <w:rPr>
          <w:rFonts w:cs="Arial"/>
          <w:b/>
        </w:rPr>
        <w:t xml:space="preserve">Treasurer </w:t>
      </w:r>
      <w:r w:rsidRPr="00021DD2">
        <w:rPr>
          <w:rFonts w:cs="Arial"/>
        </w:rPr>
        <w:t xml:space="preserve">reported that, under the National Data Collection and Reporting Framework (DCRF), information about a </w:t>
      </w:r>
      <w:r w:rsidR="008C2BFB">
        <w:rPr>
          <w:rFonts w:cs="Arial"/>
        </w:rPr>
        <w:t>child’</w:t>
      </w:r>
      <w:r w:rsidRPr="00021DD2">
        <w:rPr>
          <w:rFonts w:cs="Arial"/>
        </w:rPr>
        <w:t xml:space="preserve">s experience of family and domestic violence can be recorded where a child is a victim in their own right. Child victims </w:t>
      </w:r>
      <w:r w:rsidR="008C2BFB">
        <w:rPr>
          <w:rFonts w:cs="Arial"/>
        </w:rPr>
        <w:t>can then be identified via the ‘Date of birth’</w:t>
      </w:r>
      <w:r w:rsidRPr="00021DD2">
        <w:rPr>
          <w:rFonts w:cs="Arial"/>
        </w:rPr>
        <w:t xml:space="preserve"> data item. Any future reviews of the DCRF by the ABS will consider whether the need to create a separate record for a child victim should be explicitly stated in the DCRF.</w:t>
      </w:r>
    </w:p>
    <w:p w:rsidR="000B0677" w:rsidRPr="00021DD2" w:rsidRDefault="000B0677" w:rsidP="000B0677">
      <w:pPr>
        <w:rPr>
          <w:rFonts w:cs="Arial"/>
        </w:rPr>
      </w:pPr>
      <w:r w:rsidRPr="00021DD2">
        <w:rPr>
          <w:rFonts w:cs="Arial"/>
        </w:rPr>
        <w:t xml:space="preserve">The </w:t>
      </w:r>
      <w:r w:rsidRPr="00021DD2">
        <w:rPr>
          <w:rFonts w:cs="Arial"/>
          <w:b/>
        </w:rPr>
        <w:t>Minister for Social Services, the Hon Christian Porter MP</w:t>
      </w:r>
      <w:r w:rsidRPr="00021DD2">
        <w:rPr>
          <w:rFonts w:cs="Arial"/>
        </w:rPr>
        <w:t xml:space="preserve">, advised me that </w:t>
      </w:r>
      <w:r w:rsidR="0082586A" w:rsidRPr="00021DD2">
        <w:rPr>
          <w:rFonts w:cs="Arial"/>
        </w:rPr>
        <w:t xml:space="preserve">the </w:t>
      </w:r>
      <w:r w:rsidRPr="00021DD2">
        <w:rPr>
          <w:rFonts w:cs="Arial"/>
        </w:rPr>
        <w:t>ABS’s DCRF does not collect data; rather, it should be viewed as a guide for organisations to improve current data capture and recording practices. When fully implemented by 2022, the DCRF will support consistent monitoring and reporting of family, domestic and sexual violence in Australia by organisations and governments. Data users will be able to create demographic and economic profiles, see family relationships, the types of violence and frequency of events, as well as look at resulting outcomes including court proceedings, need for medical treatment or use of services.</w:t>
      </w:r>
    </w:p>
    <w:p w:rsidR="000B0677" w:rsidRPr="00021DD2" w:rsidRDefault="000B0677" w:rsidP="000B0677">
      <w:pPr>
        <w:rPr>
          <w:rFonts w:cs="Arial"/>
        </w:rPr>
      </w:pPr>
      <w:r w:rsidRPr="00021DD2">
        <w:rPr>
          <w:rFonts w:cs="Arial"/>
        </w:rPr>
        <w:t xml:space="preserve">In addition, the ABS has developed a directory of family and domestic violence statistics (Cat. No. 4533.0). This directory contains a number of datasets that include information about a child’s experience as a victim of family and domestic violence. The ABS is also working with police, courts and corrective services to add family, domestic and sexual violence flags to their datasets. </w:t>
      </w:r>
    </w:p>
    <w:p w:rsidR="000B0677" w:rsidRPr="00021DD2" w:rsidRDefault="000B0677" w:rsidP="000B0677">
      <w:pPr>
        <w:rPr>
          <w:rFonts w:cs="Arial"/>
        </w:rPr>
      </w:pPr>
      <w:r w:rsidRPr="00021DD2">
        <w:rPr>
          <w:rFonts w:cs="Arial"/>
        </w:rPr>
        <w:t>DSS is funding a number of other initiatives to improve our understanding of children’s experience of family violence. These include:</w:t>
      </w:r>
    </w:p>
    <w:p w:rsidR="000B0677" w:rsidRPr="00021DD2" w:rsidRDefault="000B0677" w:rsidP="00B934D7">
      <w:pPr>
        <w:pStyle w:val="Paragrafoelenco"/>
        <w:numPr>
          <w:ilvl w:val="0"/>
          <w:numId w:val="32"/>
        </w:numPr>
        <w:jc w:val="left"/>
      </w:pPr>
      <w:r w:rsidRPr="00021DD2">
        <w:t>the Personal Safety Survey</w:t>
      </w:r>
      <w:r w:rsidR="0082586A" w:rsidRPr="00021DD2">
        <w:t xml:space="preserve"> (PSS)</w:t>
      </w:r>
    </w:p>
    <w:p w:rsidR="000B0677" w:rsidRPr="00021DD2" w:rsidRDefault="000B0677" w:rsidP="00B934D7">
      <w:pPr>
        <w:pStyle w:val="Paragrafoelenco"/>
        <w:numPr>
          <w:ilvl w:val="0"/>
          <w:numId w:val="32"/>
        </w:numPr>
        <w:jc w:val="left"/>
      </w:pPr>
      <w:r w:rsidRPr="00021DD2">
        <w:t>the Australian Catholic University’s Institute of Child Protection Studies’ research into the experience of violence by Indigenous children</w:t>
      </w:r>
    </w:p>
    <w:p w:rsidR="000B0677" w:rsidRPr="00021DD2" w:rsidRDefault="000B0677" w:rsidP="00B934D7">
      <w:pPr>
        <w:pStyle w:val="Paragrafoelenco"/>
        <w:numPr>
          <w:ilvl w:val="0"/>
          <w:numId w:val="32"/>
        </w:numPr>
        <w:jc w:val="left"/>
      </w:pPr>
      <w:r w:rsidRPr="00021DD2">
        <w:t>work with the National Centre for Longitudinal Data to introduce family and domestic violence questions in Wave 8 of the Longitudinal Study of Australian Children</w:t>
      </w:r>
    </w:p>
    <w:p w:rsidR="000B0677" w:rsidRPr="00021DD2" w:rsidRDefault="000B0677" w:rsidP="00B934D7">
      <w:pPr>
        <w:pStyle w:val="Paragrafoelenco"/>
        <w:numPr>
          <w:ilvl w:val="0"/>
          <w:numId w:val="32"/>
        </w:numPr>
      </w:pPr>
      <w:r w:rsidRPr="00021DD2">
        <w:t xml:space="preserve">the </w:t>
      </w:r>
      <w:r w:rsidR="0082586A" w:rsidRPr="00021DD2">
        <w:t>AIHW’</w:t>
      </w:r>
      <w:r w:rsidRPr="00021DD2">
        <w:t xml:space="preserve">s development of a national minimum dataset on child protection. </w:t>
      </w:r>
    </w:p>
    <w:p w:rsidR="000B0677" w:rsidRPr="00021DD2" w:rsidRDefault="000B0677" w:rsidP="000B0677">
      <w:pPr>
        <w:rPr>
          <w:rFonts w:cs="Arial"/>
        </w:rPr>
      </w:pPr>
      <w:r w:rsidRPr="00021DD2">
        <w:rPr>
          <w:rFonts w:cs="Arial"/>
          <w:bCs/>
        </w:rPr>
        <w:t xml:space="preserve">In addition, the </w:t>
      </w:r>
      <w:r w:rsidRPr="00021DD2">
        <w:rPr>
          <w:rFonts w:cs="Arial"/>
          <w:b/>
        </w:rPr>
        <w:t>AIHW</w:t>
      </w:r>
      <w:r w:rsidRPr="00021DD2">
        <w:rPr>
          <w:rFonts w:cs="Arial"/>
        </w:rPr>
        <w:t xml:space="preserve"> </w:t>
      </w:r>
      <w:r w:rsidRPr="00021DD2">
        <w:rPr>
          <w:rFonts w:cs="Arial"/>
          <w:bCs/>
        </w:rPr>
        <w:t xml:space="preserve">have informed me that it is preparing the first ever national report on family and domestic violence. </w:t>
      </w:r>
      <w:r w:rsidRPr="00021DD2">
        <w:rPr>
          <w:rFonts w:cs="Arial"/>
        </w:rPr>
        <w:t>Its Family and Domestic Violence Project plan focuses on collating and reporting available data, understanding and documenting the degree of comparability, and outlining possible future data development and associated standard development work that could be useful. The current committed funding will enable, among other things, a compilation report of the most recent data, for release in December 2017 and December 2018, and progress on the addition of family, domestic and sexual violence flags to datasets for which the AIHW is the data custodian.</w:t>
      </w:r>
    </w:p>
    <w:p w:rsidR="000B0677" w:rsidRPr="00021DD2" w:rsidRDefault="000B0677" w:rsidP="000B0677">
      <w:pPr>
        <w:rPr>
          <w:rFonts w:cs="Arial"/>
          <w:lang w:eastAsia="en-US"/>
        </w:rPr>
      </w:pPr>
      <w:r w:rsidRPr="00021DD2">
        <w:rPr>
          <w:rFonts w:cs="Arial"/>
        </w:rPr>
        <w:t xml:space="preserve">The AIHW’s first report will include data available about children from the following sources/areas: </w:t>
      </w:r>
    </w:p>
    <w:p w:rsidR="000B0677" w:rsidRPr="00021DD2" w:rsidRDefault="0082586A" w:rsidP="00B934D7">
      <w:pPr>
        <w:pStyle w:val="Paragrafoelenco"/>
        <w:numPr>
          <w:ilvl w:val="0"/>
          <w:numId w:val="30"/>
        </w:numPr>
        <w:jc w:val="left"/>
      </w:pPr>
      <w:r w:rsidRPr="00021DD2">
        <w:t>family and domestic violence</w:t>
      </w:r>
      <w:r w:rsidR="000B0677" w:rsidRPr="00021DD2">
        <w:t xml:space="preserve"> and homelessness in children</w:t>
      </w:r>
    </w:p>
    <w:p w:rsidR="000B0677" w:rsidRPr="00021DD2" w:rsidRDefault="0082586A" w:rsidP="00B934D7">
      <w:pPr>
        <w:pStyle w:val="Paragrafoelenco"/>
        <w:numPr>
          <w:ilvl w:val="0"/>
          <w:numId w:val="30"/>
        </w:numPr>
        <w:jc w:val="left"/>
      </w:pPr>
      <w:r w:rsidRPr="00021DD2">
        <w:t>the ABS</w:t>
      </w:r>
      <w:r w:rsidR="000B0677" w:rsidRPr="00021DD2">
        <w:t xml:space="preserve"> Personal Safety Survey on the number of women who reported their children seeing or hearing domestic violence</w:t>
      </w:r>
    </w:p>
    <w:p w:rsidR="000B0677" w:rsidRPr="00021DD2" w:rsidRDefault="000B0677" w:rsidP="00B934D7">
      <w:pPr>
        <w:pStyle w:val="Paragrafoelenco"/>
        <w:numPr>
          <w:ilvl w:val="0"/>
          <w:numId w:val="30"/>
        </w:numPr>
        <w:jc w:val="left"/>
      </w:pPr>
      <w:r w:rsidRPr="00021DD2">
        <w:t>the PATRICIA project showing the number of children from three jurisdictions that have been reported to child protection authorities for domestic violence concerns</w:t>
      </w:r>
    </w:p>
    <w:p w:rsidR="000B0677" w:rsidRPr="00021DD2" w:rsidRDefault="0082586A" w:rsidP="00B934D7">
      <w:pPr>
        <w:pStyle w:val="Paragrafoelenco"/>
        <w:numPr>
          <w:ilvl w:val="0"/>
          <w:numId w:val="30"/>
        </w:numPr>
        <w:jc w:val="left"/>
      </w:pPr>
      <w:r w:rsidRPr="00021DD2">
        <w:t>c</w:t>
      </w:r>
      <w:r w:rsidR="000B0677" w:rsidRPr="00021DD2">
        <w:t>hild protection data on sexual abuse</w:t>
      </w:r>
    </w:p>
    <w:p w:rsidR="00992A44" w:rsidRPr="00021DD2" w:rsidRDefault="0082586A" w:rsidP="00992A44">
      <w:pPr>
        <w:pStyle w:val="Paragrafoelenco"/>
        <w:numPr>
          <w:ilvl w:val="0"/>
          <w:numId w:val="30"/>
        </w:numPr>
        <w:jc w:val="left"/>
      </w:pPr>
      <w:r w:rsidRPr="00021DD2">
        <w:t>t</w:t>
      </w:r>
      <w:r w:rsidR="000B0677" w:rsidRPr="00021DD2">
        <w:t>he limited domestic violence data from the various longitudinal surveys.</w:t>
      </w:r>
      <w:r w:rsidR="000F10F4">
        <w:t xml:space="preserve"> </w:t>
      </w:r>
    </w:p>
    <w:tbl>
      <w:tblPr>
        <w:tblStyle w:val="Grigliatabella"/>
        <w:tblW w:w="0" w:type="auto"/>
        <w:shd w:val="clear" w:color="auto" w:fill="D5DCE4" w:themeFill="text2" w:themeFillTint="33"/>
        <w:tblCellMar>
          <w:left w:w="284" w:type="dxa"/>
          <w:right w:w="284" w:type="dxa"/>
        </w:tblCellMar>
        <w:tblLook w:val="04A0" w:firstRow="1" w:lastRow="0" w:firstColumn="1" w:lastColumn="0" w:noHBand="0" w:noVBand="1"/>
      </w:tblPr>
      <w:tblGrid>
        <w:gridCol w:w="9060"/>
      </w:tblGrid>
      <w:tr w:rsidR="000B0677" w:rsidRPr="00021DD2" w:rsidTr="00465D05">
        <w:tc>
          <w:tcPr>
            <w:tcW w:w="9060" w:type="dxa"/>
            <w:shd w:val="clear" w:color="auto" w:fill="auto"/>
          </w:tcPr>
          <w:p w:rsidR="000B0677" w:rsidRPr="00021DD2" w:rsidRDefault="000B0677" w:rsidP="007811D8">
            <w:pPr>
              <w:rPr>
                <w:rFonts w:cs="Arial"/>
                <w:b/>
              </w:rPr>
            </w:pPr>
            <w:r w:rsidRPr="00021DD2">
              <w:rPr>
                <w:rFonts w:cs="Arial"/>
                <w:b/>
              </w:rPr>
              <w:t>Recommendation 6</w:t>
            </w:r>
            <w:r w:rsidR="0082586A" w:rsidRPr="00021DD2">
              <w:rPr>
                <w:rFonts w:cs="Arial"/>
                <w:b/>
              </w:rPr>
              <w:t>:</w:t>
            </w:r>
          </w:p>
          <w:p w:rsidR="000B0677" w:rsidRPr="00021DD2" w:rsidRDefault="000B0677" w:rsidP="007811D8">
            <w:pPr>
              <w:rPr>
                <w:rFonts w:cs="Arial"/>
              </w:rPr>
            </w:pPr>
            <w:r w:rsidRPr="00021DD2">
              <w:rPr>
                <w:rFonts w:cs="Arial"/>
              </w:rPr>
              <w:t>The Annual Progress Reports of the National Plan to Reduce Violence against Women and their Children should detail how the Australian Bureau of Statistics Personal Safety Survey is working towards surveying adequate sampling sizes across vulnerable groups.</w:t>
            </w:r>
          </w:p>
        </w:tc>
      </w:tr>
    </w:tbl>
    <w:p w:rsidR="000B0677" w:rsidRPr="00021DD2" w:rsidRDefault="000B0677" w:rsidP="000B0677">
      <w:pPr>
        <w:rPr>
          <w:rFonts w:cs="Arial"/>
        </w:rPr>
      </w:pPr>
      <w:r w:rsidRPr="00021DD2">
        <w:rPr>
          <w:rFonts w:cs="Arial"/>
        </w:rPr>
        <w:t xml:space="preserve">The </w:t>
      </w:r>
      <w:r w:rsidRPr="00021DD2">
        <w:rPr>
          <w:rFonts w:cs="Arial"/>
          <w:b/>
        </w:rPr>
        <w:t>ABS</w:t>
      </w:r>
      <w:r w:rsidRPr="00021DD2">
        <w:rPr>
          <w:rFonts w:cs="Arial"/>
        </w:rPr>
        <w:t xml:space="preserve"> advised that it is currently in the process of re-designing the current statistical collections, methodologies, products and services in order to deliver a more sustainable statistical program that extracts greater value from all available data. However, at this stage it is not known how this will affect the sample size for vulnerable groups</w:t>
      </w:r>
      <w:r w:rsidR="0082586A" w:rsidRPr="00021DD2">
        <w:rPr>
          <w:rFonts w:cs="Arial"/>
        </w:rPr>
        <w:t xml:space="preserve"> in the Personal Safety Survey.</w:t>
      </w:r>
    </w:p>
    <w:p w:rsidR="000B0677" w:rsidRPr="00021DD2" w:rsidRDefault="000B0677" w:rsidP="000B0677">
      <w:pPr>
        <w:rPr>
          <w:rFonts w:cs="Arial"/>
        </w:rPr>
      </w:pPr>
      <w:r w:rsidRPr="00021DD2">
        <w:rPr>
          <w:rFonts w:cs="Arial"/>
        </w:rPr>
        <w:t xml:space="preserve">The </w:t>
      </w:r>
      <w:r w:rsidRPr="00021DD2">
        <w:rPr>
          <w:rFonts w:cs="Arial"/>
          <w:b/>
        </w:rPr>
        <w:t xml:space="preserve">Treasurer </w:t>
      </w:r>
      <w:r w:rsidRPr="00021DD2">
        <w:rPr>
          <w:rFonts w:cs="Arial"/>
        </w:rPr>
        <w:t>and</w:t>
      </w:r>
      <w:r w:rsidR="0082586A" w:rsidRPr="00021DD2">
        <w:rPr>
          <w:rFonts w:cs="Arial"/>
        </w:rPr>
        <w:t xml:space="preserve"> the</w:t>
      </w:r>
      <w:r w:rsidRPr="00021DD2">
        <w:rPr>
          <w:rFonts w:cs="Arial"/>
          <w:b/>
        </w:rPr>
        <w:t xml:space="preserve"> ABS </w:t>
      </w:r>
      <w:r w:rsidRPr="00021DD2">
        <w:rPr>
          <w:rFonts w:cs="Arial"/>
        </w:rPr>
        <w:t xml:space="preserve">told me that, due to the sensitive nature of the content being collected in the PSS and the special procedures involved, it is difficult to collect data from vulnerable population groups. However, the PSS 2016 introduced new field procedures to better understand the characteristics of those not participating in the survey. Proxy interviews (interpreters or family members) have been implemented in special circumstances where respondents are unable to answer for themselves (eg those who have severe disabilities or language barriers). The proxy interview only covers compulsory components of the survey (eg language, education, disability status, health, employment, income). </w:t>
      </w:r>
    </w:p>
    <w:p w:rsidR="00CB694C" w:rsidRPr="00021DD2" w:rsidRDefault="000B0677" w:rsidP="000B0677">
      <w:pPr>
        <w:rPr>
          <w:rFonts w:cs="Arial"/>
        </w:rPr>
      </w:pPr>
      <w:r w:rsidRPr="00021DD2">
        <w:rPr>
          <w:rFonts w:cs="Arial"/>
        </w:rPr>
        <w:t>Furthermore, broad indicators of family and domestic violence for National and Aboriginal Torres Strait Islander population groups will be collected for the first time in the National Aboriginal and Torres Str</w:t>
      </w:r>
      <w:r w:rsidR="001C20CB">
        <w:rPr>
          <w:rFonts w:cs="Arial"/>
        </w:rPr>
        <w:t>ait Islander Health Survey 2018–</w:t>
      </w:r>
      <w:r w:rsidRPr="00021DD2">
        <w:rPr>
          <w:rFonts w:cs="Arial"/>
        </w:rPr>
        <w:t>19. The collection of this data is expected to address a data gap around experiences of violence amongst Aboriginal and Torres Strait Islander population groups which the PSS was previously unable to collect. This data is expected to be published in late 2019 to early 2020.</w:t>
      </w:r>
    </w:p>
    <w:tbl>
      <w:tblPr>
        <w:tblStyle w:val="Grigliatabella"/>
        <w:tblW w:w="0" w:type="auto"/>
        <w:tblCellMar>
          <w:left w:w="284" w:type="dxa"/>
          <w:right w:w="284" w:type="dxa"/>
        </w:tblCellMar>
        <w:tblLook w:val="04A0" w:firstRow="1" w:lastRow="0" w:firstColumn="1" w:lastColumn="0" w:noHBand="0" w:noVBand="1"/>
      </w:tblPr>
      <w:tblGrid>
        <w:gridCol w:w="9060"/>
      </w:tblGrid>
      <w:tr w:rsidR="000B0677" w:rsidRPr="00021DD2" w:rsidTr="005A7187">
        <w:tc>
          <w:tcPr>
            <w:tcW w:w="9060" w:type="dxa"/>
            <w:shd w:val="clear" w:color="auto" w:fill="auto"/>
          </w:tcPr>
          <w:p w:rsidR="000B0677" w:rsidRPr="00021DD2" w:rsidRDefault="000B0677" w:rsidP="007811D8">
            <w:pPr>
              <w:rPr>
                <w:rFonts w:cs="Arial"/>
                <w:b/>
              </w:rPr>
            </w:pPr>
            <w:r w:rsidRPr="00021DD2">
              <w:rPr>
                <w:rFonts w:cs="Arial"/>
                <w:b/>
              </w:rPr>
              <w:t>Recommendation 8</w:t>
            </w:r>
            <w:r w:rsidR="0082586A" w:rsidRPr="00021DD2">
              <w:rPr>
                <w:rFonts w:cs="Arial"/>
                <w:b/>
              </w:rPr>
              <w:t>:</w:t>
            </w:r>
            <w:r w:rsidRPr="00021DD2">
              <w:rPr>
                <w:rFonts w:cs="Arial"/>
                <w:b/>
              </w:rPr>
              <w:t xml:space="preserve"> </w:t>
            </w:r>
          </w:p>
          <w:p w:rsidR="000B0677" w:rsidRPr="00021DD2" w:rsidRDefault="000B0677" w:rsidP="007811D8">
            <w:pPr>
              <w:rPr>
                <w:rFonts w:cs="Arial"/>
              </w:rPr>
            </w:pPr>
            <w:r w:rsidRPr="00021DD2">
              <w:rPr>
                <w:rFonts w:cs="Arial"/>
              </w:rPr>
              <w:t>The data linkage study currently being conducted in the Northern Territory by Menzies School of Health Research (Improving the development outcome of Northern Territory children: a data linkage study to inform policy and practice in health, family services and education) is supported by the Australian Government Department of Social Services after its National Health and Medical Research Council grant expires in 2017.</w:t>
            </w:r>
          </w:p>
        </w:tc>
      </w:tr>
    </w:tbl>
    <w:p w:rsidR="00992A44" w:rsidRPr="00021DD2" w:rsidRDefault="000B0677" w:rsidP="000B0677">
      <w:pPr>
        <w:rPr>
          <w:rFonts w:cs="Arial"/>
        </w:rPr>
      </w:pPr>
      <w:r w:rsidRPr="00021DD2">
        <w:rPr>
          <w:rFonts w:cs="Arial"/>
        </w:rPr>
        <w:t xml:space="preserve">The </w:t>
      </w:r>
      <w:r w:rsidRPr="00021DD2">
        <w:rPr>
          <w:rFonts w:cs="Arial"/>
          <w:b/>
        </w:rPr>
        <w:t xml:space="preserve">Minister for Social Services, the Hon Christian Porter MP </w:t>
      </w:r>
      <w:r w:rsidRPr="00021DD2">
        <w:rPr>
          <w:rFonts w:cs="Arial"/>
        </w:rPr>
        <w:t xml:space="preserve">advised that the </w:t>
      </w:r>
      <w:r w:rsidR="00222305" w:rsidRPr="00021DD2">
        <w:rPr>
          <w:rFonts w:cs="Arial"/>
        </w:rPr>
        <w:t>DSS</w:t>
      </w:r>
      <w:r w:rsidRPr="00021DD2">
        <w:rPr>
          <w:rFonts w:cs="Arial"/>
        </w:rPr>
        <w:t xml:space="preserve"> has not received a request from the Menzies School of Health Research to support the data linkage study after the National Health and Medical Research Council grant expires. </w:t>
      </w:r>
    </w:p>
    <w:tbl>
      <w:tblPr>
        <w:tblStyle w:val="Grigliatabella"/>
        <w:tblW w:w="0" w:type="auto"/>
        <w:tblCellMar>
          <w:left w:w="284" w:type="dxa"/>
          <w:right w:w="284" w:type="dxa"/>
        </w:tblCellMar>
        <w:tblLook w:val="04A0" w:firstRow="1" w:lastRow="0" w:firstColumn="1" w:lastColumn="0" w:noHBand="0" w:noVBand="1"/>
      </w:tblPr>
      <w:tblGrid>
        <w:gridCol w:w="9060"/>
      </w:tblGrid>
      <w:tr w:rsidR="000B0677" w:rsidRPr="00021DD2" w:rsidTr="005A7187">
        <w:tc>
          <w:tcPr>
            <w:tcW w:w="9060" w:type="dxa"/>
            <w:shd w:val="clear" w:color="auto" w:fill="auto"/>
          </w:tcPr>
          <w:p w:rsidR="000B0677" w:rsidRPr="00021DD2" w:rsidRDefault="000B0677" w:rsidP="007811D8">
            <w:pPr>
              <w:rPr>
                <w:rFonts w:cs="Arial"/>
                <w:b/>
              </w:rPr>
            </w:pPr>
            <w:r w:rsidRPr="00021DD2">
              <w:rPr>
                <w:rFonts w:cs="Arial"/>
                <w:b/>
              </w:rPr>
              <w:t>Recommendation 9</w:t>
            </w:r>
            <w:r w:rsidR="00222305" w:rsidRPr="00021DD2">
              <w:rPr>
                <w:rFonts w:cs="Arial"/>
                <w:b/>
              </w:rPr>
              <w:t>:</w:t>
            </w:r>
            <w:r w:rsidRPr="00021DD2">
              <w:rPr>
                <w:rFonts w:cs="Arial"/>
                <w:b/>
              </w:rPr>
              <w:t xml:space="preserve"> </w:t>
            </w:r>
          </w:p>
          <w:p w:rsidR="000B0677" w:rsidRPr="00021DD2" w:rsidRDefault="000B0677" w:rsidP="007811D8">
            <w:pPr>
              <w:rPr>
                <w:rFonts w:cs="Arial"/>
              </w:rPr>
            </w:pPr>
            <w:r w:rsidRPr="00021DD2">
              <w:rPr>
                <w:rFonts w:cs="Arial"/>
              </w:rPr>
              <w:t>The Council of Australian Governments prioritise the development of a policy framework for responses to family and domestic violence affecting children.</w:t>
            </w:r>
          </w:p>
        </w:tc>
      </w:tr>
    </w:tbl>
    <w:p w:rsidR="000B0677" w:rsidRPr="00021DD2" w:rsidRDefault="000B0677" w:rsidP="000B0677">
      <w:pPr>
        <w:rPr>
          <w:rFonts w:cs="Arial"/>
        </w:rPr>
      </w:pPr>
      <w:r w:rsidRPr="00021DD2">
        <w:rPr>
          <w:rFonts w:cs="Arial"/>
        </w:rPr>
        <w:t xml:space="preserve">The </w:t>
      </w:r>
      <w:r w:rsidRPr="00021DD2">
        <w:rPr>
          <w:rFonts w:cs="Arial"/>
          <w:b/>
        </w:rPr>
        <w:t xml:space="preserve">Minister for Social Services, the Hon Christian Porter MP </w:t>
      </w:r>
      <w:r w:rsidRPr="00021DD2">
        <w:rPr>
          <w:rFonts w:cs="Arial"/>
        </w:rPr>
        <w:t>informed me that the Commonwealth considers that this recommendation is addressed through the National Plan. The Third Action Plan of the National Plan incorporates the Commonwealth’s policy framework on responses to family and domestic violence, including violence affecting children. The Third Action Plan includes a new priority area that focuses on responding to children living with violence. A Children and Parenting Working Group has been established to undertake research to inform policy and services responses to children and share best practices related to this new priority area.</w:t>
      </w:r>
    </w:p>
    <w:tbl>
      <w:tblPr>
        <w:tblStyle w:val="Grigliatabella"/>
        <w:tblW w:w="0" w:type="auto"/>
        <w:shd w:val="clear" w:color="auto" w:fill="D5DCE4" w:themeFill="text2" w:themeFillTint="33"/>
        <w:tblCellMar>
          <w:left w:w="284" w:type="dxa"/>
          <w:right w:w="284" w:type="dxa"/>
        </w:tblCellMar>
        <w:tblLook w:val="04A0" w:firstRow="1" w:lastRow="0" w:firstColumn="1" w:lastColumn="0" w:noHBand="0" w:noVBand="1"/>
      </w:tblPr>
      <w:tblGrid>
        <w:gridCol w:w="9060"/>
      </w:tblGrid>
      <w:tr w:rsidR="000B0677" w:rsidRPr="00021DD2" w:rsidTr="00B957F8">
        <w:tc>
          <w:tcPr>
            <w:tcW w:w="9060" w:type="dxa"/>
            <w:shd w:val="clear" w:color="auto" w:fill="auto"/>
          </w:tcPr>
          <w:p w:rsidR="000B0677" w:rsidRPr="00021DD2" w:rsidRDefault="000B0677" w:rsidP="007811D8">
            <w:pPr>
              <w:rPr>
                <w:rFonts w:cs="Arial"/>
                <w:b/>
              </w:rPr>
            </w:pPr>
            <w:r w:rsidRPr="00021DD2">
              <w:rPr>
                <w:rFonts w:cs="Arial"/>
                <w:b/>
              </w:rPr>
              <w:t>Recommendation 11</w:t>
            </w:r>
            <w:r w:rsidR="00222305" w:rsidRPr="00021DD2">
              <w:rPr>
                <w:rFonts w:cs="Arial"/>
                <w:b/>
              </w:rPr>
              <w:t>:</w:t>
            </w:r>
          </w:p>
          <w:p w:rsidR="000B0677" w:rsidRPr="00021DD2" w:rsidRDefault="000B0677" w:rsidP="007811D8">
            <w:pPr>
              <w:rPr>
                <w:rFonts w:cs="Arial"/>
              </w:rPr>
            </w:pPr>
            <w:r w:rsidRPr="00021DD2">
              <w:rPr>
                <w:rFonts w:cs="Arial"/>
              </w:rPr>
              <w:t>The Australian Bureau of Statistics Personal Safety Survey should extend its collection of information from men and women aged 18 years and over about their experien</w:t>
            </w:r>
            <w:r w:rsidR="001C20CB">
              <w:rPr>
                <w:rFonts w:cs="Arial"/>
              </w:rPr>
              <w:t>ces of abuse from the ages of 0–15 years to the ages of 0–</w:t>
            </w:r>
            <w:r w:rsidRPr="00021DD2">
              <w:rPr>
                <w:rFonts w:cs="Arial"/>
              </w:rPr>
              <w:t>17 years.</w:t>
            </w:r>
          </w:p>
        </w:tc>
      </w:tr>
    </w:tbl>
    <w:p w:rsidR="0090766A" w:rsidRDefault="000B0677" w:rsidP="000B0677">
      <w:pPr>
        <w:rPr>
          <w:rFonts w:cs="Arial"/>
        </w:rPr>
      </w:pPr>
      <w:r w:rsidRPr="00021DD2">
        <w:rPr>
          <w:rFonts w:cs="Arial"/>
        </w:rPr>
        <w:t>The</w:t>
      </w:r>
      <w:r w:rsidRPr="00021DD2">
        <w:rPr>
          <w:rFonts w:cs="Arial"/>
          <w:b/>
        </w:rPr>
        <w:t xml:space="preserve"> ABS</w:t>
      </w:r>
      <w:r w:rsidRPr="00021DD2">
        <w:rPr>
          <w:rFonts w:cs="Arial"/>
        </w:rPr>
        <w:t xml:space="preserve"> and the </w:t>
      </w:r>
      <w:r w:rsidRPr="00021DD2">
        <w:rPr>
          <w:rFonts w:cs="Arial"/>
          <w:b/>
        </w:rPr>
        <w:t>Treasurer</w:t>
      </w:r>
      <w:r w:rsidRPr="00021DD2">
        <w:rPr>
          <w:rFonts w:cs="Arial"/>
        </w:rPr>
        <w:t xml:space="preserve"> reported that the PSS 2016, which is due for release later this year, collected information from women and men aged 18 years and over about their experience of violence since the age of 15. It also collected some information from the same respondents about their first experiences of sexual and physical abuse before the age of 15. Data were captured about men and women who experienced physical and sexual assault at the ages of 15, 16 and 17. </w:t>
      </w:r>
      <w:r w:rsidR="00222305" w:rsidRPr="00021DD2">
        <w:rPr>
          <w:rFonts w:cs="Arial"/>
        </w:rPr>
        <w:t>I</w:t>
      </w:r>
      <w:r w:rsidRPr="00021DD2">
        <w:rPr>
          <w:rFonts w:cs="Arial"/>
        </w:rPr>
        <w:t>t was collected as</w:t>
      </w:r>
      <w:r w:rsidR="0090766A">
        <w:rPr>
          <w:rFonts w:cs="Arial"/>
        </w:rPr>
        <w:t xml:space="preserve"> part of the violence module. </w:t>
      </w:r>
    </w:p>
    <w:p w:rsidR="000B0677" w:rsidRPr="00021DD2" w:rsidRDefault="000B0677" w:rsidP="000B0677">
      <w:pPr>
        <w:rPr>
          <w:rFonts w:cs="Arial"/>
        </w:rPr>
      </w:pPr>
      <w:r w:rsidRPr="00021DD2">
        <w:rPr>
          <w:rFonts w:cs="Arial"/>
        </w:rPr>
        <w:t xml:space="preserve">Additionally, for PSS 2016, the following new data items relating to experiences of abuse were collected for the first time: </w:t>
      </w:r>
    </w:p>
    <w:p w:rsidR="000B0677" w:rsidRPr="00021DD2" w:rsidRDefault="00222305" w:rsidP="00B934D7">
      <w:pPr>
        <w:pStyle w:val="Paragrafoelenco"/>
        <w:numPr>
          <w:ilvl w:val="0"/>
          <w:numId w:val="29"/>
        </w:numPr>
        <w:jc w:val="left"/>
        <w:rPr>
          <w:rFonts w:eastAsia="Times New Roman"/>
        </w:rPr>
      </w:pPr>
      <w:r w:rsidRPr="00021DD2">
        <w:rPr>
          <w:rFonts w:eastAsia="Times New Roman"/>
        </w:rPr>
        <w:t>r</w:t>
      </w:r>
      <w:r w:rsidR="000B0677" w:rsidRPr="00021DD2">
        <w:rPr>
          <w:rFonts w:eastAsia="Times New Roman"/>
        </w:rPr>
        <w:t>elationship to all perpetrator(s) of physical and/or sexual abuse before age 15</w:t>
      </w:r>
    </w:p>
    <w:p w:rsidR="000B0677" w:rsidRPr="00021DD2" w:rsidRDefault="00222305" w:rsidP="00B934D7">
      <w:pPr>
        <w:pStyle w:val="Paragrafoelenco"/>
        <w:numPr>
          <w:ilvl w:val="0"/>
          <w:numId w:val="29"/>
        </w:numPr>
        <w:jc w:val="left"/>
        <w:rPr>
          <w:rFonts w:eastAsia="Times New Roman"/>
        </w:rPr>
      </w:pPr>
      <w:r w:rsidRPr="00021DD2">
        <w:rPr>
          <w:rFonts w:eastAsia="Times New Roman"/>
        </w:rPr>
        <w:t>w</w:t>
      </w:r>
      <w:r w:rsidR="000B0677" w:rsidRPr="00021DD2">
        <w:rPr>
          <w:rFonts w:eastAsia="Times New Roman"/>
        </w:rPr>
        <w:t xml:space="preserve">hether witnessed violence toward mother by a partner before age 15 </w:t>
      </w:r>
    </w:p>
    <w:p w:rsidR="000B0677" w:rsidRPr="00021DD2" w:rsidRDefault="00222305" w:rsidP="00B934D7">
      <w:pPr>
        <w:pStyle w:val="Paragrafoelenco"/>
        <w:numPr>
          <w:ilvl w:val="0"/>
          <w:numId w:val="29"/>
        </w:numPr>
        <w:jc w:val="left"/>
        <w:rPr>
          <w:rFonts w:eastAsia="Times New Roman"/>
        </w:rPr>
      </w:pPr>
      <w:r w:rsidRPr="00021DD2">
        <w:rPr>
          <w:rFonts w:eastAsia="Times New Roman"/>
        </w:rPr>
        <w:t>w</w:t>
      </w:r>
      <w:r w:rsidR="000B0677" w:rsidRPr="00021DD2">
        <w:rPr>
          <w:rFonts w:eastAsia="Times New Roman"/>
        </w:rPr>
        <w:t>hether witnessed violence towards father by a partner before age 15.</w:t>
      </w:r>
    </w:p>
    <w:p w:rsidR="00992A44" w:rsidRPr="00021DD2" w:rsidRDefault="000B0677" w:rsidP="000B0677">
      <w:pPr>
        <w:rPr>
          <w:rFonts w:cs="Arial"/>
        </w:rPr>
      </w:pPr>
      <w:r w:rsidRPr="00021DD2">
        <w:rPr>
          <w:rFonts w:cs="Arial"/>
        </w:rPr>
        <w:t xml:space="preserve">Development of the 2020 PSS will begin early </w:t>
      </w:r>
      <w:r w:rsidR="008C2BFB">
        <w:rPr>
          <w:rFonts w:cs="Arial"/>
        </w:rPr>
        <w:t>in 2018. T</w:t>
      </w:r>
      <w:r w:rsidRPr="00021DD2">
        <w:rPr>
          <w:rFonts w:cs="Arial"/>
        </w:rPr>
        <w:t>he ABS will take into consideration this recommendation when developing content for the next survey. This will need to be discussed with the Survey Advisory Group, as it would result in a conceptual change to the ‘Abuse before the age of 15’ module, and would have broad impacts to be considered for the key prevalence estimates for violence experienced since the age of 15</w:t>
      </w:r>
      <w:r w:rsidR="008C2BFB">
        <w:rPr>
          <w:rFonts w:cs="Arial"/>
        </w:rPr>
        <w:t>,</w:t>
      </w:r>
      <w:r w:rsidRPr="00021DD2">
        <w:rPr>
          <w:rFonts w:cs="Arial"/>
        </w:rPr>
        <w:t xml:space="preserve"> due to overlaps in age. </w:t>
      </w:r>
    </w:p>
    <w:tbl>
      <w:tblPr>
        <w:tblStyle w:val="Grigliatabella"/>
        <w:tblW w:w="0" w:type="auto"/>
        <w:shd w:val="clear" w:color="auto" w:fill="D5DCE4" w:themeFill="text2" w:themeFillTint="33"/>
        <w:tblCellMar>
          <w:left w:w="284" w:type="dxa"/>
          <w:right w:w="284" w:type="dxa"/>
        </w:tblCellMar>
        <w:tblLook w:val="04A0" w:firstRow="1" w:lastRow="0" w:firstColumn="1" w:lastColumn="0" w:noHBand="0" w:noVBand="1"/>
      </w:tblPr>
      <w:tblGrid>
        <w:gridCol w:w="9060"/>
      </w:tblGrid>
      <w:tr w:rsidR="000B0677" w:rsidRPr="00021DD2" w:rsidTr="00DE211E">
        <w:tc>
          <w:tcPr>
            <w:tcW w:w="9060" w:type="dxa"/>
            <w:shd w:val="clear" w:color="auto" w:fill="auto"/>
          </w:tcPr>
          <w:p w:rsidR="000B0677" w:rsidRPr="00021DD2" w:rsidRDefault="000B0677" w:rsidP="007811D8">
            <w:pPr>
              <w:rPr>
                <w:rFonts w:cs="Arial"/>
                <w:b/>
              </w:rPr>
            </w:pPr>
            <w:r w:rsidRPr="00021DD2">
              <w:rPr>
                <w:rFonts w:cs="Arial"/>
                <w:b/>
              </w:rPr>
              <w:t>Recommendation 13</w:t>
            </w:r>
            <w:r w:rsidR="00222305" w:rsidRPr="00021DD2">
              <w:rPr>
                <w:rFonts w:cs="Arial"/>
                <w:b/>
              </w:rPr>
              <w:t>:</w:t>
            </w:r>
          </w:p>
          <w:p w:rsidR="000B0677" w:rsidRPr="00021DD2" w:rsidRDefault="000B0677" w:rsidP="007811D8">
            <w:pPr>
              <w:rPr>
                <w:rFonts w:cs="Arial"/>
              </w:rPr>
            </w:pPr>
            <w:r w:rsidRPr="00021DD2">
              <w:rPr>
                <w:rFonts w:cs="Arial"/>
              </w:rPr>
              <w:t>Options for data collection on screening for family and domestic violence during pregnancy through the National Perinatal Data Collection are progressed by the Australian Institute of Health and Welfare.</w:t>
            </w:r>
          </w:p>
        </w:tc>
      </w:tr>
    </w:tbl>
    <w:p w:rsidR="000B0677" w:rsidRPr="00021DD2" w:rsidRDefault="000B0677" w:rsidP="000B0677">
      <w:pPr>
        <w:rPr>
          <w:rFonts w:cs="Arial"/>
          <w:sz w:val="22"/>
          <w:szCs w:val="22"/>
        </w:rPr>
      </w:pPr>
      <w:r w:rsidRPr="00021DD2">
        <w:rPr>
          <w:rFonts w:cs="Arial"/>
        </w:rPr>
        <w:t xml:space="preserve">In the </w:t>
      </w:r>
      <w:r w:rsidRPr="00021DD2">
        <w:rPr>
          <w:rFonts w:cs="Arial"/>
          <w:i/>
        </w:rPr>
        <w:t>Children’s Rights Report 2016</w:t>
      </w:r>
      <w:r w:rsidRPr="00021DD2">
        <w:rPr>
          <w:rFonts w:cs="Arial"/>
        </w:rPr>
        <w:t>, I reported on the work being done by the AIHW on the</w:t>
      </w:r>
      <w:r w:rsidRPr="00021DD2">
        <w:rPr>
          <w:rFonts w:cs="Arial"/>
          <w:b/>
        </w:rPr>
        <w:t xml:space="preserve"> </w:t>
      </w:r>
      <w:r w:rsidRPr="00021DD2">
        <w:rPr>
          <w:rFonts w:cs="Arial"/>
        </w:rPr>
        <w:t>National Maternal Data Development Project.</w:t>
      </w:r>
      <w:r w:rsidRPr="00021DD2">
        <w:rPr>
          <w:rFonts w:cs="Arial"/>
          <w:sz w:val="22"/>
          <w:szCs w:val="22"/>
        </w:rPr>
        <w:t xml:space="preserve"> </w:t>
      </w:r>
      <w:r w:rsidRPr="00021DD2">
        <w:rPr>
          <w:rFonts w:cs="Arial"/>
        </w:rPr>
        <w:t>The</w:t>
      </w:r>
      <w:r w:rsidRPr="00021DD2">
        <w:rPr>
          <w:rFonts w:cs="Arial"/>
          <w:b/>
        </w:rPr>
        <w:t xml:space="preserve"> Department of Health </w:t>
      </w:r>
      <w:r w:rsidRPr="00021DD2">
        <w:rPr>
          <w:rFonts w:cs="Arial"/>
        </w:rPr>
        <w:t>advised me that discussions with jurisdictions are ongoing to build on work already undertaken in this area and to determine the feasibility of collecting data on the proposed three domestic violence indicators:</w:t>
      </w:r>
    </w:p>
    <w:p w:rsidR="000B0677" w:rsidRPr="00021DD2" w:rsidRDefault="000B0677" w:rsidP="00B934D7">
      <w:pPr>
        <w:pStyle w:val="Paragrafoelenco"/>
        <w:numPr>
          <w:ilvl w:val="0"/>
          <w:numId w:val="31"/>
        </w:numPr>
        <w:spacing w:before="0" w:after="0"/>
        <w:jc w:val="left"/>
      </w:pPr>
      <w:r w:rsidRPr="00021DD2">
        <w:t>a screening indicator to indicate whether screening was conducted</w:t>
      </w:r>
    </w:p>
    <w:p w:rsidR="000B0677" w:rsidRPr="00021DD2" w:rsidRDefault="000B0677" w:rsidP="00B934D7">
      <w:pPr>
        <w:pStyle w:val="Paragrafoelenco"/>
        <w:numPr>
          <w:ilvl w:val="0"/>
          <w:numId w:val="31"/>
        </w:numPr>
        <w:spacing w:before="0" w:after="0"/>
        <w:jc w:val="left"/>
      </w:pPr>
      <w:r w:rsidRPr="00021DD2">
        <w:t xml:space="preserve">a disclosure </w:t>
      </w:r>
      <w:r w:rsidR="00222305" w:rsidRPr="00021DD2">
        <w:t>indicator to indicate whether domestic violence</w:t>
      </w:r>
      <w:r w:rsidRPr="00021DD2">
        <w:t xml:space="preserve"> was disclosed</w:t>
      </w:r>
    </w:p>
    <w:p w:rsidR="000B0677" w:rsidRPr="00021DD2" w:rsidRDefault="000B0677" w:rsidP="00B934D7">
      <w:pPr>
        <w:pStyle w:val="Paragrafoelenco"/>
        <w:numPr>
          <w:ilvl w:val="0"/>
          <w:numId w:val="31"/>
        </w:numPr>
        <w:spacing w:before="0" w:after="0"/>
        <w:jc w:val="left"/>
      </w:pPr>
      <w:r w:rsidRPr="00021DD2">
        <w:t>an item to capture whether additio</w:t>
      </w:r>
      <w:r w:rsidR="00222305" w:rsidRPr="00021DD2">
        <w:t>nal follow-up was indicated if domestic violence</w:t>
      </w:r>
      <w:r w:rsidRPr="00021DD2">
        <w:t xml:space="preserve"> is disclosed</w:t>
      </w:r>
      <w:r w:rsidRPr="00021DD2">
        <w:rPr>
          <w:lang w:val="en"/>
        </w:rPr>
        <w:t>.</w:t>
      </w:r>
    </w:p>
    <w:p w:rsidR="000B0677" w:rsidRPr="00DE211E" w:rsidRDefault="000B0677" w:rsidP="007811D8">
      <w:pPr>
        <w:pStyle w:val="Titolo3"/>
        <w:rPr>
          <w:rFonts w:cs="Arial"/>
        </w:rPr>
      </w:pPr>
      <w:bookmarkStart w:id="49" w:name="_Toc500308768"/>
      <w:r w:rsidRPr="00021DD2">
        <w:rPr>
          <w:rFonts w:cs="Arial"/>
        </w:rPr>
        <w:t xml:space="preserve">Recommendations made in the </w:t>
      </w:r>
      <w:r w:rsidRPr="00DE211E">
        <w:rPr>
          <w:rFonts w:cs="Arial"/>
        </w:rPr>
        <w:t>Children’s Rights Report 2014</w:t>
      </w:r>
      <w:bookmarkEnd w:id="49"/>
    </w:p>
    <w:tbl>
      <w:tblPr>
        <w:tblStyle w:val="Grigliatabella"/>
        <w:tblW w:w="0" w:type="auto"/>
        <w:shd w:val="clear" w:color="auto" w:fill="D5DCE4" w:themeFill="text2" w:themeFillTint="33"/>
        <w:tblCellMar>
          <w:left w:w="284" w:type="dxa"/>
          <w:bottom w:w="284" w:type="dxa"/>
          <w:right w:w="284" w:type="dxa"/>
        </w:tblCellMar>
        <w:tblLook w:val="04A0" w:firstRow="1" w:lastRow="0" w:firstColumn="1" w:lastColumn="0" w:noHBand="0" w:noVBand="1"/>
      </w:tblPr>
      <w:tblGrid>
        <w:gridCol w:w="9060"/>
      </w:tblGrid>
      <w:tr w:rsidR="000B0677" w:rsidRPr="00021DD2" w:rsidTr="006E3FD3">
        <w:tc>
          <w:tcPr>
            <w:tcW w:w="9060" w:type="dxa"/>
            <w:shd w:val="clear" w:color="auto" w:fill="auto"/>
          </w:tcPr>
          <w:p w:rsidR="000B0677" w:rsidRPr="00021DD2" w:rsidRDefault="000B0677" w:rsidP="007811D8">
            <w:pPr>
              <w:rPr>
                <w:rFonts w:cs="Arial"/>
                <w:b/>
              </w:rPr>
            </w:pPr>
            <w:r w:rsidRPr="00021DD2">
              <w:rPr>
                <w:rFonts w:cs="Arial"/>
                <w:b/>
              </w:rPr>
              <w:t>Recommendation 1</w:t>
            </w:r>
            <w:r w:rsidR="00222305" w:rsidRPr="00021DD2">
              <w:rPr>
                <w:rFonts w:cs="Arial"/>
                <w:b/>
              </w:rPr>
              <w:t>:</w:t>
            </w:r>
          </w:p>
          <w:p w:rsidR="000B0677" w:rsidRPr="00021DD2" w:rsidRDefault="000B0677" w:rsidP="007811D8">
            <w:pPr>
              <w:spacing w:before="0" w:after="0"/>
              <w:rPr>
                <w:rFonts w:cs="Arial"/>
              </w:rPr>
            </w:pPr>
            <w:r w:rsidRPr="00021DD2">
              <w:rPr>
                <w:rFonts w:cs="Arial"/>
              </w:rPr>
              <w:t>Establish a national research agenda for children and young people engaging in non-suicidal self-harm and suicidal behaviour through the new National Strategic Framework for Child and Youth Health. This should be supported by the soon to be established National Centre for Excellence in Youth Mental Health.</w:t>
            </w:r>
          </w:p>
        </w:tc>
      </w:tr>
    </w:tbl>
    <w:p w:rsidR="000B0677" w:rsidRPr="00021DD2" w:rsidRDefault="000B0677" w:rsidP="000B0677">
      <w:pPr>
        <w:rPr>
          <w:rFonts w:cs="Arial"/>
        </w:rPr>
      </w:pPr>
      <w:r w:rsidRPr="00021DD2">
        <w:rPr>
          <w:rFonts w:cs="Arial"/>
        </w:rPr>
        <w:t xml:space="preserve">The </w:t>
      </w:r>
      <w:r w:rsidRPr="00021DD2">
        <w:rPr>
          <w:rFonts w:cs="Arial"/>
          <w:b/>
        </w:rPr>
        <w:t>Department of Health</w:t>
      </w:r>
      <w:r w:rsidRPr="00021DD2">
        <w:rPr>
          <w:rFonts w:cs="Arial"/>
        </w:rPr>
        <w:t xml:space="preserve"> reported that, in line with the 2015 National Strategic Framework for Child and Youth Health, Orygen, </w:t>
      </w:r>
      <w:r w:rsidRPr="00021DD2">
        <w:rPr>
          <w:rFonts w:cs="Arial"/>
          <w:lang w:val="en"/>
        </w:rPr>
        <w:t xml:space="preserve">the National Centre of Excellence in Youth Mental Health, </w:t>
      </w:r>
      <w:r w:rsidRPr="00021DD2">
        <w:rPr>
          <w:rFonts w:cs="Arial"/>
        </w:rPr>
        <w:t xml:space="preserve">has developed a working draft of the </w:t>
      </w:r>
      <w:r w:rsidRPr="00021DD2">
        <w:rPr>
          <w:rFonts w:cs="Arial"/>
          <w:i/>
          <w:iCs/>
        </w:rPr>
        <w:t>National Research Priorities Framework</w:t>
      </w:r>
      <w:r w:rsidRPr="00021DD2">
        <w:rPr>
          <w:rFonts w:cs="Arial"/>
        </w:rPr>
        <w:t xml:space="preserve"> for youth mental health research in Australia for ongoing review and revision. One of Orygen’s ongoing research programs covers suicide prevention. The program evaluates the efficacy, safety and acceptability of interventions specifically designed for at-risk young people. It also has a strong focus on in</w:t>
      </w:r>
      <w:r w:rsidR="00222305" w:rsidRPr="00021DD2">
        <w:rPr>
          <w:rFonts w:cs="Arial"/>
        </w:rPr>
        <w:t>forming and evaluating national</w:t>
      </w:r>
      <w:r w:rsidRPr="00021DD2">
        <w:rPr>
          <w:rFonts w:cs="Arial"/>
        </w:rPr>
        <w:t xml:space="preserve"> and state-based, suicide prevention policy.</w:t>
      </w:r>
      <w:r w:rsidR="000F10F4">
        <w:rPr>
          <w:rFonts w:cs="Arial"/>
        </w:rPr>
        <w:t xml:space="preserve"> </w:t>
      </w:r>
    </w:p>
    <w:p w:rsidR="000B0677" w:rsidRPr="00021DD2" w:rsidRDefault="000B0677" w:rsidP="000B0677">
      <w:pPr>
        <w:rPr>
          <w:rFonts w:cs="Arial"/>
        </w:rPr>
      </w:pPr>
      <w:r w:rsidRPr="00021DD2">
        <w:rPr>
          <w:rFonts w:cs="Arial"/>
          <w:lang w:val="en-US"/>
        </w:rPr>
        <w:t>The</w:t>
      </w:r>
      <w:r w:rsidRPr="00021DD2">
        <w:rPr>
          <w:rFonts w:cs="Arial"/>
          <w:b/>
          <w:lang w:val="en-US"/>
        </w:rPr>
        <w:t xml:space="preserve"> </w:t>
      </w:r>
      <w:r w:rsidRPr="00021DD2">
        <w:rPr>
          <w:rFonts w:cs="Arial"/>
          <w:lang w:val="en-US"/>
        </w:rPr>
        <w:t xml:space="preserve">Department of Health advised that, since June 2016, the Australian Government has invested in a range of national suicide prevention leadership and support activities that specifically target those who may be at high risk of suicide. </w:t>
      </w:r>
      <w:r w:rsidRPr="00021DD2">
        <w:rPr>
          <w:rFonts w:cs="Arial"/>
        </w:rPr>
        <w:t>The investment includes funding for:</w:t>
      </w:r>
    </w:p>
    <w:p w:rsidR="000B0677" w:rsidRPr="00021DD2" w:rsidRDefault="000B0677" w:rsidP="00B934D7">
      <w:pPr>
        <w:pStyle w:val="Paragrafoelenco"/>
        <w:numPr>
          <w:ilvl w:val="0"/>
          <w:numId w:val="34"/>
        </w:numPr>
        <w:jc w:val="left"/>
      </w:pPr>
      <w:r w:rsidRPr="00021DD2">
        <w:t xml:space="preserve">12 suicide prevention trials that will bring together the best evidence-based strategies and models to better target people at risk of suicide </w:t>
      </w:r>
    </w:p>
    <w:p w:rsidR="000B0677" w:rsidRPr="00021DD2" w:rsidRDefault="000B0677" w:rsidP="00B934D7">
      <w:pPr>
        <w:pStyle w:val="Paragrafoelenco"/>
        <w:numPr>
          <w:ilvl w:val="0"/>
          <w:numId w:val="34"/>
        </w:numPr>
        <w:jc w:val="left"/>
      </w:pPr>
      <w:r w:rsidRPr="00021DD2">
        <w:t>a National Suicide Prevention Leadership Support Program that will support a range of projects including suicide prevention research and anti-stigma and awareness campaigns and front line support services</w:t>
      </w:r>
    </w:p>
    <w:p w:rsidR="000B0677" w:rsidRPr="00021DD2" w:rsidRDefault="000B0677" w:rsidP="00B934D7">
      <w:pPr>
        <w:pStyle w:val="Paragrafoelenco"/>
        <w:numPr>
          <w:ilvl w:val="0"/>
          <w:numId w:val="34"/>
        </w:numPr>
        <w:jc w:val="left"/>
      </w:pPr>
      <w:r w:rsidRPr="00021DD2">
        <w:rPr>
          <w:lang w:val="en-US"/>
        </w:rPr>
        <w:t>a Suicide Prevention Research Fund.</w:t>
      </w:r>
    </w:p>
    <w:tbl>
      <w:tblPr>
        <w:tblStyle w:val="Grigliatabella"/>
        <w:tblW w:w="0" w:type="auto"/>
        <w:shd w:val="clear" w:color="auto" w:fill="D5DCE4" w:themeFill="text2" w:themeFillTint="33"/>
        <w:tblCellMar>
          <w:left w:w="284" w:type="dxa"/>
          <w:bottom w:w="284" w:type="dxa"/>
          <w:right w:w="284" w:type="dxa"/>
        </w:tblCellMar>
        <w:tblLook w:val="04A0" w:firstRow="1" w:lastRow="0" w:firstColumn="1" w:lastColumn="0" w:noHBand="0" w:noVBand="1"/>
      </w:tblPr>
      <w:tblGrid>
        <w:gridCol w:w="9060"/>
      </w:tblGrid>
      <w:tr w:rsidR="000B0677" w:rsidRPr="00021DD2" w:rsidTr="006E3FD3">
        <w:tc>
          <w:tcPr>
            <w:tcW w:w="9060" w:type="dxa"/>
            <w:shd w:val="clear" w:color="auto" w:fill="auto"/>
          </w:tcPr>
          <w:p w:rsidR="000B0677" w:rsidRPr="00021DD2" w:rsidRDefault="000B0677" w:rsidP="007811D8">
            <w:pPr>
              <w:rPr>
                <w:rFonts w:cs="Arial"/>
                <w:b/>
              </w:rPr>
            </w:pPr>
            <w:r w:rsidRPr="00021DD2">
              <w:rPr>
                <w:rFonts w:cs="Arial"/>
                <w:b/>
              </w:rPr>
              <w:t>Recommendation 2</w:t>
            </w:r>
            <w:r w:rsidR="00222305" w:rsidRPr="00021DD2">
              <w:rPr>
                <w:rFonts w:cs="Arial"/>
                <w:b/>
              </w:rPr>
              <w:t>:</w:t>
            </w:r>
          </w:p>
          <w:p w:rsidR="000B0677" w:rsidRPr="00021DD2" w:rsidRDefault="000B0677" w:rsidP="00DE211E">
            <w:r w:rsidRPr="00021DD2">
              <w:t>Strengthen and develop surveillance of intentional self-harm, with or without suicidal intent, through:</w:t>
            </w:r>
          </w:p>
          <w:p w:rsidR="000B0677" w:rsidRPr="00DE211E" w:rsidRDefault="000B0677" w:rsidP="00B934D7">
            <w:pPr>
              <w:widowControl w:val="0"/>
              <w:numPr>
                <w:ilvl w:val="1"/>
                <w:numId w:val="33"/>
              </w:numPr>
              <w:spacing w:before="0" w:after="200"/>
              <w:ind w:left="1083" w:hanging="357"/>
              <w:rPr>
                <w:rFonts w:cs="Arial"/>
              </w:rPr>
            </w:pPr>
            <w:r w:rsidRPr="00021DD2">
              <w:rPr>
                <w:rFonts w:cs="Arial"/>
              </w:rPr>
              <w:t>The Australian Government funding an annual report on deaths due to intentional self-harm involving children and young people aged 0</w:t>
            </w:r>
            <w:r w:rsidR="001C20CB">
              <w:rPr>
                <w:rFonts w:cs="Arial"/>
              </w:rPr>
              <w:t>–</w:t>
            </w:r>
            <w:r w:rsidRPr="00021DD2">
              <w:rPr>
                <w:rFonts w:cs="Arial"/>
              </w:rPr>
              <w:t>17 years using the agreement reached between the Australian Bureau of Statistics; the Registrars of Births, Deaths and Marriages; and state and territory coroners on the dissemination of unit record data.</w:t>
            </w:r>
          </w:p>
          <w:p w:rsidR="000B0677" w:rsidRPr="00DE211E" w:rsidRDefault="000B0677" w:rsidP="00B934D7">
            <w:pPr>
              <w:widowControl w:val="0"/>
              <w:numPr>
                <w:ilvl w:val="1"/>
                <w:numId w:val="33"/>
              </w:numPr>
              <w:spacing w:before="0" w:after="200"/>
              <w:ind w:left="1083" w:hanging="357"/>
              <w:rPr>
                <w:rFonts w:cs="Arial"/>
                <w:lang w:val="en-US"/>
              </w:rPr>
            </w:pPr>
            <w:r w:rsidRPr="00021DD2">
              <w:rPr>
                <w:rFonts w:cs="Arial"/>
              </w:rPr>
              <w:t>The Australian Institute of Health and Welfare including a section using disaggregated data about hospitalisations for intentional self-harm involving c</w:t>
            </w:r>
            <w:r w:rsidR="001C20CB">
              <w:rPr>
                <w:rFonts w:cs="Arial"/>
              </w:rPr>
              <w:t>hildren and young people aged 0–</w:t>
            </w:r>
            <w:r w:rsidRPr="00021DD2">
              <w:rPr>
                <w:rFonts w:cs="Arial"/>
              </w:rPr>
              <w:t xml:space="preserve">17 years in its </w:t>
            </w:r>
            <w:r w:rsidRPr="00021DD2">
              <w:rPr>
                <w:rFonts w:cs="Arial"/>
                <w:lang w:val="en-US"/>
              </w:rPr>
              <w:t>regular series on hospitalisations for injury and poisoning in Australia.</w:t>
            </w:r>
            <w:r w:rsidRPr="00021DD2">
              <w:rPr>
                <w:rFonts w:cs="Arial"/>
              </w:rPr>
              <w:t xml:space="preserve"> </w:t>
            </w:r>
          </w:p>
          <w:p w:rsidR="000B0677" w:rsidRPr="006E3FD3" w:rsidRDefault="000B0677" w:rsidP="007811D8">
            <w:pPr>
              <w:widowControl w:val="0"/>
              <w:numPr>
                <w:ilvl w:val="1"/>
                <w:numId w:val="33"/>
              </w:numPr>
              <w:spacing w:before="0" w:after="60"/>
              <w:ind w:hanging="357"/>
              <w:rPr>
                <w:rFonts w:cs="Arial"/>
                <w:lang w:val="en-US"/>
              </w:rPr>
            </w:pPr>
            <w:r w:rsidRPr="00021DD2">
              <w:rPr>
                <w:rFonts w:cs="Arial"/>
              </w:rPr>
              <w:t>The Australian and New Zealand Child Death Review and Prevention Group continuing its work in relation to the development of a national child death database, in conjunction with the Australian Institute of Health and Welfare, and providing an annual progress report.</w:t>
            </w:r>
          </w:p>
        </w:tc>
      </w:tr>
    </w:tbl>
    <w:p w:rsidR="000B0677" w:rsidRPr="00021DD2" w:rsidRDefault="000B0677" w:rsidP="000B0677">
      <w:pPr>
        <w:rPr>
          <w:rFonts w:cs="Arial"/>
        </w:rPr>
      </w:pPr>
      <w:r w:rsidRPr="00021DD2">
        <w:rPr>
          <w:rFonts w:cs="Arial"/>
        </w:rPr>
        <w:t xml:space="preserve">The </w:t>
      </w:r>
      <w:r w:rsidRPr="00021DD2">
        <w:rPr>
          <w:rFonts w:cs="Arial"/>
          <w:b/>
        </w:rPr>
        <w:t>ABS</w:t>
      </w:r>
      <w:r w:rsidRPr="00021DD2">
        <w:rPr>
          <w:rFonts w:cs="Arial"/>
        </w:rPr>
        <w:t xml:space="preserve"> reported that there has not been specific Australian Government funding set aside for an annual report on deaths due to intentional self-harm involving children and young people. However, the ABS produced a short paper on intentional self-harm as part of the 2016 release of </w:t>
      </w:r>
      <w:r w:rsidRPr="00021DD2">
        <w:rPr>
          <w:rFonts w:cs="Arial"/>
          <w:i/>
        </w:rPr>
        <w:t>Causes of Death, Australia</w:t>
      </w:r>
      <w:r w:rsidRPr="00021DD2">
        <w:rPr>
          <w:rFonts w:cs="Arial"/>
        </w:rPr>
        <w:t>, 2015.</w:t>
      </w:r>
      <w:r w:rsidRPr="00021DD2">
        <w:rPr>
          <w:rStyle w:val="Rimandonotadichiusura"/>
          <w:rFonts w:cs="Arial"/>
        </w:rPr>
        <w:endnoteReference w:id="78"/>
      </w:r>
      <w:r w:rsidRPr="00021DD2">
        <w:rPr>
          <w:rFonts w:cs="Arial"/>
        </w:rPr>
        <w:t xml:space="preserve"> This paper includes a section on suicide deaths of children. It is expected that the next release of the Causes of Death publication will have updated information on this topic.</w:t>
      </w:r>
    </w:p>
    <w:p w:rsidR="000B0677" w:rsidRPr="00021DD2" w:rsidRDefault="000B0677" w:rsidP="000B0677">
      <w:pPr>
        <w:rPr>
          <w:rFonts w:cs="Arial"/>
        </w:rPr>
      </w:pPr>
      <w:r w:rsidRPr="00021DD2">
        <w:rPr>
          <w:rFonts w:cs="Arial"/>
        </w:rPr>
        <w:t xml:space="preserve">Important work is being conducted by the </w:t>
      </w:r>
      <w:r w:rsidRPr="00021DD2">
        <w:rPr>
          <w:rFonts w:cs="Arial"/>
          <w:b/>
        </w:rPr>
        <w:t>National Committee for Standardised Reporting of</w:t>
      </w:r>
      <w:r w:rsidR="00222305" w:rsidRPr="00021DD2">
        <w:rPr>
          <w:rFonts w:cs="Arial"/>
          <w:b/>
        </w:rPr>
        <w:t xml:space="preserve"> Suicide</w:t>
      </w:r>
      <w:r w:rsidRPr="00021DD2">
        <w:rPr>
          <w:rFonts w:cs="Arial"/>
        </w:rPr>
        <w:t>,</w:t>
      </w:r>
      <w:r w:rsidRPr="00021DD2">
        <w:rPr>
          <w:rFonts w:cs="Arial"/>
          <w:b/>
        </w:rPr>
        <w:t xml:space="preserve"> </w:t>
      </w:r>
      <w:r w:rsidRPr="00021DD2">
        <w:rPr>
          <w:rFonts w:cs="Arial"/>
        </w:rPr>
        <w:t xml:space="preserve">which is seeking to develop a National Minimum Data Set for suicide. This work is being led by </w:t>
      </w:r>
      <w:r w:rsidRPr="00021DD2">
        <w:rPr>
          <w:rFonts w:cs="Arial"/>
          <w:b/>
        </w:rPr>
        <w:t xml:space="preserve">Suicide Prevention Australia </w:t>
      </w:r>
      <w:r w:rsidRPr="00021DD2">
        <w:rPr>
          <w:rFonts w:cs="Arial"/>
        </w:rPr>
        <w:t xml:space="preserve">with the ABS, AIHW and the National Coronial Information System providing guidance and support. </w:t>
      </w:r>
    </w:p>
    <w:p w:rsidR="000B0677" w:rsidRPr="00021DD2" w:rsidRDefault="000B0677" w:rsidP="000B0677">
      <w:pPr>
        <w:rPr>
          <w:rFonts w:cs="Arial"/>
        </w:rPr>
      </w:pPr>
      <w:r w:rsidRPr="00021DD2">
        <w:rPr>
          <w:rFonts w:cs="Arial"/>
          <w:b/>
        </w:rPr>
        <w:t>SPA</w:t>
      </w:r>
      <w:r w:rsidRPr="00021DD2">
        <w:rPr>
          <w:rFonts w:cs="Arial"/>
        </w:rPr>
        <w:t xml:space="preserve"> </w:t>
      </w:r>
      <w:r w:rsidR="008C2BFB">
        <w:rPr>
          <w:rFonts w:cs="Arial"/>
        </w:rPr>
        <w:t>advised</w:t>
      </w:r>
      <w:r w:rsidRPr="00021DD2">
        <w:rPr>
          <w:rFonts w:cs="Arial"/>
        </w:rPr>
        <w:t xml:space="preserve"> that this data set is still in development and will be made available to states which have yet to establish their own suicide registries. This work will also examine opportunities and barriers to capturing suicide attempt data. Currently there is no mechanism for collecting such data.</w:t>
      </w:r>
    </w:p>
    <w:p w:rsidR="000B0677" w:rsidRPr="00021DD2" w:rsidRDefault="000B0677" w:rsidP="000B0677">
      <w:pPr>
        <w:rPr>
          <w:rFonts w:cs="Arial"/>
        </w:rPr>
      </w:pPr>
      <w:r w:rsidRPr="00021DD2">
        <w:rPr>
          <w:rFonts w:cs="Arial"/>
        </w:rPr>
        <w:t xml:space="preserve">The </w:t>
      </w:r>
      <w:r w:rsidRPr="00021DD2">
        <w:rPr>
          <w:rFonts w:cs="Arial"/>
          <w:b/>
        </w:rPr>
        <w:t xml:space="preserve">Australian and New Zealand Child Death Review and Prevention Group </w:t>
      </w:r>
      <w:r w:rsidRPr="00021DD2">
        <w:rPr>
          <w:rFonts w:cs="Arial"/>
        </w:rPr>
        <w:t xml:space="preserve">reported that it has continued its discussions about the best ways to monitor, compare and analyse information about child deaths nationally, but is still examining the legislative complexities associated with sharing data across jurisdictions, and the practicalities of effectively comparing different data sets. The surveillance of intentional self-harm with or without suicidal intent has not been raised as part of these discussions. The </w:t>
      </w:r>
      <w:r w:rsidR="00222305" w:rsidRPr="00021DD2">
        <w:rPr>
          <w:rFonts w:cs="Arial"/>
        </w:rPr>
        <w:t>AIHW</w:t>
      </w:r>
      <w:r w:rsidRPr="00021DD2">
        <w:rPr>
          <w:rFonts w:cs="Arial"/>
        </w:rPr>
        <w:t xml:space="preserve"> continues to provide expert advice to the group.</w:t>
      </w:r>
      <w:r w:rsidR="000F10F4">
        <w:rPr>
          <w:rFonts w:cs="Arial"/>
        </w:rPr>
        <w:t xml:space="preserve"> </w:t>
      </w:r>
    </w:p>
    <w:p w:rsidR="000B0677" w:rsidRPr="00021DD2" w:rsidRDefault="000B0677" w:rsidP="000B0677">
      <w:pPr>
        <w:rPr>
          <w:rFonts w:cs="Arial"/>
        </w:rPr>
      </w:pPr>
      <w:r w:rsidRPr="00021DD2">
        <w:rPr>
          <w:rFonts w:cs="Arial"/>
        </w:rPr>
        <w:t xml:space="preserve">However, the majority of states and territories in Australia report annually on the deaths of children and young people that have been attributed to suicide. Some comparative statistics about these deaths </w:t>
      </w:r>
      <w:r w:rsidR="0006249D">
        <w:rPr>
          <w:rFonts w:cs="Arial"/>
        </w:rPr>
        <w:t>are also published in the Ql</w:t>
      </w:r>
      <w:r w:rsidRPr="00021DD2">
        <w:rPr>
          <w:rFonts w:cs="Arial"/>
        </w:rPr>
        <w:t>d Family and Child Commission’s Annual Report.</w:t>
      </w:r>
    </w:p>
    <w:p w:rsidR="000B0677" w:rsidRPr="00021DD2" w:rsidRDefault="000B0677" w:rsidP="000B0677">
      <w:pPr>
        <w:rPr>
          <w:rFonts w:cs="Arial"/>
        </w:rPr>
      </w:pPr>
      <w:r w:rsidRPr="00021DD2">
        <w:rPr>
          <w:rFonts w:cs="Arial"/>
        </w:rPr>
        <w:t xml:space="preserve">I am concerned that information about the nature and prevalence of self-harm collected through hospitals is not readily available. I understand that responsibility for such data holding rests with Primary Health Networks. I will take up the issue of access to regular nationally consistent information on self-harm among children with the Health Minister to ensure that responsibility for this data collection is given to </w:t>
      </w:r>
      <w:r w:rsidR="00222305" w:rsidRPr="00021DD2">
        <w:rPr>
          <w:rFonts w:cs="Arial"/>
        </w:rPr>
        <w:t xml:space="preserve">the </w:t>
      </w:r>
      <w:r w:rsidRPr="00021DD2">
        <w:rPr>
          <w:rFonts w:cs="Arial"/>
        </w:rPr>
        <w:t xml:space="preserve">AIHW, as recommended. </w:t>
      </w:r>
    </w:p>
    <w:tbl>
      <w:tblPr>
        <w:tblStyle w:val="Grigliatabella"/>
        <w:tblW w:w="0" w:type="auto"/>
        <w:shd w:val="clear" w:color="auto" w:fill="D5DCE4" w:themeFill="text2" w:themeFillTint="33"/>
        <w:tblCellMar>
          <w:left w:w="284" w:type="dxa"/>
          <w:bottom w:w="284" w:type="dxa"/>
          <w:right w:w="284" w:type="dxa"/>
        </w:tblCellMar>
        <w:tblLook w:val="04A0" w:firstRow="1" w:lastRow="0" w:firstColumn="1" w:lastColumn="0" w:noHBand="0" w:noVBand="1"/>
      </w:tblPr>
      <w:tblGrid>
        <w:gridCol w:w="9060"/>
      </w:tblGrid>
      <w:tr w:rsidR="000B0677" w:rsidRPr="00021DD2" w:rsidTr="006E3FD3">
        <w:tc>
          <w:tcPr>
            <w:tcW w:w="9060" w:type="dxa"/>
            <w:shd w:val="clear" w:color="auto" w:fill="auto"/>
          </w:tcPr>
          <w:p w:rsidR="000B0677" w:rsidRPr="00021DD2" w:rsidRDefault="000B0677" w:rsidP="007811D8">
            <w:pPr>
              <w:rPr>
                <w:rFonts w:cs="Arial"/>
                <w:b/>
              </w:rPr>
            </w:pPr>
            <w:r w:rsidRPr="00021DD2">
              <w:rPr>
                <w:rFonts w:cs="Arial"/>
                <w:b/>
              </w:rPr>
              <w:t>Recommendation 3a</w:t>
            </w:r>
            <w:r w:rsidR="00222305" w:rsidRPr="00021DD2">
              <w:rPr>
                <w:rFonts w:cs="Arial"/>
                <w:b/>
              </w:rPr>
              <w:t>:</w:t>
            </w:r>
          </w:p>
          <w:p w:rsidR="000B0677" w:rsidRPr="006E3FD3" w:rsidRDefault="000B0677" w:rsidP="007811D8">
            <w:pPr>
              <w:widowControl w:val="0"/>
              <w:spacing w:before="0" w:after="60"/>
              <w:rPr>
                <w:rFonts w:cs="Arial"/>
              </w:rPr>
            </w:pPr>
            <w:r w:rsidRPr="00021DD2">
              <w:rPr>
                <w:rFonts w:cs="Arial"/>
              </w:rPr>
              <w:t>Collect national data on children and young people who die due to intentional self-harm through the use of the standardised National Police Form, in all jurisdictions, by 2015. This should include an electronic transfer to the National Coronial Information System. A plan to monitor the outcomes of all jurisdictions using the standardised National Police Form should be developed, and the possibility of incorporating a range of demographic, psychosocial and psychiatric information specific to children and young people should be investigated.</w:t>
            </w:r>
          </w:p>
        </w:tc>
      </w:tr>
    </w:tbl>
    <w:p w:rsidR="000B0677" w:rsidRPr="00021DD2" w:rsidRDefault="000B0677" w:rsidP="00DE211E">
      <w:r w:rsidRPr="00021DD2">
        <w:t xml:space="preserve">The </w:t>
      </w:r>
      <w:r w:rsidRPr="00021DD2">
        <w:rPr>
          <w:b/>
        </w:rPr>
        <w:t>National Coronial Information System (NCIS)</w:t>
      </w:r>
      <w:r w:rsidRPr="00021DD2">
        <w:t xml:space="preserve"> advised me that it has continued to be involved in facilitating and encouraging adoption of the National Police Form for Reporting a Death to a Coroner, by all Australian jurisdictions. The jurisdictions </w:t>
      </w:r>
      <w:r w:rsidR="008C2BFB">
        <w:t>that</w:t>
      </w:r>
      <w:r w:rsidRPr="00021DD2">
        <w:t xml:space="preserve"> are using a version of this national form as at 31 July 2017 are </w:t>
      </w:r>
      <w:r w:rsidR="00222305" w:rsidRPr="00021DD2">
        <w:t>ACT</w:t>
      </w:r>
      <w:r w:rsidRPr="00021DD2">
        <w:t xml:space="preserve">, </w:t>
      </w:r>
      <w:r w:rsidR="00222305" w:rsidRPr="00021DD2">
        <w:t>NSW</w:t>
      </w:r>
      <w:r w:rsidR="008C2BFB">
        <w:t>, Qld and Tas</w:t>
      </w:r>
      <w:r w:rsidR="00992BCB">
        <w:t>mania</w:t>
      </w:r>
      <w:r w:rsidRPr="00021DD2">
        <w:t xml:space="preserve">. This remains the same status as at 30 June 2016. </w:t>
      </w:r>
    </w:p>
    <w:p w:rsidR="000B0677" w:rsidRPr="00021DD2" w:rsidRDefault="000B0677" w:rsidP="000B0677">
      <w:pPr>
        <w:rPr>
          <w:rFonts w:cs="Arial"/>
        </w:rPr>
      </w:pPr>
      <w:r w:rsidRPr="00021DD2">
        <w:rPr>
          <w:rFonts w:cs="Arial"/>
        </w:rPr>
        <w:t xml:space="preserve">The NCIS </w:t>
      </w:r>
      <w:r w:rsidR="008C2BFB">
        <w:rPr>
          <w:rFonts w:cs="Arial"/>
        </w:rPr>
        <w:t>advised that</w:t>
      </w:r>
      <w:r w:rsidRPr="00021DD2">
        <w:rPr>
          <w:rFonts w:cs="Arial"/>
        </w:rPr>
        <w:t xml:space="preserve"> it has made recent enquiries and had initial discussions with coronial and police representatives about adopting the national police form for the n</w:t>
      </w:r>
      <w:r w:rsidR="008C2BFB">
        <w:rPr>
          <w:rFonts w:cs="Arial"/>
        </w:rPr>
        <w:t>otification of death in Vic</w:t>
      </w:r>
      <w:r w:rsidR="00E10C95">
        <w:rPr>
          <w:rFonts w:cs="Arial"/>
        </w:rPr>
        <w:t>toria</w:t>
      </w:r>
      <w:r w:rsidRPr="00021DD2">
        <w:rPr>
          <w:rFonts w:cs="Arial"/>
        </w:rPr>
        <w:t xml:space="preserve"> and </w:t>
      </w:r>
      <w:r w:rsidR="00222305" w:rsidRPr="00021DD2">
        <w:rPr>
          <w:rFonts w:cs="Arial"/>
        </w:rPr>
        <w:t>WA</w:t>
      </w:r>
      <w:r w:rsidRPr="00021DD2">
        <w:rPr>
          <w:rFonts w:cs="Arial"/>
        </w:rPr>
        <w:t>, but little measurable progress has been made. The NCIS will continue to liaise with jurisdictions which are not yet using this national form to encourage its adoption in full or in part.</w:t>
      </w:r>
    </w:p>
    <w:p w:rsidR="000B0677" w:rsidRPr="00021DD2" w:rsidRDefault="000B0677" w:rsidP="000B0677">
      <w:pPr>
        <w:rPr>
          <w:rFonts w:cs="Arial"/>
        </w:rPr>
      </w:pPr>
      <w:r w:rsidRPr="00021DD2">
        <w:rPr>
          <w:rFonts w:cs="Arial"/>
          <w:b/>
        </w:rPr>
        <w:t>SPA</w:t>
      </w:r>
      <w:r w:rsidR="008C2BFB">
        <w:rPr>
          <w:rFonts w:cs="Arial"/>
        </w:rPr>
        <w:t xml:space="preserve"> reported that the Ql</w:t>
      </w:r>
      <w:r w:rsidRPr="00021DD2">
        <w:rPr>
          <w:rFonts w:cs="Arial"/>
        </w:rPr>
        <w:t>d State Coroner and State Police Commissioner agreed that staff from</w:t>
      </w:r>
      <w:r w:rsidR="008C2BFB">
        <w:rPr>
          <w:rFonts w:cs="Arial"/>
        </w:rPr>
        <w:t xml:space="preserve"> the Coroners Court in Ql</w:t>
      </w:r>
      <w:r w:rsidRPr="00021DD2">
        <w:rPr>
          <w:rFonts w:cs="Arial"/>
        </w:rPr>
        <w:t>d will lead the development of a standard form</w:t>
      </w:r>
      <w:r w:rsidR="00222305" w:rsidRPr="00021DD2">
        <w:rPr>
          <w:rFonts w:cs="Arial"/>
        </w:rPr>
        <w:t>,</w:t>
      </w:r>
      <w:r w:rsidRPr="00021DD2">
        <w:rPr>
          <w:rFonts w:cs="Arial"/>
        </w:rPr>
        <w:t xml:space="preserve"> including assessing the acceptance of incorporating a range of demographic, psychosocial and psychiatric information specific to children and young people.</w:t>
      </w:r>
    </w:p>
    <w:p w:rsidR="000B0677" w:rsidRPr="00021DD2" w:rsidRDefault="000B0677" w:rsidP="000B0677">
      <w:pPr>
        <w:rPr>
          <w:rFonts w:cs="Arial"/>
        </w:rPr>
      </w:pPr>
      <w:r w:rsidRPr="00021DD2">
        <w:rPr>
          <w:rFonts w:cs="Arial"/>
        </w:rPr>
        <w:t>Consultation between police authorities around the country has taken place, as well as analysis of the forms in use to identify similarities, differences and opportunities for improvement. The next steps over 2017 will involve the development of an Options Paper to consider similarities across current forms as a basis for standardisation, and identify opportunities for greater consistency.</w:t>
      </w:r>
    </w:p>
    <w:tbl>
      <w:tblPr>
        <w:tblStyle w:val="Grigliatabella"/>
        <w:tblW w:w="0" w:type="auto"/>
        <w:shd w:val="clear" w:color="auto" w:fill="D5DCE4" w:themeFill="text2" w:themeFillTint="33"/>
        <w:tblCellMar>
          <w:left w:w="284" w:type="dxa"/>
          <w:right w:w="284" w:type="dxa"/>
        </w:tblCellMar>
        <w:tblLook w:val="04A0" w:firstRow="1" w:lastRow="0" w:firstColumn="1" w:lastColumn="0" w:noHBand="0" w:noVBand="1"/>
      </w:tblPr>
      <w:tblGrid>
        <w:gridCol w:w="9060"/>
      </w:tblGrid>
      <w:tr w:rsidR="000B0677" w:rsidRPr="00021DD2" w:rsidTr="00DE211E">
        <w:tc>
          <w:tcPr>
            <w:tcW w:w="9060" w:type="dxa"/>
            <w:shd w:val="clear" w:color="auto" w:fill="auto"/>
          </w:tcPr>
          <w:p w:rsidR="000B0677" w:rsidRPr="00021DD2" w:rsidRDefault="000B0677" w:rsidP="007811D8">
            <w:pPr>
              <w:rPr>
                <w:rFonts w:cs="Arial"/>
                <w:b/>
              </w:rPr>
            </w:pPr>
            <w:r w:rsidRPr="00021DD2">
              <w:rPr>
                <w:rFonts w:cs="Arial"/>
                <w:b/>
              </w:rPr>
              <w:t>Recommendation 3b</w:t>
            </w:r>
            <w:r w:rsidR="00222305" w:rsidRPr="00021DD2">
              <w:rPr>
                <w:rFonts w:cs="Arial"/>
                <w:b/>
              </w:rPr>
              <w:t>:</w:t>
            </w:r>
          </w:p>
          <w:p w:rsidR="000B0677" w:rsidRPr="00021DD2" w:rsidRDefault="000B0677" w:rsidP="007811D8">
            <w:pPr>
              <w:rPr>
                <w:rFonts w:cs="Arial"/>
              </w:rPr>
            </w:pPr>
            <w:r w:rsidRPr="00021DD2">
              <w:rPr>
                <w:rFonts w:cs="Arial"/>
              </w:rPr>
              <w:t>Collect national data on children and young people who die due to intentional self-harm through the Standing Council on Law, Crime and Community Safety putting the issue of standardisation of coronial legislation and/or coronial systems on its agenda. Standardisation should require that where all state and territory coroners find a death under investigation to be caused by an action of the deceased, the coroner must make a further finding of intent, based on the evidence, to clarify whether the deceased intended to take the action which caused his or her death; the deceased lacked capacity to recognise that his or her action would cause his or her death but death was a reasonably foreseeable consequence of the action; or it is not clear from the evidence whether the deceased intended to cause his or her death.</w:t>
            </w:r>
          </w:p>
        </w:tc>
      </w:tr>
    </w:tbl>
    <w:p w:rsidR="000B0677" w:rsidRPr="00021DD2" w:rsidRDefault="000B0677" w:rsidP="000B0677">
      <w:pPr>
        <w:rPr>
          <w:rFonts w:cs="Arial"/>
        </w:rPr>
      </w:pPr>
      <w:r w:rsidRPr="00021DD2">
        <w:rPr>
          <w:rFonts w:cs="Arial"/>
          <w:b/>
        </w:rPr>
        <w:t>SPA</w:t>
      </w:r>
      <w:r w:rsidRPr="00021DD2">
        <w:rPr>
          <w:rFonts w:cs="Arial"/>
        </w:rPr>
        <w:t xml:space="preserve"> advised that</w:t>
      </w:r>
      <w:r w:rsidR="00AB7604">
        <w:rPr>
          <w:rFonts w:cs="Arial"/>
        </w:rPr>
        <w:t>,</w:t>
      </w:r>
      <w:r w:rsidRPr="00021DD2">
        <w:rPr>
          <w:rFonts w:cs="Arial"/>
        </w:rPr>
        <w:t xml:space="preserve"> in late 2016</w:t>
      </w:r>
      <w:r w:rsidR="00AB7604">
        <w:rPr>
          <w:rFonts w:cs="Arial"/>
        </w:rPr>
        <w:t>,</w:t>
      </w:r>
      <w:r w:rsidRPr="00021DD2">
        <w:rPr>
          <w:rFonts w:cs="Arial"/>
        </w:rPr>
        <w:t xml:space="preserve"> the State Attorneys General considered a proposal from the National Coronial Information System to impr</w:t>
      </w:r>
      <w:r w:rsidR="00AB7604">
        <w:rPr>
          <w:rFonts w:cs="Arial"/>
        </w:rPr>
        <w:t>ove the legislative framework with</w:t>
      </w:r>
      <w:r w:rsidRPr="00021DD2">
        <w:rPr>
          <w:rFonts w:cs="Arial"/>
        </w:rPr>
        <w:t xml:space="preserve"> regard to reporting intent. However, </w:t>
      </w:r>
      <w:r w:rsidR="00AB7604">
        <w:rPr>
          <w:rFonts w:cs="Arial"/>
        </w:rPr>
        <w:t>they</w:t>
      </w:r>
      <w:r w:rsidRPr="00021DD2">
        <w:rPr>
          <w:rFonts w:cs="Arial"/>
        </w:rPr>
        <w:t xml:space="preserve"> did not </w:t>
      </w:r>
      <w:r w:rsidR="00AB7604">
        <w:rPr>
          <w:rFonts w:cs="Arial"/>
        </w:rPr>
        <w:t>support a</w:t>
      </w:r>
      <w:r w:rsidRPr="00021DD2">
        <w:rPr>
          <w:rFonts w:cs="Arial"/>
        </w:rPr>
        <w:t xml:space="preserve"> change</w:t>
      </w:r>
      <w:r w:rsidR="00AB7604">
        <w:rPr>
          <w:rFonts w:cs="Arial"/>
        </w:rPr>
        <w:t xml:space="preserve"> </w:t>
      </w:r>
      <w:r w:rsidRPr="00021DD2">
        <w:rPr>
          <w:rFonts w:cs="Arial"/>
        </w:rPr>
        <w:t>at this time. Subsequent discussion on a national guideline to assist in improving coronial reporting of intent has unfortunately not progressed either. State Coroners identified a need for further research to ascertain whether and to what extent the improvements in data reporting over the last ten years have addressed the issue.</w:t>
      </w:r>
    </w:p>
    <w:p w:rsidR="00DE211E" w:rsidRDefault="000B0677" w:rsidP="000B0677">
      <w:pPr>
        <w:rPr>
          <w:rFonts w:cs="Arial"/>
        </w:rPr>
      </w:pPr>
      <w:r w:rsidRPr="00021DD2">
        <w:rPr>
          <w:rFonts w:cs="Arial"/>
        </w:rPr>
        <w:t xml:space="preserve">The </w:t>
      </w:r>
      <w:r w:rsidRPr="00021DD2">
        <w:rPr>
          <w:rFonts w:cs="Arial"/>
          <w:b/>
        </w:rPr>
        <w:t>NCIS</w:t>
      </w:r>
      <w:r w:rsidRPr="00021DD2">
        <w:rPr>
          <w:rFonts w:cs="Arial"/>
        </w:rPr>
        <w:t xml:space="preserve"> advised that, in 2016, the Law, Crime and Community Safety Council considered and acknowledged the consultation by the NCIS on a legislative proposal arising from the Coronial Council of Victoria’s report, </w:t>
      </w:r>
      <w:r w:rsidRPr="00021DD2">
        <w:rPr>
          <w:rFonts w:cs="Arial"/>
          <w:i/>
        </w:rPr>
        <w:t xml:space="preserve">Suicide Reporting in the Coronial Jurisdiction </w:t>
      </w:r>
      <w:r w:rsidRPr="00021DD2">
        <w:rPr>
          <w:rFonts w:cs="Arial"/>
        </w:rPr>
        <w:t>(June 2014). However, no further actions have resulted for NCIS.</w:t>
      </w:r>
    </w:p>
    <w:p w:rsidR="0090766A" w:rsidRPr="00021DD2" w:rsidRDefault="00E201D2" w:rsidP="00E201D2">
      <w:pPr>
        <w:keepLines w:val="0"/>
        <w:spacing w:before="0" w:after="0"/>
        <w:rPr>
          <w:rFonts w:cs="Arial"/>
        </w:rPr>
      </w:pPr>
      <w:r>
        <w:rPr>
          <w:rFonts w:cs="Arial"/>
        </w:rPr>
        <w:br w:type="page"/>
      </w:r>
    </w:p>
    <w:p w:rsidR="000B0677" w:rsidRPr="00DE211E" w:rsidRDefault="000B0677" w:rsidP="009D1D8C">
      <w:pPr>
        <w:pStyle w:val="Titolo3"/>
        <w:rPr>
          <w:rFonts w:cs="Arial"/>
        </w:rPr>
      </w:pPr>
      <w:bookmarkStart w:id="50" w:name="_Toc464631623"/>
      <w:bookmarkStart w:id="51" w:name="_Toc464631843"/>
      <w:bookmarkStart w:id="52" w:name="_Toc464631997"/>
      <w:bookmarkStart w:id="53" w:name="_Toc464634933"/>
      <w:bookmarkStart w:id="54" w:name="_Toc464635137"/>
      <w:bookmarkStart w:id="55" w:name="_Toc464635354"/>
      <w:bookmarkStart w:id="56" w:name="_Toc464638164"/>
      <w:bookmarkStart w:id="57" w:name="_Toc468093635"/>
      <w:bookmarkStart w:id="58" w:name="_Toc500308769"/>
      <w:r w:rsidRPr="00021DD2">
        <w:rPr>
          <w:rFonts w:cs="Arial"/>
        </w:rPr>
        <w:t xml:space="preserve">Recommendations made in the </w:t>
      </w:r>
      <w:r w:rsidRPr="00DE211E">
        <w:rPr>
          <w:rFonts w:cs="Arial"/>
        </w:rPr>
        <w:t>Children’s Rights Report 2013</w:t>
      </w:r>
      <w:bookmarkEnd w:id="50"/>
      <w:bookmarkEnd w:id="51"/>
      <w:bookmarkEnd w:id="52"/>
      <w:bookmarkEnd w:id="53"/>
      <w:bookmarkEnd w:id="54"/>
      <w:bookmarkEnd w:id="55"/>
      <w:bookmarkEnd w:id="56"/>
      <w:bookmarkEnd w:id="57"/>
      <w:bookmarkEnd w:id="58"/>
    </w:p>
    <w:tbl>
      <w:tblPr>
        <w:tblStyle w:val="Grigliatabella"/>
        <w:tblW w:w="0" w:type="auto"/>
        <w:shd w:val="clear" w:color="auto" w:fill="D5DCE4" w:themeFill="text2" w:themeFillTint="33"/>
        <w:tblCellMar>
          <w:left w:w="284" w:type="dxa"/>
          <w:right w:w="284" w:type="dxa"/>
        </w:tblCellMar>
        <w:tblLook w:val="04A0" w:firstRow="1" w:lastRow="0" w:firstColumn="1" w:lastColumn="0" w:noHBand="0" w:noVBand="1"/>
      </w:tblPr>
      <w:tblGrid>
        <w:gridCol w:w="9060"/>
      </w:tblGrid>
      <w:tr w:rsidR="000B0677" w:rsidRPr="00021DD2" w:rsidTr="00DE211E">
        <w:tc>
          <w:tcPr>
            <w:tcW w:w="9060" w:type="dxa"/>
            <w:shd w:val="clear" w:color="auto" w:fill="auto"/>
          </w:tcPr>
          <w:p w:rsidR="000B0677" w:rsidRPr="00021DD2" w:rsidRDefault="000B0677" w:rsidP="007811D8">
            <w:pPr>
              <w:rPr>
                <w:rFonts w:cs="Arial"/>
                <w:b/>
              </w:rPr>
            </w:pPr>
            <w:r w:rsidRPr="00021DD2">
              <w:rPr>
                <w:rFonts w:cs="Arial"/>
                <w:b/>
              </w:rPr>
              <w:t>Recommendation 5</w:t>
            </w:r>
            <w:r w:rsidR="00222305" w:rsidRPr="00021DD2">
              <w:rPr>
                <w:rFonts w:cs="Arial"/>
                <w:b/>
              </w:rPr>
              <w:t>:</w:t>
            </w:r>
          </w:p>
          <w:p w:rsidR="000B0677" w:rsidRPr="00021DD2" w:rsidRDefault="000B0677" w:rsidP="007811D8">
            <w:pPr>
              <w:rPr>
                <w:rFonts w:cs="Arial"/>
              </w:rPr>
            </w:pPr>
            <w:r w:rsidRPr="00021DD2">
              <w:rPr>
                <w:rFonts w:cs="Arial"/>
              </w:rPr>
              <w:t xml:space="preserve">That the Australian Government establishes relevant data holdings and analytics covering all the key domains of children’s rights outlined in the </w:t>
            </w:r>
            <w:r w:rsidRPr="00021DD2">
              <w:rPr>
                <w:rFonts w:cs="Arial"/>
                <w:i/>
              </w:rPr>
              <w:t>Convention on the Rights of the Child</w:t>
            </w:r>
            <w:r w:rsidRPr="00021DD2">
              <w:rPr>
                <w:rFonts w:cs="Arial"/>
              </w:rPr>
              <w:t>, including comparable data across jurisdictions, which the National Children’s Commissioner can use to monitor the enjoyment and exercise of human rights by children in Australia.</w:t>
            </w:r>
          </w:p>
        </w:tc>
      </w:tr>
    </w:tbl>
    <w:p w:rsidR="000B0677" w:rsidRPr="00021DD2" w:rsidRDefault="000B0677" w:rsidP="000B0677">
      <w:pPr>
        <w:rPr>
          <w:rFonts w:cs="Arial"/>
        </w:rPr>
      </w:pPr>
      <w:r w:rsidRPr="00021DD2">
        <w:rPr>
          <w:rFonts w:cs="Arial"/>
        </w:rPr>
        <w:t xml:space="preserve">The </w:t>
      </w:r>
      <w:r w:rsidRPr="00021DD2">
        <w:rPr>
          <w:rFonts w:cs="Arial"/>
          <w:b/>
        </w:rPr>
        <w:t>ABS</w:t>
      </w:r>
      <w:r w:rsidRPr="00021DD2">
        <w:rPr>
          <w:rFonts w:cs="Arial"/>
        </w:rPr>
        <w:t xml:space="preserve"> </w:t>
      </w:r>
      <w:r w:rsidR="00211EFD">
        <w:rPr>
          <w:rFonts w:cs="Arial"/>
        </w:rPr>
        <w:t>advised</w:t>
      </w:r>
      <w:r w:rsidRPr="00021DD2">
        <w:rPr>
          <w:rFonts w:cs="Arial"/>
        </w:rPr>
        <w:t xml:space="preserve"> that it would be happy to provide data on any</w:t>
      </w:r>
      <w:r w:rsidR="00211EFD">
        <w:rPr>
          <w:rFonts w:cs="Arial"/>
        </w:rPr>
        <w:t xml:space="preserve"> of the key domains of children’</w:t>
      </w:r>
      <w:r w:rsidRPr="00021DD2">
        <w:rPr>
          <w:rFonts w:cs="Arial"/>
        </w:rPr>
        <w:t xml:space="preserve">s rights for which data exists. Work would need to be done across a range of government agencies to identify suitable indicators across these domains, and data sources to support them. </w:t>
      </w:r>
    </w:p>
    <w:p w:rsidR="000B0677" w:rsidRPr="00021DD2" w:rsidRDefault="000B0677" w:rsidP="000B0677">
      <w:pPr>
        <w:rPr>
          <w:rFonts w:cs="Arial"/>
        </w:rPr>
      </w:pPr>
      <w:r w:rsidRPr="00021DD2">
        <w:rPr>
          <w:rFonts w:cs="Arial"/>
        </w:rPr>
        <w:t xml:space="preserve">The </w:t>
      </w:r>
      <w:r w:rsidRPr="00021DD2">
        <w:rPr>
          <w:rFonts w:cs="Arial"/>
          <w:b/>
        </w:rPr>
        <w:t>Department of Health</w:t>
      </w:r>
      <w:r w:rsidRPr="00021DD2">
        <w:rPr>
          <w:rFonts w:cs="Arial"/>
        </w:rPr>
        <w:t xml:space="preserve"> advised that the AIHW has assessed the domains in the CRC and has noted that there are some reporting gaps in various domains, for example in the domain of civil rights and freedom. </w:t>
      </w:r>
      <w:r w:rsidR="00211EFD">
        <w:rPr>
          <w:rFonts w:cs="Arial"/>
        </w:rPr>
        <w:t>The Australian Health Ministers’</w:t>
      </w:r>
      <w:r w:rsidRPr="00021DD2">
        <w:rPr>
          <w:rFonts w:cs="Arial"/>
        </w:rPr>
        <w:t xml:space="preserve"> Advisory Committee has approved the mapping by the AIHW of national indicators from existing data sources (such as the Children’s Headline Indicators) to the </w:t>
      </w:r>
      <w:r w:rsidRPr="00021DD2">
        <w:rPr>
          <w:rFonts w:cs="Arial"/>
          <w:i/>
        </w:rPr>
        <w:t>Healthy, Safe and Thriving: National Strategic Framework for Child and Youth Health</w:t>
      </w:r>
      <w:r w:rsidRPr="00021DD2">
        <w:rPr>
          <w:rFonts w:cs="Arial"/>
        </w:rPr>
        <w:t xml:space="preserve">. This work has not yet commenced. The AIHW will need to conduct a gap analysis to determine if any other indicators that would be readily available can be used. </w:t>
      </w:r>
    </w:p>
    <w:p w:rsidR="000B0677" w:rsidRPr="00021DD2" w:rsidRDefault="000B0677" w:rsidP="000B0677">
      <w:pPr>
        <w:rPr>
          <w:rFonts w:cs="Arial"/>
        </w:rPr>
      </w:pPr>
      <w:r w:rsidRPr="00021DD2">
        <w:rPr>
          <w:rFonts w:cs="Arial"/>
        </w:rPr>
        <w:t xml:space="preserve">The </w:t>
      </w:r>
      <w:r w:rsidRPr="00021DD2">
        <w:rPr>
          <w:rFonts w:cs="Arial"/>
          <w:b/>
        </w:rPr>
        <w:t>Minister for Social Services, the Hon Christian Porter MP</w:t>
      </w:r>
      <w:r w:rsidRPr="00021DD2">
        <w:rPr>
          <w:rFonts w:cs="Arial"/>
        </w:rPr>
        <w:t>,</w:t>
      </w:r>
      <w:r w:rsidRPr="00021DD2">
        <w:rPr>
          <w:rFonts w:cs="Arial"/>
          <w:b/>
        </w:rPr>
        <w:t xml:space="preserve"> </w:t>
      </w:r>
      <w:r w:rsidR="00AD0A97">
        <w:rPr>
          <w:rFonts w:cs="Arial"/>
        </w:rPr>
        <w:t>advised</w:t>
      </w:r>
      <w:r w:rsidRPr="00021DD2">
        <w:rPr>
          <w:rFonts w:cs="Arial"/>
        </w:rPr>
        <w:t xml:space="preserve"> that the </w:t>
      </w:r>
      <w:r w:rsidR="00222305" w:rsidRPr="00021DD2">
        <w:rPr>
          <w:rFonts w:cs="Arial"/>
        </w:rPr>
        <w:t>Australian</w:t>
      </w:r>
      <w:r w:rsidRPr="00021DD2">
        <w:rPr>
          <w:rFonts w:cs="Arial"/>
        </w:rPr>
        <w:t xml:space="preserve"> Government would be happy to work with me to identify areas for improvement in data holdings. He advised that the Government is committed to improving national reporting on the welfare of children, including through the ABS. In addition, the Government funds </w:t>
      </w:r>
      <w:r w:rsidRPr="00021DD2">
        <w:rPr>
          <w:rFonts w:cs="Arial"/>
          <w:i/>
        </w:rPr>
        <w:t>Growing Up in Australia: The Longitudin</w:t>
      </w:r>
      <w:r w:rsidR="00222305" w:rsidRPr="00021DD2">
        <w:rPr>
          <w:rFonts w:cs="Arial"/>
          <w:i/>
        </w:rPr>
        <w:t xml:space="preserve">al Study of Australian Children, </w:t>
      </w:r>
      <w:r w:rsidRPr="00021DD2">
        <w:rPr>
          <w:rFonts w:cs="Arial"/>
        </w:rPr>
        <w:t>as well as the AIHW and AIFS to report on a range of matters relevant to children’s rights, including healthcare, education and child protection.</w:t>
      </w:r>
    </w:p>
    <w:p w:rsidR="001A4945" w:rsidRDefault="001A4945">
      <w:pPr>
        <w:spacing w:before="0" w:after="0"/>
        <w:rPr>
          <w:rFonts w:cs="Arial"/>
        </w:rPr>
      </w:pPr>
      <w:r>
        <w:rPr>
          <w:rFonts w:cs="Arial"/>
        </w:rPr>
        <w:br w:type="page"/>
      </w:r>
    </w:p>
    <w:p w:rsidR="00E93030" w:rsidRPr="00021DD2" w:rsidRDefault="00E93030" w:rsidP="000B0677">
      <w:pPr>
        <w:rPr>
          <w:rFonts w:cs="Arial"/>
        </w:rPr>
      </w:pPr>
    </w:p>
    <w:p w:rsidR="000B0677" w:rsidRPr="00021DD2" w:rsidRDefault="000B0677" w:rsidP="002940E9">
      <w:pPr>
        <w:rPr>
          <w:rFonts w:cs="Arial"/>
        </w:rPr>
        <w:sectPr w:rsidR="000B0677" w:rsidRPr="00021DD2" w:rsidSect="001F2365">
          <w:endnotePr>
            <w:numFmt w:val="decimal"/>
            <w:numRestart w:val="eachSect"/>
          </w:endnotePr>
          <w:pgSz w:w="11906" w:h="16838" w:code="9"/>
          <w:pgMar w:top="1134" w:right="1418" w:bottom="1134" w:left="1418" w:header="709" w:footer="709" w:gutter="0"/>
          <w:cols w:space="708"/>
          <w:docGrid w:linePitch="360"/>
        </w:sectPr>
      </w:pPr>
    </w:p>
    <w:p w:rsidR="00E93030" w:rsidRPr="00154D67" w:rsidRDefault="00765533" w:rsidP="00E93030">
      <w:pPr>
        <w:pStyle w:val="Titolo1"/>
        <w:rPr>
          <w:rFonts w:cs="Arial"/>
        </w:rPr>
      </w:pPr>
      <w:bookmarkStart w:id="59" w:name="_Toc500308770"/>
      <w:r w:rsidRPr="00021DD2">
        <w:rPr>
          <w:rFonts w:cs="Arial"/>
        </w:rPr>
        <w:t>Children’s rights in legislation and court proceedings</w:t>
      </w:r>
      <w:bookmarkEnd w:id="59"/>
    </w:p>
    <w:p w:rsidR="007811D8" w:rsidRPr="00021DD2" w:rsidRDefault="007811D8" w:rsidP="00222517">
      <w:pPr>
        <w:pStyle w:val="21"/>
        <w:numPr>
          <w:ilvl w:val="1"/>
          <w:numId w:val="202"/>
        </w:numPr>
      </w:pPr>
      <w:bookmarkStart w:id="60" w:name="_Toc500308771"/>
      <w:r w:rsidRPr="00021DD2">
        <w:t>Introduction</w:t>
      </w:r>
      <w:bookmarkEnd w:id="60"/>
    </w:p>
    <w:p w:rsidR="007811D8" w:rsidRPr="00021DD2" w:rsidRDefault="007811D8" w:rsidP="00B46AB5">
      <w:r w:rsidRPr="00021DD2">
        <w:t xml:space="preserve">This chapter of my report describes how the Parliamentary Joint Committee on Human Rights (PJCHR) considered the compatibility of children’s rights with Bills introduced </w:t>
      </w:r>
      <w:r w:rsidR="00143C24">
        <w:t>in</w:t>
      </w:r>
      <w:r w:rsidRPr="00021DD2">
        <w:t>to</w:t>
      </w:r>
      <w:r w:rsidR="00143C24">
        <w:t xml:space="preserve"> the</w:t>
      </w:r>
      <w:r w:rsidRPr="00021DD2">
        <w:t xml:space="preserve"> federal Parliament between 1 July 2016 and 30 June 2017. It also refers to relevant Senate Committee scrutiny of this legislation and written submissions made by the Australian Human Rights Commission. </w:t>
      </w:r>
    </w:p>
    <w:p w:rsidR="007811D8" w:rsidRPr="00021DD2" w:rsidRDefault="00143C24" w:rsidP="00B46AB5">
      <w:pPr>
        <w:rPr>
          <w:i/>
        </w:rPr>
      </w:pPr>
      <w:r>
        <w:t xml:space="preserve">The chapter </w:t>
      </w:r>
      <w:r w:rsidR="007811D8" w:rsidRPr="00021DD2">
        <w:t>includes a case study on the human rights of children who experience gender dysphoria and who ar</w:t>
      </w:r>
      <w:r w:rsidR="00D678E4" w:rsidRPr="00021DD2">
        <w:t>e seeking approval for stage two</w:t>
      </w:r>
      <w:r w:rsidR="007811D8" w:rsidRPr="00021DD2">
        <w:t xml:space="preserve"> treatment through court proceedings. </w:t>
      </w:r>
    </w:p>
    <w:p w:rsidR="00201952" w:rsidRPr="00021DD2" w:rsidRDefault="00201952" w:rsidP="005B4E05">
      <w:pPr>
        <w:pStyle w:val="21"/>
      </w:pPr>
      <w:bookmarkStart w:id="61" w:name="_Toc495566728"/>
      <w:bookmarkStart w:id="62" w:name="_Toc500308772"/>
      <w:r w:rsidRPr="00021DD2">
        <w:t>Consideration of children’s rights by the Parliamentary Joint Committee on Human Rights</w:t>
      </w:r>
      <w:bookmarkEnd w:id="61"/>
      <w:bookmarkEnd w:id="62"/>
      <w:r w:rsidRPr="00021DD2">
        <w:t xml:space="preserve"> </w:t>
      </w:r>
    </w:p>
    <w:p w:rsidR="00201952" w:rsidRPr="00021DD2" w:rsidRDefault="00201952" w:rsidP="00201952">
      <w:pPr>
        <w:rPr>
          <w:rFonts w:cs="Arial"/>
        </w:rPr>
      </w:pPr>
      <w:r w:rsidRPr="00021DD2">
        <w:rPr>
          <w:rFonts w:cs="Arial"/>
        </w:rPr>
        <w:t xml:space="preserve">The </w:t>
      </w:r>
      <w:r w:rsidRPr="00021DD2">
        <w:rPr>
          <w:rFonts w:cs="Arial"/>
          <w:i/>
        </w:rPr>
        <w:t xml:space="preserve">Human Rights (Parliamentary Scrutiny) Act 2011 </w:t>
      </w:r>
      <w:r w:rsidRPr="00021DD2">
        <w:rPr>
          <w:rFonts w:cs="Arial"/>
        </w:rPr>
        <w:t>(Cth) requires that all Bills introduced to federal Parliament contain a Statement of Compatibility with Human Rights (Statement of Compatibility) and be examined by the PJ</w:t>
      </w:r>
      <w:r w:rsidR="004E619E">
        <w:rPr>
          <w:rFonts w:cs="Arial"/>
        </w:rPr>
        <w:t xml:space="preserve"> </w:t>
      </w:r>
      <w:r w:rsidRPr="00021DD2">
        <w:rPr>
          <w:rFonts w:cs="Arial"/>
        </w:rPr>
        <w:t>CHR for human rights compatibility.</w:t>
      </w:r>
      <w:r w:rsidRPr="00021DD2">
        <w:rPr>
          <w:rStyle w:val="Rimandonotadichiusura"/>
          <w:rFonts w:cs="Arial"/>
        </w:rPr>
        <w:endnoteReference w:id="79"/>
      </w:r>
      <w:r w:rsidRPr="00021DD2">
        <w:rPr>
          <w:rFonts w:cs="Arial"/>
        </w:rPr>
        <w:t xml:space="preserve"> This Act and the work of the PJCHR function as a significant safeguard mechanism within the Australian Parliamentary system.</w:t>
      </w:r>
    </w:p>
    <w:p w:rsidR="00201952" w:rsidRPr="00021DD2" w:rsidRDefault="00201952" w:rsidP="00201952">
      <w:pPr>
        <w:rPr>
          <w:rFonts w:cs="Arial"/>
        </w:rPr>
      </w:pPr>
      <w:r w:rsidRPr="00021DD2">
        <w:rPr>
          <w:rFonts w:cs="Arial"/>
        </w:rPr>
        <w:t xml:space="preserve">The Statement of Compatibility is included in the Explanatory Memorandum accompanying every Bill introduced </w:t>
      </w:r>
      <w:r w:rsidR="00143C24">
        <w:rPr>
          <w:rFonts w:cs="Arial"/>
        </w:rPr>
        <w:t>into the federal Parliament. For</w:t>
      </w:r>
      <w:r w:rsidR="00D678E4" w:rsidRPr="00021DD2">
        <w:rPr>
          <w:rFonts w:cs="Arial"/>
        </w:rPr>
        <w:t xml:space="preserve"> a Government B</w:t>
      </w:r>
      <w:r w:rsidR="00C02F51" w:rsidRPr="00021DD2">
        <w:rPr>
          <w:rFonts w:cs="Arial"/>
        </w:rPr>
        <w:t>ill, t</w:t>
      </w:r>
      <w:r w:rsidRPr="00021DD2">
        <w:rPr>
          <w:rFonts w:cs="Arial"/>
        </w:rPr>
        <w:t>he Explanatory Memorandum is prepared by staff from the department developing the Bill and requires approval from the Minister.</w:t>
      </w:r>
      <w:r w:rsidR="00143C24">
        <w:rPr>
          <w:rFonts w:cs="Arial"/>
        </w:rPr>
        <w:t xml:space="preserve"> For</w:t>
      </w:r>
      <w:r w:rsidR="00D678E4" w:rsidRPr="00021DD2">
        <w:rPr>
          <w:rFonts w:cs="Arial"/>
        </w:rPr>
        <w:t xml:space="preserve"> a private member</w:t>
      </w:r>
      <w:r w:rsidR="00143C24">
        <w:rPr>
          <w:rFonts w:cs="Arial"/>
        </w:rPr>
        <w:t>’s</w:t>
      </w:r>
      <w:r w:rsidR="00D678E4" w:rsidRPr="00021DD2">
        <w:rPr>
          <w:rFonts w:cs="Arial"/>
        </w:rPr>
        <w:t xml:space="preserve"> B</w:t>
      </w:r>
      <w:r w:rsidR="00C02F51" w:rsidRPr="00021DD2">
        <w:rPr>
          <w:rFonts w:cs="Arial"/>
        </w:rPr>
        <w:t xml:space="preserve">ill, the statement is prepared by the member submitting the </w:t>
      </w:r>
      <w:r w:rsidR="00D678E4" w:rsidRPr="00021DD2">
        <w:rPr>
          <w:rFonts w:cs="Arial"/>
        </w:rPr>
        <w:t>B</w:t>
      </w:r>
      <w:r w:rsidR="00C02F51" w:rsidRPr="00021DD2">
        <w:rPr>
          <w:rFonts w:cs="Arial"/>
        </w:rPr>
        <w:t xml:space="preserve">ill. </w:t>
      </w:r>
    </w:p>
    <w:p w:rsidR="00201952" w:rsidRPr="00021DD2" w:rsidRDefault="00201952" w:rsidP="00201952">
      <w:pPr>
        <w:rPr>
          <w:rFonts w:cs="Arial"/>
        </w:rPr>
      </w:pPr>
      <w:r w:rsidRPr="00021DD2">
        <w:rPr>
          <w:rFonts w:cs="Arial"/>
        </w:rPr>
        <w:t xml:space="preserve">For the purposes of the Statements of Compatibility and the PJCHR, human rights are defined as the rights and freedoms contained in the seven core human rights treaties to which Australia is a party, including the </w:t>
      </w:r>
      <w:r w:rsidRPr="00E34166">
        <w:rPr>
          <w:rFonts w:cs="Arial"/>
          <w:i/>
        </w:rPr>
        <w:t>Convention on the Rights of the Child</w:t>
      </w:r>
      <w:r w:rsidRPr="00021DD2">
        <w:rPr>
          <w:rFonts w:cs="Arial"/>
        </w:rPr>
        <w:t xml:space="preserve"> (CRC).</w:t>
      </w:r>
      <w:r w:rsidRPr="00021DD2">
        <w:rPr>
          <w:rStyle w:val="Rimandonotadichiusura"/>
          <w:rFonts w:cs="Arial"/>
        </w:rPr>
        <w:endnoteReference w:id="80"/>
      </w:r>
    </w:p>
    <w:p w:rsidR="00201952" w:rsidRPr="00021DD2" w:rsidRDefault="00201952" w:rsidP="00201952">
      <w:pPr>
        <w:rPr>
          <w:rFonts w:cs="Arial"/>
        </w:rPr>
      </w:pPr>
      <w:r w:rsidRPr="00021DD2">
        <w:rPr>
          <w:rFonts w:cs="Arial"/>
        </w:rPr>
        <w:t>The PJCHR has published two Guidance Notes about human rights assessments and the requirements for Statements of Compatibility,</w:t>
      </w:r>
      <w:r w:rsidR="006D2E9B" w:rsidRPr="00021DD2">
        <w:rPr>
          <w:rStyle w:val="Rimandonotadichiusura"/>
          <w:rFonts w:cs="Arial"/>
        </w:rPr>
        <w:endnoteReference w:id="81"/>
      </w:r>
      <w:r w:rsidRPr="00021DD2">
        <w:rPr>
          <w:rFonts w:cs="Arial"/>
        </w:rPr>
        <w:t xml:space="preserve"> as well as a </w:t>
      </w:r>
      <w:r w:rsidRPr="00021DD2">
        <w:rPr>
          <w:rFonts w:cs="Arial"/>
          <w:i/>
        </w:rPr>
        <w:t>Guide to Human Rights</w:t>
      </w:r>
      <w:r w:rsidRPr="00021DD2">
        <w:rPr>
          <w:rFonts w:cs="Arial"/>
        </w:rPr>
        <w:t>,</w:t>
      </w:r>
      <w:r w:rsidRPr="00021DD2">
        <w:rPr>
          <w:rStyle w:val="Rimandonotadichiusura"/>
          <w:rFonts w:cs="Arial"/>
        </w:rPr>
        <w:endnoteReference w:id="82"/>
      </w:r>
      <w:r w:rsidRPr="00021DD2">
        <w:rPr>
          <w:rFonts w:cs="Arial"/>
        </w:rPr>
        <w:t xml:space="preserve"> which provides an overview of the key rights the PJCHR considers when examining legislation.</w:t>
      </w:r>
      <w:r w:rsidR="000F10F4">
        <w:rPr>
          <w:rFonts w:cs="Arial"/>
        </w:rPr>
        <w:t xml:space="preserve"> </w:t>
      </w:r>
    </w:p>
    <w:p w:rsidR="00201952" w:rsidRPr="00021DD2" w:rsidRDefault="00D678E4" w:rsidP="00201952">
      <w:pPr>
        <w:rPr>
          <w:rFonts w:cs="Arial"/>
        </w:rPr>
      </w:pPr>
      <w:r w:rsidRPr="00021DD2">
        <w:rPr>
          <w:rFonts w:cs="Arial"/>
        </w:rPr>
        <w:t>There are ten</w:t>
      </w:r>
      <w:r w:rsidR="00201952" w:rsidRPr="00021DD2">
        <w:rPr>
          <w:rFonts w:cs="Arial"/>
        </w:rPr>
        <w:t xml:space="preserve"> members of the PJCHR, five from the Senate and five from the House of Representatives. The list of current members</w:t>
      </w:r>
      <w:r w:rsidR="00B016FC" w:rsidRPr="00021DD2">
        <w:rPr>
          <w:rFonts w:cs="Arial"/>
        </w:rPr>
        <w:t xml:space="preserve"> can be found on the Committee m</w:t>
      </w:r>
      <w:r w:rsidR="00201952" w:rsidRPr="00021DD2">
        <w:rPr>
          <w:rFonts w:cs="Arial"/>
        </w:rPr>
        <w:t>embership website.</w:t>
      </w:r>
      <w:r w:rsidR="00201952" w:rsidRPr="00021DD2">
        <w:rPr>
          <w:rStyle w:val="Rimandonotadichiusura"/>
          <w:rFonts w:cs="Arial"/>
        </w:rPr>
        <w:endnoteReference w:id="83"/>
      </w:r>
    </w:p>
    <w:p w:rsidR="00201952" w:rsidRPr="00021DD2" w:rsidRDefault="00201952" w:rsidP="00201952">
      <w:pPr>
        <w:rPr>
          <w:rFonts w:cs="Arial"/>
        </w:rPr>
      </w:pPr>
      <w:r w:rsidRPr="00021DD2">
        <w:rPr>
          <w:rFonts w:cs="Arial"/>
        </w:rPr>
        <w:t xml:space="preserve">When analysing the compatibility of Bills with Australia’s human rights obligations, the PJCHR </w:t>
      </w:r>
      <w:r w:rsidR="006D2E9B">
        <w:rPr>
          <w:rFonts w:cs="Arial"/>
        </w:rPr>
        <w:t>considers the examination of</w:t>
      </w:r>
      <w:r w:rsidRPr="00021DD2">
        <w:rPr>
          <w:rFonts w:cs="Arial"/>
        </w:rPr>
        <w:t xml:space="preserve"> Statements of Compatibility as essential. The PJCHR may seek additional information if it finds that a Bill limits a human right and where the Statement of Compatibility does not include a reasoned and evidence-based assessment.</w:t>
      </w:r>
      <w:r w:rsidRPr="00021DD2">
        <w:rPr>
          <w:rStyle w:val="Rimandonotadichiusura"/>
          <w:rFonts w:cs="Arial"/>
        </w:rPr>
        <w:endnoteReference w:id="84"/>
      </w:r>
      <w:r w:rsidRPr="00021DD2">
        <w:rPr>
          <w:rFonts w:cs="Arial"/>
        </w:rPr>
        <w:t xml:space="preserve"> </w:t>
      </w:r>
    </w:p>
    <w:p w:rsidR="00201952" w:rsidRPr="00021DD2" w:rsidRDefault="00201952" w:rsidP="00201952">
      <w:pPr>
        <w:rPr>
          <w:rFonts w:cs="Arial"/>
        </w:rPr>
      </w:pPr>
      <w:r w:rsidRPr="00021DD2">
        <w:rPr>
          <w:rFonts w:cs="Arial"/>
        </w:rPr>
        <w:t>When it finds that a Bill does not raise human rights concerns, this may be because the Bill does not engage or promote human rights, and/or permissibly limits human rights.</w:t>
      </w:r>
    </w:p>
    <w:p w:rsidR="00201952" w:rsidRPr="00021DD2" w:rsidRDefault="00201952" w:rsidP="00201952">
      <w:pPr>
        <w:rPr>
          <w:rFonts w:cs="Arial"/>
        </w:rPr>
      </w:pPr>
      <w:r w:rsidRPr="00021DD2">
        <w:rPr>
          <w:rFonts w:cs="Arial"/>
        </w:rPr>
        <w:t>Reports by the PJCHR are tabled in both Houses of Parliament and</w:t>
      </w:r>
      <w:r w:rsidR="00B016FC" w:rsidRPr="00021DD2">
        <w:rPr>
          <w:rFonts w:cs="Arial"/>
        </w:rPr>
        <w:t xml:space="preserve"> can be found on the Committee </w:t>
      </w:r>
      <w:r w:rsidR="00B016FC" w:rsidRPr="00A94CB4">
        <w:rPr>
          <w:rFonts w:cs="Arial"/>
        </w:rPr>
        <w:t>r</w:t>
      </w:r>
      <w:r w:rsidRPr="00A94CB4">
        <w:rPr>
          <w:rFonts w:cs="Arial"/>
        </w:rPr>
        <w:t>eports</w:t>
      </w:r>
      <w:r w:rsidRPr="00021DD2">
        <w:rPr>
          <w:rFonts w:cs="Arial"/>
        </w:rPr>
        <w:t xml:space="preserve"> website.</w:t>
      </w:r>
      <w:r w:rsidRPr="00021DD2">
        <w:rPr>
          <w:rStyle w:val="Rimandonotadichiusura"/>
          <w:rFonts w:cs="Arial"/>
        </w:rPr>
        <w:endnoteReference w:id="85"/>
      </w:r>
    </w:p>
    <w:p w:rsidR="00201952" w:rsidRPr="00021DD2" w:rsidRDefault="00201952" w:rsidP="005B4E05">
      <w:pPr>
        <w:pStyle w:val="21"/>
      </w:pPr>
      <w:bookmarkStart w:id="63" w:name="_Toc495566729"/>
      <w:bookmarkStart w:id="64" w:name="_Toc500308773"/>
      <w:r w:rsidRPr="00021DD2">
        <w:t>Bills that engage children’s rights</w:t>
      </w:r>
      <w:bookmarkEnd w:id="63"/>
      <w:bookmarkEnd w:id="64"/>
      <w:r w:rsidRPr="00021DD2">
        <w:t xml:space="preserve"> </w:t>
      </w:r>
    </w:p>
    <w:p w:rsidR="00201952" w:rsidRPr="00021DD2" w:rsidRDefault="00201952" w:rsidP="00201952">
      <w:pPr>
        <w:rPr>
          <w:rFonts w:cs="Arial"/>
        </w:rPr>
      </w:pPr>
      <w:r w:rsidRPr="00021DD2">
        <w:rPr>
          <w:rFonts w:cs="Arial"/>
        </w:rPr>
        <w:t>In this section, I report on Bills with a potentially significant impact on children’s rights, followed by Bills with a more limited impact.</w:t>
      </w:r>
    </w:p>
    <w:p w:rsidR="00201952" w:rsidRPr="00021DD2" w:rsidRDefault="00201952" w:rsidP="00201952">
      <w:pPr>
        <w:pStyle w:val="Titolo3"/>
        <w:rPr>
          <w:rFonts w:cs="Arial"/>
        </w:rPr>
      </w:pPr>
      <w:bookmarkStart w:id="65" w:name="_Toc495566730"/>
      <w:bookmarkStart w:id="66" w:name="_Toc500308774"/>
      <w:r w:rsidRPr="00021DD2">
        <w:rPr>
          <w:rFonts w:cs="Arial"/>
        </w:rPr>
        <w:t>Bills with a potentially significant impact on children’s rights</w:t>
      </w:r>
      <w:bookmarkEnd w:id="65"/>
      <w:bookmarkEnd w:id="66"/>
    </w:p>
    <w:p w:rsidR="00201952" w:rsidRPr="00021DD2" w:rsidRDefault="00201952" w:rsidP="00201952">
      <w:pPr>
        <w:rPr>
          <w:rFonts w:cs="Arial"/>
        </w:rPr>
      </w:pPr>
      <w:r w:rsidRPr="00021DD2">
        <w:rPr>
          <w:rFonts w:cs="Arial"/>
        </w:rPr>
        <w:t xml:space="preserve">The PJCHR considered eight Bills introduced </w:t>
      </w:r>
      <w:r w:rsidR="0059249A">
        <w:rPr>
          <w:rFonts w:cs="Arial"/>
        </w:rPr>
        <w:t>in</w:t>
      </w:r>
      <w:r w:rsidRPr="00021DD2">
        <w:rPr>
          <w:rFonts w:cs="Arial"/>
        </w:rPr>
        <w:t>to federal Parliament during my reporting period that had a potentially significant impact on children’s rights.</w:t>
      </w:r>
    </w:p>
    <w:p w:rsidR="00201952" w:rsidRPr="00E6007E" w:rsidRDefault="00201952" w:rsidP="00201952">
      <w:pPr>
        <w:pStyle w:val="Titolo4"/>
        <w:rPr>
          <w:rFonts w:cs="Arial"/>
          <w:b w:val="0"/>
        </w:rPr>
      </w:pPr>
      <w:bookmarkStart w:id="67" w:name="_Toc495566731"/>
      <w:r w:rsidRPr="00E6007E">
        <w:rPr>
          <w:rFonts w:cs="Arial"/>
        </w:rPr>
        <w:t>Family Assistance Legislation Amendment (Jobs for Families Child Care Package) Bill 2016 (Cth)</w:t>
      </w:r>
      <w:bookmarkEnd w:id="67"/>
    </w:p>
    <w:p w:rsidR="00201952" w:rsidRPr="00021DD2" w:rsidRDefault="00201952" w:rsidP="00201952">
      <w:pPr>
        <w:rPr>
          <w:rFonts w:cs="Arial"/>
        </w:rPr>
      </w:pPr>
      <w:r w:rsidRPr="00021DD2">
        <w:rPr>
          <w:rFonts w:cs="Arial"/>
        </w:rPr>
        <w:t xml:space="preserve">The Family Assistance Legislation Amendment (Jobs for Families Child Care Package) Bill 2016 (Cth) was reintroduced </w:t>
      </w:r>
      <w:r w:rsidR="0059249A">
        <w:rPr>
          <w:rFonts w:cs="Arial"/>
        </w:rPr>
        <w:t>in</w:t>
      </w:r>
      <w:r w:rsidRPr="00021DD2">
        <w:rPr>
          <w:rFonts w:cs="Arial"/>
        </w:rPr>
        <w:t>to t</w:t>
      </w:r>
      <w:r w:rsidR="00B809A8">
        <w:rPr>
          <w:rFonts w:cs="Arial"/>
        </w:rPr>
        <w:t xml:space="preserve">he House of Representatives on 1 </w:t>
      </w:r>
      <w:r w:rsidRPr="00021DD2">
        <w:rPr>
          <w:rFonts w:cs="Arial"/>
        </w:rPr>
        <w:t>September 2016</w:t>
      </w:r>
      <w:r w:rsidR="00D663EE">
        <w:rPr>
          <w:rFonts w:cs="Arial"/>
        </w:rPr>
        <w:t>,</w:t>
      </w:r>
      <w:r w:rsidRPr="00021DD2">
        <w:rPr>
          <w:rFonts w:cs="Arial"/>
        </w:rPr>
        <w:t xml:space="preserve"> after lapsing at prorogation on 15 April 2016.</w:t>
      </w:r>
      <w:r w:rsidRPr="00021DD2">
        <w:rPr>
          <w:rStyle w:val="Rimandonotadichiusura"/>
          <w:rFonts w:cs="Arial"/>
        </w:rPr>
        <w:endnoteReference w:id="86"/>
      </w:r>
      <w:r w:rsidRPr="00021DD2">
        <w:rPr>
          <w:rFonts w:cs="Arial"/>
        </w:rPr>
        <w:t xml:space="preserve"> </w:t>
      </w:r>
    </w:p>
    <w:p w:rsidR="00201952" w:rsidRPr="00021DD2" w:rsidRDefault="00201952" w:rsidP="00201952">
      <w:pPr>
        <w:rPr>
          <w:rFonts w:cs="Arial"/>
        </w:rPr>
      </w:pPr>
      <w:r w:rsidRPr="00021DD2">
        <w:rPr>
          <w:rFonts w:cs="Arial"/>
        </w:rPr>
        <w:t>The purpose of this Bill, among other things, was to introduce key elements of the Jobs for Families Child Car</w:t>
      </w:r>
      <w:r w:rsidR="001C20CB">
        <w:rPr>
          <w:rFonts w:cs="Arial"/>
        </w:rPr>
        <w:t>e Package announced in the 2015–</w:t>
      </w:r>
      <w:r w:rsidRPr="00021DD2">
        <w:rPr>
          <w:rFonts w:cs="Arial"/>
        </w:rPr>
        <w:t>2016 Budget.</w:t>
      </w:r>
      <w:r w:rsidRPr="00021DD2">
        <w:rPr>
          <w:rStyle w:val="Rimandonotadichiusura"/>
          <w:rFonts w:cs="Arial"/>
        </w:rPr>
        <w:endnoteReference w:id="87"/>
      </w:r>
      <w:r w:rsidRPr="00021DD2">
        <w:rPr>
          <w:rFonts w:cs="Arial"/>
        </w:rPr>
        <w:t xml:space="preserve"> </w:t>
      </w:r>
    </w:p>
    <w:p w:rsidR="00201952" w:rsidRPr="00021DD2" w:rsidRDefault="00201952" w:rsidP="00201952">
      <w:pPr>
        <w:rPr>
          <w:rFonts w:cs="Arial"/>
        </w:rPr>
      </w:pPr>
      <w:r w:rsidRPr="00021DD2">
        <w:rPr>
          <w:rFonts w:cs="Arial"/>
        </w:rPr>
        <w:t>Under the Bill, the existing child care payments were to be replaced by a single, means-tested subsidy, the Child Care Subsidy (CCS), supplemented by the Additional Child Care Subsidy (ACCS). The CCS was to be subjected to an income test and more stringent activity tests. It also halved the number of child care hours available to all families from 24 to 12. The ACCS provided a short term, higher rate of assistance than CCS</w:t>
      </w:r>
      <w:r w:rsidR="00D663EE">
        <w:rPr>
          <w:rFonts w:cs="Arial"/>
        </w:rPr>
        <w:t>,</w:t>
      </w:r>
      <w:r w:rsidRPr="00021DD2">
        <w:rPr>
          <w:rFonts w:cs="Arial"/>
        </w:rPr>
        <w:t xml:space="preserve"> in order to reduce the possibility of the cost of child care being a barrier to children at risk of serious abuse or neglect, from either entering or remaining engaged with child care. The provisions of the Bill included the cessation of the Child Care Benefit (CCB) and Child Care Rebate (CCR).</w:t>
      </w:r>
      <w:r w:rsidRPr="00021DD2">
        <w:rPr>
          <w:rStyle w:val="Rimandonotadichiusura"/>
          <w:rFonts w:cs="Arial"/>
        </w:rPr>
        <w:endnoteReference w:id="88"/>
      </w:r>
    </w:p>
    <w:p w:rsidR="00201952" w:rsidRPr="00021DD2" w:rsidRDefault="00201952" w:rsidP="00201952">
      <w:pPr>
        <w:rPr>
          <w:rFonts w:cs="Arial"/>
        </w:rPr>
      </w:pPr>
      <w:r w:rsidRPr="00021DD2">
        <w:rPr>
          <w:rFonts w:cs="Arial"/>
        </w:rPr>
        <w:t>Further, under the proposed arrangements, parents would need to work or study at least eight hours a fortnight to be eligible for 36 hours of subsided child care per week. Families earning less than $65,000 per annum would be refunded around 85% of fees. The subsidy rate would reduce as income increases, with families on an income of more than $350,000 being ineligible for any subsidy. Previously, parents could access 24 hours of subsidised care, without having to meet a work or study test.</w:t>
      </w:r>
    </w:p>
    <w:p w:rsidR="00201952" w:rsidRPr="00021DD2" w:rsidRDefault="00201952" w:rsidP="00201952">
      <w:pPr>
        <w:rPr>
          <w:rFonts w:cs="Arial"/>
        </w:rPr>
      </w:pPr>
      <w:r w:rsidRPr="00021DD2">
        <w:rPr>
          <w:rFonts w:cs="Arial"/>
        </w:rPr>
        <w:t>The Statement of Compatibility accompanying the Bill suggested that the measures were compatible with human rights as they decreased the complexity and dif</w:t>
      </w:r>
      <w:r w:rsidR="00B016FC" w:rsidRPr="00021DD2">
        <w:rPr>
          <w:rFonts w:cs="Arial"/>
        </w:rPr>
        <w:t>ficulty of the previous system’s</w:t>
      </w:r>
      <w:r w:rsidRPr="00021DD2">
        <w:rPr>
          <w:rFonts w:cs="Arial"/>
        </w:rPr>
        <w:t xml:space="preserve"> navigation requirements, and were in line with our international obligations.</w:t>
      </w:r>
      <w:r w:rsidRPr="00021DD2">
        <w:rPr>
          <w:rStyle w:val="Rimandonotadichiusura"/>
          <w:rFonts w:cs="Arial"/>
        </w:rPr>
        <w:endnoteReference w:id="89"/>
      </w:r>
      <w:r w:rsidRPr="00021DD2">
        <w:rPr>
          <w:rFonts w:cs="Arial"/>
        </w:rPr>
        <w:t xml:space="preserve"> </w:t>
      </w:r>
    </w:p>
    <w:p w:rsidR="00201952" w:rsidRPr="00021DD2" w:rsidRDefault="00201952" w:rsidP="00201952">
      <w:pPr>
        <w:rPr>
          <w:rFonts w:cs="Arial"/>
        </w:rPr>
      </w:pPr>
      <w:r w:rsidRPr="00021DD2">
        <w:rPr>
          <w:rFonts w:cs="Arial"/>
        </w:rPr>
        <w:t>The Bill was referred to the Senate Education and Employment Legislation Committee for inquiry on 15 September 2016.</w:t>
      </w:r>
      <w:r w:rsidRPr="00021DD2">
        <w:rPr>
          <w:rStyle w:val="Rimandonotadichiusura"/>
          <w:rFonts w:cs="Arial"/>
        </w:rPr>
        <w:endnoteReference w:id="90"/>
      </w:r>
      <w:r w:rsidRPr="00021DD2">
        <w:rPr>
          <w:rFonts w:cs="Arial"/>
        </w:rPr>
        <w:t xml:space="preserve"> In its submission to that inquiry, the Australian Human Rights Commission expressed concern that vulnerable and disadvantaged families may not receive the support they need to access early childhood education and care services</w:t>
      </w:r>
      <w:r w:rsidR="00B016FC" w:rsidRPr="00021DD2">
        <w:rPr>
          <w:rFonts w:cs="Arial"/>
        </w:rPr>
        <w:t>,</w:t>
      </w:r>
      <w:r w:rsidRPr="00021DD2">
        <w:rPr>
          <w:rFonts w:cs="Arial"/>
        </w:rPr>
        <w:t xml:space="preserve"> and that the complexity of the activity tests could also hinder access to these services, particularly for parents in insecure or unpredictable work.</w:t>
      </w:r>
      <w:r w:rsidRPr="00021DD2">
        <w:rPr>
          <w:rStyle w:val="Rimandonotadichiusura"/>
          <w:rFonts w:cs="Arial"/>
        </w:rPr>
        <w:endnoteReference w:id="91"/>
      </w:r>
    </w:p>
    <w:p w:rsidR="00201952" w:rsidRPr="00021DD2" w:rsidRDefault="00201952" w:rsidP="00201952">
      <w:pPr>
        <w:jc w:val="both"/>
        <w:rPr>
          <w:rFonts w:cs="Arial"/>
        </w:rPr>
      </w:pPr>
      <w:r w:rsidRPr="00021DD2">
        <w:rPr>
          <w:rFonts w:cs="Arial"/>
        </w:rPr>
        <w:t xml:space="preserve">The Commission recommended that: </w:t>
      </w:r>
    </w:p>
    <w:p w:rsidR="00201952" w:rsidRPr="00021DD2" w:rsidRDefault="00201952" w:rsidP="00B934D7">
      <w:pPr>
        <w:pStyle w:val="Paragrafoelenco"/>
        <w:numPr>
          <w:ilvl w:val="0"/>
          <w:numId w:val="35"/>
        </w:numPr>
        <w:jc w:val="left"/>
      </w:pPr>
      <w:r w:rsidRPr="00021DD2">
        <w:t>the Bill be amended to ensure that all eligible families are able to access at least two days (24 hours) of early childhood education and care services per week</w:t>
      </w:r>
    </w:p>
    <w:p w:rsidR="00201952" w:rsidRPr="00021DD2" w:rsidRDefault="00201952" w:rsidP="00B934D7">
      <w:pPr>
        <w:pStyle w:val="Paragrafoelenco"/>
        <w:numPr>
          <w:ilvl w:val="0"/>
          <w:numId w:val="35"/>
        </w:numPr>
        <w:jc w:val="left"/>
      </w:pPr>
      <w:r w:rsidRPr="00021DD2">
        <w:t>the Australian Government consider ways of further simplifying the activity tests or expand the exemptions to the activity test to cover parents in insecure and unpredictable work</w:t>
      </w:r>
    </w:p>
    <w:p w:rsidR="00201952" w:rsidRPr="00021DD2" w:rsidRDefault="00201952" w:rsidP="00B934D7">
      <w:pPr>
        <w:pStyle w:val="Paragrafoelenco"/>
        <w:numPr>
          <w:ilvl w:val="0"/>
          <w:numId w:val="35"/>
        </w:numPr>
        <w:jc w:val="left"/>
      </w:pPr>
      <w:r w:rsidRPr="00021DD2">
        <w:t xml:space="preserve">the Australian Government reconsider assessment arrangements for eligibility for the </w:t>
      </w:r>
      <w:r w:rsidR="00B016FC" w:rsidRPr="00021DD2">
        <w:t>ACCS</w:t>
      </w:r>
      <w:r w:rsidRPr="00021DD2">
        <w:t xml:space="preserve"> for at risk children, ensure the eligibility requirements are simplified and include children who are vulnerable but not in contact with child protection systems</w:t>
      </w:r>
    </w:p>
    <w:p w:rsidR="00201952" w:rsidRPr="00021DD2" w:rsidRDefault="00201952" w:rsidP="00B934D7">
      <w:pPr>
        <w:pStyle w:val="Paragrafoelenco"/>
        <w:numPr>
          <w:ilvl w:val="0"/>
          <w:numId w:val="35"/>
        </w:numPr>
        <w:jc w:val="left"/>
      </w:pPr>
      <w:r w:rsidRPr="00021DD2">
        <w:t xml:space="preserve">before the Bill is passed, additional modelling and research is undertaken to better understand the impact of the new measures on disadvantaged families, particularly for those groups who are unable to access early childhood education and care services under the proposed package or whose access to these services is reduced </w:t>
      </w:r>
    </w:p>
    <w:p w:rsidR="00201952" w:rsidRPr="00021DD2" w:rsidRDefault="00201952" w:rsidP="00B934D7">
      <w:pPr>
        <w:pStyle w:val="Paragrafoelenco"/>
        <w:numPr>
          <w:ilvl w:val="0"/>
          <w:numId w:val="35"/>
        </w:numPr>
        <w:jc w:val="left"/>
      </w:pPr>
      <w:r w:rsidRPr="00021DD2">
        <w:t>the Australian Government commit to reviewing the impact of the new measures introduced on vulnerable families and children.</w:t>
      </w:r>
      <w:r w:rsidRPr="00021DD2">
        <w:rPr>
          <w:rStyle w:val="Rimandonotadichiusura"/>
        </w:rPr>
        <w:endnoteReference w:id="92"/>
      </w:r>
    </w:p>
    <w:p w:rsidR="00201952" w:rsidRPr="00021DD2" w:rsidRDefault="00B016FC" w:rsidP="00926EAB">
      <w:r w:rsidRPr="00021DD2">
        <w:t>In October 2016, the Senate i</w:t>
      </w:r>
      <w:r w:rsidR="00201952" w:rsidRPr="00021DD2">
        <w:t xml:space="preserve">nquiry recommended that this Bill and the Social Services Legislation Amendment (Family Payments Structural Reform and </w:t>
      </w:r>
      <w:r w:rsidR="00EE3289">
        <w:t>P</w:t>
      </w:r>
      <w:r w:rsidR="00201952" w:rsidRPr="00021DD2">
        <w:t>articipation Measures) Bill 2016 be passed.</w:t>
      </w:r>
      <w:r w:rsidR="00201952" w:rsidRPr="00021DD2">
        <w:rPr>
          <w:rStyle w:val="Rimandonotadichiusura"/>
          <w:rFonts w:cs="Arial"/>
        </w:rPr>
        <w:endnoteReference w:id="93"/>
      </w:r>
      <w:r w:rsidR="00201952" w:rsidRPr="00021DD2">
        <w:t xml:space="preserve"> Further, in October 2016, the PJCHR considered that the Bill did not raise any human rights concerns.</w:t>
      </w:r>
      <w:r w:rsidR="00201952" w:rsidRPr="00021DD2">
        <w:rPr>
          <w:rStyle w:val="Rimandonotadichiusura"/>
          <w:rFonts w:cs="Arial"/>
        </w:rPr>
        <w:endnoteReference w:id="94"/>
      </w:r>
    </w:p>
    <w:p w:rsidR="00201952" w:rsidRPr="00021DD2" w:rsidRDefault="00201952" w:rsidP="00201952">
      <w:pPr>
        <w:jc w:val="both"/>
        <w:rPr>
          <w:rFonts w:cs="Arial"/>
        </w:rPr>
      </w:pPr>
      <w:r w:rsidRPr="00021DD2">
        <w:rPr>
          <w:rFonts w:cs="Arial"/>
        </w:rPr>
        <w:t>The Bill passed both Houses</w:t>
      </w:r>
      <w:r w:rsidR="00EE3289">
        <w:rPr>
          <w:rFonts w:cs="Arial"/>
        </w:rPr>
        <w:t xml:space="preserve"> of Parliament</w:t>
      </w:r>
      <w:r w:rsidRPr="00021DD2">
        <w:rPr>
          <w:rFonts w:cs="Arial"/>
        </w:rPr>
        <w:t xml:space="preserve"> on 27 March 2017.</w:t>
      </w:r>
      <w:r w:rsidRPr="00021DD2">
        <w:rPr>
          <w:rStyle w:val="Rimandonotadichiusura"/>
          <w:rFonts w:cs="Arial"/>
        </w:rPr>
        <w:endnoteReference w:id="95"/>
      </w:r>
    </w:p>
    <w:p w:rsidR="00201952" w:rsidRPr="00021DD2" w:rsidRDefault="00201952" w:rsidP="00926EAB">
      <w:r w:rsidRPr="00021DD2">
        <w:t>Commencement of amendments proposed in the</w:t>
      </w:r>
      <w:r w:rsidR="00B016FC" w:rsidRPr="00021DD2">
        <w:t xml:space="preserve"> Bill has</w:t>
      </w:r>
      <w:r w:rsidRPr="00021DD2">
        <w:t xml:space="preserve"> been delayed until late July 2018</w:t>
      </w:r>
      <w:r w:rsidR="00B016FC" w:rsidRPr="00021DD2">
        <w:t>,</w:t>
      </w:r>
      <w:r w:rsidRPr="00021DD2">
        <w:t xml:space="preserve"> as announced in the 2016</w:t>
      </w:r>
      <w:r w:rsidR="001C20CB">
        <w:t>–</w:t>
      </w:r>
      <w:r w:rsidRPr="00021DD2">
        <w:t>2017 Budget.</w:t>
      </w:r>
      <w:r w:rsidRPr="00021DD2">
        <w:rPr>
          <w:rStyle w:val="Rimandonotadichiusura"/>
          <w:rFonts w:cs="Arial"/>
        </w:rPr>
        <w:endnoteReference w:id="96"/>
      </w:r>
      <w:r w:rsidR="000F10F4">
        <w:t xml:space="preserve"> </w:t>
      </w:r>
    </w:p>
    <w:p w:rsidR="00201952" w:rsidRPr="00E6007E" w:rsidRDefault="00201952" w:rsidP="00201952">
      <w:pPr>
        <w:pStyle w:val="Titolo4"/>
        <w:rPr>
          <w:rFonts w:cs="Arial"/>
          <w:b w:val="0"/>
        </w:rPr>
      </w:pPr>
      <w:bookmarkStart w:id="68" w:name="_Toc487625013"/>
      <w:bookmarkStart w:id="69" w:name="_Toc495566732"/>
      <w:r w:rsidRPr="00E6007E">
        <w:rPr>
          <w:rFonts w:cs="Arial"/>
        </w:rPr>
        <w:t>Social Services Legislation Amendment (Omnibus Savings and Child Care Reform) Bill 2017</w:t>
      </w:r>
      <w:bookmarkEnd w:id="68"/>
      <w:r w:rsidRPr="00E6007E">
        <w:rPr>
          <w:rFonts w:cs="Arial"/>
        </w:rPr>
        <w:t xml:space="preserve"> (Cth)</w:t>
      </w:r>
      <w:bookmarkEnd w:id="69"/>
    </w:p>
    <w:p w:rsidR="00201952" w:rsidRPr="00021DD2" w:rsidRDefault="00201952" w:rsidP="00926EAB">
      <w:r w:rsidRPr="00021DD2">
        <w:t>The Social Services Legislation Amendment (Omnibus Savings and Child Care Reform) Bill 2017</w:t>
      </w:r>
      <w:r w:rsidR="00B016FC" w:rsidRPr="00021DD2">
        <w:t xml:space="preserve"> (Cth) (Omnibus Bill)</w:t>
      </w:r>
      <w:r w:rsidRPr="00021DD2">
        <w:t xml:space="preserve"> was introduced </w:t>
      </w:r>
      <w:r w:rsidR="00A83369">
        <w:t>in</w:t>
      </w:r>
      <w:r w:rsidRPr="00021DD2">
        <w:t>to the House of Representatives on 8 February 2017.</w:t>
      </w:r>
      <w:r w:rsidRPr="00021DD2">
        <w:rPr>
          <w:rStyle w:val="Rimandonotadichiusura"/>
          <w:rFonts w:cs="Arial"/>
        </w:rPr>
        <w:endnoteReference w:id="97"/>
      </w:r>
      <w:r w:rsidRPr="00021DD2">
        <w:t xml:space="preserve"> </w:t>
      </w:r>
    </w:p>
    <w:p w:rsidR="00201952" w:rsidRPr="00021DD2" w:rsidRDefault="00201952" w:rsidP="00926EAB">
      <w:pPr>
        <w:rPr>
          <w:i/>
        </w:rPr>
      </w:pPr>
      <w:r w:rsidRPr="00021DD2">
        <w:t xml:space="preserve">This Bill sought to amend various provisions of the </w:t>
      </w:r>
      <w:r w:rsidRPr="00021DD2">
        <w:rPr>
          <w:i/>
        </w:rPr>
        <w:t>A New Tax System (Family Assistance) Act 1999</w:t>
      </w:r>
      <w:r w:rsidRPr="00021DD2">
        <w:t xml:space="preserve"> (Cth)</w:t>
      </w:r>
      <w:r w:rsidR="00B016FC" w:rsidRPr="00021DD2">
        <w:t>,</w:t>
      </w:r>
      <w:r w:rsidRPr="00021DD2">
        <w:t xml:space="preserve"> the </w:t>
      </w:r>
      <w:r w:rsidRPr="00021DD2">
        <w:rPr>
          <w:i/>
        </w:rPr>
        <w:t>Social Security Act 1991</w:t>
      </w:r>
      <w:r w:rsidRPr="00021DD2">
        <w:t xml:space="preserve"> (Cth) and the </w:t>
      </w:r>
      <w:r w:rsidRPr="00021DD2">
        <w:rPr>
          <w:i/>
        </w:rPr>
        <w:t xml:space="preserve">Paid Parental Leave Act 2010 </w:t>
      </w:r>
      <w:r w:rsidRPr="00021DD2">
        <w:t>(Cth)</w:t>
      </w:r>
      <w:r w:rsidRPr="00021DD2">
        <w:rPr>
          <w:i/>
        </w:rPr>
        <w:t>.</w:t>
      </w:r>
      <w:r w:rsidR="000F10F4">
        <w:rPr>
          <w:i/>
        </w:rPr>
        <w:t xml:space="preserve"> </w:t>
      </w:r>
    </w:p>
    <w:p w:rsidR="00E6007E" w:rsidRDefault="00E6007E">
      <w:pPr>
        <w:keepLines w:val="0"/>
        <w:spacing w:before="0" w:after="0"/>
        <w:rPr>
          <w:rFonts w:cs="Arial"/>
        </w:rPr>
      </w:pPr>
      <w:r>
        <w:rPr>
          <w:rFonts w:cs="Arial"/>
        </w:rPr>
        <w:br w:type="page"/>
      </w:r>
    </w:p>
    <w:p w:rsidR="00201952" w:rsidRPr="00021DD2" w:rsidRDefault="00201952" w:rsidP="00201952">
      <w:pPr>
        <w:jc w:val="both"/>
        <w:rPr>
          <w:rFonts w:cs="Arial"/>
        </w:rPr>
      </w:pPr>
      <w:r w:rsidRPr="00021DD2">
        <w:rPr>
          <w:rFonts w:cs="Arial"/>
        </w:rPr>
        <w:t>It included proposals to:</w:t>
      </w:r>
    </w:p>
    <w:p w:rsidR="00201952" w:rsidRPr="00021DD2" w:rsidRDefault="00201952" w:rsidP="00B934D7">
      <w:pPr>
        <w:pStyle w:val="Paragrafoelenco"/>
        <w:numPr>
          <w:ilvl w:val="0"/>
          <w:numId w:val="37"/>
        </w:numPr>
        <w:jc w:val="left"/>
      </w:pPr>
      <w:r w:rsidRPr="00021DD2">
        <w:t>increase</w:t>
      </w:r>
      <w:r w:rsidR="00B016FC" w:rsidRPr="00021DD2">
        <w:t xml:space="preserve"> the</w:t>
      </w:r>
      <w:r w:rsidRPr="00021DD2">
        <w:t xml:space="preserve"> </w:t>
      </w:r>
      <w:r w:rsidR="00EE3289">
        <w:t>F</w:t>
      </w:r>
      <w:r w:rsidRPr="00021DD2">
        <w:t xml:space="preserve">amily </w:t>
      </w:r>
      <w:r w:rsidR="00EE3289">
        <w:t>T</w:t>
      </w:r>
      <w:r w:rsidRPr="00021DD2">
        <w:t xml:space="preserve">ax </w:t>
      </w:r>
      <w:r w:rsidR="00EE3289">
        <w:t>B</w:t>
      </w:r>
      <w:r w:rsidRPr="00021DD2">
        <w:t xml:space="preserve">enefit (FTB) Part A fortnightly by $20.02 for each </w:t>
      </w:r>
      <w:r w:rsidR="00B016FC" w:rsidRPr="00021DD2">
        <w:t>eligible</w:t>
      </w:r>
      <w:r w:rsidRPr="00021DD2">
        <w:t xml:space="preserve"> child in the family up to 19 years of age</w:t>
      </w:r>
    </w:p>
    <w:p w:rsidR="00201952" w:rsidRPr="00021DD2" w:rsidRDefault="00201952" w:rsidP="00B934D7">
      <w:pPr>
        <w:pStyle w:val="Paragrafoelenco"/>
        <w:numPr>
          <w:ilvl w:val="0"/>
          <w:numId w:val="37"/>
        </w:numPr>
        <w:jc w:val="left"/>
      </w:pPr>
      <w:r w:rsidRPr="00021DD2">
        <w:t>remove the entitlement to FTB Part B for single parent families from the year their child turns 17</w:t>
      </w:r>
    </w:p>
    <w:p w:rsidR="00201952" w:rsidRPr="00021DD2" w:rsidRDefault="00201952" w:rsidP="00B934D7">
      <w:pPr>
        <w:pStyle w:val="Paragrafoelenco"/>
        <w:numPr>
          <w:ilvl w:val="0"/>
          <w:numId w:val="37"/>
        </w:numPr>
        <w:jc w:val="left"/>
      </w:pPr>
      <w:r w:rsidRPr="00021DD2">
        <w:t>extend the ordinary waiting period for benefits for those under 25 to four weeks</w:t>
      </w:r>
    </w:p>
    <w:p w:rsidR="00201952" w:rsidRPr="00021DD2" w:rsidRDefault="00B016FC" w:rsidP="00B934D7">
      <w:pPr>
        <w:pStyle w:val="Paragrafoelenco"/>
        <w:numPr>
          <w:ilvl w:val="0"/>
          <w:numId w:val="37"/>
        </w:numPr>
        <w:jc w:val="left"/>
      </w:pPr>
      <w:r w:rsidRPr="00021DD2">
        <w:t xml:space="preserve">move 22 to </w:t>
      </w:r>
      <w:r w:rsidR="00201952" w:rsidRPr="00021DD2">
        <w:t>24 year olds to the lower rate of Youth Allowance</w:t>
      </w:r>
    </w:p>
    <w:p w:rsidR="00201952" w:rsidRPr="00021DD2" w:rsidRDefault="00201952" w:rsidP="00B934D7">
      <w:pPr>
        <w:pStyle w:val="Paragrafoelenco"/>
        <w:numPr>
          <w:ilvl w:val="0"/>
          <w:numId w:val="37"/>
        </w:numPr>
        <w:jc w:val="left"/>
      </w:pPr>
      <w:r w:rsidRPr="00021DD2">
        <w:t>phase out FTB A and B supplements, to be withdrawn</w:t>
      </w:r>
      <w:r w:rsidR="00A83369">
        <w:t xml:space="preserve"> by 1 July 2018</w:t>
      </w:r>
      <w:r w:rsidRPr="00021DD2">
        <w:t xml:space="preserve"> </w:t>
      </w:r>
    </w:p>
    <w:p w:rsidR="00201952" w:rsidRPr="00021DD2" w:rsidRDefault="00201952" w:rsidP="00B934D7">
      <w:pPr>
        <w:pStyle w:val="Paragrafoelenco"/>
        <w:numPr>
          <w:ilvl w:val="0"/>
          <w:numId w:val="37"/>
        </w:numPr>
        <w:jc w:val="left"/>
      </w:pPr>
      <w:r w:rsidRPr="00021DD2">
        <w:t xml:space="preserve">introduce a Jobs for Families Child Care Package aiming to provide greater access to education and child care for working families </w:t>
      </w:r>
    </w:p>
    <w:p w:rsidR="00201952" w:rsidRPr="00021DD2" w:rsidRDefault="00201952" w:rsidP="00B934D7">
      <w:pPr>
        <w:pStyle w:val="Paragrafoelenco"/>
        <w:numPr>
          <w:ilvl w:val="0"/>
          <w:numId w:val="37"/>
        </w:numPr>
        <w:jc w:val="left"/>
      </w:pPr>
      <w:r w:rsidRPr="00021DD2">
        <w:t xml:space="preserve">cease the </w:t>
      </w:r>
      <w:r w:rsidR="00B016FC" w:rsidRPr="00021DD2">
        <w:t xml:space="preserve">CCB </w:t>
      </w:r>
      <w:r w:rsidRPr="00021DD2">
        <w:t xml:space="preserve">and child care rebate and introduce a </w:t>
      </w:r>
      <w:r w:rsidR="00B016FC" w:rsidRPr="00021DD2">
        <w:t xml:space="preserve">CCS </w:t>
      </w:r>
      <w:r w:rsidRPr="00021DD2">
        <w:t>which is subject to both an income and activity test in addition to other amendments.</w:t>
      </w:r>
      <w:r w:rsidRPr="00021DD2">
        <w:rPr>
          <w:rStyle w:val="Rimandonotadichiusura"/>
        </w:rPr>
        <w:endnoteReference w:id="98"/>
      </w:r>
      <w:r w:rsidRPr="00021DD2">
        <w:t xml:space="preserve"> </w:t>
      </w:r>
    </w:p>
    <w:p w:rsidR="00201952" w:rsidRPr="00021DD2" w:rsidRDefault="00201952" w:rsidP="00201952">
      <w:pPr>
        <w:rPr>
          <w:rFonts w:cs="Arial"/>
        </w:rPr>
      </w:pPr>
      <w:r w:rsidRPr="00021DD2">
        <w:rPr>
          <w:rFonts w:cs="Arial"/>
        </w:rPr>
        <w:t>The Statement of Compatibility accompanying this Bill stated that the schedule of payment rates was compatible with human rights as it aimed to deliver families more timely assistance with day-to-day living expenses. The Statement of Compatibility concluded that the limitations on the rights of families with older children were reasonable and proportionate.</w:t>
      </w:r>
      <w:r w:rsidRPr="00021DD2">
        <w:rPr>
          <w:rStyle w:val="Rimandonotadichiusura"/>
          <w:rFonts w:cs="Arial"/>
        </w:rPr>
        <w:endnoteReference w:id="99"/>
      </w:r>
      <w:r w:rsidRPr="00021DD2">
        <w:rPr>
          <w:rFonts w:cs="Arial"/>
        </w:rPr>
        <w:t xml:space="preserve"> </w:t>
      </w:r>
    </w:p>
    <w:p w:rsidR="00201952" w:rsidRPr="00021DD2" w:rsidRDefault="00201952" w:rsidP="00201952">
      <w:pPr>
        <w:rPr>
          <w:rFonts w:cs="Arial"/>
        </w:rPr>
      </w:pPr>
      <w:r w:rsidRPr="00021DD2">
        <w:rPr>
          <w:rFonts w:cs="Arial"/>
        </w:rPr>
        <w:t xml:space="preserve">On 9 February 2017, the Senate referred the Bill to the Senate Community Affairs Legislation Committee for inquiry and report. </w:t>
      </w:r>
    </w:p>
    <w:p w:rsidR="00201952" w:rsidRPr="00021DD2" w:rsidRDefault="00201952" w:rsidP="00201952">
      <w:pPr>
        <w:rPr>
          <w:rFonts w:cs="Arial"/>
        </w:rPr>
      </w:pPr>
      <w:r w:rsidRPr="00021DD2">
        <w:rPr>
          <w:rFonts w:cs="Arial"/>
        </w:rPr>
        <w:t>The Committee noted that it had previously provided comment on various measures that had been reintroduced in this Bill from the Fairer Paid Parental Leave Bill 2016. The Committee highlighted that the Omnibus Bill sought to increase the period of government-funded paid parental leave from 18 to 20 weeks.</w:t>
      </w:r>
      <w:r w:rsidRPr="00021DD2">
        <w:rPr>
          <w:rStyle w:val="Rimandonotadichiusura"/>
          <w:rFonts w:cs="Arial"/>
        </w:rPr>
        <w:endnoteReference w:id="100"/>
      </w:r>
      <w:r w:rsidRPr="00021DD2">
        <w:rPr>
          <w:rFonts w:cs="Arial"/>
        </w:rPr>
        <w:t xml:space="preserve"> </w:t>
      </w:r>
    </w:p>
    <w:p w:rsidR="00201952" w:rsidRPr="00021DD2" w:rsidRDefault="00201952" w:rsidP="00201952">
      <w:pPr>
        <w:rPr>
          <w:rFonts w:cs="Arial"/>
        </w:rPr>
      </w:pPr>
      <w:r w:rsidRPr="00021DD2">
        <w:rPr>
          <w:rFonts w:cs="Arial"/>
        </w:rPr>
        <w:t>Concerns were also raised about the proposed reduction to FTB Part B payments as children grow older</w:t>
      </w:r>
      <w:r w:rsidR="00B016FC" w:rsidRPr="00021DD2">
        <w:rPr>
          <w:rFonts w:cs="Arial"/>
        </w:rPr>
        <w:t>,</w:t>
      </w:r>
      <w:r w:rsidRPr="00021DD2">
        <w:rPr>
          <w:rFonts w:cs="Arial"/>
        </w:rPr>
        <w:t xml:space="preserve"> but the Committee suggested that these measures provided incentive for parents to re-engage with the workforce. </w:t>
      </w:r>
    </w:p>
    <w:p w:rsidR="00201952" w:rsidRPr="00021DD2" w:rsidRDefault="00201952" w:rsidP="00201952">
      <w:pPr>
        <w:jc w:val="both"/>
        <w:rPr>
          <w:rFonts w:cs="Arial"/>
        </w:rPr>
      </w:pPr>
      <w:r w:rsidRPr="00021DD2">
        <w:rPr>
          <w:rFonts w:cs="Arial"/>
        </w:rPr>
        <w:t xml:space="preserve">The Australian Labor Party provided a dissenting report and recommended that: </w:t>
      </w:r>
    </w:p>
    <w:p w:rsidR="00201952" w:rsidRPr="00021DD2" w:rsidRDefault="00201952" w:rsidP="00B934D7">
      <w:pPr>
        <w:pStyle w:val="Paragrafoelenco"/>
        <w:numPr>
          <w:ilvl w:val="0"/>
          <w:numId w:val="36"/>
        </w:numPr>
      </w:pPr>
      <w:r w:rsidRPr="00021DD2">
        <w:t xml:space="preserve">the Senate reject </w:t>
      </w:r>
      <w:r w:rsidR="00A83369">
        <w:t xml:space="preserve">the </w:t>
      </w:r>
      <w:r w:rsidRPr="00021DD2">
        <w:t xml:space="preserve">Omnibus Bill </w:t>
      </w:r>
    </w:p>
    <w:p w:rsidR="00201952" w:rsidRPr="00021DD2" w:rsidRDefault="00201952" w:rsidP="00B934D7">
      <w:pPr>
        <w:pStyle w:val="Paragrafoelenco"/>
        <w:numPr>
          <w:ilvl w:val="0"/>
          <w:numId w:val="36"/>
        </w:numPr>
      </w:pPr>
      <w:r w:rsidRPr="00021DD2">
        <w:t>the Government de-couple the child care changes from unrelated income support cuts</w:t>
      </w:r>
    </w:p>
    <w:p w:rsidR="00201952" w:rsidRPr="00021DD2" w:rsidRDefault="00B016FC" w:rsidP="00B934D7">
      <w:pPr>
        <w:pStyle w:val="Paragrafoelenco"/>
        <w:numPr>
          <w:ilvl w:val="0"/>
          <w:numId w:val="36"/>
        </w:numPr>
      </w:pPr>
      <w:r w:rsidRPr="00021DD2">
        <w:t>the Government remove</w:t>
      </w:r>
      <w:r w:rsidR="00201952" w:rsidRPr="00021DD2">
        <w:t xml:space="preserve"> the cuts to pensions and income support from the Bill </w:t>
      </w:r>
    </w:p>
    <w:p w:rsidR="00201952" w:rsidRPr="00021DD2" w:rsidRDefault="00B016FC" w:rsidP="00B934D7">
      <w:pPr>
        <w:pStyle w:val="Paragrafoelenco"/>
        <w:numPr>
          <w:ilvl w:val="0"/>
          <w:numId w:val="36"/>
        </w:numPr>
        <w:jc w:val="left"/>
      </w:pPr>
      <w:r w:rsidRPr="00021DD2">
        <w:t>the Government amend</w:t>
      </w:r>
      <w:r w:rsidR="00201952" w:rsidRPr="00021DD2">
        <w:t xml:space="preserve"> the proposed child care changes so vulnerable and disadvantaged children can continue to have access to two days </w:t>
      </w:r>
      <w:r w:rsidRPr="00021DD2">
        <w:t xml:space="preserve">of </w:t>
      </w:r>
      <w:r w:rsidR="00201952" w:rsidRPr="00021DD2">
        <w:t>early education a week, and Indigenous and country services are protected.</w:t>
      </w:r>
      <w:r w:rsidR="00201952" w:rsidRPr="00021DD2">
        <w:rPr>
          <w:rStyle w:val="Rimandonotadichiusura"/>
        </w:rPr>
        <w:endnoteReference w:id="101"/>
      </w:r>
      <w:r w:rsidR="00201952" w:rsidRPr="00021DD2">
        <w:t xml:space="preserve"> </w:t>
      </w:r>
    </w:p>
    <w:p w:rsidR="00201952" w:rsidRPr="00021DD2" w:rsidRDefault="00201952" w:rsidP="00201952">
      <w:pPr>
        <w:rPr>
          <w:rFonts w:cs="Arial"/>
        </w:rPr>
      </w:pPr>
      <w:r w:rsidRPr="00021DD2">
        <w:rPr>
          <w:rFonts w:cs="Arial"/>
        </w:rPr>
        <w:t>A dissenting report by the Australian Greens criticised the Bill and noted particular concerns for vulnerable young people, low-income families, children and single parents who would be affected by the measures. The Australian Greens recommended that the Bill not be passed.</w:t>
      </w:r>
      <w:r w:rsidRPr="00021DD2">
        <w:rPr>
          <w:rStyle w:val="Rimandonotadichiusura"/>
          <w:rFonts w:cs="Arial"/>
        </w:rPr>
        <w:endnoteReference w:id="102"/>
      </w:r>
      <w:r w:rsidRPr="00021DD2">
        <w:rPr>
          <w:rFonts w:cs="Arial"/>
        </w:rPr>
        <w:t xml:space="preserve"> </w:t>
      </w:r>
    </w:p>
    <w:p w:rsidR="00201952" w:rsidRPr="00021DD2" w:rsidRDefault="00201952" w:rsidP="00201952">
      <w:pPr>
        <w:jc w:val="both"/>
        <w:rPr>
          <w:rFonts w:cs="Arial"/>
        </w:rPr>
      </w:pPr>
      <w:r w:rsidRPr="00021DD2">
        <w:rPr>
          <w:rFonts w:cs="Arial"/>
        </w:rPr>
        <w:t>The final report by the Committee recommended that the Bill be passed.</w:t>
      </w:r>
      <w:r w:rsidRPr="00021DD2">
        <w:rPr>
          <w:rStyle w:val="Rimandonotadichiusura"/>
          <w:rFonts w:cs="Arial"/>
        </w:rPr>
        <w:endnoteReference w:id="103"/>
      </w:r>
      <w:r w:rsidRPr="00021DD2">
        <w:rPr>
          <w:rFonts w:cs="Arial"/>
        </w:rPr>
        <w:t xml:space="preserve"> </w:t>
      </w:r>
    </w:p>
    <w:p w:rsidR="00201952" w:rsidRPr="00021DD2" w:rsidRDefault="00201952" w:rsidP="00201952">
      <w:pPr>
        <w:rPr>
          <w:rFonts w:cs="Arial"/>
        </w:rPr>
      </w:pPr>
      <w:r w:rsidRPr="00021DD2">
        <w:rPr>
          <w:rFonts w:cs="Arial"/>
        </w:rPr>
        <w:t xml:space="preserve">Given the concerns about the range of measures contained in the Omnibus Bill, the </w:t>
      </w:r>
      <w:r w:rsidR="00EE3289">
        <w:rPr>
          <w:rFonts w:cs="Arial"/>
        </w:rPr>
        <w:t xml:space="preserve">Australian </w:t>
      </w:r>
      <w:r w:rsidRPr="00021DD2">
        <w:rPr>
          <w:rFonts w:cs="Arial"/>
        </w:rPr>
        <w:t xml:space="preserve">Government subsequently separated out the </w:t>
      </w:r>
      <w:r w:rsidR="00B016FC" w:rsidRPr="00021DD2">
        <w:rPr>
          <w:rFonts w:cs="Arial"/>
        </w:rPr>
        <w:t xml:space="preserve">measures relating to child care. </w:t>
      </w:r>
    </w:p>
    <w:p w:rsidR="00201952" w:rsidRPr="00021DD2" w:rsidRDefault="00201952" w:rsidP="00201952">
      <w:pPr>
        <w:rPr>
          <w:rFonts w:cs="Arial"/>
        </w:rPr>
      </w:pPr>
      <w:r w:rsidRPr="00021DD2">
        <w:rPr>
          <w:rFonts w:cs="Arial"/>
        </w:rPr>
        <w:t>This Bill was discharged from the Notice Paper on 23 March 2017 and is no longer proceeding.</w:t>
      </w:r>
      <w:r w:rsidRPr="00021DD2">
        <w:rPr>
          <w:rStyle w:val="Rimandonotadichiusura"/>
          <w:rFonts w:cs="Arial"/>
        </w:rPr>
        <w:endnoteReference w:id="104"/>
      </w:r>
    </w:p>
    <w:p w:rsidR="00201952" w:rsidRPr="00E6007E" w:rsidRDefault="00201952" w:rsidP="00201952">
      <w:pPr>
        <w:pStyle w:val="Titolo4"/>
        <w:rPr>
          <w:rFonts w:cs="Arial"/>
          <w:b w:val="0"/>
        </w:rPr>
      </w:pPr>
      <w:bookmarkStart w:id="70" w:name="_Toc495566733"/>
      <w:r w:rsidRPr="00E6007E">
        <w:rPr>
          <w:rFonts w:cs="Arial"/>
        </w:rPr>
        <w:t>Social Services Legislation Amendment Bill 2017 (Cth)</w:t>
      </w:r>
      <w:bookmarkEnd w:id="70"/>
    </w:p>
    <w:p w:rsidR="00201952" w:rsidRPr="00021DD2" w:rsidRDefault="00201952" w:rsidP="00201952">
      <w:pPr>
        <w:rPr>
          <w:rFonts w:cs="Arial"/>
        </w:rPr>
      </w:pPr>
      <w:r w:rsidRPr="00021DD2">
        <w:rPr>
          <w:rFonts w:cs="Arial"/>
        </w:rPr>
        <w:t xml:space="preserve">The Social Services Legislation Amendment Bill 2017 </w:t>
      </w:r>
      <w:r w:rsidR="00EF5E53" w:rsidRPr="00021DD2">
        <w:rPr>
          <w:rFonts w:cs="Arial"/>
        </w:rPr>
        <w:t xml:space="preserve">(Cth) </w:t>
      </w:r>
      <w:r w:rsidRPr="00021DD2">
        <w:rPr>
          <w:rFonts w:cs="Arial"/>
        </w:rPr>
        <w:t xml:space="preserve">was introduced </w:t>
      </w:r>
      <w:r w:rsidR="00DE051F">
        <w:rPr>
          <w:rFonts w:cs="Arial"/>
        </w:rPr>
        <w:t>in</w:t>
      </w:r>
      <w:r w:rsidRPr="00021DD2">
        <w:rPr>
          <w:rFonts w:cs="Arial"/>
        </w:rPr>
        <w:t>to the Senate on 22 March 2017.</w:t>
      </w:r>
    </w:p>
    <w:p w:rsidR="00201952" w:rsidRPr="00021DD2" w:rsidRDefault="00201952" w:rsidP="00201952">
      <w:pPr>
        <w:rPr>
          <w:rFonts w:cs="Arial"/>
        </w:rPr>
      </w:pPr>
      <w:r w:rsidRPr="00021DD2">
        <w:rPr>
          <w:rFonts w:cs="Arial"/>
        </w:rPr>
        <w:t xml:space="preserve">According to the Explanatory Memorandum, the Bill sought to amend the </w:t>
      </w:r>
      <w:r w:rsidRPr="00021DD2">
        <w:rPr>
          <w:rFonts w:cs="Arial"/>
          <w:i/>
        </w:rPr>
        <w:t xml:space="preserve">Social Security Act 1991 </w:t>
      </w:r>
      <w:r w:rsidRPr="00021DD2">
        <w:rPr>
          <w:rFonts w:cs="Arial"/>
        </w:rPr>
        <w:t xml:space="preserve">(Cth) to: </w:t>
      </w:r>
    </w:p>
    <w:p w:rsidR="00201952" w:rsidRPr="00021DD2" w:rsidRDefault="00201952" w:rsidP="00B934D7">
      <w:pPr>
        <w:pStyle w:val="Paragrafoelenco"/>
        <w:numPr>
          <w:ilvl w:val="0"/>
          <w:numId w:val="38"/>
        </w:numPr>
        <w:jc w:val="left"/>
      </w:pPr>
      <w:r w:rsidRPr="00021DD2">
        <w:t>maintain income free areas (the threshold before payment is affected) for all working age allowances and parenting payment single (sole parents), and means test thresholds for student payments</w:t>
      </w:r>
    </w:p>
    <w:p w:rsidR="00201952" w:rsidRPr="00021DD2" w:rsidRDefault="00201952" w:rsidP="00B934D7">
      <w:pPr>
        <w:pStyle w:val="Paragrafoelenco"/>
        <w:numPr>
          <w:ilvl w:val="0"/>
          <w:numId w:val="38"/>
        </w:numPr>
        <w:jc w:val="left"/>
      </w:pPr>
      <w:r w:rsidRPr="00021DD2">
        <w:t>pause indexation for three years relating to various benefits and allowances</w:t>
      </w:r>
    </w:p>
    <w:p w:rsidR="00201952" w:rsidRPr="00021DD2" w:rsidRDefault="00201952" w:rsidP="00B934D7">
      <w:pPr>
        <w:pStyle w:val="Paragrafoelenco"/>
        <w:numPr>
          <w:ilvl w:val="0"/>
          <w:numId w:val="38"/>
        </w:numPr>
        <w:jc w:val="left"/>
      </w:pPr>
      <w:r w:rsidRPr="00021DD2">
        <w:t>extend the ordinary waiting period for youth allowance and parenting payments to one week</w:t>
      </w:r>
    </w:p>
    <w:p w:rsidR="00EF422D" w:rsidRPr="00021DD2" w:rsidRDefault="00201952" w:rsidP="00B934D7">
      <w:pPr>
        <w:pStyle w:val="Paragrafoelenco"/>
        <w:numPr>
          <w:ilvl w:val="0"/>
          <w:numId w:val="38"/>
        </w:numPr>
        <w:jc w:val="left"/>
      </w:pPr>
      <w:r w:rsidRPr="00021DD2">
        <w:t xml:space="preserve">amend the </w:t>
      </w:r>
      <w:r w:rsidRPr="00021DD2">
        <w:rPr>
          <w:i/>
        </w:rPr>
        <w:t xml:space="preserve">A New Tax </w:t>
      </w:r>
      <w:r w:rsidRPr="00A94CB4">
        <w:rPr>
          <w:i/>
        </w:rPr>
        <w:t>System (Family Assistance) Act 1999</w:t>
      </w:r>
      <w:r w:rsidRPr="00A94CB4">
        <w:t xml:space="preserve"> to maintain FTB child rates for two years </w:t>
      </w:r>
      <w:r w:rsidR="00EF422D" w:rsidRPr="00A94CB4">
        <w:t>in the maximum and base rate of FTB Part A and the maximum rate of FTB Part</w:t>
      </w:r>
      <w:r w:rsidRPr="00A94CB4">
        <w:t xml:space="preserve"> B.</w:t>
      </w:r>
      <w:r w:rsidRPr="00A94CB4">
        <w:rPr>
          <w:rStyle w:val="Rimandonotadichiusura"/>
        </w:rPr>
        <w:endnoteReference w:id="105"/>
      </w:r>
      <w:r w:rsidRPr="00021DD2">
        <w:t xml:space="preserve"> </w:t>
      </w:r>
    </w:p>
    <w:p w:rsidR="00201952" w:rsidRPr="00021DD2" w:rsidRDefault="00201952" w:rsidP="00201952">
      <w:pPr>
        <w:rPr>
          <w:rFonts w:cs="Arial"/>
        </w:rPr>
      </w:pPr>
      <w:r w:rsidRPr="00021DD2">
        <w:rPr>
          <w:rFonts w:cs="Arial"/>
        </w:rPr>
        <w:t>The Bill also aimed to introduce stronger compliance and participation measures, and automate income stream review processes.</w:t>
      </w:r>
    </w:p>
    <w:p w:rsidR="00201952" w:rsidRPr="00021DD2" w:rsidRDefault="00201952" w:rsidP="00201952">
      <w:pPr>
        <w:rPr>
          <w:rFonts w:cs="Arial"/>
        </w:rPr>
      </w:pPr>
      <w:r w:rsidRPr="00021DD2">
        <w:rPr>
          <w:rFonts w:cs="Arial"/>
        </w:rPr>
        <w:t xml:space="preserve">The schedule to the Bill also sought to tighten waiver provisions to the new waiting period for payments by requiring evidence of a ‘personal financial crisis’ in addition to ‘severe financial hardship’. The Bill also proposed removing the ability of claimants to serve concurrent waiting periods. </w:t>
      </w:r>
    </w:p>
    <w:p w:rsidR="00201952" w:rsidRPr="00021DD2" w:rsidRDefault="00201952" w:rsidP="00201952">
      <w:pPr>
        <w:rPr>
          <w:rFonts w:cs="Arial"/>
        </w:rPr>
      </w:pPr>
      <w:r w:rsidRPr="00021DD2">
        <w:rPr>
          <w:rFonts w:cs="Arial"/>
        </w:rPr>
        <w:t>In May 2017, the PJCHR considered that the proposed amendments to the ordinary waiting period limited the right</w:t>
      </w:r>
      <w:r w:rsidR="00EF5E53" w:rsidRPr="00021DD2">
        <w:rPr>
          <w:rFonts w:cs="Arial"/>
        </w:rPr>
        <w:t>s</w:t>
      </w:r>
      <w:r w:rsidRPr="00021DD2">
        <w:rPr>
          <w:rFonts w:cs="Arial"/>
        </w:rPr>
        <w:t xml:space="preserve"> to social security and an adequate standard of living, as well as the right</w:t>
      </w:r>
      <w:r w:rsidR="00EF5E53" w:rsidRPr="00021DD2">
        <w:rPr>
          <w:rFonts w:cs="Arial"/>
        </w:rPr>
        <w:t>s</w:t>
      </w:r>
      <w:r w:rsidRPr="00021DD2">
        <w:rPr>
          <w:rFonts w:cs="Arial"/>
        </w:rPr>
        <w:t xml:space="preserve"> to equality and non-discrimination. It concluded these amendments seem </w:t>
      </w:r>
      <w:r w:rsidR="00EF5E53" w:rsidRPr="00021DD2">
        <w:rPr>
          <w:rFonts w:cs="Arial"/>
        </w:rPr>
        <w:t xml:space="preserve">to be </w:t>
      </w:r>
      <w:r w:rsidRPr="00021DD2">
        <w:rPr>
          <w:rFonts w:cs="Arial"/>
        </w:rPr>
        <w:t>a backward step for the purposes of international human rights law.</w:t>
      </w:r>
      <w:r w:rsidRPr="00021DD2">
        <w:rPr>
          <w:rStyle w:val="Rimandonotadichiusura"/>
          <w:rFonts w:cs="Arial"/>
        </w:rPr>
        <w:endnoteReference w:id="106"/>
      </w:r>
      <w:r w:rsidRPr="00021DD2">
        <w:rPr>
          <w:rFonts w:cs="Arial"/>
        </w:rPr>
        <w:t xml:space="preserve"> </w:t>
      </w:r>
    </w:p>
    <w:p w:rsidR="00201952" w:rsidRPr="00021DD2" w:rsidRDefault="00201952" w:rsidP="00201952">
      <w:pPr>
        <w:rPr>
          <w:rFonts w:cs="Arial"/>
        </w:rPr>
      </w:pPr>
      <w:r w:rsidRPr="00021DD2">
        <w:rPr>
          <w:rFonts w:cs="Arial"/>
        </w:rPr>
        <w:t>The PJCHR sought further advice from the Minister for Social Services on the necessity of the limitation on the right</w:t>
      </w:r>
      <w:r w:rsidR="00EF5E53" w:rsidRPr="00021DD2">
        <w:rPr>
          <w:rFonts w:cs="Arial"/>
        </w:rPr>
        <w:t>s</w:t>
      </w:r>
      <w:r w:rsidRPr="00021DD2">
        <w:rPr>
          <w:rFonts w:cs="Arial"/>
        </w:rPr>
        <w:t xml:space="preserve"> to social security</w:t>
      </w:r>
      <w:r w:rsidR="00EF5E53" w:rsidRPr="00021DD2">
        <w:rPr>
          <w:rFonts w:cs="Arial"/>
        </w:rPr>
        <w:t>,</w:t>
      </w:r>
      <w:r w:rsidRPr="00021DD2">
        <w:rPr>
          <w:rFonts w:cs="Arial"/>
        </w:rPr>
        <w:t xml:space="preserve"> equality and non-discrimination. The Minister responded by drawing attention to the waiver in the Bill for persons, particularly women, who are unable to wait </w:t>
      </w:r>
      <w:r w:rsidR="00EF5E53" w:rsidRPr="00021DD2">
        <w:rPr>
          <w:rFonts w:cs="Arial"/>
        </w:rPr>
        <w:t xml:space="preserve">for the duration of </w:t>
      </w:r>
      <w:r w:rsidRPr="00021DD2">
        <w:rPr>
          <w:rFonts w:cs="Arial"/>
        </w:rPr>
        <w:t>the extended ordinary waiting period. The PJCHR was satisfied with the safeguards proposed by the Minister and concluded that the Bill appeared likely to be compatible with human rights.</w:t>
      </w:r>
      <w:r w:rsidRPr="00021DD2">
        <w:rPr>
          <w:rStyle w:val="Rimandonotadichiusura"/>
          <w:rFonts w:cs="Arial"/>
        </w:rPr>
        <w:endnoteReference w:id="107"/>
      </w:r>
      <w:r w:rsidRPr="00021DD2">
        <w:rPr>
          <w:rFonts w:cs="Arial"/>
        </w:rPr>
        <w:t xml:space="preserve"> </w:t>
      </w:r>
    </w:p>
    <w:p w:rsidR="00201952" w:rsidRPr="00021DD2" w:rsidRDefault="00201952" w:rsidP="00201952">
      <w:pPr>
        <w:jc w:val="both"/>
        <w:rPr>
          <w:rFonts w:cs="Arial"/>
        </w:rPr>
      </w:pPr>
      <w:r w:rsidRPr="00021DD2">
        <w:rPr>
          <w:rFonts w:cs="Arial"/>
        </w:rPr>
        <w:t>The Bill passed both Houses of Parliament on 29 March 2017.</w:t>
      </w:r>
      <w:r w:rsidRPr="00021DD2">
        <w:rPr>
          <w:rStyle w:val="Rimandonotadichiusura"/>
          <w:rFonts w:cs="Arial"/>
        </w:rPr>
        <w:endnoteReference w:id="108"/>
      </w:r>
      <w:r w:rsidR="000F10F4">
        <w:rPr>
          <w:rFonts w:cs="Arial"/>
        </w:rPr>
        <w:t xml:space="preserve"> </w:t>
      </w:r>
    </w:p>
    <w:p w:rsidR="00201952" w:rsidRPr="00E6007E" w:rsidRDefault="00201952" w:rsidP="00201952">
      <w:pPr>
        <w:pStyle w:val="Titolo4"/>
        <w:rPr>
          <w:rFonts w:cs="Arial"/>
          <w:b w:val="0"/>
        </w:rPr>
      </w:pPr>
      <w:bookmarkStart w:id="71" w:name="_Toc495566735"/>
      <w:r w:rsidRPr="00E6007E">
        <w:rPr>
          <w:rFonts w:cs="Arial"/>
        </w:rPr>
        <w:t>Criminal Code Amendment (Firearms Trafficking) Bill 2016 (Cth)</w:t>
      </w:r>
      <w:bookmarkEnd w:id="71"/>
    </w:p>
    <w:p w:rsidR="00201952" w:rsidRPr="00021DD2" w:rsidRDefault="00201952" w:rsidP="00201952">
      <w:pPr>
        <w:rPr>
          <w:rFonts w:cs="Arial"/>
        </w:rPr>
      </w:pPr>
      <w:r w:rsidRPr="00021DD2">
        <w:rPr>
          <w:rFonts w:cs="Arial"/>
        </w:rPr>
        <w:t>The Criminal Code Amendment (Firearms Trafficking) Bill 2016</w:t>
      </w:r>
      <w:r w:rsidR="00EF5E53" w:rsidRPr="00021DD2">
        <w:rPr>
          <w:rFonts w:cs="Arial"/>
        </w:rPr>
        <w:t xml:space="preserve"> (Cth)</w:t>
      </w:r>
      <w:r w:rsidRPr="00021DD2">
        <w:rPr>
          <w:rFonts w:cs="Arial"/>
        </w:rPr>
        <w:t xml:space="preserve"> was reintroduced to the Senate on 15 September 2016. </w:t>
      </w:r>
    </w:p>
    <w:p w:rsidR="00201952" w:rsidRPr="00021DD2" w:rsidRDefault="00201952" w:rsidP="00201952">
      <w:pPr>
        <w:rPr>
          <w:rFonts w:cs="Arial"/>
        </w:rPr>
      </w:pPr>
      <w:r w:rsidRPr="00021DD2">
        <w:rPr>
          <w:rFonts w:cs="Arial"/>
        </w:rPr>
        <w:t xml:space="preserve">The Bill proposes amendments to the </w:t>
      </w:r>
      <w:r w:rsidRPr="00021DD2">
        <w:rPr>
          <w:rFonts w:cs="Arial"/>
          <w:i/>
        </w:rPr>
        <w:t>Criminal Code Act 1995</w:t>
      </w:r>
      <w:r w:rsidRPr="00021DD2">
        <w:rPr>
          <w:rFonts w:cs="Arial"/>
        </w:rPr>
        <w:t xml:space="preserve"> (Cth) to set new mandatory penalties for the offences of firearm trafficking in and out of Australia and to impose mandatory minimum and maximum sentencing of five to twenty years imprisonment.</w:t>
      </w:r>
      <w:r w:rsidRPr="00021DD2">
        <w:rPr>
          <w:rStyle w:val="Rimandonotadichiusura"/>
          <w:rFonts w:cs="Arial"/>
        </w:rPr>
        <w:endnoteReference w:id="109"/>
      </w:r>
    </w:p>
    <w:p w:rsidR="00201952" w:rsidRPr="00021DD2" w:rsidRDefault="00201952" w:rsidP="00201952">
      <w:pPr>
        <w:rPr>
          <w:rFonts w:cs="Arial"/>
        </w:rPr>
      </w:pPr>
      <w:r w:rsidRPr="00021DD2">
        <w:rPr>
          <w:rFonts w:cs="Arial"/>
        </w:rPr>
        <w:t>The mandatory minimum penalty amendments proposed in this Bill do not apply to minors and will continue to allow the judicial system to take into account minors’ particular circumstances. However, if the age of the defendant is thought to be under 18</w:t>
      </w:r>
      <w:r w:rsidR="00EF5E53" w:rsidRPr="00021DD2">
        <w:rPr>
          <w:rFonts w:cs="Arial"/>
        </w:rPr>
        <w:t xml:space="preserve"> years</w:t>
      </w:r>
      <w:r w:rsidRPr="00021DD2">
        <w:rPr>
          <w:rFonts w:cs="Arial"/>
        </w:rPr>
        <w:t>, the onus of providing evidential proof of age sits with the defendant.</w:t>
      </w:r>
      <w:r w:rsidRPr="00021DD2">
        <w:rPr>
          <w:rStyle w:val="Rimandonotadichiusura"/>
          <w:rFonts w:cs="Arial"/>
        </w:rPr>
        <w:endnoteReference w:id="110"/>
      </w:r>
      <w:r w:rsidRPr="00021DD2">
        <w:rPr>
          <w:rFonts w:cs="Arial"/>
        </w:rPr>
        <w:t xml:space="preserve"> </w:t>
      </w:r>
    </w:p>
    <w:p w:rsidR="00201952" w:rsidRPr="00021DD2" w:rsidRDefault="00201952" w:rsidP="00201952">
      <w:pPr>
        <w:rPr>
          <w:rFonts w:cs="Arial"/>
        </w:rPr>
      </w:pPr>
      <w:r w:rsidRPr="00021DD2">
        <w:rPr>
          <w:rFonts w:cs="Arial"/>
        </w:rPr>
        <w:t>The Statement of Compatibility concluded that the Bill is compatible with human rights and that any limitations on rights or freedoms are reasonable, necessary and proportionate.</w:t>
      </w:r>
      <w:r w:rsidRPr="00021DD2">
        <w:rPr>
          <w:rStyle w:val="Rimandonotadichiusura"/>
          <w:rFonts w:cs="Arial"/>
        </w:rPr>
        <w:endnoteReference w:id="111"/>
      </w:r>
    </w:p>
    <w:p w:rsidR="00201952" w:rsidRPr="00021DD2" w:rsidRDefault="00201952" w:rsidP="00201952">
      <w:pPr>
        <w:rPr>
          <w:rFonts w:cs="Arial"/>
        </w:rPr>
      </w:pPr>
      <w:r w:rsidRPr="00021DD2">
        <w:rPr>
          <w:rFonts w:cs="Arial"/>
        </w:rPr>
        <w:t>On 13 October 2016, the Senate referred the Bill to the Legal and Constitutional Affairs Legislation Committee for inquiry and report. The Committee had previously considered this Bill and raised concerns regarding the treatment of minors within these amendments. The Committee was satisfied that the Bill would take into account the individual’s circumstances where appropriate and allow courts flexibility to do this. The Committee recommended that the Bill be passed.</w:t>
      </w:r>
      <w:r w:rsidRPr="00021DD2">
        <w:rPr>
          <w:rStyle w:val="Rimandonotadichiusura"/>
          <w:rFonts w:cs="Arial"/>
        </w:rPr>
        <w:endnoteReference w:id="112"/>
      </w:r>
      <w:r w:rsidRPr="00021DD2">
        <w:rPr>
          <w:rFonts w:cs="Arial"/>
        </w:rPr>
        <w:t xml:space="preserve"> </w:t>
      </w:r>
    </w:p>
    <w:p w:rsidR="00201952" w:rsidRPr="00021DD2" w:rsidRDefault="00201952" w:rsidP="00201952">
      <w:pPr>
        <w:rPr>
          <w:rFonts w:cs="Arial"/>
        </w:rPr>
      </w:pPr>
      <w:r w:rsidRPr="00021DD2">
        <w:rPr>
          <w:rFonts w:cs="Arial"/>
        </w:rPr>
        <w:t>The Australian Labor Party and the Australian Greens provided dissenting reports to the inquiry and highlighted their concerns about introducing mandatory minimum sentencing. They recommended that this Bill not be passed.</w:t>
      </w:r>
      <w:r w:rsidRPr="00021DD2">
        <w:rPr>
          <w:rStyle w:val="Rimandonotadichiusura"/>
          <w:rFonts w:cs="Arial"/>
        </w:rPr>
        <w:endnoteReference w:id="113"/>
      </w:r>
      <w:r w:rsidRPr="00021DD2">
        <w:rPr>
          <w:rFonts w:cs="Arial"/>
        </w:rPr>
        <w:t xml:space="preserve"> </w:t>
      </w:r>
    </w:p>
    <w:p w:rsidR="00201952" w:rsidRPr="00021DD2" w:rsidRDefault="00201952" w:rsidP="00201952">
      <w:pPr>
        <w:rPr>
          <w:rFonts w:cs="Arial"/>
        </w:rPr>
      </w:pPr>
      <w:r w:rsidRPr="00021DD2">
        <w:rPr>
          <w:rFonts w:cs="Arial"/>
        </w:rPr>
        <w:t xml:space="preserve">In November 2016, the PJCHR assessed the compatibility of human rights with this Bill and sought advice from the Minister for further clarification on how mandatory minimum sentencing would apply under the Bill. The PJCHR concluded that the Bill is incompatible with human rights, particularly the right </w:t>
      </w:r>
      <w:r w:rsidR="00542F67">
        <w:rPr>
          <w:rFonts w:cs="Arial"/>
        </w:rPr>
        <w:t>not to</w:t>
      </w:r>
      <w:r w:rsidRPr="00021DD2">
        <w:rPr>
          <w:rFonts w:cs="Arial"/>
        </w:rPr>
        <w:t xml:space="preserve"> be arbitrarily detained and the right to </w:t>
      </w:r>
      <w:r w:rsidR="00542F67">
        <w:rPr>
          <w:rFonts w:cs="Arial"/>
        </w:rPr>
        <w:t xml:space="preserve">a </w:t>
      </w:r>
      <w:r w:rsidRPr="00021DD2">
        <w:rPr>
          <w:rFonts w:cs="Arial"/>
        </w:rPr>
        <w:t>fair trial.</w:t>
      </w:r>
      <w:r w:rsidRPr="00021DD2">
        <w:rPr>
          <w:rStyle w:val="Rimandonotadichiusura"/>
          <w:rFonts w:cs="Arial"/>
        </w:rPr>
        <w:endnoteReference w:id="114"/>
      </w:r>
      <w:r w:rsidRPr="00021DD2">
        <w:rPr>
          <w:rFonts w:cs="Arial"/>
        </w:rPr>
        <w:t xml:space="preserve"> </w:t>
      </w:r>
    </w:p>
    <w:p w:rsidR="00201952" w:rsidRPr="00021DD2" w:rsidRDefault="00201952" w:rsidP="00201952">
      <w:pPr>
        <w:rPr>
          <w:rFonts w:cs="Arial"/>
        </w:rPr>
      </w:pPr>
      <w:r w:rsidRPr="00021DD2">
        <w:rPr>
          <w:rFonts w:cs="Arial"/>
        </w:rPr>
        <w:t>The Bill passed the Senate on 13 February 2017 following a number of amendments.</w:t>
      </w:r>
    </w:p>
    <w:p w:rsidR="00201952" w:rsidRPr="00021DD2" w:rsidRDefault="00201952" w:rsidP="00201952">
      <w:pPr>
        <w:rPr>
          <w:rFonts w:cs="Arial"/>
        </w:rPr>
      </w:pPr>
      <w:r w:rsidRPr="00814B3B">
        <w:rPr>
          <w:rFonts w:cs="Arial"/>
        </w:rPr>
        <w:t>The Bill is currently before the House of Representatives.</w:t>
      </w:r>
      <w:r w:rsidRPr="00814B3B">
        <w:rPr>
          <w:rStyle w:val="Rimandonotadichiusura"/>
          <w:rFonts w:cs="Arial"/>
        </w:rPr>
        <w:endnoteReference w:id="115"/>
      </w:r>
    </w:p>
    <w:p w:rsidR="00201952" w:rsidRPr="00E6007E" w:rsidRDefault="00201952" w:rsidP="00201952">
      <w:pPr>
        <w:pStyle w:val="Titolo4"/>
        <w:rPr>
          <w:rFonts w:cs="Arial"/>
          <w:b w:val="0"/>
          <w:lang w:val="en"/>
        </w:rPr>
      </w:pPr>
      <w:bookmarkStart w:id="72" w:name="_Toc495566736"/>
      <w:r w:rsidRPr="00E6007E">
        <w:rPr>
          <w:rFonts w:cs="Arial"/>
          <w:lang w:val="en"/>
        </w:rPr>
        <w:t>Migration Legislation Amendment (Regional Processing Cohort) Bill 2016 (Cth)</w:t>
      </w:r>
      <w:bookmarkEnd w:id="72"/>
    </w:p>
    <w:p w:rsidR="00201952" w:rsidRPr="00021DD2" w:rsidRDefault="00201952" w:rsidP="00201952">
      <w:pPr>
        <w:rPr>
          <w:rFonts w:cs="Arial"/>
          <w:lang w:val="en"/>
        </w:rPr>
      </w:pPr>
      <w:r w:rsidRPr="00021DD2">
        <w:rPr>
          <w:rFonts w:cs="Arial"/>
          <w:lang w:val="en"/>
        </w:rPr>
        <w:t>The Migration Legislation Amendment (Regional Processing Cohort) Bill 2016</w:t>
      </w:r>
      <w:r w:rsidR="00EF5E53" w:rsidRPr="00021DD2">
        <w:rPr>
          <w:rFonts w:cs="Arial"/>
          <w:lang w:val="en"/>
        </w:rPr>
        <w:t xml:space="preserve"> (Cth)</w:t>
      </w:r>
      <w:r w:rsidRPr="00021DD2">
        <w:rPr>
          <w:rFonts w:cs="Arial"/>
          <w:lang w:val="en"/>
        </w:rPr>
        <w:t xml:space="preserve"> was introduced </w:t>
      </w:r>
      <w:r w:rsidR="00814B3B">
        <w:rPr>
          <w:rFonts w:cs="Arial"/>
          <w:lang w:val="en"/>
        </w:rPr>
        <w:t>in</w:t>
      </w:r>
      <w:r w:rsidRPr="00021DD2">
        <w:rPr>
          <w:rFonts w:cs="Arial"/>
          <w:lang w:val="en"/>
        </w:rPr>
        <w:t xml:space="preserve">to the House of Representatives on 8 November 2016. </w:t>
      </w:r>
    </w:p>
    <w:p w:rsidR="00201952" w:rsidRPr="00021DD2" w:rsidRDefault="00201952" w:rsidP="00201952">
      <w:pPr>
        <w:autoSpaceDE w:val="0"/>
        <w:autoSpaceDN w:val="0"/>
        <w:adjustRightInd w:val="0"/>
        <w:spacing w:before="0" w:after="0"/>
        <w:rPr>
          <w:rFonts w:cs="Arial"/>
        </w:rPr>
      </w:pPr>
      <w:r w:rsidRPr="00A94CB4">
        <w:rPr>
          <w:rFonts w:cs="Arial"/>
        </w:rPr>
        <w:t>The Bill seeks to prevent</w:t>
      </w:r>
      <w:r w:rsidR="005E3210" w:rsidRPr="00A94CB4">
        <w:rPr>
          <w:rFonts w:cs="Arial"/>
        </w:rPr>
        <w:t xml:space="preserve"> unauthorised maritime arrivals and transitory </w:t>
      </w:r>
      <w:r w:rsidRPr="00A94CB4">
        <w:rPr>
          <w:rFonts w:cs="Arial"/>
        </w:rPr>
        <w:t>people</w:t>
      </w:r>
      <w:r w:rsidR="005E3210">
        <w:rPr>
          <w:rFonts w:cs="Arial"/>
        </w:rPr>
        <w:t xml:space="preserve"> (referred to as the designated regional processing cohort)</w:t>
      </w:r>
      <w:r w:rsidRPr="00021DD2">
        <w:rPr>
          <w:rFonts w:cs="Arial"/>
        </w:rPr>
        <w:t xml:space="preserve"> from applying for any Australian visa if they arrived in Australia by boat, were over 18 years of age at the time of arrival, and were taken to a regional processing country after 19 July 2013. According to the Explanatory Memorandum accompanying the Bill, the key objectives of this permanent bar are to maintain the integrity of Australia’s lawful migration programs and discourage hazardous boat journeys to Australia.</w:t>
      </w:r>
      <w:r w:rsidRPr="00021DD2">
        <w:rPr>
          <w:rStyle w:val="Rimandonotadichiusura"/>
          <w:rFonts w:cs="Arial"/>
        </w:rPr>
        <w:endnoteReference w:id="116"/>
      </w:r>
      <w:r w:rsidRPr="00021DD2">
        <w:rPr>
          <w:rFonts w:cs="Arial"/>
        </w:rPr>
        <w:t xml:space="preserve"> </w:t>
      </w:r>
    </w:p>
    <w:p w:rsidR="00201952" w:rsidRPr="00021DD2" w:rsidRDefault="00201952" w:rsidP="00201952">
      <w:pPr>
        <w:autoSpaceDE w:val="0"/>
        <w:autoSpaceDN w:val="0"/>
        <w:adjustRightInd w:val="0"/>
        <w:spacing w:before="0" w:after="0"/>
        <w:rPr>
          <w:rFonts w:cs="Arial"/>
        </w:rPr>
      </w:pPr>
      <w:r w:rsidRPr="00021DD2">
        <w:rPr>
          <w:rFonts w:cs="Arial"/>
        </w:rPr>
        <w:t>The proposed amendments may result in the separation, or continued separation, of a family unit where a non-citizen has family members in Australia. The Minister for Immigration and Border Protection will have discretion to lift the bar where the Minister thinks it is in the public interest to do so.</w:t>
      </w:r>
      <w:r w:rsidRPr="00021DD2">
        <w:rPr>
          <w:rStyle w:val="Rimandonotadichiusura"/>
          <w:rFonts w:cs="Arial"/>
        </w:rPr>
        <w:endnoteReference w:id="117"/>
      </w:r>
    </w:p>
    <w:p w:rsidR="00201952" w:rsidRPr="00021DD2" w:rsidRDefault="00201952" w:rsidP="00201952">
      <w:pPr>
        <w:rPr>
          <w:rFonts w:cs="Arial"/>
          <w:lang w:val="en"/>
        </w:rPr>
      </w:pPr>
      <w:r w:rsidRPr="00A94CB4">
        <w:rPr>
          <w:rFonts w:cs="Arial"/>
          <w:lang w:val="en"/>
        </w:rPr>
        <w:t>The Bill proposes to expand Min</w:t>
      </w:r>
      <w:r w:rsidR="005E3210" w:rsidRPr="00A94CB4">
        <w:rPr>
          <w:rFonts w:cs="Arial"/>
          <w:lang w:val="en"/>
        </w:rPr>
        <w:t>isterial discretion to</w:t>
      </w:r>
      <w:r w:rsidRPr="00A94CB4">
        <w:rPr>
          <w:rFonts w:cs="Arial"/>
          <w:lang w:val="en"/>
        </w:rPr>
        <w:t xml:space="preserve"> deny members of the designated regional processing cohort </w:t>
      </w:r>
      <w:r w:rsidR="005E3210" w:rsidRPr="00A94CB4">
        <w:rPr>
          <w:rFonts w:cs="Arial"/>
          <w:lang w:val="en"/>
        </w:rPr>
        <w:t>from making</w:t>
      </w:r>
      <w:r w:rsidRPr="00A94CB4">
        <w:rPr>
          <w:rFonts w:cs="Arial"/>
          <w:lang w:val="en"/>
        </w:rPr>
        <w:t xml:space="preserve"> a v</w:t>
      </w:r>
      <w:r w:rsidR="00EF5E53" w:rsidRPr="00A94CB4">
        <w:rPr>
          <w:rFonts w:cs="Arial"/>
          <w:lang w:val="en"/>
        </w:rPr>
        <w:t>alid visa application</w:t>
      </w:r>
      <w:r w:rsidR="00B63275" w:rsidRPr="00A94CB4">
        <w:rPr>
          <w:rFonts w:cs="Arial"/>
          <w:lang w:val="en"/>
        </w:rPr>
        <w:t>, rather than the applicants being considered</w:t>
      </w:r>
      <w:r w:rsidR="00EF5E53" w:rsidRPr="00A94CB4">
        <w:rPr>
          <w:rFonts w:cs="Arial"/>
          <w:lang w:val="en"/>
        </w:rPr>
        <w:t xml:space="preserve"> on a case-</w:t>
      </w:r>
      <w:r w:rsidRPr="00A94CB4">
        <w:rPr>
          <w:rFonts w:cs="Arial"/>
          <w:lang w:val="en"/>
        </w:rPr>
        <w:t>by</w:t>
      </w:r>
      <w:r w:rsidR="00EF5E53" w:rsidRPr="00A94CB4">
        <w:rPr>
          <w:rFonts w:cs="Arial"/>
          <w:lang w:val="en"/>
        </w:rPr>
        <w:t xml:space="preserve">-case </w:t>
      </w:r>
      <w:r w:rsidRPr="00A94CB4">
        <w:rPr>
          <w:rFonts w:cs="Arial"/>
          <w:lang w:val="en"/>
        </w:rPr>
        <w:t>basis. The</w:t>
      </w:r>
      <w:r w:rsidRPr="00021DD2">
        <w:rPr>
          <w:rFonts w:cs="Arial"/>
          <w:lang w:val="en"/>
        </w:rPr>
        <w:t xml:space="preserve"> authority of the Minister would also be expanded to prevent certain members from being granted special purpose visas.</w:t>
      </w:r>
      <w:r w:rsidRPr="00021DD2">
        <w:rPr>
          <w:rStyle w:val="Rimandonotadichiusura"/>
          <w:rFonts w:cs="Arial"/>
          <w:lang w:val="en"/>
        </w:rPr>
        <w:endnoteReference w:id="118"/>
      </w:r>
      <w:r w:rsidRPr="00021DD2">
        <w:rPr>
          <w:rFonts w:cs="Arial"/>
          <w:lang w:val="en"/>
        </w:rPr>
        <w:t xml:space="preserve"> The visa application restriction does not apply to persons who were under 18 at the time they were taken to a regional processing centre.</w:t>
      </w:r>
    </w:p>
    <w:p w:rsidR="00201952" w:rsidRPr="00021DD2" w:rsidRDefault="00201952" w:rsidP="00201952">
      <w:pPr>
        <w:rPr>
          <w:rFonts w:cs="Arial"/>
          <w:lang w:val="en"/>
        </w:rPr>
      </w:pPr>
      <w:r w:rsidRPr="00021DD2">
        <w:rPr>
          <w:rFonts w:cs="Arial"/>
          <w:lang w:val="en"/>
        </w:rPr>
        <w:t>The Bill recognises the limitations on the right of the child to make their own decisions due to the decisions made on their behalf by parents who have travelled to Australia to seek asylum.</w:t>
      </w:r>
      <w:r w:rsidRPr="00021DD2">
        <w:rPr>
          <w:rStyle w:val="Rimandonotadichiusura"/>
          <w:rFonts w:cs="Arial"/>
          <w:lang w:val="en"/>
        </w:rPr>
        <w:endnoteReference w:id="119"/>
      </w:r>
      <w:r w:rsidRPr="00021DD2">
        <w:rPr>
          <w:rFonts w:cs="Arial"/>
          <w:lang w:val="en"/>
        </w:rPr>
        <w:t xml:space="preserve"> </w:t>
      </w:r>
    </w:p>
    <w:p w:rsidR="00A81449" w:rsidRPr="00021DD2" w:rsidRDefault="00201952" w:rsidP="00201952">
      <w:pPr>
        <w:rPr>
          <w:rFonts w:cs="Arial"/>
          <w:lang w:val="en"/>
        </w:rPr>
      </w:pPr>
      <w:r w:rsidRPr="00021DD2">
        <w:rPr>
          <w:rFonts w:cs="Arial"/>
          <w:lang w:val="en"/>
        </w:rPr>
        <w:t>In November 2016</w:t>
      </w:r>
      <w:r w:rsidRPr="00A94CB4">
        <w:rPr>
          <w:rFonts w:cs="Arial"/>
          <w:lang w:val="en"/>
        </w:rPr>
        <w:t>, the PJCHR indicated that a permanent lifetime ban on a cohort will have a disproportionately negative effect on affected p</w:t>
      </w:r>
      <w:r w:rsidR="00A94CB4" w:rsidRPr="00A94CB4">
        <w:rPr>
          <w:rFonts w:cs="Arial"/>
          <w:lang w:val="en"/>
        </w:rPr>
        <w:t xml:space="preserve">ersons. </w:t>
      </w:r>
      <w:r w:rsidR="00A81449" w:rsidRPr="00A94CB4">
        <w:rPr>
          <w:rFonts w:cs="Arial"/>
          <w:lang w:val="en"/>
        </w:rPr>
        <w:t>The Committee noted</w:t>
      </w:r>
      <w:r w:rsidRPr="00A94CB4">
        <w:rPr>
          <w:rFonts w:cs="Arial"/>
          <w:lang w:val="en"/>
        </w:rPr>
        <w:t xml:space="preserve"> that </w:t>
      </w:r>
      <w:r w:rsidR="00A81449" w:rsidRPr="00A94CB4">
        <w:rPr>
          <w:rFonts w:cs="Arial"/>
          <w:lang w:val="en"/>
        </w:rPr>
        <w:t xml:space="preserve">the proposal to permanently ban </w:t>
      </w:r>
      <w:r w:rsidRPr="00A94CB4">
        <w:rPr>
          <w:rFonts w:cs="Arial"/>
          <w:lang w:val="en"/>
        </w:rPr>
        <w:t>this cohort from making a valid visa applicatio</w:t>
      </w:r>
      <w:r w:rsidR="005A2D3F" w:rsidRPr="00A94CB4">
        <w:rPr>
          <w:rFonts w:cs="Arial"/>
          <w:lang w:val="en"/>
        </w:rPr>
        <w:t>n to Australia is</w:t>
      </w:r>
      <w:r w:rsidRPr="00A94CB4">
        <w:rPr>
          <w:rFonts w:cs="Arial"/>
          <w:lang w:val="en"/>
        </w:rPr>
        <w:t xml:space="preserve"> </w:t>
      </w:r>
      <w:r w:rsidR="00226618" w:rsidRPr="00A94CB4">
        <w:rPr>
          <w:rFonts w:cs="Arial"/>
          <w:lang w:val="en"/>
        </w:rPr>
        <w:t xml:space="preserve">a </w:t>
      </w:r>
      <w:r w:rsidR="005A2D3F" w:rsidRPr="00A94CB4">
        <w:rPr>
          <w:rFonts w:cs="Arial"/>
          <w:lang w:val="en"/>
        </w:rPr>
        <w:t>‘</w:t>
      </w:r>
      <w:r w:rsidR="00226618" w:rsidRPr="00A94CB4">
        <w:rPr>
          <w:rFonts w:cs="Arial"/>
          <w:lang w:val="en"/>
        </w:rPr>
        <w:t>severe and exceptional step</w:t>
      </w:r>
      <w:r w:rsidR="005A2D3F" w:rsidRPr="00A94CB4">
        <w:rPr>
          <w:rFonts w:cs="Arial"/>
          <w:lang w:val="en"/>
        </w:rPr>
        <w:t>’</w:t>
      </w:r>
      <w:r w:rsidRPr="00A94CB4">
        <w:rPr>
          <w:rFonts w:cs="Arial"/>
          <w:lang w:val="en"/>
        </w:rPr>
        <w:t>.</w:t>
      </w:r>
      <w:r w:rsidR="00226618" w:rsidRPr="00A94CB4">
        <w:rPr>
          <w:rStyle w:val="Rimandonotadichiusura"/>
          <w:rFonts w:cs="Arial"/>
          <w:lang w:val="en"/>
        </w:rPr>
        <w:endnoteReference w:id="120"/>
      </w:r>
      <w:r w:rsidRPr="00021DD2">
        <w:rPr>
          <w:rFonts w:cs="Arial"/>
          <w:lang w:val="en"/>
        </w:rPr>
        <w:t xml:space="preserve"> The Committee also noted that the Bill is not compatible with the right</w:t>
      </w:r>
      <w:r w:rsidR="00EF5E53" w:rsidRPr="00021DD2">
        <w:rPr>
          <w:rFonts w:cs="Arial"/>
          <w:lang w:val="en"/>
        </w:rPr>
        <w:t>s</w:t>
      </w:r>
      <w:r w:rsidRPr="00021DD2">
        <w:rPr>
          <w:rFonts w:cs="Arial"/>
          <w:lang w:val="en"/>
        </w:rPr>
        <w:t xml:space="preserve"> to equality and non-discrimination and requested further advice from the Minister for Immigration and Border Protection.</w:t>
      </w:r>
      <w:r w:rsidRPr="00021DD2">
        <w:rPr>
          <w:rStyle w:val="Rimandonotadichiusura"/>
          <w:rFonts w:cs="Arial"/>
          <w:lang w:val="en"/>
        </w:rPr>
        <w:endnoteReference w:id="121"/>
      </w:r>
    </w:p>
    <w:p w:rsidR="00201952" w:rsidRPr="00021DD2" w:rsidRDefault="00201952" w:rsidP="00201952">
      <w:pPr>
        <w:rPr>
          <w:rFonts w:cs="Arial"/>
          <w:lang w:val="en"/>
        </w:rPr>
      </w:pPr>
      <w:r w:rsidRPr="00021DD2">
        <w:rPr>
          <w:rFonts w:cs="Arial"/>
          <w:lang w:val="en"/>
        </w:rPr>
        <w:t>The PJCHR further highlighted that the Bill limits the right to protection</w:t>
      </w:r>
      <w:r w:rsidR="00874FDC">
        <w:rPr>
          <w:rFonts w:cs="Arial"/>
          <w:lang w:val="en"/>
        </w:rPr>
        <w:t xml:space="preserve"> of the</w:t>
      </w:r>
      <w:r w:rsidRPr="00021DD2">
        <w:rPr>
          <w:rFonts w:cs="Arial"/>
          <w:lang w:val="en"/>
        </w:rPr>
        <w:t xml:space="preserve"> family and the rights of the child due to the likely separation of families.</w:t>
      </w:r>
      <w:r w:rsidRPr="00021DD2">
        <w:rPr>
          <w:rStyle w:val="Rimandonotadichiusura"/>
          <w:rFonts w:cs="Arial"/>
          <w:lang w:val="en"/>
        </w:rPr>
        <w:endnoteReference w:id="122"/>
      </w:r>
      <w:r w:rsidRPr="00021DD2">
        <w:rPr>
          <w:rFonts w:cs="Arial"/>
          <w:lang w:val="en"/>
        </w:rPr>
        <w:t xml:space="preserve"> It notes the Minister’s discretionary powers in the context of the scheme, in relation to the protection of families, to lift the visa ban where the Minister thinks it is in the public interest to do so. The PJCHR considered that the exercise of the discretionary safeguard had the potential to relieve some of the harshness of the visa ban. However, it noted that the default position, without the Minister</w:t>
      </w:r>
      <w:r w:rsidR="00EF5E53" w:rsidRPr="00021DD2">
        <w:rPr>
          <w:rFonts w:cs="Arial"/>
          <w:lang w:val="en"/>
        </w:rPr>
        <w:t>’</w:t>
      </w:r>
      <w:r w:rsidRPr="00021DD2">
        <w:rPr>
          <w:rFonts w:cs="Arial"/>
          <w:lang w:val="en"/>
        </w:rPr>
        <w:t>s intervention, would likely be for families to remain separated.</w:t>
      </w:r>
      <w:r w:rsidRPr="00021DD2">
        <w:rPr>
          <w:rStyle w:val="Rimandonotadichiusura"/>
          <w:rFonts w:cs="Arial"/>
          <w:lang w:val="en"/>
        </w:rPr>
        <w:endnoteReference w:id="123"/>
      </w:r>
      <w:r w:rsidRPr="00021DD2">
        <w:rPr>
          <w:rFonts w:cs="Arial"/>
          <w:lang w:val="en"/>
        </w:rPr>
        <w:t xml:space="preserve"> </w:t>
      </w:r>
    </w:p>
    <w:p w:rsidR="00201952" w:rsidRPr="00021DD2" w:rsidRDefault="00201952" w:rsidP="00201952">
      <w:pPr>
        <w:rPr>
          <w:rFonts w:cs="Arial"/>
          <w:lang w:val="en"/>
        </w:rPr>
      </w:pPr>
      <w:r w:rsidRPr="00021DD2">
        <w:rPr>
          <w:rFonts w:cs="Arial"/>
          <w:lang w:val="en"/>
        </w:rPr>
        <w:t>The PJCHR sought further advice from the Minister regarding the rational connection between the limitation and the stated objective (</w:t>
      </w:r>
      <w:r w:rsidR="005A2D3F" w:rsidRPr="0015374A">
        <w:rPr>
          <w:rFonts w:cs="Arial"/>
          <w:lang w:val="en"/>
        </w:rPr>
        <w:t>ie</w:t>
      </w:r>
      <w:r w:rsidR="00EF5E53" w:rsidRPr="00021DD2">
        <w:rPr>
          <w:rFonts w:cs="Arial"/>
          <w:lang w:val="en"/>
        </w:rPr>
        <w:t xml:space="preserve"> </w:t>
      </w:r>
      <w:r w:rsidRPr="00021DD2">
        <w:rPr>
          <w:rFonts w:cs="Arial"/>
          <w:lang w:val="en"/>
        </w:rPr>
        <w:t>evidence that the measure will be effective) and whether the limitation could be considered to be reasonable and proportionate (are</w:t>
      </w:r>
      <w:r w:rsidR="00EF5E53" w:rsidRPr="00021DD2">
        <w:rPr>
          <w:rFonts w:cs="Arial"/>
          <w:lang w:val="en"/>
        </w:rPr>
        <w:t xml:space="preserve"> there</w:t>
      </w:r>
      <w:r w:rsidRPr="00021DD2">
        <w:rPr>
          <w:rFonts w:cs="Arial"/>
          <w:lang w:val="en"/>
        </w:rPr>
        <w:t xml:space="preserve"> other less rights-restrictive ways to achieve the stated objective).</w:t>
      </w:r>
      <w:r w:rsidRPr="00021DD2">
        <w:rPr>
          <w:rStyle w:val="Rimandonotadichiusura"/>
          <w:rFonts w:cs="Arial"/>
          <w:lang w:val="en"/>
        </w:rPr>
        <w:endnoteReference w:id="124"/>
      </w:r>
    </w:p>
    <w:p w:rsidR="00201952" w:rsidRPr="00021DD2" w:rsidRDefault="00201952" w:rsidP="00201952">
      <w:pPr>
        <w:rPr>
          <w:rFonts w:cs="Arial"/>
          <w:lang w:val="en"/>
        </w:rPr>
      </w:pPr>
      <w:r w:rsidRPr="00021DD2">
        <w:rPr>
          <w:rFonts w:cs="Arial"/>
          <w:lang w:val="en"/>
        </w:rPr>
        <w:t>The Bill was referred to the Senate Legal and Constitutional Affairs Committee for inquiry in November 2016. In its submission to this inquiry, the Australian Human Rights Commission s</w:t>
      </w:r>
      <w:r w:rsidR="005A2D3F">
        <w:rPr>
          <w:rFonts w:cs="Arial"/>
          <w:lang w:val="en"/>
        </w:rPr>
        <w:t>aid</w:t>
      </w:r>
      <w:r w:rsidRPr="00021DD2">
        <w:rPr>
          <w:rFonts w:cs="Arial"/>
          <w:lang w:val="en"/>
        </w:rPr>
        <w:t xml:space="preserve"> that the Bill would limit human rights without appropriate justification, as a permanent non-reviewable bar on visa applications does not appear to be necessary, reasonable or proportionate. It recommended the Bill not be passed.</w:t>
      </w:r>
      <w:r w:rsidRPr="00021DD2">
        <w:rPr>
          <w:rStyle w:val="Rimandonotadichiusura"/>
          <w:rFonts w:cs="Arial"/>
          <w:lang w:val="en"/>
        </w:rPr>
        <w:endnoteReference w:id="125"/>
      </w:r>
      <w:r w:rsidRPr="00021DD2">
        <w:rPr>
          <w:rFonts w:cs="Arial"/>
          <w:lang w:val="en"/>
        </w:rPr>
        <w:t xml:space="preserve"> The Commission </w:t>
      </w:r>
      <w:r w:rsidR="00D4785B">
        <w:rPr>
          <w:rFonts w:cs="Arial"/>
          <w:lang w:val="en"/>
        </w:rPr>
        <w:t>was also concerned</w:t>
      </w:r>
      <w:r w:rsidRPr="00021DD2">
        <w:rPr>
          <w:rFonts w:cs="Arial"/>
          <w:lang w:val="en"/>
        </w:rPr>
        <w:t xml:space="preserve"> that the visa bar could lead to the prolonged separation of family members. Further, the Commission noted that the Minister’s discretionary powers under the Bill are to be guided by a broad public interest test only, without a requirement to have regard for Australia’s international obligations, or the best interests of children and families.</w:t>
      </w:r>
      <w:r w:rsidRPr="00021DD2">
        <w:rPr>
          <w:rStyle w:val="Rimandonotadichiusura"/>
          <w:rFonts w:cs="Arial"/>
          <w:lang w:val="en"/>
        </w:rPr>
        <w:endnoteReference w:id="126"/>
      </w:r>
    </w:p>
    <w:p w:rsidR="00201952" w:rsidRPr="00021DD2" w:rsidRDefault="00201952" w:rsidP="00201952">
      <w:pPr>
        <w:rPr>
          <w:rFonts w:cs="Arial"/>
          <w:lang w:val="en"/>
        </w:rPr>
      </w:pPr>
      <w:r w:rsidRPr="00021DD2">
        <w:rPr>
          <w:rFonts w:cs="Arial"/>
          <w:lang w:val="en"/>
        </w:rPr>
        <w:t>The Bill is currently before the Senate.</w:t>
      </w:r>
      <w:r w:rsidRPr="00021DD2">
        <w:rPr>
          <w:rStyle w:val="Rimandonotadichiusura"/>
          <w:rFonts w:cs="Arial"/>
          <w:lang w:val="en"/>
        </w:rPr>
        <w:endnoteReference w:id="127"/>
      </w:r>
    </w:p>
    <w:p w:rsidR="00720B16" w:rsidRPr="00E6007E" w:rsidRDefault="00720B16" w:rsidP="00720B16">
      <w:pPr>
        <w:pStyle w:val="Titolo4"/>
        <w:rPr>
          <w:rFonts w:cs="Arial"/>
          <w:b w:val="0"/>
        </w:rPr>
      </w:pPr>
      <w:bookmarkStart w:id="73" w:name="_Toc495566737"/>
      <w:r w:rsidRPr="00E6007E">
        <w:rPr>
          <w:rFonts w:cs="Arial"/>
        </w:rPr>
        <w:t>Criminal Code Amendment (Protecting Minors Online) Bill 2017 (Cth)</w:t>
      </w:r>
      <w:bookmarkEnd w:id="73"/>
    </w:p>
    <w:p w:rsidR="00720B16" w:rsidRPr="00021DD2" w:rsidRDefault="00720B16" w:rsidP="00720B16">
      <w:pPr>
        <w:rPr>
          <w:rFonts w:cs="Arial"/>
          <w:lang w:val="en"/>
        </w:rPr>
      </w:pPr>
      <w:r w:rsidRPr="00021DD2">
        <w:rPr>
          <w:rFonts w:cs="Arial"/>
          <w:lang w:val="en"/>
        </w:rPr>
        <w:t>The Criminal Code Amendment (Protecting Minors Online) Bill 2017</w:t>
      </w:r>
      <w:r w:rsidR="00EF5E53" w:rsidRPr="00021DD2">
        <w:rPr>
          <w:rFonts w:cs="Arial"/>
          <w:lang w:val="en"/>
        </w:rPr>
        <w:t xml:space="preserve"> (Cth)</w:t>
      </w:r>
      <w:r w:rsidRPr="00021DD2">
        <w:rPr>
          <w:rFonts w:cs="Arial"/>
          <w:lang w:val="en"/>
        </w:rPr>
        <w:t xml:space="preserve"> was introduced </w:t>
      </w:r>
      <w:r w:rsidR="00D4785B">
        <w:rPr>
          <w:rFonts w:cs="Arial"/>
          <w:lang w:val="en"/>
        </w:rPr>
        <w:t>in</w:t>
      </w:r>
      <w:r w:rsidRPr="00021DD2">
        <w:rPr>
          <w:rFonts w:cs="Arial"/>
          <w:lang w:val="en"/>
        </w:rPr>
        <w:t xml:space="preserve">to the House of Representatives on 30 March 2017. </w:t>
      </w:r>
    </w:p>
    <w:p w:rsidR="00720B16" w:rsidRPr="00021DD2" w:rsidRDefault="00720B16" w:rsidP="00720B16">
      <w:pPr>
        <w:rPr>
          <w:rFonts w:cs="Arial"/>
          <w:lang w:val="en"/>
        </w:rPr>
      </w:pPr>
      <w:r w:rsidRPr="00021DD2">
        <w:rPr>
          <w:rFonts w:cs="Arial"/>
          <w:lang w:val="en"/>
        </w:rPr>
        <w:t xml:space="preserve">The Bill sought to amend the </w:t>
      </w:r>
      <w:r w:rsidRPr="00021DD2">
        <w:rPr>
          <w:rFonts w:cs="Arial"/>
          <w:i/>
          <w:lang w:val="en"/>
        </w:rPr>
        <w:t>Criminal Code Act 1995</w:t>
      </w:r>
      <w:r w:rsidRPr="00021DD2">
        <w:rPr>
          <w:rFonts w:cs="Arial"/>
          <w:lang w:val="en"/>
        </w:rPr>
        <w:t xml:space="preserve"> (Cth), the </w:t>
      </w:r>
      <w:r w:rsidRPr="00021DD2">
        <w:rPr>
          <w:rFonts w:cs="Arial"/>
          <w:i/>
          <w:lang w:val="en"/>
        </w:rPr>
        <w:t>Crimes Act 1914</w:t>
      </w:r>
      <w:r w:rsidRPr="00021DD2">
        <w:rPr>
          <w:rFonts w:cs="Arial"/>
          <w:lang w:val="en"/>
        </w:rPr>
        <w:t xml:space="preserve"> (Cth) and the </w:t>
      </w:r>
      <w:r w:rsidRPr="00021DD2">
        <w:rPr>
          <w:rFonts w:cs="Arial"/>
          <w:i/>
          <w:lang w:val="en"/>
        </w:rPr>
        <w:t>Telecommunications (Interception and Access) Act 1979</w:t>
      </w:r>
      <w:r w:rsidRPr="00021DD2">
        <w:rPr>
          <w:rFonts w:cs="Arial"/>
          <w:lang w:val="en"/>
        </w:rPr>
        <w:t xml:space="preserve"> (Cth) for the purpose of criminalising the preparation or planning of activities that cause harm to</w:t>
      </w:r>
      <w:r w:rsidR="00EF5E53" w:rsidRPr="00021DD2">
        <w:rPr>
          <w:rFonts w:cs="Arial"/>
          <w:lang w:val="en"/>
        </w:rPr>
        <w:t>,</w:t>
      </w:r>
      <w:r w:rsidRPr="00021DD2">
        <w:rPr>
          <w:rFonts w:cs="Arial"/>
          <w:lang w:val="en"/>
        </w:rPr>
        <w:t xml:space="preserve"> or procure the engagement of sexual activity with</w:t>
      </w:r>
      <w:r w:rsidR="00EF5E53" w:rsidRPr="00021DD2">
        <w:rPr>
          <w:rFonts w:cs="Arial"/>
          <w:lang w:val="en"/>
        </w:rPr>
        <w:t>,</w:t>
      </w:r>
      <w:r w:rsidRPr="00021DD2">
        <w:rPr>
          <w:rFonts w:cs="Arial"/>
          <w:lang w:val="en"/>
        </w:rPr>
        <w:t xml:space="preserve"> a person under the age of 16</w:t>
      </w:r>
      <w:r w:rsidR="00EF5E53" w:rsidRPr="00021DD2">
        <w:rPr>
          <w:rFonts w:cs="Arial"/>
          <w:lang w:val="en"/>
        </w:rPr>
        <w:t xml:space="preserve"> years</w:t>
      </w:r>
      <w:r w:rsidRPr="00021DD2">
        <w:rPr>
          <w:rFonts w:cs="Arial"/>
          <w:lang w:val="en"/>
        </w:rPr>
        <w:t>. It aimed to improve the protection of minors from online predators by allowing early intervention of law enforcement prior to harm or sexual activity taking place.</w:t>
      </w:r>
      <w:r w:rsidRPr="00021DD2">
        <w:rPr>
          <w:rStyle w:val="Rimandonotadichiusura"/>
          <w:rFonts w:cs="Arial"/>
          <w:lang w:val="en"/>
        </w:rPr>
        <w:endnoteReference w:id="128"/>
      </w:r>
    </w:p>
    <w:p w:rsidR="00720B16" w:rsidRPr="00021DD2" w:rsidRDefault="00720B16" w:rsidP="00720B16">
      <w:pPr>
        <w:rPr>
          <w:rFonts w:cs="Arial"/>
          <w:lang w:val="en"/>
        </w:rPr>
      </w:pPr>
      <w:r w:rsidRPr="00021DD2">
        <w:rPr>
          <w:rFonts w:cs="Arial"/>
          <w:lang w:val="en"/>
        </w:rPr>
        <w:t>The Statement of Compatibility concluded that the Bill’s aim of preventing harm and sexual exploitation of children warranted some human rights limitations identified in the Bill, and that those limitations are reasonable, necessary and proportionate.</w:t>
      </w:r>
      <w:r w:rsidRPr="00021DD2">
        <w:rPr>
          <w:rStyle w:val="Rimandonotadichiusura"/>
          <w:rFonts w:cs="Arial"/>
          <w:lang w:val="en"/>
        </w:rPr>
        <w:endnoteReference w:id="129"/>
      </w:r>
      <w:r w:rsidRPr="00021DD2">
        <w:rPr>
          <w:rFonts w:cs="Arial"/>
          <w:lang w:val="en"/>
        </w:rPr>
        <w:t xml:space="preserve"> </w:t>
      </w:r>
    </w:p>
    <w:p w:rsidR="00720B16" w:rsidRPr="00021DD2" w:rsidRDefault="00720B16" w:rsidP="00720B16">
      <w:pPr>
        <w:rPr>
          <w:rFonts w:cs="Arial"/>
          <w:lang w:val="en"/>
        </w:rPr>
      </w:pPr>
      <w:r w:rsidRPr="00021DD2">
        <w:rPr>
          <w:rFonts w:cs="Arial"/>
          <w:lang w:val="en"/>
        </w:rPr>
        <w:t>In May 2017, the PJCHR indicated that this Bill did not raise any human rights concerns.</w:t>
      </w:r>
      <w:r w:rsidRPr="00021DD2">
        <w:rPr>
          <w:rStyle w:val="Rimandonotadichiusura"/>
          <w:rFonts w:cs="Arial"/>
          <w:lang w:val="en"/>
        </w:rPr>
        <w:endnoteReference w:id="130"/>
      </w:r>
    </w:p>
    <w:p w:rsidR="00720B16" w:rsidRPr="00021DD2" w:rsidRDefault="00720B16" w:rsidP="00720B16">
      <w:pPr>
        <w:rPr>
          <w:rFonts w:cs="Arial"/>
          <w:lang w:val="en"/>
        </w:rPr>
      </w:pPr>
      <w:r w:rsidRPr="00021DD2">
        <w:rPr>
          <w:rFonts w:cs="Arial"/>
          <w:lang w:val="en"/>
        </w:rPr>
        <w:t xml:space="preserve">The Bill was referred to the Senate Legal and Constitutional Affairs Legislation Committee in March </w:t>
      </w:r>
      <w:r w:rsidR="00EF5E53" w:rsidRPr="00021DD2">
        <w:rPr>
          <w:rFonts w:cs="Arial"/>
          <w:lang w:val="en"/>
        </w:rPr>
        <w:t xml:space="preserve">2017 </w:t>
      </w:r>
      <w:r w:rsidRPr="00021DD2">
        <w:rPr>
          <w:rFonts w:cs="Arial"/>
          <w:lang w:val="en"/>
        </w:rPr>
        <w:t xml:space="preserve">and was reported on in June 2017. </w:t>
      </w:r>
    </w:p>
    <w:p w:rsidR="00720B16" w:rsidRPr="00021DD2" w:rsidRDefault="00720B16" w:rsidP="00720B16">
      <w:pPr>
        <w:rPr>
          <w:rFonts w:cs="Arial"/>
          <w:lang w:val="en"/>
        </w:rPr>
      </w:pPr>
      <w:r w:rsidRPr="00021DD2">
        <w:rPr>
          <w:rFonts w:cs="Arial"/>
          <w:lang w:val="en"/>
        </w:rPr>
        <w:t>That Committee concluded that, unlike previous bills, the proposed amendments achieved the correct balance between protecting minors from online predators, and safeguarding the rights of all Australians. The Committee recommended that this Bill be passed.</w:t>
      </w:r>
      <w:r w:rsidRPr="00021DD2">
        <w:rPr>
          <w:rStyle w:val="Rimandonotadichiusura"/>
          <w:rFonts w:cs="Arial"/>
          <w:lang w:val="en"/>
        </w:rPr>
        <w:endnoteReference w:id="131"/>
      </w:r>
    </w:p>
    <w:p w:rsidR="00720B16" w:rsidRPr="00021DD2" w:rsidRDefault="00720B16" w:rsidP="00720B16">
      <w:pPr>
        <w:rPr>
          <w:rFonts w:cs="Arial"/>
          <w:lang w:val="en"/>
        </w:rPr>
      </w:pPr>
      <w:r w:rsidRPr="00021DD2">
        <w:rPr>
          <w:rFonts w:cs="Arial"/>
          <w:lang w:val="en"/>
        </w:rPr>
        <w:t>A dissenting report by the Australian Greens raised concerns about the breadth of the offence and considered that the Bill established liability too early in the criminal process.</w:t>
      </w:r>
      <w:r w:rsidRPr="00021DD2">
        <w:rPr>
          <w:rStyle w:val="Rimandonotadichiusura"/>
          <w:rFonts w:cs="Arial"/>
          <w:lang w:val="en"/>
        </w:rPr>
        <w:endnoteReference w:id="132"/>
      </w:r>
    </w:p>
    <w:p w:rsidR="00720B16" w:rsidRPr="00021DD2" w:rsidRDefault="00720B16" w:rsidP="00720B16">
      <w:pPr>
        <w:rPr>
          <w:rFonts w:cs="Arial"/>
          <w:lang w:val="en"/>
        </w:rPr>
      </w:pPr>
      <w:r w:rsidRPr="00021DD2">
        <w:rPr>
          <w:rFonts w:cs="Arial"/>
          <w:lang w:val="en"/>
        </w:rPr>
        <w:t>The Bill passed both Houses of Parliament on 15 June 2017 and received Royal Assent on 22 June 2017.</w:t>
      </w:r>
      <w:r w:rsidRPr="00021DD2">
        <w:rPr>
          <w:rStyle w:val="Rimandonotadichiusura"/>
          <w:rFonts w:cs="Arial"/>
          <w:lang w:val="en"/>
        </w:rPr>
        <w:endnoteReference w:id="133"/>
      </w:r>
    </w:p>
    <w:p w:rsidR="00720B16" w:rsidRPr="00E6007E" w:rsidRDefault="00720B16" w:rsidP="00720B16">
      <w:pPr>
        <w:pStyle w:val="Titolo4"/>
        <w:rPr>
          <w:rFonts w:cs="Arial"/>
          <w:b w:val="0"/>
          <w:lang w:val="en"/>
        </w:rPr>
      </w:pPr>
      <w:bookmarkStart w:id="74" w:name="_Toc495566738"/>
      <w:r w:rsidRPr="00E6007E">
        <w:rPr>
          <w:rFonts w:cs="Arial"/>
          <w:lang w:val="en"/>
        </w:rPr>
        <w:t>Criminal Code Amendment (Misrepresentation of Age to a Minor) Bill 2016 (Cth)</w:t>
      </w:r>
      <w:bookmarkEnd w:id="74"/>
      <w:r w:rsidR="00EF5E53" w:rsidRPr="00E6007E">
        <w:rPr>
          <w:rFonts w:cs="Arial"/>
          <w:lang w:val="en"/>
        </w:rPr>
        <w:t xml:space="preserve"> (Carly’s law)</w:t>
      </w:r>
      <w:r w:rsidR="00C02F51" w:rsidRPr="00E6007E">
        <w:rPr>
          <w:rFonts w:cs="Arial"/>
          <w:lang w:val="en"/>
        </w:rPr>
        <w:t xml:space="preserve"> </w:t>
      </w:r>
    </w:p>
    <w:p w:rsidR="00720B16" w:rsidRPr="00021DD2" w:rsidRDefault="00720B16" w:rsidP="00720B16">
      <w:pPr>
        <w:rPr>
          <w:rFonts w:cs="Arial"/>
          <w:lang w:val="en"/>
        </w:rPr>
      </w:pPr>
      <w:r w:rsidRPr="00021DD2">
        <w:rPr>
          <w:rFonts w:cs="Arial"/>
          <w:lang w:val="en"/>
        </w:rPr>
        <w:t xml:space="preserve">The Criminal Code Amendment (Misrepresentation of Age to a Minor) Bill 2016 (Cth) was introduced </w:t>
      </w:r>
      <w:r w:rsidR="00D4785B">
        <w:rPr>
          <w:rFonts w:cs="Arial"/>
          <w:lang w:val="en"/>
        </w:rPr>
        <w:t>in</w:t>
      </w:r>
      <w:r w:rsidRPr="00021DD2">
        <w:rPr>
          <w:rFonts w:cs="Arial"/>
          <w:lang w:val="en"/>
        </w:rPr>
        <w:t>to the Senate on 12 Oc</w:t>
      </w:r>
      <w:r w:rsidR="00D4785B">
        <w:rPr>
          <w:rFonts w:cs="Arial"/>
          <w:lang w:val="en"/>
        </w:rPr>
        <w:t>tober 2016 as a private member’s</w:t>
      </w:r>
      <w:r w:rsidRPr="00021DD2">
        <w:rPr>
          <w:rFonts w:cs="Arial"/>
          <w:lang w:val="en"/>
        </w:rPr>
        <w:t xml:space="preserve"> Bill. The Bill was in response to representations by Sonya Ryan, the mother of Carly Ryan who was murdered by a </w:t>
      </w:r>
      <w:r w:rsidR="00AB1F86" w:rsidRPr="00021DD2">
        <w:rPr>
          <w:rFonts w:cs="Arial"/>
          <w:lang w:val="en"/>
        </w:rPr>
        <w:t>paedophile who groomed Carly on</w:t>
      </w:r>
      <w:r w:rsidRPr="00021DD2">
        <w:rPr>
          <w:rFonts w:cs="Arial"/>
          <w:lang w:val="en"/>
        </w:rPr>
        <w:t xml:space="preserve">line by misrepresenting himself as a young person. </w:t>
      </w:r>
    </w:p>
    <w:p w:rsidR="00720B16" w:rsidRPr="00021DD2" w:rsidRDefault="00720B16" w:rsidP="00720B16">
      <w:pPr>
        <w:rPr>
          <w:rFonts w:cs="Arial"/>
          <w:lang w:val="en"/>
        </w:rPr>
      </w:pPr>
      <w:r w:rsidRPr="00021DD2">
        <w:rPr>
          <w:rFonts w:cs="Arial"/>
          <w:lang w:val="en"/>
        </w:rPr>
        <w:t xml:space="preserve">The purpose of this Bill is to amend the </w:t>
      </w:r>
      <w:r w:rsidRPr="00021DD2">
        <w:rPr>
          <w:rFonts w:cs="Arial"/>
          <w:i/>
          <w:lang w:val="en"/>
        </w:rPr>
        <w:t>Criminal Code Act 1995</w:t>
      </w:r>
      <w:r w:rsidR="00AB1F86" w:rsidRPr="00021DD2">
        <w:rPr>
          <w:rFonts w:cs="Arial"/>
          <w:lang w:val="en"/>
        </w:rPr>
        <w:t xml:space="preserve"> (Cth)</w:t>
      </w:r>
      <w:r w:rsidRPr="00021DD2">
        <w:rPr>
          <w:rFonts w:cs="Arial"/>
          <w:lang w:val="en"/>
        </w:rPr>
        <w:t xml:space="preserve"> to make it a criminal offence for a person of 18 years or over to misrepresent their age to a person who is 16</w:t>
      </w:r>
      <w:r w:rsidR="00F7448B" w:rsidRPr="00021DD2">
        <w:rPr>
          <w:rFonts w:cs="Arial"/>
          <w:lang w:val="en"/>
        </w:rPr>
        <w:t xml:space="preserve"> years</w:t>
      </w:r>
      <w:r w:rsidRPr="00021DD2">
        <w:rPr>
          <w:rFonts w:cs="Arial"/>
          <w:lang w:val="en"/>
        </w:rPr>
        <w:t xml:space="preserve"> or under</w:t>
      </w:r>
      <w:r w:rsidR="00F7448B" w:rsidRPr="00021DD2">
        <w:rPr>
          <w:rFonts w:cs="Arial"/>
          <w:lang w:val="en"/>
        </w:rPr>
        <w:t>,</w:t>
      </w:r>
      <w:r w:rsidRPr="00021DD2">
        <w:rPr>
          <w:rFonts w:cs="Arial"/>
          <w:lang w:val="en"/>
        </w:rPr>
        <w:t xml:space="preserve"> with the intent of arranging a physical meeting or committing an offence. </w:t>
      </w:r>
    </w:p>
    <w:p w:rsidR="00720B16" w:rsidRPr="00021DD2" w:rsidRDefault="00720B16" w:rsidP="00720B16">
      <w:pPr>
        <w:rPr>
          <w:rFonts w:cs="Arial"/>
          <w:lang w:val="en"/>
        </w:rPr>
      </w:pPr>
      <w:r w:rsidRPr="00021DD2">
        <w:rPr>
          <w:rFonts w:cs="Arial"/>
          <w:lang w:val="en"/>
        </w:rPr>
        <w:t xml:space="preserve">In November 2016, the PJCHR commented that the Bill does not require additional comment as it did not raise human rights concerns. </w:t>
      </w:r>
    </w:p>
    <w:p w:rsidR="00720B16" w:rsidRPr="00021DD2" w:rsidRDefault="00720B16" w:rsidP="00720B16">
      <w:pPr>
        <w:rPr>
          <w:rFonts w:cs="Arial"/>
          <w:lang w:val="en"/>
        </w:rPr>
      </w:pPr>
      <w:r w:rsidRPr="00021DD2">
        <w:rPr>
          <w:rFonts w:cs="Arial"/>
          <w:lang w:val="en"/>
        </w:rPr>
        <w:t xml:space="preserve">This Bill is unlikely to proceed given that it has been superseded by the </w:t>
      </w:r>
      <w:r w:rsidRPr="00021DD2">
        <w:rPr>
          <w:rFonts w:cs="Arial"/>
          <w:i/>
          <w:lang w:val="en"/>
        </w:rPr>
        <w:t>Criminal Code Amendment (Protection of Minors Online) Act 2017</w:t>
      </w:r>
      <w:r w:rsidR="00F7448B" w:rsidRPr="00021DD2">
        <w:rPr>
          <w:rFonts w:cs="Arial"/>
          <w:lang w:val="en"/>
        </w:rPr>
        <w:t xml:space="preserve"> (Cth). </w:t>
      </w:r>
    </w:p>
    <w:p w:rsidR="00720B16" w:rsidRPr="00E6007E" w:rsidRDefault="00720B16" w:rsidP="00720B16">
      <w:pPr>
        <w:pStyle w:val="Titolo4"/>
        <w:rPr>
          <w:rFonts w:cs="Arial"/>
          <w:b w:val="0"/>
          <w:lang w:val="en"/>
        </w:rPr>
      </w:pPr>
      <w:bookmarkStart w:id="75" w:name="_Toc495566739"/>
      <w:r w:rsidRPr="00E6007E">
        <w:rPr>
          <w:rFonts w:cs="Arial"/>
          <w:lang w:val="en"/>
        </w:rPr>
        <w:t>Australian Citizenship Legislation Amendment (Strengthening the Requirement for Australian Citizenship and Other Measures) Bill 2017 (Cth)</w:t>
      </w:r>
      <w:bookmarkEnd w:id="75"/>
    </w:p>
    <w:p w:rsidR="00720B16" w:rsidRPr="00021DD2" w:rsidRDefault="00720B16" w:rsidP="00720B16">
      <w:pPr>
        <w:rPr>
          <w:rFonts w:cs="Arial"/>
          <w:lang w:val="en"/>
        </w:rPr>
      </w:pPr>
      <w:r w:rsidRPr="00021DD2">
        <w:rPr>
          <w:rFonts w:cs="Arial"/>
          <w:lang w:val="en"/>
        </w:rPr>
        <w:t xml:space="preserve">The Australian Citizenship Legislation Amendment (Strengthening the Requirement for Australian Citizenship and Other Measures) Bill 2017 </w:t>
      </w:r>
      <w:r w:rsidR="00F7448B" w:rsidRPr="00021DD2">
        <w:rPr>
          <w:rFonts w:cs="Arial"/>
          <w:lang w:val="en"/>
        </w:rPr>
        <w:t xml:space="preserve">(Cth) </w:t>
      </w:r>
      <w:r w:rsidRPr="00021DD2">
        <w:rPr>
          <w:rFonts w:cs="Arial"/>
          <w:lang w:val="en"/>
        </w:rPr>
        <w:t xml:space="preserve">was introduced </w:t>
      </w:r>
      <w:r w:rsidR="00B431DF">
        <w:rPr>
          <w:rFonts w:cs="Arial"/>
          <w:lang w:val="en"/>
        </w:rPr>
        <w:t>in</w:t>
      </w:r>
      <w:r w:rsidRPr="00021DD2">
        <w:rPr>
          <w:rFonts w:cs="Arial"/>
          <w:lang w:val="en"/>
        </w:rPr>
        <w:t>to the House of Representatives on 15 June 2017.</w:t>
      </w:r>
      <w:r w:rsidRPr="00021DD2">
        <w:rPr>
          <w:rStyle w:val="Rimandonotadichiusura"/>
          <w:rFonts w:cs="Arial"/>
          <w:lang w:val="en"/>
        </w:rPr>
        <w:endnoteReference w:id="134"/>
      </w:r>
      <w:r w:rsidRPr="00021DD2">
        <w:rPr>
          <w:rFonts w:cs="Arial"/>
          <w:lang w:val="en"/>
        </w:rPr>
        <w:t xml:space="preserve"> </w:t>
      </w:r>
    </w:p>
    <w:p w:rsidR="00720B16" w:rsidRPr="00021DD2" w:rsidRDefault="00720B16" w:rsidP="00720B16">
      <w:pPr>
        <w:rPr>
          <w:rFonts w:cs="Arial"/>
          <w:lang w:val="en"/>
        </w:rPr>
      </w:pPr>
      <w:r w:rsidRPr="00021DD2">
        <w:rPr>
          <w:rFonts w:cs="Arial"/>
          <w:lang w:val="en"/>
        </w:rPr>
        <w:t xml:space="preserve">The Bill seeks to amend the </w:t>
      </w:r>
      <w:r w:rsidRPr="00021DD2">
        <w:rPr>
          <w:rFonts w:cs="Arial"/>
          <w:i/>
          <w:lang w:val="en"/>
        </w:rPr>
        <w:t>Australian Citizenship Act 2007</w:t>
      </w:r>
      <w:r w:rsidRPr="00021DD2">
        <w:rPr>
          <w:rFonts w:cs="Arial"/>
          <w:lang w:val="en"/>
        </w:rPr>
        <w:t xml:space="preserve"> </w:t>
      </w:r>
      <w:r w:rsidR="00F7448B" w:rsidRPr="00021DD2">
        <w:rPr>
          <w:rFonts w:cs="Arial"/>
          <w:lang w:val="en"/>
        </w:rPr>
        <w:t xml:space="preserve">(Cth) </w:t>
      </w:r>
      <w:r w:rsidRPr="00021DD2">
        <w:rPr>
          <w:rFonts w:cs="Arial"/>
          <w:lang w:val="en"/>
        </w:rPr>
        <w:t xml:space="preserve">and the </w:t>
      </w:r>
      <w:r w:rsidRPr="00021DD2">
        <w:rPr>
          <w:rFonts w:cs="Arial"/>
          <w:i/>
          <w:lang w:val="en"/>
        </w:rPr>
        <w:t xml:space="preserve">Migration </w:t>
      </w:r>
      <w:r w:rsidRPr="0015374A">
        <w:rPr>
          <w:rFonts w:cs="Arial"/>
          <w:i/>
          <w:lang w:val="en"/>
        </w:rPr>
        <w:t>Act 1958</w:t>
      </w:r>
      <w:r w:rsidRPr="0015374A">
        <w:rPr>
          <w:rFonts w:cs="Arial"/>
          <w:lang w:val="en"/>
        </w:rPr>
        <w:t xml:space="preserve"> </w:t>
      </w:r>
      <w:r w:rsidR="00F7448B" w:rsidRPr="0015374A">
        <w:rPr>
          <w:rFonts w:cs="Arial"/>
          <w:lang w:val="en"/>
        </w:rPr>
        <w:t xml:space="preserve">(Cth) </w:t>
      </w:r>
      <w:r w:rsidRPr="0015374A">
        <w:rPr>
          <w:rFonts w:cs="Arial"/>
          <w:lang w:val="en"/>
        </w:rPr>
        <w:t>to implement stricter requirements to become an Australian citizen. The amendments propose</w:t>
      </w:r>
      <w:r w:rsidR="00F7448B" w:rsidRPr="0015374A">
        <w:rPr>
          <w:rFonts w:cs="Arial"/>
          <w:lang w:val="en"/>
        </w:rPr>
        <w:t xml:space="preserve"> to impose</w:t>
      </w:r>
      <w:r w:rsidRPr="0015374A">
        <w:rPr>
          <w:rFonts w:cs="Arial"/>
          <w:lang w:val="en"/>
        </w:rPr>
        <w:t xml:space="preserve"> additional requirements on people who seek to obtain Aust</w:t>
      </w:r>
      <w:r w:rsidR="00F7448B" w:rsidRPr="0015374A">
        <w:rPr>
          <w:rFonts w:cs="Arial"/>
          <w:lang w:val="en"/>
        </w:rPr>
        <w:t>ralian citizenship by conferral</w:t>
      </w:r>
      <w:r w:rsidR="00B41E09" w:rsidRPr="0015374A">
        <w:rPr>
          <w:rFonts w:cs="Arial"/>
          <w:lang w:val="en"/>
        </w:rPr>
        <w:t>, centralising</w:t>
      </w:r>
      <w:r w:rsidRPr="0015374A">
        <w:rPr>
          <w:rFonts w:cs="Arial"/>
          <w:lang w:val="en"/>
        </w:rPr>
        <w:t xml:space="preserve"> discretionary power in the Minister for Immigration and Border Protection to decide who should be an </w:t>
      </w:r>
      <w:r w:rsidR="00F7448B" w:rsidRPr="0015374A">
        <w:rPr>
          <w:rFonts w:cs="Arial"/>
          <w:lang w:val="en"/>
        </w:rPr>
        <w:t>Australian citizen, and reduce</w:t>
      </w:r>
      <w:r w:rsidRPr="0015374A">
        <w:rPr>
          <w:rFonts w:cs="Arial"/>
          <w:lang w:val="en"/>
        </w:rPr>
        <w:t xml:space="preserve"> the ability of vulnerable people (particularly children) to qualify for citizenship.</w:t>
      </w:r>
      <w:r w:rsidRPr="0015374A">
        <w:rPr>
          <w:rStyle w:val="Rimandonotadichiusura"/>
          <w:rFonts w:cs="Arial"/>
          <w:lang w:val="en"/>
        </w:rPr>
        <w:endnoteReference w:id="135"/>
      </w:r>
      <w:r w:rsidRPr="00021DD2">
        <w:rPr>
          <w:rFonts w:cs="Arial"/>
          <w:lang w:val="en"/>
        </w:rPr>
        <w:t xml:space="preserve"> </w:t>
      </w:r>
    </w:p>
    <w:p w:rsidR="00720B16" w:rsidRPr="00021DD2" w:rsidRDefault="00720B16" w:rsidP="00720B16">
      <w:pPr>
        <w:rPr>
          <w:rFonts w:cs="Arial"/>
          <w:lang w:val="en"/>
        </w:rPr>
      </w:pPr>
      <w:r w:rsidRPr="00021DD2">
        <w:rPr>
          <w:rFonts w:cs="Arial"/>
        </w:rPr>
        <w:t xml:space="preserve">If passed, the Bill would mean that the </w:t>
      </w:r>
      <w:r w:rsidR="00F7448B" w:rsidRPr="00021DD2">
        <w:rPr>
          <w:rFonts w:cs="Arial"/>
        </w:rPr>
        <w:t>‘ten</w:t>
      </w:r>
      <w:r w:rsidRPr="00021DD2">
        <w:rPr>
          <w:rFonts w:cs="Arial"/>
        </w:rPr>
        <w:t xml:space="preserve"> year rule’ no longer applies to several groups of children who were born in Australia. </w:t>
      </w:r>
      <w:r w:rsidRPr="00021DD2">
        <w:rPr>
          <w:rFonts w:cs="Arial"/>
          <w:lang w:val="en"/>
        </w:rPr>
        <w:t xml:space="preserve">The </w:t>
      </w:r>
      <w:r w:rsidRPr="00021DD2">
        <w:rPr>
          <w:rFonts w:cs="Arial"/>
          <w:i/>
          <w:lang w:val="en"/>
        </w:rPr>
        <w:t>Australian Citizenship Act 2007</w:t>
      </w:r>
      <w:r w:rsidRPr="00021DD2">
        <w:rPr>
          <w:rFonts w:cs="Arial"/>
          <w:lang w:val="en"/>
        </w:rPr>
        <w:t xml:space="preserve"> </w:t>
      </w:r>
      <w:r w:rsidR="00F7448B" w:rsidRPr="00021DD2">
        <w:rPr>
          <w:rFonts w:cs="Arial"/>
          <w:lang w:val="en"/>
        </w:rPr>
        <w:t xml:space="preserve">(Cth) </w:t>
      </w:r>
      <w:r w:rsidRPr="00021DD2">
        <w:rPr>
          <w:rFonts w:cs="Arial"/>
          <w:lang w:val="en"/>
        </w:rPr>
        <w:t>currently provides that if a child is born in Australia and lives in Australia for ten years</w:t>
      </w:r>
      <w:r w:rsidR="00F7448B" w:rsidRPr="00021DD2">
        <w:rPr>
          <w:rFonts w:cs="Arial"/>
          <w:lang w:val="en"/>
        </w:rPr>
        <w:t>,</w:t>
      </w:r>
      <w:r w:rsidRPr="00021DD2">
        <w:rPr>
          <w:rFonts w:cs="Arial"/>
          <w:lang w:val="en"/>
        </w:rPr>
        <w:t xml:space="preserve"> the child becomes an Australian citizen on his or her tenth birthday.</w:t>
      </w:r>
      <w:r w:rsidR="000F10F4">
        <w:rPr>
          <w:rFonts w:cs="Arial"/>
          <w:lang w:val="en"/>
        </w:rPr>
        <w:t xml:space="preserve"> </w:t>
      </w:r>
    </w:p>
    <w:p w:rsidR="00720B16" w:rsidRPr="00021DD2" w:rsidRDefault="00720B16" w:rsidP="00720B16">
      <w:pPr>
        <w:rPr>
          <w:rFonts w:cs="Arial"/>
          <w:lang w:val="en"/>
        </w:rPr>
      </w:pPr>
      <w:r w:rsidRPr="00021DD2">
        <w:rPr>
          <w:rFonts w:cs="Arial"/>
          <w:lang w:val="en"/>
        </w:rPr>
        <w:t>The Bill was referred to the Senate Legal and Constitutional Affairs Legislation Committee on 22 June 2017. In its submission to this inquiry, the Australian Hu</w:t>
      </w:r>
      <w:r w:rsidR="00B41E09">
        <w:rPr>
          <w:rFonts w:cs="Arial"/>
          <w:lang w:val="en"/>
        </w:rPr>
        <w:t>man Rights Commission raised</w:t>
      </w:r>
      <w:r w:rsidRPr="00021DD2">
        <w:rPr>
          <w:rFonts w:cs="Arial"/>
          <w:lang w:val="en"/>
        </w:rPr>
        <w:t xml:space="preserve"> concerns that the Bill will mean that </w:t>
      </w:r>
      <w:r w:rsidR="00F7448B" w:rsidRPr="00021DD2">
        <w:rPr>
          <w:rFonts w:cs="Arial"/>
          <w:lang w:val="en"/>
        </w:rPr>
        <w:t>the following</w:t>
      </w:r>
      <w:r w:rsidRPr="00021DD2">
        <w:rPr>
          <w:rFonts w:cs="Arial"/>
          <w:lang w:val="en"/>
        </w:rPr>
        <w:t xml:space="preserve"> groups of children will have a reduced ability to qualify for citizenship: </w:t>
      </w:r>
    </w:p>
    <w:p w:rsidR="00720B16" w:rsidRPr="00021DD2" w:rsidRDefault="00720B16" w:rsidP="00B934D7">
      <w:pPr>
        <w:numPr>
          <w:ilvl w:val="1"/>
          <w:numId w:val="39"/>
        </w:numPr>
        <w:rPr>
          <w:rFonts w:cs="Arial"/>
        </w:rPr>
      </w:pPr>
      <w:r w:rsidRPr="00021DD2">
        <w:rPr>
          <w:rFonts w:cs="Arial"/>
        </w:rPr>
        <w:t>children born in Australia to asylum seeker or refugee parents, even after those children have been lawfully in Australia for up to 10 years</w:t>
      </w:r>
    </w:p>
    <w:p w:rsidR="00720B16" w:rsidRPr="00021DD2" w:rsidRDefault="00720B16" w:rsidP="00B934D7">
      <w:pPr>
        <w:numPr>
          <w:ilvl w:val="1"/>
          <w:numId w:val="39"/>
        </w:numPr>
        <w:rPr>
          <w:rFonts w:cs="Arial"/>
        </w:rPr>
      </w:pPr>
      <w:r w:rsidRPr="00021DD2">
        <w:rPr>
          <w:rFonts w:cs="Arial"/>
        </w:rPr>
        <w:t>children born in Australia to parents who had a valid visa but overstaye</w:t>
      </w:r>
      <w:r w:rsidR="00F7448B" w:rsidRPr="00021DD2">
        <w:rPr>
          <w:rFonts w:cs="Arial"/>
        </w:rPr>
        <w:t>d the visa before the child’s tenth</w:t>
      </w:r>
      <w:r w:rsidRPr="00021DD2">
        <w:rPr>
          <w:rFonts w:cs="Arial"/>
        </w:rPr>
        <w:t xml:space="preserve"> birthday</w:t>
      </w:r>
    </w:p>
    <w:p w:rsidR="00720B16" w:rsidRPr="00021DD2" w:rsidRDefault="00720B16" w:rsidP="00B934D7">
      <w:pPr>
        <w:numPr>
          <w:ilvl w:val="1"/>
          <w:numId w:val="39"/>
        </w:numPr>
        <w:rPr>
          <w:rFonts w:cs="Arial"/>
        </w:rPr>
      </w:pPr>
      <w:r w:rsidRPr="00021DD2">
        <w:rPr>
          <w:rFonts w:cs="Arial"/>
        </w:rPr>
        <w:t>certain children who are found abandoned in Australia</w:t>
      </w:r>
    </w:p>
    <w:p w:rsidR="00720B16" w:rsidRPr="00021DD2" w:rsidRDefault="00720B16" w:rsidP="00B934D7">
      <w:pPr>
        <w:numPr>
          <w:ilvl w:val="1"/>
          <w:numId w:val="39"/>
        </w:numPr>
        <w:rPr>
          <w:rFonts w:cs="Arial"/>
          <w:lang w:val="en"/>
        </w:rPr>
      </w:pPr>
      <w:r w:rsidRPr="00021DD2">
        <w:rPr>
          <w:rFonts w:cs="Arial"/>
        </w:rPr>
        <w:t xml:space="preserve">children as </w:t>
      </w:r>
      <w:r w:rsidR="00F7448B" w:rsidRPr="00021DD2">
        <w:rPr>
          <w:rFonts w:cs="Arial"/>
        </w:rPr>
        <w:t>young as 10-</w:t>
      </w:r>
      <w:r w:rsidRPr="00021DD2">
        <w:rPr>
          <w:rFonts w:cs="Arial"/>
        </w:rPr>
        <w:t>years old that the Minister considers are not of good character.</w:t>
      </w:r>
      <w:r w:rsidRPr="00021DD2">
        <w:rPr>
          <w:rStyle w:val="Rimandonotadichiusura"/>
          <w:rFonts w:cs="Arial"/>
        </w:rPr>
        <w:endnoteReference w:id="136"/>
      </w:r>
      <w:r w:rsidRPr="00021DD2">
        <w:rPr>
          <w:rFonts w:cs="Arial"/>
        </w:rPr>
        <w:t xml:space="preserve"> </w:t>
      </w:r>
    </w:p>
    <w:p w:rsidR="00720B16" w:rsidRPr="00021DD2" w:rsidRDefault="00720B16" w:rsidP="00720B16">
      <w:pPr>
        <w:rPr>
          <w:rFonts w:cs="Arial"/>
          <w:lang w:val="en"/>
        </w:rPr>
      </w:pPr>
      <w:r w:rsidRPr="00021DD2">
        <w:rPr>
          <w:rFonts w:cs="Arial"/>
          <w:lang w:val="en"/>
        </w:rPr>
        <w:t>The Commission also raised concerns that new proposed powers to be given to the Minister to revoke citizenship could be used in a way that would render children stateless. The Commission recommended that this Bill not be passed</w:t>
      </w:r>
      <w:r w:rsidR="00B3248F">
        <w:rPr>
          <w:rFonts w:cs="Arial"/>
          <w:lang w:val="en"/>
        </w:rPr>
        <w:t xml:space="preserve"> in its current form</w:t>
      </w:r>
      <w:r w:rsidRPr="00021DD2">
        <w:rPr>
          <w:rFonts w:cs="Arial"/>
          <w:lang w:val="en"/>
        </w:rPr>
        <w:t xml:space="preserve">. </w:t>
      </w:r>
    </w:p>
    <w:p w:rsidR="00E65D73" w:rsidRDefault="00720B16" w:rsidP="00720B16">
      <w:pPr>
        <w:rPr>
          <w:rFonts w:cs="Arial"/>
          <w:lang w:val="en"/>
        </w:rPr>
      </w:pPr>
      <w:r w:rsidRPr="00021DD2">
        <w:rPr>
          <w:rFonts w:cs="Arial"/>
          <w:lang w:val="en"/>
        </w:rPr>
        <w:t>The Committee reported on the Bill in September 2017,</w:t>
      </w:r>
      <w:r w:rsidRPr="00021DD2">
        <w:rPr>
          <w:rStyle w:val="Rimandonotadichiusura"/>
          <w:rFonts w:cs="Arial"/>
          <w:lang w:val="en"/>
        </w:rPr>
        <w:endnoteReference w:id="137"/>
      </w:r>
      <w:r w:rsidRPr="00021DD2">
        <w:rPr>
          <w:rFonts w:cs="Arial"/>
          <w:lang w:val="en"/>
        </w:rPr>
        <w:t xml:space="preserve"> and recommended the Senate pass the Bill. </w:t>
      </w:r>
    </w:p>
    <w:p w:rsidR="00E6007E" w:rsidRDefault="00E6007E">
      <w:pPr>
        <w:keepLines w:val="0"/>
        <w:spacing w:before="0" w:after="0"/>
        <w:rPr>
          <w:rFonts w:cs="Arial"/>
          <w:lang w:val="en"/>
        </w:rPr>
      </w:pPr>
      <w:r>
        <w:rPr>
          <w:rFonts w:cs="Arial"/>
          <w:lang w:val="en"/>
        </w:rPr>
        <w:br w:type="page"/>
      </w:r>
    </w:p>
    <w:p w:rsidR="00720B16" w:rsidRPr="00021DD2" w:rsidRDefault="00720B16" w:rsidP="00720B16">
      <w:pPr>
        <w:rPr>
          <w:rFonts w:cs="Arial"/>
          <w:lang w:val="en"/>
        </w:rPr>
      </w:pPr>
      <w:r w:rsidRPr="00021DD2">
        <w:rPr>
          <w:rFonts w:cs="Arial"/>
          <w:lang w:val="en"/>
        </w:rPr>
        <w:t xml:space="preserve">However, the Committee also recommended that the </w:t>
      </w:r>
      <w:r w:rsidR="00E65D73">
        <w:rPr>
          <w:rFonts w:cs="Arial"/>
          <w:lang w:val="en"/>
        </w:rPr>
        <w:t xml:space="preserve">Australian </w:t>
      </w:r>
      <w:r w:rsidRPr="00021DD2">
        <w:rPr>
          <w:rFonts w:cs="Arial"/>
          <w:lang w:val="en"/>
        </w:rPr>
        <w:t>Government:</w:t>
      </w:r>
    </w:p>
    <w:p w:rsidR="00720B16" w:rsidRPr="00926EAB" w:rsidRDefault="00720B16" w:rsidP="00B934D7">
      <w:pPr>
        <w:pStyle w:val="Paragrafoelenco"/>
        <w:numPr>
          <w:ilvl w:val="0"/>
          <w:numId w:val="40"/>
        </w:numPr>
        <w:spacing w:after="200"/>
        <w:ind w:left="714" w:hanging="357"/>
        <w:contextualSpacing w:val="0"/>
        <w:jc w:val="left"/>
        <w:rPr>
          <w:lang w:val="en"/>
        </w:rPr>
      </w:pPr>
      <w:r w:rsidRPr="00021DD2">
        <w:rPr>
          <w:lang w:val="en"/>
        </w:rPr>
        <w:t>clarify the standard for English-language competency required for citizenship, noting that the standard should not be so high as to disqualify from citizenship many Australians who, with a more basic competency in the English language, are valuable members of the Australian community</w:t>
      </w:r>
    </w:p>
    <w:p w:rsidR="00720B16" w:rsidRPr="00926EAB" w:rsidRDefault="00720B16" w:rsidP="00B934D7">
      <w:pPr>
        <w:pStyle w:val="Paragrafoelenco"/>
        <w:numPr>
          <w:ilvl w:val="0"/>
          <w:numId w:val="40"/>
        </w:numPr>
        <w:spacing w:after="200"/>
        <w:ind w:left="714" w:hanging="357"/>
        <w:contextualSpacing w:val="0"/>
        <w:jc w:val="left"/>
        <w:rPr>
          <w:lang w:val="en"/>
        </w:rPr>
      </w:pPr>
      <w:r w:rsidRPr="00021DD2">
        <w:rPr>
          <w:lang w:val="en"/>
        </w:rPr>
        <w:t xml:space="preserve">reconsider the imposition of a two-year ban on applications for citizenship following three failed attempts </w:t>
      </w:r>
    </w:p>
    <w:p w:rsidR="00720B16" w:rsidRPr="00021DD2" w:rsidRDefault="00720B16" w:rsidP="00B934D7">
      <w:pPr>
        <w:pStyle w:val="Paragrafoelenco"/>
        <w:numPr>
          <w:ilvl w:val="0"/>
          <w:numId w:val="40"/>
        </w:numPr>
        <w:jc w:val="left"/>
        <w:rPr>
          <w:lang w:val="en"/>
        </w:rPr>
      </w:pPr>
      <w:r w:rsidRPr="00021DD2">
        <w:rPr>
          <w:lang w:val="en"/>
        </w:rPr>
        <w:t>introduce transitional provisions for those who have held permanent residency visas on or before 20 April 2017 so that current residency requirements apply to this group of citizenship applicants.</w:t>
      </w:r>
    </w:p>
    <w:p w:rsidR="00720B16" w:rsidRPr="00021DD2" w:rsidRDefault="00720B16" w:rsidP="00720B16">
      <w:pPr>
        <w:rPr>
          <w:rFonts w:cs="Arial"/>
          <w:lang w:val="en"/>
        </w:rPr>
      </w:pPr>
      <w:r w:rsidRPr="00021DD2">
        <w:rPr>
          <w:rFonts w:cs="Arial"/>
          <w:lang w:val="en"/>
        </w:rPr>
        <w:t xml:space="preserve">Dissenting reports were provided by </w:t>
      </w:r>
      <w:r w:rsidR="00F7448B" w:rsidRPr="00021DD2">
        <w:rPr>
          <w:rFonts w:cs="Arial"/>
          <w:lang w:val="en"/>
        </w:rPr>
        <w:t xml:space="preserve">the Australian </w:t>
      </w:r>
      <w:r w:rsidRPr="00021DD2">
        <w:rPr>
          <w:rFonts w:cs="Arial"/>
          <w:lang w:val="en"/>
        </w:rPr>
        <w:t>Labor</w:t>
      </w:r>
      <w:r w:rsidR="00F7448B" w:rsidRPr="00021DD2">
        <w:rPr>
          <w:rFonts w:cs="Arial"/>
          <w:lang w:val="en"/>
        </w:rPr>
        <w:t xml:space="preserve"> Party</w:t>
      </w:r>
      <w:r w:rsidRPr="00021DD2">
        <w:rPr>
          <w:rFonts w:cs="Arial"/>
          <w:lang w:val="en"/>
        </w:rPr>
        <w:t>, the Australian Greens and by the Nick Xenophon Team that the Bill not be passed or not</w:t>
      </w:r>
      <w:r w:rsidR="00F7448B" w:rsidRPr="00021DD2">
        <w:rPr>
          <w:rFonts w:cs="Arial"/>
          <w:lang w:val="en"/>
        </w:rPr>
        <w:t xml:space="preserve"> be</w:t>
      </w:r>
      <w:r w:rsidRPr="00021DD2">
        <w:rPr>
          <w:rFonts w:cs="Arial"/>
          <w:lang w:val="en"/>
        </w:rPr>
        <w:t xml:space="preserve"> passed in its present form.</w:t>
      </w:r>
    </w:p>
    <w:p w:rsidR="00720B16" w:rsidRPr="00E224A3" w:rsidRDefault="00720B16" w:rsidP="00212496">
      <w:pPr>
        <w:spacing w:after="400"/>
        <w:rPr>
          <w:rFonts w:cs="Arial"/>
          <w:lang w:val="en"/>
        </w:rPr>
      </w:pPr>
      <w:r w:rsidRPr="00021DD2">
        <w:rPr>
          <w:rFonts w:cs="Arial"/>
          <w:lang w:val="en"/>
        </w:rPr>
        <w:t>The Bill is currently before the Senate.</w:t>
      </w:r>
      <w:r w:rsidRPr="00021DD2">
        <w:rPr>
          <w:rStyle w:val="Rimandonotadichiusura"/>
          <w:rFonts w:cs="Arial"/>
          <w:lang w:val="en"/>
        </w:rPr>
        <w:endnoteReference w:id="138"/>
      </w:r>
    </w:p>
    <w:tbl>
      <w:tblPr>
        <w:tblStyle w:val="Grigliatabella"/>
        <w:tblW w:w="0" w:type="auto"/>
        <w:tblCellMar>
          <w:left w:w="284" w:type="dxa"/>
          <w:bottom w:w="284" w:type="dxa"/>
          <w:right w:w="284" w:type="dxa"/>
        </w:tblCellMar>
        <w:tblLook w:val="04A0" w:firstRow="1" w:lastRow="0" w:firstColumn="1" w:lastColumn="0" w:noHBand="0" w:noVBand="1"/>
      </w:tblPr>
      <w:tblGrid>
        <w:gridCol w:w="9060"/>
      </w:tblGrid>
      <w:tr w:rsidR="00720B16" w:rsidRPr="00021DD2" w:rsidTr="001A538E">
        <w:tc>
          <w:tcPr>
            <w:tcW w:w="9060" w:type="dxa"/>
            <w:shd w:val="clear" w:color="auto" w:fill="auto"/>
          </w:tcPr>
          <w:p w:rsidR="00720B16" w:rsidRPr="00021DD2" w:rsidRDefault="00720B16" w:rsidP="001A538E">
            <w:pPr>
              <w:rPr>
                <w:rFonts w:cs="Arial"/>
                <w:b/>
              </w:rPr>
            </w:pPr>
            <w:r w:rsidRPr="00021DD2">
              <w:rPr>
                <w:rFonts w:cs="Arial"/>
                <w:b/>
              </w:rPr>
              <w:t xml:space="preserve">Update on Guardian for Unaccompanied Children Bill 2014 (Cth) </w:t>
            </w:r>
          </w:p>
          <w:p w:rsidR="00720B16" w:rsidRPr="00021DD2" w:rsidRDefault="00720B16" w:rsidP="00720B16">
            <w:pPr>
              <w:rPr>
                <w:rFonts w:cs="Arial"/>
              </w:rPr>
            </w:pPr>
            <w:r w:rsidRPr="00021DD2">
              <w:rPr>
                <w:rFonts w:cs="Arial"/>
              </w:rPr>
              <w:t xml:space="preserve">In my 2015 report, I considered the Guardian for Unaccompanied Children Bill 2014 (Cth) which proposed to amend the </w:t>
            </w:r>
            <w:r w:rsidRPr="00021DD2">
              <w:rPr>
                <w:rFonts w:cs="Arial"/>
                <w:i/>
              </w:rPr>
              <w:t>Immigration (Guardianship of Children) Act 1946</w:t>
            </w:r>
            <w:r w:rsidRPr="00021DD2">
              <w:rPr>
                <w:rFonts w:cs="Arial"/>
              </w:rPr>
              <w:t xml:space="preserve"> (Cth) and the </w:t>
            </w:r>
            <w:r w:rsidRPr="00021DD2">
              <w:rPr>
                <w:rFonts w:cs="Arial"/>
                <w:i/>
              </w:rPr>
              <w:t xml:space="preserve">Migration Act 1958 </w:t>
            </w:r>
            <w:r w:rsidRPr="00021DD2">
              <w:rPr>
                <w:rFonts w:cs="Arial"/>
              </w:rPr>
              <w:t>(Cth). The Bill proposes to establish an independent statutory office of the Guardian for Unaccompanied Non-citizen Children to advocate for the best interests of non-citizen asylum seeker children who arrive in Australia without their parents or another responsible adult.</w:t>
            </w:r>
            <w:r w:rsidRPr="00021DD2">
              <w:rPr>
                <w:rStyle w:val="Rimandonotadichiusura"/>
                <w:rFonts w:cs="Arial"/>
              </w:rPr>
              <w:endnoteReference w:id="139"/>
            </w:r>
          </w:p>
          <w:p w:rsidR="00720B16" w:rsidRPr="00021DD2" w:rsidRDefault="00720B16" w:rsidP="00720B16">
            <w:pPr>
              <w:rPr>
                <w:rFonts w:cs="Arial"/>
              </w:rPr>
            </w:pPr>
            <w:r w:rsidRPr="00021DD2">
              <w:rPr>
                <w:rFonts w:cs="Arial"/>
              </w:rPr>
              <w:t xml:space="preserve">The Bill was introduced </w:t>
            </w:r>
            <w:r w:rsidR="00B3248F">
              <w:rPr>
                <w:rFonts w:cs="Arial"/>
              </w:rPr>
              <w:t>in</w:t>
            </w:r>
            <w:r w:rsidRPr="00021DD2">
              <w:rPr>
                <w:rFonts w:cs="Arial"/>
              </w:rPr>
              <w:t>to the Senate on 16 July 2014 by Senator the Hon Sarah Hanson-Young. It was considered</w:t>
            </w:r>
            <w:r w:rsidR="00F7448B" w:rsidRPr="00021DD2">
              <w:rPr>
                <w:rFonts w:cs="Arial"/>
              </w:rPr>
              <w:t xml:space="preserve"> in August 2014 by the PJCHR</w:t>
            </w:r>
            <w:r w:rsidRPr="00021DD2">
              <w:rPr>
                <w:rFonts w:cs="Arial"/>
              </w:rPr>
              <w:t>, which concluded it was compatible with human rights.</w:t>
            </w:r>
            <w:r w:rsidRPr="00021DD2">
              <w:rPr>
                <w:rStyle w:val="Rimandonotadichiusura"/>
                <w:rFonts w:cs="Arial"/>
              </w:rPr>
              <w:endnoteReference w:id="140"/>
            </w:r>
            <w:r w:rsidRPr="00021DD2">
              <w:rPr>
                <w:rFonts w:cs="Arial"/>
              </w:rPr>
              <w:t xml:space="preserve"> </w:t>
            </w:r>
          </w:p>
          <w:p w:rsidR="00720B16" w:rsidRPr="00021DD2" w:rsidRDefault="00720B16" w:rsidP="00720B16">
            <w:pPr>
              <w:rPr>
                <w:rFonts w:cs="Arial"/>
              </w:rPr>
            </w:pPr>
            <w:r w:rsidRPr="00021DD2">
              <w:rPr>
                <w:rFonts w:cs="Arial"/>
              </w:rPr>
              <w:t>The Bill was referred to the Senate Legal and Constitutional Affairs Legislation Committee in August 2014. In their final report, the Committee recommended that the Bill not be passed.</w:t>
            </w:r>
            <w:r w:rsidRPr="00021DD2">
              <w:rPr>
                <w:rStyle w:val="Rimandonotadichiusura"/>
                <w:rFonts w:cs="Arial"/>
              </w:rPr>
              <w:endnoteReference w:id="141"/>
            </w:r>
            <w:r w:rsidRPr="00021DD2">
              <w:rPr>
                <w:rFonts w:cs="Arial"/>
              </w:rPr>
              <w:t xml:space="preserve"> The Australian Labor Party and the Australian Greens provided dissenting reports and recommended further consideration and suggested amendments before the Bill be passed. </w:t>
            </w:r>
          </w:p>
          <w:p w:rsidR="00720B16" w:rsidRPr="00021DD2" w:rsidRDefault="00720B16" w:rsidP="00720B16">
            <w:pPr>
              <w:rPr>
                <w:rFonts w:cs="Arial"/>
              </w:rPr>
            </w:pPr>
            <w:r w:rsidRPr="00021DD2">
              <w:rPr>
                <w:rFonts w:cs="Arial"/>
              </w:rPr>
              <w:t>The Bill lapsed at prorogation on 17 April 2016 and again at dissolution on 9 May. It was restored to the Notice Paper on 15 September 2016.</w:t>
            </w:r>
            <w:r w:rsidRPr="00021DD2">
              <w:rPr>
                <w:rStyle w:val="Rimandonotadichiusura"/>
                <w:rFonts w:cs="Arial"/>
              </w:rPr>
              <w:endnoteReference w:id="142"/>
            </w:r>
          </w:p>
          <w:p w:rsidR="00720B16" w:rsidRPr="00021DD2" w:rsidRDefault="00720B16" w:rsidP="00720B16">
            <w:pPr>
              <w:rPr>
                <w:rFonts w:cs="Arial"/>
              </w:rPr>
            </w:pPr>
            <w:r w:rsidRPr="00021DD2">
              <w:rPr>
                <w:rFonts w:cs="Arial"/>
              </w:rPr>
              <w:t>As noted in my 2015 report, the PJCHR indicated the Bill promoted the rights of children and is compatible with human rights.</w:t>
            </w:r>
          </w:p>
          <w:p w:rsidR="00720B16" w:rsidRPr="00021DD2" w:rsidRDefault="00720B16" w:rsidP="001A538E">
            <w:pPr>
              <w:spacing w:before="600"/>
              <w:rPr>
                <w:rFonts w:cs="Arial"/>
              </w:rPr>
            </w:pPr>
            <w:r w:rsidRPr="00021DD2">
              <w:rPr>
                <w:rFonts w:cs="Arial"/>
              </w:rPr>
              <w:t>In April 2017, the Senate Legal and Constitutional Affairs Committee published a report following its inquiry into serious allegations of abuse, self-harm and neglect of asylum seekers in relation to the Nauru Regional Processing Centre.</w:t>
            </w:r>
            <w:r w:rsidRPr="00021DD2">
              <w:rPr>
                <w:rStyle w:val="Rimandonotadichiusura"/>
                <w:rFonts w:cs="Arial"/>
              </w:rPr>
              <w:endnoteReference w:id="143"/>
            </w:r>
            <w:r w:rsidRPr="00021DD2">
              <w:rPr>
                <w:rFonts w:cs="Arial"/>
              </w:rPr>
              <w:t xml:space="preserve"> The Australian Hu</w:t>
            </w:r>
            <w:r w:rsidR="0002461A" w:rsidRPr="00021DD2">
              <w:rPr>
                <w:rFonts w:cs="Arial"/>
              </w:rPr>
              <w:t>man Rights Commission supports r</w:t>
            </w:r>
            <w:r w:rsidRPr="00021DD2">
              <w:rPr>
                <w:rFonts w:cs="Arial"/>
              </w:rPr>
              <w:t>ecommendation 5 of this report</w:t>
            </w:r>
            <w:r w:rsidR="0002461A" w:rsidRPr="00021DD2">
              <w:rPr>
                <w:rFonts w:cs="Arial"/>
              </w:rPr>
              <w:t>,</w:t>
            </w:r>
            <w:r w:rsidRPr="00021DD2">
              <w:rPr>
                <w:rFonts w:cs="Arial"/>
              </w:rPr>
              <w:t xml:space="preserve"> that the Australian Government undertake to work with the Government of the Republic of Nauru to establish an independent children's advocate who would have both the jurisdiction and authority to advocate for the rights of children being held in the Republic of Nauru. </w:t>
            </w:r>
          </w:p>
          <w:p w:rsidR="00720B16" w:rsidRPr="00021DD2" w:rsidRDefault="00720B16" w:rsidP="00720B16">
            <w:pPr>
              <w:rPr>
                <w:rFonts w:cs="Arial"/>
              </w:rPr>
            </w:pPr>
            <w:r w:rsidRPr="00021DD2">
              <w:rPr>
                <w:rFonts w:cs="Arial"/>
              </w:rPr>
              <w:t xml:space="preserve">The Australian Human Rights Commission continues to be concerned about guardianship of unaccompanied children being vested in the Minister for Immigration and Border Protection, and recommends that an independent guardian be appointed for all unaccompanied children in immigration detention </w:t>
            </w:r>
          </w:p>
          <w:p w:rsidR="00720B16" w:rsidRPr="00021DD2" w:rsidRDefault="00720B16" w:rsidP="001A538E">
            <w:pPr>
              <w:spacing w:after="0"/>
              <w:rPr>
                <w:rFonts w:cs="Arial"/>
              </w:rPr>
            </w:pPr>
            <w:r w:rsidRPr="00021DD2">
              <w:rPr>
                <w:rFonts w:cs="Arial"/>
              </w:rPr>
              <w:t>The Bill is currently before the Senate.</w:t>
            </w:r>
            <w:r w:rsidRPr="00021DD2">
              <w:rPr>
                <w:rStyle w:val="Rimandonotadichiusura"/>
                <w:rFonts w:cs="Arial"/>
              </w:rPr>
              <w:endnoteReference w:id="144"/>
            </w:r>
            <w:r w:rsidR="00C362D5">
              <w:rPr>
                <w:rFonts w:cs="Arial"/>
              </w:rPr>
              <w:t xml:space="preserve"> </w:t>
            </w:r>
          </w:p>
        </w:tc>
      </w:tr>
    </w:tbl>
    <w:p w:rsidR="00720B16" w:rsidRPr="00021DD2" w:rsidRDefault="00720B16" w:rsidP="00212496">
      <w:pPr>
        <w:pStyle w:val="Titolo3"/>
        <w:spacing w:before="400"/>
        <w:rPr>
          <w:rFonts w:cs="Arial"/>
        </w:rPr>
      </w:pPr>
      <w:bookmarkStart w:id="76" w:name="_Toc500308775"/>
      <w:r w:rsidRPr="00021DD2">
        <w:rPr>
          <w:rFonts w:cs="Arial"/>
        </w:rPr>
        <w:t>Bills with a limited impact on children’s rights</w:t>
      </w:r>
      <w:bookmarkEnd w:id="76"/>
    </w:p>
    <w:p w:rsidR="00720B16" w:rsidRPr="00B358D1" w:rsidRDefault="00720B16" w:rsidP="00720B16">
      <w:pPr>
        <w:pStyle w:val="Titolo4"/>
        <w:rPr>
          <w:rFonts w:cs="Arial"/>
          <w:b w:val="0"/>
        </w:rPr>
      </w:pPr>
      <w:bookmarkStart w:id="77" w:name="_Toc495566741"/>
      <w:r w:rsidRPr="00B358D1">
        <w:rPr>
          <w:rFonts w:cs="Arial"/>
        </w:rPr>
        <w:t>Enhancing Online Safety for Children Amendment Bill 2017</w:t>
      </w:r>
      <w:bookmarkEnd w:id="77"/>
      <w:r w:rsidR="0002461A" w:rsidRPr="00B358D1">
        <w:rPr>
          <w:rFonts w:cs="Arial"/>
        </w:rPr>
        <w:t xml:space="preserve"> (Cth)</w:t>
      </w:r>
    </w:p>
    <w:p w:rsidR="00720B16" w:rsidRPr="00021DD2" w:rsidRDefault="00720B16" w:rsidP="00720B16">
      <w:pPr>
        <w:rPr>
          <w:rFonts w:cs="Arial"/>
        </w:rPr>
      </w:pPr>
      <w:r w:rsidRPr="00021DD2">
        <w:rPr>
          <w:rFonts w:cs="Arial"/>
        </w:rPr>
        <w:t>The Enhancing Online Safety for Children Amendment Bill 2017 (Cth) was introduced to the House of Representatives on 9 February 2017.</w:t>
      </w:r>
      <w:r w:rsidRPr="00021DD2">
        <w:rPr>
          <w:rStyle w:val="Rimandonotadichiusura"/>
          <w:rFonts w:cs="Arial"/>
        </w:rPr>
        <w:endnoteReference w:id="145"/>
      </w:r>
      <w:r w:rsidRPr="00021DD2">
        <w:rPr>
          <w:rFonts w:cs="Arial"/>
        </w:rPr>
        <w:t xml:space="preserve"> </w:t>
      </w:r>
    </w:p>
    <w:p w:rsidR="00720B16" w:rsidRPr="00021DD2" w:rsidRDefault="00720B16" w:rsidP="00720B16">
      <w:pPr>
        <w:spacing w:before="120" w:after="120"/>
        <w:rPr>
          <w:rFonts w:cs="Arial"/>
        </w:rPr>
      </w:pPr>
      <w:r w:rsidRPr="00021DD2">
        <w:rPr>
          <w:rFonts w:cs="Arial"/>
        </w:rPr>
        <w:t>The Bill proposed to expand the functions of the Children’s e-Safety Commissioner to Australians generally, rather than only children. This expanded role includes functions in relation to persons at risk of family violence, victims of non-consensual sharing of intimate images, and safe use of the internet by older Australians. It would also allow the Commissioner to share a broader class of information to specified Commonwealth authorities.</w:t>
      </w:r>
    </w:p>
    <w:p w:rsidR="00720B16" w:rsidRPr="00021DD2" w:rsidRDefault="00720B16" w:rsidP="00720B16">
      <w:pPr>
        <w:rPr>
          <w:rFonts w:cs="Arial"/>
        </w:rPr>
      </w:pPr>
      <w:r w:rsidRPr="00021DD2">
        <w:rPr>
          <w:rFonts w:cs="Arial"/>
        </w:rPr>
        <w:t>The Bill amends the name of the Children’s e-Safety Commissioner to the e-Safety Commissioner to reflect these broader functions. The cyber</w:t>
      </w:r>
      <w:r w:rsidR="00D77364">
        <w:rPr>
          <w:rFonts w:cs="Arial"/>
        </w:rPr>
        <w:t>-</w:t>
      </w:r>
      <w:r w:rsidRPr="00021DD2">
        <w:rPr>
          <w:rFonts w:cs="Arial"/>
        </w:rPr>
        <w:t>bull</w:t>
      </w:r>
      <w:r w:rsidR="00D77364">
        <w:rPr>
          <w:rFonts w:cs="Arial"/>
        </w:rPr>
        <w:t>y</w:t>
      </w:r>
      <w:r w:rsidRPr="00021DD2">
        <w:rPr>
          <w:rFonts w:cs="Arial"/>
        </w:rPr>
        <w:t>ing complaints system administered by the Commissioner continues to concern children only.</w:t>
      </w:r>
      <w:r w:rsidRPr="00021DD2">
        <w:rPr>
          <w:rStyle w:val="Rimandonotadichiusura"/>
          <w:rFonts w:cs="Arial"/>
        </w:rPr>
        <w:endnoteReference w:id="146"/>
      </w:r>
    </w:p>
    <w:p w:rsidR="00720B16" w:rsidRPr="00021DD2" w:rsidRDefault="00720B16" w:rsidP="00720B16">
      <w:pPr>
        <w:rPr>
          <w:rFonts w:cs="Arial"/>
        </w:rPr>
      </w:pPr>
      <w:r w:rsidRPr="00021DD2">
        <w:rPr>
          <w:rFonts w:cs="Arial"/>
        </w:rPr>
        <w:t>On 16 February 2017, the PJCHR commented that the Bill did not raise any concerns with human rights.</w:t>
      </w:r>
      <w:r w:rsidRPr="00021DD2">
        <w:rPr>
          <w:rStyle w:val="Rimandonotadichiusura"/>
          <w:rFonts w:cs="Arial"/>
        </w:rPr>
        <w:endnoteReference w:id="147"/>
      </w:r>
      <w:r w:rsidRPr="00021DD2">
        <w:rPr>
          <w:rFonts w:cs="Arial"/>
        </w:rPr>
        <w:t xml:space="preserve"> </w:t>
      </w:r>
    </w:p>
    <w:p w:rsidR="00720B16" w:rsidRPr="00021DD2" w:rsidRDefault="00720B16" w:rsidP="00720B16">
      <w:pPr>
        <w:rPr>
          <w:rFonts w:cs="Arial"/>
        </w:rPr>
      </w:pPr>
      <w:r w:rsidRPr="00021DD2">
        <w:rPr>
          <w:rFonts w:cs="Arial"/>
        </w:rPr>
        <w:t>The Bill passed both Houses of Parliament on 19 June 2017.</w:t>
      </w:r>
      <w:r w:rsidRPr="00021DD2">
        <w:rPr>
          <w:rStyle w:val="Rimandonotadichiusura"/>
          <w:rFonts w:cs="Arial"/>
        </w:rPr>
        <w:endnoteReference w:id="148"/>
      </w:r>
    </w:p>
    <w:p w:rsidR="00720B16" w:rsidRPr="00B358D1" w:rsidRDefault="00720B16" w:rsidP="00720B16">
      <w:pPr>
        <w:pStyle w:val="Titolo4"/>
        <w:rPr>
          <w:rFonts w:cs="Arial"/>
          <w:b w:val="0"/>
        </w:rPr>
      </w:pPr>
      <w:bookmarkStart w:id="78" w:name="_Toc495566742"/>
      <w:r w:rsidRPr="00B358D1">
        <w:rPr>
          <w:rFonts w:cs="Arial"/>
        </w:rPr>
        <w:t>Passports Legislation Amendment (Overseas Travel by Child Sex Offenders) Bill 2017</w:t>
      </w:r>
      <w:bookmarkEnd w:id="78"/>
      <w:r w:rsidR="0002461A" w:rsidRPr="00B358D1">
        <w:rPr>
          <w:rFonts w:cs="Arial"/>
        </w:rPr>
        <w:t xml:space="preserve"> (Cth)</w:t>
      </w:r>
    </w:p>
    <w:p w:rsidR="00720B16" w:rsidRPr="00021DD2" w:rsidRDefault="00720B16" w:rsidP="00720B16">
      <w:pPr>
        <w:rPr>
          <w:rFonts w:cs="Arial"/>
        </w:rPr>
      </w:pPr>
      <w:r w:rsidRPr="00021DD2">
        <w:rPr>
          <w:rFonts w:cs="Arial"/>
        </w:rPr>
        <w:t xml:space="preserve">The Passports Legislation Amendment (Overseas Travel by Child Sex Offenders) Bill 2017 (Cth) was introduced </w:t>
      </w:r>
      <w:r w:rsidR="00231773">
        <w:rPr>
          <w:rFonts w:cs="Arial"/>
        </w:rPr>
        <w:t>in</w:t>
      </w:r>
      <w:r w:rsidRPr="00021DD2">
        <w:rPr>
          <w:rFonts w:cs="Arial"/>
        </w:rPr>
        <w:t>to the House of Representatives on 14 June 2017.</w:t>
      </w:r>
      <w:r w:rsidRPr="00021DD2">
        <w:rPr>
          <w:rStyle w:val="Rimandonotadichiusura"/>
          <w:rFonts w:cs="Arial"/>
        </w:rPr>
        <w:endnoteReference w:id="149"/>
      </w:r>
    </w:p>
    <w:p w:rsidR="00720B16" w:rsidRPr="00021DD2" w:rsidRDefault="00720B16" w:rsidP="00720B16">
      <w:pPr>
        <w:rPr>
          <w:rFonts w:cs="Arial"/>
        </w:rPr>
      </w:pPr>
      <w:r w:rsidRPr="00021DD2">
        <w:rPr>
          <w:rFonts w:cs="Arial"/>
        </w:rPr>
        <w:t>The Bill proposed, among other things, to prevent Australians listed as reportable offenders on the state</w:t>
      </w:r>
      <w:r w:rsidR="0002461A" w:rsidRPr="00021DD2">
        <w:rPr>
          <w:rFonts w:cs="Arial"/>
        </w:rPr>
        <w:t>s</w:t>
      </w:r>
      <w:r w:rsidRPr="00021DD2">
        <w:rPr>
          <w:rFonts w:cs="Arial"/>
        </w:rPr>
        <w:t xml:space="preserve"> and territories Sex Offender Register, from sexually exploiting or abusing children in countries where legal frameworks are weaker and these activities are not monitored. </w:t>
      </w:r>
    </w:p>
    <w:p w:rsidR="00720B16" w:rsidRPr="00021DD2" w:rsidRDefault="00720B16" w:rsidP="00720B16">
      <w:pPr>
        <w:rPr>
          <w:rFonts w:cs="Arial"/>
        </w:rPr>
      </w:pPr>
      <w:r w:rsidRPr="00021DD2">
        <w:rPr>
          <w:rFonts w:cs="Arial"/>
        </w:rPr>
        <w:t>The Bill also mandates that the Minister for Foreign Affairs will be required to deny a passport to a reportable offender when requested by a competent authority.</w:t>
      </w:r>
      <w:r w:rsidRPr="00021DD2">
        <w:rPr>
          <w:rStyle w:val="Rimandonotadichiusura"/>
          <w:rFonts w:cs="Arial"/>
        </w:rPr>
        <w:endnoteReference w:id="150"/>
      </w:r>
      <w:r w:rsidR="000F10F4">
        <w:rPr>
          <w:rFonts w:cs="Arial"/>
        </w:rPr>
        <w:t xml:space="preserve"> </w:t>
      </w:r>
      <w:r w:rsidRPr="00021DD2">
        <w:rPr>
          <w:rFonts w:cs="Arial"/>
        </w:rPr>
        <w:t>A competent authority is defined in</w:t>
      </w:r>
      <w:r w:rsidR="0002461A" w:rsidRPr="00021DD2">
        <w:rPr>
          <w:rFonts w:cs="Arial"/>
        </w:rPr>
        <w:t xml:space="preserve"> section 12 of</w:t>
      </w:r>
      <w:r w:rsidRPr="00021DD2">
        <w:rPr>
          <w:rFonts w:cs="Arial"/>
        </w:rPr>
        <w:t xml:space="preserve"> the </w:t>
      </w:r>
      <w:r w:rsidRPr="00021DD2">
        <w:rPr>
          <w:rFonts w:cs="Arial"/>
          <w:i/>
        </w:rPr>
        <w:t xml:space="preserve">Australian Passports Act 2005 </w:t>
      </w:r>
      <w:r w:rsidRPr="00021DD2">
        <w:rPr>
          <w:rFonts w:cs="Arial"/>
        </w:rPr>
        <w:t xml:space="preserve">(Cth), and </w:t>
      </w:r>
      <w:r w:rsidR="0002461A" w:rsidRPr="00021DD2">
        <w:rPr>
          <w:rFonts w:cs="Arial"/>
        </w:rPr>
        <w:t xml:space="preserve">section 13 of </w:t>
      </w:r>
      <w:r w:rsidRPr="00021DD2">
        <w:rPr>
          <w:rFonts w:cs="Arial"/>
        </w:rPr>
        <w:t xml:space="preserve">the </w:t>
      </w:r>
      <w:r w:rsidRPr="0015374A">
        <w:rPr>
          <w:rFonts w:cs="Arial"/>
          <w:i/>
          <w:iCs/>
        </w:rPr>
        <w:t>Foreign Passports (Law Enforcement and Security) Act 2005</w:t>
      </w:r>
      <w:r w:rsidRPr="0015374A">
        <w:rPr>
          <w:rFonts w:cs="Arial"/>
        </w:rPr>
        <w:t xml:space="preserve"> (Cth), and will generally be the releva</w:t>
      </w:r>
      <w:r w:rsidR="0002461A" w:rsidRPr="0015374A">
        <w:rPr>
          <w:rFonts w:cs="Arial"/>
        </w:rPr>
        <w:t xml:space="preserve">nt </w:t>
      </w:r>
      <w:r w:rsidR="00E65D73">
        <w:rPr>
          <w:rFonts w:cs="Arial"/>
        </w:rPr>
        <w:t>s</w:t>
      </w:r>
      <w:r w:rsidR="0002461A" w:rsidRPr="0015374A">
        <w:rPr>
          <w:rFonts w:cs="Arial"/>
        </w:rPr>
        <w:t xml:space="preserve">tate or </w:t>
      </w:r>
      <w:r w:rsidR="00E65D73">
        <w:rPr>
          <w:rFonts w:cs="Arial"/>
        </w:rPr>
        <w:t>t</w:t>
      </w:r>
      <w:r w:rsidR="0002461A" w:rsidRPr="0015374A">
        <w:rPr>
          <w:rFonts w:cs="Arial"/>
        </w:rPr>
        <w:t>erritory authority</w:t>
      </w:r>
      <w:r w:rsidR="0015374A" w:rsidRPr="0015374A">
        <w:rPr>
          <w:rFonts w:cs="Arial"/>
        </w:rPr>
        <w:t xml:space="preserve"> </w:t>
      </w:r>
      <w:r w:rsidR="00E36212" w:rsidRPr="0015374A">
        <w:rPr>
          <w:rFonts w:ascii="Helvetica" w:hAnsi="Helvetica"/>
          <w:color w:val="333333"/>
          <w:sz w:val="22"/>
          <w:szCs w:val="22"/>
          <w:shd w:val="clear" w:color="auto" w:fill="FFFFFF"/>
        </w:rPr>
        <w:t>—</w:t>
      </w:r>
      <w:r w:rsidR="0015374A">
        <w:rPr>
          <w:rFonts w:ascii="Helvetica" w:hAnsi="Helvetica"/>
          <w:color w:val="333333"/>
          <w:sz w:val="22"/>
          <w:szCs w:val="22"/>
          <w:shd w:val="clear" w:color="auto" w:fill="FFFFFF"/>
        </w:rPr>
        <w:t xml:space="preserve"> </w:t>
      </w:r>
      <w:r w:rsidR="0002461A" w:rsidRPr="0015374A">
        <w:rPr>
          <w:rFonts w:cs="Arial"/>
        </w:rPr>
        <w:t>a</w:t>
      </w:r>
      <w:r w:rsidRPr="0015374A">
        <w:rPr>
          <w:rFonts w:cs="Arial"/>
        </w:rPr>
        <w:t xml:space="preserve"> court, sex offender registry, or police.</w:t>
      </w:r>
    </w:p>
    <w:p w:rsidR="00720B16" w:rsidRPr="00021DD2" w:rsidRDefault="00720B16" w:rsidP="00720B16">
      <w:pPr>
        <w:rPr>
          <w:rFonts w:cs="Arial"/>
        </w:rPr>
      </w:pPr>
      <w:r w:rsidRPr="00021DD2">
        <w:rPr>
          <w:rFonts w:cs="Arial"/>
        </w:rPr>
        <w:t>The Statement of Compatibility accompanying the Bill stated that the measures in the Bill are consistent with the principles underpinning the fundamental rights and freedoms in the CRC. It does this by promoting the best interests of the child and the right of the child to be protected from all forms of sexual exploitation and abuse.</w:t>
      </w:r>
      <w:r w:rsidRPr="00021DD2">
        <w:rPr>
          <w:rStyle w:val="Rimandonotadichiusura"/>
          <w:rFonts w:cs="Arial"/>
        </w:rPr>
        <w:endnoteReference w:id="151"/>
      </w:r>
    </w:p>
    <w:p w:rsidR="00720B16" w:rsidRPr="00021DD2" w:rsidRDefault="00720B16" w:rsidP="00720B16">
      <w:pPr>
        <w:rPr>
          <w:rFonts w:cs="Arial"/>
        </w:rPr>
      </w:pPr>
      <w:r w:rsidRPr="00021DD2">
        <w:rPr>
          <w:rFonts w:cs="Arial"/>
        </w:rPr>
        <w:t xml:space="preserve">The </w:t>
      </w:r>
      <w:r w:rsidR="00E65D73">
        <w:rPr>
          <w:rFonts w:cs="Arial"/>
        </w:rPr>
        <w:t>S</w:t>
      </w:r>
      <w:r w:rsidRPr="00021DD2">
        <w:rPr>
          <w:rFonts w:cs="Arial"/>
        </w:rPr>
        <w:t xml:space="preserve">tatement concluded that this Bill is compatible with human rights as </w:t>
      </w:r>
      <w:r w:rsidR="0002461A" w:rsidRPr="00021DD2">
        <w:rPr>
          <w:rFonts w:cs="Arial"/>
        </w:rPr>
        <w:t xml:space="preserve">it </w:t>
      </w:r>
      <w:r w:rsidRPr="00021DD2">
        <w:rPr>
          <w:rFonts w:cs="Arial"/>
        </w:rPr>
        <w:t>is specifically intended to protect vulnerable children, domestically and overseas, consistent with our international obligation under the CRC to cooperate in improving the living conditions of children in developing countries.</w:t>
      </w:r>
      <w:r w:rsidRPr="00021DD2">
        <w:rPr>
          <w:rStyle w:val="Rimandonotadichiusura"/>
          <w:rFonts w:cs="Arial"/>
        </w:rPr>
        <w:endnoteReference w:id="152"/>
      </w:r>
    </w:p>
    <w:p w:rsidR="00720B16" w:rsidRPr="00021DD2" w:rsidRDefault="00720B16" w:rsidP="00720B16">
      <w:pPr>
        <w:rPr>
          <w:rFonts w:cs="Arial"/>
        </w:rPr>
      </w:pPr>
      <w:r w:rsidRPr="00021DD2">
        <w:rPr>
          <w:rFonts w:cs="Arial"/>
        </w:rPr>
        <w:t>The PJCHR deferred consideration of this Bill until the winter break at which time additional information was sought from the Minister. However, the Bill passed both Houses of Parliament on 20 June 2017.</w:t>
      </w:r>
      <w:r w:rsidRPr="00021DD2">
        <w:rPr>
          <w:rStyle w:val="Rimandonotadichiusura"/>
          <w:rFonts w:cs="Arial"/>
        </w:rPr>
        <w:endnoteReference w:id="153"/>
      </w:r>
    </w:p>
    <w:p w:rsidR="00720B16" w:rsidRPr="00B358D1" w:rsidRDefault="00720B16" w:rsidP="00720B16">
      <w:pPr>
        <w:pStyle w:val="Titolo4"/>
        <w:rPr>
          <w:rFonts w:cs="Arial"/>
          <w:b w:val="0"/>
        </w:rPr>
      </w:pPr>
      <w:bookmarkStart w:id="79" w:name="_Toc495566743"/>
      <w:r w:rsidRPr="00B358D1">
        <w:rPr>
          <w:rFonts w:cs="Arial"/>
        </w:rPr>
        <w:t>Australian Education Amendment Bill 2017</w:t>
      </w:r>
      <w:bookmarkEnd w:id="79"/>
      <w:r w:rsidR="00E65D73" w:rsidRPr="00B358D1">
        <w:rPr>
          <w:rFonts w:cs="Arial"/>
        </w:rPr>
        <w:t xml:space="preserve"> (Cth)</w:t>
      </w:r>
    </w:p>
    <w:p w:rsidR="00720B16" w:rsidRPr="00021DD2" w:rsidRDefault="00720B16" w:rsidP="00720B16">
      <w:pPr>
        <w:rPr>
          <w:rFonts w:cs="Arial"/>
        </w:rPr>
      </w:pPr>
      <w:r w:rsidRPr="00021DD2">
        <w:rPr>
          <w:rFonts w:cs="Arial"/>
        </w:rPr>
        <w:t xml:space="preserve">The Australian Education Amendment Bill 2017 (Cth) was introduced </w:t>
      </w:r>
      <w:r w:rsidR="00615C98">
        <w:rPr>
          <w:rFonts w:cs="Arial"/>
        </w:rPr>
        <w:t>in</w:t>
      </w:r>
      <w:r w:rsidRPr="00021DD2">
        <w:rPr>
          <w:rFonts w:cs="Arial"/>
        </w:rPr>
        <w:t>to the House of Representatives on 11 May 2017.</w:t>
      </w:r>
      <w:r w:rsidRPr="00021DD2">
        <w:rPr>
          <w:rStyle w:val="Rimandonotadichiusura"/>
          <w:rFonts w:cs="Arial"/>
        </w:rPr>
        <w:endnoteReference w:id="154"/>
      </w:r>
      <w:r w:rsidRPr="00021DD2">
        <w:rPr>
          <w:rFonts w:cs="Arial"/>
        </w:rPr>
        <w:t xml:space="preserve"> </w:t>
      </w:r>
    </w:p>
    <w:p w:rsidR="00720B16" w:rsidRPr="00021DD2" w:rsidRDefault="00720B16" w:rsidP="00720B16">
      <w:pPr>
        <w:rPr>
          <w:rFonts w:cs="Arial"/>
        </w:rPr>
      </w:pPr>
      <w:r w:rsidRPr="00021DD2">
        <w:rPr>
          <w:rFonts w:cs="Arial"/>
        </w:rPr>
        <w:t xml:space="preserve">The Bill proposed, among other things, to amend the </w:t>
      </w:r>
      <w:r w:rsidRPr="00021DD2">
        <w:rPr>
          <w:rFonts w:cs="Arial"/>
          <w:i/>
        </w:rPr>
        <w:t>Australian Education Act 2013</w:t>
      </w:r>
      <w:r w:rsidRPr="00021DD2">
        <w:rPr>
          <w:rFonts w:cs="Arial"/>
        </w:rPr>
        <w:t xml:space="preserve"> (Cth) to retain the Schooling Resource Standard. The Bill primarily proposed changes to the funding of non-government and government schools and the indexation and allocation of these funds.</w:t>
      </w:r>
      <w:r w:rsidRPr="00021DD2">
        <w:rPr>
          <w:rStyle w:val="Rimandonotadichiusura"/>
          <w:rFonts w:cs="Arial"/>
        </w:rPr>
        <w:endnoteReference w:id="155"/>
      </w:r>
    </w:p>
    <w:p w:rsidR="00720B16" w:rsidRPr="00021DD2" w:rsidRDefault="00720B16" w:rsidP="00720B16">
      <w:pPr>
        <w:rPr>
          <w:rFonts w:cs="Arial"/>
        </w:rPr>
      </w:pPr>
      <w:r w:rsidRPr="00021DD2">
        <w:rPr>
          <w:rFonts w:cs="Arial"/>
        </w:rPr>
        <w:t xml:space="preserve">The accompanying Statement of Compatibility acknowledged that the Bill engages article 16 (privacy) and articles 28 and 29 (education) of the </w:t>
      </w:r>
      <w:r w:rsidR="00615C98">
        <w:rPr>
          <w:rFonts w:cs="Arial"/>
        </w:rPr>
        <w:t>CRC</w:t>
      </w:r>
      <w:r w:rsidRPr="00021DD2">
        <w:rPr>
          <w:rFonts w:cs="Arial"/>
        </w:rPr>
        <w:t xml:space="preserve"> but that it does not limit them. The Statement concluded that the Bill promotes the right to education for all children by removing inequities in funding between government and non-government schools.</w:t>
      </w:r>
      <w:r w:rsidRPr="00021DD2">
        <w:rPr>
          <w:rStyle w:val="Rimandonotadichiusura"/>
          <w:rFonts w:cs="Arial"/>
        </w:rPr>
        <w:endnoteReference w:id="156"/>
      </w:r>
      <w:r w:rsidRPr="00021DD2">
        <w:rPr>
          <w:rFonts w:cs="Arial"/>
        </w:rPr>
        <w:t xml:space="preserve"> </w:t>
      </w:r>
    </w:p>
    <w:p w:rsidR="00720B16" w:rsidRPr="00021DD2" w:rsidRDefault="00720B16" w:rsidP="00720B16">
      <w:pPr>
        <w:rPr>
          <w:rFonts w:cs="Arial"/>
        </w:rPr>
      </w:pPr>
      <w:r w:rsidRPr="00021DD2">
        <w:rPr>
          <w:rFonts w:cs="Arial"/>
        </w:rPr>
        <w:t>The Bill was referred to the Senate Committee for Education and Employment for inquiry and report. The Committee noted that the Bill satisfied its aim of distributing funds on a needs basis equally across schools, states and sectors, paying particular attention to rural and remote student populations in some states. It recommended that the Bill be passed.</w:t>
      </w:r>
      <w:r w:rsidRPr="00021DD2">
        <w:rPr>
          <w:rStyle w:val="Rimandonotadichiusura"/>
          <w:rFonts w:cs="Arial"/>
        </w:rPr>
        <w:endnoteReference w:id="157"/>
      </w:r>
    </w:p>
    <w:p w:rsidR="00720B16" w:rsidRPr="00021DD2" w:rsidRDefault="00720B16" w:rsidP="00720B16">
      <w:pPr>
        <w:rPr>
          <w:rFonts w:cs="Arial"/>
        </w:rPr>
      </w:pPr>
      <w:r w:rsidRPr="00021DD2">
        <w:rPr>
          <w:rFonts w:cs="Arial"/>
        </w:rPr>
        <w:t>In June 2017, the PJCHR considered the Bill and concluded that it did not raise any human rights concerns.</w:t>
      </w:r>
      <w:r w:rsidRPr="00021DD2">
        <w:rPr>
          <w:rStyle w:val="Rimandonotadichiusura"/>
          <w:rFonts w:cs="Arial"/>
        </w:rPr>
        <w:endnoteReference w:id="158"/>
      </w:r>
    </w:p>
    <w:p w:rsidR="00720B16" w:rsidRPr="00021DD2" w:rsidRDefault="00720B16" w:rsidP="00720B16">
      <w:pPr>
        <w:rPr>
          <w:rFonts w:cs="Arial"/>
        </w:rPr>
      </w:pPr>
      <w:r w:rsidRPr="00021DD2">
        <w:rPr>
          <w:rFonts w:cs="Arial"/>
        </w:rPr>
        <w:t>The Bill passed both Houses of Parliament on 22 June 2017.</w:t>
      </w:r>
      <w:r w:rsidRPr="00021DD2">
        <w:rPr>
          <w:rStyle w:val="Rimandonotadichiusura"/>
          <w:rFonts w:cs="Arial"/>
        </w:rPr>
        <w:endnoteReference w:id="159"/>
      </w:r>
      <w:r w:rsidRPr="00021DD2">
        <w:rPr>
          <w:rFonts w:cs="Arial"/>
        </w:rPr>
        <w:t xml:space="preserve"> </w:t>
      </w:r>
    </w:p>
    <w:p w:rsidR="00095578" w:rsidRDefault="00095578">
      <w:pPr>
        <w:keepLines w:val="0"/>
        <w:spacing w:before="0" w:after="0"/>
        <w:rPr>
          <w:rFonts w:cs="Arial"/>
          <w:b/>
          <w:iCs/>
          <w:szCs w:val="26"/>
        </w:rPr>
      </w:pPr>
      <w:bookmarkStart w:id="80" w:name="_Toc495566744"/>
      <w:r>
        <w:rPr>
          <w:rFonts w:cs="Arial"/>
        </w:rPr>
        <w:br w:type="page"/>
      </w:r>
    </w:p>
    <w:p w:rsidR="00720B16" w:rsidRPr="00B358D1" w:rsidRDefault="00720B16" w:rsidP="00720B16">
      <w:pPr>
        <w:pStyle w:val="Titolo4"/>
        <w:rPr>
          <w:rFonts w:cs="Arial"/>
          <w:b w:val="0"/>
        </w:rPr>
      </w:pPr>
      <w:r w:rsidRPr="00B358D1">
        <w:rPr>
          <w:rFonts w:cs="Arial"/>
        </w:rPr>
        <w:t>Marriage Legislation Amendment Bill 2016 (Cth)</w:t>
      </w:r>
      <w:bookmarkEnd w:id="80"/>
    </w:p>
    <w:p w:rsidR="00720B16" w:rsidRPr="00021DD2" w:rsidRDefault="00720B16" w:rsidP="00720B16">
      <w:pPr>
        <w:rPr>
          <w:rFonts w:cs="Arial"/>
        </w:rPr>
      </w:pPr>
      <w:r w:rsidRPr="00021DD2">
        <w:rPr>
          <w:rFonts w:cs="Arial"/>
        </w:rPr>
        <w:t xml:space="preserve">The Hon Bill Shorten MP introduced the Marriage Legislation Amendment Bill 2016 </w:t>
      </w:r>
      <w:r w:rsidR="00615C98">
        <w:rPr>
          <w:rFonts w:cs="Arial"/>
        </w:rPr>
        <w:t>in</w:t>
      </w:r>
      <w:r w:rsidRPr="00021DD2">
        <w:rPr>
          <w:rFonts w:cs="Arial"/>
        </w:rPr>
        <w:t>to the House of Representatives on 12 September 2016.</w:t>
      </w:r>
      <w:r w:rsidRPr="00021DD2">
        <w:rPr>
          <w:rStyle w:val="Rimandonotadichiusura"/>
          <w:rFonts w:cs="Arial"/>
        </w:rPr>
        <w:endnoteReference w:id="160"/>
      </w:r>
      <w:r w:rsidRPr="00021DD2">
        <w:rPr>
          <w:rFonts w:cs="Arial"/>
        </w:rPr>
        <w:t xml:space="preserve"> </w:t>
      </w:r>
    </w:p>
    <w:p w:rsidR="00720B16" w:rsidRPr="00021DD2" w:rsidRDefault="00720B16" w:rsidP="00720B16">
      <w:pPr>
        <w:rPr>
          <w:rFonts w:cs="Arial"/>
        </w:rPr>
      </w:pPr>
      <w:r w:rsidRPr="00021DD2">
        <w:rPr>
          <w:rFonts w:cs="Arial"/>
        </w:rPr>
        <w:t xml:space="preserve">The purpose of the Bill was to amend the </w:t>
      </w:r>
      <w:r w:rsidRPr="00021DD2">
        <w:rPr>
          <w:rFonts w:cs="Arial"/>
          <w:i/>
        </w:rPr>
        <w:t xml:space="preserve">Marriage Act 1961 </w:t>
      </w:r>
      <w:r w:rsidRPr="00021DD2">
        <w:rPr>
          <w:rFonts w:cs="Arial"/>
        </w:rPr>
        <w:t xml:space="preserve">(Cth) to allow couples to marry, regardless of sex, sexual orientation, gender identity or intersex status, and have their marriage recognised. This proposed amendment would allow any two people to marry. While the </w:t>
      </w:r>
      <w:r w:rsidR="00615C98" w:rsidRPr="00615C98">
        <w:rPr>
          <w:rFonts w:cs="Arial"/>
        </w:rPr>
        <w:t>CRC</w:t>
      </w:r>
      <w:r w:rsidRPr="00021DD2">
        <w:rPr>
          <w:rFonts w:cs="Arial"/>
        </w:rPr>
        <w:t xml:space="preserve"> is not specifically referenced, the Bill stated that it promotes the best interests of the child by expanding the stability embodied in a marriage relationship to all families.</w:t>
      </w:r>
      <w:r w:rsidRPr="00021DD2">
        <w:rPr>
          <w:rStyle w:val="Rimandonotadichiusura"/>
          <w:rFonts w:cs="Arial"/>
        </w:rPr>
        <w:endnoteReference w:id="161"/>
      </w:r>
    </w:p>
    <w:p w:rsidR="00720B16" w:rsidRPr="00021DD2" w:rsidRDefault="00720B16" w:rsidP="00720B16">
      <w:pPr>
        <w:rPr>
          <w:rFonts w:cs="Arial"/>
        </w:rPr>
      </w:pPr>
      <w:r w:rsidRPr="00021DD2">
        <w:rPr>
          <w:rFonts w:cs="Arial"/>
        </w:rPr>
        <w:t xml:space="preserve">The Bill recognised that the proposed amendments did not affect existing marriage consent laws for minors. </w:t>
      </w:r>
    </w:p>
    <w:p w:rsidR="00720B16" w:rsidRPr="00021DD2" w:rsidRDefault="00720B16" w:rsidP="00720B16">
      <w:pPr>
        <w:rPr>
          <w:rFonts w:cs="Arial"/>
        </w:rPr>
      </w:pPr>
      <w:r w:rsidRPr="00021DD2">
        <w:rPr>
          <w:rFonts w:cs="Arial"/>
        </w:rPr>
        <w:t xml:space="preserve">The Bill included a minor amendment to Part III of the Schedule to the </w:t>
      </w:r>
      <w:r w:rsidRPr="00021DD2">
        <w:rPr>
          <w:rFonts w:cs="Arial"/>
          <w:i/>
        </w:rPr>
        <w:t>Marriage Act 1961</w:t>
      </w:r>
      <w:r w:rsidRPr="00021DD2">
        <w:rPr>
          <w:rFonts w:cs="Arial"/>
        </w:rPr>
        <w:t xml:space="preserve"> (Cth)</w:t>
      </w:r>
      <w:r w:rsidRPr="00021DD2">
        <w:rPr>
          <w:rFonts w:cs="Arial"/>
          <w:i/>
        </w:rPr>
        <w:t xml:space="preserve"> </w:t>
      </w:r>
      <w:r w:rsidRPr="00021DD2">
        <w:rPr>
          <w:rFonts w:cs="Arial"/>
        </w:rPr>
        <w:t xml:space="preserve">which recognises that </w:t>
      </w:r>
      <w:r w:rsidR="00615C98">
        <w:rPr>
          <w:rFonts w:cs="Arial"/>
        </w:rPr>
        <w:t xml:space="preserve">in the future </w:t>
      </w:r>
      <w:r w:rsidRPr="00021DD2">
        <w:rPr>
          <w:rFonts w:cs="Arial"/>
        </w:rPr>
        <w:t>minors may be adopted by any couple consisting of two people. Intended to ensure that the current rules regarding consent for a minor who is an adoptive child continue to operate, the Bill also recognised the common responsibilities of parents in the upbringing and development of a child.</w:t>
      </w:r>
      <w:r w:rsidRPr="00021DD2">
        <w:rPr>
          <w:rStyle w:val="Rimandonotadichiusura"/>
          <w:rFonts w:cs="Arial"/>
        </w:rPr>
        <w:endnoteReference w:id="162"/>
      </w:r>
      <w:r w:rsidRPr="00021DD2">
        <w:rPr>
          <w:rFonts w:cs="Arial"/>
        </w:rPr>
        <w:t xml:space="preserve"> </w:t>
      </w:r>
    </w:p>
    <w:p w:rsidR="00720B16" w:rsidRPr="00021DD2" w:rsidRDefault="00720B16" w:rsidP="00720B16">
      <w:pPr>
        <w:rPr>
          <w:rFonts w:cs="Arial"/>
        </w:rPr>
      </w:pPr>
      <w:r w:rsidRPr="00021DD2">
        <w:rPr>
          <w:rFonts w:cs="Arial"/>
        </w:rPr>
        <w:t>In November 2016, the PJCHR noted that the Bill was consistent with the right to respect for the family under international human rights law through its application to a range of family structures.</w:t>
      </w:r>
      <w:r w:rsidRPr="00021DD2">
        <w:rPr>
          <w:rStyle w:val="Rimandonotadichiusura"/>
          <w:rFonts w:cs="Arial"/>
        </w:rPr>
        <w:endnoteReference w:id="163"/>
      </w:r>
      <w:r w:rsidRPr="00021DD2">
        <w:rPr>
          <w:rFonts w:cs="Arial"/>
        </w:rPr>
        <w:t xml:space="preserve"> </w:t>
      </w:r>
    </w:p>
    <w:p w:rsidR="00720B16" w:rsidRPr="00021DD2" w:rsidRDefault="00720B16" w:rsidP="00720B16">
      <w:pPr>
        <w:rPr>
          <w:rFonts w:cs="Arial"/>
        </w:rPr>
      </w:pPr>
      <w:r w:rsidRPr="00021DD2">
        <w:rPr>
          <w:rFonts w:cs="Arial"/>
        </w:rPr>
        <w:t>The Bill was removed from the notice paper on 21 March 2017 and is not proceeding.</w:t>
      </w:r>
      <w:r w:rsidRPr="00021DD2">
        <w:rPr>
          <w:rStyle w:val="Rimandonotadichiusura"/>
          <w:rFonts w:cs="Arial"/>
        </w:rPr>
        <w:endnoteReference w:id="164"/>
      </w:r>
    </w:p>
    <w:p w:rsidR="00720B16" w:rsidRPr="00095578" w:rsidRDefault="00720B16" w:rsidP="00720B16">
      <w:pPr>
        <w:pStyle w:val="Titolo4"/>
        <w:rPr>
          <w:rFonts w:cs="Arial"/>
          <w:b w:val="0"/>
        </w:rPr>
      </w:pPr>
      <w:bookmarkStart w:id="81" w:name="_Toc495566745"/>
      <w:r w:rsidRPr="00095578">
        <w:rPr>
          <w:rFonts w:cs="Arial"/>
        </w:rPr>
        <w:t>Fairer Paid Parental Leave Bill 2016 (Cth)</w:t>
      </w:r>
      <w:bookmarkEnd w:id="81"/>
      <w:r w:rsidRPr="00095578">
        <w:rPr>
          <w:rFonts w:cs="Arial"/>
        </w:rPr>
        <w:t xml:space="preserve"> </w:t>
      </w:r>
    </w:p>
    <w:p w:rsidR="00720B16" w:rsidRPr="00021DD2" w:rsidRDefault="00720B16" w:rsidP="00720B16">
      <w:pPr>
        <w:rPr>
          <w:rFonts w:cs="Arial"/>
        </w:rPr>
      </w:pPr>
      <w:r w:rsidRPr="00021DD2">
        <w:rPr>
          <w:rFonts w:cs="Arial"/>
        </w:rPr>
        <w:t xml:space="preserve">The Fairer Paid Parental Leave Bill 2016 (Cth) was introduced </w:t>
      </w:r>
      <w:r w:rsidR="00615C98">
        <w:rPr>
          <w:rFonts w:cs="Arial"/>
        </w:rPr>
        <w:t xml:space="preserve">into </w:t>
      </w:r>
      <w:r w:rsidRPr="00021DD2">
        <w:rPr>
          <w:rFonts w:cs="Arial"/>
        </w:rPr>
        <w:t xml:space="preserve">the House of Representatives on 20 October 2016. </w:t>
      </w:r>
    </w:p>
    <w:p w:rsidR="00720B16" w:rsidRPr="00021DD2" w:rsidRDefault="00720B16" w:rsidP="00720B16">
      <w:pPr>
        <w:rPr>
          <w:rFonts w:cs="Arial"/>
        </w:rPr>
      </w:pPr>
      <w:r w:rsidRPr="00021DD2">
        <w:rPr>
          <w:rFonts w:cs="Arial"/>
        </w:rPr>
        <w:t xml:space="preserve">The Bill proposed to change the </w:t>
      </w:r>
      <w:r w:rsidRPr="00021DD2">
        <w:rPr>
          <w:rFonts w:cs="Arial"/>
          <w:i/>
        </w:rPr>
        <w:t>Paid Parental Leave Act 2010</w:t>
      </w:r>
      <w:r w:rsidRPr="00021DD2">
        <w:rPr>
          <w:rFonts w:cs="Arial"/>
        </w:rPr>
        <w:t xml:space="preserve"> (Cth) to remove so-called ‘double dipping’ from the federally funded paid parental leave (PPL) scheme. The Bill sought to prevent parents from claiming </w:t>
      </w:r>
      <w:r w:rsidR="0002461A" w:rsidRPr="00021DD2">
        <w:rPr>
          <w:rFonts w:cs="Arial"/>
        </w:rPr>
        <w:t xml:space="preserve">from </w:t>
      </w:r>
      <w:r w:rsidRPr="00021DD2">
        <w:rPr>
          <w:rFonts w:cs="Arial"/>
        </w:rPr>
        <w:t>both the</w:t>
      </w:r>
      <w:r w:rsidR="00E65D73">
        <w:rPr>
          <w:rFonts w:cs="Arial"/>
        </w:rPr>
        <w:t xml:space="preserve"> Australian</w:t>
      </w:r>
      <w:r w:rsidRPr="00021DD2">
        <w:rPr>
          <w:rFonts w:cs="Arial"/>
        </w:rPr>
        <w:t xml:space="preserve"> Government scheme and any employer funded scheme they might have access to. Under this proposal</w:t>
      </w:r>
      <w:r w:rsidR="0002461A" w:rsidRPr="00021DD2">
        <w:rPr>
          <w:rFonts w:cs="Arial"/>
        </w:rPr>
        <w:t>,</w:t>
      </w:r>
      <w:r w:rsidRPr="00021DD2">
        <w:rPr>
          <w:rFonts w:cs="Arial"/>
        </w:rPr>
        <w:t xml:space="preserve"> Centrelink was to consider the number of weeks available to an employee under an employer scheme, and if under 18 weeks, the</w:t>
      </w:r>
      <w:r w:rsidR="00E65D73">
        <w:rPr>
          <w:rFonts w:cs="Arial"/>
        </w:rPr>
        <w:t xml:space="preserve"> Australian</w:t>
      </w:r>
      <w:r w:rsidRPr="00021DD2">
        <w:rPr>
          <w:rFonts w:cs="Arial"/>
        </w:rPr>
        <w:t xml:space="preserve"> Government scheme would pay a </w:t>
      </w:r>
      <w:r w:rsidR="00D749F8">
        <w:rPr>
          <w:rFonts w:cs="Arial"/>
        </w:rPr>
        <w:t xml:space="preserve">top-up </w:t>
      </w:r>
      <w:r w:rsidRPr="00021DD2">
        <w:rPr>
          <w:rFonts w:cs="Arial"/>
        </w:rPr>
        <w:t>amount up to 18 wee</w:t>
      </w:r>
      <w:r w:rsidR="0002461A" w:rsidRPr="00021DD2">
        <w:rPr>
          <w:rFonts w:cs="Arial"/>
        </w:rPr>
        <w:t>ks at a rate equivalent to the national minimum w</w:t>
      </w:r>
      <w:r w:rsidRPr="00021DD2">
        <w:rPr>
          <w:rFonts w:cs="Arial"/>
        </w:rPr>
        <w:t>age. Payments would be made directly by Centrelink.</w:t>
      </w:r>
    </w:p>
    <w:p w:rsidR="00720B16" w:rsidRPr="00021DD2" w:rsidRDefault="00720B16" w:rsidP="00720B16">
      <w:pPr>
        <w:rPr>
          <w:rFonts w:cs="Arial"/>
        </w:rPr>
      </w:pPr>
      <w:r w:rsidRPr="00021DD2">
        <w:rPr>
          <w:rFonts w:cs="Arial"/>
        </w:rPr>
        <w:t>On 10 November 2016, the Senate referred the provisions of the Bill to the Community Affairs Legislation Committee for inquiry and report by 15 February 2017.</w:t>
      </w:r>
      <w:r w:rsidRPr="00021DD2">
        <w:rPr>
          <w:rStyle w:val="Rimandonotadichiusura"/>
          <w:rFonts w:cs="Arial"/>
        </w:rPr>
        <w:endnoteReference w:id="165"/>
      </w:r>
    </w:p>
    <w:p w:rsidR="00720B16" w:rsidRPr="00021DD2" w:rsidRDefault="00720B16" w:rsidP="00720B16">
      <w:pPr>
        <w:rPr>
          <w:rFonts w:cs="Arial"/>
        </w:rPr>
      </w:pPr>
      <w:r w:rsidRPr="00021DD2">
        <w:rPr>
          <w:rFonts w:cs="Arial"/>
        </w:rPr>
        <w:t xml:space="preserve">The Committee highlighted that the provisions put forward in the Bill were similar to those put forward in the </w:t>
      </w:r>
      <w:r w:rsidRPr="001A1F17">
        <w:rPr>
          <w:rFonts w:cs="Arial"/>
        </w:rPr>
        <w:t>Omnibus Bill</w:t>
      </w:r>
      <w:r w:rsidRPr="00021DD2">
        <w:rPr>
          <w:rFonts w:cs="Arial"/>
        </w:rPr>
        <w:t>.</w:t>
      </w:r>
      <w:r w:rsidRPr="00021DD2">
        <w:rPr>
          <w:rStyle w:val="Rimandonotadichiusura"/>
          <w:rFonts w:cs="Arial"/>
        </w:rPr>
        <w:endnoteReference w:id="166"/>
      </w:r>
      <w:r w:rsidRPr="00021DD2">
        <w:rPr>
          <w:rFonts w:cs="Arial"/>
        </w:rPr>
        <w:t xml:space="preserve"> </w:t>
      </w:r>
    </w:p>
    <w:p w:rsidR="00720B16" w:rsidRPr="00021DD2" w:rsidRDefault="00720B16" w:rsidP="00720B16">
      <w:pPr>
        <w:rPr>
          <w:rFonts w:cs="Arial"/>
        </w:rPr>
      </w:pPr>
      <w:r w:rsidRPr="00021DD2">
        <w:rPr>
          <w:rFonts w:cs="Arial"/>
        </w:rPr>
        <w:t xml:space="preserve">The Explanatory Memorandum to the </w:t>
      </w:r>
      <w:r w:rsidRPr="001A1F17">
        <w:rPr>
          <w:rFonts w:cs="Arial"/>
          <w:lang w:val="en"/>
        </w:rPr>
        <w:t xml:space="preserve">Omnibus Bill </w:t>
      </w:r>
      <w:r w:rsidR="0002461A" w:rsidRPr="001A1F17">
        <w:rPr>
          <w:rFonts w:cs="Arial"/>
          <w:lang w:val="en"/>
        </w:rPr>
        <w:t>s</w:t>
      </w:r>
      <w:r w:rsidRPr="001A1F17">
        <w:rPr>
          <w:rFonts w:cs="Arial"/>
        </w:rPr>
        <w:t>tates</w:t>
      </w:r>
      <w:r w:rsidRPr="00021DD2">
        <w:rPr>
          <w:rFonts w:cs="Arial"/>
        </w:rPr>
        <w:t xml:space="preserve"> that the Fairer Paid Parental Leave Bill 2016</w:t>
      </w:r>
      <w:r w:rsidR="0002461A" w:rsidRPr="00021DD2">
        <w:rPr>
          <w:rFonts w:cs="Arial"/>
        </w:rPr>
        <w:t xml:space="preserve"> (Cth) </w:t>
      </w:r>
      <w:r w:rsidRPr="00021DD2">
        <w:rPr>
          <w:rFonts w:cs="Arial"/>
        </w:rPr>
        <w:t>would be withdrawn following the introduction of the revised PPL scheme arrangements contained in the Omnibus Bill.</w:t>
      </w:r>
      <w:r w:rsidRPr="00021DD2">
        <w:rPr>
          <w:rStyle w:val="Rimandonotadichiusura"/>
          <w:rFonts w:cs="Arial"/>
        </w:rPr>
        <w:endnoteReference w:id="167"/>
      </w:r>
      <w:r w:rsidRPr="00021DD2">
        <w:rPr>
          <w:rFonts w:cs="Arial"/>
        </w:rPr>
        <w:t xml:space="preserve"> </w:t>
      </w:r>
    </w:p>
    <w:p w:rsidR="00720B16" w:rsidRPr="00021DD2" w:rsidRDefault="00720B16" w:rsidP="00720B16">
      <w:pPr>
        <w:rPr>
          <w:rFonts w:cs="Arial"/>
        </w:rPr>
      </w:pPr>
      <w:r w:rsidRPr="00021DD2">
        <w:rPr>
          <w:rFonts w:cs="Arial"/>
        </w:rPr>
        <w:t>This Bill was discharged from the Notice Paper on 10 May 2017 and is not proceeding.</w:t>
      </w:r>
      <w:r w:rsidRPr="00021DD2">
        <w:rPr>
          <w:rStyle w:val="Rimandonotadichiusura"/>
          <w:rFonts w:cs="Arial"/>
        </w:rPr>
        <w:endnoteReference w:id="168"/>
      </w:r>
    </w:p>
    <w:p w:rsidR="00720B16" w:rsidRPr="00095578" w:rsidRDefault="0002461A" w:rsidP="00720B16">
      <w:pPr>
        <w:pStyle w:val="Titolo4"/>
        <w:rPr>
          <w:rFonts w:cs="Arial"/>
          <w:b w:val="0"/>
        </w:rPr>
      </w:pPr>
      <w:bookmarkStart w:id="82" w:name="_Toc495566746"/>
      <w:r w:rsidRPr="00095578">
        <w:rPr>
          <w:rFonts w:cs="Arial"/>
        </w:rPr>
        <w:t>V</w:t>
      </w:r>
      <w:r w:rsidR="00720B16" w:rsidRPr="00095578">
        <w:rPr>
          <w:rFonts w:cs="Arial"/>
        </w:rPr>
        <w:t>ET Student Loans Bill 2016 (Cth)</w:t>
      </w:r>
      <w:bookmarkEnd w:id="82"/>
    </w:p>
    <w:p w:rsidR="00720B16" w:rsidRPr="00021DD2" w:rsidRDefault="00720B16" w:rsidP="00720B16">
      <w:pPr>
        <w:rPr>
          <w:rFonts w:cs="Arial"/>
        </w:rPr>
      </w:pPr>
      <w:r w:rsidRPr="00021DD2">
        <w:rPr>
          <w:rFonts w:cs="Arial"/>
        </w:rPr>
        <w:t xml:space="preserve">The VET Student Loans Bill 2016 (Cth) was introduced </w:t>
      </w:r>
      <w:r w:rsidR="001A1F17">
        <w:rPr>
          <w:rFonts w:cs="Arial"/>
        </w:rPr>
        <w:t>in</w:t>
      </w:r>
      <w:r w:rsidRPr="00021DD2">
        <w:rPr>
          <w:rFonts w:cs="Arial"/>
        </w:rPr>
        <w:t>to the House of Representatives on 13 October 2016.</w:t>
      </w:r>
      <w:r w:rsidRPr="00021DD2">
        <w:rPr>
          <w:rStyle w:val="Rimandonotadichiusura"/>
          <w:rFonts w:cs="Arial"/>
        </w:rPr>
        <w:endnoteReference w:id="169"/>
      </w:r>
    </w:p>
    <w:p w:rsidR="00720B16" w:rsidRPr="00021DD2" w:rsidRDefault="00720B16" w:rsidP="00720B16">
      <w:pPr>
        <w:rPr>
          <w:rFonts w:cs="Arial"/>
        </w:rPr>
      </w:pPr>
      <w:r w:rsidRPr="00021DD2">
        <w:rPr>
          <w:rFonts w:cs="Arial"/>
        </w:rPr>
        <w:t>The Bill sought to introduce a new student loans program to replace the VET FEE-HELP loan scheme. The Bill provided that student loans are approved on</w:t>
      </w:r>
      <w:r w:rsidR="0002461A" w:rsidRPr="00021DD2">
        <w:rPr>
          <w:rFonts w:cs="Arial"/>
        </w:rPr>
        <w:t>ly for eligible students, limited</w:t>
      </w:r>
      <w:r w:rsidRPr="00021DD2">
        <w:rPr>
          <w:rFonts w:cs="Arial"/>
        </w:rPr>
        <w:t xml:space="preserve"> course eligibility, impose</w:t>
      </w:r>
      <w:r w:rsidR="0002461A" w:rsidRPr="00021DD2">
        <w:rPr>
          <w:rFonts w:cs="Arial"/>
        </w:rPr>
        <w:t>d</w:t>
      </w:r>
      <w:r w:rsidRPr="00021DD2">
        <w:rPr>
          <w:rFonts w:cs="Arial"/>
        </w:rPr>
        <w:t xml:space="preserve"> stronger eligibility requi</w:t>
      </w:r>
      <w:r w:rsidR="0002461A" w:rsidRPr="00021DD2">
        <w:rPr>
          <w:rFonts w:cs="Arial"/>
        </w:rPr>
        <w:t>rements for qualifications, banned</w:t>
      </w:r>
      <w:r w:rsidRPr="00021DD2">
        <w:rPr>
          <w:rFonts w:cs="Arial"/>
        </w:rPr>
        <w:t xml:space="preserve"> brokers or agents from negotiat</w:t>
      </w:r>
      <w:r w:rsidR="0002461A" w:rsidRPr="00021DD2">
        <w:rPr>
          <w:rFonts w:cs="Arial"/>
        </w:rPr>
        <w:t>ing student loans, and increased</w:t>
      </w:r>
      <w:r w:rsidRPr="00021DD2">
        <w:rPr>
          <w:rFonts w:cs="Arial"/>
        </w:rPr>
        <w:t xml:space="preserve"> monitoring and penalty provisions.</w:t>
      </w:r>
    </w:p>
    <w:p w:rsidR="00720B16" w:rsidRPr="00021DD2" w:rsidRDefault="00720B16" w:rsidP="00720B16">
      <w:pPr>
        <w:rPr>
          <w:rFonts w:cs="Arial"/>
        </w:rPr>
      </w:pPr>
      <w:r w:rsidRPr="00021DD2">
        <w:rPr>
          <w:rFonts w:cs="Arial"/>
        </w:rPr>
        <w:t>The amendments proposed, among other things, to establish a VET student loans Ombudsman. The Ombudsman would monitor approved course providers who would be subject to regulation, information sharing and reporting requirements. The proposed amendm</w:t>
      </w:r>
      <w:r w:rsidR="006C4872" w:rsidRPr="00021DD2">
        <w:rPr>
          <w:rFonts w:cs="Arial"/>
        </w:rPr>
        <w:t>ent stipulated that the Ombudsma</w:t>
      </w:r>
      <w:r w:rsidRPr="00021DD2">
        <w:rPr>
          <w:rFonts w:cs="Arial"/>
        </w:rPr>
        <w:t>n scheme would come into effect on 1 July 2017.</w:t>
      </w:r>
      <w:r w:rsidRPr="00021DD2">
        <w:rPr>
          <w:rStyle w:val="Rimandonotadichiusura"/>
          <w:rFonts w:cs="Arial"/>
        </w:rPr>
        <w:endnoteReference w:id="170"/>
      </w:r>
    </w:p>
    <w:p w:rsidR="00720B16" w:rsidRPr="00021DD2" w:rsidRDefault="00720B16" w:rsidP="00720B16">
      <w:pPr>
        <w:rPr>
          <w:rFonts w:cs="Arial"/>
        </w:rPr>
      </w:pPr>
      <w:r w:rsidRPr="00021DD2">
        <w:rPr>
          <w:rFonts w:cs="Arial"/>
        </w:rPr>
        <w:t xml:space="preserve">The Bill was referred to the Senate Education and Employment Legislation Committee on 13 October 2016 for inquiry and report. A recommendation of the Committee was that the </w:t>
      </w:r>
      <w:r w:rsidR="00E65D73">
        <w:rPr>
          <w:rFonts w:cs="Arial"/>
        </w:rPr>
        <w:t xml:space="preserve">Australian </w:t>
      </w:r>
      <w:r w:rsidRPr="00021DD2">
        <w:rPr>
          <w:rFonts w:cs="Arial"/>
        </w:rPr>
        <w:t>Government establish a VET Ombudsman and that once established, there be a program of active promotion of the Ombudsman and its role to ensure that VET students are fully informed about their rights.</w:t>
      </w:r>
      <w:r w:rsidRPr="00021DD2">
        <w:rPr>
          <w:rStyle w:val="Rimandonotadichiusura"/>
          <w:rFonts w:cs="Arial"/>
        </w:rPr>
        <w:endnoteReference w:id="171"/>
      </w:r>
      <w:r w:rsidRPr="00021DD2">
        <w:rPr>
          <w:rFonts w:cs="Arial"/>
        </w:rPr>
        <w:t xml:space="preserve"> </w:t>
      </w:r>
    </w:p>
    <w:p w:rsidR="00720B16" w:rsidRPr="00021DD2" w:rsidRDefault="00720B16" w:rsidP="00720B16">
      <w:pPr>
        <w:rPr>
          <w:rFonts w:cs="Arial"/>
        </w:rPr>
      </w:pPr>
      <w:r w:rsidRPr="00021DD2">
        <w:rPr>
          <w:rFonts w:cs="Arial"/>
        </w:rPr>
        <w:t>In November 2016, the PJCHR concluded that this Bill did not raise any human rights concerns.</w:t>
      </w:r>
      <w:r w:rsidRPr="00021DD2">
        <w:rPr>
          <w:rStyle w:val="Rimandonotadichiusura"/>
          <w:rFonts w:cs="Arial"/>
        </w:rPr>
        <w:endnoteReference w:id="172"/>
      </w:r>
    </w:p>
    <w:p w:rsidR="00720B16" w:rsidRPr="00021DD2" w:rsidRDefault="00720B16" w:rsidP="00720B16">
      <w:pPr>
        <w:rPr>
          <w:rFonts w:cs="Arial"/>
        </w:rPr>
      </w:pPr>
      <w:r w:rsidRPr="00021DD2">
        <w:rPr>
          <w:rFonts w:cs="Arial"/>
        </w:rPr>
        <w:t>The Bill passed both Houses of Parliament on 1 December 2016.</w:t>
      </w:r>
      <w:r w:rsidRPr="00021DD2">
        <w:rPr>
          <w:rStyle w:val="Rimandonotadichiusura"/>
          <w:rFonts w:cs="Arial"/>
        </w:rPr>
        <w:endnoteReference w:id="173"/>
      </w:r>
      <w:r w:rsidRPr="00021DD2">
        <w:rPr>
          <w:rFonts w:cs="Arial"/>
        </w:rPr>
        <w:t xml:space="preserve"> </w:t>
      </w:r>
    </w:p>
    <w:p w:rsidR="00720B16" w:rsidRPr="00095578" w:rsidRDefault="00720B16" w:rsidP="00720B16">
      <w:pPr>
        <w:pStyle w:val="Titolo4"/>
        <w:rPr>
          <w:rFonts w:cs="Arial"/>
          <w:b w:val="0"/>
          <w:lang w:val="en"/>
        </w:rPr>
      </w:pPr>
      <w:bookmarkStart w:id="83" w:name="_Toc495566747"/>
      <w:r w:rsidRPr="00095578">
        <w:rPr>
          <w:rFonts w:cs="Arial"/>
          <w:lang w:val="en"/>
        </w:rPr>
        <w:t>Crimes Legislation Amendment (Powers, Offences and Other Measures) Bill 2017 (Cth)</w:t>
      </w:r>
      <w:bookmarkEnd w:id="83"/>
    </w:p>
    <w:p w:rsidR="00720B16" w:rsidRPr="00021DD2" w:rsidRDefault="00720B16" w:rsidP="00720B16">
      <w:pPr>
        <w:rPr>
          <w:rFonts w:cs="Arial"/>
          <w:lang w:val="en"/>
        </w:rPr>
      </w:pPr>
      <w:r w:rsidRPr="00021DD2">
        <w:rPr>
          <w:rFonts w:cs="Arial"/>
          <w:lang w:val="en"/>
        </w:rPr>
        <w:t>The Crimes Legislation Amendment (Powers, Offences and Other Measures) Bill 2017</w:t>
      </w:r>
      <w:r w:rsidR="006C4872" w:rsidRPr="00021DD2">
        <w:rPr>
          <w:rFonts w:cs="Arial"/>
          <w:lang w:val="en"/>
        </w:rPr>
        <w:t xml:space="preserve"> (Cth)</w:t>
      </w:r>
      <w:r w:rsidRPr="00021DD2">
        <w:rPr>
          <w:rFonts w:cs="Arial"/>
          <w:lang w:val="en"/>
        </w:rPr>
        <w:t xml:space="preserve"> was introduced </w:t>
      </w:r>
      <w:r w:rsidR="00792F2C">
        <w:rPr>
          <w:rFonts w:cs="Arial"/>
          <w:lang w:val="en"/>
        </w:rPr>
        <w:t>in</w:t>
      </w:r>
      <w:r w:rsidRPr="00021DD2">
        <w:rPr>
          <w:rFonts w:cs="Arial"/>
          <w:lang w:val="en"/>
        </w:rPr>
        <w:t>to the House of Representatives on 30 March 2017.</w:t>
      </w:r>
      <w:r w:rsidRPr="00021DD2">
        <w:rPr>
          <w:rStyle w:val="Rimandonotadichiusura"/>
          <w:rFonts w:cs="Arial"/>
          <w:lang w:val="en"/>
        </w:rPr>
        <w:endnoteReference w:id="174"/>
      </w:r>
      <w:r w:rsidRPr="00021DD2">
        <w:rPr>
          <w:rFonts w:cs="Arial"/>
          <w:lang w:val="en"/>
        </w:rPr>
        <w:t xml:space="preserve"> </w:t>
      </w:r>
    </w:p>
    <w:p w:rsidR="00720B16" w:rsidRPr="00021DD2" w:rsidRDefault="00720B16" w:rsidP="00720B16">
      <w:pPr>
        <w:rPr>
          <w:rFonts w:cs="Arial"/>
          <w:lang w:val="en"/>
        </w:rPr>
      </w:pPr>
      <w:r w:rsidRPr="00021DD2">
        <w:rPr>
          <w:rFonts w:cs="Arial"/>
          <w:lang w:val="en"/>
        </w:rPr>
        <w:t xml:space="preserve">The purpose of this Bill is to amend the </w:t>
      </w:r>
      <w:r w:rsidRPr="00021DD2">
        <w:rPr>
          <w:rFonts w:cs="Arial"/>
          <w:i/>
          <w:lang w:val="en"/>
        </w:rPr>
        <w:t xml:space="preserve">Australian Federal Police Act 1979 </w:t>
      </w:r>
      <w:r w:rsidRPr="00021DD2">
        <w:rPr>
          <w:rFonts w:cs="Arial"/>
          <w:lang w:val="en"/>
        </w:rPr>
        <w:t xml:space="preserve">(Cth), the </w:t>
      </w:r>
      <w:r w:rsidRPr="00021DD2">
        <w:rPr>
          <w:rFonts w:cs="Arial"/>
          <w:i/>
          <w:lang w:val="en"/>
        </w:rPr>
        <w:t>Crimes Act 1914</w:t>
      </w:r>
      <w:r w:rsidRPr="00021DD2">
        <w:rPr>
          <w:rFonts w:cs="Arial"/>
          <w:lang w:val="en"/>
        </w:rPr>
        <w:t xml:space="preserve"> (Cth) and the </w:t>
      </w:r>
      <w:r w:rsidRPr="00021DD2">
        <w:rPr>
          <w:rFonts w:cs="Arial"/>
          <w:i/>
          <w:lang w:val="en"/>
        </w:rPr>
        <w:t>Criminal Code Act 1995</w:t>
      </w:r>
      <w:r w:rsidRPr="00021DD2">
        <w:rPr>
          <w:rFonts w:cs="Arial"/>
          <w:lang w:val="en"/>
        </w:rPr>
        <w:t xml:space="preserve"> (Cth) through a range of measures intended to clarify and strengthen Commonwealth justice arrangements.</w:t>
      </w:r>
      <w:r w:rsidRPr="00021DD2">
        <w:rPr>
          <w:rStyle w:val="Rimandonotadichiusura"/>
          <w:rFonts w:cs="Arial"/>
          <w:lang w:val="en"/>
        </w:rPr>
        <w:endnoteReference w:id="175"/>
      </w:r>
      <w:r w:rsidRPr="00021DD2">
        <w:rPr>
          <w:rFonts w:cs="Arial"/>
          <w:lang w:val="en"/>
        </w:rPr>
        <w:t xml:space="preserve"> </w:t>
      </w:r>
    </w:p>
    <w:p w:rsidR="00720B16" w:rsidRPr="00021DD2" w:rsidRDefault="00720B16" w:rsidP="00720B16">
      <w:pPr>
        <w:rPr>
          <w:rFonts w:cs="Arial"/>
          <w:lang w:val="en"/>
        </w:rPr>
      </w:pPr>
      <w:r w:rsidRPr="00021DD2">
        <w:rPr>
          <w:rFonts w:cs="Arial"/>
          <w:lang w:val="en"/>
        </w:rPr>
        <w:t>The Bill propose</w:t>
      </w:r>
      <w:r w:rsidR="00792F2C">
        <w:rPr>
          <w:rFonts w:cs="Arial"/>
          <w:lang w:val="en"/>
        </w:rPr>
        <w:t>s</w:t>
      </w:r>
      <w:r w:rsidRPr="00021DD2">
        <w:rPr>
          <w:rFonts w:cs="Arial"/>
          <w:lang w:val="en"/>
        </w:rPr>
        <w:t xml:space="preserve">, among other things, to remove an obsolete reference to the death penalty. Section 20C(2) of the </w:t>
      </w:r>
      <w:r w:rsidRPr="00021DD2">
        <w:rPr>
          <w:rFonts w:cs="Arial"/>
          <w:i/>
          <w:lang w:val="en"/>
        </w:rPr>
        <w:t>Crimes Act</w:t>
      </w:r>
      <w:r w:rsidRPr="00021DD2">
        <w:rPr>
          <w:rFonts w:cs="Arial"/>
          <w:lang w:val="en"/>
        </w:rPr>
        <w:t xml:space="preserve"> </w:t>
      </w:r>
      <w:r w:rsidR="006C4872" w:rsidRPr="00021DD2">
        <w:rPr>
          <w:rFonts w:cs="Arial"/>
          <w:i/>
          <w:lang w:val="en"/>
        </w:rPr>
        <w:t>1914</w:t>
      </w:r>
      <w:r w:rsidR="006C4872" w:rsidRPr="00021DD2">
        <w:rPr>
          <w:rFonts w:cs="Arial"/>
          <w:lang w:val="en"/>
        </w:rPr>
        <w:t xml:space="preserve"> (Cth) </w:t>
      </w:r>
      <w:r w:rsidRPr="00021DD2">
        <w:rPr>
          <w:rFonts w:cs="Arial"/>
          <w:lang w:val="en"/>
        </w:rPr>
        <w:t xml:space="preserve">states that </w:t>
      </w:r>
    </w:p>
    <w:p w:rsidR="00720B16" w:rsidRPr="00021DD2" w:rsidRDefault="00720B16" w:rsidP="00720B16">
      <w:pPr>
        <w:ind w:left="720"/>
        <w:rPr>
          <w:rFonts w:cs="Arial"/>
          <w:lang w:val="en"/>
        </w:rPr>
      </w:pPr>
      <w:r w:rsidRPr="00021DD2">
        <w:rPr>
          <w:rFonts w:cs="Arial"/>
          <w:sz w:val="22"/>
          <w:szCs w:val="22"/>
          <w:lang w:val="en"/>
        </w:rPr>
        <w:t>Where a person under the age of 18 years is convicted of an offence against a law of the Commonwealth that is punishable by death, he or she shall not be sentenced to death but the court shall impose such other punishment as the court thinks fit.</w:t>
      </w:r>
      <w:r w:rsidRPr="00021DD2">
        <w:rPr>
          <w:rStyle w:val="Rimandonotadichiusura"/>
          <w:rFonts w:cs="Arial"/>
          <w:lang w:val="en"/>
        </w:rPr>
        <w:endnoteReference w:id="176"/>
      </w:r>
      <w:r w:rsidRPr="00021DD2">
        <w:rPr>
          <w:rFonts w:cs="Arial"/>
          <w:lang w:val="en"/>
        </w:rPr>
        <w:t xml:space="preserve"> </w:t>
      </w:r>
    </w:p>
    <w:p w:rsidR="00720B16" w:rsidRPr="00021DD2" w:rsidRDefault="00720B16" w:rsidP="00720B16">
      <w:pPr>
        <w:rPr>
          <w:rFonts w:cs="Arial"/>
          <w:lang w:val="en"/>
        </w:rPr>
      </w:pPr>
      <w:r w:rsidRPr="00021DD2">
        <w:rPr>
          <w:rFonts w:cs="Arial"/>
          <w:lang w:val="en"/>
        </w:rPr>
        <w:t xml:space="preserve">The Statement of Compatibility accompanying this Bill indicates that by removing section 20C(2) of the </w:t>
      </w:r>
      <w:r w:rsidRPr="00021DD2">
        <w:rPr>
          <w:rFonts w:cs="Arial"/>
          <w:i/>
          <w:lang w:val="en"/>
        </w:rPr>
        <w:t>Crimes Act</w:t>
      </w:r>
      <w:r w:rsidRPr="00021DD2">
        <w:rPr>
          <w:rFonts w:cs="Arial"/>
          <w:lang w:val="en"/>
        </w:rPr>
        <w:t xml:space="preserve"> there will be no restriction on the right to life or limitation on the protection for children against the death penalty. It explains that the </w:t>
      </w:r>
      <w:r w:rsidRPr="00896F8A">
        <w:rPr>
          <w:rFonts w:cs="Arial"/>
          <w:lang w:val="en"/>
        </w:rPr>
        <w:t xml:space="preserve">section is obsolete as it was a provision within the </w:t>
      </w:r>
      <w:r w:rsidRPr="00896F8A">
        <w:rPr>
          <w:rFonts w:cs="Arial"/>
          <w:i/>
          <w:lang w:val="en"/>
        </w:rPr>
        <w:t>Crimes Act</w:t>
      </w:r>
      <w:r w:rsidR="006C4872" w:rsidRPr="00896F8A">
        <w:rPr>
          <w:rFonts w:cs="Arial"/>
          <w:i/>
          <w:lang w:val="en"/>
        </w:rPr>
        <w:t xml:space="preserve"> 1914</w:t>
      </w:r>
      <w:r w:rsidRPr="00896F8A">
        <w:rPr>
          <w:rFonts w:cs="Arial"/>
          <w:lang w:val="en"/>
        </w:rPr>
        <w:t xml:space="preserve"> </w:t>
      </w:r>
      <w:r w:rsidR="006C4872" w:rsidRPr="00896F8A">
        <w:rPr>
          <w:rFonts w:cs="Arial"/>
          <w:lang w:val="en"/>
        </w:rPr>
        <w:t xml:space="preserve">(Cth) </w:t>
      </w:r>
      <w:r w:rsidRPr="00896F8A">
        <w:rPr>
          <w:rFonts w:cs="Arial"/>
          <w:lang w:val="en"/>
        </w:rPr>
        <w:t>before Australia abolished the death penalty for all persons.</w:t>
      </w:r>
      <w:r w:rsidRPr="00896F8A">
        <w:rPr>
          <w:rStyle w:val="Rimandonotadichiusura"/>
          <w:rFonts w:cs="Arial"/>
          <w:lang w:val="en"/>
        </w:rPr>
        <w:endnoteReference w:id="177"/>
      </w:r>
      <w:r w:rsidRPr="00021DD2">
        <w:rPr>
          <w:rFonts w:cs="Arial"/>
          <w:lang w:val="en"/>
        </w:rPr>
        <w:t xml:space="preserve"> </w:t>
      </w:r>
    </w:p>
    <w:p w:rsidR="00720B16" w:rsidRPr="00021DD2" w:rsidRDefault="00720B16" w:rsidP="00720B16">
      <w:pPr>
        <w:rPr>
          <w:rFonts w:cs="Arial"/>
          <w:lang w:val="en"/>
        </w:rPr>
      </w:pPr>
      <w:r w:rsidRPr="00896F8A">
        <w:rPr>
          <w:rFonts w:cs="Arial"/>
          <w:lang w:val="en"/>
        </w:rPr>
        <w:t xml:space="preserve">In May 2017, the PJCHR raised the concern that our international obligations under the </w:t>
      </w:r>
      <w:r w:rsidRPr="00896F8A">
        <w:rPr>
          <w:rFonts w:cs="Arial"/>
          <w:i/>
          <w:lang w:val="en"/>
        </w:rPr>
        <w:t>International Covenant on Civil and Political Rights</w:t>
      </w:r>
      <w:r w:rsidR="006C4872" w:rsidRPr="00896F8A">
        <w:rPr>
          <w:rFonts w:cs="Arial"/>
          <w:lang w:val="en"/>
        </w:rPr>
        <w:t xml:space="preserve"> prohibit </w:t>
      </w:r>
      <w:r w:rsidR="00E65D73">
        <w:rPr>
          <w:rFonts w:cs="Arial"/>
          <w:lang w:val="en"/>
        </w:rPr>
        <w:t>S</w:t>
      </w:r>
      <w:r w:rsidRPr="00896F8A">
        <w:rPr>
          <w:rFonts w:cs="Arial"/>
          <w:lang w:val="en"/>
        </w:rPr>
        <w:t xml:space="preserve">tates </w:t>
      </w:r>
      <w:r w:rsidR="00E65D73">
        <w:rPr>
          <w:rFonts w:cs="Arial"/>
          <w:lang w:val="en"/>
        </w:rPr>
        <w:t>P</w:t>
      </w:r>
      <w:r w:rsidR="00057781" w:rsidRPr="00896F8A">
        <w:rPr>
          <w:rFonts w:cs="Arial"/>
          <w:lang w:val="en"/>
        </w:rPr>
        <w:t xml:space="preserve">arties </w:t>
      </w:r>
      <w:r w:rsidRPr="00896F8A">
        <w:rPr>
          <w:rFonts w:cs="Arial"/>
          <w:lang w:val="en"/>
        </w:rPr>
        <w:t xml:space="preserve">that have abolished the death penalty from exposing persons to the death penalty in another </w:t>
      </w:r>
      <w:r w:rsidR="00057781" w:rsidRPr="00896F8A">
        <w:rPr>
          <w:rFonts w:cs="Arial"/>
          <w:lang w:val="en"/>
        </w:rPr>
        <w:t>s</w:t>
      </w:r>
      <w:r w:rsidRPr="00896F8A">
        <w:rPr>
          <w:rFonts w:cs="Arial"/>
          <w:lang w:val="en"/>
        </w:rPr>
        <w:t xml:space="preserve">tate. In 2009, the </w:t>
      </w:r>
      <w:r w:rsidR="006C4872" w:rsidRPr="00896F8A">
        <w:rPr>
          <w:rFonts w:cs="Arial"/>
          <w:lang w:val="en"/>
        </w:rPr>
        <w:t>UN</w:t>
      </w:r>
      <w:r w:rsidRPr="00896F8A">
        <w:rPr>
          <w:rFonts w:cs="Arial"/>
          <w:lang w:val="en"/>
        </w:rPr>
        <w:t xml:space="preserve"> Human Rights Committee raised concerns that Australia has not taken adequate steps to ensure that a person would not be exposed t</w:t>
      </w:r>
      <w:r w:rsidR="006C4872" w:rsidRPr="00896F8A">
        <w:rPr>
          <w:rFonts w:cs="Arial"/>
          <w:lang w:val="en"/>
        </w:rPr>
        <w:t>o the death penalty in anot</w:t>
      </w:r>
      <w:r w:rsidR="00057781" w:rsidRPr="00896F8A">
        <w:rPr>
          <w:rFonts w:cs="Arial"/>
          <w:lang w:val="en"/>
        </w:rPr>
        <w:t>her s</w:t>
      </w:r>
      <w:r w:rsidRPr="00896F8A">
        <w:rPr>
          <w:rFonts w:cs="Arial"/>
          <w:lang w:val="en"/>
        </w:rPr>
        <w:t>tate</w:t>
      </w:r>
      <w:r w:rsidR="00057781" w:rsidRPr="00896F8A">
        <w:rPr>
          <w:rFonts w:cs="Arial"/>
          <w:lang w:val="en"/>
        </w:rPr>
        <w:t>,</w:t>
      </w:r>
      <w:r w:rsidRPr="00896F8A">
        <w:rPr>
          <w:rFonts w:cs="Arial"/>
          <w:lang w:val="en"/>
        </w:rPr>
        <w:t xml:space="preserve"> despite having abolished the death penalty.</w:t>
      </w:r>
      <w:r w:rsidRPr="00896F8A">
        <w:rPr>
          <w:rStyle w:val="Rimandonotadichiusura"/>
          <w:rFonts w:cs="Arial"/>
          <w:lang w:val="en"/>
        </w:rPr>
        <w:endnoteReference w:id="178"/>
      </w:r>
      <w:r w:rsidRPr="00021DD2">
        <w:rPr>
          <w:rFonts w:cs="Arial"/>
          <w:lang w:val="en"/>
        </w:rPr>
        <w:t xml:space="preserve"> </w:t>
      </w:r>
    </w:p>
    <w:p w:rsidR="00720B16" w:rsidRPr="00021DD2" w:rsidRDefault="00720B16" w:rsidP="00720B16">
      <w:pPr>
        <w:rPr>
          <w:rFonts w:cs="Arial"/>
          <w:lang w:val="en"/>
        </w:rPr>
      </w:pPr>
      <w:r w:rsidRPr="00021DD2">
        <w:rPr>
          <w:rFonts w:cs="Arial"/>
          <w:lang w:val="en"/>
        </w:rPr>
        <w:t>The PJCHR requested further advice from the Minster for Justice regarding the compatibility of the measure in relation to the right to life and the existence of relevant safeguards</w:t>
      </w:r>
      <w:r w:rsidR="006C4872" w:rsidRPr="00021DD2">
        <w:rPr>
          <w:rFonts w:cs="Arial"/>
          <w:lang w:val="en"/>
        </w:rPr>
        <w:t xml:space="preserve"> for the prohibition on torture and</w:t>
      </w:r>
      <w:r w:rsidRPr="00021DD2">
        <w:rPr>
          <w:rFonts w:cs="Arial"/>
          <w:lang w:val="en"/>
        </w:rPr>
        <w:t xml:space="preserve"> cruel, inhuman and degrading treatment</w:t>
      </w:r>
      <w:r w:rsidR="006C4872" w:rsidRPr="00021DD2">
        <w:rPr>
          <w:rFonts w:cs="Arial"/>
          <w:lang w:val="en"/>
        </w:rPr>
        <w:t xml:space="preserve"> and punishment</w:t>
      </w:r>
      <w:r w:rsidRPr="00021DD2">
        <w:rPr>
          <w:rFonts w:cs="Arial"/>
          <w:lang w:val="en"/>
        </w:rPr>
        <w:t>.</w:t>
      </w:r>
      <w:r w:rsidRPr="00021DD2">
        <w:rPr>
          <w:rStyle w:val="Rimandonotadichiusura"/>
          <w:rFonts w:cs="Arial"/>
          <w:lang w:val="en"/>
        </w:rPr>
        <w:endnoteReference w:id="179"/>
      </w:r>
      <w:r w:rsidRPr="00021DD2">
        <w:rPr>
          <w:rFonts w:cs="Arial"/>
          <w:lang w:val="en"/>
        </w:rPr>
        <w:t xml:space="preserve"> </w:t>
      </w:r>
    </w:p>
    <w:p w:rsidR="00720B16" w:rsidRPr="00021DD2" w:rsidRDefault="00720B16" w:rsidP="00720B16">
      <w:pPr>
        <w:rPr>
          <w:rFonts w:cs="Arial"/>
          <w:lang w:val="en"/>
        </w:rPr>
      </w:pPr>
      <w:r w:rsidRPr="00021DD2">
        <w:rPr>
          <w:rFonts w:cs="Arial"/>
          <w:lang w:val="en"/>
        </w:rPr>
        <w:t>The Minister for Justice submitted that</w:t>
      </w:r>
      <w:r w:rsidR="00057781">
        <w:rPr>
          <w:rFonts w:cs="Arial"/>
          <w:lang w:val="en"/>
        </w:rPr>
        <w:t>,</w:t>
      </w:r>
      <w:r w:rsidRPr="00021DD2">
        <w:rPr>
          <w:rFonts w:cs="Arial"/>
          <w:lang w:val="en"/>
        </w:rPr>
        <w:t xml:space="preserve"> where information provided to an international organisation would lead to a potential death penalty, the Australian Federal Police (AFP) would apply:</w:t>
      </w:r>
    </w:p>
    <w:p w:rsidR="00720B16" w:rsidRPr="00021DD2" w:rsidRDefault="00720B16" w:rsidP="00B934D7">
      <w:pPr>
        <w:pStyle w:val="Paragrafoelenco"/>
        <w:numPr>
          <w:ilvl w:val="0"/>
          <w:numId w:val="41"/>
        </w:numPr>
        <w:jc w:val="left"/>
        <w:rPr>
          <w:lang w:val="en"/>
        </w:rPr>
      </w:pPr>
      <w:r w:rsidRPr="00021DD2">
        <w:rPr>
          <w:lang w:val="en"/>
        </w:rPr>
        <w:t xml:space="preserve">the </w:t>
      </w:r>
      <w:r w:rsidRPr="00021DD2">
        <w:rPr>
          <w:i/>
          <w:lang w:val="en"/>
        </w:rPr>
        <w:t xml:space="preserve">Privacy Act 1988 </w:t>
      </w:r>
      <w:r w:rsidRPr="00021DD2">
        <w:rPr>
          <w:lang w:val="en"/>
        </w:rPr>
        <w:t>(Cth)</w:t>
      </w:r>
    </w:p>
    <w:p w:rsidR="00720B16" w:rsidRPr="00021DD2" w:rsidRDefault="00720B16" w:rsidP="00B934D7">
      <w:pPr>
        <w:pStyle w:val="Paragrafoelenco"/>
        <w:numPr>
          <w:ilvl w:val="0"/>
          <w:numId w:val="41"/>
        </w:numPr>
        <w:jc w:val="left"/>
        <w:rPr>
          <w:lang w:val="en"/>
        </w:rPr>
      </w:pPr>
      <w:r w:rsidRPr="00021DD2">
        <w:rPr>
          <w:lang w:val="en"/>
        </w:rPr>
        <w:t xml:space="preserve">the AFP National Guideline on </w:t>
      </w:r>
      <w:r w:rsidR="006C4872" w:rsidRPr="00021DD2">
        <w:rPr>
          <w:lang w:val="en"/>
        </w:rPr>
        <w:t>international police to police assistance in death penalty situations</w:t>
      </w:r>
      <w:r w:rsidRPr="00021DD2">
        <w:rPr>
          <w:lang w:val="en"/>
        </w:rPr>
        <w:t xml:space="preserve"> </w:t>
      </w:r>
    </w:p>
    <w:p w:rsidR="00720B16" w:rsidRPr="00021DD2" w:rsidRDefault="00720B16" w:rsidP="00B934D7">
      <w:pPr>
        <w:pStyle w:val="Paragrafoelenco"/>
        <w:numPr>
          <w:ilvl w:val="0"/>
          <w:numId w:val="41"/>
        </w:numPr>
        <w:jc w:val="left"/>
        <w:rPr>
          <w:lang w:val="en"/>
        </w:rPr>
      </w:pPr>
      <w:r w:rsidRPr="00021DD2">
        <w:rPr>
          <w:lang w:val="en"/>
        </w:rPr>
        <w:t>the AFP National Guideline on offshore situations involving potential torture or cruel, inhuman or degrading treatment or punishment.</w:t>
      </w:r>
      <w:r w:rsidRPr="00021DD2">
        <w:rPr>
          <w:rStyle w:val="Rimandonotadichiusura"/>
          <w:lang w:val="en"/>
        </w:rPr>
        <w:endnoteReference w:id="180"/>
      </w:r>
      <w:r w:rsidRPr="00021DD2">
        <w:rPr>
          <w:lang w:val="en"/>
        </w:rPr>
        <w:t xml:space="preserve"> </w:t>
      </w:r>
    </w:p>
    <w:p w:rsidR="00720B16" w:rsidRPr="00021DD2" w:rsidRDefault="00720B16" w:rsidP="00720B16">
      <w:pPr>
        <w:rPr>
          <w:rFonts w:cs="Arial"/>
          <w:lang w:val="en"/>
        </w:rPr>
      </w:pPr>
      <w:r w:rsidRPr="00021DD2">
        <w:rPr>
          <w:rFonts w:cs="Arial"/>
          <w:lang w:val="en"/>
        </w:rPr>
        <w:t>The PJCHR concluded that</w:t>
      </w:r>
      <w:r w:rsidR="00716B56">
        <w:rPr>
          <w:rFonts w:cs="Arial"/>
          <w:lang w:val="en"/>
        </w:rPr>
        <w:t>,</w:t>
      </w:r>
      <w:r w:rsidRPr="00021DD2">
        <w:rPr>
          <w:rFonts w:cs="Arial"/>
          <w:lang w:val="en"/>
        </w:rPr>
        <w:t xml:space="preserve"> to fully assess the compatibility of the Bill with human rights</w:t>
      </w:r>
      <w:r w:rsidR="00716B56">
        <w:rPr>
          <w:rFonts w:cs="Arial"/>
          <w:lang w:val="en"/>
        </w:rPr>
        <w:t>,</w:t>
      </w:r>
      <w:r w:rsidRPr="00021DD2">
        <w:rPr>
          <w:rFonts w:cs="Arial"/>
          <w:lang w:val="en"/>
        </w:rPr>
        <w:t xml:space="preserve"> it would need to examine the guidelines and has requested copies of these.</w:t>
      </w:r>
      <w:r w:rsidRPr="00021DD2">
        <w:rPr>
          <w:rStyle w:val="Rimandonotadichiusura"/>
          <w:rFonts w:cs="Arial"/>
          <w:lang w:val="en"/>
        </w:rPr>
        <w:endnoteReference w:id="181"/>
      </w:r>
    </w:p>
    <w:p w:rsidR="00720B16" w:rsidRPr="00021DD2" w:rsidRDefault="00720B16" w:rsidP="00720B16">
      <w:pPr>
        <w:rPr>
          <w:rFonts w:cs="Arial"/>
          <w:lang w:val="en"/>
        </w:rPr>
      </w:pPr>
      <w:r w:rsidRPr="00021DD2">
        <w:rPr>
          <w:rFonts w:cs="Arial"/>
          <w:lang w:val="en"/>
        </w:rPr>
        <w:t>The Bill was referred to the Senate Legal and Constitutional Affairs Legislation Committee in May 2017 for inquiry and report.</w:t>
      </w:r>
      <w:r w:rsidRPr="00021DD2">
        <w:rPr>
          <w:rStyle w:val="Rimandonotadichiusura"/>
          <w:rFonts w:cs="Arial"/>
          <w:lang w:val="en"/>
        </w:rPr>
        <w:endnoteReference w:id="182"/>
      </w:r>
      <w:r w:rsidRPr="00021DD2">
        <w:rPr>
          <w:rFonts w:cs="Arial"/>
          <w:lang w:val="en"/>
        </w:rPr>
        <w:t xml:space="preserve"> In its submission to the </w:t>
      </w:r>
      <w:r w:rsidR="006C4872" w:rsidRPr="00021DD2">
        <w:rPr>
          <w:rFonts w:cs="Arial"/>
          <w:lang w:val="en"/>
        </w:rPr>
        <w:t>i</w:t>
      </w:r>
      <w:r w:rsidRPr="00021DD2">
        <w:rPr>
          <w:rFonts w:cs="Arial"/>
          <w:lang w:val="en"/>
        </w:rPr>
        <w:t>nquiry, the Australian Human Rights Commission recommended the Explanatory Memorandum be amended to clarify information</w:t>
      </w:r>
      <w:r w:rsidR="00716B56">
        <w:rPr>
          <w:rFonts w:cs="Arial"/>
          <w:lang w:val="en"/>
        </w:rPr>
        <w:t>-</w:t>
      </w:r>
      <w:r w:rsidRPr="00021DD2">
        <w:rPr>
          <w:rFonts w:cs="Arial"/>
          <w:lang w:val="en"/>
        </w:rPr>
        <w:t>sharing practices to enable proper assessment of whether the new provisions provide sufficient safeguards to protect the right to privacy.</w:t>
      </w:r>
      <w:r w:rsidRPr="00021DD2">
        <w:rPr>
          <w:rStyle w:val="Rimandonotadichiusura"/>
          <w:rFonts w:cs="Arial"/>
          <w:lang w:val="en"/>
        </w:rPr>
        <w:endnoteReference w:id="183"/>
      </w:r>
      <w:r w:rsidRPr="00021DD2">
        <w:rPr>
          <w:rFonts w:cs="Arial"/>
          <w:lang w:val="en"/>
        </w:rPr>
        <w:t xml:space="preserve"> </w:t>
      </w:r>
    </w:p>
    <w:p w:rsidR="00720B16" w:rsidRPr="00021DD2" w:rsidRDefault="00720B16" w:rsidP="00720B16">
      <w:pPr>
        <w:rPr>
          <w:rFonts w:cs="Arial"/>
          <w:lang w:val="en"/>
        </w:rPr>
      </w:pPr>
      <w:r w:rsidRPr="00021DD2">
        <w:rPr>
          <w:rFonts w:cs="Arial"/>
          <w:lang w:val="en"/>
        </w:rPr>
        <w:t>In their final report, the Committee recommended that the Bill be passed</w:t>
      </w:r>
      <w:r w:rsidR="006C4872" w:rsidRPr="00021DD2">
        <w:rPr>
          <w:rFonts w:cs="Arial"/>
          <w:lang w:val="en"/>
        </w:rPr>
        <w:t>,</w:t>
      </w:r>
      <w:r w:rsidRPr="00021DD2">
        <w:rPr>
          <w:rFonts w:cs="Arial"/>
          <w:lang w:val="en"/>
        </w:rPr>
        <w:t xml:space="preserve"> subject to the following:</w:t>
      </w:r>
    </w:p>
    <w:p w:rsidR="00720B16" w:rsidRPr="00021DD2" w:rsidRDefault="00720B16" w:rsidP="00B934D7">
      <w:pPr>
        <w:pStyle w:val="Paragrafoelenco"/>
        <w:numPr>
          <w:ilvl w:val="0"/>
          <w:numId w:val="42"/>
        </w:numPr>
        <w:jc w:val="left"/>
        <w:rPr>
          <w:lang w:val="en"/>
        </w:rPr>
      </w:pPr>
      <w:r w:rsidRPr="00021DD2">
        <w:rPr>
          <w:lang w:val="en"/>
        </w:rPr>
        <w:t xml:space="preserve">updating the Explanatory Memorandum to include a more extensive analysis of the privacy implications of the proposed amendment to the </w:t>
      </w:r>
      <w:r w:rsidRPr="00021DD2">
        <w:rPr>
          <w:i/>
          <w:lang w:val="en"/>
        </w:rPr>
        <w:t>Australia</w:t>
      </w:r>
      <w:r w:rsidR="006C4872" w:rsidRPr="00021DD2">
        <w:rPr>
          <w:i/>
          <w:lang w:val="en"/>
        </w:rPr>
        <w:t>n</w:t>
      </w:r>
      <w:r w:rsidRPr="00021DD2">
        <w:rPr>
          <w:i/>
          <w:lang w:val="en"/>
        </w:rPr>
        <w:t xml:space="preserve"> Federal Police Act 1979</w:t>
      </w:r>
      <w:r w:rsidR="006C4872" w:rsidRPr="00021DD2">
        <w:rPr>
          <w:i/>
          <w:lang w:val="en"/>
        </w:rPr>
        <w:t xml:space="preserve"> </w:t>
      </w:r>
      <w:r w:rsidR="006C4872" w:rsidRPr="00021DD2">
        <w:rPr>
          <w:lang w:val="en"/>
        </w:rPr>
        <w:t>(Cth)</w:t>
      </w:r>
    </w:p>
    <w:p w:rsidR="00720B16" w:rsidRPr="00021DD2" w:rsidRDefault="00720B16" w:rsidP="00B934D7">
      <w:pPr>
        <w:pStyle w:val="Paragrafoelenco"/>
        <w:numPr>
          <w:ilvl w:val="0"/>
          <w:numId w:val="42"/>
        </w:numPr>
        <w:jc w:val="left"/>
        <w:rPr>
          <w:lang w:val="en"/>
        </w:rPr>
      </w:pPr>
      <w:r w:rsidRPr="00021DD2">
        <w:rPr>
          <w:lang w:val="en"/>
        </w:rPr>
        <w:t xml:space="preserve">a more extensive explanation of ‘reasonable steps’ in section 23H(1) of the </w:t>
      </w:r>
      <w:r w:rsidRPr="00021DD2">
        <w:rPr>
          <w:i/>
          <w:lang w:val="en"/>
        </w:rPr>
        <w:t>C</w:t>
      </w:r>
      <w:r w:rsidR="006C4872" w:rsidRPr="00021DD2">
        <w:rPr>
          <w:i/>
          <w:lang w:val="en"/>
        </w:rPr>
        <w:t>rimes Act 19</w:t>
      </w:r>
      <w:r w:rsidRPr="00021DD2">
        <w:rPr>
          <w:i/>
          <w:lang w:val="en"/>
        </w:rPr>
        <w:t>14</w:t>
      </w:r>
      <w:r w:rsidR="006C4872" w:rsidRPr="00021DD2">
        <w:rPr>
          <w:i/>
          <w:lang w:val="en"/>
        </w:rPr>
        <w:t xml:space="preserve"> </w:t>
      </w:r>
      <w:r w:rsidR="006C4872" w:rsidRPr="00021DD2">
        <w:rPr>
          <w:lang w:val="en"/>
        </w:rPr>
        <w:t>(Cth)</w:t>
      </w:r>
      <w:r w:rsidRPr="00021DD2">
        <w:rPr>
          <w:lang w:val="en"/>
        </w:rPr>
        <w:t>.</w:t>
      </w:r>
      <w:r w:rsidRPr="00021DD2">
        <w:rPr>
          <w:rStyle w:val="Rimandonotadichiusura"/>
          <w:lang w:val="en"/>
        </w:rPr>
        <w:endnoteReference w:id="184"/>
      </w:r>
    </w:p>
    <w:p w:rsidR="00720B16" w:rsidRPr="00021DD2" w:rsidRDefault="00720B16" w:rsidP="00720B16">
      <w:pPr>
        <w:rPr>
          <w:rFonts w:cs="Arial"/>
          <w:lang w:val="en"/>
        </w:rPr>
      </w:pPr>
      <w:r w:rsidRPr="00021DD2">
        <w:rPr>
          <w:rFonts w:cs="Arial"/>
          <w:lang w:val="en"/>
        </w:rPr>
        <w:t xml:space="preserve">The Australian Labor </w:t>
      </w:r>
      <w:r w:rsidR="006C4872" w:rsidRPr="00021DD2">
        <w:rPr>
          <w:rFonts w:cs="Arial"/>
          <w:lang w:val="en"/>
        </w:rPr>
        <w:t xml:space="preserve">Party </w:t>
      </w:r>
      <w:r w:rsidRPr="00021DD2">
        <w:rPr>
          <w:rFonts w:cs="Arial"/>
          <w:lang w:val="en"/>
        </w:rPr>
        <w:t>Senators provided additional recommendations that the phrase ‘reasonable steps’ be removed</w:t>
      </w:r>
      <w:r w:rsidR="006C4872" w:rsidRPr="00021DD2">
        <w:rPr>
          <w:rFonts w:cs="Arial"/>
          <w:lang w:val="en"/>
        </w:rPr>
        <w:t>,</w:t>
      </w:r>
      <w:r w:rsidRPr="00021DD2">
        <w:rPr>
          <w:rFonts w:cs="Arial"/>
          <w:lang w:val="en"/>
        </w:rPr>
        <w:t xml:space="preserve"> and that an obligatory requirement to notify Aboriginal legal assistance of in</w:t>
      </w:r>
      <w:r w:rsidR="006C4872" w:rsidRPr="00021DD2">
        <w:rPr>
          <w:rFonts w:cs="Arial"/>
          <w:lang w:val="en"/>
        </w:rPr>
        <w:t xml:space="preserve">dividuals taken into custody be </w:t>
      </w:r>
      <w:r w:rsidRPr="00021DD2">
        <w:rPr>
          <w:rFonts w:cs="Arial"/>
          <w:lang w:val="en"/>
        </w:rPr>
        <w:t>established.</w:t>
      </w:r>
      <w:r w:rsidRPr="00021DD2">
        <w:rPr>
          <w:rStyle w:val="Rimandonotadichiusura"/>
          <w:rFonts w:cs="Arial"/>
          <w:lang w:val="en"/>
        </w:rPr>
        <w:endnoteReference w:id="185"/>
      </w:r>
      <w:r w:rsidRPr="00021DD2">
        <w:rPr>
          <w:rFonts w:cs="Arial"/>
          <w:lang w:val="en"/>
        </w:rPr>
        <w:t xml:space="preserve"> The Australian Greens Senators raised additional concerns about the </w:t>
      </w:r>
      <w:r w:rsidR="00716B56">
        <w:rPr>
          <w:rFonts w:cs="Arial"/>
          <w:lang w:val="en"/>
        </w:rPr>
        <w:t>sufficiency of the</w:t>
      </w:r>
      <w:r w:rsidRPr="00021DD2">
        <w:rPr>
          <w:rFonts w:cs="Arial"/>
          <w:lang w:val="en"/>
        </w:rPr>
        <w:t xml:space="preserve"> definition of ‘reasonable steps’.</w:t>
      </w:r>
      <w:r w:rsidRPr="00021DD2">
        <w:rPr>
          <w:rStyle w:val="Rimandonotadichiusura"/>
          <w:rFonts w:cs="Arial"/>
          <w:lang w:val="en"/>
        </w:rPr>
        <w:endnoteReference w:id="186"/>
      </w:r>
      <w:r w:rsidRPr="00021DD2">
        <w:rPr>
          <w:rFonts w:cs="Arial"/>
          <w:lang w:val="en"/>
        </w:rPr>
        <w:t xml:space="preserve"> </w:t>
      </w:r>
    </w:p>
    <w:p w:rsidR="00720B16" w:rsidRPr="00021DD2" w:rsidRDefault="00720B16" w:rsidP="00720B16">
      <w:pPr>
        <w:rPr>
          <w:rFonts w:cs="Arial"/>
          <w:lang w:val="en"/>
        </w:rPr>
      </w:pPr>
      <w:r w:rsidRPr="00021DD2">
        <w:rPr>
          <w:rFonts w:cs="Arial"/>
          <w:lang w:val="en"/>
        </w:rPr>
        <w:t>The Bill is currently before the House of Representatives.</w:t>
      </w:r>
      <w:r w:rsidRPr="00021DD2">
        <w:rPr>
          <w:rStyle w:val="Rimandonotadichiusura"/>
          <w:rFonts w:cs="Arial"/>
          <w:lang w:val="en"/>
        </w:rPr>
        <w:endnoteReference w:id="187"/>
      </w:r>
    </w:p>
    <w:p w:rsidR="00095578" w:rsidRPr="00021DD2" w:rsidRDefault="00095578" w:rsidP="00095578">
      <w:pPr>
        <w:pStyle w:val="21"/>
      </w:pPr>
      <w:bookmarkStart w:id="84" w:name="_Toc500308776"/>
      <w:r w:rsidRPr="00021DD2">
        <w:t>Children with gender dysphoria – a case study</w:t>
      </w:r>
      <w:bookmarkEnd w:id="84"/>
    </w:p>
    <w:p w:rsidR="00095578" w:rsidRPr="00021DD2" w:rsidRDefault="00095578" w:rsidP="00720B16">
      <w:pPr>
        <w:pStyle w:val="Titolo3"/>
        <w:rPr>
          <w:rFonts w:cs="Arial"/>
          <w:lang w:val="en"/>
        </w:rPr>
      </w:pPr>
      <w:bookmarkStart w:id="85" w:name="_Toc500308777"/>
      <w:r w:rsidRPr="00021DD2">
        <w:rPr>
          <w:rFonts w:cs="Arial"/>
          <w:lang w:val="en"/>
        </w:rPr>
        <w:t>Gender dysphoria</w:t>
      </w:r>
      <w:bookmarkEnd w:id="85"/>
    </w:p>
    <w:p w:rsidR="00095578" w:rsidRPr="00021DD2" w:rsidRDefault="00095578" w:rsidP="00095578">
      <w:r w:rsidRPr="00021DD2">
        <w:t>In a medical context, gender dysphoria refers to</w:t>
      </w:r>
      <w:r w:rsidRPr="00021DD2" w:rsidDel="007231F6">
        <w:rPr>
          <w:rStyle w:val="Rimandocommento"/>
          <w:rFonts w:cs="Arial"/>
        </w:rPr>
        <w:t xml:space="preserve"> </w:t>
      </w:r>
      <w:r w:rsidRPr="00021DD2">
        <w:t>a condition in which a person experiences clinically significant distress or impairment as a result of a marked incongruence between their gender identity and sex assigned at birth.</w:t>
      </w:r>
      <w:r w:rsidRPr="00021DD2">
        <w:rPr>
          <w:rStyle w:val="Rimandonotadichiusura"/>
          <w:rFonts w:cs="Arial"/>
        </w:rPr>
        <w:endnoteReference w:id="188"/>
      </w:r>
      <w:r w:rsidRPr="00021DD2">
        <w:t xml:space="preserve"> </w:t>
      </w:r>
    </w:p>
    <w:p w:rsidR="00095578" w:rsidRDefault="00095578" w:rsidP="00095578">
      <w:r w:rsidRPr="00021DD2">
        <w:t>Gender dysphoria is one of many factors that can contribute to the high rates of anxiety, depression and suicidal ideation experienced by trans and gender diverse young people.</w:t>
      </w:r>
      <w:r w:rsidRPr="00021DD2">
        <w:rPr>
          <w:rStyle w:val="Rimandonotadichiusura"/>
          <w:rFonts w:cs="Arial"/>
        </w:rPr>
        <w:endnoteReference w:id="189"/>
      </w:r>
      <w:r w:rsidRPr="00021DD2">
        <w:t xml:space="preserve"> Other contributing factors include bullying, harassment, abuse, discrimination and isolation.</w:t>
      </w:r>
      <w:r w:rsidRPr="00021DD2">
        <w:rPr>
          <w:rStyle w:val="Rimandonotadichiusura"/>
          <w:rFonts w:cs="Arial"/>
        </w:rPr>
        <w:endnoteReference w:id="190"/>
      </w:r>
      <w:r w:rsidRPr="00021DD2">
        <w:t xml:space="preserve"> Trans Pathways, a 2017 Australian study involving more than 800 trans young people, found that trans young people experience depression at a rate almost ten times higher than the general Australian young population and anxiety at 10 to 13 times the national average for young Australians.</w:t>
      </w:r>
      <w:r w:rsidRPr="00021DD2">
        <w:rPr>
          <w:rStyle w:val="Rimandonotadichiusura"/>
          <w:rFonts w:cs="Arial"/>
        </w:rPr>
        <w:endnoteReference w:id="191"/>
      </w:r>
    </w:p>
    <w:p w:rsidR="00095578" w:rsidRPr="00021DD2" w:rsidRDefault="00095578" w:rsidP="00095578">
      <w:r>
        <w:t>The Australian Standards of Care and Treatment Guidelines for Trans and Gender Diverse Children and Adolescents (the Treatment Guidelines) explain that the optimal model of care for trans and gender diverse adolescents involves a coordinated, multidisciplinary team approach. This may include child and adolescent psychologists, paediatricians, paediatric endocrinologists, clinical psychologists, speech therapists and general practitioners.</w:t>
      </w:r>
      <w:r>
        <w:rPr>
          <w:rStyle w:val="Rimandonotadichiusura"/>
        </w:rPr>
        <w:endnoteReference w:id="192"/>
      </w:r>
    </w:p>
    <w:p w:rsidR="00095578" w:rsidRPr="00021DD2" w:rsidRDefault="00095578" w:rsidP="00095578">
      <w:r w:rsidRPr="00021DD2">
        <w:t>The number of young people in Australia seeking access to treatment for gender dysphoria from specialist services has increased significantly over the past decade. The Royal Children’s Hospital Melbourne has reported more than a 200% increase in new referrals to its Gender Dysphoria Service since 2003.</w:t>
      </w:r>
      <w:r w:rsidRPr="00021DD2">
        <w:rPr>
          <w:rStyle w:val="Rimandonotadichiusura"/>
          <w:rFonts w:cs="Arial"/>
        </w:rPr>
        <w:endnoteReference w:id="193"/>
      </w:r>
      <w:r w:rsidRPr="00021DD2">
        <w:t xml:space="preserve"> </w:t>
      </w:r>
    </w:p>
    <w:p w:rsidR="00095578" w:rsidRPr="00021DD2" w:rsidRDefault="00095578" w:rsidP="00095578">
      <w:r w:rsidRPr="00021DD2">
        <w:t>Research has consistently demonstrated that treatment for gender dysphoria leads to improvements in psychological functioning, wellbeing and social development for young adults.</w:t>
      </w:r>
      <w:r w:rsidRPr="00021DD2">
        <w:rPr>
          <w:vertAlign w:val="superscript"/>
        </w:rPr>
        <w:endnoteReference w:id="194"/>
      </w:r>
      <w:r w:rsidRPr="00021DD2">
        <w:t xml:space="preserve"> Individuals receiving cross-sex hormones have better mental health outcomes and lower levels of depression, anxiety and stress.</w:t>
      </w:r>
      <w:r w:rsidRPr="00021DD2">
        <w:rPr>
          <w:vertAlign w:val="superscript"/>
        </w:rPr>
        <w:endnoteReference w:id="195"/>
      </w:r>
      <w:r w:rsidRPr="00AC65EB">
        <w:t xml:space="preserve"> </w:t>
      </w:r>
    </w:p>
    <w:p w:rsidR="00095578" w:rsidRPr="00021DD2" w:rsidRDefault="00095578" w:rsidP="00720B16">
      <w:pPr>
        <w:pStyle w:val="Titolo3"/>
        <w:rPr>
          <w:rFonts w:cs="Arial"/>
        </w:rPr>
      </w:pPr>
      <w:bookmarkStart w:id="86" w:name="_Toc500308778"/>
      <w:r w:rsidRPr="00021DD2">
        <w:rPr>
          <w:rFonts w:cs="Arial"/>
        </w:rPr>
        <w:t>Access to treatments</w:t>
      </w:r>
      <w:bookmarkEnd w:id="86"/>
    </w:p>
    <w:p w:rsidR="00095578" w:rsidRPr="00021DD2" w:rsidRDefault="00095578" w:rsidP="00720B16">
      <w:pPr>
        <w:spacing w:before="0" w:after="0"/>
        <w:rPr>
          <w:rFonts w:cs="Arial"/>
        </w:rPr>
      </w:pPr>
      <w:r w:rsidRPr="00021DD2">
        <w:rPr>
          <w:rFonts w:cs="Arial"/>
        </w:rPr>
        <w:t>‘Stage 1’ treatment refers to the administration of medication to suppress puberty. ‘Stage 2’ treatment refers to the administration of gender affirming hormones (oestrogen and testosterone) for the treatment of gender dysphoria. The Australian Standards of Care and Treatment Guidelines for Trans and Gender Diverse Adolescents set out the criter</w:t>
      </w:r>
      <w:r>
        <w:rPr>
          <w:rFonts w:cs="Arial"/>
        </w:rPr>
        <w:t>ia for adolescents to commence S</w:t>
      </w:r>
      <w:r w:rsidRPr="00021DD2">
        <w:rPr>
          <w:rFonts w:cs="Arial"/>
        </w:rPr>
        <w:t>tages 1 and 2.</w:t>
      </w:r>
      <w:r w:rsidRPr="00021DD2">
        <w:rPr>
          <w:rStyle w:val="Rimandonotadichiusura"/>
          <w:rFonts w:cs="Arial"/>
        </w:rPr>
        <w:endnoteReference w:id="196"/>
      </w:r>
    </w:p>
    <w:p w:rsidR="00095578" w:rsidRPr="00021DD2" w:rsidRDefault="00095578" w:rsidP="00095578">
      <w:r w:rsidRPr="00021DD2">
        <w:t>The Family Court of Australia has found th</w:t>
      </w:r>
      <w:r>
        <w:t>at S</w:t>
      </w:r>
      <w:r w:rsidRPr="00021DD2">
        <w:t xml:space="preserve">tage 2 treatment is a type of ‘special medical procedure’ which requires court authorisation under section 67ZC(1) of the </w:t>
      </w:r>
      <w:r w:rsidRPr="00021DD2">
        <w:rPr>
          <w:i/>
        </w:rPr>
        <w:t>Family Law Act 1975</w:t>
      </w:r>
      <w:r w:rsidRPr="00021DD2">
        <w:t xml:space="preserve"> (Cth). Consequently, transgender young peopl</w:t>
      </w:r>
      <w:r>
        <w:t>e in Australia can only access S</w:t>
      </w:r>
      <w:r w:rsidRPr="00021DD2">
        <w:t>tage 2 treatment with the authorisation of the Family Court, even where the young person, their parents or guardians and medical team agree that the young person is competent to give consent and that the treatment is in the young person’s best interests.</w:t>
      </w:r>
      <w:r w:rsidRPr="00021DD2">
        <w:rPr>
          <w:rStyle w:val="Rimandonotadichiusura"/>
          <w:rFonts w:cs="Arial"/>
        </w:rPr>
        <w:endnoteReference w:id="197"/>
      </w:r>
      <w:r w:rsidRPr="00021DD2">
        <w:t xml:space="preserve"> Australia </w:t>
      </w:r>
      <w:r>
        <w:t xml:space="preserve">appears to be </w:t>
      </w:r>
      <w:r w:rsidRPr="00021DD2">
        <w:t>the only country in the world that requires court authorisation in these circumstances.</w:t>
      </w:r>
      <w:r w:rsidRPr="00021DD2">
        <w:rPr>
          <w:rStyle w:val="Rimandonotadichiusura"/>
          <w:rFonts w:cs="Arial"/>
        </w:rPr>
        <w:endnoteReference w:id="198"/>
      </w:r>
    </w:p>
    <w:p w:rsidR="00095578" w:rsidRDefault="00095578" w:rsidP="00095578">
      <w:r w:rsidRPr="00021DD2">
        <w:t>The Family Court approval process can result in psychological and financial harm to young people and their families.</w:t>
      </w:r>
      <w:r w:rsidRPr="00021DD2">
        <w:rPr>
          <w:rStyle w:val="Rimandonotadichiusura"/>
          <w:rFonts w:cs="Arial"/>
        </w:rPr>
        <w:endnoteReference w:id="199"/>
      </w:r>
      <w:r w:rsidRPr="00021DD2">
        <w:t xml:space="preserve"> Whil</w:t>
      </w:r>
      <w:r>
        <w:t>e</w:t>
      </w:r>
      <w:r w:rsidRPr="00021DD2">
        <w:t xml:space="preserve"> the Family Court has endeavoured to reduce delays between filing and issuing orders, families must still seek legal advice and wait while experts prepare reports. The average delay in gaining access to treatment as a result of the court approval requirement is eight months.</w:t>
      </w:r>
      <w:r w:rsidRPr="00021DD2">
        <w:rPr>
          <w:rStyle w:val="Rimandonotadichiusura"/>
          <w:rFonts w:cs="Arial"/>
        </w:rPr>
        <w:endnoteReference w:id="200"/>
      </w:r>
      <w:r w:rsidRPr="00021DD2">
        <w:t xml:space="preserve"> Delays in treatment can exacerbate a young person’s anxiety, depression and dysphoria.</w:t>
      </w:r>
      <w:r w:rsidRPr="00021DD2">
        <w:rPr>
          <w:rStyle w:val="Rimandonotadichiusura"/>
          <w:rFonts w:cs="Arial"/>
        </w:rPr>
        <w:endnoteReference w:id="201"/>
      </w:r>
      <w:r w:rsidRPr="00021DD2">
        <w:t xml:space="preserve"> In addition, the legal fees associated with obtaining a court order can cost up to $30,000.</w:t>
      </w:r>
      <w:r w:rsidRPr="00021DD2">
        <w:rPr>
          <w:rStyle w:val="Rimandonotadichiusura"/>
          <w:rFonts w:cs="Arial"/>
        </w:rPr>
        <w:endnoteReference w:id="202"/>
      </w:r>
    </w:p>
    <w:p w:rsidR="00095578" w:rsidRPr="00021DD2" w:rsidRDefault="00095578" w:rsidP="00095578">
      <w:r>
        <w:t>The former Chief Justice of the Family Court, Diana Bryant, has also noted the ‘difficult and stressful’ nature of the process,</w:t>
      </w:r>
      <w:r>
        <w:rPr>
          <w:rStyle w:val="Rimandonotadichiusura"/>
          <w:rFonts w:cs="Arial"/>
        </w:rPr>
        <w:endnoteReference w:id="203"/>
      </w:r>
      <w:r>
        <w:t xml:space="preserve"> and other members of the Court have queried whether the Court adds value to the assessment of competency, where parents and medical practitioners are in agreement.</w:t>
      </w:r>
      <w:r>
        <w:rPr>
          <w:rStyle w:val="Rimandonotadichiusura"/>
          <w:rFonts w:cs="Arial"/>
        </w:rPr>
        <w:endnoteReference w:id="204"/>
      </w:r>
    </w:p>
    <w:p w:rsidR="00095578" w:rsidRPr="00021DD2" w:rsidRDefault="00095578" w:rsidP="00720B16">
      <w:pPr>
        <w:pStyle w:val="Titolo3"/>
        <w:rPr>
          <w:rFonts w:cs="Arial"/>
        </w:rPr>
      </w:pPr>
      <w:bookmarkStart w:id="87" w:name="_Toc500308779"/>
      <w:r w:rsidRPr="00021DD2">
        <w:rPr>
          <w:rFonts w:cs="Arial"/>
        </w:rPr>
        <w:t>A children’s rights approach to the issue</w:t>
      </w:r>
      <w:bookmarkEnd w:id="87"/>
    </w:p>
    <w:p w:rsidR="00095578" w:rsidRDefault="00095578" w:rsidP="00095578">
      <w:r>
        <w:t>In November 2017, the UN Human Rights Committee called on Australia to:</w:t>
      </w:r>
    </w:p>
    <w:p w:rsidR="00095578" w:rsidRPr="00095578" w:rsidRDefault="00095578" w:rsidP="00095578">
      <w:pPr>
        <w:spacing w:before="0" w:after="0"/>
        <w:ind w:left="720"/>
        <w:rPr>
          <w:rFonts w:cs="Arial"/>
          <w:sz w:val="22"/>
          <w:szCs w:val="22"/>
        </w:rPr>
      </w:pPr>
      <w:r w:rsidRPr="006441ED">
        <w:rPr>
          <w:rFonts w:cs="Arial"/>
          <w:sz w:val="22"/>
          <w:szCs w:val="22"/>
        </w:rPr>
        <w:t>consider ways to expedite access to stage two hormone treatment for gender dysphoria, including by removing the need for court authorisation in cases featuring uncontested agreement among parents or guardians, the child concerned and the medical team, provided that the treatment is provided in accordance with the relevant medical guidelines and standards of care.</w:t>
      </w:r>
      <w:r>
        <w:rPr>
          <w:rStyle w:val="Rimandonotadichiusura"/>
          <w:rFonts w:cs="Arial"/>
          <w:szCs w:val="22"/>
        </w:rPr>
        <w:endnoteReference w:id="205"/>
      </w:r>
    </w:p>
    <w:p w:rsidR="00095578" w:rsidRPr="00021DD2" w:rsidRDefault="00095578" w:rsidP="00095578">
      <w:r>
        <w:t xml:space="preserve">This reflects Australia’s obligations under </w:t>
      </w:r>
      <w:r w:rsidRPr="00021DD2">
        <w:t xml:space="preserve">several international human rights instruments, including the CRC, to protect the human rights of transgender young people. Provisions of the CRC relevant to access to </w:t>
      </w:r>
      <w:r>
        <w:t>S</w:t>
      </w:r>
      <w:r w:rsidRPr="00021DD2">
        <w:t>tage 2 treatment for transgender young people include:</w:t>
      </w:r>
    </w:p>
    <w:p w:rsidR="00095578" w:rsidRPr="00021DD2" w:rsidRDefault="00095578" w:rsidP="00B934D7">
      <w:pPr>
        <w:pStyle w:val="Paragrafoelenco"/>
        <w:numPr>
          <w:ilvl w:val="0"/>
          <w:numId w:val="43"/>
        </w:numPr>
        <w:spacing w:before="0" w:after="0"/>
        <w:jc w:val="left"/>
      </w:pPr>
      <w:r w:rsidRPr="00021DD2">
        <w:t>non-discrimination</w:t>
      </w:r>
      <w:r w:rsidRPr="00021DD2">
        <w:rPr>
          <w:rStyle w:val="Rimandonotadichiusura"/>
        </w:rPr>
        <w:endnoteReference w:id="206"/>
      </w:r>
    </w:p>
    <w:p w:rsidR="00095578" w:rsidRPr="00021DD2" w:rsidRDefault="00095578" w:rsidP="00B934D7">
      <w:pPr>
        <w:pStyle w:val="Paragrafoelenco"/>
        <w:numPr>
          <w:ilvl w:val="0"/>
          <w:numId w:val="43"/>
        </w:numPr>
        <w:spacing w:before="0" w:after="0"/>
        <w:jc w:val="left"/>
      </w:pPr>
      <w:r w:rsidRPr="00021DD2">
        <w:t>best interests of the child</w:t>
      </w:r>
      <w:r w:rsidRPr="00021DD2">
        <w:rPr>
          <w:rStyle w:val="Rimandonotadichiusura"/>
        </w:rPr>
        <w:endnoteReference w:id="207"/>
      </w:r>
    </w:p>
    <w:p w:rsidR="00095578" w:rsidRPr="00021DD2" w:rsidRDefault="00095578" w:rsidP="00B934D7">
      <w:pPr>
        <w:pStyle w:val="Paragrafoelenco"/>
        <w:numPr>
          <w:ilvl w:val="0"/>
          <w:numId w:val="43"/>
        </w:numPr>
        <w:spacing w:before="0" w:after="0"/>
        <w:jc w:val="left"/>
      </w:pPr>
      <w:r w:rsidRPr="00021DD2">
        <w:t>right to be heard</w:t>
      </w:r>
      <w:r w:rsidRPr="00021DD2">
        <w:rPr>
          <w:rStyle w:val="Rimandonotadichiusura"/>
        </w:rPr>
        <w:endnoteReference w:id="208"/>
      </w:r>
    </w:p>
    <w:p w:rsidR="00095578" w:rsidRPr="00021DD2" w:rsidRDefault="00095578" w:rsidP="00B934D7">
      <w:pPr>
        <w:pStyle w:val="Paragrafoelenco"/>
        <w:numPr>
          <w:ilvl w:val="0"/>
          <w:numId w:val="43"/>
        </w:numPr>
        <w:spacing w:before="0" w:after="0"/>
        <w:jc w:val="left"/>
      </w:pPr>
      <w:r w:rsidRPr="00021DD2">
        <w:t>preservation of identity</w:t>
      </w:r>
      <w:r w:rsidRPr="00021DD2">
        <w:rPr>
          <w:rStyle w:val="Rimandonotadichiusura"/>
        </w:rPr>
        <w:endnoteReference w:id="209"/>
      </w:r>
    </w:p>
    <w:p w:rsidR="00095578" w:rsidRPr="00021DD2" w:rsidRDefault="00095578" w:rsidP="00B934D7">
      <w:pPr>
        <w:pStyle w:val="Paragrafoelenco"/>
        <w:numPr>
          <w:ilvl w:val="0"/>
          <w:numId w:val="43"/>
        </w:numPr>
        <w:spacing w:before="0" w:after="0"/>
        <w:jc w:val="left"/>
      </w:pPr>
      <w:r w:rsidRPr="00021DD2">
        <w:t>right to health</w:t>
      </w:r>
      <w:r w:rsidRPr="00021DD2">
        <w:rPr>
          <w:rStyle w:val="Rimandonotadichiusura"/>
        </w:rPr>
        <w:endnoteReference w:id="210"/>
      </w:r>
      <w:r w:rsidRPr="00021DD2">
        <w:t xml:space="preserve"> </w:t>
      </w:r>
    </w:p>
    <w:p w:rsidR="00095578" w:rsidRPr="00021DD2" w:rsidRDefault="00095578" w:rsidP="00B934D7">
      <w:pPr>
        <w:pStyle w:val="Paragrafoelenco"/>
        <w:numPr>
          <w:ilvl w:val="0"/>
          <w:numId w:val="43"/>
        </w:numPr>
        <w:spacing w:before="0" w:after="0"/>
        <w:jc w:val="left"/>
      </w:pPr>
      <w:r w:rsidRPr="00021DD2">
        <w:t>right to survival and development.</w:t>
      </w:r>
      <w:r w:rsidRPr="00021DD2">
        <w:rPr>
          <w:rStyle w:val="Rimandonotadichiusura"/>
        </w:rPr>
        <w:endnoteReference w:id="211"/>
      </w:r>
      <w:r w:rsidRPr="00021DD2" w:rsidDel="007D2049">
        <w:t xml:space="preserve"> </w:t>
      </w:r>
    </w:p>
    <w:p w:rsidR="00095578" w:rsidRPr="00021DD2" w:rsidRDefault="00095578" w:rsidP="00CA6163">
      <w:r w:rsidRPr="00021DD2">
        <w:t xml:space="preserve">In addition, the </w:t>
      </w:r>
      <w:r w:rsidRPr="00021DD2">
        <w:rPr>
          <w:i/>
        </w:rPr>
        <w:t>Yogyakarta Principles on the Application of International Human Rights Law in relation to Sexual Orientation and Gender Identity</w:t>
      </w:r>
      <w:r w:rsidRPr="00021DD2">
        <w:t xml:space="preserve"> call on States to take all necessary measures ‘to fully respect and legally recognise each person’s self-defined gender identity’.</w:t>
      </w:r>
      <w:r w:rsidRPr="00021DD2">
        <w:rPr>
          <w:rStyle w:val="Rimandonotadichiusura"/>
          <w:rFonts w:cs="Arial"/>
        </w:rPr>
        <w:endnoteReference w:id="212"/>
      </w:r>
    </w:p>
    <w:p w:rsidR="00095578" w:rsidRPr="00021DD2" w:rsidRDefault="00095578" w:rsidP="00720B16">
      <w:pPr>
        <w:spacing w:before="0" w:after="0"/>
        <w:rPr>
          <w:rFonts w:cs="Arial"/>
        </w:rPr>
      </w:pPr>
      <w:r w:rsidRPr="00021DD2">
        <w:rPr>
          <w:rFonts w:cs="Arial"/>
        </w:rPr>
        <w:t xml:space="preserve">Consistent with this approach, a young person with gender dysphoria should be entitled to make an informed decision about their own medical treatment, including </w:t>
      </w:r>
      <w:r>
        <w:rPr>
          <w:rFonts w:cs="Arial"/>
        </w:rPr>
        <w:t>S</w:t>
      </w:r>
      <w:r w:rsidRPr="00021DD2">
        <w:rPr>
          <w:rFonts w:cs="Arial"/>
        </w:rPr>
        <w:t xml:space="preserve">tage 2 treatment, where they have been assessed by medical practitioners as being competent to consent. Where the child is not competent to consent, an informed decision should be made in the child’s best interests by their parents or guardians, in consultation with medical practitioners, taking into account the views of the child and their duty to respect the child’s gender identity and rights to health and development. In both these circumstances, given the potentially serious consequences for the child’s physical and psychological health in delaying treatment and the significant burden of going to </w:t>
      </w:r>
      <w:r>
        <w:rPr>
          <w:rFonts w:cs="Arial"/>
        </w:rPr>
        <w:t>C</w:t>
      </w:r>
      <w:r w:rsidRPr="00021DD2">
        <w:rPr>
          <w:rFonts w:cs="Arial"/>
        </w:rPr>
        <w:t xml:space="preserve">ourt, the </w:t>
      </w:r>
      <w:r>
        <w:rPr>
          <w:rFonts w:cs="Arial"/>
        </w:rPr>
        <w:t>C</w:t>
      </w:r>
      <w:r w:rsidRPr="00021DD2">
        <w:rPr>
          <w:rFonts w:cs="Arial"/>
        </w:rPr>
        <w:t xml:space="preserve">ourt should step back and allow these decisions to be made by those </w:t>
      </w:r>
      <w:r w:rsidRPr="00896F8A">
        <w:rPr>
          <w:rFonts w:cs="Arial"/>
        </w:rPr>
        <w:t xml:space="preserve">directly involved </w:t>
      </w:r>
      <w:r w:rsidRPr="00896F8A">
        <w:rPr>
          <w:rFonts w:ascii="TimesNewRoman" w:eastAsia="Times New Roman" w:hAnsi="TimesNewRoman" w:cs="TimesNewRoman"/>
          <w:sz w:val="20"/>
          <w:szCs w:val="20"/>
        </w:rPr>
        <w:t xml:space="preserve">— </w:t>
      </w:r>
      <w:r w:rsidRPr="00896F8A">
        <w:rPr>
          <w:rFonts w:cs="Arial"/>
        </w:rPr>
        <w:t>the child</w:t>
      </w:r>
      <w:r w:rsidRPr="00021DD2">
        <w:rPr>
          <w:rFonts w:cs="Arial"/>
        </w:rPr>
        <w:t>, their parents or guardians, and their medical team.</w:t>
      </w:r>
    </w:p>
    <w:p w:rsidR="00095578" w:rsidRPr="00021DD2" w:rsidDel="002613F9" w:rsidRDefault="00095578" w:rsidP="00720B16">
      <w:pPr>
        <w:pStyle w:val="Titolo3"/>
        <w:rPr>
          <w:rFonts w:cs="Arial"/>
          <w:i/>
        </w:rPr>
      </w:pPr>
      <w:bookmarkStart w:id="88" w:name="_Toc500308780"/>
      <w:r w:rsidRPr="00021DD2" w:rsidDel="002613F9">
        <w:rPr>
          <w:rFonts w:cs="Arial"/>
          <w:i/>
        </w:rPr>
        <w:t>Re Kelvin</w:t>
      </w:r>
      <w:bookmarkEnd w:id="88"/>
    </w:p>
    <w:p w:rsidR="00095578" w:rsidRPr="00021DD2" w:rsidDel="002613F9" w:rsidRDefault="00095578" w:rsidP="00720B16">
      <w:pPr>
        <w:rPr>
          <w:rFonts w:cs="Arial"/>
        </w:rPr>
      </w:pPr>
      <w:r w:rsidRPr="00021DD2" w:rsidDel="002613F9">
        <w:rPr>
          <w:rFonts w:cs="Arial"/>
        </w:rPr>
        <w:t xml:space="preserve">The </w:t>
      </w:r>
      <w:r w:rsidRPr="00021DD2">
        <w:rPr>
          <w:rFonts w:cs="Arial"/>
        </w:rPr>
        <w:t xml:space="preserve">Australian Human Rights </w:t>
      </w:r>
      <w:r w:rsidRPr="00021DD2" w:rsidDel="002613F9">
        <w:rPr>
          <w:rFonts w:cs="Arial"/>
        </w:rPr>
        <w:t>Commission has the function of intervening in proceedings that involve human rights issues, where the Commission considers it appropriate to do so and with the leave of the court hearing the proceeding, subject to any conditions imposed by the court.</w:t>
      </w:r>
      <w:r>
        <w:rPr>
          <w:rStyle w:val="Rimandonotadichiusura"/>
          <w:rFonts w:cs="Arial"/>
        </w:rPr>
        <w:endnoteReference w:id="213"/>
      </w:r>
      <w:r w:rsidRPr="00021DD2" w:rsidDel="002613F9">
        <w:rPr>
          <w:rFonts w:cs="Arial"/>
        </w:rPr>
        <w:t xml:space="preserve"> </w:t>
      </w:r>
    </w:p>
    <w:p w:rsidR="00095578" w:rsidRPr="00021DD2" w:rsidDel="002613F9" w:rsidRDefault="00095578" w:rsidP="00095578">
      <w:r w:rsidRPr="00021DD2" w:rsidDel="002613F9">
        <w:t xml:space="preserve">In 2017, the Commission intervened in the case of </w:t>
      </w:r>
      <w:r w:rsidRPr="00021DD2" w:rsidDel="002613F9">
        <w:rPr>
          <w:i/>
        </w:rPr>
        <w:t>Re Kelvin</w:t>
      </w:r>
      <w:r w:rsidRPr="00021DD2" w:rsidDel="002613F9">
        <w:t xml:space="preserve"> in the Full Court of the Family Court. This case deals with the question of whether court authorisation is required for therapeutic hormonal treatment for children with gender dysphoria, where parents, medical practitioners and the young person agree with the proposed treatment.</w:t>
      </w:r>
    </w:p>
    <w:p w:rsidR="00095578" w:rsidRPr="00021DD2" w:rsidDel="002613F9" w:rsidRDefault="00095578" w:rsidP="00095578">
      <w:r w:rsidRPr="00021DD2" w:rsidDel="002613F9">
        <w:t xml:space="preserve">The Commission had previously intervened in cases involving applications for treatment for gender dysphoria, including in </w:t>
      </w:r>
      <w:r w:rsidRPr="00021DD2" w:rsidDel="002613F9">
        <w:rPr>
          <w:i/>
        </w:rPr>
        <w:t>Re Alex</w:t>
      </w:r>
      <w:r w:rsidRPr="00021DD2" w:rsidDel="002613F9">
        <w:t>,</w:t>
      </w:r>
      <w:r>
        <w:rPr>
          <w:rStyle w:val="Rimandonotadichiusura"/>
          <w:rFonts w:cs="Arial"/>
        </w:rPr>
        <w:endnoteReference w:id="214"/>
      </w:r>
      <w:r w:rsidRPr="00021DD2" w:rsidDel="002613F9">
        <w:t xml:space="preserve"> </w:t>
      </w:r>
      <w:r w:rsidRPr="00021DD2" w:rsidDel="002613F9">
        <w:rPr>
          <w:i/>
        </w:rPr>
        <w:t>Re Bernadette</w:t>
      </w:r>
      <w:r w:rsidRPr="00021DD2" w:rsidDel="002613F9">
        <w:t>,</w:t>
      </w:r>
      <w:r>
        <w:rPr>
          <w:rStyle w:val="Rimandonotadichiusura"/>
          <w:rFonts w:cs="Arial"/>
        </w:rPr>
        <w:endnoteReference w:id="215"/>
      </w:r>
      <w:r w:rsidRPr="00021DD2" w:rsidDel="002613F9">
        <w:rPr>
          <w:i/>
        </w:rPr>
        <w:t xml:space="preserve"> </w:t>
      </w:r>
      <w:r w:rsidRPr="00021DD2">
        <w:t xml:space="preserve">and </w:t>
      </w:r>
      <w:r w:rsidRPr="00021DD2" w:rsidDel="002613F9">
        <w:rPr>
          <w:i/>
        </w:rPr>
        <w:t>Re Jamie</w:t>
      </w:r>
      <w:r w:rsidRPr="00021DD2" w:rsidDel="002613F9">
        <w:t>.</w:t>
      </w:r>
      <w:r>
        <w:rPr>
          <w:rStyle w:val="Rimandonotadichiusura"/>
          <w:rFonts w:cs="Arial"/>
        </w:rPr>
        <w:endnoteReference w:id="216"/>
      </w:r>
    </w:p>
    <w:p w:rsidR="00095578" w:rsidRPr="00021DD2" w:rsidRDefault="00095578" w:rsidP="00720B16">
      <w:pPr>
        <w:rPr>
          <w:rFonts w:cs="Arial"/>
        </w:rPr>
      </w:pPr>
      <w:r w:rsidRPr="00021DD2" w:rsidDel="002613F9">
        <w:rPr>
          <w:rFonts w:cs="Arial"/>
        </w:rPr>
        <w:t>This is an important matter that needs to be addressed and resolved to ensure respect for the rights of children and young people with gender dysphoria across Australia.</w:t>
      </w:r>
    </w:p>
    <w:p w:rsidR="00720B16" w:rsidRPr="00021DD2" w:rsidRDefault="00720B16" w:rsidP="00095578">
      <w:pPr>
        <w:pStyle w:val="21"/>
      </w:pPr>
      <w:bookmarkStart w:id="89" w:name="_Toc500308781"/>
      <w:r w:rsidRPr="00021DD2">
        <w:t>Conclusion</w:t>
      </w:r>
      <w:bookmarkEnd w:id="89"/>
    </w:p>
    <w:p w:rsidR="00720B16" w:rsidRPr="00021DD2" w:rsidRDefault="00720B16" w:rsidP="00720B16">
      <w:pPr>
        <w:rPr>
          <w:rFonts w:cs="Arial"/>
          <w:lang w:val="en"/>
        </w:rPr>
      </w:pPr>
      <w:r w:rsidRPr="00021DD2">
        <w:rPr>
          <w:rFonts w:cs="Arial"/>
          <w:lang w:val="en"/>
        </w:rPr>
        <w:t>Over this reporting period a number of Bills, that either passed both Houses of Parliament or are not proceeding, were considered for the</w:t>
      </w:r>
      <w:r w:rsidR="00CA6163">
        <w:rPr>
          <w:rFonts w:cs="Arial"/>
          <w:lang w:val="en"/>
        </w:rPr>
        <w:t>ir impact on children’s rights.</w:t>
      </w:r>
    </w:p>
    <w:p w:rsidR="00720B16" w:rsidRPr="00021DD2" w:rsidRDefault="00720B16" w:rsidP="00720B16">
      <w:pPr>
        <w:rPr>
          <w:rFonts w:cs="Arial"/>
          <w:lang w:val="en"/>
        </w:rPr>
      </w:pPr>
      <w:r w:rsidRPr="00021DD2">
        <w:rPr>
          <w:rFonts w:cs="Arial"/>
          <w:lang w:val="en"/>
        </w:rPr>
        <w:t>The scrutiny provided by the PJCHR and other Parliamentary committees enhance</w:t>
      </w:r>
      <w:r w:rsidR="00C65BEC">
        <w:rPr>
          <w:rFonts w:cs="Arial"/>
          <w:lang w:val="en"/>
        </w:rPr>
        <w:t>s</w:t>
      </w:r>
      <w:r w:rsidRPr="00021DD2">
        <w:rPr>
          <w:rFonts w:cs="Arial"/>
          <w:lang w:val="en"/>
        </w:rPr>
        <w:t xml:space="preserve"> our understanding of the impact that legislation has on children’s rights. These are important mechanisms </w:t>
      </w:r>
      <w:r w:rsidR="00C65BEC">
        <w:rPr>
          <w:rFonts w:cs="Arial"/>
          <w:lang w:val="en"/>
        </w:rPr>
        <w:t>that</w:t>
      </w:r>
      <w:r w:rsidRPr="00021DD2">
        <w:rPr>
          <w:rFonts w:cs="Arial"/>
          <w:lang w:val="en"/>
        </w:rPr>
        <w:t xml:space="preserve"> will improve our parliamentary processes to better protect and </w:t>
      </w:r>
      <w:r w:rsidR="00CA6163">
        <w:rPr>
          <w:rFonts w:cs="Arial"/>
          <w:lang w:val="en"/>
        </w:rPr>
        <w:t>promote the rights of children.</w:t>
      </w:r>
    </w:p>
    <w:p w:rsidR="00720B16" w:rsidRPr="00021DD2" w:rsidRDefault="00720B16" w:rsidP="00720B16">
      <w:pPr>
        <w:rPr>
          <w:rFonts w:cs="Arial"/>
          <w:lang w:val="en"/>
        </w:rPr>
      </w:pPr>
      <w:r w:rsidRPr="00021DD2">
        <w:rPr>
          <w:rFonts w:cs="Arial"/>
          <w:lang w:val="en"/>
        </w:rPr>
        <w:t xml:space="preserve">Statements of Compatibility, which accompany Bills introduced </w:t>
      </w:r>
      <w:r w:rsidR="00C65BEC">
        <w:rPr>
          <w:rFonts w:cs="Arial"/>
          <w:lang w:val="en"/>
        </w:rPr>
        <w:t>in</w:t>
      </w:r>
      <w:r w:rsidRPr="00021DD2">
        <w:rPr>
          <w:rFonts w:cs="Arial"/>
          <w:lang w:val="en"/>
        </w:rPr>
        <w:t>to Parliament, are also important mechanisms for engaging federal policy and law makers with human rights and enhancing their knowledge and understanding of the impacts of laws on children.</w:t>
      </w:r>
    </w:p>
    <w:p w:rsidR="00720B16" w:rsidRPr="00021DD2" w:rsidRDefault="00720B16" w:rsidP="00720B16">
      <w:pPr>
        <w:rPr>
          <w:rFonts w:cs="Arial"/>
          <w:lang w:val="en"/>
        </w:rPr>
      </w:pPr>
      <w:r w:rsidRPr="00021DD2">
        <w:rPr>
          <w:rFonts w:cs="Arial"/>
          <w:lang w:val="en"/>
        </w:rPr>
        <w:t xml:space="preserve">Despite these positive measures, I am concerned that our attention to human rights issues comes far too late in the legislative process, at the drafting of </w:t>
      </w:r>
      <w:r w:rsidR="004F5B67">
        <w:rPr>
          <w:rFonts w:cs="Arial"/>
          <w:lang w:val="en"/>
        </w:rPr>
        <w:t>B</w:t>
      </w:r>
      <w:r w:rsidRPr="00021DD2">
        <w:rPr>
          <w:rFonts w:cs="Arial"/>
          <w:lang w:val="en"/>
        </w:rPr>
        <w:t xml:space="preserve">ills stage. I remain of the view that such consideration should occur as a routine part of policy and legislative development, as well as of ministerial considerations at an early stage. In addition, and as I have previously recommended, I consider that all major national frameworks relating to children </w:t>
      </w:r>
      <w:r w:rsidR="00C65BEC">
        <w:rPr>
          <w:rFonts w:cs="Arial"/>
          <w:lang w:val="en"/>
        </w:rPr>
        <w:t xml:space="preserve">should </w:t>
      </w:r>
      <w:r w:rsidRPr="00021DD2">
        <w:rPr>
          <w:rFonts w:cs="Arial"/>
          <w:lang w:val="en"/>
        </w:rPr>
        <w:t xml:space="preserve">be regularly evaluated </w:t>
      </w:r>
      <w:r w:rsidR="00C65BEC">
        <w:rPr>
          <w:rFonts w:cs="Arial"/>
          <w:lang w:val="en"/>
        </w:rPr>
        <w:t>with respect to</w:t>
      </w:r>
      <w:r w:rsidRPr="00021DD2">
        <w:rPr>
          <w:rFonts w:cs="Arial"/>
          <w:lang w:val="en"/>
        </w:rPr>
        <w:t xml:space="preserve"> the extent to which they advance or limit children’s rights and interests, in line with our international commitments. </w:t>
      </w:r>
    </w:p>
    <w:p w:rsidR="00720B16" w:rsidRDefault="00C65BEC" w:rsidP="00C65BEC">
      <w:pPr>
        <w:rPr>
          <w:rFonts w:cs="Arial"/>
          <w:lang w:val="en"/>
        </w:rPr>
      </w:pPr>
      <w:r>
        <w:rPr>
          <w:rFonts w:cs="Arial"/>
          <w:lang w:val="en"/>
        </w:rPr>
        <w:t xml:space="preserve">In my capacity as National Children’s Commissioner and as part of the Australian Human Rights Commission, </w:t>
      </w:r>
      <w:r w:rsidR="00720B16" w:rsidRPr="00021DD2">
        <w:rPr>
          <w:rFonts w:cs="Arial"/>
          <w:lang w:val="en"/>
        </w:rPr>
        <w:t>I look forward to continuing to work with the PJCHR on the advancement of children’s rights and on building knowledge and capacity in the development of Statements of Compatibility</w:t>
      </w:r>
      <w:r>
        <w:rPr>
          <w:rFonts w:cs="Arial"/>
          <w:lang w:val="en"/>
        </w:rPr>
        <w:t xml:space="preserve"> in relevant departments</w:t>
      </w:r>
      <w:r w:rsidR="00720B16" w:rsidRPr="00021DD2">
        <w:rPr>
          <w:rFonts w:cs="Arial"/>
          <w:lang w:val="en"/>
        </w:rPr>
        <w:t>.</w:t>
      </w:r>
      <w:r w:rsidR="000F10F4">
        <w:rPr>
          <w:rFonts w:cs="Arial"/>
          <w:lang w:val="en"/>
        </w:rPr>
        <w:t xml:space="preserve"> </w:t>
      </w:r>
    </w:p>
    <w:p w:rsidR="00F47F87" w:rsidRPr="00F47F87" w:rsidRDefault="00F47F87" w:rsidP="00F47F87">
      <w:pPr>
        <w:keepLines w:val="0"/>
        <w:spacing w:before="0" w:after="0"/>
        <w:rPr>
          <w:rFonts w:cs="Arial"/>
          <w:lang w:val="en"/>
        </w:rPr>
      </w:pPr>
      <w:r>
        <w:rPr>
          <w:rFonts w:cs="Arial"/>
          <w:lang w:val="en"/>
        </w:rPr>
        <w:br w:type="page"/>
      </w:r>
    </w:p>
    <w:p w:rsidR="00720B16" w:rsidRPr="00021DD2" w:rsidRDefault="00720B16" w:rsidP="00720B16">
      <w:pPr>
        <w:rPr>
          <w:rFonts w:cs="Arial"/>
          <w:lang w:val="en"/>
        </w:rPr>
      </w:pPr>
    </w:p>
    <w:p w:rsidR="00A16729" w:rsidRPr="00021DD2" w:rsidRDefault="00A16729" w:rsidP="002940E9">
      <w:pPr>
        <w:rPr>
          <w:rFonts w:cs="Arial"/>
        </w:rPr>
        <w:sectPr w:rsidR="00A16729" w:rsidRPr="00021DD2" w:rsidSect="003716C0">
          <w:endnotePr>
            <w:numFmt w:val="decimal"/>
            <w:numRestart w:val="eachSect"/>
          </w:endnotePr>
          <w:pgSz w:w="11906" w:h="16838" w:code="9"/>
          <w:pgMar w:top="1134" w:right="1418" w:bottom="1134" w:left="1418" w:header="709" w:footer="709" w:gutter="0"/>
          <w:cols w:space="708"/>
          <w:docGrid w:linePitch="360"/>
        </w:sectPr>
      </w:pPr>
    </w:p>
    <w:p w:rsidR="00EC7AA8" w:rsidRPr="00021DD2" w:rsidRDefault="00EE607C" w:rsidP="00EE607C">
      <w:pPr>
        <w:pStyle w:val="Titolo1"/>
        <w:rPr>
          <w:rFonts w:cs="Arial"/>
        </w:rPr>
      </w:pPr>
      <w:bookmarkStart w:id="90" w:name="_Toc500308782"/>
      <w:r w:rsidRPr="00021DD2">
        <w:rPr>
          <w:rFonts w:cs="Arial"/>
        </w:rPr>
        <w:t>Young parents and their children</w:t>
      </w:r>
      <w:bookmarkEnd w:id="90"/>
    </w:p>
    <w:p w:rsidR="00C62088" w:rsidRPr="00C62088" w:rsidRDefault="00C62088" w:rsidP="00095578">
      <w:pPr>
        <w:pStyle w:val="31"/>
      </w:pPr>
      <w:bookmarkStart w:id="91" w:name="_Toc500308783"/>
      <w:r>
        <w:t>Introduction</w:t>
      </w:r>
      <w:bookmarkEnd w:id="91"/>
    </w:p>
    <w:p w:rsidR="00C62088" w:rsidRPr="00E224A3" w:rsidRDefault="00C62088" w:rsidP="00E224A3">
      <w:pPr>
        <w:ind w:left="360"/>
        <w:rPr>
          <w:rFonts w:ascii="Calibri" w:hAnsi="Calibri"/>
          <w:iCs/>
          <w:color w:val="000000"/>
          <w:sz w:val="22"/>
          <w:szCs w:val="22"/>
        </w:rPr>
      </w:pPr>
      <w:r w:rsidRPr="00405BD1">
        <w:rPr>
          <w:iCs/>
          <w:color w:val="000000"/>
          <w:sz w:val="22"/>
          <w:szCs w:val="22"/>
        </w:rPr>
        <w:t>Other than the crippling self doubt I experienced as a young mum, the judgement from other people</w:t>
      </w:r>
      <w:r w:rsidR="0044085A">
        <w:rPr>
          <w:iCs/>
          <w:color w:val="000000"/>
          <w:sz w:val="22"/>
          <w:szCs w:val="22"/>
        </w:rPr>
        <w:t>,</w:t>
      </w:r>
      <w:r w:rsidRPr="00405BD1">
        <w:rPr>
          <w:iCs/>
          <w:color w:val="000000"/>
          <w:sz w:val="22"/>
          <w:szCs w:val="22"/>
        </w:rPr>
        <w:t xml:space="preserve"> including strangers</w:t>
      </w:r>
      <w:r w:rsidR="0044085A">
        <w:rPr>
          <w:iCs/>
          <w:color w:val="000000"/>
          <w:sz w:val="22"/>
          <w:szCs w:val="22"/>
        </w:rPr>
        <w:t>,</w:t>
      </w:r>
      <w:r w:rsidRPr="00405BD1">
        <w:rPr>
          <w:iCs/>
          <w:color w:val="000000"/>
          <w:sz w:val="22"/>
          <w:szCs w:val="22"/>
        </w:rPr>
        <w:t xml:space="preserve"> was soul destroying. Stereotyping needs to stop, and we need to start celebrating young women who go on to be great parents, whether they finish a uni degree and buy a house, or have ten kids who they love and provide for with everything they have. Young women are strong and each one is capable. All it takes is</w:t>
      </w:r>
      <w:r>
        <w:rPr>
          <w:iCs/>
          <w:color w:val="000000"/>
          <w:sz w:val="22"/>
          <w:szCs w:val="22"/>
        </w:rPr>
        <w:t xml:space="preserve"> a few people to believe in you. (Young mother, who had her baby at 15 years)</w:t>
      </w:r>
    </w:p>
    <w:p w:rsidR="00C62088" w:rsidRDefault="00C62088" w:rsidP="00F47F87">
      <w:r>
        <w:t xml:space="preserve">This chapter focuses on my project on </w:t>
      </w:r>
      <w:r w:rsidRPr="004751B7">
        <w:t>the rights and needs of yo</w:t>
      </w:r>
      <w:r>
        <w:t>ung parents and their children, which I undertook throughout 2017.</w:t>
      </w:r>
    </w:p>
    <w:p w:rsidR="00C62088" w:rsidRDefault="00C62088" w:rsidP="00F47F87">
      <w:r>
        <w:t>It describes:</w:t>
      </w:r>
    </w:p>
    <w:p w:rsidR="00C62088" w:rsidRDefault="00C62088" w:rsidP="00222517">
      <w:pPr>
        <w:pStyle w:val="Paragrafoelenco"/>
        <w:numPr>
          <w:ilvl w:val="0"/>
          <w:numId w:val="147"/>
        </w:numPr>
        <w:spacing w:before="0" w:after="0"/>
        <w:jc w:val="left"/>
      </w:pPr>
      <w:r>
        <w:t>young parenthood as a human rights issue</w:t>
      </w:r>
    </w:p>
    <w:p w:rsidR="00C62088" w:rsidRDefault="00C62088" w:rsidP="00222517">
      <w:pPr>
        <w:pStyle w:val="Paragrafoelenco"/>
        <w:numPr>
          <w:ilvl w:val="0"/>
          <w:numId w:val="147"/>
        </w:numPr>
        <w:spacing w:before="0" w:after="0"/>
        <w:jc w:val="left"/>
      </w:pPr>
      <w:r>
        <w:t>why and how I conducted a project on young parents and their children</w:t>
      </w:r>
    </w:p>
    <w:p w:rsidR="00C62088" w:rsidRDefault="00C62088" w:rsidP="00222517">
      <w:pPr>
        <w:pStyle w:val="Paragrafoelenco"/>
        <w:numPr>
          <w:ilvl w:val="0"/>
          <w:numId w:val="147"/>
        </w:numPr>
        <w:spacing w:before="0" w:after="0"/>
        <w:jc w:val="left"/>
      </w:pPr>
      <w:r>
        <w:t>findings from the project, including what available research, data, submissions, roundtable discussions and young people themselves tell us about the needs of young parents and their children</w:t>
      </w:r>
    </w:p>
    <w:p w:rsidR="00C62088" w:rsidRDefault="00C62088" w:rsidP="00222517">
      <w:pPr>
        <w:pStyle w:val="Paragrafoelenco"/>
        <w:numPr>
          <w:ilvl w:val="0"/>
          <w:numId w:val="147"/>
        </w:numPr>
        <w:spacing w:before="0" w:after="0"/>
        <w:jc w:val="left"/>
      </w:pPr>
      <w:r>
        <w:t>recommendations to improve the current situation faced by young parents and their families.</w:t>
      </w:r>
    </w:p>
    <w:p w:rsidR="00C62088" w:rsidRDefault="00C62088" w:rsidP="00F47F87">
      <w:r>
        <w:t>In doing this work, I spoke</w:t>
      </w:r>
      <w:r w:rsidRPr="004751B7">
        <w:t xml:space="preserve"> with </w:t>
      </w:r>
      <w:r>
        <w:t xml:space="preserve">many young parents who </w:t>
      </w:r>
      <w:r w:rsidRPr="004751B7">
        <w:t xml:space="preserve">told us about the struggles, stigma and barriers they face. </w:t>
      </w:r>
      <w:r>
        <w:t>Despite this, overwhelmingly</w:t>
      </w:r>
      <w:r w:rsidR="004260FB">
        <w:t>,</w:t>
      </w:r>
      <w:r>
        <w:t xml:space="preserve"> the young people I spoke to</w:t>
      </w:r>
      <w:r w:rsidRPr="004751B7">
        <w:t xml:space="preserve"> are motivated to be great parents, to provide the best care for their </w:t>
      </w:r>
      <w:r>
        <w:t>children</w:t>
      </w:r>
      <w:r w:rsidRPr="004751B7">
        <w:t xml:space="preserve">, to get an education and do well in life. I hope that the findings of this investigation will help to identify the supports </w:t>
      </w:r>
      <w:r>
        <w:t xml:space="preserve">young families </w:t>
      </w:r>
      <w:r w:rsidRPr="004751B7">
        <w:t>need</w:t>
      </w:r>
      <w:r>
        <w:t xml:space="preserve"> at different points in time. </w:t>
      </w:r>
    </w:p>
    <w:p w:rsidR="00C62088" w:rsidRDefault="00C62088" w:rsidP="00C62088">
      <w:r>
        <w:t>Throughout this chapter, I make a number of recommendations to government to ensure that young parents and their children have their rights fulfilled, are included in decisions affecting policy and programs for young parents and are respected as rights-holders in Australian society. I recommend a range of monitoring and data collection mechanisms, and reviews of government policies and practices, to ensure that young parents have their specific needs met. Many of these recommendations have been situated within national initiatives, coun</w:t>
      </w:r>
      <w:r w:rsidR="00F47F87">
        <w:t xml:space="preserve">cils or frameworks, including: </w:t>
      </w:r>
    </w:p>
    <w:p w:rsidR="00C62088" w:rsidRDefault="00C62088" w:rsidP="00222517">
      <w:pPr>
        <w:pStyle w:val="Paragrafoelenco"/>
        <w:numPr>
          <w:ilvl w:val="0"/>
          <w:numId w:val="148"/>
        </w:numPr>
        <w:jc w:val="left"/>
      </w:pPr>
      <w:r>
        <w:t xml:space="preserve">The </w:t>
      </w:r>
      <w:r w:rsidRPr="00104958">
        <w:rPr>
          <w:i/>
        </w:rPr>
        <w:t>National Framework for Protecting Australia’s Children</w:t>
      </w:r>
      <w:r>
        <w:t xml:space="preserve"> (2009–2020)</w:t>
      </w:r>
    </w:p>
    <w:p w:rsidR="00C62088" w:rsidRDefault="00C62088" w:rsidP="00C62088">
      <w:pPr>
        <w:pStyle w:val="Paragrafoelenco"/>
      </w:pPr>
      <w:r>
        <w:t>(Recommendations 14, 15, 16)</w:t>
      </w:r>
    </w:p>
    <w:p w:rsidR="00C62088" w:rsidRDefault="00C62088" w:rsidP="00222517">
      <w:pPr>
        <w:pStyle w:val="Paragrafoelenco"/>
        <w:numPr>
          <w:ilvl w:val="0"/>
          <w:numId w:val="148"/>
        </w:numPr>
        <w:jc w:val="left"/>
      </w:pPr>
      <w:r>
        <w:t xml:space="preserve">The Council of Australian Governments’ Health Council </w:t>
      </w:r>
    </w:p>
    <w:p w:rsidR="00C62088" w:rsidRDefault="00C62088" w:rsidP="00C62088">
      <w:pPr>
        <w:pStyle w:val="Paragrafoelenco"/>
      </w:pPr>
      <w:r>
        <w:t>(Recommendation 11)</w:t>
      </w:r>
    </w:p>
    <w:p w:rsidR="00C62088" w:rsidRDefault="00C62088" w:rsidP="00222517">
      <w:pPr>
        <w:pStyle w:val="Paragrafoelenco"/>
        <w:numPr>
          <w:ilvl w:val="0"/>
          <w:numId w:val="148"/>
        </w:numPr>
        <w:jc w:val="left"/>
      </w:pPr>
      <w:r>
        <w:t>The Council of Australian Governments’ Attorneys-General Council</w:t>
      </w:r>
    </w:p>
    <w:p w:rsidR="00C62088" w:rsidRDefault="00C62088" w:rsidP="00C62088">
      <w:pPr>
        <w:pStyle w:val="Paragrafoelenco"/>
      </w:pPr>
      <w:r>
        <w:t>(Recommendation 13)</w:t>
      </w:r>
    </w:p>
    <w:p w:rsidR="00C62088" w:rsidRDefault="00C62088" w:rsidP="00222517">
      <w:pPr>
        <w:pStyle w:val="Paragrafoelenco"/>
        <w:numPr>
          <w:ilvl w:val="0"/>
          <w:numId w:val="148"/>
        </w:numPr>
        <w:jc w:val="left"/>
      </w:pPr>
      <w:r>
        <w:t>The Council of Australian Governments’ Education Council</w:t>
      </w:r>
    </w:p>
    <w:p w:rsidR="00C62088" w:rsidRPr="00F312CE" w:rsidRDefault="00C62088" w:rsidP="00C62088">
      <w:pPr>
        <w:pStyle w:val="Paragrafoelenco"/>
      </w:pPr>
      <w:r>
        <w:t>(Recommendations 8, 9, 12).</w:t>
      </w:r>
    </w:p>
    <w:p w:rsidR="00EE607C" w:rsidRPr="009C2767" w:rsidRDefault="00C62088" w:rsidP="009C2767">
      <w:r>
        <w:t>As will be seen, the realisation of young parents’ and their children’s rights requires an integrated approach across a range of government initiatives. This integrated approach should be informed by the views of young parents, and recognise their need for support across a range of services. In this context, I suggest that the Minister for Social Services take a lead role in advancing a coordinated cross-portfolio policy approach in relation to yo</w:t>
      </w:r>
      <w:r w:rsidR="009C2767">
        <w:t>ung parents and their children.</w:t>
      </w:r>
    </w:p>
    <w:p w:rsidR="00EE607C" w:rsidRPr="00E224A3" w:rsidRDefault="00C62088" w:rsidP="009C2767">
      <w:pPr>
        <w:pStyle w:val="31"/>
      </w:pPr>
      <w:bookmarkStart w:id="92" w:name="_Toc500308784"/>
      <w:r>
        <w:t>Why conduct a project on young parents and their children?</w:t>
      </w:r>
      <w:bookmarkEnd w:id="92"/>
      <w:r>
        <w:t xml:space="preserve"> </w:t>
      </w:r>
    </w:p>
    <w:p w:rsidR="00C62088" w:rsidRDefault="00C62088" w:rsidP="00C62088">
      <w:r>
        <w:t xml:space="preserve">Young parents and their children are particularly vulnerable to breaches of their rights to health, education and care, and </w:t>
      </w:r>
      <w:r w:rsidR="000C037B">
        <w:t xml:space="preserve">are </w:t>
      </w:r>
      <w:r>
        <w:t xml:space="preserve">at risk of long term disadvantage and welfare dependency. </w:t>
      </w:r>
    </w:p>
    <w:p w:rsidR="00C62088" w:rsidRDefault="00C62088" w:rsidP="00C62088">
      <w:r>
        <w:t>While the rate of teenage fertility in Australia has declined over the last few decades, the number of births to young mothers continues to be significant.  According to the Australian Bureau of Statistics (ABS), in 2015 there were 8,574 births to mothers aged 19 years and under.</w:t>
      </w:r>
      <w:r>
        <w:rPr>
          <w:rStyle w:val="Rimandonotadichiusura"/>
        </w:rPr>
        <w:endnoteReference w:id="217"/>
      </w:r>
      <w:r>
        <w:t xml:space="preserve">  </w:t>
      </w:r>
    </w:p>
    <w:p w:rsidR="00C62088" w:rsidRDefault="00C62088" w:rsidP="00C62088">
      <w:r>
        <w:t>Young people who become parents at an early age are likely to experience significant obstacles and disadvantage in their lives. Higher rates of teenage pregnancy are associated with family histories of teenage pregnancy, unstable housing arrangements, socio</w:t>
      </w:r>
      <w:r w:rsidR="000C037B">
        <w:t>-</w:t>
      </w:r>
      <w:r>
        <w:t>economic disadvantage and sexual abuse in childhood.</w:t>
      </w:r>
      <w:r>
        <w:rPr>
          <w:rStyle w:val="Rimandonotadichiusura"/>
        </w:rPr>
        <w:endnoteReference w:id="218"/>
      </w:r>
      <w:r>
        <w:t xml:space="preserve"> </w:t>
      </w:r>
    </w:p>
    <w:p w:rsidR="00C62088" w:rsidRDefault="00C62088" w:rsidP="00C62088">
      <w:r>
        <w:t>Particular groups within the youth population more likely to become young parents include Aboriginal and Torres Strait Islander peoples and young people living in rural and remote areas and from low socio</w:t>
      </w:r>
      <w:r w:rsidR="000C037B">
        <w:t>-</w:t>
      </w:r>
      <w:r>
        <w:t>economic backgrounds.</w:t>
      </w:r>
      <w:r>
        <w:rPr>
          <w:rStyle w:val="Rimandonotadichiusura"/>
        </w:rPr>
        <w:endnoteReference w:id="219"/>
      </w:r>
    </w:p>
    <w:p w:rsidR="00C62088" w:rsidRDefault="00C62088" w:rsidP="00C62088">
      <w:r>
        <w:t>The challenging personal circumstances of many young parents are further compounded by the social, financial, medical, education and employment difficulties of raising a child. Young parents frequently face negative consequences such as poverty and long term welfare dependency,</w:t>
      </w:r>
      <w:r>
        <w:rPr>
          <w:rStyle w:val="Rimandonotadichiusura"/>
        </w:rPr>
        <w:endnoteReference w:id="220"/>
      </w:r>
      <w:r>
        <w:t xml:space="preserve"> poor emotional health and wellbeing,</w:t>
      </w:r>
      <w:r>
        <w:rPr>
          <w:rStyle w:val="Rimandonotadichiusura"/>
        </w:rPr>
        <w:endnoteReference w:id="221"/>
      </w:r>
      <w:r>
        <w:t xml:space="preserve"> and inability to complete study or gain secure employment.</w:t>
      </w:r>
      <w:r>
        <w:rPr>
          <w:rStyle w:val="Rimandonotadichiusura"/>
        </w:rPr>
        <w:endnoteReference w:id="222"/>
      </w:r>
      <w:r>
        <w:t xml:space="preserve"> </w:t>
      </w:r>
    </w:p>
    <w:p w:rsidR="00C62088" w:rsidRDefault="00C62088" w:rsidP="00C62088">
      <w:r>
        <w:t>Children of young parents are also at greater risk of experiencing poorer life outcomes. According to the Australian Institute of Health and Welfare (AIHW), children born to teenage mothers are ‘at greater risk of low birthweight and increased morbidity during their first year of life, tend to develop more behaviour problems than children of older mothers and are more likely to be born into, and continue to live in, social and economic disadvantage.’</w:t>
      </w:r>
      <w:r>
        <w:rPr>
          <w:rStyle w:val="Rimandonotadichiusura"/>
        </w:rPr>
        <w:endnoteReference w:id="223"/>
      </w:r>
      <w:r>
        <w:t xml:space="preserve"> Children of vulnerable young parents are often at risk of being removed into the care and protection system, and are also more likely to become young parents themselves.</w:t>
      </w:r>
      <w:r>
        <w:rPr>
          <w:rStyle w:val="Rimandonotadichiusura"/>
        </w:rPr>
        <w:endnoteReference w:id="224"/>
      </w:r>
      <w:r w:rsidR="00CA6163">
        <w:t xml:space="preserve"> </w:t>
      </w:r>
    </w:p>
    <w:p w:rsidR="00C62088" w:rsidRDefault="00C62088" w:rsidP="00C62088">
      <w:r>
        <w:t>Despite the clear intergenerational disadvantages faced by young parents and their children, there are a number of gaps in the research literature about how to best support these vulnerable families. Further research is needed to understand and respond to the unique needs, experiences and trajectories of particular groups of young parents, such as Aboriginal and Torres Strait Islander young parents, young parents from cultural</w:t>
      </w:r>
      <w:r w:rsidR="000C037B">
        <w:t>ly</w:t>
      </w:r>
      <w:r>
        <w:t xml:space="preserve"> and linguistically diverse backgrounds, and young parents who have been in out-of-home care or the youth justice system.</w:t>
      </w:r>
      <w:r>
        <w:rPr>
          <w:rStyle w:val="Rimandonotadichiusura"/>
        </w:rPr>
        <w:endnoteReference w:id="225"/>
      </w:r>
      <w:r w:rsidR="00CA6163">
        <w:t xml:space="preserve"> </w:t>
      </w:r>
      <w:r>
        <w:t xml:space="preserve">Research on the experiences of young fathers is also lacking. </w:t>
      </w:r>
      <w:r w:rsidRPr="000D23CF">
        <w:t>Much of the information available about young parents focuses on young mothers. The impacts on young mothers are different to those of fathers,</w:t>
      </w:r>
      <w:r w:rsidR="000C037B">
        <w:t xml:space="preserve"> particularly in relation to physical and mental health needs through the</w:t>
      </w:r>
      <w:r>
        <w:t xml:space="preserve"> experiences of pregnancy and childbirth. Our consultations suggest that young women are more likely than young men to be the primary </w:t>
      </w:r>
      <w:r w:rsidR="000C037B">
        <w:t xml:space="preserve">and sole </w:t>
      </w:r>
      <w:r>
        <w:t xml:space="preserve">carers of their child, with subsequent impacts on their lives. More needs to be understood about how young fathers </w:t>
      </w:r>
      <w:r w:rsidR="000C037B">
        <w:t>can play a role in parenting and how they are in turn impacted by the birth of a child.</w:t>
      </w:r>
      <w:r>
        <w:t xml:space="preserve"> Additionally, there is a lack of evidence and evaluation of interventions and support programs for young parents that effectively improve their social, health, education and employment trajectories.</w:t>
      </w:r>
      <w:r>
        <w:rPr>
          <w:rStyle w:val="Rimandonotadichiusura"/>
        </w:rPr>
        <w:endnoteReference w:id="226"/>
      </w:r>
      <w:r w:rsidR="00CA6163">
        <w:t xml:space="preserve"> </w:t>
      </w:r>
    </w:p>
    <w:p w:rsidR="00C62088" w:rsidRDefault="00C62088" w:rsidP="00C62088">
      <w:r>
        <w:t>In the Department of Social Services’ Baseline Valuation Report, young parents were identified as a group worthy of further investigation in order to understand what early interventions would improve their probability of becoming self-reliant in the future, assisting them to break free from entrenched welfare dependence.</w:t>
      </w:r>
      <w:r>
        <w:rPr>
          <w:rStyle w:val="Rimandonotadichiusura"/>
        </w:rPr>
        <w:endnoteReference w:id="227"/>
      </w:r>
      <w:r w:rsidR="00CA6163">
        <w:t xml:space="preserve"> </w:t>
      </w:r>
    </w:p>
    <w:p w:rsidR="00EE607C" w:rsidRPr="00E224A3" w:rsidRDefault="00C62088" w:rsidP="009C2767">
      <w:pPr>
        <w:pStyle w:val="31"/>
      </w:pPr>
      <w:bookmarkStart w:id="93" w:name="_Toc500308785"/>
      <w:r>
        <w:t>Young parenthood as a human rights issue</w:t>
      </w:r>
      <w:bookmarkEnd w:id="93"/>
    </w:p>
    <w:p w:rsidR="00C62088" w:rsidRDefault="00C62088" w:rsidP="009C2767">
      <w:r w:rsidRPr="00B541AC">
        <w:t xml:space="preserve">International human rights treaties </w:t>
      </w:r>
      <w:r>
        <w:t xml:space="preserve">set out </w:t>
      </w:r>
      <w:r w:rsidRPr="00B541AC">
        <w:t xml:space="preserve">the </w:t>
      </w:r>
      <w:r>
        <w:t xml:space="preserve">human </w:t>
      </w:r>
      <w:r w:rsidRPr="00B541AC">
        <w:t xml:space="preserve">rights of </w:t>
      </w:r>
      <w:r>
        <w:t>all children and young people, including those</w:t>
      </w:r>
      <w:r w:rsidRPr="00B541AC">
        <w:t xml:space="preserve"> who are parents or are pregnant, </w:t>
      </w:r>
      <w:r>
        <w:t>and</w:t>
      </w:r>
      <w:r w:rsidRPr="00B541AC">
        <w:t xml:space="preserve"> </w:t>
      </w:r>
      <w:r>
        <w:t xml:space="preserve">the </w:t>
      </w:r>
      <w:r w:rsidRPr="00B541AC">
        <w:t xml:space="preserve">children of young parents. </w:t>
      </w:r>
      <w:r>
        <w:t>This section describes some of the rights that are particularly relevant to young parents and their children.</w:t>
      </w:r>
      <w:r w:rsidRPr="00B541AC">
        <w:t xml:space="preserve"> </w:t>
      </w:r>
    </w:p>
    <w:p w:rsidR="00C62088" w:rsidRDefault="00C62088" w:rsidP="009C2767">
      <w:r w:rsidRPr="00B541AC">
        <w:t xml:space="preserve">Under the </w:t>
      </w:r>
      <w:r w:rsidRPr="004C06CA">
        <w:rPr>
          <w:i/>
        </w:rPr>
        <w:t>Convention on the Rights of the Child</w:t>
      </w:r>
      <w:r w:rsidRPr="006E65A0">
        <w:t xml:space="preserve"> </w:t>
      </w:r>
      <w:r w:rsidRPr="004C06CA">
        <w:t>(CRC)</w:t>
      </w:r>
      <w:r w:rsidRPr="006E65A0">
        <w:t>,</w:t>
      </w:r>
      <w:r>
        <w:t xml:space="preserve"> </w:t>
      </w:r>
      <w:r w:rsidRPr="00B541AC">
        <w:t xml:space="preserve">the best interests of </w:t>
      </w:r>
      <w:r>
        <w:t xml:space="preserve">all children, including </w:t>
      </w:r>
      <w:r w:rsidRPr="00B541AC">
        <w:t xml:space="preserve">young parents and their children, and pregnant </w:t>
      </w:r>
      <w:r>
        <w:t>girls</w:t>
      </w:r>
      <w:r w:rsidRPr="00B541AC">
        <w:t>, must be a primary consideration in all matters concerning them.</w:t>
      </w:r>
      <w:r w:rsidRPr="003840E6">
        <w:rPr>
          <w:rStyle w:val="Rimandonotadichiusura"/>
          <w:rFonts w:cs="Arial"/>
        </w:rPr>
        <w:endnoteReference w:id="228"/>
      </w:r>
      <w:r w:rsidRPr="00B541AC">
        <w:t xml:space="preserve"> </w:t>
      </w:r>
    </w:p>
    <w:p w:rsidR="00C62088" w:rsidRPr="009C2767" w:rsidRDefault="00C62088" w:rsidP="009C2767">
      <w:r>
        <w:t>The primacy of the family unit is also an important consideration in the implementation of the CRC. As noted in the preamble of the Convention, the family unit is considered:</w:t>
      </w:r>
    </w:p>
    <w:p w:rsidR="00C62088" w:rsidRDefault="00C62088" w:rsidP="00C62088">
      <w:pPr>
        <w:spacing w:before="0" w:after="0"/>
        <w:ind w:left="720"/>
        <w:rPr>
          <w:rFonts w:cs="Arial"/>
          <w:sz w:val="22"/>
        </w:rPr>
      </w:pPr>
      <w:r w:rsidRPr="006F3DF4">
        <w:rPr>
          <w:rFonts w:cs="Arial"/>
          <w:sz w:val="22"/>
        </w:rPr>
        <w:t>the fundamental group of society and the natural environment for the growth and wellbeing of all its members and particularly children, [and as such,] should be afforded the necessary protection and assistance so that it can fully assume its responsibilities within the community</w:t>
      </w:r>
      <w:r>
        <w:rPr>
          <w:rFonts w:cs="Arial"/>
          <w:sz w:val="22"/>
        </w:rPr>
        <w:t>.</w:t>
      </w:r>
    </w:p>
    <w:p w:rsidR="009C2767" w:rsidRDefault="009C2767">
      <w:pPr>
        <w:keepLines w:val="0"/>
        <w:spacing w:before="0" w:after="0"/>
      </w:pPr>
      <w:r>
        <w:br w:type="page"/>
      </w:r>
    </w:p>
    <w:p w:rsidR="00C62088" w:rsidRDefault="00C62088" w:rsidP="009C2767">
      <w:r>
        <w:t>T</w:t>
      </w:r>
      <w:r w:rsidRPr="00B541AC">
        <w:t xml:space="preserve">he </w:t>
      </w:r>
      <w:r>
        <w:t xml:space="preserve">United Nations </w:t>
      </w:r>
      <w:r w:rsidRPr="00B541AC">
        <w:t>Committee on the Rights of the Child</w:t>
      </w:r>
      <w:r>
        <w:t xml:space="preserve"> has emphasised the need for support for young parents and their children, in light of their particular vulnerability.</w:t>
      </w:r>
      <w:r w:rsidRPr="00B541AC">
        <w:t xml:space="preserve"> </w:t>
      </w:r>
      <w:r>
        <w:t>In its General Comment on the implementation of the rights of the child during adolescence, t</w:t>
      </w:r>
      <w:r w:rsidRPr="00B541AC">
        <w:t xml:space="preserve">he </w:t>
      </w:r>
      <w:r w:rsidR="004260FB">
        <w:t>United Nations Committee on the Rights of the Child</w:t>
      </w:r>
      <w:r w:rsidRPr="00B541AC">
        <w:t xml:space="preserve"> </w:t>
      </w:r>
      <w:r>
        <w:t>has</w:t>
      </w:r>
      <w:r w:rsidRPr="00B541AC">
        <w:t xml:space="preserve"> </w:t>
      </w:r>
      <w:r w:rsidR="009C2767">
        <w:t>commented that:</w:t>
      </w:r>
    </w:p>
    <w:p w:rsidR="00C62088" w:rsidRPr="00E65B92" w:rsidRDefault="00C62088" w:rsidP="00C62088">
      <w:pPr>
        <w:spacing w:before="0" w:after="0"/>
        <w:ind w:left="720"/>
        <w:rPr>
          <w:rFonts w:cs="Arial"/>
          <w:sz w:val="22"/>
          <w:szCs w:val="22"/>
        </w:rPr>
      </w:pPr>
      <w:r w:rsidRPr="005E48C3">
        <w:rPr>
          <w:rFonts w:cs="Arial"/>
          <w:sz w:val="22"/>
          <w:szCs w:val="22"/>
        </w:rPr>
        <w:t xml:space="preserve">Articles 24 and 27 of the </w:t>
      </w:r>
      <w:r>
        <w:rPr>
          <w:rFonts w:cs="Arial"/>
          <w:sz w:val="22"/>
          <w:szCs w:val="22"/>
        </w:rPr>
        <w:t>Convention</w:t>
      </w:r>
      <w:r w:rsidRPr="005E48C3">
        <w:rPr>
          <w:rFonts w:cs="Arial"/>
          <w:sz w:val="22"/>
          <w:szCs w:val="22"/>
        </w:rPr>
        <w:t xml:space="preserve"> require that adolescent parents and caregivers be provided with basic knowledge of child health, nutrition and breastfeeding, and appropriate support to assist them in fulfilling their responsibilities towards the children they are responsible for and, when needed, material assistance with regard to nutrition, clothing and housing. Adolescent caregivers need extra support in order to enjoy their rights to education, play and participation. In particular, States should introduce social protection interventions at key stages of the life cycle and respond to the specific requirements of adolescent caregivers.</w:t>
      </w:r>
      <w:r w:rsidRPr="00CA6163">
        <w:rPr>
          <w:rStyle w:val="Rimandonotadichiusura"/>
        </w:rPr>
        <w:endnoteReference w:id="229"/>
      </w:r>
    </w:p>
    <w:p w:rsidR="00C62088" w:rsidRDefault="00C62088" w:rsidP="009C2767">
      <w:r>
        <w:t xml:space="preserve">Under the </w:t>
      </w:r>
      <w:r w:rsidRPr="00B541AC">
        <w:t xml:space="preserve">CRC and the </w:t>
      </w:r>
      <w:r w:rsidRPr="009433A7">
        <w:rPr>
          <w:i/>
        </w:rPr>
        <w:t>International Covenant on Economic</w:t>
      </w:r>
      <w:r>
        <w:rPr>
          <w:i/>
        </w:rPr>
        <w:t>,</w:t>
      </w:r>
      <w:r w:rsidRPr="009433A7">
        <w:rPr>
          <w:i/>
        </w:rPr>
        <w:t xml:space="preserve"> Social and Cultural Rights</w:t>
      </w:r>
      <w:r w:rsidRPr="006E65A0">
        <w:t xml:space="preserve"> </w:t>
      </w:r>
      <w:r w:rsidRPr="009433A7">
        <w:t>(ICESCR)</w:t>
      </w:r>
      <w:r>
        <w:t>,</w:t>
      </w:r>
      <w:r w:rsidRPr="00B541AC">
        <w:rPr>
          <w:b/>
        </w:rPr>
        <w:t xml:space="preserve"> </w:t>
      </w:r>
      <w:r>
        <w:t xml:space="preserve">young parents and their children have the right to </w:t>
      </w:r>
      <w:r w:rsidRPr="00B541AC">
        <w:t xml:space="preserve">accessible education, enjoyment of the highest attainable standard of health, </w:t>
      </w:r>
      <w:r>
        <w:t xml:space="preserve">an </w:t>
      </w:r>
      <w:r w:rsidRPr="00B541AC">
        <w:t>adequate standard of living</w:t>
      </w:r>
      <w:r>
        <w:t>,</w:t>
      </w:r>
      <w:r w:rsidRPr="00B541AC">
        <w:t xml:space="preserve"> and assistance in the performance of their child-rearing responsibilities.</w:t>
      </w:r>
      <w:r w:rsidRPr="00CA6163">
        <w:rPr>
          <w:rStyle w:val="Rimandonotadichiusura"/>
        </w:rPr>
        <w:endnoteReference w:id="230"/>
      </w:r>
      <w:r w:rsidRPr="00B541AC">
        <w:t xml:space="preserve"> </w:t>
      </w:r>
    </w:p>
    <w:p w:rsidR="00EE607C" w:rsidRPr="00021DD2" w:rsidRDefault="00C62088" w:rsidP="009C2767">
      <w:r w:rsidRPr="00B541AC">
        <w:t xml:space="preserve">As a </w:t>
      </w:r>
      <w:r>
        <w:t>party</w:t>
      </w:r>
      <w:r w:rsidRPr="00B541AC">
        <w:t xml:space="preserve"> to the</w:t>
      </w:r>
      <w:r>
        <w:t>se treaties</w:t>
      </w:r>
      <w:r w:rsidRPr="00B541AC">
        <w:t xml:space="preserve">, the Australian Government must respect and ensure these rights to all young parents and their children, as well as pregnant </w:t>
      </w:r>
      <w:r>
        <w:t>girls</w:t>
      </w:r>
      <w:r w:rsidRPr="00B541AC">
        <w:t>, within Australia, without discrimination of any kind.</w:t>
      </w:r>
      <w:r w:rsidRPr="003840E6">
        <w:rPr>
          <w:rStyle w:val="Rimandonotadichiusura"/>
          <w:rFonts w:cs="Arial"/>
        </w:rPr>
        <w:endnoteReference w:id="231"/>
      </w:r>
      <w:r w:rsidRPr="00B541AC">
        <w:t xml:space="preserve"> The Australian Government must take</w:t>
      </w:r>
      <w:r>
        <w:t xml:space="preserve"> </w:t>
      </w:r>
      <w:r w:rsidRPr="00B541AC">
        <w:t>appropriate measures to ensure that children are protected against all forms of discrimination on the basis of the child’s status, or the status of the child’s parents.</w:t>
      </w:r>
      <w:r w:rsidRPr="003840E6">
        <w:rPr>
          <w:rStyle w:val="Rimandonotadichiusura"/>
          <w:rFonts w:cs="Arial"/>
        </w:rPr>
        <w:endnoteReference w:id="232"/>
      </w:r>
    </w:p>
    <w:p w:rsidR="00EE607C" w:rsidRPr="00021DD2" w:rsidRDefault="00C62088" w:rsidP="00C62088">
      <w:pPr>
        <w:pStyle w:val="Titolo3"/>
      </w:pPr>
      <w:bookmarkStart w:id="94" w:name="_Toc500308786"/>
      <w:r>
        <w:t>Education</w:t>
      </w:r>
      <w:bookmarkEnd w:id="94"/>
    </w:p>
    <w:p w:rsidR="00C62088" w:rsidRPr="00B541AC" w:rsidRDefault="00C62088" w:rsidP="009C2767">
      <w:r w:rsidRPr="00B541AC">
        <w:t>All children, including those who are parents or are pregnant, have the right to universal, quality and inclusive education and training, pursuant to articles 28 and 29 of the CRC.</w:t>
      </w:r>
      <w:r w:rsidRPr="003840E6">
        <w:rPr>
          <w:rStyle w:val="Rimandonotadichiusura"/>
          <w:rFonts w:cs="Arial"/>
        </w:rPr>
        <w:endnoteReference w:id="233"/>
      </w:r>
      <w:r w:rsidRPr="00B541AC">
        <w:t xml:space="preserve"> </w:t>
      </w:r>
      <w:r>
        <w:t>S</w:t>
      </w:r>
      <w:r w:rsidRPr="00B541AC">
        <w:t>econdary education must be available and accessible to all.</w:t>
      </w:r>
      <w:r w:rsidRPr="003840E6">
        <w:rPr>
          <w:rStyle w:val="Rimandonotadichiusura"/>
          <w:rFonts w:cs="Arial"/>
        </w:rPr>
        <w:endnoteReference w:id="234"/>
      </w:r>
      <w:r w:rsidRPr="00B541AC">
        <w:t xml:space="preserve"> The Committee on the Rights of the Child notes that education is ‘the single most important policy investment that States can make to ensure the immediate and long</w:t>
      </w:r>
      <w:r>
        <w:t xml:space="preserve"> </w:t>
      </w:r>
      <w:r w:rsidRPr="00B541AC">
        <w:t>term development of adolescents’.</w:t>
      </w:r>
      <w:r w:rsidRPr="00B541AC">
        <w:rPr>
          <w:rStyle w:val="Rimandonotadichiusura"/>
          <w:rFonts w:cs="Arial"/>
        </w:rPr>
        <w:endnoteReference w:id="235"/>
      </w:r>
      <w:r w:rsidRPr="00B541AC">
        <w:t xml:space="preserve"> </w:t>
      </w:r>
      <w:r>
        <w:t>L</w:t>
      </w:r>
      <w:r w:rsidRPr="00B541AC">
        <w:t>ow levels of educational attainment affect long</w:t>
      </w:r>
      <w:r>
        <w:t xml:space="preserve"> </w:t>
      </w:r>
      <w:r w:rsidRPr="00B541AC">
        <w:t>term employment prospects and living standards for young mothers.</w:t>
      </w:r>
      <w:r w:rsidRPr="00B541AC">
        <w:rPr>
          <w:rStyle w:val="Rimandonotadichiusura"/>
          <w:rFonts w:cs="Arial"/>
        </w:rPr>
        <w:endnoteReference w:id="236"/>
      </w:r>
      <w:r>
        <w:t xml:space="preserve"> </w:t>
      </w:r>
    </w:p>
    <w:p w:rsidR="00C62088" w:rsidRDefault="00C62088" w:rsidP="009C2767">
      <w:r w:rsidRPr="00B541AC">
        <w:t xml:space="preserve">The Committee on the Rights of the Child has </w:t>
      </w:r>
      <w:r>
        <w:t xml:space="preserve">also </w:t>
      </w:r>
      <w:r w:rsidRPr="00B541AC">
        <w:t>noted that the exclusion of pregnant school</w:t>
      </w:r>
      <w:r>
        <w:t xml:space="preserve"> </w:t>
      </w:r>
      <w:r w:rsidRPr="00B541AC">
        <w:t>girls and young mothers</w:t>
      </w:r>
      <w:r>
        <w:t xml:space="preserve"> from school </w:t>
      </w:r>
      <w:r w:rsidRPr="00B541AC">
        <w:t>is discriminatory</w:t>
      </w:r>
      <w:r>
        <w:t>.</w:t>
      </w:r>
      <w:r w:rsidRPr="00B541AC">
        <w:rPr>
          <w:rStyle w:val="Rimandonotadichiusura"/>
          <w:rFonts w:cs="Arial"/>
          <w:color w:val="000000"/>
        </w:rPr>
        <w:endnoteReference w:id="237"/>
      </w:r>
      <w:r w:rsidRPr="00B541AC">
        <w:t xml:space="preserve"> </w:t>
      </w:r>
      <w:r w:rsidR="003B44C3">
        <w:t>It</w:t>
      </w:r>
      <w:r w:rsidRPr="00B541AC">
        <w:t xml:space="preserve"> </w:t>
      </w:r>
      <w:r>
        <w:rPr>
          <w:color w:val="000000"/>
        </w:rPr>
        <w:t>recommend</w:t>
      </w:r>
      <w:r w:rsidR="003B44C3">
        <w:rPr>
          <w:color w:val="000000"/>
        </w:rPr>
        <w:t>s</w:t>
      </w:r>
      <w:r>
        <w:rPr>
          <w:color w:val="000000"/>
        </w:rPr>
        <w:t xml:space="preserve"> that</w:t>
      </w:r>
      <w:r w:rsidRPr="00B541AC">
        <w:rPr>
          <w:color w:val="000000"/>
        </w:rPr>
        <w:t xml:space="preserve"> State</w:t>
      </w:r>
      <w:r>
        <w:rPr>
          <w:color w:val="000000"/>
        </w:rPr>
        <w:t>s</w:t>
      </w:r>
      <w:r w:rsidRPr="00B541AC">
        <w:rPr>
          <w:color w:val="000000"/>
        </w:rPr>
        <w:t xml:space="preserve"> Parties</w:t>
      </w:r>
      <w:r>
        <w:rPr>
          <w:color w:val="000000"/>
        </w:rPr>
        <w:t xml:space="preserve"> introduce comprehensive and proactive measures to ensure that young mothers and pregnant girls can participate in school or have opportunities to complete their education if they have left.</w:t>
      </w:r>
      <w:r w:rsidRPr="00CA6163">
        <w:rPr>
          <w:rStyle w:val="Rimandonotadichiusura"/>
        </w:rPr>
        <w:endnoteReference w:id="238"/>
      </w:r>
      <w:r w:rsidRPr="00B541AC">
        <w:t xml:space="preserve"> </w:t>
      </w:r>
    </w:p>
    <w:p w:rsidR="00EE607C" w:rsidRDefault="00C62088" w:rsidP="009C2767">
      <w:r w:rsidRPr="006E65A0">
        <w:t xml:space="preserve">The </w:t>
      </w:r>
      <w:r w:rsidRPr="00415F9B">
        <w:rPr>
          <w:i/>
        </w:rPr>
        <w:t xml:space="preserve">Convention on the Elimination of All Forms of Discrimination against Women </w:t>
      </w:r>
      <w:r w:rsidRPr="00415F9B">
        <w:t>(CEDAW)</w:t>
      </w:r>
      <w:r>
        <w:rPr>
          <w:b/>
        </w:rPr>
        <w:t xml:space="preserve"> </w:t>
      </w:r>
      <w:r>
        <w:t>also</w:t>
      </w:r>
      <w:r w:rsidRPr="0070157A">
        <w:rPr>
          <w:b/>
        </w:rPr>
        <w:t xml:space="preserve"> </w:t>
      </w:r>
      <w:r w:rsidRPr="0070157A">
        <w:t>requires</w:t>
      </w:r>
      <w:r w:rsidRPr="000760B9">
        <w:t xml:space="preserve"> </w:t>
      </w:r>
      <w:r w:rsidRPr="00F648DB">
        <w:t>appropriate measures to</w:t>
      </w:r>
      <w:r>
        <w:t xml:space="preserve"> be taken in order to</w:t>
      </w:r>
      <w:r w:rsidRPr="00F648DB">
        <w:t xml:space="preserve"> ensure </w:t>
      </w:r>
      <w:r>
        <w:t xml:space="preserve">equal access to </w:t>
      </w:r>
      <w:r w:rsidRPr="00F648DB">
        <w:t>education</w:t>
      </w:r>
      <w:r>
        <w:t xml:space="preserve"> for women and girls, including </w:t>
      </w:r>
      <w:r w:rsidRPr="00F648DB">
        <w:t>opportunities for access to continuing education</w:t>
      </w:r>
      <w:r>
        <w:t xml:space="preserve"> programs.</w:t>
      </w:r>
      <w:r>
        <w:rPr>
          <w:rStyle w:val="Rimandonotadichiusura"/>
          <w:rFonts w:cs="Arial"/>
        </w:rPr>
        <w:endnoteReference w:id="239"/>
      </w:r>
      <w:r>
        <w:t xml:space="preserve"> The United Nations Committee on the Elimination of Discrimination Against Women has recognised that female student drop-out rates are often a result of premature pregnancy.</w:t>
      </w:r>
      <w:r>
        <w:rPr>
          <w:rStyle w:val="Rimandonotadichiusura"/>
          <w:rFonts w:cs="Arial"/>
          <w:szCs w:val="22"/>
        </w:rPr>
        <w:endnoteReference w:id="240"/>
      </w:r>
      <w:r>
        <w:t xml:space="preserve"> CEDAW specifically requires States Parties to take measures to reduce</w:t>
      </w:r>
      <w:r w:rsidRPr="00F648DB">
        <w:t xml:space="preserve"> female</w:t>
      </w:r>
      <w:r>
        <w:t xml:space="preserve"> student drop-out rates, and to organise program</w:t>
      </w:r>
      <w:r w:rsidRPr="00F648DB">
        <w:t>s for girls w</w:t>
      </w:r>
      <w:r>
        <w:t>ho have left school prematurely.</w:t>
      </w:r>
      <w:r>
        <w:rPr>
          <w:rStyle w:val="Rimandonotadichiusura"/>
          <w:rFonts w:cs="Arial"/>
        </w:rPr>
        <w:endnoteReference w:id="241"/>
      </w:r>
      <w:r>
        <w:t xml:space="preserve"> </w:t>
      </w:r>
    </w:p>
    <w:p w:rsidR="00C62088" w:rsidRPr="00E224A3" w:rsidRDefault="00C62088" w:rsidP="00E224A3">
      <w:pPr>
        <w:pStyle w:val="Titolo3"/>
      </w:pPr>
      <w:bookmarkStart w:id="95" w:name="_Toc500308787"/>
      <w:r>
        <w:t>Survival and development</w:t>
      </w:r>
      <w:bookmarkEnd w:id="95"/>
    </w:p>
    <w:p w:rsidR="006F424A" w:rsidRDefault="006F424A" w:rsidP="009C2767">
      <w:r>
        <w:t>Under article 6 of the CRC, States Parties</w:t>
      </w:r>
      <w:r w:rsidRPr="003840E6">
        <w:t xml:space="preserve"> </w:t>
      </w:r>
      <w:r>
        <w:t>must</w:t>
      </w:r>
      <w:r w:rsidRPr="003840E6">
        <w:t xml:space="preserve"> ensure the survival and development of all children to the maximum extent possible.</w:t>
      </w:r>
      <w:r w:rsidRPr="003840E6">
        <w:rPr>
          <w:rStyle w:val="Rimandonotadichiusura"/>
          <w:rFonts w:cs="Arial"/>
        </w:rPr>
        <w:endnoteReference w:id="242"/>
      </w:r>
      <w:r w:rsidRPr="003840E6">
        <w:t xml:space="preserve"> The ICESCR also requires </w:t>
      </w:r>
      <w:r>
        <w:t>States Parties</w:t>
      </w:r>
      <w:r w:rsidRPr="003840E6">
        <w:t xml:space="preserve"> to take steps</w:t>
      </w:r>
      <w:r>
        <w:t xml:space="preserve"> to ensure</w:t>
      </w:r>
      <w:r w:rsidRPr="003840E6">
        <w:t xml:space="preserve"> the healthy development of the child.</w:t>
      </w:r>
      <w:r>
        <w:rPr>
          <w:rStyle w:val="Rimandonotadichiusura"/>
          <w:rFonts w:cs="Arial"/>
        </w:rPr>
        <w:endnoteReference w:id="243"/>
      </w:r>
      <w:r w:rsidRPr="003840E6">
        <w:t xml:space="preserve"> To this end, </w:t>
      </w:r>
      <w:r>
        <w:t>States Parties</w:t>
      </w:r>
      <w:r w:rsidRPr="003840E6">
        <w:t xml:space="preserve"> must create ‘an environment that ensures the holistic development of every child’.</w:t>
      </w:r>
      <w:r w:rsidRPr="003840E6">
        <w:rPr>
          <w:rStyle w:val="Rimandonotadichiusura"/>
          <w:rFonts w:cs="Arial"/>
        </w:rPr>
        <w:endnoteReference w:id="244"/>
      </w:r>
      <w:r w:rsidRPr="003840E6">
        <w:t xml:space="preserve"> Full respect for the survival and development of the child must also be ensured in the assessment and determination of the child’s best interests.</w:t>
      </w:r>
      <w:r w:rsidRPr="003840E6">
        <w:rPr>
          <w:rStyle w:val="Rimandonotadichiusura"/>
          <w:rFonts w:cs="Arial"/>
        </w:rPr>
        <w:endnoteReference w:id="245"/>
      </w:r>
    </w:p>
    <w:p w:rsidR="006F424A" w:rsidRPr="009C2767" w:rsidRDefault="006F424A" w:rsidP="009C2767">
      <w:r w:rsidRPr="003840E6">
        <w:t xml:space="preserve">The Committee on the Rights of the Child in its </w:t>
      </w:r>
      <w:r>
        <w:t>G</w:t>
      </w:r>
      <w:r w:rsidRPr="003840E6">
        <w:t xml:space="preserve">eneral </w:t>
      </w:r>
      <w:r>
        <w:t>C</w:t>
      </w:r>
      <w:r w:rsidRPr="003840E6">
        <w:t>omment on the implementation of the rights of the child dur</w:t>
      </w:r>
      <w:r w:rsidR="009C2767">
        <w:t>ing adolescence has noted that:</w:t>
      </w:r>
    </w:p>
    <w:p w:rsidR="006F424A" w:rsidRPr="009C2767" w:rsidRDefault="006F424A" w:rsidP="009C2767">
      <w:pPr>
        <w:spacing w:before="0" w:after="0"/>
        <w:ind w:left="720"/>
        <w:rPr>
          <w:rFonts w:cs="Arial"/>
          <w:sz w:val="22"/>
          <w:szCs w:val="22"/>
          <w:vertAlign w:val="superscript"/>
        </w:rPr>
      </w:pPr>
      <w:r w:rsidRPr="000760B9">
        <w:rPr>
          <w:rFonts w:cs="Arial"/>
          <w:sz w:val="22"/>
          <w:szCs w:val="22"/>
        </w:rPr>
        <w:t>[T]he foundations laid down during adolescence in terms of emotional security, health, sexuality, education, skills, resilience and understanding of rights will have profound implications, not only for their individual optimum development, but also for present and future social and economic development.</w:t>
      </w:r>
      <w:r w:rsidRPr="000760B9">
        <w:rPr>
          <w:rFonts w:cs="Arial"/>
          <w:sz w:val="22"/>
          <w:szCs w:val="22"/>
          <w:vertAlign w:val="superscript"/>
        </w:rPr>
        <w:endnoteReference w:id="246"/>
      </w:r>
    </w:p>
    <w:p w:rsidR="00C62088" w:rsidRDefault="006F424A" w:rsidP="009C2767">
      <w:r w:rsidRPr="003840E6">
        <w:t>Policies designed for children who are parents or pregnant must support the healthy development of the parent and child to the maximum extent possible.</w:t>
      </w:r>
      <w:r w:rsidRPr="00CA6163">
        <w:rPr>
          <w:rStyle w:val="Rimandonotadichiusura"/>
        </w:rPr>
        <w:endnoteReference w:id="247"/>
      </w:r>
      <w:r w:rsidRPr="003840E6">
        <w:t xml:space="preserve"> </w:t>
      </w:r>
    </w:p>
    <w:p w:rsidR="006F424A" w:rsidRDefault="006F424A" w:rsidP="006F424A">
      <w:pPr>
        <w:pStyle w:val="Titolo3"/>
      </w:pPr>
      <w:bookmarkStart w:id="96" w:name="_Toc500308788"/>
      <w:r>
        <w:t>Health care</w:t>
      </w:r>
      <w:bookmarkEnd w:id="96"/>
    </w:p>
    <w:p w:rsidR="006F424A" w:rsidRDefault="006F424A" w:rsidP="009C2767">
      <w:r w:rsidRPr="00B541AC">
        <w:t xml:space="preserve">All children, including young parents and their children, and pregnant </w:t>
      </w:r>
      <w:r>
        <w:t>girls</w:t>
      </w:r>
      <w:r w:rsidRPr="00B541AC">
        <w:t>, have the right to enjoy the highest attainable standard of health</w:t>
      </w:r>
      <w:r>
        <w:t>, in accordance with article 24 of the CRC</w:t>
      </w:r>
      <w:r w:rsidRPr="00B541AC">
        <w:t>.</w:t>
      </w:r>
      <w:r w:rsidRPr="003840E6">
        <w:rPr>
          <w:rStyle w:val="Rimandonotadichiusura"/>
          <w:rFonts w:cs="Arial"/>
        </w:rPr>
        <w:endnoteReference w:id="248"/>
      </w:r>
      <w:r w:rsidRPr="00B541AC">
        <w:t xml:space="preserve"> In facilitating the right to health of young parents, </w:t>
      </w:r>
      <w:r>
        <w:t>States Parties</w:t>
      </w:r>
      <w:r w:rsidRPr="00B541AC">
        <w:t xml:space="preserve"> ha</w:t>
      </w:r>
      <w:r>
        <w:t>ve</w:t>
      </w:r>
      <w:r w:rsidRPr="00B541AC">
        <w:t xml:space="preserve"> specific obligations to ensure access to sexual, pre</w:t>
      </w:r>
      <w:r>
        <w:t>-</w:t>
      </w:r>
      <w:r w:rsidRPr="00B541AC">
        <w:t xml:space="preserve"> and post-natal health</w:t>
      </w:r>
      <w:r>
        <w:t xml:space="preserve"> </w:t>
      </w:r>
      <w:r w:rsidRPr="00B541AC">
        <w:t>care</w:t>
      </w:r>
      <w:r>
        <w:t>,</w:t>
      </w:r>
      <w:r w:rsidRPr="00B541AC">
        <w:t xml:space="preserve"> and to provide guidance to young parents in the form of family planning education and services.</w:t>
      </w:r>
      <w:r w:rsidRPr="003840E6">
        <w:rPr>
          <w:rStyle w:val="Rimandonotadichiusura"/>
          <w:rFonts w:cs="Arial"/>
          <w:color w:val="000000"/>
        </w:rPr>
        <w:endnoteReference w:id="249"/>
      </w:r>
      <w:r>
        <w:t xml:space="preserve"> </w:t>
      </w:r>
    </w:p>
    <w:p w:rsidR="006F424A" w:rsidRPr="009C2767" w:rsidRDefault="006F424A" w:rsidP="009C2767">
      <w:r w:rsidRPr="00B541AC">
        <w:t xml:space="preserve">The Committee on the Rights of the Child has emphasised the importance of providing access to health services </w:t>
      </w:r>
      <w:r>
        <w:t>that</w:t>
      </w:r>
      <w:r w:rsidRPr="00B541AC">
        <w:t xml:space="preserve"> are sensitive to the particular rights and needs of young mothers.</w:t>
      </w:r>
      <w:r>
        <w:rPr>
          <w:rStyle w:val="Rimandonotadichiusura"/>
          <w:rFonts w:cs="Arial"/>
        </w:rPr>
        <w:endnoteReference w:id="250"/>
      </w:r>
      <w:r w:rsidRPr="00B541AC">
        <w:t xml:space="preserve"> This includes access to counselling and pre-conception care as well as general maternal health services.</w:t>
      </w:r>
      <w:r w:rsidRPr="000911E3">
        <w:rPr>
          <w:rStyle w:val="Rimandonotadichiusura"/>
        </w:rPr>
        <w:endnoteReference w:id="251"/>
      </w:r>
      <w:r w:rsidRPr="00B541AC">
        <w:t xml:space="preserve"> The Committee recommends the adoption of comprehensive </w:t>
      </w:r>
      <w:r>
        <w:t>sexuality and gender</w:t>
      </w:r>
      <w:r w:rsidRPr="00B541AC">
        <w:t>-sensitive sexual and reproductive health policies for adolescents</w:t>
      </w:r>
      <w:r w:rsidRPr="00B541AC">
        <w:rPr>
          <w:vertAlign w:val="superscript"/>
        </w:rPr>
        <w:endnoteReference w:id="252"/>
      </w:r>
      <w:r w:rsidRPr="00AC65EB">
        <w:t xml:space="preserve"> </w:t>
      </w:r>
      <w:r w:rsidRPr="00B541AC">
        <w:rPr>
          <w:lang w:val="en-GB"/>
        </w:rPr>
        <w:t>to assist them in making autonomous and informed decisions on their reproductive health.</w:t>
      </w:r>
      <w:r w:rsidRPr="00B541AC">
        <w:rPr>
          <w:rStyle w:val="Rimandonotadichiusura"/>
          <w:rFonts w:cs="Arial"/>
          <w:color w:val="000000"/>
        </w:rPr>
        <w:endnoteReference w:id="253"/>
      </w:r>
      <w:r w:rsidRPr="00B541AC">
        <w:rPr>
          <w:lang w:val="en-GB"/>
        </w:rPr>
        <w:t xml:space="preserve"> </w:t>
      </w:r>
      <w:r w:rsidRPr="00B541AC">
        <w:t>The Committee urges State</w:t>
      </w:r>
      <w:r>
        <w:t>s</w:t>
      </w:r>
      <w:r w:rsidRPr="00B541AC">
        <w:t xml:space="preserve"> Parties: </w:t>
      </w:r>
    </w:p>
    <w:p w:rsidR="006F424A" w:rsidRPr="009C2767" w:rsidRDefault="006F424A" w:rsidP="009C2767">
      <w:pPr>
        <w:autoSpaceDE w:val="0"/>
        <w:autoSpaceDN w:val="0"/>
        <w:adjustRightInd w:val="0"/>
        <w:spacing w:before="0" w:after="0"/>
        <w:ind w:left="720"/>
        <w:rPr>
          <w:rFonts w:cs="Arial"/>
          <w:color w:val="000000"/>
          <w:sz w:val="22"/>
          <w:szCs w:val="22"/>
        </w:rPr>
      </w:pPr>
      <w:r w:rsidRPr="000760B9">
        <w:rPr>
          <w:rFonts w:cs="Arial"/>
          <w:color w:val="000000"/>
          <w:sz w:val="22"/>
          <w:szCs w:val="22"/>
        </w:rPr>
        <w:t>(a) to develop and implement programmes that provide access to sexual and reproductive health services, including family planning, contraception and safe abortion services</w:t>
      </w:r>
      <w:r>
        <w:rPr>
          <w:rFonts w:cs="Arial"/>
          <w:color w:val="000000"/>
          <w:sz w:val="22"/>
          <w:szCs w:val="22"/>
        </w:rPr>
        <w:t xml:space="preserve"> where abortion is not against the law, </w:t>
      </w:r>
      <w:r w:rsidRPr="000760B9">
        <w:rPr>
          <w:rFonts w:cs="Arial"/>
          <w:color w:val="000000"/>
          <w:sz w:val="22"/>
          <w:szCs w:val="22"/>
        </w:rPr>
        <w:t>adequate and comprehensive obstetric care and counselling; [and] (b) to foster positive and supportive attitudes towards adolescent parenthood for their mothers and fathers</w:t>
      </w:r>
      <w:r>
        <w:rPr>
          <w:rFonts w:cs="Arial"/>
          <w:color w:val="000000"/>
          <w:sz w:val="22"/>
          <w:szCs w:val="22"/>
        </w:rPr>
        <w:t>.</w:t>
      </w:r>
      <w:r w:rsidRPr="000760B9">
        <w:rPr>
          <w:rFonts w:cs="Arial"/>
          <w:sz w:val="22"/>
          <w:szCs w:val="22"/>
          <w:vertAlign w:val="superscript"/>
        </w:rPr>
        <w:endnoteReference w:id="254"/>
      </w:r>
      <w:r w:rsidRPr="000760B9">
        <w:rPr>
          <w:rFonts w:cs="Arial"/>
          <w:sz w:val="22"/>
          <w:szCs w:val="22"/>
        </w:rPr>
        <w:t xml:space="preserve"> </w:t>
      </w:r>
    </w:p>
    <w:p w:rsidR="006F424A" w:rsidRDefault="006F424A" w:rsidP="009C2767">
      <w:r w:rsidRPr="00B541AC">
        <w:t>The right to health, the best interests of the child and the right to information</w:t>
      </w:r>
      <w:r w:rsidRPr="003840E6">
        <w:rPr>
          <w:rStyle w:val="Rimandonotadichiusura"/>
          <w:rFonts w:cs="Arial"/>
        </w:rPr>
        <w:endnoteReference w:id="255"/>
      </w:r>
      <w:r w:rsidRPr="00B541AC">
        <w:t xml:space="preserve"> also require that adolescents are provided ‘with access to sexual and reproductive information, including on family planning and contraceptives, [and] the dangers of early pregnancy’.</w:t>
      </w:r>
      <w:r w:rsidRPr="000911E3">
        <w:rPr>
          <w:rStyle w:val="Rimandonotadichiusura"/>
        </w:rPr>
        <w:endnoteReference w:id="256"/>
      </w:r>
      <w:r w:rsidRPr="00B541AC">
        <w:t xml:space="preserve"> The Committee </w:t>
      </w:r>
      <w:r>
        <w:t xml:space="preserve">on the Rights of the Child </w:t>
      </w:r>
      <w:r w:rsidRPr="00B541AC">
        <w:t>notes that unequal access to such information, commodities and services amounts to discrimination.</w:t>
      </w:r>
      <w:r w:rsidRPr="000911E3">
        <w:rPr>
          <w:rStyle w:val="Rimandonotadichiusura"/>
        </w:rPr>
        <w:endnoteReference w:id="257"/>
      </w:r>
      <w:r w:rsidRPr="00B541AC">
        <w:t xml:space="preserve"> It notes that access to sexual and reproductive health services, information and education must be available to all adolescents on a non-discriminatory basis</w:t>
      </w:r>
      <w:r>
        <w:t>,</w:t>
      </w:r>
      <w:r w:rsidRPr="00B541AC">
        <w:t xml:space="preserve"> both online and in person.</w:t>
      </w:r>
      <w:r w:rsidRPr="000911E3">
        <w:rPr>
          <w:rStyle w:val="Rimandonotadichiusura"/>
        </w:rPr>
        <w:endnoteReference w:id="258"/>
      </w:r>
      <w:r w:rsidRPr="00B541AC">
        <w:t xml:space="preserve"> </w:t>
      </w:r>
    </w:p>
    <w:p w:rsidR="001736DA" w:rsidRDefault="001736DA">
      <w:pPr>
        <w:keepLines w:val="0"/>
        <w:spacing w:before="0" w:after="0"/>
        <w:rPr>
          <w:rFonts w:cs="Arial"/>
        </w:rPr>
      </w:pPr>
      <w:r>
        <w:rPr>
          <w:rFonts w:cs="Arial"/>
        </w:rPr>
        <w:br w:type="page"/>
      </w:r>
    </w:p>
    <w:p w:rsidR="006F424A" w:rsidRPr="009C2767" w:rsidRDefault="006F424A" w:rsidP="009C2767">
      <w:r>
        <w:t>CEDAW</w:t>
      </w:r>
      <w:r>
        <w:rPr>
          <w:b/>
        </w:rPr>
        <w:t xml:space="preserve"> </w:t>
      </w:r>
      <w:r>
        <w:t>also requires that States Parties ensure access to health services related to family planning and in connection with pregnancy</w:t>
      </w:r>
      <w:r w:rsidRPr="00BE5697">
        <w:t>,</w:t>
      </w:r>
      <w:r w:rsidRPr="007251DC">
        <w:rPr>
          <w:rStyle w:val="Rimandonotadichiusura"/>
          <w:rFonts w:cs="Arial"/>
        </w:rPr>
        <w:endnoteReference w:id="259"/>
      </w:r>
      <w:r w:rsidRPr="00BE5697">
        <w:t xml:space="preserve"> </w:t>
      </w:r>
      <w:r>
        <w:t>as well as</w:t>
      </w:r>
      <w:r w:rsidRPr="00BE5697">
        <w:t xml:space="preserve"> specific education</w:t>
      </w:r>
      <w:r>
        <w:t>,</w:t>
      </w:r>
      <w:r w:rsidRPr="00BE5697">
        <w:t xml:space="preserve"> information and advice on family planning.</w:t>
      </w:r>
      <w:r w:rsidRPr="007251DC">
        <w:rPr>
          <w:rStyle w:val="Rimandonotadichiusura"/>
          <w:rFonts w:cs="Arial"/>
        </w:rPr>
        <w:endnoteReference w:id="260"/>
      </w:r>
      <w:r w:rsidRPr="00BE5697">
        <w:rPr>
          <w:b/>
          <w:i/>
        </w:rPr>
        <w:t xml:space="preserve"> </w:t>
      </w:r>
      <w:r w:rsidRPr="00BE5697">
        <w:t>The Committee on the Elimination o</w:t>
      </w:r>
      <w:r>
        <w:t>f Discrimination A</w:t>
      </w:r>
      <w:r w:rsidRPr="00BE5697">
        <w:t xml:space="preserve">gainst Women notes that: </w:t>
      </w:r>
    </w:p>
    <w:p w:rsidR="006F424A" w:rsidRPr="007251DC" w:rsidRDefault="006F424A" w:rsidP="006F424A">
      <w:pPr>
        <w:spacing w:before="0" w:after="0"/>
        <w:ind w:left="720"/>
        <w:rPr>
          <w:rFonts w:cs="Arial"/>
          <w:sz w:val="22"/>
          <w:szCs w:val="22"/>
        </w:rPr>
      </w:pPr>
      <w:r w:rsidRPr="007251DC">
        <w:rPr>
          <w:rFonts w:cs="Arial"/>
          <w:sz w:val="22"/>
          <w:szCs w:val="22"/>
        </w:rPr>
        <w:t>In order to make an informed decision about safe and reliable contraceptive measures, women must have information about contraceptive measures and their use, and guaranteed access to sex education and family planning services, as provided in article 10 (h) of the Convention.</w:t>
      </w:r>
      <w:r w:rsidRPr="007251DC">
        <w:rPr>
          <w:rStyle w:val="Rimandonotadichiusura"/>
          <w:rFonts w:cs="Arial"/>
          <w:sz w:val="22"/>
          <w:szCs w:val="22"/>
        </w:rPr>
        <w:endnoteReference w:id="261"/>
      </w:r>
    </w:p>
    <w:p w:rsidR="006F424A" w:rsidRPr="000760B9" w:rsidRDefault="006F424A" w:rsidP="009C2767">
      <w:r w:rsidRPr="000760B9">
        <w:t>The Committee on the Rights of the Child has also commented on the importance of targeting family planning, health</w:t>
      </w:r>
      <w:r>
        <w:t xml:space="preserve"> </w:t>
      </w:r>
      <w:r w:rsidRPr="000760B9">
        <w:t xml:space="preserve">care information and services towards young men. It </w:t>
      </w:r>
      <w:r>
        <w:t>advises</w:t>
      </w:r>
      <w:r w:rsidRPr="000760B9">
        <w:t>:</w:t>
      </w:r>
    </w:p>
    <w:p w:rsidR="006F424A" w:rsidRDefault="006F424A" w:rsidP="006F424A">
      <w:pPr>
        <w:spacing w:before="0" w:after="0"/>
        <w:ind w:left="720"/>
        <w:rPr>
          <w:rFonts w:cs="Arial"/>
          <w:color w:val="000000"/>
        </w:rPr>
      </w:pPr>
      <w:r w:rsidRPr="000760B9">
        <w:rPr>
          <w:rFonts w:cs="Arial"/>
          <w:sz w:val="22"/>
          <w:szCs w:val="22"/>
          <w:lang w:val="en-GB"/>
        </w:rPr>
        <w:t>Taking into account that boys and men are crucial to planning and ensuring healthy pregnancies and deliveries, States should integrate education, awareness and dialogue opportunities for boys and men into their policies and plans for sexual, reproductive and children’s health services.</w:t>
      </w:r>
      <w:r w:rsidRPr="000760B9">
        <w:rPr>
          <w:rStyle w:val="Rimandonotadichiusura"/>
          <w:rFonts w:cs="Arial"/>
          <w:color w:val="000000"/>
          <w:sz w:val="22"/>
          <w:szCs w:val="22"/>
        </w:rPr>
        <w:endnoteReference w:id="262"/>
      </w:r>
    </w:p>
    <w:p w:rsidR="006F424A" w:rsidRDefault="006F424A" w:rsidP="006F424A">
      <w:r w:rsidRPr="00F5014A">
        <w:t>The Committee on Economic, Social and Cultural Rights notes that fulfilling the right to health requires that access to public sexual and reproductive health services is available in rural areas.</w:t>
      </w:r>
      <w:r>
        <w:rPr>
          <w:rStyle w:val="Rimandonotadichiusura"/>
        </w:rPr>
        <w:endnoteReference w:id="263"/>
      </w:r>
      <w:r>
        <w:t xml:space="preserve"> </w:t>
      </w:r>
      <w:r w:rsidRPr="00F5014A">
        <w:t>Article 14 of CEDAW also explicitly requires States Parties to ensure that rural women have the right to access adequate health care facilities, including information, counselling a</w:t>
      </w:r>
      <w:r>
        <w:t>nd services in family planning.</w:t>
      </w:r>
      <w:r>
        <w:rPr>
          <w:rStyle w:val="Rimandonotadichiusura"/>
        </w:rPr>
        <w:endnoteReference w:id="264"/>
      </w:r>
    </w:p>
    <w:p w:rsidR="00C62088" w:rsidRDefault="006F424A" w:rsidP="006F424A">
      <w:pPr>
        <w:pStyle w:val="Titolo3"/>
      </w:pPr>
      <w:bookmarkStart w:id="97" w:name="_Toc500308789"/>
      <w:r>
        <w:t>Adequate standard of living</w:t>
      </w:r>
      <w:bookmarkEnd w:id="97"/>
    </w:p>
    <w:p w:rsidR="006F424A" w:rsidRPr="00B541AC" w:rsidRDefault="006F424A" w:rsidP="006F424A">
      <w:pPr>
        <w:spacing w:before="0" w:after="0"/>
        <w:rPr>
          <w:rFonts w:cs="Arial"/>
        </w:rPr>
      </w:pPr>
      <w:r w:rsidRPr="00B541AC">
        <w:rPr>
          <w:rFonts w:cs="Arial"/>
        </w:rPr>
        <w:t>Article 27 of the CRC guarantees to every child a standard o</w:t>
      </w:r>
      <w:r>
        <w:rPr>
          <w:rFonts w:cs="Arial"/>
        </w:rPr>
        <w:t>f living adequate for the child’</w:t>
      </w:r>
      <w:r w:rsidRPr="00B541AC">
        <w:rPr>
          <w:rFonts w:cs="Arial"/>
        </w:rPr>
        <w:t>s physical, mental, spiritual, moral and social development.</w:t>
      </w:r>
      <w:r w:rsidRPr="003840E6">
        <w:rPr>
          <w:rStyle w:val="Rimandonotadichiusura"/>
          <w:rFonts w:cs="Arial"/>
        </w:rPr>
        <w:endnoteReference w:id="265"/>
      </w:r>
      <w:r w:rsidRPr="00B541AC">
        <w:rPr>
          <w:rFonts w:cs="Arial"/>
        </w:rPr>
        <w:t xml:space="preserve"> The right to an adequate standard of living is also</w:t>
      </w:r>
      <w:r>
        <w:rPr>
          <w:rFonts w:cs="Arial"/>
        </w:rPr>
        <w:t xml:space="preserve"> set out</w:t>
      </w:r>
      <w:r w:rsidRPr="00B541AC">
        <w:rPr>
          <w:rFonts w:cs="Arial"/>
        </w:rPr>
        <w:t xml:space="preserve"> </w:t>
      </w:r>
      <w:r>
        <w:rPr>
          <w:rFonts w:cs="Arial"/>
        </w:rPr>
        <w:t>in</w:t>
      </w:r>
      <w:r w:rsidRPr="00B541AC">
        <w:rPr>
          <w:rFonts w:cs="Arial"/>
        </w:rPr>
        <w:t xml:space="preserve"> the ICESCR, and encompasses the rights to food, water, clothing and housing.</w:t>
      </w:r>
      <w:r w:rsidRPr="003840E6">
        <w:rPr>
          <w:rStyle w:val="Rimandonotadichiusura"/>
          <w:rFonts w:cs="Arial"/>
        </w:rPr>
        <w:endnoteReference w:id="266"/>
      </w:r>
      <w:r w:rsidRPr="00B541AC">
        <w:rPr>
          <w:rFonts w:cs="Arial"/>
        </w:rPr>
        <w:t xml:space="preserve"> </w:t>
      </w:r>
      <w:r>
        <w:rPr>
          <w:rFonts w:cs="Arial"/>
        </w:rPr>
        <w:t>T</w:t>
      </w:r>
      <w:r w:rsidRPr="00B541AC">
        <w:rPr>
          <w:rFonts w:cs="Arial"/>
        </w:rPr>
        <w:t>he CRC expressly requires that material</w:t>
      </w:r>
      <w:r>
        <w:rPr>
          <w:rFonts w:cs="Arial"/>
        </w:rPr>
        <w:t xml:space="preserve"> assistance and support programs </w:t>
      </w:r>
      <w:r w:rsidRPr="00B541AC">
        <w:rPr>
          <w:rFonts w:cs="Arial"/>
        </w:rPr>
        <w:t>are provided to parents where necessary.</w:t>
      </w:r>
      <w:r w:rsidRPr="003840E6">
        <w:rPr>
          <w:rStyle w:val="Rimandonotadichiusura"/>
          <w:rFonts w:cs="Arial"/>
        </w:rPr>
        <w:endnoteReference w:id="267"/>
      </w:r>
    </w:p>
    <w:p w:rsidR="006F424A" w:rsidRPr="003840E6" w:rsidRDefault="006F424A" w:rsidP="006F424A">
      <w:r w:rsidRPr="00B541AC">
        <w:t>The Committee on Economic</w:t>
      </w:r>
      <w:r>
        <w:t>,</w:t>
      </w:r>
      <w:r w:rsidRPr="00B541AC">
        <w:t xml:space="preserve"> Social and Cultural Rights has indicated that the right to housing requires the availability of affordable and accessible housing for all, and requires </w:t>
      </w:r>
      <w:r w:rsidRPr="00B541AC">
        <w:rPr>
          <w:lang w:val="en"/>
        </w:rPr>
        <w:t>governments to develop strategies and policies that prioritise the housing needs of vulnerable groups.</w:t>
      </w:r>
      <w:r w:rsidRPr="00B541AC">
        <w:rPr>
          <w:rStyle w:val="Rimandonotadichiusura"/>
          <w:rFonts w:cs="Arial"/>
        </w:rPr>
        <w:endnoteReference w:id="268"/>
      </w:r>
      <w:r w:rsidRPr="00B541AC">
        <w:rPr>
          <w:lang w:val="en"/>
        </w:rPr>
        <w:t xml:space="preserve"> Accordingly, particular consideration should be given to young parents in order to meet their housing needs, and priority given to young families living in unfavourable or unstable conditions.</w:t>
      </w:r>
      <w:r w:rsidRPr="00B541AC">
        <w:rPr>
          <w:rStyle w:val="Rimandonotadichiusura"/>
          <w:rFonts w:cs="Arial"/>
          <w:lang w:val="en"/>
        </w:rPr>
        <w:endnoteReference w:id="269"/>
      </w:r>
    </w:p>
    <w:p w:rsidR="006F424A" w:rsidRPr="00E224A3" w:rsidRDefault="006F424A" w:rsidP="00E224A3">
      <w:pPr>
        <w:pStyle w:val="Titolo3"/>
      </w:pPr>
      <w:bookmarkStart w:id="98" w:name="_Toc500308790"/>
      <w:r>
        <w:t>Early childhood education and care services</w:t>
      </w:r>
      <w:bookmarkEnd w:id="98"/>
    </w:p>
    <w:p w:rsidR="006F424A" w:rsidRDefault="006F424A" w:rsidP="006F424A">
      <w:pPr>
        <w:spacing w:before="0" w:after="0"/>
        <w:rPr>
          <w:rFonts w:cs="Arial"/>
        </w:rPr>
      </w:pPr>
      <w:r w:rsidRPr="00B541AC">
        <w:rPr>
          <w:rFonts w:cs="Arial"/>
        </w:rPr>
        <w:t>Under</w:t>
      </w:r>
      <w:r>
        <w:rPr>
          <w:rFonts w:cs="Arial"/>
        </w:rPr>
        <w:t xml:space="preserve"> article 18(2) of</w:t>
      </w:r>
      <w:r w:rsidRPr="00B541AC">
        <w:rPr>
          <w:rFonts w:cs="Arial"/>
        </w:rPr>
        <w:t xml:space="preserve"> the CRC, </w:t>
      </w:r>
      <w:r>
        <w:rPr>
          <w:rFonts w:cs="Arial"/>
        </w:rPr>
        <w:t>States Parties</w:t>
      </w:r>
      <w:r w:rsidRPr="00B541AC">
        <w:rPr>
          <w:rFonts w:cs="Arial"/>
        </w:rPr>
        <w:t xml:space="preserve"> must provide appropriate assistance to parents, including young parents, in the performance of their childrearing</w:t>
      </w:r>
      <w:r>
        <w:rPr>
          <w:rFonts w:cs="Arial"/>
        </w:rPr>
        <w:t xml:space="preserve"> </w:t>
      </w:r>
      <w:r w:rsidRPr="00B541AC">
        <w:rPr>
          <w:rFonts w:cs="Arial"/>
        </w:rPr>
        <w:t>responsibilities, and ensure the development of institutions, facilities and services</w:t>
      </w:r>
      <w:r>
        <w:rPr>
          <w:rFonts w:cs="Arial"/>
        </w:rPr>
        <w:t xml:space="preserve"> for the care of children</w:t>
      </w:r>
      <w:r w:rsidRPr="00B541AC">
        <w:rPr>
          <w:rFonts w:cs="Arial"/>
        </w:rPr>
        <w:t>.</w:t>
      </w:r>
      <w:r>
        <w:rPr>
          <w:rStyle w:val="Rimandonotadichiusura"/>
          <w:rFonts w:cs="Arial"/>
        </w:rPr>
        <w:endnoteReference w:id="270"/>
      </w:r>
      <w:r>
        <w:rPr>
          <w:rFonts w:cs="Arial"/>
        </w:rPr>
        <w:t xml:space="preserve"> The Committee on the Rights of the Child has commented that ‘[</w:t>
      </w:r>
      <w:r>
        <w:rPr>
          <w:rFonts w:eastAsia="Batang"/>
          <w:lang w:eastAsia="ko-KR"/>
        </w:rPr>
        <w:t>s]</w:t>
      </w:r>
      <w:r w:rsidRPr="00382035">
        <w:rPr>
          <w:rFonts w:eastAsia="Batang"/>
          <w:lang w:eastAsia="ko-KR"/>
        </w:rPr>
        <w:t xml:space="preserve">pecial measures should be taken to promote community and workplace support </w:t>
      </w:r>
      <w:r>
        <w:rPr>
          <w:rFonts w:eastAsia="Batang"/>
          <w:lang w:eastAsia="ko-KR"/>
        </w:rPr>
        <w:t>for</w:t>
      </w:r>
      <w:r w:rsidRPr="00382035">
        <w:rPr>
          <w:rFonts w:eastAsia="Batang"/>
          <w:lang w:eastAsia="ko-KR"/>
        </w:rPr>
        <w:t xml:space="preserve"> mothers in relation to pregnancy and </w:t>
      </w:r>
      <w:r>
        <w:rPr>
          <w:rFonts w:eastAsia="Batang"/>
          <w:lang w:eastAsia="ko-KR"/>
        </w:rPr>
        <w:t>breastfeeding,</w:t>
      </w:r>
      <w:r w:rsidRPr="00382035">
        <w:rPr>
          <w:rFonts w:eastAsia="Batang"/>
          <w:lang w:eastAsia="ko-KR"/>
        </w:rPr>
        <w:t xml:space="preserve"> and feasible and affordable childcare services</w:t>
      </w:r>
      <w:r>
        <w:rPr>
          <w:rFonts w:eastAsia="Batang"/>
          <w:lang w:eastAsia="ko-KR"/>
        </w:rPr>
        <w:t>’.</w:t>
      </w:r>
      <w:r>
        <w:rPr>
          <w:rStyle w:val="Rimandonotadichiusura"/>
          <w:rFonts w:eastAsia="Batang"/>
          <w:lang w:eastAsia="ko-KR"/>
        </w:rPr>
        <w:endnoteReference w:id="271"/>
      </w:r>
      <w:r>
        <w:rPr>
          <w:rFonts w:cs="Arial"/>
        </w:rPr>
        <w:t xml:space="preserve"> Early childhood education and care</w:t>
      </w:r>
      <w:r w:rsidRPr="00B541AC">
        <w:rPr>
          <w:rFonts w:cs="Arial"/>
        </w:rPr>
        <w:t xml:space="preserve"> support is one special measure </w:t>
      </w:r>
      <w:r>
        <w:rPr>
          <w:rFonts w:cs="Arial"/>
        </w:rPr>
        <w:t>that</w:t>
      </w:r>
      <w:r w:rsidRPr="00B541AC">
        <w:rPr>
          <w:rFonts w:cs="Arial"/>
        </w:rPr>
        <w:t xml:space="preserve"> may influence the ability of young parents to exercise their rights to education</w:t>
      </w:r>
      <w:r>
        <w:rPr>
          <w:rFonts w:cs="Arial"/>
        </w:rPr>
        <w:t>, work and participation</w:t>
      </w:r>
      <w:r w:rsidRPr="00B541AC">
        <w:rPr>
          <w:rFonts w:cs="Arial"/>
        </w:rPr>
        <w:t>.</w:t>
      </w:r>
      <w:r>
        <w:rPr>
          <w:rStyle w:val="Rimandonotadichiusura"/>
          <w:rFonts w:cs="Arial"/>
        </w:rPr>
        <w:endnoteReference w:id="272"/>
      </w:r>
      <w:r>
        <w:rPr>
          <w:rFonts w:cs="Arial"/>
        </w:rPr>
        <w:t xml:space="preserve"> </w:t>
      </w:r>
    </w:p>
    <w:p w:rsidR="006F424A" w:rsidRPr="00FA3078" w:rsidRDefault="006F424A" w:rsidP="009C2767">
      <w:pPr>
        <w:rPr>
          <w:sz w:val="22"/>
          <w:szCs w:val="22"/>
        </w:rPr>
      </w:pPr>
      <w:r>
        <w:t xml:space="preserve">Article 11 of CEDAW requires States Parties to take appropriate measures: </w:t>
      </w:r>
    </w:p>
    <w:p w:rsidR="006F424A" w:rsidRPr="00654AEE" w:rsidRDefault="006F424A" w:rsidP="006F424A">
      <w:pPr>
        <w:ind w:left="720"/>
        <w:rPr>
          <w:b/>
          <w:sz w:val="22"/>
          <w:szCs w:val="22"/>
        </w:rPr>
      </w:pPr>
      <w:r w:rsidRPr="00654AEE">
        <w:rPr>
          <w:sz w:val="22"/>
          <w:szCs w:val="22"/>
        </w:rPr>
        <w:t>To encourage the provision of the necessary supporting social services to enable parents to combine family obligations with work responsibilities and participation in public life, in particular through promoting the establishment and development of a network of child-care facilities.</w:t>
      </w:r>
      <w:r w:rsidRPr="000911E3">
        <w:rPr>
          <w:rStyle w:val="Rimandonotadichiusura"/>
        </w:rPr>
        <w:endnoteReference w:id="273"/>
      </w:r>
    </w:p>
    <w:p w:rsidR="006F424A" w:rsidRDefault="006F424A" w:rsidP="006F424A">
      <w:pPr>
        <w:pStyle w:val="Titolo3"/>
      </w:pPr>
      <w:bookmarkStart w:id="99" w:name="_Toc500308791"/>
      <w:r>
        <w:t>Indigenous parents and their children</w:t>
      </w:r>
      <w:bookmarkEnd w:id="99"/>
    </w:p>
    <w:p w:rsidR="006F424A" w:rsidRPr="00B541AC" w:rsidRDefault="006F424A" w:rsidP="009C2767">
      <w:r w:rsidRPr="00B541AC">
        <w:t>The Committee on Economic, Social and Cultural Rights notes that under ICESCR, ‘indigenous peoples have the right to specific measures to improve their access to health services and care</w:t>
      </w:r>
      <w:r>
        <w:t>’.</w:t>
      </w:r>
      <w:r w:rsidRPr="003840E6">
        <w:rPr>
          <w:rStyle w:val="Rimandonotadichiusura"/>
          <w:rFonts w:cs="Arial"/>
          <w:color w:val="000000"/>
        </w:rPr>
        <w:endnoteReference w:id="274"/>
      </w:r>
      <w:r w:rsidRPr="00B541AC">
        <w:t xml:space="preserve"> </w:t>
      </w:r>
    </w:p>
    <w:p w:rsidR="006F424A" w:rsidRDefault="006F424A" w:rsidP="009C2767">
      <w:r w:rsidRPr="00B541AC">
        <w:t>The Committee on the Rights of the Child has commented that steps should be taken to ensure the ease of access to health</w:t>
      </w:r>
      <w:r>
        <w:t xml:space="preserve"> </w:t>
      </w:r>
      <w:r w:rsidRPr="00B541AC">
        <w:t xml:space="preserve">care services </w:t>
      </w:r>
      <w:r>
        <w:t>by I</w:t>
      </w:r>
      <w:r w:rsidRPr="00B541AC">
        <w:t>ndigenous children.</w:t>
      </w:r>
      <w:r w:rsidRPr="003840E6">
        <w:rPr>
          <w:rStyle w:val="Rimandonotadichiusura"/>
          <w:rFonts w:cs="Arial"/>
        </w:rPr>
        <w:endnoteReference w:id="275"/>
      </w:r>
      <w:r w:rsidRPr="00B541AC">
        <w:t xml:space="preserve"> It recommends that specific strategies </w:t>
      </w:r>
      <w:r>
        <w:t>be</w:t>
      </w:r>
      <w:r w:rsidRPr="00B541AC">
        <w:t xml:space="preserve"> considered to ensure access to sexual and reproductive information and services </w:t>
      </w:r>
      <w:r>
        <w:t>that</w:t>
      </w:r>
      <w:r w:rsidRPr="00B541AC">
        <w:t xml:space="preserve"> are culturally </w:t>
      </w:r>
      <w:r w:rsidRPr="008111F2">
        <w:t>appropriate and responsive to the particular needs of indigenous children and adolescents.</w:t>
      </w:r>
      <w:r w:rsidRPr="003840E6">
        <w:rPr>
          <w:rStyle w:val="Rimandonotadichiusura"/>
          <w:rFonts w:cs="Arial"/>
        </w:rPr>
        <w:endnoteReference w:id="276"/>
      </w:r>
      <w:r w:rsidRPr="008111F2">
        <w:t xml:space="preserve"> </w:t>
      </w:r>
      <w:r w:rsidRPr="00B541AC">
        <w:t>It notes further that measures should be taken to ensure that</w:t>
      </w:r>
      <w:r>
        <w:t xml:space="preserve"> </w:t>
      </w:r>
      <w:r w:rsidR="003B44C3">
        <w:t>i</w:t>
      </w:r>
      <w:r w:rsidRPr="00B541AC">
        <w:t>ndigenous children and families receive information on breastfeeding and pre</w:t>
      </w:r>
      <w:r>
        <w:t xml:space="preserve">- </w:t>
      </w:r>
      <w:r w:rsidRPr="00B541AC">
        <w:t>and post</w:t>
      </w:r>
      <w:r>
        <w:t>-</w:t>
      </w:r>
      <w:r w:rsidRPr="00B541AC">
        <w:t>natal health</w:t>
      </w:r>
      <w:r>
        <w:t xml:space="preserve"> </w:t>
      </w:r>
      <w:r w:rsidRPr="00B541AC">
        <w:t>care.</w:t>
      </w:r>
      <w:r w:rsidRPr="00B541AC">
        <w:rPr>
          <w:rStyle w:val="Rimandonotadichiusura"/>
          <w:rFonts w:cs="Arial"/>
        </w:rPr>
        <w:endnoteReference w:id="277"/>
      </w:r>
      <w:r w:rsidRPr="008111F2">
        <w:t xml:space="preserve"> </w:t>
      </w:r>
      <w:r>
        <w:t>It</w:t>
      </w:r>
      <w:r w:rsidRPr="002272D8">
        <w:t xml:space="preserve"> </w:t>
      </w:r>
      <w:r>
        <w:t xml:space="preserve">also </w:t>
      </w:r>
      <w:r w:rsidRPr="002272D8">
        <w:t>emphasises the importance of ensuring access to health</w:t>
      </w:r>
      <w:r>
        <w:t xml:space="preserve"> care services for </w:t>
      </w:r>
      <w:r w:rsidR="003B44C3">
        <w:t>i</w:t>
      </w:r>
      <w:r w:rsidRPr="002272D8">
        <w:t>ndigenous communities living in remote or rural areas.</w:t>
      </w:r>
      <w:r w:rsidRPr="002272D8">
        <w:rPr>
          <w:rStyle w:val="Rimandonotadichiusura"/>
          <w:rFonts w:cs="Arial"/>
        </w:rPr>
        <w:endnoteReference w:id="278"/>
      </w:r>
      <w:r>
        <w:t xml:space="preserve"> </w:t>
      </w:r>
    </w:p>
    <w:p w:rsidR="006F424A" w:rsidRDefault="006F424A" w:rsidP="009C2767">
      <w:r w:rsidRPr="00B541AC">
        <w:t xml:space="preserve">Articles 21 to 24 of the </w:t>
      </w:r>
      <w:r w:rsidRPr="00B541AC">
        <w:rPr>
          <w:i/>
        </w:rPr>
        <w:t xml:space="preserve">United Nations Declaration on the Rights of Indigenous Peoples </w:t>
      </w:r>
      <w:r>
        <w:t xml:space="preserve">concern the rights of </w:t>
      </w:r>
      <w:r w:rsidR="003B44C3">
        <w:t>i</w:t>
      </w:r>
      <w:r w:rsidRPr="00B541AC">
        <w:t>ndigenous peoples to health</w:t>
      </w:r>
      <w:r>
        <w:t xml:space="preserve"> and </w:t>
      </w:r>
      <w:r w:rsidRPr="00B541AC">
        <w:t>development</w:t>
      </w:r>
      <w:r>
        <w:t>,</w:t>
      </w:r>
      <w:r w:rsidRPr="00B541AC">
        <w:t xml:space="preserve"> and to the improvement of their economic and social conditions.</w:t>
      </w:r>
      <w:r w:rsidRPr="003840E6">
        <w:rPr>
          <w:rStyle w:val="Rimandonotadichiusura"/>
          <w:rFonts w:cs="Arial"/>
        </w:rPr>
        <w:endnoteReference w:id="279"/>
      </w:r>
      <w:r w:rsidRPr="00ED66AD">
        <w:rPr>
          <w:rStyle w:val="Rimandonotadichiusura"/>
          <w:rFonts w:cs="Arial"/>
          <w:i/>
          <w:vertAlign w:val="baseline"/>
        </w:rPr>
        <w:t xml:space="preserve"> </w:t>
      </w:r>
      <w:r w:rsidRPr="00B541AC">
        <w:t>Article 22 requires spec</w:t>
      </w:r>
      <w:r>
        <w:t xml:space="preserve">ial measures to be afforded to </w:t>
      </w:r>
      <w:r w:rsidR="003B44C3">
        <w:t>i</w:t>
      </w:r>
      <w:r w:rsidRPr="00B541AC">
        <w:t>ndigenous women, children and you</w:t>
      </w:r>
      <w:r>
        <w:t>ng people</w:t>
      </w:r>
      <w:r w:rsidRPr="00B541AC">
        <w:t xml:space="preserve"> with a view to achieving the full realisation of the enumerated rights.</w:t>
      </w:r>
      <w:r w:rsidRPr="003840E6">
        <w:rPr>
          <w:rStyle w:val="Rimandonotadichiusura"/>
          <w:rFonts w:cs="Arial"/>
        </w:rPr>
        <w:endnoteReference w:id="280"/>
      </w:r>
    </w:p>
    <w:p w:rsidR="006F424A" w:rsidRDefault="006F424A" w:rsidP="002D4CF3">
      <w:pPr>
        <w:pStyle w:val="31"/>
      </w:pPr>
      <w:bookmarkStart w:id="100" w:name="_Toc500308792"/>
      <w:r>
        <w:t>How the project was conducted</w:t>
      </w:r>
      <w:bookmarkEnd w:id="100"/>
    </w:p>
    <w:p w:rsidR="006F424A" w:rsidRDefault="006F424A" w:rsidP="00222517">
      <w:pPr>
        <w:pStyle w:val="Titolo3"/>
        <w:numPr>
          <w:ilvl w:val="2"/>
          <w:numId w:val="191"/>
        </w:numPr>
      </w:pPr>
      <w:bookmarkStart w:id="101" w:name="_Toc500308793"/>
      <w:r>
        <w:t>Aim and focus of project</w:t>
      </w:r>
      <w:bookmarkEnd w:id="101"/>
    </w:p>
    <w:p w:rsidR="006F424A" w:rsidRPr="00415F9B" w:rsidRDefault="006F424A" w:rsidP="006F424A">
      <w:r w:rsidRPr="00415F9B">
        <w:t>The aim of this project has been to identify the gaps in knowledge regarding the experiences and trajectories of young parents, and analyse good practice in early intervention and support services that lead to better outcomes for young parents and their children. This includes identifying the education and employment pathways most likely to lead to long</w:t>
      </w:r>
      <w:r>
        <w:t xml:space="preserve"> </w:t>
      </w:r>
      <w:r w:rsidRPr="00415F9B">
        <w:t>term stability and security.</w:t>
      </w:r>
    </w:p>
    <w:p w:rsidR="006F424A" w:rsidRDefault="006F424A" w:rsidP="006F424A">
      <w:r>
        <w:t xml:space="preserve">The project focused on early interventions </w:t>
      </w:r>
      <w:r w:rsidR="003B44C3">
        <w:t xml:space="preserve">that </w:t>
      </w:r>
      <w:r>
        <w:t>could:</w:t>
      </w:r>
    </w:p>
    <w:p w:rsidR="006F424A" w:rsidRDefault="006F424A" w:rsidP="00222517">
      <w:pPr>
        <w:pStyle w:val="Paragrafoelenco"/>
        <w:numPr>
          <w:ilvl w:val="0"/>
          <w:numId w:val="148"/>
        </w:numPr>
        <w:jc w:val="left"/>
      </w:pPr>
      <w:r>
        <w:t>decrease the risk profile of young parents and their children</w:t>
      </w:r>
    </w:p>
    <w:p w:rsidR="006F424A" w:rsidRDefault="006F424A" w:rsidP="00222517">
      <w:pPr>
        <w:pStyle w:val="Paragrafoelenco"/>
        <w:numPr>
          <w:ilvl w:val="0"/>
          <w:numId w:val="148"/>
        </w:numPr>
        <w:jc w:val="left"/>
      </w:pPr>
      <w:r>
        <w:t>influence decisions to delay the birth of a second child</w:t>
      </w:r>
    </w:p>
    <w:p w:rsidR="006F424A" w:rsidRDefault="006F424A" w:rsidP="00222517">
      <w:pPr>
        <w:pStyle w:val="Paragrafoelenco"/>
        <w:numPr>
          <w:ilvl w:val="0"/>
          <w:numId w:val="148"/>
        </w:numPr>
        <w:jc w:val="left"/>
      </w:pPr>
      <w:r>
        <w:t>improve the capacity of young parents for safe and effective parenting</w:t>
      </w:r>
    </w:p>
    <w:p w:rsidR="006F424A" w:rsidRDefault="006F424A" w:rsidP="00222517">
      <w:pPr>
        <w:pStyle w:val="Paragrafoelenco"/>
        <w:numPr>
          <w:ilvl w:val="0"/>
          <w:numId w:val="148"/>
        </w:numPr>
        <w:jc w:val="left"/>
      </w:pPr>
      <w:r>
        <w:t>increase their likelihood of becoming economically secure.</w:t>
      </w:r>
    </w:p>
    <w:p w:rsidR="006F424A" w:rsidRDefault="006F424A" w:rsidP="006F424A">
      <w:r>
        <w:t xml:space="preserve">In this project, we paid particular attention to the experiences of vulnerable groups, including Aboriginal and Torres Strait Islander young parents, young parents with experiences </w:t>
      </w:r>
      <w:r w:rsidR="003B44C3">
        <w:t>of</w:t>
      </w:r>
      <w:r>
        <w:t xml:space="preserve"> out-of-home care and child protection systems, and young parents involved with the youth justice system.</w:t>
      </w:r>
    </w:p>
    <w:p w:rsidR="006F424A" w:rsidRDefault="006F424A" w:rsidP="006F424A">
      <w:pPr>
        <w:pStyle w:val="Titolo3"/>
      </w:pPr>
      <w:bookmarkStart w:id="102" w:name="_Toc500308794"/>
      <w:r>
        <w:t>Methodology</w:t>
      </w:r>
      <w:bookmarkEnd w:id="102"/>
    </w:p>
    <w:p w:rsidR="006F424A" w:rsidRDefault="006F424A" w:rsidP="006F424A">
      <w:r>
        <w:t>Over eight months, I hosted a series of expert forums across Australia, received submissions, ran consultations with young parents, and conducted a survey of young parents. In parallel, I made a number of requests for information about programs for young parents and their children, sourced relevant data, and undertook a review of relevant literature and research. The project involved:</w:t>
      </w:r>
    </w:p>
    <w:p w:rsidR="006F424A" w:rsidRDefault="006F424A" w:rsidP="00222517">
      <w:pPr>
        <w:pStyle w:val="Paragrafoelenco"/>
        <w:numPr>
          <w:ilvl w:val="0"/>
          <w:numId w:val="150"/>
        </w:numPr>
        <w:jc w:val="left"/>
      </w:pPr>
      <w:r>
        <w:t>69 submissions from government, non-government agencies and individual experts (</w:t>
      </w:r>
      <w:r w:rsidRPr="00BD277E">
        <w:t>Appendix 7</w:t>
      </w:r>
      <w:r>
        <w:t>)</w:t>
      </w:r>
    </w:p>
    <w:p w:rsidR="006F424A" w:rsidRPr="00BD277E" w:rsidRDefault="006F424A" w:rsidP="00222517">
      <w:pPr>
        <w:pStyle w:val="Paragrafoelenco"/>
        <w:numPr>
          <w:ilvl w:val="0"/>
          <w:numId w:val="150"/>
        </w:numPr>
        <w:jc w:val="left"/>
      </w:pPr>
      <w:r>
        <w:t>f</w:t>
      </w:r>
      <w:r w:rsidRPr="00BD277E">
        <w:t xml:space="preserve">our roundtables, held nationally, with </w:t>
      </w:r>
      <w:r>
        <w:t>a total of 61 participants (</w:t>
      </w:r>
      <w:r w:rsidRPr="00BD277E">
        <w:t>Appendix 8</w:t>
      </w:r>
      <w:r>
        <w:t>)</w:t>
      </w:r>
    </w:p>
    <w:p w:rsidR="006F424A" w:rsidRPr="00BD277E" w:rsidRDefault="006F424A" w:rsidP="00222517">
      <w:pPr>
        <w:pStyle w:val="Paragrafoelenco"/>
        <w:numPr>
          <w:ilvl w:val="0"/>
          <w:numId w:val="150"/>
        </w:numPr>
        <w:jc w:val="left"/>
      </w:pPr>
      <w:r>
        <w:t>seven</w:t>
      </w:r>
      <w:r w:rsidRPr="00BD277E">
        <w:t xml:space="preserve"> individual agency consultations</w:t>
      </w:r>
    </w:p>
    <w:p w:rsidR="006F424A" w:rsidRDefault="006F424A" w:rsidP="00222517">
      <w:pPr>
        <w:pStyle w:val="Paragrafoelenco"/>
        <w:numPr>
          <w:ilvl w:val="0"/>
          <w:numId w:val="150"/>
        </w:numPr>
        <w:jc w:val="left"/>
      </w:pPr>
      <w:r>
        <w:t xml:space="preserve">consultations with </w:t>
      </w:r>
      <w:r w:rsidRPr="0091641B">
        <w:t>77</w:t>
      </w:r>
      <w:r>
        <w:t xml:space="preserve"> young parents through individual </w:t>
      </w:r>
      <w:r w:rsidR="000911E3">
        <w:t>and group consultation sessions</w:t>
      </w:r>
    </w:p>
    <w:p w:rsidR="006F424A" w:rsidRPr="00A02F56" w:rsidRDefault="006F424A" w:rsidP="00222517">
      <w:pPr>
        <w:pStyle w:val="Paragrafoelenco"/>
        <w:numPr>
          <w:ilvl w:val="0"/>
          <w:numId w:val="150"/>
        </w:numPr>
        <w:spacing w:before="0" w:after="0"/>
        <w:jc w:val="left"/>
      </w:pPr>
      <w:r>
        <w:t>a national survey of 89 young or expecting parents.</w:t>
      </w:r>
    </w:p>
    <w:p w:rsidR="006F424A" w:rsidRPr="002D4CF3" w:rsidRDefault="006F424A" w:rsidP="006F424A">
      <w:pPr>
        <w:pStyle w:val="Titolo4"/>
        <w:rPr>
          <w:szCs w:val="24"/>
        </w:rPr>
      </w:pPr>
      <w:r w:rsidRPr="002D4CF3">
        <w:rPr>
          <w:szCs w:val="24"/>
        </w:rPr>
        <w:t xml:space="preserve">Review of research and other information </w:t>
      </w:r>
    </w:p>
    <w:p w:rsidR="006F424A" w:rsidRDefault="006F424A" w:rsidP="006F424A">
      <w:r>
        <w:t>The review of available research involved an analysis of the statistics regarding young parenthood in Australia: who the young parents are; their socio-economic circumstances; and the geographic location of young parents across Australia. Research exploring the reasons young people became young parents and their immediate and long term health, education and economic outcomes was also reviewed.</w:t>
      </w:r>
    </w:p>
    <w:p w:rsidR="006F424A" w:rsidRDefault="006F424A" w:rsidP="006F424A">
      <w:r>
        <w:t>As part of my investigation, I identified areas where there was a gap in information and data on young parents, and requested additional information from a range of sources. The following list covers sources of data and information specifically requested for the purposes of this project:</w:t>
      </w:r>
    </w:p>
    <w:p w:rsidR="006F424A" w:rsidRDefault="006F424A" w:rsidP="00222517">
      <w:pPr>
        <w:pStyle w:val="Paragrafoelenco"/>
        <w:numPr>
          <w:ilvl w:val="0"/>
          <w:numId w:val="149"/>
        </w:numPr>
        <w:jc w:val="left"/>
      </w:pPr>
      <w:r>
        <w:t>The ABS, the AIHW and the Australian Institute of Family Studies (AIFS,) in relation to demographic data about young parents</w:t>
      </w:r>
    </w:p>
    <w:p w:rsidR="006F424A" w:rsidRDefault="006F424A" w:rsidP="00222517">
      <w:pPr>
        <w:pStyle w:val="Paragrafoelenco"/>
        <w:numPr>
          <w:ilvl w:val="0"/>
          <w:numId w:val="149"/>
        </w:numPr>
        <w:jc w:val="left"/>
      </w:pPr>
      <w:r>
        <w:t>Department of Social Services (DSS), in relation to income support payments to young people</w:t>
      </w:r>
    </w:p>
    <w:p w:rsidR="006F424A" w:rsidRDefault="006F424A" w:rsidP="00222517">
      <w:pPr>
        <w:pStyle w:val="Paragrafoelenco"/>
        <w:numPr>
          <w:ilvl w:val="0"/>
          <w:numId w:val="149"/>
        </w:numPr>
        <w:jc w:val="left"/>
      </w:pPr>
      <w:r>
        <w:t>Australian and New Zealand Child Death Review and Prevention Group (ANZCDR&amp;PG), about deaths of children of young parents, and of young parents themselves</w:t>
      </w:r>
    </w:p>
    <w:p w:rsidR="006F424A" w:rsidRDefault="006F424A" w:rsidP="00222517">
      <w:pPr>
        <w:pStyle w:val="Paragrafoelenco"/>
        <w:numPr>
          <w:ilvl w:val="0"/>
          <w:numId w:val="149"/>
        </w:numPr>
        <w:jc w:val="left"/>
      </w:pPr>
      <w:r>
        <w:t xml:space="preserve">yourtown (Kids Helpline), in relation to young people who make contact with the helpline about parenthood or pregnancy </w:t>
      </w:r>
    </w:p>
    <w:p w:rsidR="006F424A" w:rsidRDefault="006F424A" w:rsidP="00222517">
      <w:pPr>
        <w:pStyle w:val="Paragrafoelenco"/>
        <w:numPr>
          <w:ilvl w:val="0"/>
          <w:numId w:val="149"/>
        </w:numPr>
        <w:jc w:val="left"/>
      </w:pPr>
      <w:r w:rsidRPr="008403B8">
        <w:rPr>
          <w:i/>
        </w:rPr>
        <w:t>Longitudinal Study of Australia’s Children</w:t>
      </w:r>
      <w:r>
        <w:t xml:space="preserve"> (LSAC), the </w:t>
      </w:r>
      <w:r w:rsidRPr="008403B8">
        <w:rPr>
          <w:i/>
        </w:rPr>
        <w:t>Longitudinal Study of Indigenous Children</w:t>
      </w:r>
      <w:r>
        <w:t xml:space="preserve"> (LSIC) and the Household, Income and Labour Dynamics in Australia (HILDA) Survey, in relation to survey information collected about young parents</w:t>
      </w:r>
    </w:p>
    <w:p w:rsidR="006F424A" w:rsidRDefault="006F424A" w:rsidP="00222517">
      <w:pPr>
        <w:pStyle w:val="Paragrafoelenco"/>
        <w:numPr>
          <w:ilvl w:val="0"/>
          <w:numId w:val="149"/>
        </w:numPr>
        <w:jc w:val="left"/>
      </w:pPr>
      <w:r>
        <w:t>Productivity Commission</w:t>
      </w:r>
    </w:p>
    <w:p w:rsidR="006F424A" w:rsidRDefault="006F424A" w:rsidP="00222517">
      <w:pPr>
        <w:pStyle w:val="Paragrafoelenco"/>
        <w:numPr>
          <w:ilvl w:val="0"/>
          <w:numId w:val="149"/>
        </w:numPr>
        <w:jc w:val="left"/>
      </w:pPr>
      <w:r>
        <w:t>state and territory government information, in relation to children of young parents in jurisdictional child protection systems, and education policies relating to the inclusion of pregnant or parenting teenager</w:t>
      </w:r>
      <w:r w:rsidR="00942970">
        <w:t>s in Australian public schools.</w:t>
      </w:r>
    </w:p>
    <w:p w:rsidR="006F424A" w:rsidRPr="002D4CF3" w:rsidRDefault="006F424A" w:rsidP="006F424A">
      <w:pPr>
        <w:pStyle w:val="Titolo4"/>
        <w:rPr>
          <w:szCs w:val="24"/>
        </w:rPr>
      </w:pPr>
      <w:r w:rsidRPr="002D4CF3">
        <w:rPr>
          <w:szCs w:val="24"/>
        </w:rPr>
        <w:t>Written submissions, roundtables and individual consultations</w:t>
      </w:r>
    </w:p>
    <w:p w:rsidR="006F424A" w:rsidRDefault="006F424A" w:rsidP="006F424A">
      <w:r>
        <w:t>To inform the project, I sought submissions from a range of experts across Australia, on how to decrease the risk profile of young parents and their children, influence decisions to delay the birth of a second child, improve the capacity of young parents for safe and effective parenting and increase their likelihood of becoming economically secure.</w:t>
      </w:r>
    </w:p>
    <w:p w:rsidR="006F424A" w:rsidRPr="008E1FF4" w:rsidRDefault="006F424A" w:rsidP="006F424A">
      <w:r>
        <w:t>For governments (state, territory and Commonwealth), I also asked about programs and policies in relation to young parents and their children, and, in particular, details of education, health</w:t>
      </w:r>
      <w:r w:rsidRPr="008E1FF4">
        <w:t xml:space="preserve"> and wel</w:t>
      </w:r>
      <w:r>
        <w:t>fare policies, programs and</w:t>
      </w:r>
      <w:r w:rsidRPr="008E1FF4">
        <w:t xml:space="preserve"> services relating to young parents and their children, as well as any evaluatio</w:t>
      </w:r>
      <w:r>
        <w:t>ns of these</w:t>
      </w:r>
      <w:r w:rsidR="00213004">
        <w:t>.</w:t>
      </w:r>
    </w:p>
    <w:p w:rsidR="006F424A" w:rsidRDefault="006F424A" w:rsidP="006F424A">
      <w:r>
        <w:t xml:space="preserve">I received 69 written submissions, </w:t>
      </w:r>
      <w:r w:rsidRPr="00867330">
        <w:t>listed in Appendix 7. The submissions</w:t>
      </w:r>
      <w:r>
        <w:t xml:space="preserve"> can also be viewed online at </w:t>
      </w:r>
      <w:hyperlink r:id="rId39" w:history="1">
        <w:r w:rsidRPr="00537515">
          <w:rPr>
            <w:rStyle w:val="Collegamentoipertestuale"/>
          </w:rPr>
          <w:t>https://www.humanrights.gov.au/publications/childrens-rights-report-2016</w:t>
        </w:r>
      </w:hyperlink>
      <w:r>
        <w:t>.</w:t>
      </w:r>
    </w:p>
    <w:p w:rsidR="006F424A" w:rsidRDefault="006F424A" w:rsidP="006F424A">
      <w:r>
        <w:t>I would like to thank everyone who made submissions, which were valuable contributions to my understanding of the issues that young parents face.</w:t>
      </w:r>
    </w:p>
    <w:p w:rsidR="006F424A" w:rsidRDefault="006F424A" w:rsidP="006F424A">
      <w:r>
        <w:t>I also held a number of roundtables and individual consultations. Roundtables were held in Brisbane, Perth, Sydney and Melbourne, with 61 participants overall. They included presentations by practitioners and academics working in the field, and explored the following questions:</w:t>
      </w:r>
    </w:p>
    <w:p w:rsidR="006F424A" w:rsidRDefault="006F424A" w:rsidP="00222517">
      <w:pPr>
        <w:pStyle w:val="Paragrafoelenco"/>
        <w:numPr>
          <w:ilvl w:val="0"/>
          <w:numId w:val="151"/>
        </w:numPr>
        <w:jc w:val="left"/>
      </w:pPr>
      <w:r>
        <w:t xml:space="preserve">Do you think that current policies and programs for young parents and ‘at risk’ teens are adequate and effective? If not, how do you think they could be improved? </w:t>
      </w:r>
    </w:p>
    <w:p w:rsidR="006F424A" w:rsidRDefault="006F424A" w:rsidP="00222517">
      <w:pPr>
        <w:pStyle w:val="Paragrafoelenco"/>
        <w:numPr>
          <w:ilvl w:val="0"/>
          <w:numId w:val="151"/>
        </w:numPr>
        <w:jc w:val="left"/>
      </w:pPr>
      <w:r>
        <w:t xml:space="preserve">Are there any particular examples of early interventions that decrease the risk profile and trajectory of young parents, young parents-to-be and their children? If not, what early interventions are likely to achieve this result? </w:t>
      </w:r>
    </w:p>
    <w:p w:rsidR="006F424A" w:rsidRDefault="006F424A" w:rsidP="00222517">
      <w:pPr>
        <w:pStyle w:val="Paragrafoelenco"/>
        <w:numPr>
          <w:ilvl w:val="0"/>
          <w:numId w:val="151"/>
        </w:numPr>
        <w:jc w:val="left"/>
      </w:pPr>
      <w:r>
        <w:t>Are you aware of any particular examples of early interventions that improve young parents’ capacity for safe and effective parenting? If not, what early interventions are likely to achieve this result?</w:t>
      </w:r>
    </w:p>
    <w:p w:rsidR="006F424A" w:rsidRDefault="006F424A" w:rsidP="00222517">
      <w:pPr>
        <w:pStyle w:val="Paragrafoelenco"/>
        <w:numPr>
          <w:ilvl w:val="0"/>
          <w:numId w:val="151"/>
        </w:numPr>
        <w:jc w:val="left"/>
      </w:pPr>
      <w:r>
        <w:t>Are you aware of any particular interventions that increase young parents’ likelihood of becoming economically secure? If not, what early interventions are likely to achieve this result?</w:t>
      </w:r>
    </w:p>
    <w:p w:rsidR="006F424A" w:rsidRPr="002D4CF3" w:rsidRDefault="006F424A" w:rsidP="006F424A">
      <w:pPr>
        <w:pStyle w:val="Titolo4"/>
        <w:rPr>
          <w:szCs w:val="24"/>
        </w:rPr>
      </w:pPr>
      <w:r w:rsidRPr="002D4CF3">
        <w:rPr>
          <w:szCs w:val="24"/>
        </w:rPr>
        <w:t>Consultations and surveys with young parents</w:t>
      </w:r>
    </w:p>
    <w:p w:rsidR="006F424A" w:rsidRDefault="006F424A" w:rsidP="006F424A">
      <w:r>
        <w:t xml:space="preserve">The project included a number of consultations with </w:t>
      </w:r>
      <w:r w:rsidRPr="00DC4C95">
        <w:t>77</w:t>
      </w:r>
      <w:r>
        <w:t xml:space="preserve"> young parents overall</w:t>
      </w:r>
      <w:r w:rsidRPr="007F32E1">
        <w:t>.</w:t>
      </w:r>
      <w:r>
        <w:t xml:space="preserve"> These consultations with young parents were critical to understand the needs and concerns of young parents and what supports are most effective for them.</w:t>
      </w:r>
      <w:r w:rsidRPr="007F32E1">
        <w:t xml:space="preserve"> These are detailed in </w:t>
      </w:r>
      <w:r w:rsidRPr="00867330">
        <w:t>Appendix 9</w:t>
      </w:r>
      <w:r w:rsidRPr="007F32E1">
        <w:t>.</w:t>
      </w:r>
      <w:r>
        <w:t xml:space="preserve"> In addition, 89 surveys were completed by young parents and expecting young parents.</w:t>
      </w:r>
    </w:p>
    <w:p w:rsidR="006F424A" w:rsidRDefault="00C42EFF" w:rsidP="00482CD7">
      <w:pPr>
        <w:pStyle w:val="31"/>
      </w:pPr>
      <w:bookmarkStart w:id="103" w:name="_Toc500308795"/>
      <w:r>
        <w:t>Research and other information about young parents</w:t>
      </w:r>
      <w:bookmarkEnd w:id="103"/>
      <w:r>
        <w:t xml:space="preserve"> </w:t>
      </w:r>
    </w:p>
    <w:p w:rsidR="006F424A" w:rsidRDefault="00BF6EDE" w:rsidP="00222517">
      <w:pPr>
        <w:pStyle w:val="Titolo3"/>
        <w:numPr>
          <w:ilvl w:val="2"/>
          <w:numId w:val="192"/>
        </w:numPr>
      </w:pPr>
      <w:bookmarkStart w:id="104" w:name="_Toc500308796"/>
      <w:r>
        <w:t>Review of available research</w:t>
      </w:r>
      <w:bookmarkEnd w:id="104"/>
    </w:p>
    <w:p w:rsidR="00BF6EDE" w:rsidRPr="00482CD7" w:rsidRDefault="00BF6EDE" w:rsidP="00BF6EDE">
      <w:pPr>
        <w:pStyle w:val="Titolo4"/>
        <w:rPr>
          <w:szCs w:val="24"/>
        </w:rPr>
      </w:pPr>
      <w:r w:rsidRPr="00482CD7">
        <w:rPr>
          <w:szCs w:val="24"/>
        </w:rPr>
        <w:t>Locality and demographics of young parents in Australia</w:t>
      </w:r>
    </w:p>
    <w:p w:rsidR="00BF6EDE" w:rsidRPr="00E02F15" w:rsidRDefault="00BF6EDE" w:rsidP="00BF6EDE">
      <w:r w:rsidRPr="00E02F15">
        <w:t xml:space="preserve">The teenage fertility rate has gradually declined over the past </w:t>
      </w:r>
      <w:r>
        <w:t>30</w:t>
      </w:r>
      <w:r w:rsidRPr="00E02F15">
        <w:t xml:space="preserve"> years</w:t>
      </w:r>
      <w:r>
        <w:t xml:space="preserve">. In 2015, </w:t>
      </w:r>
      <w:r w:rsidRPr="00E02F15">
        <w:t>15</w:t>
      </w:r>
      <w:r>
        <w:t>–1</w:t>
      </w:r>
      <w:r w:rsidRPr="00E02F15">
        <w:t>9</w:t>
      </w:r>
      <w:r>
        <w:t xml:space="preserve"> </w:t>
      </w:r>
      <w:r w:rsidRPr="00E02F15">
        <w:t xml:space="preserve">year olds were the age group with the lowest fertility rate, </w:t>
      </w:r>
      <w:r>
        <w:t>with</w:t>
      </w:r>
      <w:r w:rsidRPr="00E02F15">
        <w:t xml:space="preserve"> 11.9 births per 1000 women or 2.8</w:t>
      </w:r>
      <w:r>
        <w:t xml:space="preserve">% </w:t>
      </w:r>
      <w:r w:rsidRPr="00E02F15">
        <w:t>of overall births in Australia.</w:t>
      </w:r>
      <w:r w:rsidRPr="00E02F15">
        <w:rPr>
          <w:vertAlign w:val="superscript"/>
        </w:rPr>
        <w:endnoteReference w:id="281"/>
      </w:r>
      <w:r w:rsidRPr="00E02F15">
        <w:t xml:space="preserve"> T</w:t>
      </w:r>
      <w:r>
        <w:t>his converts to 8,574 births to</w:t>
      </w:r>
      <w:r w:rsidRPr="00E02F15">
        <w:t xml:space="preserve"> mothers aged 19 years and </w:t>
      </w:r>
      <w:r>
        <w:t>under</w:t>
      </w:r>
      <w:r w:rsidRPr="00E02F15">
        <w:t xml:space="preserve"> out of a total 305,377 births in Australia.</w:t>
      </w:r>
      <w:r w:rsidRPr="00E02F15">
        <w:rPr>
          <w:vertAlign w:val="superscript"/>
        </w:rPr>
        <w:endnoteReference w:id="282"/>
      </w:r>
      <w:r>
        <w:t xml:space="preserve"> The teenage birth </w:t>
      </w:r>
      <w:r w:rsidRPr="00E02F15">
        <w:t xml:space="preserve">rate </w:t>
      </w:r>
      <w:r>
        <w:t xml:space="preserve">in Australia </w:t>
      </w:r>
      <w:r w:rsidRPr="00E02F15">
        <w:t>is at an historic low.</w:t>
      </w:r>
      <w:r w:rsidRPr="00E02F15">
        <w:rPr>
          <w:vertAlign w:val="superscript"/>
        </w:rPr>
        <w:endnoteReference w:id="283"/>
      </w:r>
    </w:p>
    <w:p w:rsidR="00BF6EDE" w:rsidRPr="00E02F15" w:rsidRDefault="00BF6EDE" w:rsidP="00BF6EDE">
      <w:r w:rsidRPr="00E02F15">
        <w:t>Despite th</w:t>
      </w:r>
      <w:r>
        <w:t>is gradual decline in numbers</w:t>
      </w:r>
      <w:r w:rsidRPr="00E02F15">
        <w:t xml:space="preserve">, </w:t>
      </w:r>
      <w:r>
        <w:t xml:space="preserve">the teenage birth </w:t>
      </w:r>
      <w:r w:rsidRPr="00E02F15">
        <w:t xml:space="preserve">rate is </w:t>
      </w:r>
      <w:r w:rsidR="003B44C3">
        <w:t>in</w:t>
      </w:r>
      <w:r>
        <w:t xml:space="preserve">consistent across the country — </w:t>
      </w:r>
      <w:r w:rsidRPr="00E02F15">
        <w:t xml:space="preserve">geographically </w:t>
      </w:r>
      <w:r w:rsidR="003B44C3">
        <w:t>and</w:t>
      </w:r>
      <w:r w:rsidRPr="00E02F15">
        <w:t xml:space="preserve"> socially.</w:t>
      </w:r>
      <w:r w:rsidRPr="00E02F15">
        <w:rPr>
          <w:vertAlign w:val="superscript"/>
        </w:rPr>
        <w:endnoteReference w:id="284"/>
      </w:r>
      <w:r w:rsidRPr="00E02F15">
        <w:t xml:space="preserve"> Teenage pregnancy is experienced </w:t>
      </w:r>
      <w:r>
        <w:t xml:space="preserve">more frequently </w:t>
      </w:r>
      <w:r w:rsidRPr="00E02F15">
        <w:t xml:space="preserve">by </w:t>
      </w:r>
      <w:r>
        <w:t>people</w:t>
      </w:r>
      <w:r w:rsidRPr="00E02F15">
        <w:t xml:space="preserve"> in lower socio-economic circumstances, Aboriginal or Torres Strait Islander</w:t>
      </w:r>
      <w:r>
        <w:t xml:space="preserve"> peoples</w:t>
      </w:r>
      <w:r w:rsidRPr="00E02F15">
        <w:t xml:space="preserve">, and </w:t>
      </w:r>
      <w:r>
        <w:t>people</w:t>
      </w:r>
      <w:r w:rsidRPr="00E02F15">
        <w:t xml:space="preserve"> in remote or rural locations.</w:t>
      </w:r>
      <w:r w:rsidRPr="00E02F15">
        <w:rPr>
          <w:vertAlign w:val="superscript"/>
        </w:rPr>
        <w:endnoteReference w:id="285"/>
      </w:r>
      <w:r>
        <w:t xml:space="preserve"> Notably, the teenage birth </w:t>
      </w:r>
      <w:r w:rsidRPr="00E02F15">
        <w:t>rate in remote or rural Australia is more than four times that of the general population (57 births per 1000</w:t>
      </w:r>
      <w:r>
        <w:t>)</w:t>
      </w:r>
      <w:r w:rsidRPr="00E02F15">
        <w:t>.</w:t>
      </w:r>
      <w:r w:rsidRPr="00E02F15">
        <w:rPr>
          <w:vertAlign w:val="superscript"/>
        </w:rPr>
        <w:endnoteReference w:id="286"/>
      </w:r>
      <w:r w:rsidRPr="00E02F15">
        <w:t xml:space="preserve"> </w:t>
      </w:r>
    </w:p>
    <w:p w:rsidR="00BF6EDE" w:rsidRDefault="00BF6EDE" w:rsidP="00BF6EDE">
      <w:r w:rsidRPr="00E02F15">
        <w:t xml:space="preserve">Figure 3.1 demonstrates </w:t>
      </w:r>
      <w:r>
        <w:t xml:space="preserve">the numbers of births to teenage parents across each jurisdiction. </w:t>
      </w:r>
      <w:r w:rsidRPr="00E02F15">
        <w:t xml:space="preserve">Figure 3.2 </w:t>
      </w:r>
      <w:r>
        <w:t>shows</w:t>
      </w:r>
      <w:r w:rsidRPr="00E02F15">
        <w:t xml:space="preserve"> the correlation between remoteness and </w:t>
      </w:r>
      <w:r>
        <w:t xml:space="preserve">birth rates. </w:t>
      </w:r>
      <w:r w:rsidRPr="00E02F15">
        <w:t>As</w:t>
      </w:r>
      <w:r>
        <w:t xml:space="preserve"> can be seen, the number of births per 1000 women in 2015 was greater in regional areas than in major cities, and even greater in remote areas. </w:t>
      </w:r>
      <w:r w:rsidRPr="00E02F15">
        <w:t xml:space="preserve">This </w:t>
      </w:r>
      <w:r>
        <w:t>applied to</w:t>
      </w:r>
      <w:r w:rsidRPr="00E02F15">
        <w:t xml:space="preserve"> both </w:t>
      </w:r>
      <w:r>
        <w:t xml:space="preserve">Aboriginal and Torres Strait Islander teenage mothers </w:t>
      </w:r>
      <w:r w:rsidRPr="00E02F15">
        <w:t xml:space="preserve">and </w:t>
      </w:r>
      <w:r w:rsidR="00BB05DE">
        <w:t>non-Indigenous teenage mothers.</w:t>
      </w:r>
    </w:p>
    <w:p w:rsidR="006148A2" w:rsidRDefault="006148A2">
      <w:pPr>
        <w:keepLines w:val="0"/>
        <w:spacing w:before="0" w:after="0"/>
        <w:rPr>
          <w:b/>
        </w:rPr>
      </w:pPr>
      <w:r>
        <w:rPr>
          <w:b/>
        </w:rPr>
        <w:br w:type="page"/>
      </w:r>
    </w:p>
    <w:p w:rsidR="005A2D59" w:rsidRDefault="00BF6EDE" w:rsidP="00482CD7">
      <w:pPr>
        <w:rPr>
          <w:b/>
        </w:rPr>
      </w:pPr>
      <w:r w:rsidRPr="00F401C4">
        <w:rPr>
          <w:b/>
        </w:rPr>
        <w:t>Figure 3.1</w:t>
      </w:r>
      <w:r w:rsidR="00482CD7" w:rsidRPr="00F401C4">
        <w:rPr>
          <w:b/>
        </w:rPr>
        <w:t>:</w:t>
      </w:r>
      <w:r w:rsidRPr="00F401C4">
        <w:rPr>
          <w:b/>
        </w:rPr>
        <w:t xml:space="preserve"> Number of births to teenage mothers (aged 15–19)</w:t>
      </w:r>
      <w:r w:rsidR="00F401C4" w:rsidRPr="00F401C4">
        <w:rPr>
          <w:b/>
        </w:rPr>
        <w:t xml:space="preserve"> by state and territory in 2015</w:t>
      </w:r>
      <w:r w:rsidRPr="001736DA">
        <w:rPr>
          <w:rStyle w:val="Rimandonotadichiusura"/>
        </w:rPr>
        <w:endnoteReference w:id="287"/>
      </w:r>
    </w:p>
    <w:p w:rsidR="00BF6EDE" w:rsidRDefault="006148A2" w:rsidP="00482CD7">
      <w:r>
        <w:rPr>
          <w:noProof/>
          <w:lang w:val="it-IT" w:eastAsia="it-IT"/>
        </w:rPr>
        <w:drawing>
          <wp:inline distT="0" distB="0" distL="0" distR="0" wp14:anchorId="12D54A35" wp14:editId="660C2670">
            <wp:extent cx="5748655" cy="3992880"/>
            <wp:effectExtent l="0" t="0" r="0" b="0"/>
            <wp:docPr id="9" name="Immagine 9" descr="CRR%20Charts/CRR_2017_Figure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R%20Charts/CRR_2017_Figure_3-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8655" cy="3992880"/>
                    </a:xfrm>
                    <a:prstGeom prst="rect">
                      <a:avLst/>
                    </a:prstGeom>
                    <a:noFill/>
                    <a:ln>
                      <a:noFill/>
                    </a:ln>
                  </pic:spPr>
                </pic:pic>
              </a:graphicData>
            </a:graphic>
          </wp:inline>
        </w:drawing>
      </w:r>
    </w:p>
    <w:p w:rsidR="006148A2" w:rsidRDefault="006148A2">
      <w:pPr>
        <w:keepLines w:val="0"/>
        <w:spacing w:before="0" w:after="0"/>
        <w:rPr>
          <w:b/>
        </w:rPr>
      </w:pPr>
      <w:r>
        <w:rPr>
          <w:b/>
        </w:rPr>
        <w:br w:type="page"/>
      </w:r>
    </w:p>
    <w:p w:rsidR="00E46A42" w:rsidRDefault="00BF6EDE" w:rsidP="00BF6EDE">
      <w:r w:rsidRPr="00E02F15">
        <w:rPr>
          <w:b/>
        </w:rPr>
        <w:t>Figure 3.2</w:t>
      </w:r>
      <w:r w:rsidR="00F401C4">
        <w:rPr>
          <w:b/>
        </w:rPr>
        <w:t>:</w:t>
      </w:r>
      <w:r>
        <w:rPr>
          <w:b/>
        </w:rPr>
        <w:t xml:space="preserve"> Comparison of Aboriginal and Torres Strait Islander and non-Aboriginal and Torres Strait Islander birth rates in 2015 by remoteness</w:t>
      </w:r>
      <w:r w:rsidRPr="00F73166">
        <w:rPr>
          <w:rStyle w:val="Rimandonotadichiusura"/>
        </w:rPr>
        <w:endnoteReference w:id="288"/>
      </w:r>
      <w:r w:rsidRPr="00F401C4">
        <w:t xml:space="preserve"> </w:t>
      </w:r>
    </w:p>
    <w:p w:rsidR="00BF6EDE" w:rsidRPr="00E02F15" w:rsidRDefault="002A0986" w:rsidP="00BF6EDE">
      <w:r>
        <w:rPr>
          <w:noProof/>
          <w:lang w:val="it-IT" w:eastAsia="it-IT"/>
        </w:rPr>
        <w:drawing>
          <wp:inline distT="0" distB="0" distL="0" distR="0" wp14:anchorId="5E5963C7" wp14:editId="71213ED4">
            <wp:extent cx="5758180" cy="4499610"/>
            <wp:effectExtent l="0" t="0" r="7620" b="0"/>
            <wp:docPr id="12" name="Immagine 12" descr="CRR%20Charts/CRR_2017_Figur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R%20Charts/CRR_2017_Figure_3-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8180" cy="4499610"/>
                    </a:xfrm>
                    <a:prstGeom prst="rect">
                      <a:avLst/>
                    </a:prstGeom>
                    <a:noFill/>
                    <a:ln>
                      <a:noFill/>
                    </a:ln>
                  </pic:spPr>
                </pic:pic>
              </a:graphicData>
            </a:graphic>
          </wp:inline>
        </w:drawing>
      </w:r>
    </w:p>
    <w:p w:rsidR="00BF6EDE" w:rsidRDefault="00BF6EDE" w:rsidP="001736DA">
      <w:pPr>
        <w:spacing w:before="400"/>
      </w:pPr>
      <w:r w:rsidRPr="00E02F15">
        <w:t xml:space="preserve">For mothers aged </w:t>
      </w:r>
      <w:r w:rsidRPr="000D63A0">
        <w:t>15–</w:t>
      </w:r>
      <w:r w:rsidRPr="00E02F15">
        <w:t xml:space="preserve">19, the </w:t>
      </w:r>
      <w:r>
        <w:t xml:space="preserve">NT </w:t>
      </w:r>
      <w:r w:rsidRPr="00E02F15">
        <w:t>has the highest fertility rate of 35.9 births per 1,000 women</w:t>
      </w:r>
      <w:r>
        <w:t>,</w:t>
      </w:r>
      <w:r w:rsidRPr="00E02F15">
        <w:t xml:space="preserve"> and the Australian Capital Territory </w:t>
      </w:r>
      <w:r>
        <w:t xml:space="preserve">(ACT) </w:t>
      </w:r>
      <w:r w:rsidRPr="00E02F15">
        <w:t>has the lowest rate of 6.2 births per 1,000 women.</w:t>
      </w:r>
      <w:r w:rsidRPr="00F73166">
        <w:rPr>
          <w:rStyle w:val="Rimandonotadichiusura"/>
        </w:rPr>
        <w:endnoteReference w:id="289"/>
      </w:r>
      <w:r w:rsidRPr="00E02F15">
        <w:t xml:space="preserve"> These rates equate to 267 births to teenage mothers out of 4,004 total births in 2015 in the N</w:t>
      </w:r>
      <w:r>
        <w:t>T,</w:t>
      </w:r>
      <w:r w:rsidRPr="00E02F15">
        <w:t xml:space="preserve"> and 71 births to teenage mothers out of 5,542 total births in the A</w:t>
      </w:r>
      <w:r>
        <w:t>CT</w:t>
      </w:r>
      <w:r w:rsidRPr="00E02F15">
        <w:t xml:space="preserve">. </w:t>
      </w:r>
    </w:p>
    <w:p w:rsidR="00BF6EDE" w:rsidRPr="00F401C4" w:rsidRDefault="00BF6EDE" w:rsidP="00BF6EDE">
      <w:pPr>
        <w:pStyle w:val="Titolo4"/>
        <w:rPr>
          <w:szCs w:val="24"/>
        </w:rPr>
      </w:pPr>
      <w:r w:rsidRPr="00F401C4">
        <w:rPr>
          <w:szCs w:val="24"/>
        </w:rPr>
        <w:t xml:space="preserve">Young Aboriginal and Torres Strait Islander parents </w:t>
      </w:r>
    </w:p>
    <w:p w:rsidR="00BF6EDE" w:rsidRPr="00E02F15" w:rsidRDefault="00BF6EDE" w:rsidP="00BF6EDE">
      <w:r w:rsidRPr="00E02F15">
        <w:t>Aboriginal and Torres Strait Islander peoples have ‘extraordinarily high rates of teenage fertility compared with the national average’.</w:t>
      </w:r>
      <w:r w:rsidRPr="00F73166">
        <w:rPr>
          <w:rStyle w:val="Rimandonotadichiusura"/>
        </w:rPr>
        <w:endnoteReference w:id="290"/>
      </w:r>
      <w:r>
        <w:t xml:space="preserve"> Various factors, such as </w:t>
      </w:r>
      <w:r w:rsidRPr="00E02F15">
        <w:t xml:space="preserve">the concentration of </w:t>
      </w:r>
      <w:r w:rsidR="003B44C3">
        <w:t>Aboriginal and Torres Strait Islander</w:t>
      </w:r>
      <w:r w:rsidRPr="00E02F15">
        <w:t xml:space="preserve"> p</w:t>
      </w:r>
      <w:r>
        <w:t xml:space="preserve">eoples in remote Australia, </w:t>
      </w:r>
      <w:r w:rsidRPr="00E02F15">
        <w:t>associated health and h</w:t>
      </w:r>
      <w:r>
        <w:t xml:space="preserve">ealth service access issues, </w:t>
      </w:r>
      <w:r w:rsidRPr="00E02F15">
        <w:t xml:space="preserve">and the </w:t>
      </w:r>
      <w:r>
        <w:t xml:space="preserve">overall </w:t>
      </w:r>
      <w:r w:rsidRPr="00E02F15">
        <w:t>disadvantage experienced by Aboriginal or Torres Strait Islander peoples</w:t>
      </w:r>
      <w:r>
        <w:t xml:space="preserve"> may account for these high statistics</w:t>
      </w:r>
      <w:r w:rsidRPr="00E02F15">
        <w:t>.</w:t>
      </w:r>
      <w:r w:rsidRPr="00F73166">
        <w:rPr>
          <w:rStyle w:val="Rimandonotadichiusura"/>
        </w:rPr>
        <w:endnoteReference w:id="291"/>
      </w:r>
      <w:r w:rsidRPr="00E02F15">
        <w:t xml:space="preserve"> </w:t>
      </w:r>
    </w:p>
    <w:p w:rsidR="00BF6EDE" w:rsidRDefault="00BF6EDE" w:rsidP="00BF6EDE">
      <w:r w:rsidRPr="00E02F15">
        <w:t xml:space="preserve">In 2015, births to Aboriginal and Torres Strait Islander young mothers </w:t>
      </w:r>
      <w:r>
        <w:t xml:space="preserve">aged </w:t>
      </w:r>
      <w:r w:rsidRPr="000D63A0">
        <w:t>15–</w:t>
      </w:r>
      <w:r w:rsidRPr="00E02F15">
        <w:t>19</w:t>
      </w:r>
      <w:r>
        <w:t xml:space="preserve"> was at a rate of 59.3 births per 1000.</w:t>
      </w:r>
      <w:r>
        <w:rPr>
          <w:rStyle w:val="Rimandonotadichiusura"/>
        </w:rPr>
        <w:endnoteReference w:id="292"/>
      </w:r>
      <w:r>
        <w:t xml:space="preserve"> </w:t>
      </w:r>
      <w:r w:rsidR="003324F3">
        <w:t>That is</w:t>
      </w:r>
      <w:r w:rsidRPr="00E02F15">
        <w:t xml:space="preserve"> 2,203 out of 8,574 total births to all Australian mothers aged </w:t>
      </w:r>
      <w:r w:rsidRPr="000D63A0">
        <w:t>15–</w:t>
      </w:r>
      <w:r w:rsidRPr="00E02F15">
        <w:t>19 years</w:t>
      </w:r>
      <w:r>
        <w:t xml:space="preserve"> (25.7% of total births for this age group)</w:t>
      </w:r>
      <w:r w:rsidRPr="00E02F15">
        <w:t>.</w:t>
      </w:r>
      <w:r w:rsidRPr="00F73166">
        <w:rPr>
          <w:rStyle w:val="Rimandonotadichiusura"/>
        </w:rPr>
        <w:endnoteReference w:id="293"/>
      </w:r>
      <w:r>
        <w:t xml:space="preserve"> Figure</w:t>
      </w:r>
      <w:r w:rsidRPr="00E02F15">
        <w:t xml:space="preserve"> 3.</w:t>
      </w:r>
      <w:r>
        <w:t>3</w:t>
      </w:r>
      <w:r w:rsidRPr="00E02F15">
        <w:t xml:space="preserve"> </w:t>
      </w:r>
      <w:r>
        <w:t xml:space="preserve">shows </w:t>
      </w:r>
      <w:r w:rsidRPr="00E02F15">
        <w:t xml:space="preserve">the birth rate trends for Aboriginal and Torres Strait Islander mothers aged </w:t>
      </w:r>
      <w:r w:rsidRPr="000D63A0">
        <w:t>15–</w:t>
      </w:r>
      <w:r w:rsidRPr="00E02F15">
        <w:t>19</w:t>
      </w:r>
      <w:r>
        <w:t xml:space="preserve"> </w:t>
      </w:r>
      <w:r w:rsidRPr="00E02F15">
        <w:t xml:space="preserve">and non-Indigenous mothers of the same age </w:t>
      </w:r>
      <w:r>
        <w:t xml:space="preserve">group over the past ten years. </w:t>
      </w:r>
    </w:p>
    <w:p w:rsidR="00BF6EDE" w:rsidRDefault="00BF6EDE" w:rsidP="00BF6EDE">
      <w:pPr>
        <w:rPr>
          <w:b/>
        </w:rPr>
      </w:pPr>
      <w:r>
        <w:rPr>
          <w:b/>
        </w:rPr>
        <w:t>Figure 3.3</w:t>
      </w:r>
      <w:r w:rsidR="00F401C4">
        <w:rPr>
          <w:b/>
        </w:rPr>
        <w:t>:</w:t>
      </w:r>
      <w:r w:rsidRPr="00E02F15">
        <w:rPr>
          <w:b/>
        </w:rPr>
        <w:t xml:space="preserve"> </w:t>
      </w:r>
      <w:r>
        <w:rPr>
          <w:b/>
        </w:rPr>
        <w:t xml:space="preserve">The number of births from 2004-2015 to Aboriginal and Torres Strait Islander mothers and non-Aboriginal and Torres Strait Islander mothers aged </w:t>
      </w:r>
      <w:r w:rsidRPr="000D63A0">
        <w:rPr>
          <w:b/>
        </w:rPr>
        <w:t>15–19</w:t>
      </w:r>
      <w:r w:rsidRPr="00F401C4">
        <w:rPr>
          <w:rStyle w:val="Rimandonotadichiusura"/>
        </w:rPr>
        <w:endnoteReference w:id="294"/>
      </w:r>
      <w:r w:rsidRPr="00F401C4">
        <w:t xml:space="preserve"> </w:t>
      </w:r>
    </w:p>
    <w:p w:rsidR="00BF6EDE" w:rsidRPr="00E02F15" w:rsidRDefault="002A0986" w:rsidP="00BF6EDE">
      <w:r>
        <w:rPr>
          <w:noProof/>
          <w:lang w:val="it-IT" w:eastAsia="it-IT"/>
        </w:rPr>
        <w:drawing>
          <wp:inline distT="0" distB="0" distL="0" distR="0" wp14:anchorId="2715F920" wp14:editId="2B71A25C">
            <wp:extent cx="5748655" cy="4372610"/>
            <wp:effectExtent l="0" t="0" r="0" b="0"/>
            <wp:docPr id="15" name="Immagine 15" descr="CRR%20Charts/CRR_2017_Figur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R%20Charts/CRR_2017_Figure_3-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48655" cy="4372610"/>
                    </a:xfrm>
                    <a:prstGeom prst="rect">
                      <a:avLst/>
                    </a:prstGeom>
                    <a:noFill/>
                    <a:ln>
                      <a:noFill/>
                    </a:ln>
                  </pic:spPr>
                </pic:pic>
              </a:graphicData>
            </a:graphic>
          </wp:inline>
        </w:drawing>
      </w:r>
    </w:p>
    <w:p w:rsidR="00BF6EDE" w:rsidRDefault="00BF6EDE" w:rsidP="00BF6EDE">
      <w:r>
        <w:t>A</w:t>
      </w:r>
      <w:r w:rsidRPr="00E02F15">
        <w:t>s seen in Figure 3.</w:t>
      </w:r>
      <w:r>
        <w:t>4</w:t>
      </w:r>
      <w:r w:rsidRPr="00E02F15">
        <w:t xml:space="preserve">, Aboriginal and Torres Strait Islander </w:t>
      </w:r>
      <w:r>
        <w:t>women</w:t>
      </w:r>
      <w:r w:rsidRPr="00E02F15">
        <w:t xml:space="preserve"> have a higher fertility rate than all </w:t>
      </w:r>
      <w:r>
        <w:t xml:space="preserve">other </w:t>
      </w:r>
      <w:r w:rsidRPr="00E02F15">
        <w:t xml:space="preserve">women </w:t>
      </w:r>
      <w:r>
        <w:t xml:space="preserve">in Australia </w:t>
      </w:r>
      <w:r w:rsidRPr="00E02F15">
        <w:t>until the age of 30 when the fertility rates in</w:t>
      </w:r>
      <w:r>
        <w:t>t</w:t>
      </w:r>
      <w:r w:rsidRPr="00E02F15">
        <w:t>ersect.</w:t>
      </w:r>
      <w:r w:rsidRPr="00F73166">
        <w:rPr>
          <w:rStyle w:val="Rimandonotadichiusura"/>
        </w:rPr>
        <w:endnoteReference w:id="295"/>
      </w:r>
    </w:p>
    <w:p w:rsidR="00E46A42" w:rsidRDefault="00E46A42">
      <w:pPr>
        <w:keepLines w:val="0"/>
        <w:spacing w:before="0" w:after="0"/>
      </w:pPr>
      <w:r>
        <w:br w:type="page"/>
      </w:r>
    </w:p>
    <w:p w:rsidR="00E46A42" w:rsidRDefault="00BF6EDE" w:rsidP="00BF6EDE">
      <w:pPr>
        <w:rPr>
          <w:b/>
        </w:rPr>
      </w:pPr>
      <w:r w:rsidRPr="003E0804">
        <w:rPr>
          <w:b/>
        </w:rPr>
        <w:t>Figure 3.4 Comparison of fertility rates per age group for Aboriginal and Torres Strait Islander women and all women in 2015</w:t>
      </w:r>
      <w:r w:rsidRPr="00F73166">
        <w:rPr>
          <w:rStyle w:val="Rimandonotadichiusura"/>
        </w:rPr>
        <w:endnoteReference w:id="296"/>
      </w:r>
    </w:p>
    <w:p w:rsidR="00BF6EDE" w:rsidRPr="00E02F15" w:rsidRDefault="002A0986" w:rsidP="00BF6EDE">
      <w:r>
        <w:rPr>
          <w:noProof/>
          <w:lang w:val="it-IT" w:eastAsia="it-IT"/>
        </w:rPr>
        <w:drawing>
          <wp:inline distT="0" distB="0" distL="0" distR="0" wp14:anchorId="17790ABE" wp14:editId="35853EB0">
            <wp:extent cx="5758180" cy="4382135"/>
            <wp:effectExtent l="0" t="0" r="7620" b="12065"/>
            <wp:docPr id="16" name="Immagine 16" descr="CRR%20Charts/CRR_2017_Figur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R%20Charts/CRR_2017_Figure_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8180" cy="4382135"/>
                    </a:xfrm>
                    <a:prstGeom prst="rect">
                      <a:avLst/>
                    </a:prstGeom>
                    <a:noFill/>
                    <a:ln>
                      <a:noFill/>
                    </a:ln>
                  </pic:spPr>
                </pic:pic>
              </a:graphicData>
            </a:graphic>
          </wp:inline>
        </w:drawing>
      </w:r>
    </w:p>
    <w:p w:rsidR="00BF6EDE" w:rsidRDefault="00BF6EDE" w:rsidP="00BF6EDE">
      <w:r w:rsidRPr="00E02F15">
        <w:t>Historically, the collection and monitoring of data on Aboriginal and Torres Strait Islander population trends, including fertility rates, has been poor.</w:t>
      </w:r>
      <w:r w:rsidRPr="00F73166">
        <w:rPr>
          <w:rStyle w:val="Rimandonotadichiusura"/>
        </w:rPr>
        <w:endnoteReference w:id="297"/>
      </w:r>
      <w:r w:rsidRPr="00E02F15">
        <w:t xml:space="preserve"> Today, there are two m</w:t>
      </w:r>
      <w:r>
        <w:t>ain national data collections — t</w:t>
      </w:r>
      <w:r w:rsidRPr="00E02F15">
        <w:t xml:space="preserve">he </w:t>
      </w:r>
      <w:r>
        <w:t xml:space="preserve">ABS </w:t>
      </w:r>
      <w:r w:rsidRPr="00E02F15">
        <w:t>Birth Registrations Collection</w:t>
      </w:r>
      <w:r>
        <w:t>,</w:t>
      </w:r>
      <w:r w:rsidRPr="00E02F15">
        <w:t xml:space="preserve"> and the </w:t>
      </w:r>
      <w:r>
        <w:t>N</w:t>
      </w:r>
      <w:r w:rsidRPr="00E02F15">
        <w:t>ational Perinatal Data Collection (NPDC)</w:t>
      </w:r>
      <w:r>
        <w:t xml:space="preserve"> collected by the AIHW</w:t>
      </w:r>
      <w:r w:rsidRPr="00E02F15">
        <w:t>.</w:t>
      </w:r>
      <w:r w:rsidRPr="00F73166">
        <w:rPr>
          <w:rStyle w:val="Rimandonotadichiusura"/>
        </w:rPr>
        <w:endnoteReference w:id="298"/>
      </w:r>
      <w:r w:rsidRPr="00E02F15">
        <w:t xml:space="preserve"> </w:t>
      </w:r>
    </w:p>
    <w:p w:rsidR="00BF6EDE" w:rsidRDefault="00BF6EDE" w:rsidP="00592311">
      <w:pPr>
        <w:spacing w:after="400"/>
      </w:pPr>
      <w:r>
        <w:t>T</w:t>
      </w:r>
      <w:r w:rsidRPr="00E02F15">
        <w:t>hese datasets are n</w:t>
      </w:r>
      <w:r>
        <w:t>either</w:t>
      </w:r>
      <w:r w:rsidRPr="00E02F15">
        <w:t xml:space="preserve"> comprehensive nor comparable </w:t>
      </w:r>
      <w:r>
        <w:t xml:space="preserve">across jurisdictions </w:t>
      </w:r>
      <w:r w:rsidRPr="00E02F15">
        <w:t>and as such do not paint a complete picture.</w:t>
      </w:r>
      <w:r w:rsidRPr="00F73166">
        <w:rPr>
          <w:rStyle w:val="Rimandonotadichiusura"/>
        </w:rPr>
        <w:endnoteReference w:id="299"/>
      </w:r>
      <w:r w:rsidRPr="00E02F15">
        <w:t xml:space="preserve"> Importantly, NPDC data on the Indigenous status of mothers only became comparable nationally in 2005</w:t>
      </w:r>
      <w:r>
        <w:t>,</w:t>
      </w:r>
      <w:r w:rsidRPr="00E02F15">
        <w:t xml:space="preserve"> and t</w:t>
      </w:r>
      <w:r>
        <w:t>he Indigenous status of babies h</w:t>
      </w:r>
      <w:r w:rsidRPr="00E02F15">
        <w:t xml:space="preserve">as only </w:t>
      </w:r>
      <w:r>
        <w:t xml:space="preserve">become </w:t>
      </w:r>
      <w:r w:rsidRPr="00E02F15">
        <w:t xml:space="preserve">comparable across some jurisdictions </w:t>
      </w:r>
      <w:r>
        <w:t>since</w:t>
      </w:r>
      <w:r w:rsidRPr="00E02F15">
        <w:t xml:space="preserve"> 2012.</w:t>
      </w:r>
      <w:r w:rsidRPr="00F73166">
        <w:rPr>
          <w:rStyle w:val="Rimandonotadichiusura"/>
        </w:rPr>
        <w:endnoteReference w:id="300"/>
      </w:r>
      <w:r w:rsidRPr="00E02F15">
        <w:t xml:space="preserve"> These datasets are </w:t>
      </w:r>
      <w:r>
        <w:t xml:space="preserve">quite recent, </w:t>
      </w:r>
      <w:r w:rsidRPr="00E02F15">
        <w:t>provid</w:t>
      </w:r>
      <w:r>
        <w:t>ing</w:t>
      </w:r>
      <w:r w:rsidRPr="00E02F15">
        <w:t xml:space="preserve"> researchers </w:t>
      </w:r>
      <w:r>
        <w:t>with limited</w:t>
      </w:r>
      <w:r w:rsidRPr="00E02F15">
        <w:t xml:space="preserve"> insight into the </w:t>
      </w:r>
      <w:r>
        <w:t xml:space="preserve">long term </w:t>
      </w:r>
      <w:r w:rsidRPr="00E02F15">
        <w:t xml:space="preserve">population and fertility trends of Aboriginal and Torres Strait Islander peoples. </w:t>
      </w:r>
    </w:p>
    <w:tbl>
      <w:tblPr>
        <w:tblStyle w:val="Grigliatabella"/>
        <w:tblW w:w="0" w:type="auto"/>
        <w:shd w:val="clear" w:color="auto" w:fill="E7E6E6" w:themeFill="background2"/>
        <w:tblCellMar>
          <w:left w:w="284" w:type="dxa"/>
          <w:right w:w="284" w:type="dxa"/>
        </w:tblCellMar>
        <w:tblLook w:val="04A0" w:firstRow="1" w:lastRow="0" w:firstColumn="1" w:lastColumn="0" w:noHBand="0" w:noVBand="1"/>
      </w:tblPr>
      <w:tblGrid>
        <w:gridCol w:w="9060"/>
      </w:tblGrid>
      <w:tr w:rsidR="00BF6EDE" w:rsidTr="007F14C2">
        <w:tc>
          <w:tcPr>
            <w:tcW w:w="9060" w:type="dxa"/>
            <w:shd w:val="clear" w:color="auto" w:fill="E7E6E6" w:themeFill="background2"/>
          </w:tcPr>
          <w:p w:rsidR="00BF6EDE" w:rsidRDefault="00BF6EDE" w:rsidP="001E3A21">
            <w:r w:rsidRPr="00DB1C2F">
              <w:rPr>
                <w:b/>
              </w:rPr>
              <w:t xml:space="preserve">Recommendation </w:t>
            </w:r>
            <w:r>
              <w:rPr>
                <w:b/>
              </w:rPr>
              <w:t>1</w:t>
            </w:r>
            <w:r w:rsidRPr="00DB1C2F">
              <w:rPr>
                <w:b/>
              </w:rPr>
              <w:t xml:space="preserve">: </w:t>
            </w:r>
            <w:r w:rsidRPr="005A4D38">
              <w:t>The Australian Institute of Health and Welfare and the Australian Bureau of Statistics</w:t>
            </w:r>
            <w:r>
              <w:t xml:space="preserve"> should work </w:t>
            </w:r>
            <w:r w:rsidRPr="00DB1C2F">
              <w:t xml:space="preserve">with state and territory governments to ensure that national data on fertility </w:t>
            </w:r>
            <w:r>
              <w:t>rates</w:t>
            </w:r>
            <w:r w:rsidRPr="00DB1C2F">
              <w:t xml:space="preserve"> consistently record age, sex, indigeneity and remoteness.</w:t>
            </w:r>
            <w:r>
              <w:rPr>
                <w:b/>
              </w:rPr>
              <w:t xml:space="preserve"> </w:t>
            </w:r>
          </w:p>
        </w:tc>
      </w:tr>
    </w:tbl>
    <w:p w:rsidR="00BF6EDE" w:rsidRPr="00E02F15" w:rsidRDefault="00BF6EDE" w:rsidP="00592311">
      <w:pPr>
        <w:spacing w:before="400"/>
      </w:pPr>
      <w:r w:rsidRPr="00E02F15">
        <w:t xml:space="preserve">In the </w:t>
      </w:r>
      <w:r>
        <w:t xml:space="preserve">NT— </w:t>
      </w:r>
      <w:r w:rsidRPr="00E02F15">
        <w:t>the jurisdiction with the highest Indigenous te</w:t>
      </w:r>
      <w:r>
        <w:t xml:space="preserve">enage fertility rate — </w:t>
      </w:r>
      <w:r w:rsidRPr="00E02F15">
        <w:t>the collection of population and fertility trends is considered more accurate than in other jurisdictions.</w:t>
      </w:r>
      <w:r w:rsidRPr="00F73166">
        <w:rPr>
          <w:rStyle w:val="Rimandonotadichiusura"/>
        </w:rPr>
        <w:endnoteReference w:id="301"/>
      </w:r>
      <w:r w:rsidRPr="00E02F15">
        <w:t xml:space="preserve"> Even so, limitations</w:t>
      </w:r>
      <w:r>
        <w:t xml:space="preserve"> remain</w:t>
      </w:r>
      <w:r w:rsidRPr="00E02F15">
        <w:t>. Similar to the national datasets, NT datasets are largely dependent on individuals’ ‘self-identification of [I]ndigenous status’.</w:t>
      </w:r>
      <w:r w:rsidRPr="00F73166">
        <w:rPr>
          <w:rStyle w:val="Rimandonotadichiusura"/>
        </w:rPr>
        <w:endnoteReference w:id="302"/>
      </w:r>
      <w:r w:rsidRPr="00E02F15">
        <w:t xml:space="preserve"> There are also issues relating to the way that births are recorded.</w:t>
      </w:r>
      <w:r w:rsidRPr="00F73166">
        <w:rPr>
          <w:rStyle w:val="Rimandonotadichiusura"/>
        </w:rPr>
        <w:endnoteReference w:id="303"/>
      </w:r>
      <w:r w:rsidRPr="00E02F15">
        <w:t xml:space="preserve"> </w:t>
      </w:r>
      <w:r>
        <w:t>T</w:t>
      </w:r>
      <w:r w:rsidRPr="00E02F15">
        <w:t>he datasets are unable to reveal the differences between r</w:t>
      </w:r>
      <w:r>
        <w:t>ural and urban population trends</w:t>
      </w:r>
      <w:r w:rsidRPr="00E02F15">
        <w:t>.</w:t>
      </w:r>
      <w:r w:rsidRPr="00F73166">
        <w:rPr>
          <w:rStyle w:val="Rimandonotadichiusura"/>
        </w:rPr>
        <w:endnoteReference w:id="304"/>
      </w:r>
      <w:r w:rsidRPr="00E02F15">
        <w:t xml:space="preserve"> </w:t>
      </w:r>
    </w:p>
    <w:p w:rsidR="00BF6EDE" w:rsidRPr="00E02F15" w:rsidRDefault="00BF6EDE" w:rsidP="00BF6EDE">
      <w:r w:rsidRPr="00E02F15">
        <w:t>Despite these shortcomings, the available data shows that Aboriginal and Torres Strait Islander women in the NT are highly likely to have their first child as a teenager,</w:t>
      </w:r>
      <w:r>
        <w:t xml:space="preserve"> with the probability</w:t>
      </w:r>
      <w:r w:rsidRPr="00E02F15">
        <w:t xml:space="preserve"> of teenage pregnancy being much greater in rural and remote areas than urban centres.</w:t>
      </w:r>
      <w:r w:rsidRPr="00F73166">
        <w:rPr>
          <w:rStyle w:val="Rimandonotadichiusura"/>
        </w:rPr>
        <w:endnoteReference w:id="305"/>
      </w:r>
      <w:r w:rsidRPr="00E02F15">
        <w:t xml:space="preserve"> Similarly, participation in employment (and</w:t>
      </w:r>
      <w:r w:rsidR="003324F3">
        <w:t>,</w:t>
      </w:r>
      <w:r w:rsidRPr="00E02F15">
        <w:t xml:space="preserve"> to a limited degree, education) is less likely to affect the fertility rate of teenage mothers in rural and remote locations of the NT in comparison with urban areas.</w:t>
      </w:r>
      <w:r w:rsidRPr="00F73166">
        <w:rPr>
          <w:rStyle w:val="Rimandonotadichiusura"/>
        </w:rPr>
        <w:endnoteReference w:id="306"/>
      </w:r>
      <w:r w:rsidRPr="00E02F15">
        <w:t xml:space="preserve"> </w:t>
      </w:r>
      <w:r>
        <w:t>It is worth noting that the ABS defines all areas of the NT outside of Darwin as ‘remote’ or ‘very remote’.</w:t>
      </w:r>
      <w:r w:rsidRPr="00F73166">
        <w:rPr>
          <w:rStyle w:val="Rimandonotadichiusura"/>
        </w:rPr>
        <w:endnoteReference w:id="307"/>
      </w:r>
    </w:p>
    <w:p w:rsidR="00BF6EDE" w:rsidRDefault="00BF6EDE" w:rsidP="00BF6EDE">
      <w:r>
        <w:t>Commentators note that p</w:t>
      </w:r>
      <w:r w:rsidRPr="00E02F15">
        <w:t>rograms to support Aboriginal and Torres Strait Islander mothers and their children</w:t>
      </w:r>
      <w:r>
        <w:t>,</w:t>
      </w:r>
      <w:r w:rsidRPr="00E02F15">
        <w:t xml:space="preserve"> as well as parenting programs</w:t>
      </w:r>
      <w:r>
        <w:t>,</w:t>
      </w:r>
      <w:r w:rsidRPr="00E02F15">
        <w:t xml:space="preserve"> need to be culturally appropriate in order to be effective.</w:t>
      </w:r>
      <w:r w:rsidRPr="00F73166">
        <w:rPr>
          <w:rStyle w:val="Rimandonotadichiusura"/>
        </w:rPr>
        <w:endnoteReference w:id="308"/>
      </w:r>
      <w:r w:rsidRPr="00E02F15">
        <w:t xml:space="preserve"> The Healing Foundation has identified the need for programs to acknowledge the impact of intergenerational trauma and the ‘collective trauma’ that Indigenous communities experience.</w:t>
      </w:r>
      <w:r w:rsidRPr="00F73166">
        <w:rPr>
          <w:rStyle w:val="Rimandonotadichiusura"/>
        </w:rPr>
        <w:endnoteReference w:id="309"/>
      </w:r>
      <w:r w:rsidRPr="00E02F15">
        <w:t xml:space="preserve"> Ad</w:t>
      </w:r>
      <w:r>
        <w:t>opting an ‘Indigenous spin’ on W</w:t>
      </w:r>
      <w:r w:rsidRPr="00E02F15">
        <w:t xml:space="preserve">estern health models and programs is </w:t>
      </w:r>
      <w:r>
        <w:t>generally considered to be un</w:t>
      </w:r>
      <w:r w:rsidRPr="00E02F15">
        <w:t>successful.</w:t>
      </w:r>
      <w:r w:rsidRPr="00F73166">
        <w:rPr>
          <w:rStyle w:val="Rimandonotadichiusura"/>
        </w:rPr>
        <w:endnoteReference w:id="310"/>
      </w:r>
      <w:r>
        <w:t xml:space="preserve"> Instead, </w:t>
      </w:r>
      <w:r w:rsidRPr="00E02F15">
        <w:t>empowerment</w:t>
      </w:r>
      <w:r>
        <w:t>-</w:t>
      </w:r>
      <w:r w:rsidRPr="00E02F15">
        <w:t>based approach</w:t>
      </w:r>
      <w:r>
        <w:t>es</w:t>
      </w:r>
      <w:r w:rsidRPr="00E02F15">
        <w:t xml:space="preserve"> to healing and community engagement </w:t>
      </w:r>
      <w:r>
        <w:t xml:space="preserve">are </w:t>
      </w:r>
      <w:r w:rsidRPr="00E02F15">
        <w:t>recommended as a strategy to re-connect individuals to community, including in relation to parenting programs.</w:t>
      </w:r>
      <w:r w:rsidRPr="00F73166">
        <w:rPr>
          <w:rStyle w:val="Rimandonotadichiusura"/>
        </w:rPr>
        <w:endnoteReference w:id="311"/>
      </w:r>
      <w:r w:rsidRPr="00E02F15">
        <w:t xml:space="preserve"> </w:t>
      </w:r>
    </w:p>
    <w:p w:rsidR="00BF6EDE" w:rsidRPr="00135B6A" w:rsidRDefault="00BF6EDE" w:rsidP="00BF6EDE">
      <w:pPr>
        <w:pStyle w:val="Titolo4"/>
        <w:rPr>
          <w:szCs w:val="24"/>
        </w:rPr>
      </w:pPr>
      <w:r w:rsidRPr="00135B6A">
        <w:rPr>
          <w:szCs w:val="24"/>
        </w:rPr>
        <w:t>Youn</w:t>
      </w:r>
      <w:r w:rsidR="00BD6076">
        <w:rPr>
          <w:szCs w:val="24"/>
        </w:rPr>
        <w:t>g parents in the justice system</w:t>
      </w:r>
    </w:p>
    <w:p w:rsidR="00BF6EDE" w:rsidRPr="00F93DB5" w:rsidRDefault="00BF6EDE" w:rsidP="00BF6EDE">
      <w:r>
        <w:t>D</w:t>
      </w:r>
      <w:r w:rsidRPr="00F93DB5">
        <w:t>ata regarding the number of young parents within the juvenile justice system nationally is not readily available in any jurisdiction. Further, the number of children affected by parental (in particular</w:t>
      </w:r>
      <w:r>
        <w:t>,</w:t>
      </w:r>
      <w:r w:rsidRPr="00F93DB5">
        <w:t xml:space="preserve"> maternal) incarceration in Australia is unknown. </w:t>
      </w:r>
    </w:p>
    <w:p w:rsidR="00BF6EDE" w:rsidRPr="00F93DB5" w:rsidRDefault="00BF6EDE" w:rsidP="00BF6EDE">
      <w:r w:rsidRPr="00F93DB5">
        <w:t xml:space="preserve">Data from NSW’s </w:t>
      </w:r>
      <w:r w:rsidRPr="00F93DB5">
        <w:rPr>
          <w:i/>
        </w:rPr>
        <w:t>2009 Inmate Health Survey</w:t>
      </w:r>
      <w:r w:rsidRPr="00F93DB5">
        <w:t xml:space="preserve"> for women offenders found that 49</w:t>
      </w:r>
      <w:r>
        <w:t>% of</w:t>
      </w:r>
      <w:r w:rsidRPr="00F93DB5">
        <w:t xml:space="preserve"> women offenders are mothers of children aged 16 or under, 32</w:t>
      </w:r>
      <w:r>
        <w:t>%</w:t>
      </w:r>
      <w:r w:rsidRPr="00F93DB5">
        <w:t xml:space="preserve"> were in care as children</w:t>
      </w:r>
      <w:r>
        <w:t>,</w:t>
      </w:r>
      <w:r w:rsidRPr="00F93DB5">
        <w:t xml:space="preserve"> and 45</w:t>
      </w:r>
      <w:r>
        <w:t>%</w:t>
      </w:r>
      <w:r w:rsidRPr="00F93DB5">
        <w:t xml:space="preserve"> left school before completing year 10.</w:t>
      </w:r>
      <w:r w:rsidRPr="00F73166">
        <w:rPr>
          <w:rStyle w:val="Rimandonotadichiusura"/>
        </w:rPr>
        <w:endnoteReference w:id="312"/>
      </w:r>
      <w:r w:rsidRPr="00F93DB5">
        <w:t xml:space="preserve"> However, it is important to note that there is no data available </w:t>
      </w:r>
      <w:r w:rsidR="00007238">
        <w:t xml:space="preserve">regarding </w:t>
      </w:r>
      <w:r w:rsidRPr="00F93DB5">
        <w:t xml:space="preserve">whether current female prison inmates </w:t>
      </w:r>
      <w:r>
        <w:t xml:space="preserve">are, or have </w:t>
      </w:r>
      <w:r w:rsidRPr="00F93DB5">
        <w:t>been</w:t>
      </w:r>
      <w:r>
        <w:t>,</w:t>
      </w:r>
      <w:r w:rsidRPr="00F93DB5">
        <w:t xml:space="preserve"> young parents. Similarly, there is no data collected on the parenting status of young people in juvenile detention facilities. </w:t>
      </w:r>
    </w:p>
    <w:p w:rsidR="00BF6EDE" w:rsidRPr="00F93DB5" w:rsidRDefault="00BF6EDE" w:rsidP="00BF6EDE">
      <w:r w:rsidRPr="00F93DB5">
        <w:t xml:space="preserve">This lack of data restricts government from developing and implementing policy and programs </w:t>
      </w:r>
      <w:r>
        <w:t xml:space="preserve">that </w:t>
      </w:r>
      <w:r w:rsidRPr="00F93DB5">
        <w:t>effectively me</w:t>
      </w:r>
      <w:r>
        <w:t xml:space="preserve">et the needs of young parents — </w:t>
      </w:r>
      <w:r w:rsidRPr="00F93DB5">
        <w:t>both female and male</w:t>
      </w:r>
      <w:r>
        <w:t xml:space="preserve"> — and their children.</w:t>
      </w:r>
    </w:p>
    <w:p w:rsidR="00BF6EDE" w:rsidRDefault="00BF6EDE" w:rsidP="00BF6EDE">
      <w:r w:rsidRPr="00F93DB5">
        <w:t>The impact of parental (in particular</w:t>
      </w:r>
      <w:r>
        <w:t>,</w:t>
      </w:r>
      <w:r w:rsidRPr="00F93DB5">
        <w:t xml:space="preserve"> maternal) incarceration on children is well documented</w:t>
      </w:r>
      <w:r>
        <w:t>.</w:t>
      </w:r>
      <w:r>
        <w:rPr>
          <w:rStyle w:val="Rimandonotadichiusura"/>
        </w:rPr>
        <w:endnoteReference w:id="313"/>
      </w:r>
      <w:r>
        <w:t xml:space="preserve"> W</w:t>
      </w:r>
      <w:r w:rsidRPr="00F93DB5">
        <w:t>ith the female prison population increasing</w:t>
      </w:r>
      <w:r>
        <w:t>,</w:t>
      </w:r>
      <w:r w:rsidRPr="00F93DB5">
        <w:t xml:space="preserve"> policies and programs are needed to support vulnerable women and their children prior to and during incarceration.</w:t>
      </w:r>
      <w:r w:rsidRPr="003E2C10">
        <w:rPr>
          <w:sz w:val="20"/>
          <w:vertAlign w:val="superscript"/>
        </w:rPr>
        <w:endnoteReference w:id="314"/>
      </w:r>
      <w:r>
        <w:t xml:space="preserve"> </w:t>
      </w:r>
    </w:p>
    <w:p w:rsidR="00BF6EDE" w:rsidRDefault="00BF6EDE" w:rsidP="00BF6EDE">
      <w:r>
        <w:t xml:space="preserve">The </w:t>
      </w:r>
      <w:r w:rsidRPr="00F93DB5">
        <w:t>Aboriginal and Torres Strait Islander women</w:t>
      </w:r>
      <w:r>
        <w:t>’</w:t>
      </w:r>
      <w:r w:rsidRPr="00F93DB5">
        <w:t>s</w:t>
      </w:r>
      <w:r>
        <w:t xml:space="preserve"> </w:t>
      </w:r>
      <w:r w:rsidRPr="00F93DB5">
        <w:t xml:space="preserve">incarceration </w:t>
      </w:r>
      <w:r>
        <w:t>rate is</w:t>
      </w:r>
      <w:r w:rsidRPr="00F93DB5">
        <w:t xml:space="preserve"> at 34</w:t>
      </w:r>
      <w:r>
        <w:t>% of the national population incarceration trends.</w:t>
      </w:r>
      <w:r w:rsidRPr="00F73166">
        <w:rPr>
          <w:rStyle w:val="Rimandonotadichiusura"/>
        </w:rPr>
        <w:endnoteReference w:id="315"/>
      </w:r>
      <w:r w:rsidRPr="00F93DB5">
        <w:t xml:space="preserve"> </w:t>
      </w:r>
      <w:r>
        <w:t xml:space="preserve">Preventative programs </w:t>
      </w:r>
      <w:r w:rsidRPr="00F93DB5">
        <w:t>which facilitate and support ‘healthy child-parent relationships’ ‘may contribute to the prevention of intergenerational incarceration’.</w:t>
      </w:r>
      <w:r w:rsidRPr="00F73166">
        <w:rPr>
          <w:rStyle w:val="Rimandonotadichiusura"/>
        </w:rPr>
        <w:endnoteReference w:id="316"/>
      </w:r>
      <w:r w:rsidRPr="00F93DB5">
        <w:t xml:space="preserve"> </w:t>
      </w:r>
      <w:r>
        <w:t xml:space="preserve">An example of a parenting program for incarcerated mothers and their children is the Mothers and Children’s Program at Emu Plains Correctional Centre (see Box 1), which enables children to remain with their mothers in custody. </w:t>
      </w:r>
    </w:p>
    <w:p w:rsidR="00BF6EDE" w:rsidRDefault="00BF6EDE" w:rsidP="00F164A7">
      <w:pPr>
        <w:spacing w:after="400"/>
      </w:pPr>
      <w:r>
        <w:t>In addition,</w:t>
      </w:r>
      <w:r w:rsidRPr="00F93DB5">
        <w:t xml:space="preserve"> a</w:t>
      </w:r>
      <w:r>
        <w:t xml:space="preserve">s recommended </w:t>
      </w:r>
      <w:r w:rsidRPr="00F93DB5">
        <w:t>by Aboriginal and Torres Strait Islander Social Justice Commissioner June Oscar, alternative sentencing options for suitable young offenders, such as home detention, could enable parents to remain at home with their children and establish stability in their child’s life.</w:t>
      </w:r>
      <w:r w:rsidRPr="00F73166">
        <w:rPr>
          <w:rStyle w:val="Rimandonotadichiusura"/>
        </w:rPr>
        <w:endnoteReference w:id="317"/>
      </w:r>
      <w:r w:rsidRPr="00F93DB5">
        <w:t xml:space="preserve"> </w:t>
      </w:r>
    </w:p>
    <w:tbl>
      <w:tblPr>
        <w:tblStyle w:val="Grigliatabella"/>
        <w:tblW w:w="0" w:type="auto"/>
        <w:shd w:val="clear" w:color="auto" w:fill="E7E6E6" w:themeFill="background2"/>
        <w:tblCellMar>
          <w:left w:w="284" w:type="dxa"/>
          <w:right w:w="284" w:type="dxa"/>
        </w:tblCellMar>
        <w:tblLook w:val="04A0" w:firstRow="1" w:lastRow="0" w:firstColumn="1" w:lastColumn="0" w:noHBand="0" w:noVBand="1"/>
      </w:tblPr>
      <w:tblGrid>
        <w:gridCol w:w="9060"/>
      </w:tblGrid>
      <w:tr w:rsidR="00BF6EDE" w:rsidTr="007F14C2">
        <w:tc>
          <w:tcPr>
            <w:tcW w:w="9060" w:type="dxa"/>
            <w:shd w:val="clear" w:color="auto" w:fill="E7E6E6" w:themeFill="background2"/>
          </w:tcPr>
          <w:p w:rsidR="00BF6EDE" w:rsidRDefault="00BF6EDE" w:rsidP="001E3A21">
            <w:r w:rsidRPr="00DB1C2F">
              <w:rPr>
                <w:b/>
              </w:rPr>
              <w:t xml:space="preserve">Recommendation </w:t>
            </w:r>
            <w:r>
              <w:rPr>
                <w:b/>
              </w:rPr>
              <w:t>2</w:t>
            </w:r>
            <w:r w:rsidRPr="00DB1C2F">
              <w:t>:</w:t>
            </w:r>
            <w:r>
              <w:t xml:space="preserve"> The</w:t>
            </w:r>
            <w:r w:rsidRPr="00F93DB5">
              <w:rPr>
                <w:i/>
              </w:rPr>
              <w:t xml:space="preserve"> </w:t>
            </w:r>
            <w:r>
              <w:t xml:space="preserve">Australian Institute of Health and Welfare should work with </w:t>
            </w:r>
            <w:r w:rsidRPr="00F93DB5">
              <w:t xml:space="preserve">state and territory governments </w:t>
            </w:r>
            <w:r>
              <w:t>to</w:t>
            </w:r>
            <w:r w:rsidRPr="00F93DB5">
              <w:t xml:space="preserve"> collect nationally-consistent data</w:t>
            </w:r>
            <w:r>
              <w:t>,</w:t>
            </w:r>
            <w:r w:rsidRPr="00F93DB5">
              <w:t xml:space="preserve"> over time</w:t>
            </w:r>
            <w:r>
              <w:t>,</w:t>
            </w:r>
            <w:r w:rsidRPr="00F93DB5">
              <w:t xml:space="preserve"> on the</w:t>
            </w:r>
            <w:r>
              <w:t xml:space="preserve"> characteristics and </w:t>
            </w:r>
            <w:r w:rsidRPr="00F93DB5">
              <w:t>number of young parents in detention</w:t>
            </w:r>
            <w:r>
              <w:t>.</w:t>
            </w:r>
          </w:p>
        </w:tc>
      </w:tr>
    </w:tbl>
    <w:p w:rsidR="00BF6EDE" w:rsidRDefault="00BF6EDE" w:rsidP="006F424A"/>
    <w:tbl>
      <w:tblPr>
        <w:tblStyle w:val="Grigliatabella"/>
        <w:tblW w:w="0" w:type="auto"/>
        <w:shd w:val="clear" w:color="auto" w:fill="E7E6E6" w:themeFill="background2"/>
        <w:tblCellMar>
          <w:left w:w="284" w:type="dxa"/>
          <w:right w:w="284" w:type="dxa"/>
        </w:tblCellMar>
        <w:tblLook w:val="04A0" w:firstRow="1" w:lastRow="0" w:firstColumn="1" w:lastColumn="0" w:noHBand="0" w:noVBand="1"/>
      </w:tblPr>
      <w:tblGrid>
        <w:gridCol w:w="9060"/>
      </w:tblGrid>
      <w:tr w:rsidR="00BF6EDE" w:rsidTr="007F14C2">
        <w:tc>
          <w:tcPr>
            <w:tcW w:w="9060" w:type="dxa"/>
            <w:shd w:val="clear" w:color="auto" w:fill="E7E6E6" w:themeFill="background2"/>
          </w:tcPr>
          <w:p w:rsidR="00BF6EDE" w:rsidRDefault="00BF6EDE" w:rsidP="001E3A21">
            <w:r w:rsidRPr="00DB1C2F">
              <w:rPr>
                <w:b/>
              </w:rPr>
              <w:t xml:space="preserve">Recommendation </w:t>
            </w:r>
            <w:r>
              <w:rPr>
                <w:b/>
              </w:rPr>
              <w:t>3</w:t>
            </w:r>
            <w:r w:rsidRPr="00DB1C2F">
              <w:t>:</w:t>
            </w:r>
            <w:r w:rsidRPr="00F93DB5">
              <w:t xml:space="preserve"> </w:t>
            </w:r>
            <w:r w:rsidRPr="000D23CF">
              <w:rPr>
                <w:rFonts w:cs="Arial"/>
              </w:rPr>
              <w:t>State and territory governments should explore the use of alternative sentencing options, such as home detention, for offenders who are young parents. Where a young parent who is a primary carer is given a custodial sentence, programs which allow them to remain with their children should be made available, when this is in t</w:t>
            </w:r>
            <w:r w:rsidR="00135B6A">
              <w:rPr>
                <w:rFonts w:cs="Arial"/>
              </w:rPr>
              <w:t>he best interests of the child.</w:t>
            </w:r>
          </w:p>
        </w:tc>
      </w:tr>
    </w:tbl>
    <w:p w:rsidR="00BF6EDE" w:rsidRDefault="00BF6EDE" w:rsidP="006F424A"/>
    <w:tbl>
      <w:tblPr>
        <w:tblStyle w:val="Grigliatabella"/>
        <w:tblW w:w="0" w:type="auto"/>
        <w:tblCellMar>
          <w:left w:w="284" w:type="dxa"/>
          <w:right w:w="284" w:type="dxa"/>
        </w:tblCellMar>
        <w:tblLook w:val="04A0" w:firstRow="1" w:lastRow="0" w:firstColumn="1" w:lastColumn="0" w:noHBand="0" w:noVBand="1"/>
      </w:tblPr>
      <w:tblGrid>
        <w:gridCol w:w="9060"/>
      </w:tblGrid>
      <w:tr w:rsidR="00BF6EDE" w:rsidTr="00135B6A">
        <w:tc>
          <w:tcPr>
            <w:tcW w:w="9060" w:type="dxa"/>
            <w:shd w:val="clear" w:color="auto" w:fill="auto"/>
          </w:tcPr>
          <w:p w:rsidR="00BF6EDE" w:rsidRDefault="00BF6EDE" w:rsidP="001E3A21">
            <w:pPr>
              <w:rPr>
                <w:b/>
              </w:rPr>
            </w:pPr>
            <w:r w:rsidRPr="00DB1C2F">
              <w:rPr>
                <w:b/>
              </w:rPr>
              <w:t>Box 1</w:t>
            </w:r>
            <w:r>
              <w:rPr>
                <w:b/>
              </w:rPr>
              <w:t xml:space="preserve">: </w:t>
            </w:r>
            <w:r w:rsidRPr="00DB1C2F">
              <w:rPr>
                <w:b/>
              </w:rPr>
              <w:t>NSW Corrective Services, Mothers and Children’s Program,</w:t>
            </w:r>
            <w:r>
              <w:rPr>
                <w:b/>
              </w:rPr>
              <w:t xml:space="preserve"> Emu Plains Correctional Centre</w:t>
            </w:r>
            <w:r w:rsidRPr="00F73166">
              <w:rPr>
                <w:rStyle w:val="Rimandonotadichiusura"/>
              </w:rPr>
              <w:endnoteReference w:id="318"/>
            </w:r>
          </w:p>
          <w:p w:rsidR="00BF6EDE" w:rsidRPr="00DB1C2F" w:rsidRDefault="00BF6EDE" w:rsidP="001E3A21">
            <w:r w:rsidRPr="00DB1C2F">
              <w:t>The Mothers and Children’s Program (the Program) at Emu Plains Correctional Centre Jacaranda Cottages, established in December 1996, offers options to female offenders who wish to maintain an active parenting role in the lives of their children while serving a custodial sentence.</w:t>
            </w:r>
          </w:p>
          <w:p w:rsidR="00BF6EDE" w:rsidRPr="00DB1C2F" w:rsidRDefault="00BF6EDE" w:rsidP="001E3A21">
            <w:r w:rsidRPr="00DB1C2F">
              <w:t>The guiding principle of the Program is the best interests of the child and a strong child-centred approach is applied at all times. The Program attracts national</w:t>
            </w:r>
            <w:r>
              <w:t xml:space="preserve"> and international attention. It</w:t>
            </w:r>
            <w:r w:rsidRPr="00DB1C2F">
              <w:t xml:space="preserve"> is regularly visited by national and international delegates</w:t>
            </w:r>
            <w:r>
              <w:t>,</w:t>
            </w:r>
            <w:r w:rsidRPr="00DB1C2F">
              <w:t xml:space="preserve"> due to its strong child-centred approach and its ability to support mothers and their children to remain together in custody. </w:t>
            </w:r>
          </w:p>
          <w:p w:rsidR="00BF6EDE" w:rsidRPr="00DB1C2F" w:rsidRDefault="00BF6EDE" w:rsidP="001E3A21">
            <w:pPr>
              <w:rPr>
                <w:b/>
              </w:rPr>
            </w:pPr>
            <w:r w:rsidRPr="00DB1C2F">
              <w:rPr>
                <w:b/>
              </w:rPr>
              <w:t xml:space="preserve">Program </w:t>
            </w:r>
            <w:r>
              <w:rPr>
                <w:b/>
              </w:rPr>
              <w:t>f</w:t>
            </w:r>
            <w:r w:rsidRPr="00DB1C2F">
              <w:rPr>
                <w:b/>
              </w:rPr>
              <w:t>eatures</w:t>
            </w:r>
          </w:p>
          <w:p w:rsidR="00BF6EDE" w:rsidRPr="00945CE1" w:rsidRDefault="00BF6EDE" w:rsidP="00222517">
            <w:pPr>
              <w:numPr>
                <w:ilvl w:val="0"/>
                <w:numId w:val="153"/>
              </w:numPr>
            </w:pPr>
            <w:r w:rsidRPr="00945CE1">
              <w:t xml:space="preserve">The Program has the capacity to house 24 women and up to 32 children at Jacaranda Cottages. </w:t>
            </w:r>
          </w:p>
          <w:p w:rsidR="00BF6EDE" w:rsidRPr="00DB1C2F" w:rsidRDefault="00BF6EDE" w:rsidP="00883044">
            <w:pPr>
              <w:spacing w:before="600"/>
            </w:pPr>
            <w:r w:rsidRPr="00DB1C2F">
              <w:t xml:space="preserve">There are two streams available to mothers: </w:t>
            </w:r>
          </w:p>
          <w:p w:rsidR="00BF6EDE" w:rsidRPr="00DB1C2F" w:rsidRDefault="00BF6EDE" w:rsidP="00F164A7">
            <w:pPr>
              <w:numPr>
                <w:ilvl w:val="0"/>
                <w:numId w:val="152"/>
              </w:numPr>
              <w:spacing w:after="0"/>
              <w:ind w:left="714" w:hanging="357"/>
            </w:pPr>
            <w:r>
              <w:rPr>
                <w:b/>
              </w:rPr>
              <w:t>Full</w:t>
            </w:r>
            <w:r w:rsidR="00EF661D">
              <w:rPr>
                <w:b/>
              </w:rPr>
              <w:t>-</w:t>
            </w:r>
            <w:r>
              <w:rPr>
                <w:b/>
              </w:rPr>
              <w:t>time residential p</w:t>
            </w:r>
            <w:r w:rsidRPr="00DB1C2F">
              <w:rPr>
                <w:b/>
              </w:rPr>
              <w:t>rogram</w:t>
            </w:r>
            <w:r>
              <w:rPr>
                <w:b/>
              </w:rPr>
              <w:t xml:space="preserve">, </w:t>
            </w:r>
            <w:r w:rsidRPr="00DB1C2F">
              <w:t>which enables children up to age s</w:t>
            </w:r>
            <w:r>
              <w:t>ix to live at the facility full</w:t>
            </w:r>
            <w:r w:rsidR="00EF661D">
              <w:t>-</w:t>
            </w:r>
            <w:r w:rsidRPr="00DB1C2F">
              <w:t xml:space="preserve">time. </w:t>
            </w:r>
          </w:p>
          <w:p w:rsidR="006E3FD3" w:rsidRDefault="00BF6EDE" w:rsidP="001E3A21">
            <w:pPr>
              <w:numPr>
                <w:ilvl w:val="0"/>
                <w:numId w:val="152"/>
              </w:numPr>
              <w:spacing w:before="0"/>
              <w:ind w:left="714" w:hanging="357"/>
            </w:pPr>
            <w:r>
              <w:rPr>
                <w:b/>
              </w:rPr>
              <w:t>Occasional residential p</w:t>
            </w:r>
            <w:r w:rsidRPr="00DB1C2F">
              <w:rPr>
                <w:b/>
              </w:rPr>
              <w:t>rogram</w:t>
            </w:r>
            <w:r>
              <w:rPr>
                <w:b/>
              </w:rPr>
              <w:t xml:space="preserve">, </w:t>
            </w:r>
            <w:r w:rsidRPr="00DB1C2F">
              <w:t xml:space="preserve">which enables children up to age 12 to stay with their mother on weekends and/or during school holidays. </w:t>
            </w:r>
          </w:p>
          <w:p w:rsidR="00BF6EDE" w:rsidRPr="004C277D" w:rsidRDefault="00BF6EDE" w:rsidP="00883044">
            <w:r w:rsidRPr="004C277D">
              <w:t xml:space="preserve">Women and children in the Program have access to the following services: </w:t>
            </w:r>
          </w:p>
          <w:p w:rsidR="00BF6EDE" w:rsidRPr="00DB1C2F" w:rsidRDefault="00BF6EDE" w:rsidP="00222517">
            <w:pPr>
              <w:pStyle w:val="Paragrafoelenco"/>
              <w:numPr>
                <w:ilvl w:val="0"/>
                <w:numId w:val="153"/>
              </w:numPr>
              <w:jc w:val="left"/>
              <w:rPr>
                <w:lang w:val="en-US"/>
              </w:rPr>
            </w:pPr>
            <w:r>
              <w:rPr>
                <w:lang w:val="en-US"/>
              </w:rPr>
              <w:t xml:space="preserve">the </w:t>
            </w:r>
            <w:r w:rsidRPr="00DB1C2F">
              <w:rPr>
                <w:lang w:val="en-US"/>
              </w:rPr>
              <w:t>parenting program</w:t>
            </w:r>
            <w:r>
              <w:rPr>
                <w:lang w:val="en-US"/>
              </w:rPr>
              <w:t>,</w:t>
            </w:r>
            <w:r w:rsidRPr="00DB1C2F">
              <w:rPr>
                <w:lang w:val="en-US"/>
              </w:rPr>
              <w:t xml:space="preserve"> Mothering at a Distance (Corrective Services NSW (CSNSW))</w:t>
            </w:r>
          </w:p>
          <w:p w:rsidR="00BF6EDE" w:rsidRPr="00DB1C2F" w:rsidRDefault="00BF6EDE" w:rsidP="00222517">
            <w:pPr>
              <w:pStyle w:val="Paragrafoelenco"/>
              <w:numPr>
                <w:ilvl w:val="0"/>
                <w:numId w:val="153"/>
              </w:numPr>
              <w:jc w:val="left"/>
              <w:rPr>
                <w:lang w:val="en-US"/>
              </w:rPr>
            </w:pPr>
            <w:r w:rsidRPr="00DB1C2F">
              <w:rPr>
                <w:lang w:val="en-US"/>
              </w:rPr>
              <w:t>community parenting and relationship programs (Wesley Mission, Relationships Australia, Anglicare, Catholic Care)</w:t>
            </w:r>
          </w:p>
          <w:p w:rsidR="00BF6EDE" w:rsidRPr="00DB1C2F" w:rsidRDefault="00BF6EDE" w:rsidP="00222517">
            <w:pPr>
              <w:pStyle w:val="Paragrafoelenco"/>
              <w:numPr>
                <w:ilvl w:val="0"/>
                <w:numId w:val="153"/>
              </w:numPr>
              <w:jc w:val="left"/>
              <w:rPr>
                <w:lang w:val="en-US"/>
              </w:rPr>
            </w:pPr>
            <w:r w:rsidRPr="00DB1C2F">
              <w:rPr>
                <w:lang w:val="en-US"/>
              </w:rPr>
              <w:t>access to services provided by Tresillian Family Care Centre – Wentworth</w:t>
            </w:r>
          </w:p>
          <w:p w:rsidR="00BF6EDE" w:rsidRPr="00DB1C2F" w:rsidRDefault="00BF6EDE" w:rsidP="00222517">
            <w:pPr>
              <w:pStyle w:val="Paragrafoelenco"/>
              <w:numPr>
                <w:ilvl w:val="0"/>
                <w:numId w:val="153"/>
              </w:numPr>
              <w:jc w:val="left"/>
              <w:rPr>
                <w:lang w:val="en-US"/>
              </w:rPr>
            </w:pPr>
            <w:r w:rsidRPr="00DB1C2F">
              <w:rPr>
                <w:lang w:val="en-US"/>
              </w:rPr>
              <w:t>preschool (external services)</w:t>
            </w:r>
          </w:p>
          <w:p w:rsidR="00BF6EDE" w:rsidRPr="00DB1C2F" w:rsidRDefault="00BF6EDE" w:rsidP="00222517">
            <w:pPr>
              <w:pStyle w:val="Paragrafoelenco"/>
              <w:numPr>
                <w:ilvl w:val="0"/>
                <w:numId w:val="153"/>
              </w:numPr>
              <w:jc w:val="left"/>
              <w:rPr>
                <w:lang w:val="en-US"/>
              </w:rPr>
            </w:pPr>
            <w:r w:rsidRPr="00DB1C2F">
              <w:rPr>
                <w:lang w:val="en-US"/>
              </w:rPr>
              <w:t>budgeting (CSNSW and external services)</w:t>
            </w:r>
          </w:p>
          <w:p w:rsidR="00BF6EDE" w:rsidRPr="00DB1C2F" w:rsidRDefault="00BF6EDE" w:rsidP="00222517">
            <w:pPr>
              <w:pStyle w:val="Paragrafoelenco"/>
              <w:numPr>
                <w:ilvl w:val="0"/>
                <w:numId w:val="153"/>
              </w:numPr>
              <w:jc w:val="left"/>
              <w:rPr>
                <w:lang w:val="en-US"/>
              </w:rPr>
            </w:pPr>
            <w:r w:rsidRPr="00DB1C2F">
              <w:rPr>
                <w:lang w:val="en-US"/>
              </w:rPr>
              <w:t>domestic violence program (CSNSW and external services)</w:t>
            </w:r>
          </w:p>
          <w:p w:rsidR="00BF6EDE" w:rsidRPr="00DB1C2F" w:rsidRDefault="00BF6EDE" w:rsidP="00222517">
            <w:pPr>
              <w:pStyle w:val="Paragrafoelenco"/>
              <w:numPr>
                <w:ilvl w:val="0"/>
                <w:numId w:val="153"/>
              </w:numPr>
              <w:jc w:val="left"/>
              <w:rPr>
                <w:lang w:val="en-US"/>
              </w:rPr>
            </w:pPr>
            <w:r w:rsidRPr="00DB1C2F">
              <w:rPr>
                <w:lang w:val="en-US"/>
              </w:rPr>
              <w:t>cooking and storage of food for infants and toddlers (CSNSW)</w:t>
            </w:r>
          </w:p>
          <w:p w:rsidR="00BF6EDE" w:rsidRPr="00DB1C2F" w:rsidRDefault="00BF6EDE" w:rsidP="00222517">
            <w:pPr>
              <w:pStyle w:val="Paragrafoelenco"/>
              <w:numPr>
                <w:ilvl w:val="0"/>
                <w:numId w:val="153"/>
              </w:numPr>
              <w:jc w:val="left"/>
              <w:rPr>
                <w:lang w:val="en-US"/>
              </w:rPr>
            </w:pPr>
            <w:r>
              <w:rPr>
                <w:lang w:val="en-US"/>
              </w:rPr>
              <w:t>Child Safety I</w:t>
            </w:r>
            <w:r w:rsidRPr="00DB1C2F">
              <w:rPr>
                <w:lang w:val="en-US"/>
              </w:rPr>
              <w:t>n and Around the Home information sessions (CSNSW)</w:t>
            </w:r>
          </w:p>
          <w:p w:rsidR="00BF6EDE" w:rsidRPr="00DB1C2F" w:rsidRDefault="00BF6EDE" w:rsidP="00222517">
            <w:pPr>
              <w:pStyle w:val="Paragrafoelenco"/>
              <w:numPr>
                <w:ilvl w:val="0"/>
                <w:numId w:val="153"/>
              </w:numPr>
              <w:jc w:val="left"/>
              <w:rPr>
                <w:lang w:val="en-US"/>
              </w:rPr>
            </w:pPr>
            <w:r w:rsidRPr="00DB1C2F">
              <w:rPr>
                <w:lang w:val="en-US"/>
              </w:rPr>
              <w:t>Child and Family Health Clinic facilitated at Jacaranda Cottages by Nepean Blue Mountains Local Health District</w:t>
            </w:r>
          </w:p>
          <w:p w:rsidR="00BF6EDE" w:rsidRPr="00DB1C2F" w:rsidRDefault="00BF6EDE" w:rsidP="00222517">
            <w:pPr>
              <w:pStyle w:val="Paragrafoelenco"/>
              <w:numPr>
                <w:ilvl w:val="0"/>
                <w:numId w:val="153"/>
              </w:numPr>
              <w:jc w:val="left"/>
              <w:rPr>
                <w:lang w:val="en-US"/>
              </w:rPr>
            </w:pPr>
            <w:r>
              <w:rPr>
                <w:lang w:val="en-US"/>
              </w:rPr>
              <w:t>weekly supported playgroups and child-</w:t>
            </w:r>
            <w:r w:rsidRPr="00DB1C2F">
              <w:rPr>
                <w:lang w:val="en-US"/>
              </w:rPr>
              <w:t>related activities facilitated at Jacaranda Cottages and off site by the Parent Infant Family Australia and Wesley Mission</w:t>
            </w:r>
          </w:p>
          <w:p w:rsidR="00BF6EDE" w:rsidRPr="00DB1C2F" w:rsidRDefault="00BF6EDE" w:rsidP="00222517">
            <w:pPr>
              <w:pStyle w:val="Paragrafoelenco"/>
              <w:numPr>
                <w:ilvl w:val="0"/>
                <w:numId w:val="153"/>
              </w:numPr>
              <w:jc w:val="left"/>
              <w:rPr>
                <w:lang w:val="en-US"/>
              </w:rPr>
            </w:pPr>
            <w:r>
              <w:rPr>
                <w:lang w:val="en-US"/>
              </w:rPr>
              <w:t>swimming l</w:t>
            </w:r>
            <w:r w:rsidRPr="00DB1C2F">
              <w:rPr>
                <w:lang w:val="en-US"/>
              </w:rPr>
              <w:t>essons at local pool</w:t>
            </w:r>
          </w:p>
          <w:p w:rsidR="00BF6EDE" w:rsidRPr="00DB1C2F" w:rsidRDefault="00BF6EDE" w:rsidP="00222517">
            <w:pPr>
              <w:pStyle w:val="Paragrafoelenco"/>
              <w:numPr>
                <w:ilvl w:val="0"/>
                <w:numId w:val="153"/>
              </w:numPr>
              <w:jc w:val="left"/>
              <w:rPr>
                <w:lang w:val="en-US"/>
              </w:rPr>
            </w:pPr>
            <w:r>
              <w:rPr>
                <w:lang w:val="en-US"/>
              </w:rPr>
              <w:t>kindy g</w:t>
            </w:r>
            <w:r w:rsidR="006E3FD3">
              <w:rPr>
                <w:lang w:val="en-US"/>
              </w:rPr>
              <w:t>ym.</w:t>
            </w:r>
          </w:p>
          <w:p w:rsidR="00BF6EDE" w:rsidRPr="00DB1C2F" w:rsidRDefault="00BF6EDE" w:rsidP="001E3A21">
            <w:pPr>
              <w:rPr>
                <w:b/>
              </w:rPr>
            </w:pPr>
            <w:r w:rsidRPr="00DB1C2F">
              <w:t xml:space="preserve">Consistent with the </w:t>
            </w:r>
            <w:r>
              <w:t>P</w:t>
            </w:r>
            <w:r w:rsidRPr="00DB1C2F">
              <w:t>rogram’s child-focused lens, support staff and community partners monitor the children’s:</w:t>
            </w:r>
            <w:r w:rsidRPr="00DB1C2F">
              <w:rPr>
                <w:b/>
              </w:rPr>
              <w:t xml:space="preserve"> </w:t>
            </w:r>
          </w:p>
          <w:p w:rsidR="00BF6EDE" w:rsidRPr="00DB1C2F" w:rsidRDefault="00BF6EDE" w:rsidP="00222517">
            <w:pPr>
              <w:pStyle w:val="Paragrafoelenco"/>
              <w:numPr>
                <w:ilvl w:val="0"/>
                <w:numId w:val="154"/>
              </w:numPr>
              <w:jc w:val="left"/>
            </w:pPr>
            <w:r w:rsidRPr="00DB1C2F">
              <w:t>health and wellbeing</w:t>
            </w:r>
          </w:p>
          <w:p w:rsidR="00BF6EDE" w:rsidRPr="00DB1C2F" w:rsidRDefault="00BF6EDE" w:rsidP="00222517">
            <w:pPr>
              <w:pStyle w:val="Paragrafoelenco"/>
              <w:numPr>
                <w:ilvl w:val="0"/>
                <w:numId w:val="154"/>
              </w:numPr>
              <w:jc w:val="left"/>
            </w:pPr>
            <w:r w:rsidRPr="00DB1C2F">
              <w:t xml:space="preserve">maintenance of relationships with </w:t>
            </w:r>
            <w:r>
              <w:t xml:space="preserve">the </w:t>
            </w:r>
            <w:r w:rsidRPr="00DB1C2F">
              <w:t>community</w:t>
            </w:r>
            <w:r>
              <w:t>,</w:t>
            </w:r>
            <w:r w:rsidRPr="00DB1C2F">
              <w:t xml:space="preserve"> parent</w:t>
            </w:r>
            <w:r>
              <w:t>s</w:t>
            </w:r>
            <w:r w:rsidRPr="00DB1C2F">
              <w:t xml:space="preserve">, siblings, </w:t>
            </w:r>
            <w:r>
              <w:t xml:space="preserve">other </w:t>
            </w:r>
            <w:r w:rsidRPr="00DB1C2F">
              <w:t xml:space="preserve">family </w:t>
            </w:r>
            <w:r>
              <w:t xml:space="preserve">members </w:t>
            </w:r>
            <w:r w:rsidRPr="00DB1C2F">
              <w:t>and significant others</w:t>
            </w:r>
          </w:p>
          <w:p w:rsidR="00BF6EDE" w:rsidRPr="00DB1C2F" w:rsidRDefault="00BF6EDE" w:rsidP="00222517">
            <w:pPr>
              <w:pStyle w:val="Paragrafoelenco"/>
              <w:numPr>
                <w:ilvl w:val="0"/>
                <w:numId w:val="154"/>
              </w:numPr>
              <w:jc w:val="left"/>
            </w:pPr>
            <w:r w:rsidRPr="00DB1C2F">
              <w:t>participation in routine community experiences such as going to the park, shops etc</w:t>
            </w:r>
          </w:p>
          <w:p w:rsidR="00BF6EDE" w:rsidRPr="00DB1C2F" w:rsidRDefault="00BF6EDE" w:rsidP="00222517">
            <w:pPr>
              <w:pStyle w:val="Paragrafoelenco"/>
              <w:numPr>
                <w:ilvl w:val="0"/>
                <w:numId w:val="154"/>
              </w:numPr>
              <w:jc w:val="left"/>
            </w:pPr>
            <w:r w:rsidRPr="00DB1C2F">
              <w:t xml:space="preserve">participation in religious, cultural or significant family events </w:t>
            </w:r>
          </w:p>
          <w:p w:rsidR="00BF6EDE" w:rsidRPr="00DB1C2F" w:rsidRDefault="00BF6EDE" w:rsidP="00222517">
            <w:pPr>
              <w:pStyle w:val="Paragrafoelenco"/>
              <w:numPr>
                <w:ilvl w:val="0"/>
                <w:numId w:val="154"/>
              </w:numPr>
              <w:jc w:val="left"/>
            </w:pPr>
            <w:r>
              <w:t>access to age-</w:t>
            </w:r>
            <w:r w:rsidRPr="00DB1C2F">
              <w:t xml:space="preserve">appropriate activities and education. </w:t>
            </w:r>
          </w:p>
          <w:p w:rsidR="00BF6EDE" w:rsidRPr="00DB1C2F" w:rsidRDefault="00BF6EDE" w:rsidP="001E3A21">
            <w:r w:rsidRPr="00DB1C2F">
              <w:t xml:space="preserve">At all times, children of women within the Program are considered clients of Jacaranda Cottages. </w:t>
            </w:r>
          </w:p>
          <w:p w:rsidR="00BF6EDE" w:rsidRPr="00DB1C2F" w:rsidRDefault="00BF6EDE" w:rsidP="001E3A21">
            <w:pPr>
              <w:rPr>
                <w:b/>
              </w:rPr>
            </w:pPr>
            <w:r>
              <w:rPr>
                <w:b/>
              </w:rPr>
              <w:t>Data and o</w:t>
            </w:r>
            <w:r w:rsidRPr="00DB1C2F">
              <w:rPr>
                <w:b/>
              </w:rPr>
              <w:t>utcomes</w:t>
            </w:r>
          </w:p>
          <w:p w:rsidR="00BF6EDE" w:rsidRPr="00DB1C2F" w:rsidRDefault="00BF6EDE" w:rsidP="001E3A21">
            <w:r w:rsidRPr="00DB1C2F">
              <w:t>Anecdotally, the Program has not had one child harmed since its inception in 1996</w:t>
            </w:r>
            <w:r>
              <w:t>,</w:t>
            </w:r>
            <w:r w:rsidRPr="00DB1C2F">
              <w:t xml:space="preserve"> and has one of the lowest recidivism r</w:t>
            </w:r>
            <w:r w:rsidR="008B3F3B">
              <w:t>ates of prison programs in NSW.</w:t>
            </w:r>
          </w:p>
          <w:p w:rsidR="00BF6EDE" w:rsidRPr="00DB1C2F" w:rsidRDefault="00BF6EDE" w:rsidP="001E3A21">
            <w:r w:rsidRPr="00DB1C2F">
              <w:t>From 2010 to 2017, 145 women and 229 children have participated in the program in either a full</w:t>
            </w:r>
            <w:r w:rsidR="00EF661D">
              <w:t>-</w:t>
            </w:r>
            <w:r w:rsidRPr="00DB1C2F">
              <w:t>time or occasional capacity.</w:t>
            </w:r>
            <w:r>
              <w:t xml:space="preserve"> </w:t>
            </w:r>
          </w:p>
        </w:tc>
      </w:tr>
    </w:tbl>
    <w:p w:rsidR="001E3A21" w:rsidRPr="00135B6A" w:rsidRDefault="001E3A21" w:rsidP="001E3A21">
      <w:pPr>
        <w:pStyle w:val="Titolo4"/>
        <w:rPr>
          <w:szCs w:val="24"/>
        </w:rPr>
      </w:pPr>
      <w:r w:rsidRPr="00135B6A">
        <w:rPr>
          <w:szCs w:val="24"/>
        </w:rPr>
        <w:t>Health outcomes for teenage parents and their babies</w:t>
      </w:r>
    </w:p>
    <w:p w:rsidR="001E3A21" w:rsidRDefault="001E3A21" w:rsidP="001E3A21">
      <w:r>
        <w:t>It is well-</w:t>
      </w:r>
      <w:r w:rsidRPr="00E02F15">
        <w:t xml:space="preserve">documented </w:t>
      </w:r>
      <w:r>
        <w:t xml:space="preserve">in research </w:t>
      </w:r>
      <w:r w:rsidRPr="00E02F15">
        <w:t>that teenage pregnancy is</w:t>
      </w:r>
      <w:r>
        <w:t xml:space="preserve"> often </w:t>
      </w:r>
      <w:r w:rsidRPr="00E02F15">
        <w:t>con</w:t>
      </w:r>
      <w:r>
        <w:t xml:space="preserve">nected with poor </w:t>
      </w:r>
      <w:r w:rsidRPr="00E02F15">
        <w:t>health outcomes for both mother and child.</w:t>
      </w:r>
      <w:r w:rsidRPr="00F73166">
        <w:rPr>
          <w:rStyle w:val="Rimandonotadichiusura"/>
        </w:rPr>
        <w:endnoteReference w:id="319"/>
      </w:r>
      <w:r w:rsidRPr="00E02F15">
        <w:t xml:space="preserve"> </w:t>
      </w:r>
    </w:p>
    <w:p w:rsidR="001E3A21" w:rsidRDefault="001E3A21" w:rsidP="001E3A21">
      <w:r w:rsidRPr="00E02F15">
        <w:t xml:space="preserve">As found by </w:t>
      </w:r>
      <w:r w:rsidRPr="00AB6E9E">
        <w:rPr>
          <w:rFonts w:cs="Arial"/>
        </w:rPr>
        <w:t>Lewis</w:t>
      </w:r>
      <w:r w:rsidR="00EF661D">
        <w:rPr>
          <w:rFonts w:cs="Arial"/>
        </w:rPr>
        <w:t xml:space="preserve"> et al</w:t>
      </w:r>
      <w:r w:rsidRPr="00E02F15">
        <w:t xml:space="preserve">, teenage mothers </w:t>
      </w:r>
      <w:r w:rsidR="00EF661D">
        <w:t xml:space="preserve">are </w:t>
      </w:r>
      <w:r>
        <w:t>more likely to experience maternal risk factors</w:t>
      </w:r>
      <w:r w:rsidRPr="00E02F15">
        <w:t xml:space="preserve"> such as anaemia and hypertension</w:t>
      </w:r>
      <w:r>
        <w:t>,</w:t>
      </w:r>
      <w:r w:rsidRPr="00E02F15">
        <w:t xml:space="preserve"> and </w:t>
      </w:r>
      <w:r w:rsidR="00EF661D">
        <w:t>are</w:t>
      </w:r>
      <w:r w:rsidRPr="00E02F15">
        <w:t xml:space="preserve"> also more likely to smoke during pregnancy.</w:t>
      </w:r>
      <w:r w:rsidRPr="00F73166">
        <w:rPr>
          <w:rStyle w:val="Rimandonotadichiusura"/>
        </w:rPr>
        <w:endnoteReference w:id="320"/>
      </w:r>
      <w:r w:rsidRPr="00E02F15">
        <w:t xml:space="preserve"> Smoking during pregnancy is associated with other risk factors such as premature birth and low birthweight.</w:t>
      </w:r>
      <w:r w:rsidRPr="00F73166">
        <w:rPr>
          <w:rStyle w:val="Rimandonotadichiusura"/>
        </w:rPr>
        <w:endnoteReference w:id="321"/>
      </w:r>
      <w:r w:rsidRPr="00E02F15">
        <w:t xml:space="preserve"> Research has also found that children of teenage parents are more likely to have behavioural and cognitive development problems.</w:t>
      </w:r>
      <w:r w:rsidRPr="00F73166">
        <w:rPr>
          <w:rStyle w:val="Rimandonotadichiusura"/>
        </w:rPr>
        <w:endnoteReference w:id="322"/>
      </w:r>
      <w:r w:rsidRPr="00E02F15">
        <w:t xml:space="preserve"> </w:t>
      </w:r>
    </w:p>
    <w:p w:rsidR="001E3A21" w:rsidRPr="00E02F15" w:rsidRDefault="001E3A21" w:rsidP="001E3A21">
      <w:r w:rsidRPr="00E02F15">
        <w:t>Da</w:t>
      </w:r>
      <w:r>
        <w:t>ta collected by LSAC, the AIHW</w:t>
      </w:r>
      <w:r w:rsidRPr="00E02F15">
        <w:t xml:space="preserve"> and the ANZCDR&amp;PG</w:t>
      </w:r>
      <w:r w:rsidRPr="00B0781D">
        <w:t xml:space="preserve"> </w:t>
      </w:r>
      <w:r w:rsidRPr="00E02F15">
        <w:t>all indicate that teenage mothers</w:t>
      </w:r>
      <w:r>
        <w:t xml:space="preserve"> are more likely to smoke while</w:t>
      </w:r>
      <w:r w:rsidRPr="00E02F15">
        <w:t xml:space="preserve"> pregnant than other women.</w:t>
      </w:r>
      <w:r w:rsidRPr="00F73166">
        <w:rPr>
          <w:rStyle w:val="Rimandonotadichiusura"/>
        </w:rPr>
        <w:endnoteReference w:id="323"/>
      </w:r>
      <w:r w:rsidRPr="00E02F15">
        <w:t xml:space="preserve"> Although the percentage of teenage women who smoke during pregnancy has decreased from 42.6</w:t>
      </w:r>
      <w:r>
        <w:t>%</w:t>
      </w:r>
      <w:r w:rsidRPr="00E02F15">
        <w:t xml:space="preserve"> in 2006 to 32.9</w:t>
      </w:r>
      <w:r>
        <w:t>%</w:t>
      </w:r>
      <w:r w:rsidRPr="00E02F15">
        <w:t xml:space="preserve"> in 2014, it is still significantly higher than in the general population.</w:t>
      </w:r>
      <w:r w:rsidRPr="00F73166">
        <w:rPr>
          <w:rStyle w:val="Rimandonotadichiusura"/>
        </w:rPr>
        <w:endnoteReference w:id="324"/>
      </w:r>
      <w:r w:rsidRPr="00E02F15">
        <w:t xml:space="preserve"> For example, in 2015 only 2.7</w:t>
      </w:r>
      <w:r>
        <w:t>%</w:t>
      </w:r>
      <w:r w:rsidRPr="00E02F15">
        <w:t xml:space="preserve"> of </w:t>
      </w:r>
      <w:r w:rsidRPr="000D63A0">
        <w:t>15–</w:t>
      </w:r>
      <w:r>
        <w:t>17</w:t>
      </w:r>
      <w:r w:rsidRPr="00E02F15">
        <w:t xml:space="preserve"> year olds in the general population were daily smokers.</w:t>
      </w:r>
      <w:r w:rsidRPr="00F73166">
        <w:rPr>
          <w:rStyle w:val="Rimandonotadichiusura"/>
        </w:rPr>
        <w:endnoteReference w:id="325"/>
      </w:r>
      <w:r>
        <w:t xml:space="preserve"> Further</w:t>
      </w:r>
      <w:r w:rsidRPr="00E02F15">
        <w:t xml:space="preserve">, data from </w:t>
      </w:r>
      <w:r>
        <w:t xml:space="preserve">the </w:t>
      </w:r>
      <w:r w:rsidRPr="00E02F15">
        <w:t>AIHW in 2014 found that young mothers (under the age of 20) are more likely to smoke in the first 20 weeks of pregnancy than other mothers.</w:t>
      </w:r>
      <w:r w:rsidRPr="00F73166">
        <w:rPr>
          <w:rStyle w:val="Rimandonotadichiusura"/>
        </w:rPr>
        <w:endnoteReference w:id="326"/>
      </w:r>
      <w:r w:rsidRPr="00E02F15">
        <w:t xml:space="preserve"> </w:t>
      </w:r>
      <w:r>
        <w:t xml:space="preserve">The </w:t>
      </w:r>
      <w:r w:rsidRPr="00E02F15">
        <w:t>AIHW also found that smoking during pregnancy was significantly higher for Aboriginal and Torres Strait Islander women and pregnant women in rural and remote areas.</w:t>
      </w:r>
      <w:r w:rsidRPr="00F73166">
        <w:rPr>
          <w:rStyle w:val="Rimandonotadichiusura"/>
        </w:rPr>
        <w:endnoteReference w:id="327"/>
      </w:r>
      <w:r w:rsidRPr="00E02F15">
        <w:t xml:space="preserve"> </w:t>
      </w:r>
    </w:p>
    <w:p w:rsidR="001E3A21" w:rsidRDefault="001E3A21" w:rsidP="001E3A21">
      <w:r>
        <w:t xml:space="preserve">Researchers </w:t>
      </w:r>
      <w:r w:rsidRPr="00E02F15">
        <w:t>Kalb, Jeon and Vu found that teenage mothers had poorer</w:t>
      </w:r>
      <w:r>
        <w:t xml:space="preserve"> </w:t>
      </w:r>
      <w:r w:rsidRPr="00E02F15">
        <w:t>mental and physical health than older mothers, with a higher percentage of teen</w:t>
      </w:r>
      <w:r>
        <w:t>age</w:t>
      </w:r>
      <w:r w:rsidRPr="00E02F15">
        <w:t xml:space="preserve"> mother</w:t>
      </w:r>
      <w:r>
        <w:t>s</w:t>
      </w:r>
      <w:r w:rsidRPr="00E02F15">
        <w:t xml:space="preserve"> </w:t>
      </w:r>
      <w:r>
        <w:t>receiving the D</w:t>
      </w:r>
      <w:r w:rsidRPr="00E02F15">
        <w:t xml:space="preserve">isability </w:t>
      </w:r>
      <w:r>
        <w:t>S</w:t>
      </w:r>
      <w:r w:rsidRPr="00E02F15">
        <w:t xml:space="preserve">upport </w:t>
      </w:r>
      <w:r>
        <w:t>P</w:t>
      </w:r>
      <w:r w:rsidRPr="00E02F15">
        <w:t xml:space="preserve">ension (approximately </w:t>
      </w:r>
      <w:r>
        <w:t>ten per cent</w:t>
      </w:r>
      <w:r w:rsidRPr="00E02F15">
        <w:t xml:space="preserve"> </w:t>
      </w:r>
      <w:r>
        <w:t>compared with</w:t>
      </w:r>
      <w:r w:rsidRPr="00E02F15">
        <w:t xml:space="preserve"> </w:t>
      </w:r>
      <w:r>
        <w:t>three per cent</w:t>
      </w:r>
      <w:r w:rsidRPr="00E02F15">
        <w:t xml:space="preserve"> of older mothers).</w:t>
      </w:r>
      <w:r w:rsidRPr="00F73166">
        <w:rPr>
          <w:rStyle w:val="Rimandonotadichiusura"/>
        </w:rPr>
        <w:endnoteReference w:id="328"/>
      </w:r>
      <w:r>
        <w:t xml:space="preserve"> Data collected by </w:t>
      </w:r>
      <w:r w:rsidRPr="00E02F15">
        <w:t xml:space="preserve">LSAC also found that teenage mothers were less likely to eat fruit and vegetables, were more likely to be daily smokers and also </w:t>
      </w:r>
      <w:r>
        <w:t xml:space="preserve">to engage in </w:t>
      </w:r>
      <w:r w:rsidRPr="00E02F15">
        <w:t>binge drink</w:t>
      </w:r>
      <w:r>
        <w:t>ing</w:t>
      </w:r>
      <w:r w:rsidRPr="00E02F15">
        <w:t>.</w:t>
      </w:r>
      <w:r w:rsidRPr="00F73166">
        <w:rPr>
          <w:rStyle w:val="Rimandonotadichiusura"/>
        </w:rPr>
        <w:endnoteReference w:id="329"/>
      </w:r>
    </w:p>
    <w:p w:rsidR="001E3A21" w:rsidRDefault="001E3A21" w:rsidP="001E3A21">
      <w:r w:rsidRPr="00E02F15">
        <w:t xml:space="preserve">Post-natal depression was found to be very common among adolescent mothers with over half of the cohort reported having </w:t>
      </w:r>
      <w:r w:rsidR="00EF661D">
        <w:t xml:space="preserve">experienced </w:t>
      </w:r>
      <w:r w:rsidRPr="00E02F15">
        <w:t>depressive symptoms within the first three months of motherhood.</w:t>
      </w:r>
      <w:r w:rsidRPr="00F73166">
        <w:rPr>
          <w:rStyle w:val="Rimandonotadichiusura"/>
        </w:rPr>
        <w:endnoteReference w:id="330"/>
      </w:r>
      <w:r w:rsidRPr="00E02F15">
        <w:t xml:space="preserve"> Low self-esteem and loneliness were also common problems reported by young mothers.</w:t>
      </w:r>
      <w:r w:rsidRPr="00F73166">
        <w:rPr>
          <w:rStyle w:val="Rimandonotadichiusura"/>
        </w:rPr>
        <w:endnoteReference w:id="331"/>
      </w:r>
      <w:r w:rsidRPr="00E02F15">
        <w:t xml:space="preserve"> Notably</w:t>
      </w:r>
      <w:r>
        <w:t>,</w:t>
      </w:r>
      <w:r w:rsidRPr="00E02F15">
        <w:t xml:space="preserve"> Jeon, Kalb and Vu’s research found that teenage mothers’ welfare participation rate increase</w:t>
      </w:r>
      <w:r>
        <w:t>s</w:t>
      </w:r>
      <w:r w:rsidRPr="00E02F15">
        <w:t xml:space="preserve"> as their health declines.</w:t>
      </w:r>
      <w:r w:rsidRPr="00F73166">
        <w:rPr>
          <w:rStyle w:val="Rimandonotadichiusura"/>
        </w:rPr>
        <w:endnoteReference w:id="332"/>
      </w:r>
      <w:r w:rsidRPr="00E02F15">
        <w:t xml:space="preserve"> As a result, Jeon, Kalb and Vu recommended that policy focus on improving teenage mothers’ health in order to reduce welfare dependence.</w:t>
      </w:r>
      <w:r w:rsidRPr="00F73166">
        <w:rPr>
          <w:rStyle w:val="Rimandonotadichiusura"/>
        </w:rPr>
        <w:endnoteReference w:id="333"/>
      </w:r>
      <w:r w:rsidRPr="00E02F15">
        <w:t xml:space="preserve"> </w:t>
      </w:r>
    </w:p>
    <w:p w:rsidR="001E3A21" w:rsidRDefault="001E3A21" w:rsidP="001E3A21">
      <w:r w:rsidRPr="00E02F15">
        <w:t>Although there is research and data on the cor</w:t>
      </w:r>
      <w:r>
        <w:t>relation between teenage mothers</w:t>
      </w:r>
      <w:r w:rsidRPr="00E02F15">
        <w:t xml:space="preserve"> and poor health outcomes for mothers and babies, Hoffman and Vidal have noted that more research </w:t>
      </w:r>
      <w:r>
        <w:t xml:space="preserve">is needed on </w:t>
      </w:r>
      <w:r w:rsidRPr="00E02F15">
        <w:t xml:space="preserve">the causes and implications of </w:t>
      </w:r>
      <w:r>
        <w:t>these poor health outcomes</w:t>
      </w:r>
      <w:r w:rsidRPr="00E02F15">
        <w:t>.</w:t>
      </w:r>
      <w:r w:rsidRPr="00F73166">
        <w:rPr>
          <w:rStyle w:val="Rimandonotadichiusura"/>
        </w:rPr>
        <w:endnoteReference w:id="334"/>
      </w:r>
      <w:r>
        <w:t xml:space="preserve"> </w:t>
      </w:r>
    </w:p>
    <w:p w:rsidR="001E3A21" w:rsidRPr="00C12C92" w:rsidRDefault="001E3A21" w:rsidP="001E3A21">
      <w:pPr>
        <w:pStyle w:val="Titolo4"/>
        <w:ind w:left="360" w:hanging="360"/>
        <w:rPr>
          <w:szCs w:val="24"/>
        </w:rPr>
      </w:pPr>
      <w:r w:rsidRPr="00C12C92">
        <w:rPr>
          <w:szCs w:val="24"/>
        </w:rPr>
        <w:t>Welfare dependence and long term socio-economic disadvantage</w:t>
      </w:r>
    </w:p>
    <w:p w:rsidR="001E3A21" w:rsidRDefault="001E3A21" w:rsidP="001E3A21">
      <w:r>
        <w:t>W</w:t>
      </w:r>
      <w:r w:rsidRPr="00E02F15">
        <w:t>omen who experience teen</w:t>
      </w:r>
      <w:r>
        <w:t>age</w:t>
      </w:r>
      <w:r w:rsidRPr="00E02F15">
        <w:t xml:space="preserve"> pregnancy generally have low socio-economic outcom</w:t>
      </w:r>
      <w:r>
        <w:t>es, particularly when compared</w:t>
      </w:r>
      <w:r w:rsidRPr="00E02F15">
        <w:t xml:space="preserve"> with older mothers.</w:t>
      </w:r>
      <w:r w:rsidRPr="00F73166">
        <w:rPr>
          <w:rStyle w:val="Rimandonotadichiusura"/>
        </w:rPr>
        <w:endnoteReference w:id="335"/>
      </w:r>
      <w:r>
        <w:t xml:space="preserve"> However, the issue of </w:t>
      </w:r>
      <w:r w:rsidRPr="00E02F15">
        <w:t xml:space="preserve">whether there is </w:t>
      </w:r>
      <w:r>
        <w:t xml:space="preserve">a causal link between poor long </w:t>
      </w:r>
      <w:r w:rsidRPr="00E02F15">
        <w:t>term outcomes and teen</w:t>
      </w:r>
      <w:r>
        <w:t>age</w:t>
      </w:r>
      <w:r w:rsidRPr="00E02F15">
        <w:t xml:space="preserve"> parenthood</w:t>
      </w:r>
      <w:r>
        <w:t xml:space="preserve"> requires further research</w:t>
      </w:r>
      <w:r w:rsidRPr="00E02F15">
        <w:t>.</w:t>
      </w:r>
      <w:r w:rsidRPr="00F73166">
        <w:rPr>
          <w:rStyle w:val="Rimandonotadichiusura"/>
        </w:rPr>
        <w:endnoteReference w:id="336"/>
      </w:r>
      <w:r>
        <w:t xml:space="preserve"> </w:t>
      </w:r>
    </w:p>
    <w:p w:rsidR="001E3A21" w:rsidRPr="00E02F15" w:rsidRDefault="001E3A21" w:rsidP="001E3A21">
      <w:r>
        <w:t>A substantial body of</w:t>
      </w:r>
      <w:r w:rsidRPr="00E02F15">
        <w:t xml:space="preserve"> literature has focused on the disadvantage experienced by young mothers and their welfare participation </w:t>
      </w:r>
      <w:r>
        <w:t xml:space="preserve">rate. This is because teenage mothers </w:t>
      </w:r>
      <w:r w:rsidRPr="00E02F15">
        <w:t>make up approximately one per cent of all s</w:t>
      </w:r>
      <w:r>
        <w:t xml:space="preserve">ingle mothers in Australia but </w:t>
      </w:r>
      <w:r w:rsidRPr="00E02F15">
        <w:t xml:space="preserve">are overrepresented </w:t>
      </w:r>
      <w:r>
        <w:t>(at three per cent) among</w:t>
      </w:r>
      <w:r w:rsidRPr="00E02F15">
        <w:t xml:space="preserve"> recipients of Australia’s </w:t>
      </w:r>
      <w:r w:rsidRPr="00CC64DA">
        <w:t xml:space="preserve">Parenting Payment </w:t>
      </w:r>
      <w:r w:rsidRPr="00E02F15">
        <w:t>(the main income support payment for single mothers nationally).</w:t>
      </w:r>
      <w:r w:rsidRPr="00F73166">
        <w:rPr>
          <w:rStyle w:val="Rimandonotadichiusura"/>
        </w:rPr>
        <w:endnoteReference w:id="337"/>
      </w:r>
      <w:r w:rsidRPr="00E02F15">
        <w:t xml:space="preserve"> </w:t>
      </w:r>
    </w:p>
    <w:p w:rsidR="001E3A21" w:rsidRPr="00E02F15" w:rsidRDefault="001E3A21" w:rsidP="001E3A21">
      <w:r>
        <w:t xml:space="preserve">Jeon, Kalb and Vu investigated the </w:t>
      </w:r>
      <w:r w:rsidRPr="00E02F15">
        <w:t xml:space="preserve">welfare participation rate of </w:t>
      </w:r>
      <w:r>
        <w:t xml:space="preserve">both </w:t>
      </w:r>
      <w:r w:rsidRPr="00E02F15">
        <w:t>teenag</w:t>
      </w:r>
      <w:r>
        <w:t>e mothers and older mothers</w:t>
      </w:r>
      <w:r w:rsidRPr="00E02F15">
        <w:t>.</w:t>
      </w:r>
      <w:r w:rsidRPr="00F73166">
        <w:rPr>
          <w:rStyle w:val="Rimandonotadichiusura"/>
        </w:rPr>
        <w:endnoteReference w:id="338"/>
      </w:r>
      <w:r w:rsidRPr="00E02F15">
        <w:t xml:space="preserve"> The purpose of their research was to understand the extent of ‘welfare dependency’ in the two cohort groups, the fac</w:t>
      </w:r>
      <w:r>
        <w:t>tors which contributed to</w:t>
      </w:r>
      <w:r w:rsidRPr="00E02F15">
        <w:t xml:space="preserve"> dependency</w:t>
      </w:r>
      <w:r>
        <w:t xml:space="preserve"> </w:t>
      </w:r>
      <w:r w:rsidRPr="00E02F15">
        <w:t>and the overall di</w:t>
      </w:r>
      <w:r>
        <w:t xml:space="preserve">fferences between these cohorts across the life </w:t>
      </w:r>
      <w:r w:rsidRPr="00E02F15">
        <w:t>cycle (between ages 20 and 62).</w:t>
      </w:r>
      <w:r w:rsidRPr="00F73166">
        <w:rPr>
          <w:rStyle w:val="Rimandonotadichiusura"/>
        </w:rPr>
        <w:endnoteReference w:id="339"/>
      </w:r>
      <w:r>
        <w:t xml:space="preserve"> </w:t>
      </w:r>
      <w:r w:rsidRPr="00E02F15">
        <w:t>Overall, the research found that teenage mothers have ‘less favourable’ life experiences than older mothers, across a range of areas.</w:t>
      </w:r>
      <w:r w:rsidRPr="00F73166">
        <w:rPr>
          <w:rStyle w:val="Rimandonotadichiusura"/>
        </w:rPr>
        <w:endnoteReference w:id="340"/>
      </w:r>
      <w:r w:rsidRPr="00E02F15">
        <w:t xml:space="preserve"> These included experiencing childhood disadvantage, poorer mental and physical health, unemployment or lower labour force participation</w:t>
      </w:r>
      <w:r>
        <w:t>,</w:t>
      </w:r>
      <w:r w:rsidRPr="00E02F15">
        <w:t xml:space="preserve"> and the higher </w:t>
      </w:r>
      <w:r>
        <w:t>likelihood of welfare dependence</w:t>
      </w:r>
      <w:r w:rsidRPr="00E02F15">
        <w:t xml:space="preserve"> throughout their lifetime.</w:t>
      </w:r>
      <w:r w:rsidRPr="00F73166">
        <w:rPr>
          <w:rStyle w:val="Rimandonotadichiusura"/>
        </w:rPr>
        <w:endnoteReference w:id="341"/>
      </w:r>
      <w:r>
        <w:t xml:space="preserve"> </w:t>
      </w:r>
      <w:r w:rsidRPr="00E02F15">
        <w:t>Of significance in their research was the findin</w:t>
      </w:r>
      <w:r>
        <w:t>g that although poor education</w:t>
      </w:r>
      <w:r w:rsidRPr="00E02F15">
        <w:t xml:space="preserve"> outcomes are correlated</w:t>
      </w:r>
      <w:r>
        <w:t xml:space="preserve"> </w:t>
      </w:r>
      <w:r w:rsidRPr="00E02F15">
        <w:t>with teenage pregnancy, the majority of teenage mothers had already left school before they became pregnant.</w:t>
      </w:r>
      <w:r w:rsidRPr="00F73166">
        <w:rPr>
          <w:rStyle w:val="Rimandonotadichiusura"/>
        </w:rPr>
        <w:endnoteReference w:id="342"/>
      </w:r>
      <w:r w:rsidRPr="00E02F15">
        <w:t xml:space="preserve"> According to Jeon, Kalb and Vu, although policy makers have been primarily concerned with the relationship between poor education outcomes and labour market participation, low education levels seem to explain only part of the difference between older and teenage mothers’ dependence on welfare.</w:t>
      </w:r>
      <w:r w:rsidRPr="00F73166">
        <w:rPr>
          <w:rStyle w:val="Rimandonotadichiusura"/>
        </w:rPr>
        <w:endnoteReference w:id="343"/>
      </w:r>
      <w:r w:rsidRPr="00E02F15">
        <w:t xml:space="preserve"> </w:t>
      </w:r>
    </w:p>
    <w:p w:rsidR="001E3A21" w:rsidRPr="00E02F15" w:rsidRDefault="001E3A21" w:rsidP="001E3A21">
      <w:r w:rsidRPr="00E02F15">
        <w:t>In assessing the factors that determine long term welfare participation rates for teenage mothers and older mothers, Jeon, Kalb and Vu found that both cohort</w:t>
      </w:r>
      <w:r>
        <w:t xml:space="preserve">s </w:t>
      </w:r>
      <w:r w:rsidRPr="00E02F15">
        <w:t>exhibited ‘strong state depende</w:t>
      </w:r>
      <w:r>
        <w:t>nce in welfare participation’ at</w:t>
      </w:r>
      <w:r w:rsidRPr="00E02F15">
        <w:t xml:space="preserve"> different periods of their lives.</w:t>
      </w:r>
      <w:r w:rsidRPr="00F73166">
        <w:rPr>
          <w:rStyle w:val="Rimandonotadichiusura"/>
        </w:rPr>
        <w:endnoteReference w:id="344"/>
      </w:r>
      <w:r w:rsidRPr="00E02F15">
        <w:t xml:space="preserve"> However, for teen</w:t>
      </w:r>
      <w:r>
        <w:t>age mothers, state dependence played</w:t>
      </w:r>
      <w:r w:rsidRPr="00E02F15">
        <w:t xml:space="preserve"> a more significant role in the</w:t>
      </w:r>
      <w:r>
        <w:t>ir</w:t>
      </w:r>
      <w:r w:rsidRPr="00E02F15">
        <w:t xml:space="preserve"> higher rates of reliance on welfare.</w:t>
      </w:r>
      <w:r w:rsidRPr="00F73166">
        <w:rPr>
          <w:rStyle w:val="Rimandonotadichiusura"/>
        </w:rPr>
        <w:endnoteReference w:id="345"/>
      </w:r>
      <w:r w:rsidRPr="00E02F15">
        <w:t xml:space="preserve"> </w:t>
      </w:r>
      <w:r>
        <w:t>O</w:t>
      </w:r>
      <w:r w:rsidRPr="00E02F15">
        <w:t>ne of the most important predictors of future welfare participation was previous receipt of welfare support. This was relevant for b</w:t>
      </w:r>
      <w:r>
        <w:t>oth groups of mothers and continued to be</w:t>
      </w:r>
      <w:r w:rsidRPr="00E02F15">
        <w:t xml:space="preserve"> relevant as </w:t>
      </w:r>
      <w:r>
        <w:t>their children grew up, highlighting</w:t>
      </w:r>
      <w:r w:rsidRPr="00E02F15">
        <w:t xml:space="preserve"> intergenerational link</w:t>
      </w:r>
      <w:r>
        <w:t>s</w:t>
      </w:r>
      <w:r w:rsidRPr="00E02F15">
        <w:t xml:space="preserve"> in </w:t>
      </w:r>
      <w:r>
        <w:t xml:space="preserve">the experience of </w:t>
      </w:r>
      <w:r w:rsidRPr="00E02F15">
        <w:t>disadvantage.</w:t>
      </w:r>
      <w:r w:rsidRPr="00F73166">
        <w:rPr>
          <w:rStyle w:val="Rimandonotadichiusura"/>
        </w:rPr>
        <w:endnoteReference w:id="346"/>
      </w:r>
      <w:r w:rsidRPr="00E02F15">
        <w:t xml:space="preserve"> Jeon, Kalb and Vu suggest that early intervention techniques designed to prevent welfare depend</w:t>
      </w:r>
      <w:r>
        <w:t>ence may be important in reducing the</w:t>
      </w:r>
      <w:r w:rsidRPr="00E02F15">
        <w:t xml:space="preserve"> uptake of welfare payments by teenage mothers.</w:t>
      </w:r>
      <w:r w:rsidRPr="00F73166">
        <w:rPr>
          <w:rStyle w:val="Rimandonotadichiusura"/>
        </w:rPr>
        <w:endnoteReference w:id="347"/>
      </w:r>
      <w:r w:rsidRPr="00E02F15">
        <w:t xml:space="preserve"> </w:t>
      </w:r>
    </w:p>
    <w:p w:rsidR="001E3A21" w:rsidRPr="00E02F15" w:rsidRDefault="001E3A21" w:rsidP="001E3A21">
      <w:r>
        <w:t>T</w:t>
      </w:r>
      <w:r w:rsidRPr="00E02F15">
        <w:t>he findings from</w:t>
      </w:r>
      <w:r>
        <w:t xml:space="preserve"> Jeon, Kalb and Vu’s research are</w:t>
      </w:r>
      <w:r w:rsidRPr="00E02F15">
        <w:t xml:space="preserve"> consiste</w:t>
      </w:r>
      <w:r>
        <w:t xml:space="preserve">nt with data collected from </w:t>
      </w:r>
      <w:r w:rsidRPr="00E02F15">
        <w:t>LSAC</w:t>
      </w:r>
      <w:r>
        <w:t xml:space="preserve"> in 2006</w:t>
      </w:r>
      <w:r w:rsidRPr="00E02F15">
        <w:t>, which also found that teenage mothers tended to be the most socio-economically disadvantaged of all mothers interviewed.</w:t>
      </w:r>
      <w:r w:rsidRPr="00F73166">
        <w:rPr>
          <w:rStyle w:val="Rimandonotadichiusura"/>
        </w:rPr>
        <w:endnoteReference w:id="348"/>
      </w:r>
      <w:r w:rsidRPr="00E02F15">
        <w:t xml:space="preserve"> Their disadvantage was associated with poor educational qualifications, their pre-existing socio-economic circumstances</w:t>
      </w:r>
      <w:r>
        <w:t>,</w:t>
      </w:r>
      <w:r w:rsidRPr="00E02F15">
        <w:t xml:space="preserve"> and the impact of raising children as young mothers.</w:t>
      </w:r>
      <w:r w:rsidRPr="00F73166">
        <w:rPr>
          <w:rStyle w:val="Rimandonotadichiusura"/>
        </w:rPr>
        <w:endnoteReference w:id="349"/>
      </w:r>
      <w:r w:rsidRPr="00E02F15">
        <w:t xml:space="preserve"> Similarly, the LSAC data indicated that poor educational st</w:t>
      </w:r>
      <w:r>
        <w:t xml:space="preserve">atus and leaving school early were </w:t>
      </w:r>
      <w:r w:rsidRPr="00E02F15">
        <w:t>indicator</w:t>
      </w:r>
      <w:r>
        <w:t xml:space="preserve">s of longer </w:t>
      </w:r>
      <w:r w:rsidRPr="00E02F15">
        <w:t xml:space="preserve">term socio-economic disadvantage, </w:t>
      </w:r>
      <w:r>
        <w:t xml:space="preserve">and were </w:t>
      </w:r>
      <w:r w:rsidRPr="00E02F15">
        <w:t>not simply a result of teenage pregnancy.</w:t>
      </w:r>
      <w:r w:rsidRPr="00F73166">
        <w:rPr>
          <w:rStyle w:val="Rimandonotadichiusura"/>
        </w:rPr>
        <w:endnoteReference w:id="350"/>
      </w:r>
      <w:r w:rsidRPr="00E02F15">
        <w:t xml:space="preserve"> Of the</w:t>
      </w:r>
      <w:r>
        <w:t xml:space="preserve"> teenage mothers included in</w:t>
      </w:r>
      <w:r w:rsidRPr="00E02F15">
        <w:t xml:space="preserve"> LSAC, </w:t>
      </w:r>
      <w:r>
        <w:t>only 49% had completed schooling up to year 10 or less</w:t>
      </w:r>
      <w:r w:rsidRPr="00E02F15">
        <w:t>.</w:t>
      </w:r>
      <w:r w:rsidRPr="00F73166">
        <w:rPr>
          <w:rStyle w:val="Rimandonotadichiusura"/>
        </w:rPr>
        <w:endnoteReference w:id="351"/>
      </w:r>
      <w:r w:rsidRPr="00E02F15">
        <w:t xml:space="preserve"> </w:t>
      </w:r>
    </w:p>
    <w:p w:rsidR="001E3A21" w:rsidRPr="00C12C92" w:rsidRDefault="001E3A21" w:rsidP="001E3A21">
      <w:pPr>
        <w:pStyle w:val="Titolo4"/>
        <w:rPr>
          <w:szCs w:val="24"/>
        </w:rPr>
      </w:pPr>
      <w:r w:rsidRPr="00C12C92">
        <w:rPr>
          <w:szCs w:val="24"/>
        </w:rPr>
        <w:t>Relationship status of teenage mothers</w:t>
      </w:r>
    </w:p>
    <w:p w:rsidR="001E3A21" w:rsidRDefault="001E3A21" w:rsidP="001E3A21">
      <w:r>
        <w:t>According to Kalb, Le and Leung, being in a stable relationship ‘can be an important pathway for women to escape from poverty and disadvantage’.</w:t>
      </w:r>
      <w:r>
        <w:rPr>
          <w:rStyle w:val="Rimandonotadichiusura"/>
        </w:rPr>
        <w:endnoteReference w:id="352"/>
      </w:r>
      <w:r>
        <w:t xml:space="preserve"> </w:t>
      </w:r>
      <w:r w:rsidRPr="00E02F15">
        <w:t>However, research has demonstrated that teenage mother</w:t>
      </w:r>
      <w:r>
        <w:t xml:space="preserve">s are equally likely to be </w:t>
      </w:r>
      <w:r w:rsidRPr="00E02F15">
        <w:t xml:space="preserve">disadvantaged in their </w:t>
      </w:r>
      <w:r>
        <w:t xml:space="preserve">ability </w:t>
      </w:r>
      <w:r w:rsidRPr="00E02F15">
        <w:t xml:space="preserve">to overcome poverty and intergenerational </w:t>
      </w:r>
      <w:r>
        <w:t xml:space="preserve">inequity </w:t>
      </w:r>
      <w:r w:rsidRPr="00E02F15">
        <w:t xml:space="preserve">through </w:t>
      </w:r>
      <w:r>
        <w:t xml:space="preserve">intimate </w:t>
      </w:r>
      <w:r w:rsidRPr="00E02F15">
        <w:t>partnerships.</w:t>
      </w:r>
      <w:r w:rsidRPr="00F73166">
        <w:rPr>
          <w:rStyle w:val="Rimandonotadichiusura"/>
        </w:rPr>
        <w:endnoteReference w:id="353"/>
      </w:r>
      <w:r w:rsidRPr="00E02F15">
        <w:t xml:space="preserve"> </w:t>
      </w:r>
    </w:p>
    <w:p w:rsidR="001E3A21" w:rsidRPr="00E02F15" w:rsidRDefault="001E3A21" w:rsidP="001E3A21">
      <w:r w:rsidRPr="00E02F15">
        <w:t>This could be due to various factors</w:t>
      </w:r>
      <w:r>
        <w:t xml:space="preserve">, such as motherhood and child </w:t>
      </w:r>
      <w:r w:rsidRPr="00E02F15">
        <w:t>care responsib</w:t>
      </w:r>
      <w:r>
        <w:t>ilities reducing</w:t>
      </w:r>
      <w:r w:rsidRPr="00E02F15">
        <w:t xml:space="preserve"> the amount of time young mothers have to look for potential partners</w:t>
      </w:r>
      <w:r>
        <w:t>,</w:t>
      </w:r>
      <w:r w:rsidRPr="00E02F15">
        <w:t xml:space="preserve"> and </w:t>
      </w:r>
      <w:r>
        <w:t xml:space="preserve">the fact that </w:t>
      </w:r>
      <w:r w:rsidRPr="00E02F15">
        <w:t xml:space="preserve">children </w:t>
      </w:r>
      <w:r>
        <w:t xml:space="preserve">from previous relationships may </w:t>
      </w:r>
      <w:r w:rsidRPr="00E02F15">
        <w:t>discourag</w:t>
      </w:r>
      <w:r>
        <w:t>e</w:t>
      </w:r>
      <w:r w:rsidRPr="00E02F15">
        <w:t xml:space="preserve"> interest from future partners.</w:t>
      </w:r>
      <w:r w:rsidRPr="00F73166">
        <w:rPr>
          <w:rStyle w:val="Rimandonotadichiusura"/>
        </w:rPr>
        <w:endnoteReference w:id="354"/>
      </w:r>
      <w:r w:rsidRPr="00E02F15">
        <w:t xml:space="preserve"> Research has also shown that</w:t>
      </w:r>
      <w:r>
        <w:t xml:space="preserve"> the partners of</w:t>
      </w:r>
      <w:r w:rsidRPr="00E02F15">
        <w:t xml:space="preserve"> teenage mothers</w:t>
      </w:r>
      <w:r>
        <w:t xml:space="preserve"> are </w:t>
      </w:r>
      <w:r w:rsidRPr="00E02F15">
        <w:t>more likely to be unemployed and poorly educated</w:t>
      </w:r>
      <w:r>
        <w:t xml:space="preserve"> than partners of older mothers</w:t>
      </w:r>
      <w:r w:rsidRPr="00E02F15">
        <w:t>.</w:t>
      </w:r>
      <w:r w:rsidRPr="00F73166">
        <w:rPr>
          <w:rStyle w:val="Rimandonotadichiusura"/>
        </w:rPr>
        <w:endnoteReference w:id="355"/>
      </w:r>
    </w:p>
    <w:p w:rsidR="001E3A21" w:rsidRPr="00E02F15" w:rsidRDefault="001E3A21" w:rsidP="001E3A21">
      <w:r>
        <w:t>According to LSAC in 2006</w:t>
      </w:r>
      <w:r w:rsidRPr="00E02F15">
        <w:t>, teenage mothers were more likely than olde</w:t>
      </w:r>
      <w:r>
        <w:t xml:space="preserve">r age groups to be single or </w:t>
      </w:r>
      <w:r w:rsidRPr="00E02F15">
        <w:t>in a de facto relationship.</w:t>
      </w:r>
      <w:r w:rsidRPr="00F73166">
        <w:rPr>
          <w:rStyle w:val="Rimandonotadichiusura"/>
        </w:rPr>
        <w:endnoteReference w:id="356"/>
      </w:r>
      <w:r>
        <w:t xml:space="preserve"> </w:t>
      </w:r>
      <w:r w:rsidRPr="00E02F15">
        <w:t>LSAC noted that 85</w:t>
      </w:r>
      <w:r>
        <w:t>%</w:t>
      </w:r>
      <w:r w:rsidRPr="00E02F15">
        <w:t xml:space="preserve"> of teenage mothers in their study were single or co-</w:t>
      </w:r>
      <w:r w:rsidRPr="00CC1B9C">
        <w:t>habiting, and when coupled, were the most likely group, compared to older age groups, to report unhappiness in their relationship.</w:t>
      </w:r>
      <w:r w:rsidRPr="00F73166">
        <w:rPr>
          <w:rStyle w:val="Rimandonotadichiusura"/>
        </w:rPr>
        <w:endnoteReference w:id="357"/>
      </w:r>
      <w:r w:rsidRPr="00CC1B9C">
        <w:t xml:space="preserve"> </w:t>
      </w:r>
    </w:p>
    <w:p w:rsidR="001E3A21" w:rsidRPr="00EE6521" w:rsidRDefault="001E3A21" w:rsidP="001E3A21">
      <w:pPr>
        <w:pStyle w:val="Titolo4"/>
        <w:rPr>
          <w:szCs w:val="24"/>
        </w:rPr>
      </w:pPr>
      <w:r w:rsidRPr="00EE6521">
        <w:rPr>
          <w:szCs w:val="24"/>
        </w:rPr>
        <w:t xml:space="preserve">Education </w:t>
      </w:r>
    </w:p>
    <w:p w:rsidR="001E3A21" w:rsidRPr="00E02F15" w:rsidRDefault="001E3A21" w:rsidP="001E3A21">
      <w:r>
        <w:t xml:space="preserve">Research undertaken in Australia has shown </w:t>
      </w:r>
      <w:r w:rsidRPr="00E02F15">
        <w:t xml:space="preserve">that teenage </w:t>
      </w:r>
      <w:r>
        <w:t>mothers, have significantly lower</w:t>
      </w:r>
      <w:r w:rsidRPr="00E02F15">
        <w:t xml:space="preserve"> levels of educational attainment </w:t>
      </w:r>
      <w:r>
        <w:t xml:space="preserve">than </w:t>
      </w:r>
      <w:r w:rsidRPr="00E02F15">
        <w:t>other mothers and childless women, resulting in lower levels of labour market participation and employment outcomes.</w:t>
      </w:r>
      <w:r w:rsidRPr="00F73166">
        <w:rPr>
          <w:rStyle w:val="Rimandonotadichiusura"/>
        </w:rPr>
        <w:endnoteReference w:id="358"/>
      </w:r>
      <w:r>
        <w:t xml:space="preserve"> Moreover, </w:t>
      </w:r>
      <w:r w:rsidRPr="00E02F15">
        <w:t xml:space="preserve">a high percentage </w:t>
      </w:r>
      <w:r>
        <w:t xml:space="preserve">of teenage mothers had either left school or </w:t>
      </w:r>
      <w:r w:rsidRPr="00E02F15">
        <w:t>disengaged from</w:t>
      </w:r>
      <w:r>
        <w:t xml:space="preserve"> school</w:t>
      </w:r>
      <w:r w:rsidRPr="00E02F15">
        <w:t xml:space="preserve"> prior to becoming pregnant.</w:t>
      </w:r>
      <w:r w:rsidRPr="00F73166">
        <w:rPr>
          <w:rStyle w:val="Rimandonotadichiusura"/>
        </w:rPr>
        <w:endnoteReference w:id="359"/>
      </w:r>
      <w:r w:rsidRPr="00E02F15">
        <w:t xml:space="preserve"> As a result, those teenagers with poor school performance an</w:t>
      </w:r>
      <w:r>
        <w:t>d a lack of interest in school</w:t>
      </w:r>
      <w:r w:rsidRPr="00E02F15">
        <w:t xml:space="preserve"> are generally associated </w:t>
      </w:r>
      <w:r>
        <w:t xml:space="preserve">in research </w:t>
      </w:r>
      <w:r w:rsidRPr="00E02F15">
        <w:t xml:space="preserve">with teenage pregnancy, and those with more interest in education are </w:t>
      </w:r>
      <w:r>
        <w:t>considered</w:t>
      </w:r>
      <w:r w:rsidRPr="00E02F15">
        <w:t xml:space="preserve"> more likely to terminate pregnancies and stay in school.</w:t>
      </w:r>
      <w:r w:rsidRPr="00F73166">
        <w:rPr>
          <w:rStyle w:val="Rimandonotadichiusura"/>
        </w:rPr>
        <w:endnoteReference w:id="360"/>
      </w:r>
      <w:r>
        <w:t xml:space="preserve"> Thus, while</w:t>
      </w:r>
      <w:r w:rsidRPr="00E02F15">
        <w:t xml:space="preserve"> </w:t>
      </w:r>
      <w:r>
        <w:t>being in school</w:t>
      </w:r>
      <w:r w:rsidRPr="00E02F15">
        <w:t xml:space="preserve"> is recognised as a key distinguishing factor between teenagers who become young mothers and those who do not, </w:t>
      </w:r>
      <w:r>
        <w:t xml:space="preserve">it is </w:t>
      </w:r>
      <w:r w:rsidRPr="00E02F15">
        <w:t xml:space="preserve">the lack of engagement with school in the lead up to pregnancy </w:t>
      </w:r>
      <w:r>
        <w:t xml:space="preserve">that </w:t>
      </w:r>
      <w:r w:rsidRPr="00E02F15">
        <w:t xml:space="preserve">is of critical importance </w:t>
      </w:r>
      <w:r>
        <w:t xml:space="preserve">in shaping outcomes for </w:t>
      </w:r>
      <w:r w:rsidRPr="00E02F15">
        <w:t xml:space="preserve">teenage mothers and their children. </w:t>
      </w:r>
    </w:p>
    <w:p w:rsidR="001E3A21" w:rsidRDefault="001E3A21" w:rsidP="001E3A21">
      <w:r w:rsidRPr="00E02F15">
        <w:t>In addition to these factors, research has also found that students who remain in school and become pregnant</w:t>
      </w:r>
      <w:r>
        <w:t xml:space="preserve"> frequently</w:t>
      </w:r>
      <w:r w:rsidRPr="00E02F15">
        <w:t xml:space="preserve"> feel discriminated against within the </w:t>
      </w:r>
      <w:r>
        <w:t>secondary education system, and may leave</w:t>
      </w:r>
      <w:r w:rsidRPr="00E02F15">
        <w:t xml:space="preserve"> school</w:t>
      </w:r>
      <w:r>
        <w:t xml:space="preserve"> early as a result</w:t>
      </w:r>
      <w:r w:rsidRPr="00E02F15">
        <w:t>.</w:t>
      </w:r>
      <w:r w:rsidRPr="00F73166">
        <w:rPr>
          <w:rStyle w:val="Rimandonotadichiusura"/>
        </w:rPr>
        <w:endnoteReference w:id="361"/>
      </w:r>
      <w:r w:rsidRPr="00E02F15">
        <w:t xml:space="preserve"> </w:t>
      </w:r>
    </w:p>
    <w:p w:rsidR="001E3A21" w:rsidRDefault="001E3A21" w:rsidP="001E3A21">
      <w:r w:rsidRPr="00E02F15">
        <w:t>High quality sex education is widely considered one of the most effective strategies in reducing unintended teenage pregnancies.</w:t>
      </w:r>
      <w:r w:rsidRPr="00F73166">
        <w:rPr>
          <w:rStyle w:val="Rimandonotadichiusura"/>
        </w:rPr>
        <w:endnoteReference w:id="362"/>
      </w:r>
      <w:r w:rsidRPr="00E02F15">
        <w:t xml:space="preserve"> </w:t>
      </w:r>
      <w:r>
        <w:t>M</w:t>
      </w:r>
      <w:r w:rsidRPr="00E02F15">
        <w:t xml:space="preserve">any schools throughout Australia deliver excellent comprehensive </w:t>
      </w:r>
      <w:r>
        <w:t xml:space="preserve">sex education </w:t>
      </w:r>
      <w:r w:rsidRPr="00E02F15">
        <w:t>programs</w:t>
      </w:r>
      <w:r>
        <w:t xml:space="preserve">. However, </w:t>
      </w:r>
      <w:r w:rsidRPr="00E02F15">
        <w:t>competing priorities and challenges</w:t>
      </w:r>
      <w:r>
        <w:t xml:space="preserve">, the interest and skills of staff, school leadership and the </w:t>
      </w:r>
      <w:r w:rsidRPr="00E02F15">
        <w:t xml:space="preserve">availability of resources can limit </w:t>
      </w:r>
      <w:r>
        <w:t>the degree to which program</w:t>
      </w:r>
      <w:r w:rsidRPr="00E02F15">
        <w:t xml:space="preserve"> learning outcomes are met.</w:t>
      </w:r>
      <w:r w:rsidRPr="00F73166">
        <w:rPr>
          <w:rStyle w:val="Rimandonotadichiusura"/>
        </w:rPr>
        <w:endnoteReference w:id="363"/>
      </w:r>
      <w:r w:rsidRPr="00E02F15">
        <w:t xml:space="preserve"> </w:t>
      </w:r>
    </w:p>
    <w:p w:rsidR="001E3A21" w:rsidRDefault="001E3A21" w:rsidP="001E3A21">
      <w:r w:rsidRPr="00E02F15">
        <w:t>A further complicating fact</w:t>
      </w:r>
      <w:r>
        <w:t>or</w:t>
      </w:r>
      <w:r w:rsidRPr="00E02F15">
        <w:t xml:space="preserve"> </w:t>
      </w:r>
      <w:r>
        <w:t xml:space="preserve">is </w:t>
      </w:r>
      <w:r w:rsidRPr="00E02F15">
        <w:t xml:space="preserve">that those </w:t>
      </w:r>
      <w:r>
        <w:t xml:space="preserve">who might benefit most from sex education </w:t>
      </w:r>
      <w:r w:rsidRPr="00E02F15">
        <w:t xml:space="preserve">may no longer </w:t>
      </w:r>
      <w:r>
        <w:t>attend</w:t>
      </w:r>
      <w:r w:rsidRPr="00E02F15">
        <w:t xml:space="preserve"> school</w:t>
      </w:r>
      <w:r>
        <w:t xml:space="preserve"> and may have difficulties </w:t>
      </w:r>
      <w:r w:rsidRPr="00E02F15">
        <w:t>access</w:t>
      </w:r>
      <w:r>
        <w:t>ing</w:t>
      </w:r>
      <w:r w:rsidRPr="00E02F15">
        <w:t xml:space="preserve"> t</w:t>
      </w:r>
      <w:r>
        <w:t>his</w:t>
      </w:r>
      <w:r w:rsidRPr="00E02F15">
        <w:t xml:space="preserve"> information elsewhere.</w:t>
      </w:r>
      <w:r w:rsidRPr="00F73166">
        <w:rPr>
          <w:rStyle w:val="Rimandonotadichiusura"/>
        </w:rPr>
        <w:endnoteReference w:id="364"/>
      </w:r>
      <w:r w:rsidRPr="00E02F15">
        <w:t xml:space="preserve"> </w:t>
      </w:r>
    </w:p>
    <w:p w:rsidR="001E3A21" w:rsidRDefault="001E3A21" w:rsidP="001E3A21">
      <w:r w:rsidRPr="00E02F15">
        <w:t xml:space="preserve">Research has similarly found that </w:t>
      </w:r>
      <w:r>
        <w:t xml:space="preserve">many </w:t>
      </w:r>
      <w:r w:rsidRPr="00E02F15">
        <w:t xml:space="preserve">young people have little knowledge and understanding of contraception and experience various barriers in accessing contraception, </w:t>
      </w:r>
      <w:r>
        <w:t xml:space="preserve">because of concerns about </w:t>
      </w:r>
      <w:r w:rsidRPr="00E02F15">
        <w:t xml:space="preserve">confidentiality, </w:t>
      </w:r>
      <w:r>
        <w:t xml:space="preserve">including </w:t>
      </w:r>
      <w:r w:rsidRPr="00E02F15">
        <w:t>disclos</w:t>
      </w:r>
      <w:r>
        <w:t>ing</w:t>
      </w:r>
      <w:r w:rsidRPr="00E02F15">
        <w:t xml:space="preserve"> information about their sexual health </w:t>
      </w:r>
      <w:r>
        <w:t>to</w:t>
      </w:r>
      <w:r w:rsidRPr="00E02F15">
        <w:t xml:space="preserve"> medical professionals and</w:t>
      </w:r>
      <w:r>
        <w:t xml:space="preserve"> potentially</w:t>
      </w:r>
      <w:r w:rsidRPr="00E02F15">
        <w:t xml:space="preserve"> </w:t>
      </w:r>
      <w:r>
        <w:t xml:space="preserve">prohibitive </w:t>
      </w:r>
      <w:r w:rsidRPr="00E02F15">
        <w:t>cost</w:t>
      </w:r>
      <w:r>
        <w:t>s</w:t>
      </w:r>
      <w:r w:rsidRPr="00E02F15">
        <w:t>.</w:t>
      </w:r>
      <w:r w:rsidRPr="00F73166">
        <w:rPr>
          <w:rStyle w:val="Rimandonotadichiusura"/>
        </w:rPr>
        <w:endnoteReference w:id="365"/>
      </w:r>
      <w:r w:rsidRPr="00E02F15">
        <w:t xml:space="preserve"> </w:t>
      </w:r>
    </w:p>
    <w:tbl>
      <w:tblPr>
        <w:tblStyle w:val="Grigliatabella"/>
        <w:tblW w:w="0" w:type="auto"/>
        <w:shd w:val="clear" w:color="auto" w:fill="E7E6E6" w:themeFill="background2"/>
        <w:tblCellMar>
          <w:left w:w="284" w:type="dxa"/>
          <w:right w:w="284" w:type="dxa"/>
        </w:tblCellMar>
        <w:tblLook w:val="04A0" w:firstRow="1" w:lastRow="0" w:firstColumn="1" w:lastColumn="0" w:noHBand="0" w:noVBand="1"/>
      </w:tblPr>
      <w:tblGrid>
        <w:gridCol w:w="9060"/>
      </w:tblGrid>
      <w:tr w:rsidR="001E3A21" w:rsidTr="007F14C2">
        <w:tc>
          <w:tcPr>
            <w:tcW w:w="9060" w:type="dxa"/>
            <w:shd w:val="clear" w:color="auto" w:fill="E7E6E6" w:themeFill="background2"/>
          </w:tcPr>
          <w:p w:rsidR="001E3A21" w:rsidRDefault="001E3A21" w:rsidP="001E3A21">
            <w:r w:rsidRPr="00D33E97">
              <w:rPr>
                <w:b/>
              </w:rPr>
              <w:t>Recommendation</w:t>
            </w:r>
            <w:r w:rsidRPr="00D33E97">
              <w:t xml:space="preserve"> </w:t>
            </w:r>
            <w:r>
              <w:rPr>
                <w:b/>
              </w:rPr>
              <w:t>4</w:t>
            </w:r>
            <w:r w:rsidRPr="00DB1C2F">
              <w:rPr>
                <w:b/>
              </w:rPr>
              <w:t>:</w:t>
            </w:r>
            <w:r w:rsidRPr="00D33E97">
              <w:t xml:space="preserve"> </w:t>
            </w:r>
            <w:r>
              <w:t xml:space="preserve">The </w:t>
            </w:r>
            <w:r w:rsidRPr="00D33E97">
              <w:t xml:space="preserve">Australian </w:t>
            </w:r>
            <w:r>
              <w:t>G</w:t>
            </w:r>
            <w:r w:rsidRPr="00D33E97">
              <w:t xml:space="preserve">overnment </w:t>
            </w:r>
            <w:r>
              <w:t xml:space="preserve">should </w:t>
            </w:r>
            <w:r w:rsidRPr="00D33E97">
              <w:t xml:space="preserve">commission the development of a mobile enabled e-resource </w:t>
            </w:r>
            <w:r>
              <w:t>for</w:t>
            </w:r>
            <w:r w:rsidRPr="00D33E97">
              <w:t xml:space="preserve"> young people to address the</w:t>
            </w:r>
            <w:r>
              <w:t>ir</w:t>
            </w:r>
            <w:r w:rsidRPr="00D33E97">
              <w:t xml:space="preserve"> education and knowledge gap </w:t>
            </w:r>
            <w:r>
              <w:t>on</w:t>
            </w:r>
            <w:r w:rsidRPr="00D33E97">
              <w:t xml:space="preserve"> sexual health issues such as contraception, pregnancy and parenting.</w:t>
            </w:r>
          </w:p>
        </w:tc>
      </w:tr>
    </w:tbl>
    <w:p w:rsidR="001E3A21" w:rsidRPr="00E02F15" w:rsidRDefault="001E3A21" w:rsidP="00592311">
      <w:pPr>
        <w:spacing w:before="400"/>
      </w:pPr>
      <w:r w:rsidRPr="00E02F15">
        <w:t>Re-connecting young mothers with education following the birth of their baby is considered an effective strategy for those who disengage from school.</w:t>
      </w:r>
      <w:r w:rsidRPr="00F73166">
        <w:rPr>
          <w:rStyle w:val="Rimandonotadichiusura"/>
        </w:rPr>
        <w:endnoteReference w:id="366"/>
      </w:r>
      <w:r w:rsidRPr="00E02F15">
        <w:t xml:space="preserve"> This is not only because higher levels of educational attainment </w:t>
      </w:r>
      <w:r>
        <w:t xml:space="preserve">are linked to better </w:t>
      </w:r>
      <w:r w:rsidRPr="00E02F15">
        <w:t>employment outcomes, but also because labour market engagement for teenage mothers increases as their children age.</w:t>
      </w:r>
      <w:r w:rsidRPr="00F73166">
        <w:rPr>
          <w:rStyle w:val="Rimandonotadichiusura"/>
        </w:rPr>
        <w:endnoteReference w:id="367"/>
      </w:r>
      <w:r w:rsidRPr="00E02F15">
        <w:t xml:space="preserve"> </w:t>
      </w:r>
      <w:r>
        <w:t>Teenage mothers are more likely than other women to complete post-school qualifications rather than complete year 12.</w:t>
      </w:r>
      <w:r w:rsidRPr="00290108">
        <w:rPr>
          <w:rStyle w:val="Rimandonotadichiusura"/>
        </w:rPr>
        <w:endnoteReference w:id="368"/>
      </w:r>
      <w:r w:rsidRPr="00E02F15">
        <w:t xml:space="preserve"> According to Evans, this indicates that continuing education outside the school system </w:t>
      </w:r>
      <w:r>
        <w:t>is often</w:t>
      </w:r>
      <w:r w:rsidRPr="00E02F15">
        <w:t xml:space="preserve"> successful for young women with children.</w:t>
      </w:r>
      <w:r w:rsidRPr="00290108">
        <w:rPr>
          <w:rStyle w:val="Rimandonotadichiusura"/>
        </w:rPr>
        <w:endnoteReference w:id="369"/>
      </w:r>
      <w:r w:rsidRPr="00E02F15">
        <w:t xml:space="preserve"> </w:t>
      </w:r>
      <w:r>
        <w:t>Other r</w:t>
      </w:r>
      <w:r w:rsidRPr="00E02F15">
        <w:t>esearch has similarly recommended that ‘models of flexible learning’ and programs that include vocational training would facilitate the re</w:t>
      </w:r>
      <w:r>
        <w:t>-</w:t>
      </w:r>
      <w:r w:rsidRPr="00E02F15">
        <w:t>connection of more young parents to education.</w:t>
      </w:r>
      <w:r w:rsidRPr="00290108">
        <w:rPr>
          <w:rStyle w:val="Rimandonotadichiusura"/>
        </w:rPr>
        <w:endnoteReference w:id="370"/>
      </w:r>
    </w:p>
    <w:p w:rsidR="001E3A21" w:rsidRPr="002B7621" w:rsidRDefault="001E3A21" w:rsidP="001E3A21">
      <w:pPr>
        <w:rPr>
          <w:b/>
        </w:rPr>
      </w:pPr>
      <w:r>
        <w:rPr>
          <w:b/>
        </w:rPr>
        <w:t>Employment</w:t>
      </w:r>
    </w:p>
    <w:p w:rsidR="001E3A21" w:rsidRPr="00E02F15" w:rsidRDefault="001E3A21" w:rsidP="001E3A21">
      <w:r>
        <w:t xml:space="preserve">Employment data collected by </w:t>
      </w:r>
      <w:r w:rsidRPr="00E02F15">
        <w:t>LSAC</w:t>
      </w:r>
      <w:r>
        <w:t xml:space="preserve"> in 2006</w:t>
      </w:r>
      <w:r w:rsidRPr="00E02F15">
        <w:t xml:space="preserve"> indicates that teenage mothers’ re-entry into the workforce and opportunities for further education are also affected by </w:t>
      </w:r>
      <w:r>
        <w:t>the con</w:t>
      </w:r>
      <w:r w:rsidRPr="00E02F15">
        <w:t>straints of having a child early, particularly as many of these mothers were sole parents.</w:t>
      </w:r>
      <w:r w:rsidRPr="00E02F15">
        <w:rPr>
          <w:vertAlign w:val="superscript"/>
        </w:rPr>
        <w:endnoteReference w:id="371"/>
      </w:r>
      <w:r w:rsidRPr="00E02F15">
        <w:t xml:space="preserve"> In the </w:t>
      </w:r>
      <w:r>
        <w:t xml:space="preserve">age </w:t>
      </w:r>
      <w:r w:rsidRPr="00E02F15">
        <w:t>cohort</w:t>
      </w:r>
      <w:r>
        <w:t xml:space="preserve">s interviewed for </w:t>
      </w:r>
      <w:r w:rsidRPr="00E02F15">
        <w:t>LSAC, teenage mothers were the most likely to be without a job approximately nine months after the birth of their child, with only</w:t>
      </w:r>
      <w:r>
        <w:t xml:space="preserve"> </w:t>
      </w:r>
      <w:r w:rsidRPr="00E02F15">
        <w:t>13</w:t>
      </w:r>
      <w:r>
        <w:t>%</w:t>
      </w:r>
      <w:r w:rsidRPr="00E02F15">
        <w:t xml:space="preserve"> having returned to </w:t>
      </w:r>
      <w:r w:rsidRPr="00BE7604">
        <w:t>work.</w:t>
      </w:r>
      <w:r w:rsidRPr="00290108">
        <w:rPr>
          <w:rStyle w:val="Rimandonotadichiusura"/>
        </w:rPr>
        <w:endnoteReference w:id="372"/>
      </w:r>
      <w:r w:rsidRPr="00BE7604">
        <w:t xml:space="preserve"> However, 27</w:t>
      </w:r>
      <w:r>
        <w:t xml:space="preserve">% of teenage mothers in </w:t>
      </w:r>
      <w:r w:rsidRPr="00BE7604">
        <w:t>LSAC had post-school qualifications.</w:t>
      </w:r>
      <w:r w:rsidRPr="00290108">
        <w:rPr>
          <w:rStyle w:val="Rimandonotadichiusura"/>
        </w:rPr>
        <w:endnoteReference w:id="373"/>
      </w:r>
      <w:r w:rsidRPr="00BE7604">
        <w:t xml:space="preserve"> This finding provides further credenc</w:t>
      </w:r>
      <w:r>
        <w:t xml:space="preserve">e to conclusions made by Evans </w:t>
      </w:r>
      <w:r w:rsidRPr="00BE7604">
        <w:t>that post-school education is frequently a</w:t>
      </w:r>
      <w:r>
        <w:t xml:space="preserve"> </w:t>
      </w:r>
      <w:r w:rsidRPr="00BE7604">
        <w:t>successful option for young mothers.</w:t>
      </w:r>
      <w:r w:rsidRPr="00290108">
        <w:rPr>
          <w:rStyle w:val="Rimandonotadichiusura"/>
        </w:rPr>
        <w:endnoteReference w:id="374"/>
      </w:r>
      <w:r w:rsidRPr="00E02F15">
        <w:t xml:space="preserve"> </w:t>
      </w:r>
    </w:p>
    <w:p w:rsidR="001E3A21" w:rsidRPr="00E02F15" w:rsidRDefault="001E3A21" w:rsidP="001E3A21">
      <w:r>
        <w:t xml:space="preserve">In their research, </w:t>
      </w:r>
      <w:r w:rsidRPr="00E02F15">
        <w:t xml:space="preserve">Kalb, Le and Leung </w:t>
      </w:r>
      <w:r>
        <w:t>argue that early childhood education and care</w:t>
      </w:r>
      <w:r w:rsidRPr="00E02F15">
        <w:t xml:space="preserve"> support </w:t>
      </w:r>
      <w:r>
        <w:t>should remain</w:t>
      </w:r>
      <w:r w:rsidRPr="00E02F15">
        <w:t xml:space="preserve"> a primary policy </w:t>
      </w:r>
      <w:r>
        <w:t xml:space="preserve">measure </w:t>
      </w:r>
      <w:r w:rsidRPr="00E02F15">
        <w:t xml:space="preserve">to support young mothers to take up employment </w:t>
      </w:r>
      <w:r>
        <w:t xml:space="preserve">and continuing educational </w:t>
      </w:r>
      <w:r w:rsidRPr="00E02F15">
        <w:t>opportunities.</w:t>
      </w:r>
      <w:r w:rsidRPr="00290108">
        <w:rPr>
          <w:rStyle w:val="Rimandonotadichiusura"/>
        </w:rPr>
        <w:endnoteReference w:id="375"/>
      </w:r>
      <w:r w:rsidRPr="00E02F15">
        <w:t xml:space="preserve"> For Aboriginal and Torres Strait Islander teenage mothers, access to </w:t>
      </w:r>
      <w:r>
        <w:t>early childhood education and care services</w:t>
      </w:r>
      <w:r w:rsidRPr="00E02F15">
        <w:t xml:space="preserve"> would be particularly</w:t>
      </w:r>
      <w:r>
        <w:t xml:space="preserve"> useful in improving their long </w:t>
      </w:r>
      <w:r w:rsidRPr="00E02F15">
        <w:t>term outcomes.</w:t>
      </w:r>
      <w:r w:rsidRPr="00290108">
        <w:rPr>
          <w:rStyle w:val="Rimandonotadichiusura"/>
        </w:rPr>
        <w:endnoteReference w:id="376"/>
      </w:r>
      <w:r w:rsidRPr="00E02F15">
        <w:t xml:space="preserve"> </w:t>
      </w:r>
    </w:p>
    <w:p w:rsidR="001E3A21" w:rsidRDefault="001E3A21" w:rsidP="00F164A7">
      <w:pPr>
        <w:spacing w:after="400"/>
      </w:pPr>
      <w:r w:rsidRPr="00E02F15">
        <w:t>There is limited research on the employment rates and behaviours of teenage mothers throughout their life trajectory.</w:t>
      </w:r>
      <w:r w:rsidRPr="00290108">
        <w:rPr>
          <w:rStyle w:val="Rimandonotadichiusura"/>
        </w:rPr>
        <w:endnoteReference w:id="377"/>
      </w:r>
      <w:r w:rsidRPr="00E02F15">
        <w:t xml:space="preserve"> As noted previously, research has found that despite the increase in labour market participation by teenage mothers as their children grow, there is still a significant difference in the earning capacity and employment opportunities for teenage mothers when measured against the opportunities for </w:t>
      </w:r>
      <w:r>
        <w:t xml:space="preserve">both </w:t>
      </w:r>
      <w:r w:rsidRPr="00E02F15">
        <w:t>older mothers and childless women.</w:t>
      </w:r>
      <w:r w:rsidRPr="00290108">
        <w:rPr>
          <w:rStyle w:val="Rimandonotadichiusura"/>
        </w:rPr>
        <w:endnoteReference w:id="378"/>
      </w:r>
      <w:r w:rsidRPr="00E02F15">
        <w:t xml:space="preserve"> </w:t>
      </w:r>
      <w:r>
        <w:t>I</w:t>
      </w:r>
      <w:r w:rsidRPr="00E02F15">
        <w:t xml:space="preserve">t is widely recognised that the lives of teenage mothers are </w:t>
      </w:r>
      <w:r>
        <w:t xml:space="preserve">generally </w:t>
      </w:r>
      <w:r w:rsidRPr="00E02F15">
        <w:t>characterised by unemployment, intermittent employment and welfare dependency.</w:t>
      </w:r>
      <w:r w:rsidRPr="00290108">
        <w:rPr>
          <w:rStyle w:val="Rimandonotadichiusura"/>
        </w:rPr>
        <w:endnoteReference w:id="379"/>
      </w:r>
      <w:r>
        <w:t xml:space="preserve"> </w:t>
      </w:r>
    </w:p>
    <w:tbl>
      <w:tblPr>
        <w:tblStyle w:val="Grigliatabella"/>
        <w:tblW w:w="0" w:type="auto"/>
        <w:shd w:val="clear" w:color="auto" w:fill="E7E6E6" w:themeFill="background2"/>
        <w:tblCellMar>
          <w:left w:w="284" w:type="dxa"/>
          <w:right w:w="284" w:type="dxa"/>
        </w:tblCellMar>
        <w:tblLook w:val="04A0" w:firstRow="1" w:lastRow="0" w:firstColumn="1" w:lastColumn="0" w:noHBand="0" w:noVBand="1"/>
      </w:tblPr>
      <w:tblGrid>
        <w:gridCol w:w="9060"/>
      </w:tblGrid>
      <w:tr w:rsidR="001E3A21" w:rsidTr="007F14C2">
        <w:tc>
          <w:tcPr>
            <w:tcW w:w="9060" w:type="dxa"/>
            <w:shd w:val="clear" w:color="auto" w:fill="E7E6E6" w:themeFill="background2"/>
          </w:tcPr>
          <w:p w:rsidR="001E3A21" w:rsidRPr="00D33E97" w:rsidRDefault="001E3A21" w:rsidP="001E3A21">
            <w:pPr>
              <w:rPr>
                <w:rFonts w:ascii="Calibri" w:hAnsi="Calibri"/>
                <w:color w:val="1F497D"/>
                <w:sz w:val="22"/>
                <w:szCs w:val="22"/>
              </w:rPr>
            </w:pPr>
            <w:r w:rsidRPr="00D33E97">
              <w:rPr>
                <w:b/>
              </w:rPr>
              <w:t xml:space="preserve">Recommendation </w:t>
            </w:r>
            <w:r>
              <w:rPr>
                <w:b/>
              </w:rPr>
              <w:t>5</w:t>
            </w:r>
            <w:r w:rsidRPr="00D33E97">
              <w:t xml:space="preserve">: </w:t>
            </w:r>
            <w:r>
              <w:t xml:space="preserve">The </w:t>
            </w:r>
            <w:r w:rsidRPr="00D33E97">
              <w:t xml:space="preserve">Australian Government </w:t>
            </w:r>
            <w:r>
              <w:t xml:space="preserve">should </w:t>
            </w:r>
            <w:r w:rsidRPr="00D33E97">
              <w:t>commission research into the distinct needs and characteristics of young parents that present barriers to employment pathways, and the kinds of targeted interventions that are most likely to assist in overcoming these.</w:t>
            </w:r>
          </w:p>
        </w:tc>
      </w:tr>
    </w:tbl>
    <w:p w:rsidR="001E3A21" w:rsidRPr="002B7621" w:rsidRDefault="001E3A21" w:rsidP="00592311">
      <w:pPr>
        <w:spacing w:before="400"/>
        <w:rPr>
          <w:b/>
        </w:rPr>
      </w:pPr>
      <w:r>
        <w:rPr>
          <w:b/>
        </w:rPr>
        <w:t>Housing insecurity</w:t>
      </w:r>
    </w:p>
    <w:p w:rsidR="001E3A21" w:rsidRDefault="001E3A21" w:rsidP="001E3A21">
      <w:r>
        <w:t xml:space="preserve">Data collected by </w:t>
      </w:r>
      <w:r w:rsidRPr="00DE51E8">
        <w:t>LSAC indicates that teenage mothers who live with their parents tend to be better off financially and more likely to complete their education.</w:t>
      </w:r>
      <w:r w:rsidRPr="00A66BC1">
        <w:rPr>
          <w:rStyle w:val="Rimandonotadichiusura"/>
        </w:rPr>
        <w:endnoteReference w:id="380"/>
      </w:r>
      <w:r w:rsidRPr="00DE51E8">
        <w:t xml:space="preserve"> Of the </w:t>
      </w:r>
      <w:r>
        <w:t xml:space="preserve">teenage </w:t>
      </w:r>
      <w:r w:rsidRPr="00DE51E8">
        <w:t xml:space="preserve">mothers included in the LSAC survey, </w:t>
      </w:r>
      <w:r>
        <w:t xml:space="preserve">only </w:t>
      </w:r>
      <w:r w:rsidRPr="00DE51E8">
        <w:t>a quarter were living with their parents.</w:t>
      </w:r>
      <w:r w:rsidRPr="00A66BC1">
        <w:rPr>
          <w:rStyle w:val="Rimandonotadichiusura"/>
        </w:rPr>
        <w:endnoteReference w:id="381"/>
      </w:r>
      <w:r w:rsidRPr="00DE51E8">
        <w:t xml:space="preserve"> However, the available research that has involved speaking directly to young parents confirms the substantial challenges posed</w:t>
      </w:r>
      <w:r>
        <w:t xml:space="preserve"> by </w:t>
      </w:r>
      <w:r w:rsidRPr="00E02F15">
        <w:t>un</w:t>
      </w:r>
      <w:r>
        <w:t>stable housing</w:t>
      </w:r>
      <w:r w:rsidRPr="00E02F15">
        <w:t>.</w:t>
      </w:r>
      <w:r w:rsidRPr="00A66BC1">
        <w:rPr>
          <w:rStyle w:val="Rimandonotadichiusura"/>
        </w:rPr>
        <w:endnoteReference w:id="382"/>
      </w:r>
    </w:p>
    <w:p w:rsidR="001E3A21" w:rsidRDefault="001E3A21" w:rsidP="00F164A7">
      <w:pPr>
        <w:spacing w:after="400"/>
      </w:pPr>
      <w:r>
        <w:t xml:space="preserve">Researchers </w:t>
      </w:r>
      <w:r w:rsidRPr="00E02F15">
        <w:t xml:space="preserve">McArthur and Winkworth found </w:t>
      </w:r>
      <w:r>
        <w:t xml:space="preserve">that </w:t>
      </w:r>
      <w:r w:rsidRPr="00E02F15">
        <w:t xml:space="preserve">homelessness or having poor living conditions is a common </w:t>
      </w:r>
      <w:r>
        <w:t xml:space="preserve">situation for young mothers — </w:t>
      </w:r>
      <w:r w:rsidRPr="00E02F15">
        <w:t>either prior to</w:t>
      </w:r>
      <w:r>
        <w:t xml:space="preserve"> or during</w:t>
      </w:r>
      <w:r w:rsidRPr="00E02F15">
        <w:t xml:space="preserve"> pregnancy or with a young child.</w:t>
      </w:r>
      <w:r w:rsidRPr="00A66BC1">
        <w:rPr>
          <w:rStyle w:val="Rimandonotadichiusura"/>
        </w:rPr>
        <w:endnoteReference w:id="383"/>
      </w:r>
      <w:r w:rsidRPr="00E02F15">
        <w:t xml:space="preserve"> Other housing challenges include living in shared accommodation</w:t>
      </w:r>
      <w:r>
        <w:t xml:space="preserve"> with</w:t>
      </w:r>
      <w:r w:rsidRPr="00E02F15">
        <w:t xml:space="preserve"> minimal privacy</w:t>
      </w:r>
      <w:r>
        <w:t>,</w:t>
      </w:r>
      <w:r w:rsidRPr="00E02F15">
        <w:t xml:space="preserve"> or being offered housing in locations where the</w:t>
      </w:r>
      <w:r>
        <w:t>re is limited</w:t>
      </w:r>
      <w:r w:rsidRPr="00E02F15">
        <w:t xml:space="preserve"> or no social support.</w:t>
      </w:r>
      <w:r w:rsidRPr="00A66BC1">
        <w:rPr>
          <w:rStyle w:val="Rimandonotadichiusura"/>
        </w:rPr>
        <w:endnoteReference w:id="384"/>
      </w:r>
      <w:r w:rsidRPr="00E02F15">
        <w:t xml:space="preserve"> Other issues</w:t>
      </w:r>
      <w:r>
        <w:t>,</w:t>
      </w:r>
      <w:r w:rsidRPr="00E02F15">
        <w:t xml:space="preserve"> </w:t>
      </w:r>
      <w:r>
        <w:t>including</w:t>
      </w:r>
      <w:r w:rsidRPr="00E02F15">
        <w:t xml:space="preserve"> being distrustful of services and being unable to follow the rules of services</w:t>
      </w:r>
      <w:r>
        <w:t>,</w:t>
      </w:r>
      <w:r w:rsidRPr="00E02F15">
        <w:t xml:space="preserve"> also present barriers to young parents (particular young mothers) </w:t>
      </w:r>
      <w:r>
        <w:t>in</w:t>
      </w:r>
      <w:r w:rsidRPr="00E02F15">
        <w:t xml:space="preserve"> accessing shelters and youth homelessness services.</w:t>
      </w:r>
      <w:r w:rsidRPr="00A66BC1">
        <w:rPr>
          <w:rStyle w:val="Rimandonotadichiusura"/>
        </w:rPr>
        <w:endnoteReference w:id="385"/>
      </w:r>
      <w:r w:rsidRPr="00E02F15">
        <w:t xml:space="preserve"> As recommended by Kuskoff and Mallett, further research is necessary in order to understand how to deliver housing and homelessness services that more effectively suit the unique needs of young parents</w:t>
      </w:r>
      <w:r>
        <w:t xml:space="preserve"> and their children</w:t>
      </w:r>
      <w:r w:rsidRPr="00E02F15">
        <w:t>.</w:t>
      </w:r>
      <w:r w:rsidRPr="00A66BC1">
        <w:rPr>
          <w:rStyle w:val="Rimandonotadichiusura"/>
        </w:rPr>
        <w:endnoteReference w:id="386"/>
      </w:r>
    </w:p>
    <w:tbl>
      <w:tblPr>
        <w:tblStyle w:val="Grigliatabella"/>
        <w:tblW w:w="0" w:type="auto"/>
        <w:shd w:val="clear" w:color="auto" w:fill="E7E6E6" w:themeFill="background2"/>
        <w:tblCellMar>
          <w:left w:w="284" w:type="dxa"/>
          <w:right w:w="284" w:type="dxa"/>
        </w:tblCellMar>
        <w:tblLook w:val="04A0" w:firstRow="1" w:lastRow="0" w:firstColumn="1" w:lastColumn="0" w:noHBand="0" w:noVBand="1"/>
      </w:tblPr>
      <w:tblGrid>
        <w:gridCol w:w="9060"/>
      </w:tblGrid>
      <w:tr w:rsidR="001E3A21" w:rsidTr="007F14C2">
        <w:tc>
          <w:tcPr>
            <w:tcW w:w="9060" w:type="dxa"/>
            <w:shd w:val="clear" w:color="auto" w:fill="E7E6E6" w:themeFill="background2"/>
          </w:tcPr>
          <w:p w:rsidR="001E3A21" w:rsidRPr="00CF7AF1" w:rsidRDefault="001E3A21" w:rsidP="001E3A21">
            <w:pPr>
              <w:rPr>
                <w:b/>
              </w:rPr>
            </w:pPr>
            <w:r w:rsidRPr="00D33E97">
              <w:rPr>
                <w:b/>
              </w:rPr>
              <w:t xml:space="preserve">Recommendation </w:t>
            </w:r>
            <w:r>
              <w:rPr>
                <w:b/>
              </w:rPr>
              <w:t>6</w:t>
            </w:r>
            <w:r w:rsidRPr="00D33E97">
              <w:rPr>
                <w:b/>
              </w:rPr>
              <w:t xml:space="preserve">: </w:t>
            </w:r>
            <w:r>
              <w:t>The Australian Government</w:t>
            </w:r>
            <w:r w:rsidRPr="00262FE4">
              <w:t xml:space="preserve"> </w:t>
            </w:r>
            <w:r>
              <w:t xml:space="preserve">should </w:t>
            </w:r>
            <w:r w:rsidRPr="00262FE4">
              <w:t xml:space="preserve">commission research </w:t>
            </w:r>
            <w:r>
              <w:t xml:space="preserve">into </w:t>
            </w:r>
            <w:r w:rsidRPr="00262FE4">
              <w:t>how to deliver housing and homelessness services that more effectively suit the unique needs of young parents and their children. This research will necessarily involve consulting with young parents and their children themselves.</w:t>
            </w:r>
          </w:p>
        </w:tc>
      </w:tr>
    </w:tbl>
    <w:p w:rsidR="001E3A21" w:rsidRPr="000F5F97" w:rsidRDefault="001E3A21" w:rsidP="001E3A21">
      <w:pPr>
        <w:pStyle w:val="Titolo4"/>
        <w:ind w:left="360" w:hanging="360"/>
        <w:rPr>
          <w:szCs w:val="24"/>
        </w:rPr>
      </w:pPr>
      <w:r w:rsidRPr="000F5F97">
        <w:rPr>
          <w:szCs w:val="24"/>
        </w:rPr>
        <w:t xml:space="preserve">Access to health care, sexual health and abortion services </w:t>
      </w:r>
    </w:p>
    <w:p w:rsidR="001E3A21" w:rsidRPr="00E02F15" w:rsidRDefault="001E3A21" w:rsidP="001E3A21">
      <w:r w:rsidRPr="00E02F15">
        <w:t>Research has found that limited access to sexual health, general health and abortion services may contribute to the higher rates of teenage pregnancy in rural areas.</w:t>
      </w:r>
      <w:r w:rsidRPr="00A66BC1">
        <w:rPr>
          <w:rStyle w:val="Rimandonotadichiusura"/>
        </w:rPr>
        <w:endnoteReference w:id="387"/>
      </w:r>
      <w:r w:rsidRPr="00E02F15">
        <w:t xml:space="preserve"> Structural </w:t>
      </w:r>
      <w:r>
        <w:t>issues</w:t>
      </w:r>
      <w:r w:rsidRPr="00E02F15">
        <w:t xml:space="preserve"> (</w:t>
      </w:r>
      <w:r>
        <w:t xml:space="preserve">eg </w:t>
      </w:r>
      <w:r w:rsidRPr="00E02F15">
        <w:t xml:space="preserve">access, transport and cost) </w:t>
      </w:r>
      <w:r>
        <w:t xml:space="preserve">are </w:t>
      </w:r>
      <w:r w:rsidRPr="00E02F15">
        <w:t xml:space="preserve">also </w:t>
      </w:r>
      <w:r>
        <w:t xml:space="preserve">likely </w:t>
      </w:r>
      <w:r w:rsidRPr="00E02F15">
        <w:t>contributo</w:t>
      </w:r>
      <w:r>
        <w:t>rs</w:t>
      </w:r>
      <w:r w:rsidRPr="00E02F15">
        <w:t xml:space="preserve">. </w:t>
      </w:r>
    </w:p>
    <w:p w:rsidR="001E3A21" w:rsidRPr="00E02F15" w:rsidRDefault="001E3A21" w:rsidP="001E3A21">
      <w:r w:rsidRPr="00E02F15">
        <w:t>In 2015, Australian researchers interviewed both service providers and young people to understand how to improve young people’s access to sexual reproductive health services in rural and regional Queensland.</w:t>
      </w:r>
      <w:r w:rsidRPr="00A66BC1">
        <w:rPr>
          <w:rStyle w:val="Rimandonotadichiusura"/>
        </w:rPr>
        <w:endnoteReference w:id="388"/>
      </w:r>
      <w:r>
        <w:t xml:space="preserve"> R</w:t>
      </w:r>
      <w:r w:rsidRPr="00E02F15">
        <w:t>esponses from service providers were heavily weighted on improving st</w:t>
      </w:r>
      <w:r>
        <w:t>ructural issues (eg transport</w:t>
      </w:r>
      <w:r w:rsidRPr="00E02F15">
        <w:t>, cost, limited operating hours and confidentiality) whereas young peopl</w:t>
      </w:r>
      <w:r>
        <w:t>e reported that feeling welcome</w:t>
      </w:r>
      <w:r w:rsidRPr="00E02F15">
        <w:t xml:space="preserve"> and not judged when utilising services w</w:t>
      </w:r>
      <w:r>
        <w:t>ere</w:t>
      </w:r>
      <w:r w:rsidRPr="00E02F15">
        <w:t xml:space="preserve"> a greater consideration for them.</w:t>
      </w:r>
      <w:r w:rsidRPr="00A66BC1">
        <w:rPr>
          <w:rStyle w:val="Rimandonotadichiusura"/>
        </w:rPr>
        <w:endnoteReference w:id="389"/>
      </w:r>
      <w:r w:rsidRPr="00E02F15">
        <w:t xml:space="preserve"> This particular study emphasised the importance of interpersonal skill</w:t>
      </w:r>
      <w:r>
        <w:t>s</w:t>
      </w:r>
      <w:r w:rsidRPr="00E02F15">
        <w:t xml:space="preserve"> training for service provide</w:t>
      </w:r>
      <w:r>
        <w:t>rs, particularly in rural areas.</w:t>
      </w:r>
      <w:r>
        <w:rPr>
          <w:rStyle w:val="Rimandonotadichiusura"/>
        </w:rPr>
        <w:endnoteReference w:id="390"/>
      </w:r>
      <w:r>
        <w:t xml:space="preserve"> In these areas,</w:t>
      </w:r>
      <w:r w:rsidRPr="00E02F15">
        <w:t xml:space="preserve"> although physical access issues are relevant, relationship and attitudinal issues</w:t>
      </w:r>
      <w:r>
        <w:t xml:space="preserve"> (including ongoing stigma)</w:t>
      </w:r>
      <w:r w:rsidRPr="00E02F15">
        <w:t xml:space="preserve"> are also highly influential for young people.</w:t>
      </w:r>
      <w:r w:rsidRPr="00A66BC1">
        <w:rPr>
          <w:rStyle w:val="Rimandonotadichiusura"/>
        </w:rPr>
        <w:endnoteReference w:id="391"/>
      </w:r>
      <w:r w:rsidRPr="00E02F15">
        <w:t xml:space="preserve"> </w:t>
      </w:r>
    </w:p>
    <w:p w:rsidR="001E3A21" w:rsidRDefault="001E3A21" w:rsidP="001E3A21">
      <w:r w:rsidRPr="00E02F15">
        <w:t>Similarly in NSW, another research study</w:t>
      </w:r>
      <w:r>
        <w:t xml:space="preserve"> in 2003</w:t>
      </w:r>
      <w:r w:rsidRPr="00E02F15">
        <w:t xml:space="preserve"> consulted young people from regional areas on their experience accessing health services.</w:t>
      </w:r>
      <w:r w:rsidRPr="00A66BC1">
        <w:rPr>
          <w:rStyle w:val="Rimandonotadichiusura"/>
        </w:rPr>
        <w:endnoteReference w:id="392"/>
      </w:r>
      <w:r w:rsidRPr="00E02F15">
        <w:t xml:space="preserve"> One health concern raised ‘almost exclusively in rural areas’ was teenage pregnancy.</w:t>
      </w:r>
      <w:r w:rsidRPr="00A66BC1">
        <w:rPr>
          <w:rStyle w:val="Rimandonotadichiusura"/>
        </w:rPr>
        <w:endnoteReference w:id="393"/>
      </w:r>
      <w:r w:rsidRPr="00E02F15">
        <w:t xml:space="preserve"> </w:t>
      </w:r>
      <w:r w:rsidRPr="002067AC">
        <w:t>Importantly, this</w:t>
      </w:r>
      <w:r w:rsidRPr="00E02F15">
        <w:t xml:space="preserve"> issue was raised by young women themselves and not the facilitators</w:t>
      </w:r>
      <w:r>
        <w:t xml:space="preserve">, </w:t>
      </w:r>
      <w:r w:rsidRPr="00E02F15">
        <w:t>indicating th</w:t>
      </w:r>
      <w:r>
        <w:t>at pregnancy is a significant concern for them</w:t>
      </w:r>
      <w:r w:rsidRPr="00E02F15">
        <w:t>.</w:t>
      </w:r>
      <w:r w:rsidRPr="00A66BC1">
        <w:rPr>
          <w:rStyle w:val="Rimandonotadichiusura"/>
        </w:rPr>
        <w:endnoteReference w:id="394"/>
      </w:r>
      <w:r w:rsidRPr="00E02F15">
        <w:t xml:space="preserve"> </w:t>
      </w:r>
    </w:p>
    <w:p w:rsidR="001E3A21" w:rsidRPr="00E02F15" w:rsidRDefault="001E3A21" w:rsidP="001E3A21">
      <w:r w:rsidRPr="00E02F15">
        <w:t>In this study, young people identified a range of causes of teenage pregnancy</w:t>
      </w:r>
      <w:r>
        <w:t>, including</w:t>
      </w:r>
      <w:r w:rsidRPr="00E02F15">
        <w:t xml:space="preserve"> ‘getting drunk, not thinking it would happen to them, girls believing contraception was the boy’s responsibility and, for boys, not wanting to use condoms’.</w:t>
      </w:r>
      <w:r w:rsidRPr="00A66BC1">
        <w:rPr>
          <w:rStyle w:val="Rimandonotadichiusura"/>
        </w:rPr>
        <w:endnoteReference w:id="395"/>
      </w:r>
      <w:r w:rsidRPr="00E02F15">
        <w:t xml:space="preserve"> Participating in risk taking behaviour, including risky sexual activity</w:t>
      </w:r>
      <w:r>
        <w:t>,</w:t>
      </w:r>
      <w:r w:rsidRPr="00E02F15">
        <w:t xml:space="preserve"> was also cited as an issue for young people in rural areas as ‘something to do’.</w:t>
      </w:r>
      <w:r w:rsidRPr="00A66BC1">
        <w:rPr>
          <w:rStyle w:val="Rimandonotadichiusura"/>
        </w:rPr>
        <w:endnoteReference w:id="396"/>
      </w:r>
      <w:r w:rsidRPr="00E02F15">
        <w:t xml:space="preserve"> </w:t>
      </w:r>
    </w:p>
    <w:p w:rsidR="001E3A21" w:rsidRPr="00E02F15" w:rsidRDefault="001E3A21" w:rsidP="001E3A21">
      <w:r>
        <w:t>Y</w:t>
      </w:r>
      <w:r w:rsidRPr="00E02F15">
        <w:t>oung people also raised concerns regarding ‘confidentiality and visibility’ when seeking sexual health advice, contraception and abortion services.</w:t>
      </w:r>
      <w:r w:rsidRPr="00A66BC1">
        <w:rPr>
          <w:rStyle w:val="Rimandonotadichiusura"/>
        </w:rPr>
        <w:endnoteReference w:id="397"/>
      </w:r>
      <w:r w:rsidRPr="00E02F15">
        <w:t xml:space="preserve"> Other issues</w:t>
      </w:r>
      <w:r>
        <w:t>,</w:t>
      </w:r>
      <w:r w:rsidRPr="00E02F15">
        <w:t xml:space="preserve"> such as the limited number of general practitioners (GPs) in rural areas, </w:t>
      </w:r>
      <w:r>
        <w:t>especially</w:t>
      </w:r>
      <w:r w:rsidRPr="00E02F15">
        <w:t xml:space="preserve"> female doctors</w:t>
      </w:r>
      <w:r>
        <w:t>,</w:t>
      </w:r>
      <w:r w:rsidRPr="00E02F15">
        <w:t xml:space="preserve"> were identified by young women as barriers to accessing sexual health care.</w:t>
      </w:r>
      <w:r w:rsidRPr="00A66BC1">
        <w:rPr>
          <w:rStyle w:val="Rimandonotadichiusura"/>
        </w:rPr>
        <w:endnoteReference w:id="398"/>
      </w:r>
      <w:r w:rsidRPr="00E02F15">
        <w:t xml:space="preserve"> </w:t>
      </w:r>
      <w:r>
        <w:t>Participants</w:t>
      </w:r>
      <w:r w:rsidRPr="00E02F15">
        <w:t xml:space="preserve"> also reported that the cost of seeing a doctor in rural areas was </w:t>
      </w:r>
      <w:r>
        <w:t>high,</w:t>
      </w:r>
      <w:r w:rsidRPr="00E02F15">
        <w:t xml:space="preserve"> due to demand.</w:t>
      </w:r>
      <w:r w:rsidRPr="00A66BC1">
        <w:rPr>
          <w:rStyle w:val="Rimandonotadichiusura"/>
        </w:rPr>
        <w:endnoteReference w:id="399"/>
      </w:r>
      <w:r w:rsidRPr="00E02F15">
        <w:t xml:space="preserve"> </w:t>
      </w:r>
      <w:r>
        <w:t>Further, t</w:t>
      </w:r>
      <w:r w:rsidRPr="00E02F15">
        <w:t xml:space="preserve">he research </w:t>
      </w:r>
      <w:r>
        <w:t>showed</w:t>
      </w:r>
      <w:r w:rsidRPr="00E02F15">
        <w:t xml:space="preserve"> that ‘rigid societal gender norms’</w:t>
      </w:r>
      <w:r>
        <w:t>,</w:t>
      </w:r>
      <w:r w:rsidRPr="00E02F15">
        <w:t xml:space="preserve"> still prevalent in rural areas</w:t>
      </w:r>
      <w:r>
        <w:t>,</w:t>
      </w:r>
      <w:r w:rsidRPr="00E02F15">
        <w:t xml:space="preserve"> were a</w:t>
      </w:r>
      <w:r>
        <w:t xml:space="preserve"> </w:t>
      </w:r>
      <w:r w:rsidRPr="00E02F15">
        <w:t>signific</w:t>
      </w:r>
      <w:r>
        <w:t xml:space="preserve">ant challenge for young women — </w:t>
      </w:r>
      <w:r w:rsidRPr="00E02F15">
        <w:t>even more so than the actual consequence of sexual activity.</w:t>
      </w:r>
      <w:r w:rsidRPr="00A66BC1">
        <w:rPr>
          <w:rStyle w:val="Rimandonotadichiusura"/>
        </w:rPr>
        <w:endnoteReference w:id="400"/>
      </w:r>
      <w:r w:rsidRPr="00E02F15">
        <w:t xml:space="preserve"> </w:t>
      </w:r>
    </w:p>
    <w:p w:rsidR="001E3A21" w:rsidRPr="00E02F15" w:rsidRDefault="001E3A21" w:rsidP="001E3A21">
      <w:r>
        <w:t xml:space="preserve">Researchers </w:t>
      </w:r>
      <w:r w:rsidRPr="00E02F15">
        <w:t>Marino</w:t>
      </w:r>
      <w:r w:rsidR="00EF661D">
        <w:rPr>
          <w:rFonts w:cs="Arial"/>
        </w:rPr>
        <w:t xml:space="preserve"> et al</w:t>
      </w:r>
      <w:r w:rsidR="00EF661D">
        <w:t xml:space="preserve"> </w:t>
      </w:r>
      <w:r w:rsidRPr="00E02F15">
        <w:t>have noted that</w:t>
      </w:r>
      <w:r>
        <w:t>,</w:t>
      </w:r>
      <w:r w:rsidRPr="00E02F15">
        <w:t xml:space="preserve"> </w:t>
      </w:r>
      <w:r>
        <w:t>although there is</w:t>
      </w:r>
      <w:r w:rsidRPr="00E02F15">
        <w:t xml:space="preserve"> more limited access to abortion services in rural and regional </w:t>
      </w:r>
      <w:r>
        <w:t>areas</w:t>
      </w:r>
      <w:r w:rsidRPr="00E02F15">
        <w:t xml:space="preserve">, </w:t>
      </w:r>
      <w:r>
        <w:t>throughout</w:t>
      </w:r>
      <w:r w:rsidRPr="00E02F15">
        <w:t xml:space="preserve"> </w:t>
      </w:r>
      <w:r>
        <w:t>Australia</w:t>
      </w:r>
      <w:r w:rsidRPr="00E02F15">
        <w:t xml:space="preserve"> there are </w:t>
      </w:r>
      <w:r>
        <w:t>greater</w:t>
      </w:r>
      <w:r w:rsidRPr="00E02F15">
        <w:t xml:space="preserve"> barriers for teenagers in accessing contraceptive and abortion services than the general population, irrespective of the location.</w:t>
      </w:r>
      <w:r w:rsidRPr="00A66BC1">
        <w:rPr>
          <w:rStyle w:val="Rimandonotadichiusura"/>
        </w:rPr>
        <w:endnoteReference w:id="401"/>
      </w:r>
      <w:r w:rsidRPr="00E02F15">
        <w:t xml:space="preserve"> </w:t>
      </w:r>
      <w:r>
        <w:t xml:space="preserve">Further, </w:t>
      </w:r>
      <w:r w:rsidRPr="00E02F15">
        <w:t>young people have identified that confidentiality, challenges in being able to discuss sensitive health issues</w:t>
      </w:r>
      <w:r>
        <w:t>,</w:t>
      </w:r>
      <w:r w:rsidRPr="00E02F15">
        <w:t xml:space="preserve"> and cost</w:t>
      </w:r>
      <w:r>
        <w:t>,</w:t>
      </w:r>
      <w:r w:rsidRPr="00E02F15">
        <w:t xml:space="preserve"> </w:t>
      </w:r>
      <w:r>
        <w:t xml:space="preserve">all </w:t>
      </w:r>
      <w:r w:rsidRPr="00E02F15">
        <w:t>present barriers to using and purchasing contraception.</w:t>
      </w:r>
      <w:r w:rsidRPr="00A66BC1">
        <w:rPr>
          <w:rStyle w:val="Rimandonotadichiusura"/>
        </w:rPr>
        <w:endnoteReference w:id="402"/>
      </w:r>
      <w:r w:rsidRPr="00E02F15">
        <w:t xml:space="preserve"> </w:t>
      </w:r>
    </w:p>
    <w:p w:rsidR="001E3A21" w:rsidRPr="00E02F15" w:rsidRDefault="001E3A21" w:rsidP="001E3A21">
      <w:r w:rsidRPr="00E02F15">
        <w:t>When analysing fertility rates across the states and territories,</w:t>
      </w:r>
      <w:r>
        <w:t xml:space="preserve"> researchers</w:t>
      </w:r>
      <w:r w:rsidRPr="00E02F15">
        <w:t xml:space="preserve"> have noted the importance of difference</w:t>
      </w:r>
      <w:r>
        <w:t>s</w:t>
      </w:r>
      <w:r w:rsidRPr="00E02F15">
        <w:t xml:space="preserve"> in abortion laws </w:t>
      </w:r>
      <w:r>
        <w:t>across</w:t>
      </w:r>
      <w:r w:rsidRPr="00E02F15">
        <w:t xml:space="preserve"> jurisdictions.</w:t>
      </w:r>
      <w:r w:rsidRPr="00A66BC1">
        <w:rPr>
          <w:rStyle w:val="Rimandonotadichiusura"/>
        </w:rPr>
        <w:endnoteReference w:id="403"/>
      </w:r>
      <w:r w:rsidRPr="00E02F15">
        <w:t xml:space="preserve"> This </w:t>
      </w:r>
      <w:r>
        <w:t xml:space="preserve">is especially important </w:t>
      </w:r>
      <w:r w:rsidRPr="00E02F15">
        <w:t>when comparing the ACT</w:t>
      </w:r>
      <w:r>
        <w:t xml:space="preserve"> and the NT. In the ACT, where abortion has been legal (with some restrictions) since 2002, the rate of teenage pregnancy is the lowest. The </w:t>
      </w:r>
      <w:r w:rsidRPr="00E02F15">
        <w:t>NT</w:t>
      </w:r>
      <w:r>
        <w:t xml:space="preserve">, which </w:t>
      </w:r>
      <w:r w:rsidRPr="00E02F15">
        <w:t>has</w:t>
      </w:r>
      <w:r>
        <w:t xml:space="preserve"> </w:t>
      </w:r>
      <w:r w:rsidRPr="00E02F15">
        <w:t>‘heavy restrictions’ and barriers for women in obtaining an abortion</w:t>
      </w:r>
      <w:r>
        <w:t>, has</w:t>
      </w:r>
      <w:r w:rsidRPr="001012CF">
        <w:t xml:space="preserve"> </w:t>
      </w:r>
      <w:r w:rsidRPr="00E02F15">
        <w:t>the highest rate of teen pregnancy.</w:t>
      </w:r>
      <w:r w:rsidRPr="00A66BC1">
        <w:rPr>
          <w:rStyle w:val="Rimandonotadichiusura"/>
        </w:rPr>
        <w:endnoteReference w:id="404"/>
      </w:r>
      <w:r w:rsidRPr="00E02F15">
        <w:t xml:space="preserve"> </w:t>
      </w:r>
    </w:p>
    <w:p w:rsidR="001E3A21" w:rsidRPr="00E02F15" w:rsidRDefault="001E3A21" w:rsidP="001E3A21">
      <w:r w:rsidRPr="00E02F15">
        <w:t xml:space="preserve">South Australia </w:t>
      </w:r>
      <w:r>
        <w:t xml:space="preserve">(SA) </w:t>
      </w:r>
      <w:r w:rsidRPr="00E02F15">
        <w:t xml:space="preserve">is the only jurisdiction in Australia </w:t>
      </w:r>
      <w:r>
        <w:t>that</w:t>
      </w:r>
      <w:r w:rsidRPr="00E02F15">
        <w:t xml:space="preserve"> consistently collects abortion statistics and makes these publicly available.</w:t>
      </w:r>
      <w:r w:rsidRPr="00A66BC1">
        <w:rPr>
          <w:rStyle w:val="Rimandonotadichiusura"/>
        </w:rPr>
        <w:endnoteReference w:id="405"/>
      </w:r>
      <w:r>
        <w:t xml:space="preserve"> In 2014, </w:t>
      </w:r>
      <w:r w:rsidRPr="00E02F15">
        <w:t>4,650 terminations of pregnancy were recorded</w:t>
      </w:r>
      <w:r>
        <w:t xml:space="preserve"> in SA</w:t>
      </w:r>
      <w:r w:rsidRPr="00E02F15">
        <w:t>.</w:t>
      </w:r>
      <w:r w:rsidRPr="00A66BC1">
        <w:rPr>
          <w:rStyle w:val="Rimandonotadichiusura"/>
        </w:rPr>
        <w:endnoteReference w:id="406"/>
      </w:r>
      <w:r w:rsidRPr="00E02F15">
        <w:t xml:space="preserve"> The Victorian Law Reform Commission, relying on data from the AIHW, estimated </w:t>
      </w:r>
      <w:r>
        <w:t xml:space="preserve">that there were </w:t>
      </w:r>
      <w:r w:rsidRPr="00E02F15">
        <w:t>83,210 terminations of pregnancy in 2004 across Australia.</w:t>
      </w:r>
      <w:r w:rsidRPr="00A66BC1">
        <w:rPr>
          <w:rStyle w:val="Rimandonotadichiusura"/>
        </w:rPr>
        <w:endnoteReference w:id="407"/>
      </w:r>
      <w:r w:rsidRPr="00E02F15">
        <w:t xml:space="preserve"> This number is similar to the estimate by </w:t>
      </w:r>
      <w:r>
        <w:t>Chan and Sage, who have conducted the latest national study</w:t>
      </w:r>
      <w:r w:rsidRPr="00E02F15">
        <w:t xml:space="preserve"> estimating Australia’s abortion rates.</w:t>
      </w:r>
      <w:r w:rsidRPr="00A66BC1">
        <w:rPr>
          <w:rStyle w:val="Rimandonotadichiusura"/>
        </w:rPr>
        <w:endnoteReference w:id="408"/>
      </w:r>
      <w:r w:rsidRPr="00E02F15">
        <w:t xml:space="preserve"> </w:t>
      </w:r>
      <w:r>
        <w:t>According to Chan and Sage’s estimates, the rate of abortion has increased from 1985 and appears to decline from 1995 and again from 2001.</w:t>
      </w:r>
      <w:r w:rsidRPr="000F5F97">
        <w:rPr>
          <w:rStyle w:val="Rimandonotadichiusura"/>
        </w:rPr>
        <w:endnoteReference w:id="409"/>
      </w:r>
      <w:r>
        <w:t xml:space="preserve"> However, their estimates do</w:t>
      </w:r>
      <w:r w:rsidRPr="00E02F15">
        <w:t xml:space="preserve"> not provide specific data on the number of teenage pregnancies </w:t>
      </w:r>
      <w:r>
        <w:t>that</w:t>
      </w:r>
      <w:r w:rsidRPr="00E02F15">
        <w:t xml:space="preserve"> are terminated nationally, nor a complete pictur</w:t>
      </w:r>
      <w:r>
        <w:t>e of all abortions in Australia.</w:t>
      </w:r>
      <w:r w:rsidRPr="00A66BC1">
        <w:rPr>
          <w:rStyle w:val="Rimandonotadichiusura"/>
        </w:rPr>
        <w:endnoteReference w:id="410"/>
      </w:r>
      <w:r w:rsidRPr="008C4B8C">
        <w:t xml:space="preserve"> </w:t>
      </w:r>
    </w:p>
    <w:p w:rsidR="001E3A21" w:rsidRPr="000B2B72" w:rsidRDefault="001E3A21" w:rsidP="001E3A21">
      <w:pPr>
        <w:pStyle w:val="Titolo4"/>
        <w:rPr>
          <w:szCs w:val="24"/>
        </w:rPr>
      </w:pPr>
      <w:r w:rsidRPr="000B2B72">
        <w:rPr>
          <w:szCs w:val="24"/>
        </w:rPr>
        <w:t>Domestic and partner violence and teenage pregnancy</w:t>
      </w:r>
    </w:p>
    <w:p w:rsidR="001E3A21" w:rsidRPr="00E02F15" w:rsidRDefault="001E3A21" w:rsidP="001E3A21">
      <w:r>
        <w:t>S</w:t>
      </w:r>
      <w:r w:rsidRPr="00E02F15">
        <w:t xml:space="preserve">exual assault and domestic/intimate partner violence </w:t>
      </w:r>
      <w:r>
        <w:t xml:space="preserve">are </w:t>
      </w:r>
      <w:r w:rsidRPr="00E02F15">
        <w:t>contribut</w:t>
      </w:r>
      <w:r>
        <w:t>ing factors</w:t>
      </w:r>
      <w:r w:rsidRPr="00E02F15">
        <w:t xml:space="preserve"> to the Australian teenage fertility rate. Taft and Watson</w:t>
      </w:r>
      <w:r>
        <w:t xml:space="preserve"> found that</w:t>
      </w:r>
      <w:r w:rsidRPr="00E02F15">
        <w:t xml:space="preserve"> ‘partner violence is the strongest predictive factor of pregnancy termination among young Australian women’.</w:t>
      </w:r>
      <w:r w:rsidRPr="00A66BC1">
        <w:rPr>
          <w:rStyle w:val="Rimandonotadichiusura"/>
        </w:rPr>
        <w:endnoteReference w:id="411"/>
      </w:r>
      <w:r w:rsidRPr="00E02F15">
        <w:t xml:space="preserve"> Taft and Watson also found that young women who report</w:t>
      </w:r>
      <w:r>
        <w:t>ed</w:t>
      </w:r>
      <w:r w:rsidRPr="00E02F15">
        <w:t xml:space="preserve"> abortions and other pregnancy outcomes </w:t>
      </w:r>
      <w:r>
        <w:t>were</w:t>
      </w:r>
      <w:r w:rsidRPr="00E02F15">
        <w:t xml:space="preserve"> likely to be poorly educated, would not have private insurance and would have been a ‘victim of violence, especially partner violence’ when compared with women in the same age group who did not report </w:t>
      </w:r>
      <w:r w:rsidRPr="00554C54">
        <w:t>pregnancy.</w:t>
      </w:r>
      <w:r w:rsidRPr="000F5F97">
        <w:rPr>
          <w:rStyle w:val="Rimandonotadichiusura"/>
        </w:rPr>
        <w:endnoteReference w:id="412"/>
      </w:r>
      <w:r w:rsidRPr="00554C54">
        <w:t xml:space="preserve"> </w:t>
      </w:r>
    </w:p>
    <w:p w:rsidR="001E3A21" w:rsidRDefault="001E3A21" w:rsidP="001E3A21">
      <w:r w:rsidRPr="00E02F15">
        <w:t>Researchers studying the high Aboriginal and Torres Strait Islander teenage birth</w:t>
      </w:r>
      <w:r>
        <w:t xml:space="preserve"> </w:t>
      </w:r>
      <w:r w:rsidRPr="00E02F15">
        <w:t>rate in the NT have similarly observed that the ‘high rates of sexual assault and domestic violence’ indicate that some teenage pregnancies are unwanted and/or unintended.</w:t>
      </w:r>
      <w:r w:rsidRPr="00A66BC1">
        <w:rPr>
          <w:rStyle w:val="Rimandonotadichiusura"/>
        </w:rPr>
        <w:endnoteReference w:id="413"/>
      </w:r>
      <w:r w:rsidRPr="00E02F15">
        <w:t xml:space="preserve"> Accordingly, Taft and Watson suggest that programs and services to assist in the prevention of partner violence may reduce the instances of unwanted and unintended pregnancies in the teenage cohort.</w:t>
      </w:r>
      <w:r w:rsidRPr="00A66BC1">
        <w:rPr>
          <w:rStyle w:val="Rimandonotadichiusura"/>
        </w:rPr>
        <w:endnoteReference w:id="414"/>
      </w:r>
      <w:r w:rsidR="00F45E91">
        <w:t xml:space="preserve"> </w:t>
      </w:r>
    </w:p>
    <w:p w:rsidR="001E3A21" w:rsidRPr="00272D1A" w:rsidRDefault="001E3A21" w:rsidP="001E3A21">
      <w:pPr>
        <w:pStyle w:val="Titolo4"/>
        <w:rPr>
          <w:szCs w:val="24"/>
        </w:rPr>
      </w:pPr>
      <w:r w:rsidRPr="00272D1A">
        <w:rPr>
          <w:szCs w:val="24"/>
        </w:rPr>
        <w:t>Pathways to parenthood</w:t>
      </w:r>
    </w:p>
    <w:p w:rsidR="001E3A21" w:rsidRPr="00E02F15" w:rsidRDefault="001E3A21" w:rsidP="001E3A21">
      <w:r w:rsidRPr="00E02F15">
        <w:t>Research on teenage pregnancy in Australia has found that not all teenage births are acc</w:t>
      </w:r>
      <w:r>
        <w:t xml:space="preserve">idental, unintended or unwanted, and that </w:t>
      </w:r>
      <w:r w:rsidRPr="00E02F15">
        <w:t>the pathway</w:t>
      </w:r>
      <w:r>
        <w:t>s</w:t>
      </w:r>
      <w:r w:rsidRPr="00E02F15">
        <w:t xml:space="preserve"> </w:t>
      </w:r>
      <w:r>
        <w:t>leading to</w:t>
      </w:r>
      <w:r w:rsidRPr="00E02F15">
        <w:t xml:space="preserve"> motherhood </w:t>
      </w:r>
      <w:r>
        <w:t>are</w:t>
      </w:r>
      <w:r w:rsidRPr="00E02F15">
        <w:t xml:space="preserve"> diverse.</w:t>
      </w:r>
      <w:r w:rsidRPr="00760700">
        <w:rPr>
          <w:rStyle w:val="Rimandonotadichiusura"/>
        </w:rPr>
        <w:endnoteReference w:id="415"/>
      </w:r>
      <w:r w:rsidRPr="00E02F15">
        <w:t xml:space="preserve"> </w:t>
      </w:r>
    </w:p>
    <w:p w:rsidR="001E3A21" w:rsidRPr="00E02F15" w:rsidRDefault="001E3A21" w:rsidP="001E3A21">
      <w:r w:rsidRPr="00E02F15">
        <w:t xml:space="preserve">As noted by </w:t>
      </w:r>
      <w:r>
        <w:t xml:space="preserve">researchers </w:t>
      </w:r>
      <w:r w:rsidRPr="00E02F15">
        <w:t>Smith</w:t>
      </w:r>
      <w:r>
        <w:t>, Skinner and Fenwick</w:t>
      </w:r>
      <w:r w:rsidRPr="00E02F15">
        <w:t>, understanding the motivations of teenagers who engage in perceived ‘careless and risky’ sexual behaviour is critical to identif</w:t>
      </w:r>
      <w:r>
        <w:t>ying</w:t>
      </w:r>
      <w:r w:rsidRPr="00E02F15">
        <w:t xml:space="preserve"> and understand</w:t>
      </w:r>
      <w:r>
        <w:t>ing</w:t>
      </w:r>
      <w:r w:rsidRPr="00E02F15">
        <w:t xml:space="preserve"> the ‘distinctions between intentional and nonintentional behaviour’ (that is, pregnancy, termination or neither).</w:t>
      </w:r>
      <w:r w:rsidRPr="00760700">
        <w:rPr>
          <w:rStyle w:val="Rimandonotadichiusura"/>
        </w:rPr>
        <w:endnoteReference w:id="416"/>
      </w:r>
      <w:r w:rsidRPr="00E02F15">
        <w:t xml:space="preserve"> Smith</w:t>
      </w:r>
      <w:r>
        <w:t>, Skinner and Fenwick</w:t>
      </w:r>
      <w:r w:rsidRPr="00E02F15">
        <w:t xml:space="preserve"> found that teenagers’ attitudes towards motherhood (either accepting or rejecting it) strongly contributed to their actions and behaviours.</w:t>
      </w:r>
      <w:r w:rsidRPr="00760700">
        <w:rPr>
          <w:rStyle w:val="Rimandonotadichiusura"/>
        </w:rPr>
        <w:endnoteReference w:id="417"/>
      </w:r>
      <w:r w:rsidRPr="00E02F15">
        <w:t xml:space="preserve"> Teenagers who identified as ‘never pregnant’ or ‘pregnancy-terminated’ ‘shared similar desires to postpone parenthood’.</w:t>
      </w:r>
      <w:r w:rsidRPr="00760700">
        <w:rPr>
          <w:rStyle w:val="Rimandonotadichiusura"/>
        </w:rPr>
        <w:endnoteReference w:id="418"/>
      </w:r>
      <w:r w:rsidRPr="00E02F15">
        <w:t xml:space="preserve"> These teenagers were more accepting of abortion as an alternative to giving birth.</w:t>
      </w:r>
      <w:r w:rsidRPr="00760700">
        <w:rPr>
          <w:rStyle w:val="Rimandonotadichiusura"/>
        </w:rPr>
        <w:endnoteReference w:id="419"/>
      </w:r>
      <w:r w:rsidRPr="00E02F15">
        <w:t xml:space="preserve"> On the other hand, ‘pregnant continued teenagers’ described motherhood as ‘something that had rescued them from a life of limited fulfilment or continued involvement in risky behaviour’.</w:t>
      </w:r>
      <w:r w:rsidRPr="00760700">
        <w:rPr>
          <w:rStyle w:val="Rimandonotadichiusura"/>
        </w:rPr>
        <w:endnoteReference w:id="420"/>
      </w:r>
      <w:r w:rsidRPr="00E02F15">
        <w:t xml:space="preserve"> Some teenagers </w:t>
      </w:r>
      <w:r>
        <w:t xml:space="preserve">in this study </w:t>
      </w:r>
      <w:r w:rsidRPr="00E02F15">
        <w:t>also referred to their own mother’s experience of teenage parenthood as a</w:t>
      </w:r>
      <w:r>
        <w:t>n explanation</w:t>
      </w:r>
      <w:r w:rsidRPr="00E02F15">
        <w:t xml:space="preserve"> for their decision, and </w:t>
      </w:r>
      <w:r>
        <w:t>their</w:t>
      </w:r>
      <w:r w:rsidRPr="00E02F15">
        <w:t xml:space="preserve"> strong reaction against abortion.</w:t>
      </w:r>
      <w:r w:rsidRPr="00760700">
        <w:rPr>
          <w:rStyle w:val="Rimandonotadichiusura"/>
        </w:rPr>
        <w:endnoteReference w:id="421"/>
      </w:r>
      <w:r w:rsidRPr="00E02F15">
        <w:t xml:space="preserve"> </w:t>
      </w:r>
    </w:p>
    <w:p w:rsidR="001E3A21" w:rsidRPr="00E02F15" w:rsidRDefault="001E3A21" w:rsidP="001E3A21">
      <w:r>
        <w:t xml:space="preserve">Similarly, </w:t>
      </w:r>
      <w:r w:rsidRPr="00AB6E9E">
        <w:rPr>
          <w:rFonts w:cs="Arial"/>
        </w:rPr>
        <w:t>Larkins</w:t>
      </w:r>
      <w:r w:rsidR="000200A3">
        <w:rPr>
          <w:rFonts w:cs="Arial"/>
        </w:rPr>
        <w:t xml:space="preserve"> et al</w:t>
      </w:r>
      <w:r>
        <w:rPr>
          <w:rFonts w:cs="Arial"/>
        </w:rPr>
        <w:t>’s</w:t>
      </w:r>
      <w:r>
        <w:t xml:space="preserve"> research </w:t>
      </w:r>
      <w:r w:rsidRPr="00E02F15">
        <w:t xml:space="preserve">with </w:t>
      </w:r>
      <w:r>
        <w:t xml:space="preserve">Aboriginal and Torres Strait Islander </w:t>
      </w:r>
      <w:r w:rsidRPr="00E02F15">
        <w:t>teenage mothers from Townsville</w:t>
      </w:r>
      <w:r>
        <w:t>,</w:t>
      </w:r>
      <w:r w:rsidRPr="00E02F15">
        <w:t xml:space="preserve"> found that motherhood was ‘taken very seriously’ and that it had a ‘transformative potential’ for the lives of teen</w:t>
      </w:r>
      <w:r>
        <w:t>age</w:t>
      </w:r>
      <w:r w:rsidRPr="00E02F15">
        <w:t xml:space="preserve"> parents.</w:t>
      </w:r>
      <w:r w:rsidRPr="00760700">
        <w:rPr>
          <w:rStyle w:val="Rimandonotadichiusura"/>
        </w:rPr>
        <w:endnoteReference w:id="422"/>
      </w:r>
      <w:r w:rsidRPr="00E02F15">
        <w:t xml:space="preserve"> The</w:t>
      </w:r>
      <w:r>
        <w:t>se</w:t>
      </w:r>
      <w:r w:rsidRPr="00E02F15">
        <w:t xml:space="preserve"> teenage mothers identified that ‘taking responsibility’ for their lives, their future and their children meant changing unhealthy behaviours such as drug and alcohol </w:t>
      </w:r>
      <w:r>
        <w:t>dependence,</w:t>
      </w:r>
      <w:r w:rsidRPr="00E02F15">
        <w:t xml:space="preserve"> a</w:t>
      </w:r>
      <w:r>
        <w:t>s well as</w:t>
      </w:r>
      <w:r w:rsidRPr="00E02F15">
        <w:t xml:space="preserve"> leaving </w:t>
      </w:r>
      <w:r>
        <w:t>abusive</w:t>
      </w:r>
      <w:r w:rsidRPr="00E02F15">
        <w:t xml:space="preserve"> </w:t>
      </w:r>
      <w:r>
        <w:t xml:space="preserve">or unwanted </w:t>
      </w:r>
      <w:r w:rsidRPr="00E02F15">
        <w:t>relationships.</w:t>
      </w:r>
      <w:r w:rsidRPr="00760700">
        <w:rPr>
          <w:rStyle w:val="Rimandonotadichiusura"/>
        </w:rPr>
        <w:endnoteReference w:id="423"/>
      </w:r>
      <w:r w:rsidRPr="00E02F15">
        <w:t xml:space="preserve"> </w:t>
      </w:r>
    </w:p>
    <w:p w:rsidR="00BF6EDE" w:rsidRDefault="001E3A21" w:rsidP="00F164A7">
      <w:pPr>
        <w:spacing w:after="400"/>
      </w:pPr>
      <w:r w:rsidRPr="00E02F15">
        <w:t xml:space="preserve">In contrast, interviews with Aboriginal and Torres Strait Islander young people who were not yet parents (including </w:t>
      </w:r>
      <w:r>
        <w:t xml:space="preserve">young </w:t>
      </w:r>
      <w:r w:rsidRPr="00E02F15">
        <w:t>men) revealed considerable naivety and idealism about pregnancy and parenthood.</w:t>
      </w:r>
      <w:r w:rsidRPr="00760700">
        <w:rPr>
          <w:rStyle w:val="Rimandonotadichiusura"/>
        </w:rPr>
        <w:endnoteReference w:id="424"/>
      </w:r>
      <w:r w:rsidRPr="00E02F15">
        <w:t xml:space="preserve"> Larkins et al reported that the attitudes of young men towards </w:t>
      </w:r>
      <w:r>
        <w:t>parenthood affect</w:t>
      </w:r>
      <w:r w:rsidRPr="00E02F15">
        <w:t xml:space="preserve"> </w:t>
      </w:r>
      <w:r>
        <w:t>their</w:t>
      </w:r>
      <w:r w:rsidRPr="00E02F15">
        <w:t xml:space="preserve"> attitudes towards</w:t>
      </w:r>
      <w:r>
        <w:t>, and use of,</w:t>
      </w:r>
      <w:r w:rsidRPr="00E02F15">
        <w:t xml:space="preserve"> contraceptio</w:t>
      </w:r>
      <w:r>
        <w:t>n</w:t>
      </w:r>
      <w:r w:rsidRPr="00E02F15">
        <w:t>.</w:t>
      </w:r>
      <w:r w:rsidRPr="00760700">
        <w:rPr>
          <w:rStyle w:val="Rimandonotadichiusura"/>
        </w:rPr>
        <w:endnoteReference w:id="425"/>
      </w:r>
      <w:r w:rsidRPr="00E02F15">
        <w:t xml:space="preserve"> However, there is little research on young fathers</w:t>
      </w:r>
      <w:r>
        <w:t>. M</w:t>
      </w:r>
      <w:r w:rsidRPr="00E02F15">
        <w:t xml:space="preserve">ore </w:t>
      </w:r>
      <w:r>
        <w:t xml:space="preserve">research is required </w:t>
      </w:r>
      <w:r w:rsidRPr="00E02F15">
        <w:t xml:space="preserve">to ensure policy and programs </w:t>
      </w:r>
      <w:r>
        <w:t xml:space="preserve">can </w:t>
      </w:r>
      <w:r w:rsidRPr="00E02F15">
        <w:t>meaningfully include young fathers in th</w:t>
      </w:r>
      <w:r>
        <w:t>is important</w:t>
      </w:r>
      <w:r w:rsidRPr="00E02F15">
        <w:t xml:space="preserve"> conversation.</w:t>
      </w:r>
      <w:r w:rsidRPr="00760700">
        <w:rPr>
          <w:rStyle w:val="Rimandonotadichiusura"/>
        </w:rPr>
        <w:endnoteReference w:id="426"/>
      </w:r>
      <w:r w:rsidR="00272D1A">
        <w:t xml:space="preserve"> </w:t>
      </w:r>
    </w:p>
    <w:tbl>
      <w:tblPr>
        <w:tblStyle w:val="Grigliatabella"/>
        <w:tblW w:w="0" w:type="auto"/>
        <w:shd w:val="clear" w:color="auto" w:fill="E7E6E6" w:themeFill="background2"/>
        <w:tblCellMar>
          <w:left w:w="284" w:type="dxa"/>
          <w:right w:w="284" w:type="dxa"/>
        </w:tblCellMar>
        <w:tblLook w:val="04A0" w:firstRow="1" w:lastRow="0" w:firstColumn="1" w:lastColumn="0" w:noHBand="0" w:noVBand="1"/>
      </w:tblPr>
      <w:tblGrid>
        <w:gridCol w:w="9060"/>
      </w:tblGrid>
      <w:tr w:rsidR="001E3A21" w:rsidTr="007F14C2">
        <w:tc>
          <w:tcPr>
            <w:tcW w:w="9060" w:type="dxa"/>
            <w:shd w:val="clear" w:color="auto" w:fill="E7E6E6" w:themeFill="background2"/>
          </w:tcPr>
          <w:p w:rsidR="001E3A21" w:rsidRPr="00CF7AF1" w:rsidRDefault="001E3A21" w:rsidP="001E3A21">
            <w:pPr>
              <w:rPr>
                <w:highlight w:val="yellow"/>
              </w:rPr>
            </w:pPr>
            <w:r w:rsidRPr="00DB1C2F">
              <w:rPr>
                <w:b/>
              </w:rPr>
              <w:t xml:space="preserve">Recommendation </w:t>
            </w:r>
            <w:r>
              <w:rPr>
                <w:b/>
              </w:rPr>
              <w:t>7</w:t>
            </w:r>
            <w:r w:rsidRPr="00DB1C2F">
              <w:rPr>
                <w:b/>
              </w:rPr>
              <w:t xml:space="preserve">: </w:t>
            </w:r>
            <w:r w:rsidRPr="00106410">
              <w:t xml:space="preserve">The </w:t>
            </w:r>
            <w:r w:rsidRPr="003B0484">
              <w:t>Australian</w:t>
            </w:r>
            <w:r>
              <w:t xml:space="preserve"> Government should </w:t>
            </w:r>
            <w:r w:rsidRPr="00CD0880">
              <w:t xml:space="preserve">commission research </w:t>
            </w:r>
            <w:r>
              <w:t>into</w:t>
            </w:r>
            <w:r w:rsidRPr="00CD0880">
              <w:t xml:space="preserve"> the factors that lead to parenthood for young fathers and how young fathers can be meaningfully included in education, health and community services programs </w:t>
            </w:r>
            <w:r>
              <w:t xml:space="preserve">for </w:t>
            </w:r>
            <w:r w:rsidRPr="00CD0880">
              <w:t>parents.</w:t>
            </w:r>
          </w:p>
        </w:tc>
      </w:tr>
    </w:tbl>
    <w:p w:rsidR="001E3A21" w:rsidRDefault="001E3A21" w:rsidP="00C3563C">
      <w:pPr>
        <w:spacing w:before="400" w:after="400"/>
        <w:rPr>
          <w:b/>
        </w:rPr>
      </w:pPr>
      <w:r>
        <w:t>Similarly, r</w:t>
      </w:r>
      <w:r w:rsidRPr="00E02F15">
        <w:t>esearch with young mothers who were also care leavers has found that motherhood can be perceived as an ‘opportunity and achievement’ and</w:t>
      </w:r>
      <w:r>
        <w:t>,</w:t>
      </w:r>
      <w:r w:rsidRPr="00E02F15">
        <w:t xml:space="preserve"> </w:t>
      </w:r>
      <w:r w:rsidR="000200A3">
        <w:t>as found by</w:t>
      </w:r>
      <w:r>
        <w:t xml:space="preserve"> Larkins et al</w:t>
      </w:r>
      <w:r w:rsidRPr="00E02F15">
        <w:t>, ‘a life-changing event’.</w:t>
      </w:r>
      <w:r w:rsidRPr="00760700">
        <w:rPr>
          <w:rStyle w:val="Rimandonotadichiusura"/>
        </w:rPr>
        <w:endnoteReference w:id="427"/>
      </w:r>
      <w:r w:rsidRPr="00E02F15">
        <w:t xml:space="preserve"> This research </w:t>
      </w:r>
      <w:r>
        <w:t xml:space="preserve">has commonalities with aspects of ‘welfare culture theory’, suggesting that </w:t>
      </w:r>
      <w:r w:rsidRPr="00E02F15">
        <w:t xml:space="preserve">motherhood </w:t>
      </w:r>
      <w:r>
        <w:t xml:space="preserve">can </w:t>
      </w:r>
      <w:r w:rsidRPr="00E02F15">
        <w:t>provide disadvantaged women with an accelerated pathway to adult status.</w:t>
      </w:r>
      <w:r w:rsidRPr="00760700">
        <w:rPr>
          <w:rStyle w:val="Rimandonotadichiusura"/>
        </w:rPr>
        <w:endnoteReference w:id="428"/>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060"/>
      </w:tblGrid>
      <w:tr w:rsidR="001E3A21" w:rsidTr="00272D1A">
        <w:tc>
          <w:tcPr>
            <w:tcW w:w="9060" w:type="dxa"/>
          </w:tcPr>
          <w:p w:rsidR="001E3A21" w:rsidRPr="00272D1A" w:rsidRDefault="001E3A21" w:rsidP="00272D1A">
            <w:pPr>
              <w:spacing w:before="0"/>
              <w:rPr>
                <w:b/>
              </w:rPr>
            </w:pPr>
            <w:r w:rsidRPr="00272D1A">
              <w:rPr>
                <w:b/>
              </w:rPr>
              <w:t>Summary</w:t>
            </w:r>
          </w:p>
          <w:p w:rsidR="001E3A21" w:rsidRDefault="001E3A21" w:rsidP="00222517">
            <w:pPr>
              <w:pStyle w:val="Paragrafoelenco"/>
              <w:numPr>
                <w:ilvl w:val="0"/>
                <w:numId w:val="155"/>
              </w:numPr>
              <w:spacing w:before="0" w:after="200"/>
              <w:ind w:left="714" w:hanging="357"/>
              <w:contextualSpacing w:val="0"/>
              <w:jc w:val="left"/>
            </w:pPr>
            <w:r>
              <w:t xml:space="preserve">The Australian teenage birth rate is at an historic low — in 2015 at a rate of 11.9 births per 1000 women for </w:t>
            </w:r>
            <w:r w:rsidRPr="000D63A0">
              <w:t>15–</w:t>
            </w:r>
            <w:r w:rsidRPr="00E02F15">
              <w:t>19</w:t>
            </w:r>
            <w:r>
              <w:t xml:space="preserve"> year olds or </w:t>
            </w:r>
            <w:r w:rsidRPr="00E02F15">
              <w:t>2.8 per cent of overall births in Australia.</w:t>
            </w:r>
            <w:r w:rsidRPr="00E02F15">
              <w:rPr>
                <w:vertAlign w:val="superscript"/>
              </w:rPr>
              <w:endnoteReference w:id="429"/>
            </w:r>
            <w:r w:rsidRPr="00E02F15">
              <w:t xml:space="preserve"> T</w:t>
            </w:r>
            <w:r>
              <w:t>his converts to 8,574 births to</w:t>
            </w:r>
            <w:r w:rsidRPr="00E02F15">
              <w:t xml:space="preserve"> </w:t>
            </w:r>
            <w:r>
              <w:t>mothers aged 19 years and under</w:t>
            </w:r>
            <w:r w:rsidR="000200A3">
              <w:t>,</w:t>
            </w:r>
            <w:r w:rsidRPr="00E02F15">
              <w:t xml:space="preserve"> out of a total </w:t>
            </w:r>
            <w:r>
              <w:t xml:space="preserve">of </w:t>
            </w:r>
            <w:r w:rsidRPr="00E02F15">
              <w:t xml:space="preserve">305,377 births </w:t>
            </w:r>
            <w:r>
              <w:t>during 2015</w:t>
            </w:r>
            <w:r w:rsidRPr="00E02F15">
              <w:t>.</w:t>
            </w:r>
            <w:r w:rsidRPr="00760700">
              <w:rPr>
                <w:rStyle w:val="Rimandonotadichiusura"/>
              </w:rPr>
              <w:endnoteReference w:id="430"/>
            </w:r>
            <w:r>
              <w:t xml:space="preserve"> </w:t>
            </w:r>
          </w:p>
          <w:p w:rsidR="001E3A21" w:rsidRDefault="001E3A21" w:rsidP="00222517">
            <w:pPr>
              <w:pStyle w:val="Paragrafoelenco"/>
              <w:numPr>
                <w:ilvl w:val="0"/>
                <w:numId w:val="155"/>
              </w:numPr>
              <w:spacing w:before="0" w:after="200"/>
              <w:ind w:left="714" w:hanging="357"/>
              <w:contextualSpacing w:val="0"/>
              <w:jc w:val="left"/>
            </w:pPr>
            <w:r>
              <w:t xml:space="preserve">Teenagers in rural and remote Australia experience young parenthood at a higher rate than their metropolitan counterparts </w:t>
            </w:r>
            <w:r w:rsidRPr="00E02F15">
              <w:t>(57 births per 1000</w:t>
            </w:r>
            <w:r>
              <w:t>)</w:t>
            </w:r>
            <w:r w:rsidR="000200A3">
              <w:t>.</w:t>
            </w:r>
          </w:p>
          <w:p w:rsidR="001E3A21" w:rsidRDefault="001E3A21" w:rsidP="00222517">
            <w:pPr>
              <w:pStyle w:val="Paragrafoelenco"/>
              <w:numPr>
                <w:ilvl w:val="0"/>
                <w:numId w:val="155"/>
              </w:numPr>
              <w:spacing w:before="0" w:after="200"/>
              <w:ind w:left="714" w:hanging="357"/>
              <w:contextualSpacing w:val="0"/>
              <w:jc w:val="left"/>
            </w:pPr>
            <w:r>
              <w:t>25.7% of teenage parents identify as Aboriginal and Torres Strait Islander young people.</w:t>
            </w:r>
            <w:r w:rsidRPr="00760700">
              <w:rPr>
                <w:rStyle w:val="Rimandonotadichiusura"/>
              </w:rPr>
              <w:endnoteReference w:id="431"/>
            </w:r>
            <w:r w:rsidR="00272D1A">
              <w:t xml:space="preserve"> </w:t>
            </w:r>
          </w:p>
          <w:p w:rsidR="001E3A21" w:rsidRDefault="001E3A21" w:rsidP="00222517">
            <w:pPr>
              <w:pStyle w:val="Paragrafoelenco"/>
              <w:numPr>
                <w:ilvl w:val="0"/>
                <w:numId w:val="155"/>
              </w:numPr>
              <w:spacing w:after="200"/>
              <w:ind w:left="714" w:hanging="357"/>
              <w:contextualSpacing w:val="0"/>
              <w:jc w:val="left"/>
            </w:pPr>
            <w:r>
              <w:t>Young parents and their children face distinct challenges:</w:t>
            </w:r>
          </w:p>
          <w:p w:rsidR="001E3A21" w:rsidRDefault="001E3A21" w:rsidP="00222517">
            <w:pPr>
              <w:pStyle w:val="Paragrafoelenco"/>
              <w:numPr>
                <w:ilvl w:val="1"/>
                <w:numId w:val="155"/>
              </w:numPr>
              <w:jc w:val="left"/>
            </w:pPr>
            <w:r>
              <w:t>When compared with older mothers, young mothers generally have low socio-economic outcomes, higher rates of reliance on welfare and less favourable life experiences.</w:t>
            </w:r>
          </w:p>
          <w:p w:rsidR="001E3A21" w:rsidRDefault="001E3A21" w:rsidP="00222517">
            <w:pPr>
              <w:pStyle w:val="Paragrafoelenco"/>
              <w:numPr>
                <w:ilvl w:val="1"/>
                <w:numId w:val="155"/>
              </w:numPr>
              <w:jc w:val="left"/>
            </w:pPr>
            <w:r>
              <w:t>Young mothers also have lower levels of education which lead to poor labour force participation and employment outcomes.</w:t>
            </w:r>
          </w:p>
          <w:p w:rsidR="001E3A21" w:rsidRDefault="001E3A21" w:rsidP="00222517">
            <w:pPr>
              <w:pStyle w:val="Paragrafoelenco"/>
              <w:numPr>
                <w:ilvl w:val="1"/>
                <w:numId w:val="155"/>
              </w:numPr>
              <w:spacing w:after="200"/>
              <w:ind w:left="1434" w:hanging="357"/>
              <w:contextualSpacing w:val="0"/>
              <w:jc w:val="left"/>
            </w:pPr>
            <w:r>
              <w:t xml:space="preserve">Teenage pregnancy is also associated with poorer health outcomes for both the young mother and child. Maternal health risk factors for young mothers include anaemia, hypertension and smoking during pregnancy. </w:t>
            </w:r>
          </w:p>
          <w:p w:rsidR="001E3A21" w:rsidRDefault="001E3A21" w:rsidP="00222517">
            <w:pPr>
              <w:pStyle w:val="Paragrafoelenco"/>
              <w:numPr>
                <w:ilvl w:val="0"/>
                <w:numId w:val="155"/>
              </w:numPr>
              <w:spacing w:after="200"/>
              <w:ind w:left="714" w:hanging="357"/>
              <w:contextualSpacing w:val="0"/>
              <w:jc w:val="left"/>
            </w:pPr>
            <w:r>
              <w:t>Sexual assault and domestic/intimate partner violence are contributing factors to the Australian teenage fertility rate.</w:t>
            </w:r>
          </w:p>
          <w:p w:rsidR="001E3A21" w:rsidRDefault="001E3A21" w:rsidP="00222517">
            <w:pPr>
              <w:pStyle w:val="Paragrafoelenco"/>
              <w:numPr>
                <w:ilvl w:val="0"/>
                <w:numId w:val="155"/>
              </w:numPr>
              <w:spacing w:after="200"/>
              <w:ind w:left="714" w:hanging="357"/>
              <w:contextualSpacing w:val="0"/>
              <w:jc w:val="left"/>
            </w:pPr>
            <w:r>
              <w:t>Not all teenage parenthood is accidental, unintended or unwanted. For many young people, parenthood can have a transformative impact, particularly in changing unhealthy behaviours and relat</w:t>
            </w:r>
            <w:r w:rsidR="00272D1A">
              <w:t>ionships.</w:t>
            </w:r>
          </w:p>
          <w:p w:rsidR="001E3A21" w:rsidRDefault="001E3A21" w:rsidP="00222517">
            <w:pPr>
              <w:pStyle w:val="Paragrafoelenco"/>
              <w:numPr>
                <w:ilvl w:val="0"/>
                <w:numId w:val="155"/>
              </w:numPr>
              <w:spacing w:before="0" w:after="200"/>
              <w:ind w:left="714" w:hanging="357"/>
              <w:contextualSpacing w:val="0"/>
              <w:jc w:val="left"/>
            </w:pPr>
            <w:r>
              <w:t>Jurisdictions face challenges in collecting data on the number of young parents in detention and the number of children wit</w:t>
            </w:r>
            <w:r w:rsidR="00272D1A">
              <w:t>h parents who are incarcerated.</w:t>
            </w:r>
          </w:p>
          <w:p w:rsidR="001E3A21" w:rsidRDefault="001E3A21" w:rsidP="00222517">
            <w:pPr>
              <w:pStyle w:val="Paragrafoelenco"/>
              <w:numPr>
                <w:ilvl w:val="0"/>
                <w:numId w:val="155"/>
              </w:numPr>
              <w:spacing w:before="0" w:after="200"/>
              <w:ind w:left="714" w:hanging="357"/>
              <w:contextualSpacing w:val="0"/>
              <w:jc w:val="left"/>
            </w:pPr>
            <w:r>
              <w:t>The Mother and Child Program at Emu Plains Correctional Facility is a successful model to support incarcerated mothers to maintain contact and keep mothe</w:t>
            </w:r>
            <w:r w:rsidR="00272D1A">
              <w:t>rs and their children together.</w:t>
            </w:r>
          </w:p>
          <w:p w:rsidR="001E3A21" w:rsidRPr="00B96957" w:rsidRDefault="001E3A21" w:rsidP="00883044">
            <w:pPr>
              <w:pStyle w:val="Paragrafoelenco"/>
              <w:numPr>
                <w:ilvl w:val="0"/>
                <w:numId w:val="155"/>
              </w:numPr>
              <w:spacing w:before="0" w:after="0"/>
              <w:ind w:left="714" w:hanging="357"/>
              <w:contextualSpacing w:val="0"/>
              <w:jc w:val="left"/>
            </w:pPr>
            <w:r>
              <w:t>Overall, there is a general lack of data to guide policy development and ensure that young parents can be best supported.</w:t>
            </w:r>
          </w:p>
        </w:tc>
      </w:tr>
    </w:tbl>
    <w:p w:rsidR="00BF6EDE" w:rsidRPr="006F424A" w:rsidRDefault="001E3A21" w:rsidP="00883044">
      <w:pPr>
        <w:pStyle w:val="Titolo3"/>
        <w:spacing w:before="400"/>
      </w:pPr>
      <w:bookmarkStart w:id="105" w:name="_Toc500308797"/>
      <w:r>
        <w:t>Other information related to children of young parents</w:t>
      </w:r>
      <w:bookmarkEnd w:id="105"/>
    </w:p>
    <w:p w:rsidR="001E3A21" w:rsidRPr="00963058" w:rsidRDefault="001E3A21" w:rsidP="001E3A21">
      <w:pPr>
        <w:pStyle w:val="Titolo4"/>
        <w:ind w:left="360" w:hanging="360"/>
        <w:rPr>
          <w:i/>
          <w:szCs w:val="24"/>
        </w:rPr>
      </w:pPr>
      <w:r>
        <w:rPr>
          <w:i/>
          <w:szCs w:val="24"/>
        </w:rPr>
        <w:t>Mortality trends related to children of young parents</w:t>
      </w:r>
    </w:p>
    <w:p w:rsidR="001E3A21" w:rsidRDefault="001E3A21" w:rsidP="001E3A21">
      <w:r w:rsidRPr="00E02F15">
        <w:t xml:space="preserve">I requested data from the </w:t>
      </w:r>
      <w:r w:rsidRPr="003F022A">
        <w:t>AIHW</w:t>
      </w:r>
      <w:r w:rsidRPr="00E02F15">
        <w:t xml:space="preserve"> and the </w:t>
      </w:r>
      <w:r w:rsidRPr="003F022A">
        <w:t xml:space="preserve">ANZCDR&amp;PG </w:t>
      </w:r>
      <w:r w:rsidRPr="00554C54">
        <w:t xml:space="preserve">about mortality trends relating to the children of young parents. </w:t>
      </w:r>
      <w:r w:rsidRPr="00E02F15">
        <w:t>The two most common causes of perinatal death for children from p</w:t>
      </w:r>
      <w:r>
        <w:t>arents under 20 years of age</w:t>
      </w:r>
      <w:r w:rsidRPr="00E02F15">
        <w:t xml:space="preserve"> are maternal conditions (28.7</w:t>
      </w:r>
      <w:r>
        <w:t>%</w:t>
      </w:r>
      <w:r w:rsidRPr="00E02F15">
        <w:t xml:space="preserve"> of all deaths) and spontaneous pre-term birth (20</w:t>
      </w:r>
      <w:r w:rsidR="00760700">
        <w:t>.8% of all deaths).</w:t>
      </w:r>
    </w:p>
    <w:p w:rsidR="001E3A21" w:rsidRDefault="001E3A21" w:rsidP="001E3A21">
      <w:r>
        <w:t>Figure 3.5 provides</w:t>
      </w:r>
      <w:r w:rsidRPr="00E02F15">
        <w:t xml:space="preserve"> a breakdown of the diffe</w:t>
      </w:r>
      <w:r>
        <w:t>rent causes of perinatal deaths</w:t>
      </w:r>
      <w:r w:rsidRPr="00E02F15">
        <w:t>.</w:t>
      </w:r>
      <w:r w:rsidRPr="00E875E6">
        <w:rPr>
          <w:rStyle w:val="Rimandonotadichiusura"/>
        </w:rPr>
        <w:endnoteReference w:id="432"/>
      </w:r>
      <w:r w:rsidRPr="00E02F15">
        <w:t xml:space="preserve"> Perinatal deaths include stillbirth and babies who die within 28 days of birth.</w:t>
      </w:r>
      <w:r w:rsidRPr="00E875E6">
        <w:rPr>
          <w:rStyle w:val="Rimandonotadichiusura"/>
        </w:rPr>
        <w:endnoteReference w:id="433"/>
      </w:r>
      <w:r w:rsidRPr="00E02F15">
        <w:t xml:space="preserve"> In 2014, </w:t>
      </w:r>
      <w:r>
        <w:t xml:space="preserve">the </w:t>
      </w:r>
      <w:r w:rsidRPr="00E02F15">
        <w:t xml:space="preserve">AIHW reported that children </w:t>
      </w:r>
      <w:r>
        <w:t>of</w:t>
      </w:r>
      <w:r w:rsidRPr="00E02F15">
        <w:t xml:space="preserve"> young mothers have the highest perinatal death rate of all matern</w:t>
      </w:r>
      <w:r>
        <w:t xml:space="preserve">al age groups — </w:t>
      </w:r>
      <w:r w:rsidRPr="00E02F15">
        <w:t>at 14.15 per 1,000 babies.</w:t>
      </w:r>
      <w:r w:rsidRPr="00E875E6">
        <w:rPr>
          <w:rStyle w:val="Rimandonotadichiusura"/>
        </w:rPr>
        <w:endnoteReference w:id="434"/>
      </w:r>
      <w:r w:rsidRPr="00E02F15">
        <w:t xml:space="preserve"> This compares to 8.31 per 1,000 babies for chi</w:t>
      </w:r>
      <w:r>
        <w:t>ldren of older mothers (aged 30–34), who had the lowest perinatal death rate</w:t>
      </w:r>
      <w:r w:rsidRPr="00E02F15">
        <w:t>.</w:t>
      </w:r>
      <w:r w:rsidRPr="00E875E6">
        <w:rPr>
          <w:rStyle w:val="Rimandonotadichiusura"/>
        </w:rPr>
        <w:endnoteReference w:id="435"/>
      </w:r>
      <w:r w:rsidRPr="00E02F15">
        <w:t xml:space="preserve"> See </w:t>
      </w:r>
      <w:r>
        <w:t>F</w:t>
      </w:r>
      <w:r w:rsidRPr="00E02F15">
        <w:t>igure 3.</w:t>
      </w:r>
      <w:r>
        <w:t>6</w:t>
      </w:r>
      <w:r w:rsidRPr="00E02F15">
        <w:t xml:space="preserve"> for the different rates of perinatal deaths per maternal age group.</w:t>
      </w:r>
    </w:p>
    <w:p w:rsidR="00883044" w:rsidRDefault="00883044">
      <w:pPr>
        <w:keepLines w:val="0"/>
        <w:spacing w:before="0" w:after="0"/>
      </w:pPr>
      <w:r>
        <w:br w:type="page"/>
      </w:r>
    </w:p>
    <w:p w:rsidR="00883044" w:rsidRDefault="00883044" w:rsidP="001E3A21"/>
    <w:p w:rsidR="00E46A42" w:rsidRDefault="001E3A21" w:rsidP="00F164A7">
      <w:pPr>
        <w:spacing w:after="400"/>
        <w:rPr>
          <w:b/>
        </w:rPr>
      </w:pPr>
      <w:r w:rsidRPr="003E34A4">
        <w:rPr>
          <w:b/>
        </w:rPr>
        <w:t>Figure 3.5</w:t>
      </w:r>
      <w:r w:rsidR="00263C0C">
        <w:rPr>
          <w:b/>
        </w:rPr>
        <w:t>:</w:t>
      </w:r>
      <w:r w:rsidRPr="003E34A4">
        <w:rPr>
          <w:b/>
        </w:rPr>
        <w:t xml:space="preserve"> Perinatal death causes for </w:t>
      </w:r>
      <w:r>
        <w:rPr>
          <w:b/>
        </w:rPr>
        <w:t xml:space="preserve">children of </w:t>
      </w:r>
      <w:r w:rsidRPr="003E34A4">
        <w:rPr>
          <w:b/>
        </w:rPr>
        <w:t xml:space="preserve">mothers </w:t>
      </w:r>
      <w:r>
        <w:rPr>
          <w:b/>
        </w:rPr>
        <w:t>under</w:t>
      </w:r>
      <w:r w:rsidRPr="003E34A4">
        <w:rPr>
          <w:b/>
        </w:rPr>
        <w:t xml:space="preserve"> 20 years</w:t>
      </w:r>
      <w:r>
        <w:rPr>
          <w:b/>
        </w:rPr>
        <w:t xml:space="preserve"> of age in 2014 (in Vic</w:t>
      </w:r>
      <w:r w:rsidR="00E10313">
        <w:rPr>
          <w:b/>
        </w:rPr>
        <w:t>toria</w:t>
      </w:r>
      <w:r w:rsidRPr="003E34A4">
        <w:rPr>
          <w:b/>
        </w:rPr>
        <w:t>, Q</w:t>
      </w:r>
      <w:r>
        <w:rPr>
          <w:b/>
        </w:rPr>
        <w:t>ld, SA, Tas</w:t>
      </w:r>
      <w:r w:rsidR="00E10313">
        <w:rPr>
          <w:b/>
        </w:rPr>
        <w:t>mania</w:t>
      </w:r>
      <w:r w:rsidRPr="003E34A4">
        <w:rPr>
          <w:b/>
        </w:rPr>
        <w:t>, ACT, NT)</w:t>
      </w:r>
      <w:r w:rsidRPr="00263C0C">
        <w:rPr>
          <w:rStyle w:val="Rimandonotadichiusura"/>
        </w:rPr>
        <w:endnoteReference w:id="436"/>
      </w:r>
    </w:p>
    <w:p w:rsidR="001E3A21" w:rsidRDefault="00346592" w:rsidP="001E3A21">
      <w:r>
        <w:rPr>
          <w:noProof/>
          <w:lang w:val="it-IT" w:eastAsia="it-IT"/>
        </w:rPr>
        <w:drawing>
          <wp:inline distT="0" distB="0" distL="0" distR="0" wp14:anchorId="30D1C79F" wp14:editId="52343A1A">
            <wp:extent cx="5757658" cy="3865830"/>
            <wp:effectExtent l="0" t="0" r="8255" b="0"/>
            <wp:docPr id="20" name="Immagine 20" descr="CRR%20Charts/CRR_2017_Figure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R%20Charts/CRR_2017_Figure_3-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8791" b="13002"/>
                    <a:stretch/>
                  </pic:blipFill>
                  <pic:spPr bwMode="auto">
                    <a:xfrm>
                      <a:off x="0" y="0"/>
                      <a:ext cx="5758180" cy="3866181"/>
                    </a:xfrm>
                    <a:prstGeom prst="rect">
                      <a:avLst/>
                    </a:prstGeom>
                    <a:noFill/>
                    <a:ln>
                      <a:noFill/>
                    </a:ln>
                    <a:extLst>
                      <a:ext uri="{53640926-AAD7-44D8-BBD7-CCE9431645EC}">
                        <a14:shadowObscured xmlns:a14="http://schemas.microsoft.com/office/drawing/2010/main"/>
                      </a:ext>
                    </a:extLst>
                  </pic:spPr>
                </pic:pic>
              </a:graphicData>
            </a:graphic>
          </wp:inline>
        </w:drawing>
      </w:r>
    </w:p>
    <w:p w:rsidR="00346592" w:rsidRDefault="00346592">
      <w:pPr>
        <w:keepLines w:val="0"/>
        <w:spacing w:before="0" w:after="0"/>
        <w:rPr>
          <w:b/>
        </w:rPr>
      </w:pPr>
      <w:r>
        <w:rPr>
          <w:b/>
        </w:rPr>
        <w:br w:type="page"/>
      </w:r>
    </w:p>
    <w:p w:rsidR="00E46A42" w:rsidRDefault="001E3A21" w:rsidP="00510A59">
      <w:pPr>
        <w:spacing w:after="200"/>
      </w:pPr>
      <w:r w:rsidRPr="00263C0C">
        <w:rPr>
          <w:b/>
        </w:rPr>
        <w:t>Figure 3.6</w:t>
      </w:r>
      <w:r w:rsidR="00263C0C" w:rsidRPr="00263C0C">
        <w:rPr>
          <w:b/>
        </w:rPr>
        <w:t>:</w:t>
      </w:r>
      <w:r w:rsidRPr="00263C0C">
        <w:rPr>
          <w:b/>
        </w:rPr>
        <w:t xml:space="preserve"> Perinatal death rates by maternal age</w:t>
      </w:r>
      <w:r w:rsidRPr="00263C0C">
        <w:rPr>
          <w:rStyle w:val="Rimandonotadichiusura"/>
        </w:rPr>
        <w:endnoteReference w:id="437"/>
      </w:r>
      <w:r w:rsidRPr="00932EDF">
        <w:t xml:space="preserve"> </w:t>
      </w:r>
    </w:p>
    <w:p w:rsidR="001E3A21" w:rsidRPr="00E02F15" w:rsidRDefault="00510A59" w:rsidP="00263C0C">
      <w:r>
        <w:rPr>
          <w:noProof/>
        </w:rPr>
        <w:drawing>
          <wp:inline distT="0" distB="0" distL="0" distR="0" wp14:anchorId="6D227076" wp14:editId="59407A0F">
            <wp:extent cx="5759450" cy="4139565"/>
            <wp:effectExtent l="0" t="0" r="6350" b="63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RR_2017_Figure_3-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9450" cy="4139565"/>
                    </a:xfrm>
                    <a:prstGeom prst="rect">
                      <a:avLst/>
                    </a:prstGeom>
                  </pic:spPr>
                </pic:pic>
              </a:graphicData>
            </a:graphic>
          </wp:inline>
        </w:drawing>
      </w:r>
    </w:p>
    <w:p w:rsidR="001E3A21" w:rsidRPr="00E02F15" w:rsidRDefault="001E3A21" w:rsidP="001E3A21">
      <w:r w:rsidRPr="00E02F15">
        <w:t>Data collected by the ANZCDR&amp;PG in 2015 found that children of teenage</w:t>
      </w:r>
      <w:r w:rsidR="002571C5">
        <w:t xml:space="preserve"> mothers</w:t>
      </w:r>
      <w:r>
        <w:t xml:space="preserve"> have a higher rate of sudden and unexpected death of i</w:t>
      </w:r>
      <w:r w:rsidRPr="00E02F15">
        <w:t>nfants (SUDI)</w:t>
      </w:r>
      <w:r w:rsidR="002571C5">
        <w:t xml:space="preserve"> than other mothers</w:t>
      </w:r>
      <w:r w:rsidRPr="00E02F15">
        <w:t>.</w:t>
      </w:r>
      <w:r w:rsidRPr="00E875E6">
        <w:rPr>
          <w:rStyle w:val="Rimandonotadichiusura"/>
        </w:rPr>
        <w:endnoteReference w:id="438"/>
      </w:r>
      <w:r w:rsidRPr="00E02F15">
        <w:t xml:space="preserve"> The rate of SUDI for children of women aged under 19 years old was 2.6 per 1,000 births.</w:t>
      </w:r>
      <w:r w:rsidRPr="00E875E6">
        <w:rPr>
          <w:rStyle w:val="Rimandonotadichiusura"/>
        </w:rPr>
        <w:endnoteReference w:id="439"/>
      </w:r>
      <w:r w:rsidRPr="00E02F15">
        <w:t xml:space="preserve"> This rate is significantly higher than </w:t>
      </w:r>
      <w:r>
        <w:t>for children of mothers aged 19–</w:t>
      </w:r>
      <w:r w:rsidRPr="00E02F15">
        <w:t>25 years old, where the rate falls to 0.7</w:t>
      </w:r>
      <w:r>
        <w:t>%.</w:t>
      </w:r>
      <w:r>
        <w:rPr>
          <w:rStyle w:val="Rimandonotadichiusura"/>
        </w:rPr>
        <w:endnoteReference w:id="440"/>
      </w:r>
      <w:r>
        <w:t xml:space="preserve"> The rate </w:t>
      </w:r>
      <w:r w:rsidRPr="00E02F15">
        <w:t xml:space="preserve">further </w:t>
      </w:r>
      <w:r>
        <w:t>dec</w:t>
      </w:r>
      <w:r w:rsidR="000200A3">
        <w:t>r</w:t>
      </w:r>
      <w:r>
        <w:t xml:space="preserve">eases </w:t>
      </w:r>
      <w:r w:rsidRPr="00E02F15">
        <w:t>to 0.3</w:t>
      </w:r>
      <w:r>
        <w:t>%</w:t>
      </w:r>
      <w:r w:rsidRPr="00E02F15">
        <w:t xml:space="preserve"> for mothers </w:t>
      </w:r>
      <w:r>
        <w:t xml:space="preserve">aged </w:t>
      </w:r>
      <w:r w:rsidRPr="00E02F15">
        <w:t>26 years and older.</w:t>
      </w:r>
      <w:r w:rsidRPr="00E875E6">
        <w:rPr>
          <w:rStyle w:val="Rimandonotadichiusura"/>
        </w:rPr>
        <w:endnoteReference w:id="441"/>
      </w:r>
      <w:r w:rsidRPr="00E02F15">
        <w:t xml:space="preserve"> </w:t>
      </w:r>
    </w:p>
    <w:p w:rsidR="001E3A21" w:rsidRPr="007278AF" w:rsidRDefault="001E3A21" w:rsidP="001E3A21">
      <w:pPr>
        <w:pStyle w:val="Titolo4"/>
        <w:rPr>
          <w:szCs w:val="24"/>
        </w:rPr>
      </w:pPr>
      <w:r w:rsidRPr="007278AF">
        <w:rPr>
          <w:szCs w:val="24"/>
        </w:rPr>
        <w:t>Premature births and low birth weight</w:t>
      </w:r>
    </w:p>
    <w:p w:rsidR="001E3A21" w:rsidRPr="00E02F15" w:rsidRDefault="001E3A21" w:rsidP="001E3A21">
      <w:r w:rsidRPr="00E02F15">
        <w:t xml:space="preserve">Data collected by </w:t>
      </w:r>
      <w:r>
        <w:t xml:space="preserve">the </w:t>
      </w:r>
      <w:r w:rsidRPr="00E02F15">
        <w:t xml:space="preserve">AIHW and </w:t>
      </w:r>
      <w:r>
        <w:t xml:space="preserve">the </w:t>
      </w:r>
      <w:r w:rsidRPr="00E02F15">
        <w:t>ANZCDR&amp;PG found that babies born to young mothers (under 20 years of age) and to older mo</w:t>
      </w:r>
      <w:r>
        <w:t>thers (over 40 years old) are</w:t>
      </w:r>
      <w:r w:rsidRPr="00E02F15">
        <w:t xml:space="preserve"> more likely be pre</w:t>
      </w:r>
      <w:r>
        <w:t>-</w:t>
      </w:r>
      <w:r w:rsidRPr="00E02F15">
        <w:t>term (11</w:t>
      </w:r>
      <w:r>
        <w:t>%</w:t>
      </w:r>
      <w:r w:rsidRPr="00E02F15">
        <w:t xml:space="preserve"> and 12</w:t>
      </w:r>
      <w:r>
        <w:t>%</w:t>
      </w:r>
      <w:r w:rsidRPr="00E02F15">
        <w:t xml:space="preserve"> respectively) than babies born to mothers aged between 20 and 39 years old (8</w:t>
      </w:r>
      <w:r>
        <w:t>%</w:t>
      </w:r>
      <w:r w:rsidRPr="00E02F15">
        <w:t>).</w:t>
      </w:r>
      <w:r w:rsidRPr="00E875E6">
        <w:rPr>
          <w:rStyle w:val="Rimandonotadichiusura"/>
        </w:rPr>
        <w:endnoteReference w:id="442"/>
      </w:r>
      <w:r>
        <w:t xml:space="preserve"> The data indicates that</w:t>
      </w:r>
      <w:r w:rsidRPr="00E02F15">
        <w:t xml:space="preserve"> babies born to Aboriginal and Torres Strait Islander mothers, mothers who smoke and mothers living in remote locations are also more likely to be pre</w:t>
      </w:r>
      <w:r>
        <w:t>-</w:t>
      </w:r>
      <w:r w:rsidRPr="00E02F15">
        <w:t>term</w:t>
      </w:r>
      <w:r>
        <w:t>.</w:t>
      </w:r>
      <w:r w:rsidRPr="00E875E6">
        <w:rPr>
          <w:rStyle w:val="Rimandonotadichiusura"/>
        </w:rPr>
        <w:endnoteReference w:id="443"/>
      </w:r>
      <w:r w:rsidR="00E875E6">
        <w:t xml:space="preserve"> </w:t>
      </w:r>
    </w:p>
    <w:p w:rsidR="001E3A21" w:rsidRDefault="001E3A21" w:rsidP="001E3A21">
      <w:r w:rsidRPr="00E02F15">
        <w:t>Similarly, babies born to young mothers (under 20 years old) are more likely to have low birth weight (13</w:t>
      </w:r>
      <w:r>
        <w:t>%</w:t>
      </w:r>
      <w:r w:rsidRPr="00E02F15">
        <w:t>) compared to babies born to mothers aged between 20-39 years old (9</w:t>
      </w:r>
      <w:r>
        <w:t>%</w:t>
      </w:r>
      <w:r w:rsidRPr="00E02F15">
        <w:t>).</w:t>
      </w:r>
      <w:r w:rsidRPr="00E875E6">
        <w:rPr>
          <w:rStyle w:val="Rimandonotadichiusura"/>
        </w:rPr>
        <w:endnoteReference w:id="444"/>
      </w:r>
      <w:r w:rsidRPr="00E02F15">
        <w:t xml:space="preserve"> Low birth weight can be a result of pre</w:t>
      </w:r>
      <w:r>
        <w:t>-</w:t>
      </w:r>
      <w:r w:rsidRPr="00E02F15">
        <w:t xml:space="preserve">term birth or growth restrictions in the uterus. Growth restrictions in utero increase the likelihood of foetal death and may </w:t>
      </w:r>
      <w:r>
        <w:t xml:space="preserve">make babies susceptible to long </w:t>
      </w:r>
      <w:r w:rsidRPr="00E02F15">
        <w:t>term health conditions later in life.</w:t>
      </w:r>
      <w:r w:rsidRPr="00E875E6">
        <w:rPr>
          <w:rStyle w:val="Rimandonotadichiusura"/>
        </w:rPr>
        <w:endnoteReference w:id="445"/>
      </w:r>
      <w:r w:rsidRPr="00E02F15">
        <w:t xml:space="preserve"> </w:t>
      </w:r>
      <w:r>
        <w:t>In addition to</w:t>
      </w:r>
      <w:r w:rsidRPr="00E02F15">
        <w:t xml:space="preserve"> young mothers, babies born to Aboriginal and Torres Strait Islander mothers, mothers who smoked whil</w:t>
      </w:r>
      <w:r>
        <w:t>e</w:t>
      </w:r>
      <w:r w:rsidRPr="00E02F15">
        <w:t xml:space="preserve"> pregnant and mothers living in remote areas are also vulnerable to having low birth weight.</w:t>
      </w:r>
      <w:r w:rsidRPr="00E875E6">
        <w:rPr>
          <w:rStyle w:val="Rimandonotadichiusura"/>
        </w:rPr>
        <w:endnoteReference w:id="446"/>
      </w:r>
      <w:r w:rsidRPr="00E02F15">
        <w:t xml:space="preserve"> </w:t>
      </w:r>
    </w:p>
    <w:p w:rsidR="001E3A21" w:rsidRPr="007278AF" w:rsidRDefault="001E3A21" w:rsidP="001E3A21">
      <w:pPr>
        <w:pStyle w:val="Titolo4"/>
        <w:rPr>
          <w:szCs w:val="24"/>
        </w:rPr>
      </w:pPr>
      <w:r w:rsidRPr="007278AF">
        <w:rPr>
          <w:szCs w:val="24"/>
        </w:rPr>
        <w:t xml:space="preserve">Concerns raised with Kids Helpline about teenage pregnancy and parenthood </w:t>
      </w:r>
    </w:p>
    <w:p w:rsidR="001E3A21" w:rsidRDefault="001E3A21" w:rsidP="001E3A21">
      <w:r w:rsidRPr="00E02F15">
        <w:t xml:space="preserve">In response to my request, </w:t>
      </w:r>
      <w:r w:rsidRPr="00996632">
        <w:t>yourtown</w:t>
      </w:r>
      <w:r w:rsidRPr="00E02F15">
        <w:rPr>
          <w:b/>
        </w:rPr>
        <w:t xml:space="preserve"> </w:t>
      </w:r>
      <w:r w:rsidRPr="00E02F15">
        <w:t>provided data from their Kids Helpline service</w:t>
      </w:r>
      <w:r>
        <w:t xml:space="preserve"> for the period 2012–2016</w:t>
      </w:r>
      <w:r w:rsidRPr="00E02F15">
        <w:t>.</w:t>
      </w:r>
      <w:r>
        <w:t xml:space="preserve"> The data showed that</w:t>
      </w:r>
      <w:r w:rsidRPr="00E02F15">
        <w:t xml:space="preserve"> young people</w:t>
      </w:r>
      <w:r>
        <w:t xml:space="preserve"> call the </w:t>
      </w:r>
      <w:r w:rsidRPr="00E02F15">
        <w:t xml:space="preserve">service </w:t>
      </w:r>
      <w:r w:rsidR="00C6467C">
        <w:t>about</w:t>
      </w:r>
      <w:r w:rsidR="00C6467C" w:rsidRPr="00E02F15">
        <w:t xml:space="preserve"> </w:t>
      </w:r>
      <w:r w:rsidRPr="00E02F15">
        <w:t>four common concerns</w:t>
      </w:r>
      <w:r>
        <w:t>:</w:t>
      </w:r>
      <w:r w:rsidRPr="00E02F15">
        <w:t xml:space="preserve"> </w:t>
      </w:r>
    </w:p>
    <w:p w:rsidR="001E3A21" w:rsidRPr="003F022A" w:rsidRDefault="001E3A21" w:rsidP="00222517">
      <w:pPr>
        <w:pStyle w:val="Paragrafoelenco"/>
        <w:numPr>
          <w:ilvl w:val="0"/>
          <w:numId w:val="158"/>
        </w:numPr>
        <w:jc w:val="left"/>
      </w:pPr>
      <w:r>
        <w:t>pregnancy</w:t>
      </w:r>
    </w:p>
    <w:p w:rsidR="001E3A21" w:rsidRPr="003F022A" w:rsidRDefault="001E3A21" w:rsidP="00222517">
      <w:pPr>
        <w:pStyle w:val="Paragrafoelenco"/>
        <w:numPr>
          <w:ilvl w:val="0"/>
          <w:numId w:val="158"/>
        </w:numPr>
        <w:jc w:val="left"/>
      </w:pPr>
      <w:r w:rsidRPr="003F022A">
        <w:t>sexual activity</w:t>
      </w:r>
    </w:p>
    <w:p w:rsidR="001E3A21" w:rsidRPr="003F022A" w:rsidRDefault="007278AF" w:rsidP="00222517">
      <w:pPr>
        <w:pStyle w:val="Paragrafoelenco"/>
        <w:numPr>
          <w:ilvl w:val="0"/>
          <w:numId w:val="158"/>
        </w:numPr>
        <w:jc w:val="left"/>
      </w:pPr>
      <w:r>
        <w:t>contraception</w:t>
      </w:r>
    </w:p>
    <w:p w:rsidR="001E3A21" w:rsidRPr="003F022A" w:rsidRDefault="001E3A21" w:rsidP="00222517">
      <w:pPr>
        <w:pStyle w:val="Paragrafoelenco"/>
        <w:numPr>
          <w:ilvl w:val="0"/>
          <w:numId w:val="158"/>
        </w:numPr>
        <w:jc w:val="left"/>
      </w:pPr>
      <w:r>
        <w:t>parenting-own children</w:t>
      </w:r>
      <w:r w:rsidRPr="003F022A">
        <w:t>.</w:t>
      </w:r>
      <w:r w:rsidRPr="00E875E6">
        <w:rPr>
          <w:rStyle w:val="Rimandonotadichiusura"/>
        </w:rPr>
        <w:endnoteReference w:id="447"/>
      </w:r>
    </w:p>
    <w:p w:rsidR="001E3A21" w:rsidRPr="00E34166" w:rsidRDefault="007278AF" w:rsidP="007278AF">
      <w:pPr>
        <w:pStyle w:val="Titolo5"/>
      </w:pPr>
      <w:r>
        <w:t>Pregnancy concerns</w:t>
      </w:r>
    </w:p>
    <w:p w:rsidR="001E3A21" w:rsidRPr="00E02F15" w:rsidRDefault="001E3A21" w:rsidP="001E3A21">
      <w:r w:rsidRPr="00E02F15">
        <w:t xml:space="preserve">The most common reason teenagers (aged </w:t>
      </w:r>
      <w:r w:rsidRPr="000D63A0">
        <w:t>15–</w:t>
      </w:r>
      <w:r>
        <w:t>17</w:t>
      </w:r>
      <w:r w:rsidRPr="00E02F15">
        <w:t xml:space="preserve"> </w:t>
      </w:r>
      <w:r>
        <w:t xml:space="preserve">years old) called Kids Helpline, </w:t>
      </w:r>
      <w:r w:rsidRPr="00E02F15">
        <w:t>within th</w:t>
      </w:r>
      <w:r>
        <w:t>e</w:t>
      </w:r>
      <w:r w:rsidRPr="00E02F15">
        <w:t xml:space="preserve"> category </w:t>
      </w:r>
      <w:r>
        <w:t xml:space="preserve">of pregnancy concerns, </w:t>
      </w:r>
      <w:r w:rsidRPr="00E02F15">
        <w:t xml:space="preserve">was to seek advice </w:t>
      </w:r>
      <w:r>
        <w:t xml:space="preserve">about </w:t>
      </w:r>
      <w:r w:rsidRPr="00E02F15">
        <w:t>the ‘uncertainty’ of pregnancy.</w:t>
      </w:r>
      <w:r w:rsidRPr="00E875E6">
        <w:rPr>
          <w:rStyle w:val="Rimandonotadichiusura"/>
        </w:rPr>
        <w:endnoteReference w:id="448"/>
      </w:r>
      <w:r>
        <w:t xml:space="preserve"> T</w:t>
      </w:r>
      <w:r w:rsidRPr="00E02F15">
        <w:t xml:space="preserve">he percentage of young people who call Kids Helpline </w:t>
      </w:r>
      <w:r>
        <w:t>about this has increased</w:t>
      </w:r>
      <w:r w:rsidRPr="00E02F15">
        <w:t xml:space="preserve"> from 43</w:t>
      </w:r>
      <w:r>
        <w:t>%</w:t>
      </w:r>
      <w:r w:rsidRPr="00E02F15">
        <w:t xml:space="preserve"> in 2012 to 57</w:t>
      </w:r>
      <w:r>
        <w:t>%</w:t>
      </w:r>
      <w:r w:rsidRPr="00E02F15">
        <w:t xml:space="preserve"> in 2016.</w:t>
      </w:r>
      <w:r w:rsidRPr="00E875E6">
        <w:rPr>
          <w:rStyle w:val="Rimandonotadichiusura"/>
        </w:rPr>
        <w:endnoteReference w:id="449"/>
      </w:r>
      <w:r w:rsidRPr="00E02F15">
        <w:t xml:space="preserve"> This suggests that there is a considerable need for young people to have access to education informing them of ‘the biology of pregnancy</w:t>
      </w:r>
      <w:r>
        <w:t xml:space="preserve"> </w:t>
      </w:r>
      <w:r w:rsidRPr="00E02F15">
        <w:t>…</w:t>
      </w:r>
      <w:r>
        <w:t xml:space="preserve"> </w:t>
      </w:r>
      <w:r w:rsidRPr="00E02F15">
        <w:t>its causes and its detection’.</w:t>
      </w:r>
      <w:r w:rsidRPr="00E875E6">
        <w:rPr>
          <w:rStyle w:val="Rimandonotadichiusura"/>
        </w:rPr>
        <w:endnoteReference w:id="450"/>
      </w:r>
    </w:p>
    <w:p w:rsidR="001E3A21" w:rsidRPr="00E02F15" w:rsidRDefault="001E3A21" w:rsidP="001E3A21">
      <w:r w:rsidRPr="00E02F15">
        <w:t>A significant issue raised by male adolescents contacting Kids Helpline was in relation to ‘conflict over pregnancy options’.</w:t>
      </w:r>
      <w:r w:rsidRPr="00E875E6">
        <w:rPr>
          <w:rStyle w:val="Rimandonotadichiusura"/>
        </w:rPr>
        <w:endnoteReference w:id="451"/>
      </w:r>
      <w:r>
        <w:t xml:space="preserve"> T</w:t>
      </w:r>
      <w:r w:rsidRPr="00E02F15">
        <w:t>he frequency of this contact from young men suggests that adolescent males</w:t>
      </w:r>
      <w:r>
        <w:t xml:space="preserve"> experience a</w:t>
      </w:r>
      <w:r w:rsidRPr="00E02F15">
        <w:t xml:space="preserve"> </w:t>
      </w:r>
      <w:r>
        <w:t>‘</w:t>
      </w:r>
      <w:r w:rsidRPr="00E02F15">
        <w:t>relative lack of power and agency’ in relation to making decisions about pregnancy options.</w:t>
      </w:r>
      <w:r w:rsidRPr="00E875E6">
        <w:rPr>
          <w:rStyle w:val="Rimandonotadichiusura"/>
        </w:rPr>
        <w:endnoteReference w:id="452"/>
      </w:r>
      <w:r w:rsidRPr="00E02F15">
        <w:t xml:space="preserve"> </w:t>
      </w:r>
      <w:r>
        <w:t>It also suggests that adolescent males need further education on the general ‘biology of pregnancy’.</w:t>
      </w:r>
      <w:r>
        <w:rPr>
          <w:rStyle w:val="Rimandonotadichiusura"/>
        </w:rPr>
        <w:endnoteReference w:id="453"/>
      </w:r>
      <w:r>
        <w:t xml:space="preserve"> A</w:t>
      </w:r>
      <w:r w:rsidRPr="00E02F15">
        <w:t>dolescent males are concerned about the impact of pregnancy on their partner’s health and wellbeing</w:t>
      </w:r>
      <w:r>
        <w:t>,</w:t>
      </w:r>
      <w:r w:rsidRPr="00E02F15">
        <w:t xml:space="preserve"> and on both </w:t>
      </w:r>
      <w:r>
        <w:t xml:space="preserve">of </w:t>
      </w:r>
      <w:r w:rsidRPr="00E02F15">
        <w:t>their lives.</w:t>
      </w:r>
      <w:r w:rsidRPr="00E875E6">
        <w:rPr>
          <w:rStyle w:val="Rimandonotadichiusura"/>
        </w:rPr>
        <w:endnoteReference w:id="454"/>
      </w:r>
      <w:r w:rsidRPr="00E02F15">
        <w:t xml:space="preserve"> This </w:t>
      </w:r>
      <w:r>
        <w:t>strongly</w:t>
      </w:r>
      <w:r w:rsidRPr="00E02F15">
        <w:t xml:space="preserve"> suggests that young men</w:t>
      </w:r>
      <w:r>
        <w:t xml:space="preserve"> would benefit from</w:t>
      </w:r>
      <w:r w:rsidRPr="00E02F15">
        <w:t xml:space="preserve"> pregnancy</w:t>
      </w:r>
      <w:r>
        <w:t xml:space="preserve"> education, especially if it is tailored to meet their concerns</w:t>
      </w:r>
      <w:r w:rsidRPr="00E02F15">
        <w:t>.</w:t>
      </w:r>
      <w:r w:rsidRPr="00E875E6">
        <w:rPr>
          <w:rStyle w:val="Rimandonotadichiusura"/>
        </w:rPr>
        <w:endnoteReference w:id="455"/>
      </w:r>
      <w:r w:rsidRPr="00E02F15">
        <w:t xml:space="preserve"> </w:t>
      </w:r>
    </w:p>
    <w:p w:rsidR="001E3A21" w:rsidRPr="00E02F15" w:rsidRDefault="001E3A21" w:rsidP="001E3A21">
      <w:r w:rsidRPr="00E02F15">
        <w:t>Approximately 25</w:t>
      </w:r>
      <w:r>
        <w:t>%</w:t>
      </w:r>
      <w:r w:rsidRPr="00E02F15">
        <w:t xml:space="preserve"> of young people who contacted Kids Helpline regarding pregnancy concerns identified as culturally or linguistically diverse (CALD).</w:t>
      </w:r>
      <w:r w:rsidRPr="00E875E6">
        <w:rPr>
          <w:rStyle w:val="Rimandonotadichiusura"/>
        </w:rPr>
        <w:endnoteReference w:id="456"/>
      </w:r>
      <w:r w:rsidRPr="00E02F15">
        <w:t xml:space="preserve"> As noted by </w:t>
      </w:r>
      <w:r>
        <w:t>y</w:t>
      </w:r>
      <w:r w:rsidRPr="00E02F15">
        <w:t>ourtown, the proportion of contacts from young people who identify as CALD has been increasing throughout 2012 to 2016.</w:t>
      </w:r>
      <w:r w:rsidRPr="00E875E6">
        <w:rPr>
          <w:rStyle w:val="Rimandonotadichiusura"/>
        </w:rPr>
        <w:endnoteReference w:id="457"/>
      </w:r>
      <w:r>
        <w:t xml:space="preserve"> In contrast,</w:t>
      </w:r>
      <w:r w:rsidRPr="00E02F15">
        <w:t xml:space="preserve"> approximately 3</w:t>
      </w:r>
      <w:r>
        <w:t>%</w:t>
      </w:r>
      <w:r w:rsidRPr="00E02F15">
        <w:t xml:space="preserve"> of contacts were from young people who identified as Aboriginal or Torres Strait Islander.</w:t>
      </w:r>
      <w:r w:rsidRPr="00E875E6">
        <w:rPr>
          <w:rStyle w:val="Rimandonotadichiusura"/>
        </w:rPr>
        <w:endnoteReference w:id="458"/>
      </w:r>
      <w:r w:rsidRPr="00E02F15">
        <w:t xml:space="preserve"> </w:t>
      </w:r>
    </w:p>
    <w:p w:rsidR="001E3A21" w:rsidRPr="00E34166" w:rsidRDefault="001E3A21" w:rsidP="00E37990">
      <w:pPr>
        <w:pStyle w:val="Titolo5"/>
      </w:pPr>
      <w:r w:rsidRPr="00E34166">
        <w:t>Sexual activity</w:t>
      </w:r>
    </w:p>
    <w:p w:rsidR="001E3A21" w:rsidRPr="00E02F15" w:rsidRDefault="001E3A21" w:rsidP="001E3A21">
      <w:r w:rsidRPr="00E02F15">
        <w:t>Similar to the trend in calls to Kids Helpline regarding pregnancy concerns, interest in gaining information about sexual activity increases for young people aged 13 to 16 and then drops off at age 17.</w:t>
      </w:r>
      <w:r w:rsidRPr="00E875E6">
        <w:rPr>
          <w:rStyle w:val="Rimandonotadichiusura"/>
        </w:rPr>
        <w:endnoteReference w:id="459"/>
      </w:r>
      <w:r w:rsidRPr="00E02F15">
        <w:t xml:space="preserve"> From 2012 to 2016, Kids Helpline has received approximately 440 contacts per year for this category. All of these contacts are from young people under age 18.</w:t>
      </w:r>
      <w:r>
        <w:rPr>
          <w:rStyle w:val="Rimandonotadichiusura"/>
        </w:rPr>
        <w:endnoteReference w:id="460"/>
      </w:r>
      <w:r>
        <w:t xml:space="preserve"> T</w:t>
      </w:r>
      <w:r w:rsidRPr="00E02F15">
        <w:t xml:space="preserve">he rate at which CALD identifying young people contact Kids Helpline regarding sexual </w:t>
      </w:r>
      <w:r>
        <w:t>activity has also increased over the same period</w:t>
      </w:r>
      <w:r w:rsidRPr="00E02F15">
        <w:t>.</w:t>
      </w:r>
      <w:r w:rsidRPr="00E875E6">
        <w:rPr>
          <w:rStyle w:val="Rimandonotadichiusura"/>
        </w:rPr>
        <w:endnoteReference w:id="461"/>
      </w:r>
      <w:r w:rsidRPr="00E02F15">
        <w:t xml:space="preserve"> </w:t>
      </w:r>
    </w:p>
    <w:p w:rsidR="001E3A21" w:rsidRPr="00E02F15" w:rsidRDefault="001E3A21" w:rsidP="001E3A21">
      <w:r w:rsidRPr="00E02F15">
        <w:t>The majority of contacts (60</w:t>
      </w:r>
      <w:r>
        <w:t>%</w:t>
      </w:r>
      <w:r w:rsidRPr="00E02F15">
        <w:t>) within this category are from female</w:t>
      </w:r>
      <w:r>
        <w:t>s</w:t>
      </w:r>
      <w:r w:rsidRPr="00E02F15">
        <w:t>.</w:t>
      </w:r>
      <w:r w:rsidRPr="00E875E6">
        <w:rPr>
          <w:rStyle w:val="Rimandonotadichiusura"/>
        </w:rPr>
        <w:endnoteReference w:id="462"/>
      </w:r>
      <w:r>
        <w:t xml:space="preserve"> T</w:t>
      </w:r>
      <w:r w:rsidRPr="00E02F15">
        <w:t>his is broadly representative of the gender difference in the trend of calls to Kids Helpline generally.</w:t>
      </w:r>
      <w:r w:rsidRPr="00E875E6">
        <w:rPr>
          <w:rStyle w:val="Rimandonotadichiusura"/>
        </w:rPr>
        <w:endnoteReference w:id="463"/>
      </w:r>
      <w:r w:rsidRPr="00E02F15">
        <w:t xml:space="preserve"> However, the proportion of c</w:t>
      </w:r>
      <w:r>
        <w:t>alls</w:t>
      </w:r>
      <w:r w:rsidRPr="00E02F15">
        <w:t xml:space="preserve"> from male adolescents is greate</w:t>
      </w:r>
      <w:r>
        <w:t xml:space="preserve">r than for all other concerns — </w:t>
      </w:r>
      <w:r w:rsidRPr="00E02F15">
        <w:t xml:space="preserve">at </w:t>
      </w:r>
      <w:r>
        <w:t>approximately</w:t>
      </w:r>
      <w:r w:rsidRPr="00E02F15">
        <w:t xml:space="preserve"> 30</w:t>
      </w:r>
      <w:r>
        <w:t>%</w:t>
      </w:r>
      <w:r w:rsidRPr="00E02F15">
        <w:t xml:space="preserve"> </w:t>
      </w:r>
      <w:r>
        <w:t>as compared</w:t>
      </w:r>
      <w:r w:rsidRPr="00E02F15">
        <w:t xml:space="preserve"> to</w:t>
      </w:r>
      <w:r>
        <w:t xml:space="preserve"> </w:t>
      </w:r>
      <w:r w:rsidRPr="00E02F15">
        <w:t>19</w:t>
      </w:r>
      <w:r>
        <w:t xml:space="preserve">% </w:t>
      </w:r>
      <w:r w:rsidRPr="00E02F15">
        <w:t>for other categories.</w:t>
      </w:r>
      <w:r w:rsidRPr="00E875E6">
        <w:rPr>
          <w:rStyle w:val="Rimandonotadichiusura"/>
        </w:rPr>
        <w:endnoteReference w:id="464"/>
      </w:r>
      <w:r w:rsidRPr="00E02F15">
        <w:t xml:space="preserve"> This indicates the importance of </w:t>
      </w:r>
      <w:r>
        <w:t xml:space="preserve">providing </w:t>
      </w:r>
      <w:r w:rsidRPr="00E02F15">
        <w:t xml:space="preserve">information </w:t>
      </w:r>
      <w:r>
        <w:t>to</w:t>
      </w:r>
      <w:r w:rsidRPr="00E02F15">
        <w:t xml:space="preserve"> male adolescents </w:t>
      </w:r>
      <w:r>
        <w:t>about</w:t>
      </w:r>
      <w:r w:rsidRPr="00E02F15">
        <w:t xml:space="preserve"> sexual activity</w:t>
      </w:r>
      <w:r>
        <w:t>. It also</w:t>
      </w:r>
      <w:r w:rsidRPr="00E02F15">
        <w:t xml:space="preserve"> </w:t>
      </w:r>
      <w:r>
        <w:t>demonstrates</w:t>
      </w:r>
      <w:r w:rsidRPr="00E02F15">
        <w:t xml:space="preserve"> the need for targeted education concerning sexuality and sexual activity delivered in a safe and youth</w:t>
      </w:r>
      <w:r>
        <w:t>-f</w:t>
      </w:r>
      <w:r w:rsidRPr="00E02F15">
        <w:t>riendly manner.</w:t>
      </w:r>
      <w:r w:rsidRPr="00E875E6">
        <w:rPr>
          <w:rStyle w:val="Rimandonotadichiusura"/>
        </w:rPr>
        <w:endnoteReference w:id="465"/>
      </w:r>
      <w:r w:rsidRPr="00E02F15">
        <w:t xml:space="preserve"> </w:t>
      </w:r>
    </w:p>
    <w:p w:rsidR="001E3A21" w:rsidRPr="00E02F15" w:rsidRDefault="001E3A21" w:rsidP="001E3A21">
      <w:r w:rsidRPr="00E02F15">
        <w:t xml:space="preserve">From 2012 to 2016, the proportion of contacts </w:t>
      </w:r>
      <w:r>
        <w:t xml:space="preserve">about </w:t>
      </w:r>
      <w:r w:rsidRPr="00E02F15">
        <w:t xml:space="preserve">risky </w:t>
      </w:r>
      <w:r>
        <w:t xml:space="preserve">and </w:t>
      </w:r>
      <w:r w:rsidRPr="00E02F15">
        <w:t>future sexual practices declined.</w:t>
      </w:r>
      <w:r w:rsidRPr="00E875E6">
        <w:rPr>
          <w:rStyle w:val="Rimandonotadichiusura"/>
        </w:rPr>
        <w:endnoteReference w:id="466"/>
      </w:r>
      <w:r w:rsidRPr="00E02F15">
        <w:t xml:space="preserve"> </w:t>
      </w:r>
      <w:r>
        <w:t>Concurrently</w:t>
      </w:r>
      <w:r w:rsidRPr="00E02F15">
        <w:t xml:space="preserve"> there has been an increase</w:t>
      </w:r>
      <w:r>
        <w:t>, from 11% to 26%</w:t>
      </w:r>
      <w:r w:rsidRPr="00E02F15">
        <w:t xml:space="preserve"> in contacts from young people rega</w:t>
      </w:r>
      <w:r>
        <w:t>rding online sexual activities.</w:t>
      </w:r>
      <w:r w:rsidRPr="00E875E6">
        <w:rPr>
          <w:rStyle w:val="Rimandonotadichiusura"/>
        </w:rPr>
        <w:endnoteReference w:id="467"/>
      </w:r>
      <w:r w:rsidRPr="00E02F15">
        <w:t xml:space="preserve"> </w:t>
      </w:r>
    </w:p>
    <w:p w:rsidR="001E3A21" w:rsidRPr="00E02F15" w:rsidRDefault="001E3A21" w:rsidP="001E3A21">
      <w:r w:rsidRPr="00E02F15">
        <w:t xml:space="preserve">Overall, the </w:t>
      </w:r>
      <w:r>
        <w:t xml:space="preserve">fact that </w:t>
      </w:r>
      <w:r w:rsidRPr="00E02F15">
        <w:t xml:space="preserve">young </w:t>
      </w:r>
      <w:r>
        <w:t xml:space="preserve">people commonly </w:t>
      </w:r>
      <w:r w:rsidRPr="00E02F15">
        <w:t>contact Kids Helpline concerning sexual activity indicates the need for more education regarding sexua</w:t>
      </w:r>
      <w:r>
        <w:t xml:space="preserve">lity and sexual activities. It also reaffirms the ongoing need for a confidential hotline where children and young people can discuss </w:t>
      </w:r>
      <w:r w:rsidRPr="00E02F15">
        <w:t>these issues safely.</w:t>
      </w:r>
      <w:r w:rsidRPr="00E875E6">
        <w:rPr>
          <w:rStyle w:val="Rimandonotadichiusura"/>
        </w:rPr>
        <w:endnoteReference w:id="468"/>
      </w:r>
      <w:r w:rsidRPr="00E02F15">
        <w:t xml:space="preserve"> </w:t>
      </w:r>
    </w:p>
    <w:p w:rsidR="001E3A21" w:rsidRPr="00E34166" w:rsidRDefault="001E3A21" w:rsidP="00E37990">
      <w:pPr>
        <w:pStyle w:val="Titolo5"/>
      </w:pPr>
      <w:r w:rsidRPr="00E34166">
        <w:t>Contraception</w:t>
      </w:r>
    </w:p>
    <w:p w:rsidR="001E3A21" w:rsidRPr="00E02F15" w:rsidRDefault="001E3A21" w:rsidP="001E3A21">
      <w:r w:rsidRPr="00E02F15">
        <w:t xml:space="preserve">From 2012 to 2016, there were 356 contacts from young people under age 18 </w:t>
      </w:r>
      <w:r>
        <w:t>about</w:t>
      </w:r>
      <w:r w:rsidRPr="00E02F15">
        <w:t xml:space="preserve"> contraception.</w:t>
      </w:r>
      <w:r w:rsidRPr="00E875E6">
        <w:rPr>
          <w:rStyle w:val="Rimandonotadichiusura"/>
        </w:rPr>
        <w:endnoteReference w:id="469"/>
      </w:r>
      <w:r>
        <w:t xml:space="preserve"> T</w:t>
      </w:r>
      <w:r w:rsidRPr="00E02F15">
        <w:t xml:space="preserve">he number of contacts </w:t>
      </w:r>
      <w:r>
        <w:t xml:space="preserve">on this issue is quite small, and </w:t>
      </w:r>
      <w:r w:rsidRPr="00E02F15">
        <w:t>has remained unchanged over the p</w:t>
      </w:r>
      <w:r>
        <w:t>revious</w:t>
      </w:r>
      <w:r w:rsidRPr="00E02F15">
        <w:t xml:space="preserve"> </w:t>
      </w:r>
      <w:r>
        <w:t>five</w:t>
      </w:r>
      <w:r w:rsidRPr="00E02F15">
        <w:t xml:space="preserve"> years.</w:t>
      </w:r>
      <w:r w:rsidRPr="00E875E6">
        <w:rPr>
          <w:rStyle w:val="Rimandonotadichiusura"/>
        </w:rPr>
        <w:endnoteReference w:id="470"/>
      </w:r>
      <w:r w:rsidRPr="00E02F15">
        <w:t xml:space="preserve"> Similar to the proportion of contacts in other categories, young people aged between 13 and 17 reflected the largest number of contacts</w:t>
      </w:r>
      <w:r>
        <w:t xml:space="preserve"> about contraception. F</w:t>
      </w:r>
      <w:r w:rsidRPr="00E02F15">
        <w:t>or young people aged 10-14 years, the number of contacts has decreased.</w:t>
      </w:r>
      <w:r w:rsidRPr="00E875E6">
        <w:rPr>
          <w:rStyle w:val="Rimandonotadichiusura"/>
        </w:rPr>
        <w:endnoteReference w:id="471"/>
      </w:r>
      <w:r w:rsidRPr="00E02F15">
        <w:t xml:space="preserve"> </w:t>
      </w:r>
    </w:p>
    <w:p w:rsidR="001E3A21" w:rsidRDefault="001E3A21" w:rsidP="001E3A21">
      <w:pPr>
        <w:rPr>
          <w:b/>
          <w:i/>
        </w:rPr>
      </w:pPr>
      <w:r w:rsidRPr="00E02F15">
        <w:t>The proportion of contacts from young people who identify</w:t>
      </w:r>
      <w:r>
        <w:t xml:space="preserve"> as CALD has</w:t>
      </w:r>
      <w:r w:rsidRPr="00E02F15">
        <w:t xml:space="preserve"> increased relative to the contacts from young people of other categories.</w:t>
      </w:r>
      <w:r w:rsidRPr="00940DF5">
        <w:rPr>
          <w:rStyle w:val="Rimandonotadichiusura"/>
        </w:rPr>
        <w:endnoteReference w:id="472"/>
      </w:r>
      <w:r w:rsidRPr="00E02F15">
        <w:t xml:space="preserve"> This pattern has </w:t>
      </w:r>
      <w:r>
        <w:t>a</w:t>
      </w:r>
      <w:r w:rsidRPr="00E02F15">
        <w:t>lso been observed in data collected for contacts related t</w:t>
      </w:r>
      <w:r>
        <w:t>o pregnancy and sexual activity.</w:t>
      </w:r>
      <w:r>
        <w:rPr>
          <w:rStyle w:val="Rimandonotadichiusura"/>
        </w:rPr>
        <w:endnoteReference w:id="473"/>
      </w:r>
      <w:r>
        <w:t xml:space="preserve"> This indicates the </w:t>
      </w:r>
      <w:r w:rsidRPr="00E02F15">
        <w:t>need for culturally appropriate educatio</w:t>
      </w:r>
      <w:r>
        <w:t>n</w:t>
      </w:r>
      <w:r w:rsidRPr="00E02F15">
        <w:t xml:space="preserve"> and access strategies </w:t>
      </w:r>
      <w:r>
        <w:t>targeted specifically to</w:t>
      </w:r>
      <w:r w:rsidRPr="00E02F15">
        <w:t xml:space="preserve"> CALD young people.</w:t>
      </w:r>
      <w:r w:rsidRPr="00940DF5">
        <w:rPr>
          <w:rStyle w:val="Rimandonotadichiusura"/>
        </w:rPr>
        <w:endnoteReference w:id="474"/>
      </w:r>
      <w:r w:rsidRPr="00E02F15">
        <w:t xml:space="preserve"> </w:t>
      </w:r>
    </w:p>
    <w:p w:rsidR="001E3A21" w:rsidRPr="00E34166" w:rsidRDefault="001E3A21" w:rsidP="00E37990">
      <w:pPr>
        <w:pStyle w:val="Titolo5"/>
      </w:pPr>
      <w:r w:rsidRPr="00E34166">
        <w:t>Parenting own children</w:t>
      </w:r>
    </w:p>
    <w:p w:rsidR="001E3A21" w:rsidRPr="00E02F15" w:rsidRDefault="001E3A21" w:rsidP="001E3A21">
      <w:r>
        <w:t>The number of c</w:t>
      </w:r>
      <w:r w:rsidRPr="00E02F15">
        <w:t xml:space="preserve">ontacts from young people </w:t>
      </w:r>
      <w:r>
        <w:t>about</w:t>
      </w:r>
      <w:r w:rsidRPr="00E02F15">
        <w:t xml:space="preserve"> parenting their own children </w:t>
      </w:r>
      <w:r>
        <w:t>is relatively small</w:t>
      </w:r>
      <w:r w:rsidRPr="00E02F15">
        <w:t xml:space="preserve">, </w:t>
      </w:r>
      <w:r>
        <w:t xml:space="preserve">limiting the reliability of </w:t>
      </w:r>
      <w:r w:rsidRPr="00E02F15">
        <w:t>data collection and analysis.</w:t>
      </w:r>
      <w:r w:rsidRPr="00940DF5">
        <w:rPr>
          <w:rStyle w:val="Rimandonotadichiusura"/>
        </w:rPr>
        <w:endnoteReference w:id="475"/>
      </w:r>
      <w:r w:rsidRPr="00E02F15">
        <w:t xml:space="preserve"> </w:t>
      </w:r>
      <w:r>
        <w:t>F</w:t>
      </w:r>
      <w:r w:rsidRPr="00E02F15">
        <w:t>emales significantly outnumber males when contacting Kids Helpline about this issue.</w:t>
      </w:r>
      <w:r w:rsidRPr="00940DF5">
        <w:rPr>
          <w:rStyle w:val="Rimandonotadichiusura"/>
        </w:rPr>
        <w:endnoteReference w:id="476"/>
      </w:r>
      <w:r w:rsidRPr="00E02F15">
        <w:t xml:space="preserve"> Moreover, despite the small numbers, the frequency of contact over the past five years has been increasing for 17 year olds</w:t>
      </w:r>
      <w:r>
        <w:t>.</w:t>
      </w:r>
      <w:r w:rsidRPr="00940DF5">
        <w:rPr>
          <w:rStyle w:val="Rimandonotadichiusura"/>
        </w:rPr>
        <w:endnoteReference w:id="477"/>
      </w:r>
      <w:r w:rsidRPr="00E02F15">
        <w:t xml:space="preserve"> </w:t>
      </w:r>
    </w:p>
    <w:p w:rsidR="001E3A21" w:rsidRPr="00E02F15" w:rsidRDefault="001E3A21" w:rsidP="001E3A21">
      <w:r w:rsidRPr="00E02F15">
        <w:t xml:space="preserve">For the period 2012 to 2016, the top three sub-categories for which young people contact Kids Helpline in the broader area of ‘parenting own children’ are: </w:t>
      </w:r>
    </w:p>
    <w:p w:rsidR="001E3A21" w:rsidRPr="00E02F15" w:rsidRDefault="001E3A21" w:rsidP="00222517">
      <w:pPr>
        <w:numPr>
          <w:ilvl w:val="0"/>
          <w:numId w:val="157"/>
        </w:numPr>
        <w:spacing w:before="0" w:after="0"/>
        <w:ind w:left="714" w:hanging="357"/>
      </w:pPr>
      <w:r>
        <w:t>p</w:t>
      </w:r>
      <w:r w:rsidRPr="00E02F15">
        <w:t>ractical and informational needs</w:t>
      </w:r>
    </w:p>
    <w:p w:rsidR="001E3A21" w:rsidRPr="00E02F15" w:rsidRDefault="001E3A21" w:rsidP="00222517">
      <w:pPr>
        <w:numPr>
          <w:ilvl w:val="0"/>
          <w:numId w:val="157"/>
        </w:numPr>
        <w:spacing w:before="0" w:after="0"/>
        <w:ind w:left="714" w:hanging="357"/>
      </w:pPr>
      <w:r>
        <w:t>i</w:t>
      </w:r>
      <w:r w:rsidRPr="00E02F15">
        <w:t>dentity transformation exploration</w:t>
      </w:r>
    </w:p>
    <w:p w:rsidR="001E3A21" w:rsidRPr="00E02F15" w:rsidRDefault="001E3A21" w:rsidP="00222517">
      <w:pPr>
        <w:numPr>
          <w:ilvl w:val="0"/>
          <w:numId w:val="157"/>
        </w:numPr>
        <w:spacing w:before="0" w:after="0"/>
        <w:ind w:left="714" w:hanging="357"/>
      </w:pPr>
      <w:r>
        <w:t>c</w:t>
      </w:r>
      <w:r w:rsidRPr="00E02F15">
        <w:t>ustody, access and family law matters.</w:t>
      </w:r>
      <w:r w:rsidRPr="00940DF5">
        <w:rPr>
          <w:rStyle w:val="Rimandonotadichiusura"/>
        </w:rPr>
        <w:endnoteReference w:id="478"/>
      </w:r>
      <w:r w:rsidRPr="00E02F15">
        <w:t xml:space="preserve"> </w:t>
      </w:r>
    </w:p>
    <w:p w:rsidR="001E3A21" w:rsidRDefault="001E3A21" w:rsidP="001E3A21">
      <w:r w:rsidRPr="00E02F15">
        <w:t>Findings for this category suggest that young people are reaching out for support in the area</w:t>
      </w:r>
      <w:r>
        <w:t>s</w:t>
      </w:r>
      <w:r w:rsidRPr="00E02F15">
        <w:t xml:space="preserve"> of identity</w:t>
      </w:r>
      <w:r>
        <w:t xml:space="preserve"> issues</w:t>
      </w:r>
      <w:r w:rsidRPr="00E02F15">
        <w:t>, emotional wellbeing and mental health.</w:t>
      </w:r>
      <w:r w:rsidRPr="00940DF5">
        <w:rPr>
          <w:rStyle w:val="Rimandonotadichiusura"/>
        </w:rPr>
        <w:endnoteReference w:id="479"/>
      </w:r>
      <w:r w:rsidRPr="00E02F15">
        <w:t xml:space="preserve"> This knowledge may aid services in adapting interventions to the needs of young parents.</w:t>
      </w:r>
      <w:r w:rsidRPr="00940DF5">
        <w:rPr>
          <w:rStyle w:val="Rimandonotadichiusura"/>
        </w:rPr>
        <w:endnoteReference w:id="480"/>
      </w:r>
      <w:r w:rsidRPr="00E02F15">
        <w:t xml:space="preserve"> </w:t>
      </w:r>
    </w:p>
    <w:p w:rsidR="001E3A21" w:rsidRPr="00E37990" w:rsidRDefault="001E3A21" w:rsidP="001E3A21">
      <w:pPr>
        <w:pStyle w:val="Titolo4"/>
        <w:rPr>
          <w:szCs w:val="24"/>
        </w:rPr>
      </w:pPr>
      <w:r w:rsidRPr="00E37990">
        <w:rPr>
          <w:szCs w:val="24"/>
        </w:rPr>
        <w:t>Income support payment data</w:t>
      </w:r>
    </w:p>
    <w:p w:rsidR="001E3A21" w:rsidRPr="00E02F15" w:rsidRDefault="001E3A21" w:rsidP="001E3A21">
      <w:r w:rsidRPr="00E02F15">
        <w:t xml:space="preserve">I asked the </w:t>
      </w:r>
      <w:r w:rsidRPr="003F022A">
        <w:t>Department of Social Services</w:t>
      </w:r>
      <w:r w:rsidRPr="00E02F15">
        <w:t xml:space="preserve"> to provide data concerning the number of young people aged 19 years old and under who are in receipt of the</w:t>
      </w:r>
      <w:r>
        <w:t xml:space="preserve"> Parenting Payment </w:t>
      </w:r>
      <w:r w:rsidRPr="00E02F15">
        <w:t xml:space="preserve">and the Family Tax Benefit. I asked </w:t>
      </w:r>
      <w:r>
        <w:t>for</w:t>
      </w:r>
      <w:r w:rsidRPr="00E02F15">
        <w:t xml:space="preserve"> information </w:t>
      </w:r>
      <w:r>
        <w:t xml:space="preserve">to include variables such as </w:t>
      </w:r>
      <w:r w:rsidRPr="00E02F15">
        <w:t>age cohort groups (under 12</w:t>
      </w:r>
      <w:r>
        <w:t>, 12–</w:t>
      </w:r>
      <w:r w:rsidRPr="00E02F15">
        <w:t>13</w:t>
      </w:r>
      <w:r>
        <w:t>, 14–</w:t>
      </w:r>
      <w:r w:rsidRPr="00E02F15">
        <w:t>15</w:t>
      </w:r>
      <w:r>
        <w:t>, 16–17 and 18–</w:t>
      </w:r>
      <w:r w:rsidRPr="00E02F15">
        <w:t>19), gender, postcode, Aboriginal or Torres Strait Islander status, educational status and la</w:t>
      </w:r>
      <w:r w:rsidR="00940DF5">
        <w:t xml:space="preserve">nguages spoken at home. </w:t>
      </w:r>
    </w:p>
    <w:p w:rsidR="001E3A21" w:rsidRPr="00E02F15" w:rsidRDefault="001E3A21" w:rsidP="001E3A21">
      <w:r>
        <w:t>A</w:t>
      </w:r>
      <w:r w:rsidRPr="00E02F15">
        <w:t>s at 31 March 2017 there were:</w:t>
      </w:r>
    </w:p>
    <w:p w:rsidR="001E3A21" w:rsidRPr="00E02F15" w:rsidRDefault="001E3A21" w:rsidP="00222517">
      <w:pPr>
        <w:numPr>
          <w:ilvl w:val="0"/>
          <w:numId w:val="156"/>
        </w:numPr>
        <w:spacing w:before="0" w:after="0"/>
        <w:ind w:left="777" w:hanging="357"/>
      </w:pPr>
      <w:r>
        <w:t>7,062 teenagers (aged 13–</w:t>
      </w:r>
      <w:r w:rsidRPr="00E02F15">
        <w:t>19 years) in Australia in receipt of the Parenting Payment</w:t>
      </w:r>
    </w:p>
    <w:p w:rsidR="00EE607C" w:rsidRPr="001E3A21" w:rsidRDefault="001E3A21" w:rsidP="00222517">
      <w:pPr>
        <w:numPr>
          <w:ilvl w:val="0"/>
          <w:numId w:val="156"/>
        </w:numPr>
        <w:spacing w:before="0" w:after="0"/>
        <w:ind w:left="777" w:hanging="357"/>
      </w:pPr>
      <w:r>
        <w:t>7,757 teenagers (aged 13–</w:t>
      </w:r>
      <w:r w:rsidRPr="00E02F15">
        <w:t>19 years) in Australia in rec</w:t>
      </w:r>
      <w:r>
        <w:t>eipt of the Family Tax Benefit.</w:t>
      </w:r>
      <w:r w:rsidRPr="007334BF">
        <w:rPr>
          <w:rStyle w:val="Rimandonotadichiusura"/>
        </w:rPr>
        <w:endnoteReference w:id="481"/>
      </w:r>
      <w:r w:rsidRPr="00E02F15">
        <w:t xml:space="preserve"> </w:t>
      </w:r>
    </w:p>
    <w:p w:rsidR="001E3A21" w:rsidRPr="00E02F15" w:rsidRDefault="001E3A21" w:rsidP="00112E1F">
      <w:pPr>
        <w:spacing w:before="400" w:after="400"/>
      </w:pPr>
      <w:r w:rsidRPr="00BD277E">
        <w:rPr>
          <w:b/>
        </w:rPr>
        <w:t>Table 3.1</w:t>
      </w:r>
      <w:r>
        <w:rPr>
          <w:b/>
        </w:rPr>
        <w:t>:</w:t>
      </w:r>
      <w:r w:rsidRPr="00BD277E">
        <w:rPr>
          <w:b/>
        </w:rPr>
        <w:t xml:space="preserve"> </w:t>
      </w:r>
      <w:r>
        <w:rPr>
          <w:b/>
        </w:rPr>
        <w:t>A</w:t>
      </w:r>
      <w:r w:rsidRPr="006D538E">
        <w:rPr>
          <w:b/>
        </w:rPr>
        <w:t xml:space="preserve">ge breakdown </w:t>
      </w:r>
      <w:r>
        <w:rPr>
          <w:b/>
        </w:rPr>
        <w:t>of young people</w:t>
      </w:r>
      <w:r w:rsidRPr="006D538E">
        <w:rPr>
          <w:b/>
        </w:rPr>
        <w:t xml:space="preserve"> in receipt of the two payments</w:t>
      </w:r>
      <w:r w:rsidRPr="007334BF">
        <w:rPr>
          <w:rStyle w:val="Rimandonotadichiusura"/>
        </w:rPr>
        <w:endnoteReference w:id="482"/>
      </w:r>
      <w:r w:rsidRPr="00E02F15">
        <w:t xml:space="preserve"> </w:t>
      </w:r>
    </w:p>
    <w:tbl>
      <w:tblPr>
        <w:tblW w:w="5375" w:type="dxa"/>
        <w:jc w:val="center"/>
        <w:tblLook w:val="04A0" w:firstRow="1" w:lastRow="0" w:firstColumn="1" w:lastColumn="0" w:noHBand="0" w:noVBand="1"/>
      </w:tblPr>
      <w:tblGrid>
        <w:gridCol w:w="2552"/>
        <w:gridCol w:w="1323"/>
        <w:gridCol w:w="1500"/>
      </w:tblGrid>
      <w:tr w:rsidR="001E3A21" w:rsidRPr="00E02F15" w:rsidTr="002A0986">
        <w:trPr>
          <w:trHeight w:val="806"/>
          <w:jc w:val="center"/>
        </w:trPr>
        <w:tc>
          <w:tcPr>
            <w:tcW w:w="2552" w:type="dxa"/>
            <w:tcBorders>
              <w:top w:val="single" w:sz="8" w:space="0" w:color="000000"/>
              <w:left w:val="single" w:sz="8" w:space="0" w:color="000000"/>
              <w:bottom w:val="single" w:sz="4" w:space="0" w:color="auto"/>
              <w:right w:val="single" w:sz="4" w:space="0" w:color="000000"/>
            </w:tcBorders>
            <w:shd w:val="clear" w:color="auto" w:fill="auto"/>
            <w:noWrap/>
            <w:hideMark/>
          </w:tcPr>
          <w:p w:rsidR="001E3A21" w:rsidRPr="00E02F15" w:rsidRDefault="001E3A21" w:rsidP="001E3A21">
            <w:pPr>
              <w:rPr>
                <w:b/>
                <w:bCs/>
              </w:rPr>
            </w:pPr>
            <w:r w:rsidRPr="00E02F15">
              <w:rPr>
                <w:b/>
                <w:bCs/>
              </w:rPr>
              <w:t>Age</w:t>
            </w:r>
          </w:p>
        </w:tc>
        <w:tc>
          <w:tcPr>
            <w:tcW w:w="1323" w:type="dxa"/>
            <w:tcBorders>
              <w:top w:val="single" w:sz="8" w:space="0" w:color="000000"/>
              <w:left w:val="nil"/>
              <w:bottom w:val="single" w:sz="4" w:space="0" w:color="auto"/>
              <w:right w:val="single" w:sz="8" w:space="0" w:color="000000"/>
            </w:tcBorders>
            <w:shd w:val="clear" w:color="auto" w:fill="auto"/>
            <w:hideMark/>
          </w:tcPr>
          <w:p w:rsidR="001E3A21" w:rsidRPr="00E02F15" w:rsidRDefault="001E3A21" w:rsidP="001E3A21">
            <w:pPr>
              <w:rPr>
                <w:b/>
                <w:bCs/>
              </w:rPr>
            </w:pPr>
            <w:r w:rsidRPr="00E02F15">
              <w:rPr>
                <w:b/>
                <w:bCs/>
              </w:rPr>
              <w:t>Total Parenting Payment</w:t>
            </w:r>
          </w:p>
        </w:tc>
        <w:tc>
          <w:tcPr>
            <w:tcW w:w="1500" w:type="dxa"/>
            <w:tcBorders>
              <w:top w:val="single" w:sz="8" w:space="0" w:color="000000"/>
              <w:left w:val="nil"/>
              <w:bottom w:val="single" w:sz="4" w:space="0" w:color="auto"/>
              <w:right w:val="single" w:sz="8" w:space="0" w:color="000000"/>
            </w:tcBorders>
          </w:tcPr>
          <w:p w:rsidR="001E3A21" w:rsidRPr="00E02F15" w:rsidRDefault="001E3A21" w:rsidP="001E3A21">
            <w:pPr>
              <w:rPr>
                <w:b/>
                <w:bCs/>
              </w:rPr>
            </w:pPr>
            <w:r w:rsidRPr="00E02F15">
              <w:rPr>
                <w:b/>
                <w:bCs/>
              </w:rPr>
              <w:t>Total Family Tax Benefit</w:t>
            </w:r>
          </w:p>
        </w:tc>
      </w:tr>
      <w:tr w:rsidR="001E3A21" w:rsidRPr="00E02F15" w:rsidTr="002A0986">
        <w:trPr>
          <w:trHeight w:val="330"/>
          <w:jc w:val="center"/>
        </w:trPr>
        <w:tc>
          <w:tcPr>
            <w:tcW w:w="2552" w:type="dxa"/>
            <w:tcBorders>
              <w:top w:val="single" w:sz="4" w:space="0" w:color="auto"/>
              <w:left w:val="single" w:sz="8" w:space="0" w:color="000000"/>
              <w:bottom w:val="single" w:sz="4" w:space="0" w:color="000000"/>
              <w:right w:val="single" w:sz="4" w:space="0" w:color="000000"/>
            </w:tcBorders>
            <w:shd w:val="clear" w:color="auto" w:fill="auto"/>
            <w:noWrap/>
            <w:hideMark/>
          </w:tcPr>
          <w:p w:rsidR="001E3A21" w:rsidRPr="00E02F15" w:rsidRDefault="001E3A21" w:rsidP="001E3A21">
            <w:r>
              <w:t>12–</w:t>
            </w:r>
            <w:r w:rsidRPr="00E02F15">
              <w:t>13 years</w:t>
            </w:r>
          </w:p>
        </w:tc>
        <w:tc>
          <w:tcPr>
            <w:tcW w:w="1323" w:type="dxa"/>
            <w:tcBorders>
              <w:top w:val="single" w:sz="4" w:space="0" w:color="auto"/>
              <w:left w:val="nil"/>
              <w:bottom w:val="single" w:sz="4" w:space="0" w:color="000000"/>
              <w:right w:val="single" w:sz="8" w:space="0" w:color="000000"/>
            </w:tcBorders>
            <w:shd w:val="clear" w:color="auto" w:fill="auto"/>
            <w:hideMark/>
          </w:tcPr>
          <w:p w:rsidR="001E3A21" w:rsidRPr="00E02F15" w:rsidRDefault="001E3A21" w:rsidP="001E3A21">
            <w:r w:rsidRPr="00E02F15">
              <w:t>&lt;5</w:t>
            </w:r>
          </w:p>
        </w:tc>
        <w:tc>
          <w:tcPr>
            <w:tcW w:w="1500" w:type="dxa"/>
            <w:tcBorders>
              <w:top w:val="single" w:sz="4" w:space="0" w:color="auto"/>
              <w:left w:val="nil"/>
              <w:bottom w:val="single" w:sz="4" w:space="0" w:color="000000"/>
              <w:right w:val="single" w:sz="8" w:space="0" w:color="000000"/>
            </w:tcBorders>
          </w:tcPr>
          <w:p w:rsidR="001E3A21" w:rsidRPr="00E02F15" w:rsidRDefault="001E3A21" w:rsidP="001E3A21">
            <w:r w:rsidRPr="00E02F15">
              <w:t>&lt;5</w:t>
            </w:r>
          </w:p>
        </w:tc>
      </w:tr>
      <w:tr w:rsidR="001E3A21" w:rsidRPr="00E02F15" w:rsidTr="002A0986">
        <w:trPr>
          <w:trHeight w:val="330"/>
          <w:jc w:val="center"/>
        </w:trPr>
        <w:tc>
          <w:tcPr>
            <w:tcW w:w="2552" w:type="dxa"/>
            <w:tcBorders>
              <w:top w:val="nil"/>
              <w:left w:val="single" w:sz="8" w:space="0" w:color="000000"/>
              <w:bottom w:val="single" w:sz="4" w:space="0" w:color="000000"/>
              <w:right w:val="single" w:sz="4" w:space="0" w:color="000000"/>
            </w:tcBorders>
            <w:shd w:val="clear" w:color="auto" w:fill="auto"/>
            <w:noWrap/>
            <w:hideMark/>
          </w:tcPr>
          <w:p w:rsidR="001E3A21" w:rsidRPr="00E02F15" w:rsidRDefault="001E3A21" w:rsidP="001E3A21">
            <w:r>
              <w:t>14–</w:t>
            </w:r>
            <w:r w:rsidRPr="00E02F15">
              <w:t>15 years</w:t>
            </w:r>
          </w:p>
        </w:tc>
        <w:tc>
          <w:tcPr>
            <w:tcW w:w="1323" w:type="dxa"/>
            <w:tcBorders>
              <w:top w:val="nil"/>
              <w:left w:val="nil"/>
              <w:bottom w:val="single" w:sz="4" w:space="0" w:color="000000"/>
              <w:right w:val="single" w:sz="8" w:space="0" w:color="000000"/>
            </w:tcBorders>
            <w:shd w:val="clear" w:color="auto" w:fill="auto"/>
            <w:hideMark/>
          </w:tcPr>
          <w:p w:rsidR="001E3A21" w:rsidRPr="002864F8" w:rsidRDefault="001E3A21" w:rsidP="001E3A21">
            <w:r w:rsidRPr="002864F8">
              <w:t>Not provided</w:t>
            </w:r>
          </w:p>
        </w:tc>
        <w:tc>
          <w:tcPr>
            <w:tcW w:w="1500" w:type="dxa"/>
            <w:tcBorders>
              <w:top w:val="nil"/>
              <w:left w:val="nil"/>
              <w:bottom w:val="single" w:sz="4" w:space="0" w:color="000000"/>
              <w:right w:val="single" w:sz="8" w:space="0" w:color="000000"/>
            </w:tcBorders>
          </w:tcPr>
          <w:p w:rsidR="001E3A21" w:rsidRPr="002864F8" w:rsidRDefault="001E3A21" w:rsidP="001E3A21">
            <w:r w:rsidRPr="002864F8">
              <w:t>Not provided</w:t>
            </w:r>
          </w:p>
        </w:tc>
      </w:tr>
      <w:tr w:rsidR="001E3A21" w:rsidRPr="00E02F15" w:rsidTr="002A0986">
        <w:trPr>
          <w:trHeight w:val="330"/>
          <w:jc w:val="center"/>
        </w:trPr>
        <w:tc>
          <w:tcPr>
            <w:tcW w:w="2552" w:type="dxa"/>
            <w:tcBorders>
              <w:top w:val="nil"/>
              <w:left w:val="single" w:sz="8" w:space="0" w:color="000000"/>
              <w:bottom w:val="single" w:sz="4" w:space="0" w:color="000000"/>
              <w:right w:val="single" w:sz="4" w:space="0" w:color="000000"/>
            </w:tcBorders>
            <w:shd w:val="clear" w:color="auto" w:fill="auto"/>
            <w:noWrap/>
            <w:hideMark/>
          </w:tcPr>
          <w:p w:rsidR="001E3A21" w:rsidRPr="00E02F15" w:rsidRDefault="001E3A21" w:rsidP="001E3A21">
            <w:r>
              <w:t>16–</w:t>
            </w:r>
            <w:r w:rsidRPr="00E02F15">
              <w:t>17 years</w:t>
            </w:r>
          </w:p>
        </w:tc>
        <w:tc>
          <w:tcPr>
            <w:tcW w:w="1323" w:type="dxa"/>
            <w:tcBorders>
              <w:top w:val="nil"/>
              <w:left w:val="nil"/>
              <w:bottom w:val="single" w:sz="4" w:space="0" w:color="000000"/>
              <w:right w:val="single" w:sz="8" w:space="0" w:color="000000"/>
            </w:tcBorders>
            <w:shd w:val="clear" w:color="auto" w:fill="auto"/>
            <w:hideMark/>
          </w:tcPr>
          <w:p w:rsidR="001E3A21" w:rsidRPr="00E02F15" w:rsidRDefault="001E3A21" w:rsidP="001E3A21">
            <w:r w:rsidRPr="00E02F15">
              <w:t>1,159</w:t>
            </w:r>
          </w:p>
        </w:tc>
        <w:tc>
          <w:tcPr>
            <w:tcW w:w="1500" w:type="dxa"/>
            <w:tcBorders>
              <w:top w:val="nil"/>
              <w:left w:val="nil"/>
              <w:bottom w:val="single" w:sz="4" w:space="0" w:color="000000"/>
              <w:right w:val="single" w:sz="8" w:space="0" w:color="000000"/>
            </w:tcBorders>
          </w:tcPr>
          <w:p w:rsidR="001E3A21" w:rsidRPr="00E02F15" w:rsidRDefault="001E3A21" w:rsidP="001E3A21">
            <w:r w:rsidRPr="00E02F15">
              <w:t>1,162</w:t>
            </w:r>
          </w:p>
        </w:tc>
      </w:tr>
      <w:tr w:rsidR="001E3A21" w:rsidRPr="00E02F15" w:rsidTr="002A0986">
        <w:trPr>
          <w:trHeight w:val="330"/>
          <w:jc w:val="center"/>
        </w:trPr>
        <w:tc>
          <w:tcPr>
            <w:tcW w:w="2552" w:type="dxa"/>
            <w:tcBorders>
              <w:top w:val="nil"/>
              <w:left w:val="single" w:sz="8" w:space="0" w:color="000000"/>
              <w:bottom w:val="single" w:sz="4" w:space="0" w:color="000000"/>
              <w:right w:val="single" w:sz="4" w:space="0" w:color="000000"/>
            </w:tcBorders>
            <w:shd w:val="clear" w:color="auto" w:fill="auto"/>
            <w:noWrap/>
            <w:hideMark/>
          </w:tcPr>
          <w:p w:rsidR="001E3A21" w:rsidRPr="00E02F15" w:rsidRDefault="001E3A21" w:rsidP="001E3A21">
            <w:r>
              <w:t>18–</w:t>
            </w:r>
            <w:r w:rsidRPr="00E02F15">
              <w:t>19 years</w:t>
            </w:r>
          </w:p>
        </w:tc>
        <w:tc>
          <w:tcPr>
            <w:tcW w:w="1323" w:type="dxa"/>
            <w:tcBorders>
              <w:top w:val="nil"/>
              <w:left w:val="nil"/>
              <w:bottom w:val="single" w:sz="4" w:space="0" w:color="000000"/>
              <w:right w:val="single" w:sz="8" w:space="0" w:color="000000"/>
            </w:tcBorders>
            <w:shd w:val="clear" w:color="auto" w:fill="auto"/>
            <w:hideMark/>
          </w:tcPr>
          <w:p w:rsidR="001E3A21" w:rsidRPr="00E02F15" w:rsidRDefault="001E3A21" w:rsidP="001E3A21">
            <w:r w:rsidRPr="00E02F15">
              <w:t>5,825</w:t>
            </w:r>
          </w:p>
        </w:tc>
        <w:tc>
          <w:tcPr>
            <w:tcW w:w="1500" w:type="dxa"/>
            <w:tcBorders>
              <w:top w:val="nil"/>
              <w:left w:val="nil"/>
              <w:bottom w:val="single" w:sz="4" w:space="0" w:color="000000"/>
              <w:right w:val="single" w:sz="8" w:space="0" w:color="000000"/>
            </w:tcBorders>
          </w:tcPr>
          <w:p w:rsidR="001E3A21" w:rsidRPr="00E02F15" w:rsidRDefault="001E3A21" w:rsidP="001E3A21">
            <w:r w:rsidRPr="00E02F15">
              <w:t>6,528</w:t>
            </w:r>
          </w:p>
        </w:tc>
      </w:tr>
      <w:tr w:rsidR="001E3A21" w:rsidRPr="00E02F15" w:rsidTr="002A0986">
        <w:trPr>
          <w:trHeight w:val="330"/>
          <w:jc w:val="center"/>
        </w:trPr>
        <w:tc>
          <w:tcPr>
            <w:tcW w:w="2552" w:type="dxa"/>
            <w:tcBorders>
              <w:top w:val="nil"/>
              <w:left w:val="single" w:sz="8" w:space="0" w:color="000000"/>
              <w:bottom w:val="single" w:sz="8" w:space="0" w:color="000000"/>
              <w:right w:val="single" w:sz="4" w:space="0" w:color="000000"/>
            </w:tcBorders>
            <w:shd w:val="clear" w:color="auto" w:fill="auto"/>
            <w:noWrap/>
            <w:hideMark/>
          </w:tcPr>
          <w:p w:rsidR="001E3A21" w:rsidRPr="00E02F15" w:rsidRDefault="001E3A21" w:rsidP="001E3A21">
            <w:pPr>
              <w:rPr>
                <w:b/>
                <w:bCs/>
              </w:rPr>
            </w:pPr>
            <w:r w:rsidRPr="00E02F15">
              <w:rPr>
                <w:b/>
                <w:bCs/>
              </w:rPr>
              <w:t>Total</w:t>
            </w:r>
          </w:p>
        </w:tc>
        <w:tc>
          <w:tcPr>
            <w:tcW w:w="1323" w:type="dxa"/>
            <w:tcBorders>
              <w:top w:val="nil"/>
              <w:left w:val="nil"/>
              <w:bottom w:val="single" w:sz="8" w:space="0" w:color="000000"/>
              <w:right w:val="single" w:sz="8" w:space="0" w:color="000000"/>
            </w:tcBorders>
            <w:shd w:val="clear" w:color="auto" w:fill="auto"/>
            <w:hideMark/>
          </w:tcPr>
          <w:p w:rsidR="001E3A21" w:rsidRPr="00E02F15" w:rsidRDefault="001E3A21" w:rsidP="001E3A21">
            <w:pPr>
              <w:rPr>
                <w:b/>
                <w:bCs/>
              </w:rPr>
            </w:pPr>
            <w:r w:rsidRPr="00E02F15">
              <w:rPr>
                <w:b/>
                <w:bCs/>
              </w:rPr>
              <w:t>7,062</w:t>
            </w:r>
          </w:p>
        </w:tc>
        <w:tc>
          <w:tcPr>
            <w:tcW w:w="1500" w:type="dxa"/>
            <w:tcBorders>
              <w:top w:val="nil"/>
              <w:left w:val="nil"/>
              <w:bottom w:val="single" w:sz="8" w:space="0" w:color="000000"/>
              <w:right w:val="single" w:sz="8" w:space="0" w:color="000000"/>
            </w:tcBorders>
          </w:tcPr>
          <w:p w:rsidR="001E3A21" w:rsidRPr="00E02F15" w:rsidRDefault="001E3A21" w:rsidP="001E3A21">
            <w:pPr>
              <w:rPr>
                <w:b/>
                <w:bCs/>
              </w:rPr>
            </w:pPr>
            <w:r w:rsidRPr="00E02F15">
              <w:rPr>
                <w:b/>
                <w:bCs/>
              </w:rPr>
              <w:t>7,757</w:t>
            </w:r>
          </w:p>
        </w:tc>
      </w:tr>
    </w:tbl>
    <w:p w:rsidR="001E3A21" w:rsidRDefault="001E3A21" w:rsidP="00EE607C">
      <w:pPr>
        <w:spacing w:before="0" w:after="0"/>
        <w:rPr>
          <w:rFonts w:cs="Arial"/>
        </w:rPr>
      </w:pPr>
    </w:p>
    <w:p w:rsidR="001E3A21" w:rsidRPr="00E34166" w:rsidRDefault="001E3A21" w:rsidP="00E37990">
      <w:pPr>
        <w:pStyle w:val="Titolo5"/>
      </w:pPr>
      <w:r w:rsidRPr="00E34166">
        <w:t>Parenting Payment</w:t>
      </w:r>
    </w:p>
    <w:p w:rsidR="001E3A21" w:rsidRPr="00E02F15" w:rsidRDefault="001E3A21" w:rsidP="001E3A21">
      <w:r w:rsidRPr="00E02F15">
        <w:t>Of those young people in receipt of the Parenting Payment, 32</w:t>
      </w:r>
      <w:r>
        <w:t>%</w:t>
      </w:r>
      <w:r w:rsidRPr="00E02F15">
        <w:t xml:space="preserve"> identified as Aboriginal or Torres Strait Islander.</w:t>
      </w:r>
      <w:r w:rsidRPr="007334BF">
        <w:rPr>
          <w:rStyle w:val="Rimandonotadichiusura"/>
        </w:rPr>
        <w:endnoteReference w:id="483"/>
      </w:r>
      <w:r w:rsidRPr="00E02F15">
        <w:t xml:space="preserve"> This is consistent with</w:t>
      </w:r>
      <w:r>
        <w:t xml:space="preserve"> the</w:t>
      </w:r>
      <w:r w:rsidRPr="00E02F15">
        <w:t xml:space="preserve"> ABS data from 2015</w:t>
      </w:r>
      <w:r>
        <w:t>,</w:t>
      </w:r>
      <w:r w:rsidRPr="00E02F15">
        <w:t xml:space="preserve"> which reported that approximately 25.7</w:t>
      </w:r>
      <w:r>
        <w:t>%</w:t>
      </w:r>
      <w:r w:rsidRPr="00E02F15">
        <w:t xml:space="preserve"> of young mothers aged 15</w:t>
      </w:r>
      <w:r>
        <w:t>–19 identify as Aboriginal or</w:t>
      </w:r>
      <w:r w:rsidRPr="00E02F15">
        <w:t xml:space="preserve"> Torres Strait Islander.</w:t>
      </w:r>
      <w:r w:rsidRPr="007334BF">
        <w:rPr>
          <w:rStyle w:val="Rimandonotadichiusura"/>
        </w:rPr>
        <w:endnoteReference w:id="484"/>
      </w:r>
    </w:p>
    <w:p w:rsidR="001E3A21" w:rsidRPr="00E02F15" w:rsidRDefault="001E3A21" w:rsidP="001E3A21">
      <w:r w:rsidRPr="00E02F15">
        <w:t>I</w:t>
      </w:r>
      <w:r>
        <w:t xml:space="preserve"> was advised that Aboriginal or</w:t>
      </w:r>
      <w:r w:rsidRPr="00E02F15">
        <w:t xml:space="preserve"> Torres Strait Islander status is not</w:t>
      </w:r>
      <w:r>
        <w:t xml:space="preserve"> generally</w:t>
      </w:r>
      <w:r w:rsidRPr="00E02F15">
        <w:t xml:space="preserve"> recorded separately in data held by the Department of Human Services.</w:t>
      </w:r>
      <w:r w:rsidRPr="007334BF">
        <w:rPr>
          <w:rStyle w:val="Rimandonotadichiusura"/>
        </w:rPr>
        <w:endnoteReference w:id="485"/>
      </w:r>
      <w:r w:rsidRPr="00E02F15">
        <w:t xml:space="preserve"> Furthermore, the identification of Aboriginal or Torres Strait Islander status is voluntary</w:t>
      </w:r>
      <w:r>
        <w:t xml:space="preserve">, </w:t>
      </w:r>
      <w:r w:rsidRPr="00E02F15">
        <w:t>therefore</w:t>
      </w:r>
      <w:r>
        <w:t xml:space="preserve"> </w:t>
      </w:r>
      <w:r w:rsidRPr="00E02F15">
        <w:t>there may be a degree of underreporting on this measure.</w:t>
      </w:r>
      <w:r w:rsidRPr="007334BF">
        <w:rPr>
          <w:rStyle w:val="Rimandonotadichiusura"/>
        </w:rPr>
        <w:endnoteReference w:id="486"/>
      </w:r>
    </w:p>
    <w:p w:rsidR="001E3A21" w:rsidRDefault="001E3A21" w:rsidP="001E3A21">
      <w:r>
        <w:t xml:space="preserve">Overall, of Parenting Payment recipients aged 19 and under: </w:t>
      </w:r>
    </w:p>
    <w:p w:rsidR="001E3A21" w:rsidRDefault="001E3A21" w:rsidP="00222517">
      <w:pPr>
        <w:pStyle w:val="Paragrafoelenco"/>
        <w:numPr>
          <w:ilvl w:val="0"/>
          <w:numId w:val="159"/>
        </w:numPr>
        <w:jc w:val="left"/>
      </w:pPr>
      <w:r>
        <w:t>32% are Aboriginal or Torres Strait Islander</w:t>
      </w:r>
    </w:p>
    <w:p w:rsidR="001E3A21" w:rsidRDefault="001E3A21" w:rsidP="00222517">
      <w:pPr>
        <w:pStyle w:val="Paragrafoelenco"/>
        <w:numPr>
          <w:ilvl w:val="0"/>
          <w:numId w:val="159"/>
        </w:numPr>
        <w:jc w:val="left"/>
      </w:pPr>
      <w:r>
        <w:t>98% speak</w:t>
      </w:r>
      <w:r w:rsidRPr="00E02F15">
        <w:t xml:space="preserve"> </w:t>
      </w:r>
      <w:r>
        <w:t xml:space="preserve">English at home </w:t>
      </w:r>
    </w:p>
    <w:p w:rsidR="001E3A21" w:rsidRDefault="001E3A21" w:rsidP="00222517">
      <w:pPr>
        <w:pStyle w:val="Paragrafoelenco"/>
        <w:numPr>
          <w:ilvl w:val="0"/>
          <w:numId w:val="159"/>
        </w:numPr>
        <w:jc w:val="left"/>
      </w:pPr>
      <w:r>
        <w:t>99% are female.</w:t>
      </w:r>
    </w:p>
    <w:p w:rsidR="001E3A21" w:rsidRDefault="001E3A21" w:rsidP="001E3A21">
      <w:r w:rsidRPr="00E02F15">
        <w:t xml:space="preserve">As noted in </w:t>
      </w:r>
      <w:r w:rsidRPr="00BD277E">
        <w:t xml:space="preserve">Figure </w:t>
      </w:r>
      <w:r>
        <w:t>3.7</w:t>
      </w:r>
      <w:r w:rsidRPr="00BD277E">
        <w:t>,</w:t>
      </w:r>
      <w:r w:rsidRPr="00E02F15">
        <w:t xml:space="preserve"> </w:t>
      </w:r>
      <w:r>
        <w:t xml:space="preserve">46% of </w:t>
      </w:r>
      <w:r w:rsidRPr="00E02F15">
        <w:t>recipients live in a major city</w:t>
      </w:r>
      <w:r>
        <w:t>,</w:t>
      </w:r>
      <w:r w:rsidRPr="00E02F15">
        <w:t xml:space="preserve"> </w:t>
      </w:r>
      <w:r>
        <w:t>28%</w:t>
      </w:r>
      <w:r w:rsidRPr="00E02F15">
        <w:t xml:space="preserve"> live in ‘inner regional</w:t>
      </w:r>
      <w:r>
        <w:t>’ Australia, and 25% live in ‘outer regional’, ‘remote’ or ‘very remote’ Australia</w:t>
      </w:r>
      <w:r w:rsidRPr="00E02F15">
        <w:t>.</w:t>
      </w:r>
      <w:r w:rsidRPr="007334BF">
        <w:rPr>
          <w:rStyle w:val="Rimandonotadichiusura"/>
        </w:rPr>
        <w:endnoteReference w:id="487"/>
      </w:r>
      <w:r w:rsidRPr="00E02F15">
        <w:t xml:space="preserve"> </w:t>
      </w:r>
    </w:p>
    <w:p w:rsidR="002073C4" w:rsidRPr="002073C4" w:rsidRDefault="00DC32C7" w:rsidP="00F164A7">
      <w:pPr>
        <w:spacing w:after="400"/>
      </w:pPr>
      <w:r>
        <w:rPr>
          <w:b/>
        </w:rPr>
        <w:t>Figure 3.7</w:t>
      </w:r>
      <w:r w:rsidR="00E37990">
        <w:rPr>
          <w:b/>
        </w:rPr>
        <w:t>:</w:t>
      </w:r>
      <w:r>
        <w:rPr>
          <w:b/>
        </w:rPr>
        <w:t xml:space="preserve"> Recipients of Parenting P</w:t>
      </w:r>
      <w:r w:rsidRPr="00241BB1">
        <w:rPr>
          <w:b/>
        </w:rPr>
        <w:t>ayment aged 19 years and under by remoteness</w:t>
      </w:r>
      <w:r w:rsidRPr="00E37990">
        <w:rPr>
          <w:rStyle w:val="Rimandonotadichiusura"/>
        </w:rPr>
        <w:endnoteReference w:id="488"/>
      </w:r>
      <w:r w:rsidRPr="00E37990">
        <w:t xml:space="preserve"> </w:t>
      </w:r>
    </w:p>
    <w:p w:rsidR="00DC32C7" w:rsidRPr="00E02F15" w:rsidRDefault="002A0986" w:rsidP="002A0986">
      <w:r>
        <w:rPr>
          <w:noProof/>
          <w:lang w:val="it-IT" w:eastAsia="it-IT"/>
        </w:rPr>
        <w:drawing>
          <wp:inline distT="0" distB="0" distL="0" distR="0" wp14:anchorId="6F9E237E" wp14:editId="4A799BAB">
            <wp:extent cx="5757845" cy="3820563"/>
            <wp:effectExtent l="0" t="0" r="8255" b="0"/>
            <wp:docPr id="19" name="Immagine 19" descr="CRR%20Charts/CRR_2017_Figure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R%20Charts/CRR_2017_Figure_3-8.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8241" b="14469"/>
                    <a:stretch/>
                  </pic:blipFill>
                  <pic:spPr bwMode="auto">
                    <a:xfrm>
                      <a:off x="0" y="0"/>
                      <a:ext cx="5758180" cy="3820785"/>
                    </a:xfrm>
                    <a:prstGeom prst="rect">
                      <a:avLst/>
                    </a:prstGeom>
                    <a:noFill/>
                    <a:ln>
                      <a:noFill/>
                    </a:ln>
                    <a:extLst>
                      <a:ext uri="{53640926-AAD7-44D8-BBD7-CCE9431645EC}">
                        <a14:shadowObscured xmlns:a14="http://schemas.microsoft.com/office/drawing/2010/main"/>
                      </a:ext>
                    </a:extLst>
                  </pic:spPr>
                </pic:pic>
              </a:graphicData>
            </a:graphic>
          </wp:inline>
        </w:drawing>
      </w:r>
    </w:p>
    <w:p w:rsidR="00DC32C7" w:rsidRPr="00E34166" w:rsidRDefault="00DC32C7" w:rsidP="00BB47CB">
      <w:pPr>
        <w:pStyle w:val="Titolo5"/>
      </w:pPr>
      <w:r w:rsidRPr="00E34166">
        <w:t>Family Tax Benefit</w:t>
      </w:r>
    </w:p>
    <w:p w:rsidR="00DC32C7" w:rsidRDefault="00DC32C7" w:rsidP="00DC32C7">
      <w:r w:rsidRPr="00E02F15">
        <w:t xml:space="preserve">The demographic data of young people in receipt of the Family Tax Benefit is </w:t>
      </w:r>
      <w:r>
        <w:t>similar</w:t>
      </w:r>
      <w:r w:rsidRPr="00E02F15">
        <w:t xml:space="preserve"> t</w:t>
      </w:r>
      <w:r>
        <w:t xml:space="preserve">o that of the Parenting Payment: </w:t>
      </w:r>
    </w:p>
    <w:p w:rsidR="00DC32C7" w:rsidRDefault="00DC32C7" w:rsidP="00222517">
      <w:pPr>
        <w:pStyle w:val="Paragrafoelenco"/>
        <w:numPr>
          <w:ilvl w:val="0"/>
          <w:numId w:val="160"/>
        </w:numPr>
        <w:jc w:val="left"/>
      </w:pPr>
      <w:r>
        <w:t>30% are Aboriginal or Torres Strait Islander</w:t>
      </w:r>
    </w:p>
    <w:p w:rsidR="00DC32C7" w:rsidRDefault="00DC32C7" w:rsidP="00222517">
      <w:pPr>
        <w:pStyle w:val="Paragrafoelenco"/>
        <w:numPr>
          <w:ilvl w:val="0"/>
          <w:numId w:val="160"/>
        </w:numPr>
        <w:jc w:val="left"/>
      </w:pPr>
      <w:r>
        <w:t>98% speak English at home</w:t>
      </w:r>
    </w:p>
    <w:p w:rsidR="00DC32C7" w:rsidRDefault="00DC32C7" w:rsidP="00222517">
      <w:pPr>
        <w:pStyle w:val="Paragrafoelenco"/>
        <w:numPr>
          <w:ilvl w:val="0"/>
          <w:numId w:val="160"/>
        </w:numPr>
        <w:jc w:val="left"/>
      </w:pPr>
      <w:r>
        <w:t>99% are female.</w:t>
      </w:r>
    </w:p>
    <w:p w:rsidR="00DC32C7" w:rsidRDefault="00DC32C7" w:rsidP="00DC32C7">
      <w:r w:rsidRPr="00E02F15">
        <w:t xml:space="preserve">No data was provided to </w:t>
      </w:r>
      <w:r>
        <w:t>en</w:t>
      </w:r>
      <w:r w:rsidRPr="00E02F15">
        <w:t>able compar</w:t>
      </w:r>
      <w:r>
        <w:t>ison to</w:t>
      </w:r>
      <w:r w:rsidRPr="00E02F15">
        <w:t xml:space="preserve"> the rate of receipt of Family Tax Benefit measured by remoteness.</w:t>
      </w:r>
      <w:r w:rsidRPr="007334BF">
        <w:rPr>
          <w:rStyle w:val="Rimandonotadichiusura"/>
        </w:rPr>
        <w:endnoteReference w:id="489"/>
      </w:r>
      <w:r w:rsidRPr="00E02F15">
        <w:t xml:space="preserve"> </w:t>
      </w:r>
    </w:p>
    <w:p w:rsidR="00DC32C7" w:rsidRPr="00BB47CB" w:rsidRDefault="00DC32C7" w:rsidP="00DC32C7">
      <w:pPr>
        <w:pStyle w:val="Titolo4"/>
        <w:rPr>
          <w:szCs w:val="24"/>
        </w:rPr>
      </w:pPr>
      <w:r w:rsidRPr="00BB47CB">
        <w:rPr>
          <w:szCs w:val="24"/>
        </w:rPr>
        <w:t>National education data</w:t>
      </w:r>
    </w:p>
    <w:p w:rsidR="00DC32C7" w:rsidRPr="00E02F15" w:rsidRDefault="00DC32C7" w:rsidP="00DC32C7">
      <w:r w:rsidRPr="00E02F15">
        <w:t xml:space="preserve">I requested data from each </w:t>
      </w:r>
      <w:r>
        <w:t>s</w:t>
      </w:r>
      <w:r w:rsidRPr="00E02F15">
        <w:t xml:space="preserve">tate and </w:t>
      </w:r>
      <w:r>
        <w:t>t</w:t>
      </w:r>
      <w:r w:rsidRPr="00E02F15">
        <w:t xml:space="preserve">erritory </w:t>
      </w:r>
      <w:r w:rsidR="00E10313">
        <w:t>education department</w:t>
      </w:r>
      <w:r w:rsidRPr="00E02F15">
        <w:t xml:space="preserve"> concerning young parents and pregnant young people (aged 19 years and under) who were attending primary or secondary education during the 2015/16 financial year. I received responses from W</w:t>
      </w:r>
      <w:r>
        <w:t>A, Vic</w:t>
      </w:r>
      <w:r w:rsidR="00002F9C">
        <w:t>toria</w:t>
      </w:r>
      <w:r w:rsidRPr="00E02F15">
        <w:t xml:space="preserve">, </w:t>
      </w:r>
      <w:r>
        <w:t>NSW</w:t>
      </w:r>
      <w:r w:rsidRPr="00E02F15">
        <w:t>, Tas</w:t>
      </w:r>
      <w:r w:rsidR="00002F9C">
        <w:t>mania</w:t>
      </w:r>
      <w:r w:rsidRPr="00E02F15">
        <w:t xml:space="preserve"> and Q</w:t>
      </w:r>
      <w:r>
        <w:t>ld</w:t>
      </w:r>
      <w:r w:rsidRPr="00E02F15">
        <w:t xml:space="preserve">. I thank each government for its support in providing information for this investigation. </w:t>
      </w:r>
    </w:p>
    <w:p w:rsidR="00DC32C7" w:rsidRPr="00E02F15" w:rsidRDefault="00DC32C7" w:rsidP="00DC32C7">
      <w:r w:rsidRPr="00E02F15">
        <w:t xml:space="preserve">I was heartened by </w:t>
      </w:r>
      <w:r>
        <w:t>s</w:t>
      </w:r>
      <w:r w:rsidRPr="00E02F15">
        <w:t xml:space="preserve">tate and </w:t>
      </w:r>
      <w:r>
        <w:t>t</w:t>
      </w:r>
      <w:r w:rsidRPr="00E02F15">
        <w:t xml:space="preserve">erritory government </w:t>
      </w:r>
      <w:r>
        <w:t xml:space="preserve">responses to me that indicate they </w:t>
      </w:r>
      <w:r w:rsidRPr="00E02F15">
        <w:t xml:space="preserve">encourage public schools to support the continued education of young pregnant and/or parenting teenagers. However, no jurisdiction </w:t>
      </w:r>
      <w:r>
        <w:t xml:space="preserve">systematically collects data </w:t>
      </w:r>
      <w:r w:rsidRPr="00E02F15">
        <w:t>on the attendance patterns and inclusion of young parents or pregnant teenagers across the</w:t>
      </w:r>
      <w:r>
        <w:t>ir</w:t>
      </w:r>
      <w:r w:rsidRPr="00E02F15">
        <w:t xml:space="preserve"> jurisdictional schooling systems</w:t>
      </w:r>
      <w:r>
        <w:t>.</w:t>
      </w:r>
      <w:r>
        <w:rPr>
          <w:rStyle w:val="Rimandonotadichiusura"/>
        </w:rPr>
        <w:endnoteReference w:id="490"/>
      </w:r>
      <w:r w:rsidRPr="00E02F15">
        <w:t xml:space="preserve"> For this reason it is difficult to know how many young parents and/or pregnant teen</w:t>
      </w:r>
      <w:r>
        <w:t>agers</w:t>
      </w:r>
      <w:r w:rsidRPr="00E02F15">
        <w:t xml:space="preserve"> are engaged in primary or secondary education nationally. </w:t>
      </w:r>
    </w:p>
    <w:p w:rsidR="00DC32C7" w:rsidRDefault="00DC32C7" w:rsidP="00DC32C7">
      <w:r>
        <w:t>T</w:t>
      </w:r>
      <w:r w:rsidRPr="00E02F15">
        <w:t xml:space="preserve">he responses </w:t>
      </w:r>
      <w:r>
        <w:t xml:space="preserve">I received generally indicate </w:t>
      </w:r>
      <w:r w:rsidRPr="00E02F15">
        <w:t xml:space="preserve">that schools are empowered to provide local solutions tailored to individual students’ needs. </w:t>
      </w:r>
      <w:r>
        <w:t>S</w:t>
      </w:r>
      <w:r w:rsidRPr="00E02F15">
        <w:t>chools are not required to follow systemic processes to ensure this occurs</w:t>
      </w:r>
      <w:r>
        <w:t>. Schools provide support on an ‘</w:t>
      </w:r>
      <w:r w:rsidRPr="00E02F15">
        <w:t>as needs</w:t>
      </w:r>
      <w:r>
        <w:t>’</w:t>
      </w:r>
      <w:r w:rsidRPr="00E02F15">
        <w:t xml:space="preserve"> basis, aligned with </w:t>
      </w:r>
      <w:r>
        <w:t xml:space="preserve">a </w:t>
      </w:r>
      <w:r w:rsidRPr="00E02F15">
        <w:t xml:space="preserve">local solutions </w:t>
      </w:r>
      <w:r>
        <w:t xml:space="preserve">approach </w:t>
      </w:r>
      <w:r w:rsidRPr="00E02F15">
        <w:t>to the needs of their students</w:t>
      </w:r>
      <w:r>
        <w:t xml:space="preserve"> (see </w:t>
      </w:r>
      <w:r w:rsidRPr="00867330">
        <w:t>Appendix 10</w:t>
      </w:r>
      <w:r>
        <w:t xml:space="preserve"> for a list of state and territory education policies to support young parents). </w:t>
      </w:r>
    </w:p>
    <w:p w:rsidR="00DC32C7" w:rsidRPr="00E02F15" w:rsidRDefault="00DC32C7" w:rsidP="00DC32C7">
      <w:r w:rsidRPr="00E02F15">
        <w:t>It is worth noting that two jurisdictions (Q</w:t>
      </w:r>
      <w:r>
        <w:t>ld and Vic</w:t>
      </w:r>
      <w:r w:rsidR="00002F9C">
        <w:t>toria</w:t>
      </w:r>
      <w:r w:rsidRPr="00E02F15">
        <w:t>) have specific policies to respond to the needs of pregnant and parenting students.</w:t>
      </w:r>
      <w:r w:rsidRPr="007334BF">
        <w:rPr>
          <w:rStyle w:val="Rimandonotadichiusura"/>
        </w:rPr>
        <w:endnoteReference w:id="491"/>
      </w:r>
      <w:r w:rsidRPr="00E02F15">
        <w:t xml:space="preserve"> However, these polic</w:t>
      </w:r>
      <w:r>
        <w:t>i</w:t>
      </w:r>
      <w:r w:rsidRPr="00E02F15">
        <w:t>es do not require schools to implement specific programs</w:t>
      </w:r>
      <w:r>
        <w:t xml:space="preserve"> or responses</w:t>
      </w:r>
      <w:r w:rsidRPr="00E02F15">
        <w:t xml:space="preserve">. </w:t>
      </w:r>
    </w:p>
    <w:p w:rsidR="00DC32C7" w:rsidRDefault="00DC32C7" w:rsidP="00DC32C7">
      <w:r w:rsidRPr="00E02F15">
        <w:t xml:space="preserve">The lack of systemic responses and proactive policies to support pregnant and parenting students in school and to facilitate their right to education is concerning. As noted in </w:t>
      </w:r>
      <w:r>
        <w:t>a</w:t>
      </w:r>
      <w:r w:rsidRPr="00E02F15">
        <w:t>rticle 28 of the C</w:t>
      </w:r>
      <w:r>
        <w:t>RC</w:t>
      </w:r>
      <w:r w:rsidRPr="00E02F15">
        <w:t>, all children have the right to education</w:t>
      </w:r>
      <w:r>
        <w:t>, and States P</w:t>
      </w:r>
      <w:r w:rsidRPr="00E02F15">
        <w:t>arties have the responsibility to ensure that children have the ability to participate and access education ‘on the basis of [their] capacity’.</w:t>
      </w:r>
      <w:r w:rsidRPr="007334BF">
        <w:rPr>
          <w:rStyle w:val="Rimandonotadichiusura"/>
        </w:rPr>
        <w:endnoteReference w:id="492"/>
      </w:r>
      <w:r w:rsidRPr="00E02F15">
        <w:t xml:space="preserve"> </w:t>
      </w:r>
    </w:p>
    <w:p w:rsidR="00DC32C7" w:rsidRDefault="00DC32C7" w:rsidP="00DC32C7">
      <w:r w:rsidRPr="00E02F15">
        <w:t xml:space="preserve">For this reason, I </w:t>
      </w:r>
      <w:r w:rsidRPr="0075133C">
        <w:t>recommend that the</w:t>
      </w:r>
      <w:r>
        <w:t xml:space="preserve"> Australian G</w:t>
      </w:r>
      <w:r w:rsidRPr="0075133C">
        <w:t xml:space="preserve">overnment work with state and territory governments through the </w:t>
      </w:r>
      <w:r w:rsidRPr="003E056D">
        <w:t>Council of Australian Governments’</w:t>
      </w:r>
      <w:r>
        <w:t xml:space="preserve"> </w:t>
      </w:r>
      <w:r w:rsidRPr="0075133C">
        <w:t>Education Council, to</w:t>
      </w:r>
      <w:r>
        <w:t xml:space="preserve"> develop and implement specific policies and processes to address the needs of young pregnant and parenting students. </w:t>
      </w:r>
      <w:r w:rsidRPr="00E02F15">
        <w:t>I recommend that</w:t>
      </w:r>
      <w:r>
        <w:t xml:space="preserve"> education departments</w:t>
      </w:r>
      <w:r w:rsidRPr="00E02F15">
        <w:t xml:space="preserve"> systematically collect data regarding the number of young pregnant and parenting young people who are accessing education through the public school system. </w:t>
      </w:r>
    </w:p>
    <w:tbl>
      <w:tblPr>
        <w:tblStyle w:val="Grigliatabella"/>
        <w:tblW w:w="0" w:type="auto"/>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DC32C7" w:rsidTr="007F14C2">
        <w:tc>
          <w:tcPr>
            <w:tcW w:w="9060" w:type="dxa"/>
            <w:shd w:val="clear" w:color="auto" w:fill="E7E6E6" w:themeFill="background2"/>
          </w:tcPr>
          <w:p w:rsidR="00DC32C7" w:rsidRDefault="00DC32C7" w:rsidP="00F763BE">
            <w:r w:rsidRPr="00DB1C2F">
              <w:rPr>
                <w:b/>
              </w:rPr>
              <w:t xml:space="preserve">Recommendation </w:t>
            </w:r>
            <w:r>
              <w:rPr>
                <w:b/>
              </w:rPr>
              <w:t>8</w:t>
            </w:r>
            <w:r w:rsidRPr="00DB1C2F">
              <w:rPr>
                <w:b/>
              </w:rPr>
              <w:t>:</w:t>
            </w:r>
            <w:r w:rsidRPr="00DB1C2F">
              <w:t xml:space="preserve"> </w:t>
            </w:r>
            <w:r>
              <w:t xml:space="preserve">The Australian Government, through the </w:t>
            </w:r>
            <w:r w:rsidRPr="003E056D">
              <w:t xml:space="preserve">Council of Australian Governments’ </w:t>
            </w:r>
            <w:r>
              <w:t xml:space="preserve">Education Council, should work with state and territory governments to develop systemic policies to address </w:t>
            </w:r>
            <w:r w:rsidRPr="00CD0880">
              <w:t>the needs of young pregnant and parenting students, including through specific policies and programs.</w:t>
            </w:r>
          </w:p>
        </w:tc>
      </w:tr>
    </w:tbl>
    <w:p w:rsidR="00DC32C7" w:rsidRDefault="00DC32C7" w:rsidP="00F164A7"/>
    <w:tbl>
      <w:tblPr>
        <w:tblStyle w:val="Grigliatabella"/>
        <w:tblW w:w="0" w:type="auto"/>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DC32C7" w:rsidTr="007F14C2">
        <w:tc>
          <w:tcPr>
            <w:tcW w:w="9060" w:type="dxa"/>
            <w:shd w:val="clear" w:color="auto" w:fill="E7E6E6" w:themeFill="background2"/>
          </w:tcPr>
          <w:p w:rsidR="00DC32C7" w:rsidRPr="00753270" w:rsidRDefault="00DC32C7" w:rsidP="00F763BE">
            <w:pPr>
              <w:rPr>
                <w:b/>
              </w:rPr>
            </w:pPr>
            <w:r w:rsidRPr="00DB1C2F">
              <w:rPr>
                <w:b/>
              </w:rPr>
              <w:t xml:space="preserve">Recommendation </w:t>
            </w:r>
            <w:r>
              <w:rPr>
                <w:b/>
              </w:rPr>
              <w:t>9</w:t>
            </w:r>
            <w:r w:rsidRPr="00DB1C2F">
              <w:rPr>
                <w:b/>
              </w:rPr>
              <w:t xml:space="preserve">: </w:t>
            </w:r>
            <w:r>
              <w:t>S</w:t>
            </w:r>
            <w:r w:rsidRPr="00DB1C2F">
              <w:t>tate</w:t>
            </w:r>
            <w:r w:rsidRPr="00CD0880">
              <w:t xml:space="preserve"> and territory </w:t>
            </w:r>
            <w:r>
              <w:t>education d</w:t>
            </w:r>
            <w:r w:rsidRPr="00CD0880">
              <w:t xml:space="preserve">epartments </w:t>
            </w:r>
            <w:r>
              <w:t xml:space="preserve">should </w:t>
            </w:r>
            <w:r w:rsidRPr="00CD0880">
              <w:t>systematically collect data on the numbers of young pregnant and parenting young people who are enrolled students.</w:t>
            </w:r>
            <w:r>
              <w:t xml:space="preserve"> </w:t>
            </w:r>
          </w:p>
        </w:tc>
      </w:tr>
    </w:tbl>
    <w:p w:rsidR="00DC32C7" w:rsidRDefault="00DC32C7" w:rsidP="00F164A7"/>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060"/>
      </w:tblGrid>
      <w:tr w:rsidR="00DC32C7" w:rsidTr="003D3B14">
        <w:tc>
          <w:tcPr>
            <w:tcW w:w="9060" w:type="dxa"/>
          </w:tcPr>
          <w:p w:rsidR="00DC32C7" w:rsidRPr="003D3B14" w:rsidRDefault="00DC32C7" w:rsidP="003D3B14">
            <w:pPr>
              <w:spacing w:before="0"/>
              <w:rPr>
                <w:b/>
              </w:rPr>
            </w:pPr>
            <w:r w:rsidRPr="003D3B14">
              <w:rPr>
                <w:b/>
              </w:rPr>
              <w:t>Summary</w:t>
            </w:r>
          </w:p>
          <w:p w:rsidR="00DC32C7" w:rsidRDefault="00DC32C7" w:rsidP="00222517">
            <w:pPr>
              <w:pStyle w:val="Paragrafoelenco"/>
              <w:numPr>
                <w:ilvl w:val="0"/>
                <w:numId w:val="161"/>
              </w:numPr>
              <w:spacing w:before="0" w:after="200"/>
              <w:ind w:left="714" w:hanging="357"/>
              <w:contextualSpacing w:val="0"/>
              <w:jc w:val="left"/>
            </w:pPr>
            <w:r>
              <w:t>In 2014, children of young mothers had the highest perinatal death rate of all maternal age groups.</w:t>
            </w:r>
          </w:p>
          <w:p w:rsidR="00DC32C7" w:rsidRDefault="00DC32C7" w:rsidP="00222517">
            <w:pPr>
              <w:pStyle w:val="Paragrafoelenco"/>
              <w:numPr>
                <w:ilvl w:val="0"/>
                <w:numId w:val="161"/>
              </w:numPr>
              <w:spacing w:before="0" w:after="200"/>
              <w:ind w:left="714" w:hanging="357"/>
              <w:contextualSpacing w:val="0"/>
              <w:jc w:val="left"/>
            </w:pPr>
            <w:r>
              <w:t>In 2015, children of teenage parents had a higher rate of Sudden and Unexpected Death of Infants than other parents.</w:t>
            </w:r>
          </w:p>
          <w:p w:rsidR="00DC32C7" w:rsidRDefault="00DC32C7" w:rsidP="00222517">
            <w:pPr>
              <w:pStyle w:val="Paragrafoelenco"/>
              <w:numPr>
                <w:ilvl w:val="0"/>
                <w:numId w:val="161"/>
              </w:numPr>
              <w:spacing w:before="0" w:after="200"/>
              <w:ind w:left="714" w:hanging="357"/>
              <w:contextualSpacing w:val="0"/>
              <w:jc w:val="left"/>
            </w:pPr>
            <w:r>
              <w:t>Babies born to young mothers are more likely to have low birth weight.</w:t>
            </w:r>
          </w:p>
          <w:p w:rsidR="00DC32C7" w:rsidRDefault="00DC32C7" w:rsidP="00222517">
            <w:pPr>
              <w:pStyle w:val="Paragrafoelenco"/>
              <w:numPr>
                <w:ilvl w:val="0"/>
                <w:numId w:val="158"/>
              </w:numPr>
              <w:spacing w:after="200"/>
              <w:ind w:left="714" w:hanging="357"/>
              <w:contextualSpacing w:val="0"/>
              <w:jc w:val="left"/>
            </w:pPr>
            <w:r>
              <w:t>Between 2012 and 2016, pregnancy-related concerns were the most commonly cited reason young people contacted Kids Helpline out of the four concerns relevant to parenting or pregnancy (pregnancy-related, sexual activity, contraception and parenting own children).</w:t>
            </w:r>
          </w:p>
          <w:p w:rsidR="00DC32C7" w:rsidRDefault="00DC32C7" w:rsidP="00222517">
            <w:pPr>
              <w:pStyle w:val="Paragrafoelenco"/>
              <w:numPr>
                <w:ilvl w:val="0"/>
                <w:numId w:val="161"/>
              </w:numPr>
              <w:spacing w:before="0" w:after="200"/>
              <w:ind w:left="714" w:hanging="357"/>
              <w:contextualSpacing w:val="0"/>
              <w:jc w:val="left"/>
            </w:pPr>
            <w:r>
              <w:t xml:space="preserve">Data from Kids Helpline indicate there is a need to provide tailored information and advice regarding contraception and the biology of pregnancy </w:t>
            </w:r>
            <w:r w:rsidR="003D3B14">
              <w:t>to both teenage girls and boys.</w:t>
            </w:r>
          </w:p>
          <w:p w:rsidR="00DC32C7" w:rsidRDefault="00DC32C7" w:rsidP="00222517">
            <w:pPr>
              <w:pStyle w:val="Paragrafoelenco"/>
              <w:numPr>
                <w:ilvl w:val="0"/>
                <w:numId w:val="161"/>
              </w:numPr>
              <w:spacing w:before="0" w:after="0"/>
              <w:jc w:val="left"/>
            </w:pPr>
            <w:r>
              <w:t xml:space="preserve">There is no systematic collection of data </w:t>
            </w:r>
            <w:r w:rsidRPr="00E02F15">
              <w:t xml:space="preserve">on the attendance patterns and inclusion of young parents or pregnant teenagers </w:t>
            </w:r>
            <w:r>
              <w:t xml:space="preserve">in </w:t>
            </w:r>
            <w:r w:rsidRPr="00E02F15">
              <w:t>schooling systems</w:t>
            </w:r>
            <w:r>
              <w:t xml:space="preserve"> across Australia. While Australian jurisdictions appear to encourage individual public schools to support the continued education of young parents, there is a lack of specific policies on delivering education to young parents across the Australian schooling system. </w:t>
            </w:r>
          </w:p>
        </w:tc>
      </w:tr>
    </w:tbl>
    <w:p w:rsidR="007334BF" w:rsidRDefault="007334BF" w:rsidP="007334BF"/>
    <w:p w:rsidR="00DC32C7" w:rsidRDefault="00DC32C7" w:rsidP="003D3B14">
      <w:pPr>
        <w:pStyle w:val="31"/>
      </w:pPr>
      <w:bookmarkStart w:id="106" w:name="_Toc500308798"/>
      <w:r>
        <w:t>Submissions and roundtables</w:t>
      </w:r>
      <w:bookmarkEnd w:id="106"/>
    </w:p>
    <w:p w:rsidR="00DC32C7" w:rsidRPr="00F316C9" w:rsidRDefault="00DC32C7" w:rsidP="00DC32C7">
      <w:r w:rsidRPr="00F316C9">
        <w:t xml:space="preserve">I asked for written submissions from practitioners, academics, private and non-government organisations on three key issues: </w:t>
      </w:r>
    </w:p>
    <w:p w:rsidR="00DC32C7" w:rsidRPr="00F316C9" w:rsidRDefault="00DC32C7" w:rsidP="00222517">
      <w:pPr>
        <w:numPr>
          <w:ilvl w:val="0"/>
          <w:numId w:val="162"/>
        </w:numPr>
        <w:contextualSpacing/>
        <w:rPr>
          <w:rFonts w:cs="Arial"/>
          <w:sz w:val="22"/>
          <w:szCs w:val="22"/>
        </w:rPr>
      </w:pPr>
      <w:r w:rsidRPr="00F316C9">
        <w:rPr>
          <w:rFonts w:cs="Arial"/>
        </w:rPr>
        <w:t>the types of early interventions likely to decrease the risk profile and trajectory of young parents, young parents</w:t>
      </w:r>
      <w:r>
        <w:rPr>
          <w:rFonts w:cs="Arial"/>
        </w:rPr>
        <w:t>-</w:t>
      </w:r>
      <w:r w:rsidRPr="00F316C9">
        <w:rPr>
          <w:rFonts w:cs="Arial"/>
        </w:rPr>
        <w:t>to</w:t>
      </w:r>
      <w:r>
        <w:rPr>
          <w:rFonts w:cs="Arial"/>
        </w:rPr>
        <w:t>-</w:t>
      </w:r>
      <w:r w:rsidRPr="00F316C9">
        <w:rPr>
          <w:rFonts w:cs="Arial"/>
        </w:rPr>
        <w:t>be and their children</w:t>
      </w:r>
    </w:p>
    <w:p w:rsidR="00DC32C7" w:rsidRPr="00F316C9" w:rsidRDefault="00DC32C7" w:rsidP="00222517">
      <w:pPr>
        <w:numPr>
          <w:ilvl w:val="0"/>
          <w:numId w:val="162"/>
        </w:numPr>
        <w:contextualSpacing/>
        <w:rPr>
          <w:rFonts w:cs="Arial"/>
          <w:sz w:val="22"/>
          <w:szCs w:val="22"/>
        </w:rPr>
      </w:pPr>
      <w:r w:rsidRPr="00F316C9">
        <w:rPr>
          <w:rFonts w:cs="Arial"/>
        </w:rPr>
        <w:t>the types of early interventions which improve their capacity for safe and effective parenting</w:t>
      </w:r>
    </w:p>
    <w:p w:rsidR="00DC32C7" w:rsidRPr="00F316C9" w:rsidRDefault="00DC32C7" w:rsidP="00222517">
      <w:pPr>
        <w:numPr>
          <w:ilvl w:val="0"/>
          <w:numId w:val="162"/>
        </w:numPr>
        <w:ind w:left="714" w:hanging="357"/>
        <w:rPr>
          <w:rFonts w:cs="Arial"/>
          <w:sz w:val="22"/>
          <w:szCs w:val="22"/>
        </w:rPr>
      </w:pPr>
      <w:r w:rsidRPr="00F316C9">
        <w:rPr>
          <w:rFonts w:cs="Arial"/>
        </w:rPr>
        <w:t>the types of early interventions which increase their likelihood of becoming economically secure.</w:t>
      </w:r>
    </w:p>
    <w:p w:rsidR="00DC32C7" w:rsidRPr="00F316C9" w:rsidRDefault="00DC32C7" w:rsidP="00DC32C7">
      <w:r w:rsidRPr="00F316C9">
        <w:t>When hearing about my investigation, a number of organisations and individuals approached me about making submissions.</w:t>
      </w:r>
      <w:r>
        <w:t xml:space="preserve"> I received 69 submissions</w:t>
      </w:r>
      <w:r w:rsidRPr="00F316C9">
        <w:t xml:space="preserve">. </w:t>
      </w:r>
    </w:p>
    <w:p w:rsidR="00DC32C7" w:rsidRPr="00F316C9" w:rsidRDefault="00DC32C7" w:rsidP="00DC32C7">
      <w:r w:rsidRPr="00F316C9">
        <w:t xml:space="preserve">I also requested information from </w:t>
      </w:r>
      <w:r>
        <w:t>s</w:t>
      </w:r>
      <w:r w:rsidRPr="00F316C9">
        <w:t xml:space="preserve">tate and </w:t>
      </w:r>
      <w:r>
        <w:t>t</w:t>
      </w:r>
      <w:r w:rsidRPr="00F316C9">
        <w:t xml:space="preserve">erritory First Ministers regarding the broader programs and policies which governments support in each jurisdiction for young parents, pregnant teenagers and their children. I thank all governments for their support in assisting me during this </w:t>
      </w:r>
      <w:r>
        <w:t>project</w:t>
      </w:r>
      <w:r w:rsidRPr="00F316C9">
        <w:t xml:space="preserve">. </w:t>
      </w:r>
      <w:r>
        <w:t xml:space="preserve">A full list of government programs designed specifically for young parents, which have been shared with the me, can be found at </w:t>
      </w:r>
      <w:r w:rsidRPr="00867330">
        <w:t>Appendix 11.</w:t>
      </w:r>
      <w:r w:rsidR="007334BF">
        <w:t xml:space="preserve"> </w:t>
      </w:r>
    </w:p>
    <w:p w:rsidR="00DC32C7" w:rsidRPr="00F316C9" w:rsidRDefault="00DC32C7" w:rsidP="00DC32C7">
      <w:r w:rsidRPr="00F316C9">
        <w:t xml:space="preserve">During 2017, </w:t>
      </w:r>
      <w:r>
        <w:t xml:space="preserve">I held </w:t>
      </w:r>
      <w:r w:rsidRPr="00F316C9">
        <w:t>four roundtables</w:t>
      </w:r>
      <w:r>
        <w:t xml:space="preserve"> </w:t>
      </w:r>
      <w:r w:rsidRPr="00F316C9">
        <w:t xml:space="preserve">with </w:t>
      </w:r>
      <w:r>
        <w:t xml:space="preserve">61 </w:t>
      </w:r>
      <w:r w:rsidRPr="00F316C9">
        <w:t xml:space="preserve">experts in young parenthood, </w:t>
      </w:r>
      <w:r>
        <w:t xml:space="preserve">and </w:t>
      </w:r>
      <w:r w:rsidRPr="00F316C9">
        <w:t>child and youth development and practitioners who work with young parents. Targeted consultations were also held with some organisations</w:t>
      </w:r>
      <w:r>
        <w:t xml:space="preserve"> and individuals.</w:t>
      </w:r>
      <w:r w:rsidRPr="00F316C9">
        <w:t xml:space="preserve"> </w:t>
      </w:r>
    </w:p>
    <w:p w:rsidR="00DC32C7" w:rsidRPr="00F316C9" w:rsidRDefault="00DC32C7" w:rsidP="00DC32C7">
      <w:r w:rsidRPr="00F316C9">
        <w:t>The following the</w:t>
      </w:r>
      <w:r>
        <w:t xml:space="preserve">mes summarise the key </w:t>
      </w:r>
      <w:r w:rsidRPr="00F316C9">
        <w:t>issues affecting young parents and their children</w:t>
      </w:r>
      <w:r>
        <w:t>,</w:t>
      </w:r>
      <w:r w:rsidRPr="00F316C9">
        <w:t xml:space="preserve"> </w:t>
      </w:r>
      <w:r>
        <w:t xml:space="preserve">which </w:t>
      </w:r>
      <w:r w:rsidRPr="00F316C9">
        <w:t xml:space="preserve">were </w:t>
      </w:r>
      <w:r>
        <w:t xml:space="preserve">identified in submissions and roundtables. </w:t>
      </w:r>
    </w:p>
    <w:p w:rsidR="001E3A21" w:rsidRDefault="00DC32C7" w:rsidP="00222517">
      <w:pPr>
        <w:pStyle w:val="Titolo3"/>
        <w:numPr>
          <w:ilvl w:val="2"/>
          <w:numId w:val="193"/>
        </w:numPr>
      </w:pPr>
      <w:bookmarkStart w:id="107" w:name="_Toc500308799"/>
      <w:r>
        <w:t xml:space="preserve">Risk factors </w:t>
      </w:r>
      <w:r w:rsidR="00002F9C">
        <w:t xml:space="preserve">of </w:t>
      </w:r>
      <w:r>
        <w:t>young parenthood</w:t>
      </w:r>
      <w:bookmarkEnd w:id="107"/>
    </w:p>
    <w:p w:rsidR="00DC32C7" w:rsidRPr="000E54E6" w:rsidRDefault="00DC32C7" w:rsidP="00DC32C7">
      <w:pPr>
        <w:pStyle w:val="Citazione"/>
        <w:rPr>
          <w:szCs w:val="22"/>
        </w:rPr>
      </w:pPr>
      <w:r w:rsidRPr="000E54E6">
        <w:rPr>
          <w:szCs w:val="22"/>
        </w:rPr>
        <w:t>Compared with the general population, they [young parents] are more likely to come to this parenting role with a range of underlying vulnerabilities, particularly backgrounds of early trauma, disrupted care and current exposure to conflict and violence in relationships, and a poor understanding of the requirements of parenting.</w:t>
      </w:r>
      <w:r w:rsidRPr="000E54E6">
        <w:rPr>
          <w:rStyle w:val="Rimandonotadichiusura"/>
          <w:sz w:val="22"/>
          <w:szCs w:val="22"/>
        </w:rPr>
        <w:endnoteReference w:id="493"/>
      </w:r>
    </w:p>
    <w:p w:rsidR="00DC32C7" w:rsidRPr="00F316C9" w:rsidRDefault="00DC32C7" w:rsidP="00DC32C7">
      <w:r>
        <w:t>In their submission,</w:t>
      </w:r>
      <w:r w:rsidRPr="00F316C9">
        <w:t xml:space="preserve"> Fletcher and St</w:t>
      </w:r>
      <w:r>
        <w:t xml:space="preserve"> </w:t>
      </w:r>
      <w:r w:rsidRPr="00F316C9">
        <w:t xml:space="preserve">George </w:t>
      </w:r>
      <w:r>
        <w:t>note that it is important to understand</w:t>
      </w:r>
      <w:r w:rsidRPr="00F316C9">
        <w:t xml:space="preserve"> the prior challenges and psychological wellbeing of young people </w:t>
      </w:r>
      <w:r>
        <w:t>before</w:t>
      </w:r>
      <w:r w:rsidRPr="00F316C9">
        <w:t xml:space="preserve"> becoming parents.</w:t>
      </w:r>
      <w:r w:rsidRPr="00F316C9">
        <w:rPr>
          <w:sz w:val="20"/>
          <w:vertAlign w:val="superscript"/>
        </w:rPr>
        <w:endnoteReference w:id="494"/>
      </w:r>
      <w:r w:rsidRPr="00F316C9">
        <w:t xml:space="preserve"> From the submissions, I identified </w:t>
      </w:r>
      <w:r>
        <w:t>a number of</w:t>
      </w:r>
      <w:r w:rsidRPr="00F316C9">
        <w:t xml:space="preserve"> pre-pregnancy and birth </w:t>
      </w:r>
      <w:r>
        <w:t xml:space="preserve">risk factors </w:t>
      </w:r>
      <w:r w:rsidRPr="00F316C9">
        <w:t>for y</w:t>
      </w:r>
      <w:r w:rsidR="000206F7">
        <w:t>oung parenthood. These include:</w:t>
      </w:r>
    </w:p>
    <w:p w:rsidR="00DC32C7" w:rsidRPr="00F316C9" w:rsidRDefault="00DC32C7" w:rsidP="00222517">
      <w:pPr>
        <w:numPr>
          <w:ilvl w:val="0"/>
          <w:numId w:val="163"/>
        </w:numPr>
        <w:spacing w:before="0" w:after="200"/>
        <w:ind w:left="714" w:hanging="357"/>
      </w:pPr>
      <w:r>
        <w:rPr>
          <w:b/>
        </w:rPr>
        <w:t>L</w:t>
      </w:r>
      <w:r w:rsidRPr="00CF3F05">
        <w:rPr>
          <w:b/>
        </w:rPr>
        <w:t>ow socio</w:t>
      </w:r>
      <w:r>
        <w:rPr>
          <w:b/>
        </w:rPr>
        <w:t>-</w:t>
      </w:r>
      <w:r w:rsidRPr="00CF3F05">
        <w:rPr>
          <w:b/>
        </w:rPr>
        <w:t>economic disadvantage or poverty</w:t>
      </w:r>
      <w:r w:rsidRPr="000E54E6">
        <w:rPr>
          <w:sz w:val="20"/>
          <w:vertAlign w:val="superscript"/>
        </w:rPr>
        <w:endnoteReference w:id="495"/>
      </w:r>
      <w:r w:rsidRPr="000E54E6">
        <w:t xml:space="preserve"> —</w:t>
      </w:r>
      <w:r>
        <w:rPr>
          <w:b/>
        </w:rPr>
        <w:t xml:space="preserve"> </w:t>
      </w:r>
      <w:r>
        <w:t xml:space="preserve">this is strongly associated with </w:t>
      </w:r>
      <w:r w:rsidRPr="00F316C9">
        <w:t>educational attainment.</w:t>
      </w:r>
      <w:r>
        <w:t xml:space="preserve"> </w:t>
      </w:r>
      <w:r w:rsidRPr="00F316C9">
        <w:t xml:space="preserve">The submission from </w:t>
      </w:r>
      <w:r>
        <w:t xml:space="preserve">the </w:t>
      </w:r>
      <w:r w:rsidRPr="00F316C9">
        <w:t>Victorian Aboriginal Child Care Agency</w:t>
      </w:r>
      <w:r>
        <w:t xml:space="preserve"> (VACCA),</w:t>
      </w:r>
      <w:r w:rsidRPr="00F316C9">
        <w:t xml:space="preserve"> for example</w:t>
      </w:r>
      <w:r>
        <w:t>,</w:t>
      </w:r>
      <w:r w:rsidRPr="00F316C9">
        <w:t xml:space="preserve"> </w:t>
      </w:r>
      <w:r>
        <w:t>suggests</w:t>
      </w:r>
      <w:r w:rsidRPr="00F316C9">
        <w:t xml:space="preserve"> lifetime disadvantage as </w:t>
      </w:r>
      <w:r>
        <w:t>an</w:t>
      </w:r>
      <w:r w:rsidRPr="00F316C9">
        <w:t xml:space="preserve"> adverse characteristic associated with young Aboriginal and Torres Strait Islander parents</w:t>
      </w:r>
      <w:r>
        <w:t>.</w:t>
      </w:r>
      <w:r w:rsidRPr="00F316C9">
        <w:rPr>
          <w:sz w:val="20"/>
          <w:vertAlign w:val="superscript"/>
        </w:rPr>
        <w:endnoteReference w:id="496"/>
      </w:r>
    </w:p>
    <w:p w:rsidR="00DC32C7" w:rsidRPr="00F316C9" w:rsidRDefault="00DC32C7" w:rsidP="00222517">
      <w:pPr>
        <w:numPr>
          <w:ilvl w:val="0"/>
          <w:numId w:val="163"/>
        </w:numPr>
        <w:spacing w:before="0" w:after="200"/>
        <w:ind w:left="714" w:hanging="357"/>
      </w:pPr>
      <w:r>
        <w:rPr>
          <w:b/>
        </w:rPr>
        <w:t>S</w:t>
      </w:r>
      <w:r w:rsidRPr="00F316C9">
        <w:rPr>
          <w:b/>
        </w:rPr>
        <w:t>exual exploitation of vulnerable young women</w:t>
      </w:r>
      <w:r w:rsidRPr="000E54E6">
        <w:t xml:space="preserve"> — </w:t>
      </w:r>
      <w:r w:rsidRPr="00F316C9">
        <w:t xml:space="preserve">especially those in </w:t>
      </w:r>
      <w:r>
        <w:t>out-of-home care (O</w:t>
      </w:r>
      <w:r w:rsidRPr="00F316C9">
        <w:t>OHC</w:t>
      </w:r>
      <w:r>
        <w:t>)</w:t>
      </w:r>
      <w:r w:rsidRPr="00F316C9">
        <w:t xml:space="preserve"> or with an OOHC background</w:t>
      </w:r>
      <w:r>
        <w:t>.</w:t>
      </w:r>
      <w:r w:rsidRPr="00F316C9">
        <w:rPr>
          <w:sz w:val="20"/>
          <w:vertAlign w:val="superscript"/>
        </w:rPr>
        <w:endnoteReference w:id="497"/>
      </w:r>
    </w:p>
    <w:p w:rsidR="00DC32C7" w:rsidRPr="00F316C9" w:rsidRDefault="00DC32C7" w:rsidP="00222517">
      <w:pPr>
        <w:numPr>
          <w:ilvl w:val="0"/>
          <w:numId w:val="163"/>
        </w:numPr>
        <w:spacing w:before="0" w:after="200"/>
        <w:ind w:left="714" w:hanging="357"/>
      </w:pPr>
      <w:r>
        <w:rPr>
          <w:b/>
        </w:rPr>
        <w:t>I</w:t>
      </w:r>
      <w:r w:rsidRPr="00CF3F05">
        <w:rPr>
          <w:b/>
        </w:rPr>
        <w:t>ntergenerational cycle of teenage motherhood</w:t>
      </w:r>
      <w:r w:rsidRPr="000E54E6">
        <w:t xml:space="preserve"> — so</w:t>
      </w:r>
      <w:r w:rsidRPr="00F316C9">
        <w:t>me submissions</w:t>
      </w:r>
      <w:r>
        <w:t xml:space="preserve"> noted</w:t>
      </w:r>
      <w:r w:rsidRPr="00F316C9">
        <w:t xml:space="preserve"> that daughters of adolescent mothers are more likely to become teenage mothers themselves.</w:t>
      </w:r>
      <w:r w:rsidRPr="00F316C9">
        <w:rPr>
          <w:sz w:val="20"/>
          <w:vertAlign w:val="superscript"/>
        </w:rPr>
        <w:endnoteReference w:id="498"/>
      </w:r>
      <w:r w:rsidRPr="00ED66AD">
        <w:t xml:space="preserve"> </w:t>
      </w:r>
      <w:r w:rsidRPr="00F316C9">
        <w:t>Similarly</w:t>
      </w:r>
      <w:r>
        <w:t>,</w:t>
      </w:r>
      <w:r w:rsidRPr="00F316C9">
        <w:t xml:space="preserve"> discussions in the roundtables </w:t>
      </w:r>
      <w:r>
        <w:t>noted that young people who became young parents often ca</w:t>
      </w:r>
      <w:r w:rsidRPr="00F316C9">
        <w:t>me from young parent families</w:t>
      </w:r>
      <w:r>
        <w:t>.</w:t>
      </w:r>
      <w:r w:rsidRPr="00F316C9">
        <w:rPr>
          <w:sz w:val="20"/>
          <w:vertAlign w:val="superscript"/>
        </w:rPr>
        <w:endnoteReference w:id="499"/>
      </w:r>
    </w:p>
    <w:p w:rsidR="00DC32C7" w:rsidRPr="00F316C9" w:rsidRDefault="003D524D" w:rsidP="003D524D">
      <w:pPr>
        <w:spacing w:before="0" w:after="200"/>
        <w:ind w:left="714"/>
      </w:pPr>
      <w:r>
        <w:rPr>
          <w:b/>
        </w:rPr>
        <w:t>F</w:t>
      </w:r>
      <w:r w:rsidR="00DC32C7" w:rsidRPr="00CF3F05">
        <w:rPr>
          <w:b/>
        </w:rPr>
        <w:t>amily and domestic violence</w:t>
      </w:r>
      <w:r w:rsidR="00DC32C7" w:rsidRPr="00F316C9">
        <w:t xml:space="preserve"> </w:t>
      </w:r>
      <w:r w:rsidR="00DC32C7">
        <w:t>— s</w:t>
      </w:r>
      <w:r w:rsidR="00DC32C7" w:rsidRPr="00F316C9">
        <w:t>ome submissions reported that young women and girls who experience family or domestic violence or intimate partner violence are more likely to become young parents</w:t>
      </w:r>
      <w:r w:rsidR="00DC32C7">
        <w:t>.</w:t>
      </w:r>
      <w:r w:rsidR="00DC32C7" w:rsidRPr="00F316C9">
        <w:rPr>
          <w:sz w:val="20"/>
          <w:vertAlign w:val="superscript"/>
        </w:rPr>
        <w:endnoteReference w:id="500"/>
      </w:r>
    </w:p>
    <w:p w:rsidR="00DC32C7" w:rsidRPr="00F316C9" w:rsidRDefault="003D524D" w:rsidP="00222517">
      <w:pPr>
        <w:numPr>
          <w:ilvl w:val="0"/>
          <w:numId w:val="163"/>
        </w:numPr>
        <w:spacing w:before="0" w:after="200"/>
        <w:ind w:left="714" w:hanging="357"/>
      </w:pPr>
      <w:r>
        <w:rPr>
          <w:b/>
        </w:rPr>
        <w:t>T</w:t>
      </w:r>
      <w:r w:rsidR="00DC32C7" w:rsidRPr="00CF3F05">
        <w:rPr>
          <w:b/>
        </w:rPr>
        <w:t>rauma from refugee experience</w:t>
      </w:r>
      <w:r w:rsidR="00DC32C7" w:rsidRPr="00F316C9">
        <w:t xml:space="preserve"> </w:t>
      </w:r>
      <w:r w:rsidR="00DC32C7">
        <w:t>— t</w:t>
      </w:r>
      <w:r w:rsidR="00DC32C7" w:rsidRPr="00F316C9">
        <w:t xml:space="preserve">he impact of trauma (from war and social unrest) and dislocation </w:t>
      </w:r>
      <w:r w:rsidR="00DC32C7">
        <w:t>can act as a risk factor for young parenthood.</w:t>
      </w:r>
      <w:r w:rsidR="00DC32C7" w:rsidRPr="00F316C9">
        <w:rPr>
          <w:sz w:val="20"/>
          <w:vertAlign w:val="superscript"/>
        </w:rPr>
        <w:endnoteReference w:id="501"/>
      </w:r>
    </w:p>
    <w:p w:rsidR="00DC32C7" w:rsidRPr="00F316C9" w:rsidRDefault="003D524D" w:rsidP="00222517">
      <w:pPr>
        <w:numPr>
          <w:ilvl w:val="0"/>
          <w:numId w:val="163"/>
        </w:numPr>
        <w:spacing w:before="0" w:after="200"/>
        <w:ind w:left="714" w:hanging="357"/>
      </w:pPr>
      <w:r>
        <w:rPr>
          <w:b/>
        </w:rPr>
        <w:t>P</w:t>
      </w:r>
      <w:r w:rsidR="00DC32C7" w:rsidRPr="00F316C9">
        <w:rPr>
          <w:b/>
        </w:rPr>
        <w:t>arental drug and alcohol abuse</w:t>
      </w:r>
      <w:r w:rsidR="00DC32C7" w:rsidRPr="00DA56A9">
        <w:t>.</w:t>
      </w:r>
      <w:r w:rsidR="00DC32C7" w:rsidRPr="00F316C9">
        <w:rPr>
          <w:sz w:val="20"/>
          <w:vertAlign w:val="superscript"/>
        </w:rPr>
        <w:endnoteReference w:id="502"/>
      </w:r>
    </w:p>
    <w:p w:rsidR="00DC32C7" w:rsidRPr="00F316C9" w:rsidRDefault="00DC32C7" w:rsidP="00DC32C7">
      <w:r w:rsidRPr="00F316C9">
        <w:t>As noted by the A</w:t>
      </w:r>
      <w:r>
        <w:t>dvocate for Children and Young People</w:t>
      </w:r>
      <w:r w:rsidRPr="00F316C9">
        <w:t xml:space="preserve"> NSW, ‘it is not only age but a combination of factors which leads to poorer outcomes for young parents’.</w:t>
      </w:r>
      <w:r w:rsidRPr="00F316C9">
        <w:rPr>
          <w:sz w:val="20"/>
          <w:vertAlign w:val="superscript"/>
        </w:rPr>
        <w:endnoteReference w:id="503"/>
      </w:r>
      <w:r w:rsidRPr="00F316C9">
        <w:t xml:space="preserve"> The psychosocial, economic and familial challenges faced by young parents make it imperative for services to understand the ‘multidimensional’ nature of young parents’ lives in order to improve outcomes for this vulnerable group.</w:t>
      </w:r>
      <w:r w:rsidRPr="00F316C9">
        <w:rPr>
          <w:sz w:val="20"/>
          <w:vertAlign w:val="superscript"/>
        </w:rPr>
        <w:endnoteReference w:id="504"/>
      </w:r>
    </w:p>
    <w:p w:rsidR="001E3A21" w:rsidRDefault="00DC32C7" w:rsidP="00DC32C7">
      <w:pPr>
        <w:pStyle w:val="Titolo3"/>
      </w:pPr>
      <w:bookmarkStart w:id="108" w:name="_Toc500308800"/>
      <w:r>
        <w:t>Stigma, prejudice and discrimination</w:t>
      </w:r>
      <w:bookmarkEnd w:id="108"/>
    </w:p>
    <w:p w:rsidR="00DC32C7" w:rsidRDefault="00DC32C7" w:rsidP="00DC32C7">
      <w:r w:rsidRPr="00F316C9">
        <w:t>Stigma and prejudice represent a substantial impediment to young parents accessing services.</w:t>
      </w:r>
      <w:r w:rsidRPr="00F316C9">
        <w:rPr>
          <w:sz w:val="20"/>
          <w:vertAlign w:val="superscript"/>
        </w:rPr>
        <w:endnoteReference w:id="505"/>
      </w:r>
      <w:r w:rsidRPr="00F316C9">
        <w:t xml:space="preserve"> Many young parents experience social stigma and feelings of shame in their in</w:t>
      </w:r>
      <w:r>
        <w:t xml:space="preserve">teractions with schools, </w:t>
      </w:r>
      <w:r w:rsidRPr="00F316C9">
        <w:t>family members, friends, their community, agencies, the rental market and health care professionals.</w:t>
      </w:r>
      <w:r w:rsidRPr="00F316C9">
        <w:rPr>
          <w:sz w:val="20"/>
          <w:vertAlign w:val="superscript"/>
        </w:rPr>
        <w:endnoteReference w:id="506"/>
      </w:r>
      <w:r w:rsidRPr="00F316C9">
        <w:t xml:space="preserve"> </w:t>
      </w:r>
    </w:p>
    <w:p w:rsidR="00DC32C7" w:rsidRDefault="00DC32C7" w:rsidP="00DC32C7">
      <w:r w:rsidRPr="00F316C9">
        <w:t>Young mothers</w:t>
      </w:r>
      <w:r>
        <w:t xml:space="preserve"> with an </w:t>
      </w:r>
      <w:r w:rsidRPr="00F316C9">
        <w:t xml:space="preserve">OOHC </w:t>
      </w:r>
      <w:r>
        <w:t xml:space="preserve">experience </w:t>
      </w:r>
      <w:r w:rsidRPr="00F316C9">
        <w:t>are particularly vulnerable a</w:t>
      </w:r>
      <w:r>
        <w:t>s</w:t>
      </w:r>
      <w:r w:rsidRPr="00F316C9">
        <w:t xml:space="preserve"> they </w:t>
      </w:r>
      <w:r>
        <w:t>frequently bear a double burden of</w:t>
      </w:r>
      <w:r w:rsidRPr="00F316C9">
        <w:t xml:space="preserve"> stigma</w:t>
      </w:r>
      <w:r>
        <w:t>tisation,</w:t>
      </w:r>
      <w:r w:rsidRPr="00F316C9">
        <w:t xml:space="preserve"> </w:t>
      </w:r>
      <w:r>
        <w:t xml:space="preserve">both </w:t>
      </w:r>
      <w:r w:rsidRPr="00F316C9">
        <w:t>as young mother</w:t>
      </w:r>
      <w:r>
        <w:t>s</w:t>
      </w:r>
      <w:r w:rsidRPr="00F316C9">
        <w:t xml:space="preserve"> and as a young person in care.</w:t>
      </w:r>
      <w:r w:rsidRPr="00F316C9">
        <w:rPr>
          <w:sz w:val="20"/>
          <w:vertAlign w:val="superscript"/>
        </w:rPr>
        <w:endnoteReference w:id="507"/>
      </w:r>
      <w:r w:rsidRPr="00F316C9">
        <w:t xml:space="preserve"> </w:t>
      </w:r>
      <w:r>
        <w:t>Participants attending</w:t>
      </w:r>
      <w:r w:rsidRPr="00F316C9">
        <w:t xml:space="preserve"> roundtables informed me that young parents often resist asking for help because they feel they will be judged as failing parents.</w:t>
      </w:r>
      <w:r w:rsidRPr="00F316C9">
        <w:rPr>
          <w:sz w:val="20"/>
          <w:vertAlign w:val="superscript"/>
        </w:rPr>
        <w:endnoteReference w:id="508"/>
      </w:r>
      <w:r w:rsidRPr="00F316C9">
        <w:t xml:space="preserve"> Such fear of stigmatisation and </w:t>
      </w:r>
      <w:r>
        <w:t>discriminatory</w:t>
      </w:r>
      <w:r w:rsidRPr="00F316C9">
        <w:t xml:space="preserve"> treatment discourages access to services, resulting in poor </w:t>
      </w:r>
      <w:r>
        <w:t xml:space="preserve">access to </w:t>
      </w:r>
      <w:r w:rsidRPr="00F316C9">
        <w:t xml:space="preserve">early intervention </w:t>
      </w:r>
      <w:r>
        <w:t>services,</w:t>
      </w:r>
      <w:r w:rsidRPr="00F316C9">
        <w:t xml:space="preserve"> and exacerbates social isolation for vulnerable young parents.</w:t>
      </w:r>
      <w:r w:rsidRPr="00F316C9">
        <w:rPr>
          <w:sz w:val="20"/>
          <w:vertAlign w:val="superscript"/>
        </w:rPr>
        <w:endnoteReference w:id="509"/>
      </w:r>
    </w:p>
    <w:p w:rsidR="00DC32C7" w:rsidRPr="000E54E6" w:rsidRDefault="00DC32C7" w:rsidP="00DC32C7">
      <w:pPr>
        <w:pStyle w:val="Citazione"/>
        <w:rPr>
          <w:szCs w:val="22"/>
        </w:rPr>
      </w:pPr>
      <w:r w:rsidRPr="000E54E6">
        <w:rPr>
          <w:szCs w:val="22"/>
        </w:rPr>
        <w:t>While many [young] mothers share hopes and aspirations for the futures of their children, they also experience high levels of social stigma, which only serves to exacerbate the more common motherhood experiences of tiredness, and being overwhelmed.</w:t>
      </w:r>
      <w:r w:rsidRPr="000E54E6">
        <w:rPr>
          <w:rStyle w:val="Rimandonotadichiusura"/>
          <w:sz w:val="22"/>
          <w:szCs w:val="22"/>
        </w:rPr>
        <w:endnoteReference w:id="510"/>
      </w:r>
    </w:p>
    <w:p w:rsidR="00DC32C7" w:rsidRPr="000E54E6" w:rsidRDefault="00DC32C7" w:rsidP="00DC32C7">
      <w:pPr>
        <w:pStyle w:val="Citazione"/>
        <w:rPr>
          <w:szCs w:val="22"/>
        </w:rPr>
      </w:pPr>
      <w:r w:rsidRPr="000E54E6">
        <w:rPr>
          <w:szCs w:val="22"/>
        </w:rPr>
        <w:t>[T]he stigma experienced by young mothers in general makes it difficult for them to feel that they can engage with support services, noting that they often feel judged and ‘stereotyped as being irresponsible and immature, languishing on welfare payments and being ignorant and incompetent at raising children’.</w:t>
      </w:r>
      <w:r w:rsidRPr="000E54E6">
        <w:rPr>
          <w:rStyle w:val="Rimandonotadichiusura"/>
          <w:sz w:val="22"/>
          <w:szCs w:val="22"/>
        </w:rPr>
        <w:endnoteReference w:id="511"/>
      </w:r>
    </w:p>
    <w:p w:rsidR="00DC32C7" w:rsidRPr="00F316C9" w:rsidRDefault="00DC32C7" w:rsidP="00DC32C7">
      <w:r w:rsidRPr="00F316C9">
        <w:t xml:space="preserve">Submissions recommended that a ‘culture of support’ and </w:t>
      </w:r>
      <w:r>
        <w:t xml:space="preserve">a </w:t>
      </w:r>
      <w:r w:rsidRPr="00F316C9">
        <w:t>strengths-based approach should be adopted by health services rather than a ‘culture of blame’.</w:t>
      </w:r>
      <w:r w:rsidRPr="00F316C9">
        <w:rPr>
          <w:sz w:val="20"/>
          <w:vertAlign w:val="superscript"/>
        </w:rPr>
        <w:endnoteReference w:id="512"/>
      </w:r>
      <w:r>
        <w:t xml:space="preserve"> Further</w:t>
      </w:r>
      <w:r w:rsidRPr="00F316C9">
        <w:t>, discussions emphasised that reducing stigmatisation is essential to enable young parents to enjoy the parenting process and appreciate parenthood.</w:t>
      </w:r>
      <w:r w:rsidRPr="00F316C9">
        <w:rPr>
          <w:sz w:val="20"/>
          <w:vertAlign w:val="superscript"/>
        </w:rPr>
        <w:endnoteReference w:id="513"/>
      </w:r>
      <w:r w:rsidRPr="00F316C9">
        <w:t xml:space="preserve"> </w:t>
      </w:r>
      <w:r>
        <w:t>Moreover, it was suggested that ser</w:t>
      </w:r>
      <w:r w:rsidRPr="00F316C9">
        <w:t xml:space="preserve">vices and staff need to </w:t>
      </w:r>
      <w:r>
        <w:t xml:space="preserve">provide earlier </w:t>
      </w:r>
      <w:r w:rsidRPr="00F316C9">
        <w:t xml:space="preserve">support and respect </w:t>
      </w:r>
      <w:r>
        <w:t xml:space="preserve">for </w:t>
      </w:r>
      <w:r w:rsidRPr="00F316C9">
        <w:t>young parents’ decisions to raise child</w:t>
      </w:r>
      <w:r>
        <w:t>ren</w:t>
      </w:r>
      <w:r w:rsidRPr="00F316C9">
        <w:t>, rather than consistently cas</w:t>
      </w:r>
      <w:r>
        <w:t xml:space="preserve">t </w:t>
      </w:r>
      <w:r w:rsidRPr="00F316C9">
        <w:t>doubt on their decisions.</w:t>
      </w:r>
      <w:r w:rsidRPr="00F316C9">
        <w:rPr>
          <w:sz w:val="20"/>
          <w:vertAlign w:val="superscript"/>
        </w:rPr>
        <w:endnoteReference w:id="514"/>
      </w:r>
      <w:r w:rsidR="00F75CD4">
        <w:t xml:space="preserve"> </w:t>
      </w:r>
    </w:p>
    <w:p w:rsidR="00EF05E9" w:rsidRPr="002073C4" w:rsidRDefault="00DC32C7" w:rsidP="00F164A7">
      <w:pPr>
        <w:spacing w:after="400"/>
      </w:pPr>
      <w:r w:rsidRPr="00F316C9">
        <w:t>Negative attitudes towards young motherhood can</w:t>
      </w:r>
      <w:r w:rsidR="00C6467C">
        <w:t>affect</w:t>
      </w:r>
      <w:r w:rsidRPr="00F316C9">
        <w:t xml:space="preserve"> public health policy as well as community perceptions of young mothers.</w:t>
      </w:r>
      <w:r w:rsidRPr="00F316C9">
        <w:rPr>
          <w:sz w:val="20"/>
          <w:vertAlign w:val="superscript"/>
        </w:rPr>
        <w:endnoteReference w:id="515"/>
      </w:r>
      <w:r w:rsidRPr="00F316C9">
        <w:t xml:space="preserve"> It was recommended in the submissions and roundtables </w:t>
      </w:r>
      <w:r>
        <w:rPr>
          <w:noProof/>
        </w:rPr>
        <w:t>that services and organisations should work to develop and foster judgement-free and supportive environments</w:t>
      </w:r>
      <w:r w:rsidRPr="00F316C9">
        <w:t>.</w:t>
      </w:r>
      <w:r w:rsidRPr="00F316C9">
        <w:rPr>
          <w:sz w:val="20"/>
          <w:vertAlign w:val="superscript"/>
        </w:rPr>
        <w:endnoteReference w:id="516"/>
      </w:r>
      <w:r w:rsidRPr="00F316C9">
        <w:t xml:space="preserve"> This needs to </w:t>
      </w:r>
      <w:r>
        <w:t>take place</w:t>
      </w:r>
      <w:r w:rsidRPr="00F316C9">
        <w:t xml:space="preserve"> in educatio</w:t>
      </w:r>
      <w:r>
        <w:t>n</w:t>
      </w:r>
      <w:r w:rsidRPr="00F316C9">
        <w:t xml:space="preserve"> and employment settings as well as primary points of contact for young parents</w:t>
      </w:r>
      <w:r>
        <w:t>,</w:t>
      </w:r>
      <w:r w:rsidRPr="00F316C9">
        <w:t xml:space="preserve"> such as general practitioners, schools, early childhood organisations, Centrelink and housing services.</w:t>
      </w:r>
      <w:r w:rsidRPr="00F316C9">
        <w:rPr>
          <w:sz w:val="20"/>
          <w:vertAlign w:val="superscript"/>
        </w:rPr>
        <w:endnoteReference w:id="517"/>
      </w:r>
      <w:r w:rsidRPr="00F316C9">
        <w:t xml:space="preserve"> According to </w:t>
      </w:r>
      <w:r>
        <w:t xml:space="preserve">the </w:t>
      </w:r>
      <w:r w:rsidRPr="00F316C9">
        <w:t>Brave Foundation, adopting stigma-free attitudes towards young parents encourage</w:t>
      </w:r>
      <w:r>
        <w:t>s</w:t>
      </w:r>
      <w:r w:rsidRPr="00F316C9">
        <w:t xml:space="preserve"> engagement and retention in accessing early intervention, preventative health and sexual health services.</w:t>
      </w:r>
      <w:r w:rsidRPr="00F316C9">
        <w:rPr>
          <w:sz w:val="20"/>
          <w:vertAlign w:val="superscript"/>
        </w:rPr>
        <w:endnoteReference w:id="518"/>
      </w:r>
      <w:r w:rsidRPr="00F316C9">
        <w:t xml:space="preserve"> </w:t>
      </w:r>
    </w:p>
    <w:tbl>
      <w:tblPr>
        <w:tblStyle w:val="Grigliatabella"/>
        <w:tblW w:w="0" w:type="auto"/>
        <w:tblCellMar>
          <w:left w:w="284" w:type="dxa"/>
          <w:bottom w:w="284" w:type="dxa"/>
          <w:right w:w="284" w:type="dxa"/>
        </w:tblCellMar>
        <w:tblLook w:val="04A0" w:firstRow="1" w:lastRow="0" w:firstColumn="1" w:lastColumn="0" w:noHBand="0" w:noVBand="1"/>
      </w:tblPr>
      <w:tblGrid>
        <w:gridCol w:w="9060"/>
      </w:tblGrid>
      <w:tr w:rsidR="00DC32C7" w:rsidRPr="00F316C9" w:rsidTr="00F164A7">
        <w:tc>
          <w:tcPr>
            <w:tcW w:w="9060" w:type="dxa"/>
          </w:tcPr>
          <w:p w:rsidR="00DC32C7" w:rsidRDefault="00DC32C7" w:rsidP="00F763BE">
            <w:pPr>
              <w:rPr>
                <w:b/>
              </w:rPr>
            </w:pPr>
            <w:r>
              <w:rPr>
                <w:b/>
              </w:rPr>
              <w:t>Box 2:</w:t>
            </w:r>
            <w:r w:rsidRPr="007B25C6">
              <w:rPr>
                <w:b/>
              </w:rPr>
              <w:t xml:space="preserve"> Brave </w:t>
            </w:r>
            <w:r>
              <w:rPr>
                <w:b/>
              </w:rPr>
              <w:t>parenting pathway p</w:t>
            </w:r>
            <w:r w:rsidRPr="007B25C6">
              <w:rPr>
                <w:b/>
              </w:rPr>
              <w:t>lan (Brave Foundation)</w:t>
            </w:r>
            <w:r w:rsidRPr="00EE163E">
              <w:rPr>
                <w:rStyle w:val="Rimandonotadichiusura"/>
              </w:rPr>
              <w:endnoteReference w:id="519"/>
            </w:r>
          </w:p>
          <w:p w:rsidR="00DC32C7" w:rsidRPr="00F316C9" w:rsidRDefault="00DC32C7" w:rsidP="00F763BE">
            <w:r w:rsidRPr="00F316C9">
              <w:t>Brave Foundation equips expecting and parenting teen</w:t>
            </w:r>
            <w:r>
              <w:t>ager</w:t>
            </w:r>
            <w:r w:rsidRPr="00F316C9">
              <w:t xml:space="preserve">s with resources, referral and education opportunities to enable them to develop happy, healthy and skilled families. </w:t>
            </w:r>
          </w:p>
          <w:p w:rsidR="00DC32C7" w:rsidRPr="00F316C9" w:rsidRDefault="00DC32C7" w:rsidP="00F763BE">
            <w:r>
              <w:t>The Brave parenting p</w:t>
            </w:r>
            <w:r w:rsidRPr="00F316C9">
              <w:t>athways program provides a supported and planned pathway to assist expecting and parenting teen</w:t>
            </w:r>
            <w:r>
              <w:t>ager</w:t>
            </w:r>
            <w:r w:rsidRPr="00F316C9">
              <w:t xml:space="preserve">s throughout their pregnancy and during the first two years of their baby’s life. </w:t>
            </w:r>
          </w:p>
          <w:p w:rsidR="00DC32C7" w:rsidRPr="00EF05E9" w:rsidRDefault="00DC32C7" w:rsidP="00F763BE">
            <w:pPr>
              <w:rPr>
                <w:b/>
              </w:rPr>
            </w:pPr>
            <w:r w:rsidRPr="00EF05E9">
              <w:rPr>
                <w:b/>
              </w:rPr>
              <w:t xml:space="preserve">Key features: </w:t>
            </w:r>
          </w:p>
          <w:p w:rsidR="00DC32C7" w:rsidRPr="00EF05E9" w:rsidRDefault="00DC32C7" w:rsidP="00222517">
            <w:pPr>
              <w:numPr>
                <w:ilvl w:val="0"/>
                <w:numId w:val="164"/>
              </w:numPr>
              <w:spacing w:before="0"/>
              <w:rPr>
                <w:b/>
              </w:rPr>
            </w:pPr>
            <w:r>
              <w:rPr>
                <w:b/>
              </w:rPr>
              <w:t>building c</w:t>
            </w:r>
            <w:r w:rsidRPr="00F316C9">
              <w:rPr>
                <w:b/>
              </w:rPr>
              <w:t xml:space="preserve">onnections: </w:t>
            </w:r>
            <w:r w:rsidRPr="00F316C9">
              <w:t xml:space="preserve">Brave has established a directory of over 250 services to support expecting and parenting </w:t>
            </w:r>
            <w:r>
              <w:t xml:space="preserve">teenagers across Australia and has </w:t>
            </w:r>
            <w:r w:rsidRPr="00F316C9">
              <w:t>d</w:t>
            </w:r>
            <w:r>
              <w:t>eveloped partnerships with</w:t>
            </w:r>
            <w:r w:rsidRPr="00F316C9">
              <w:t xml:space="preserve"> relevant organisation</w:t>
            </w:r>
            <w:r>
              <w:t>s to work in conjunction with</w:t>
            </w:r>
            <w:r w:rsidRPr="00F316C9">
              <w:t xml:space="preserve"> this project.</w:t>
            </w:r>
            <w:r w:rsidRPr="00F316C9">
              <w:rPr>
                <w:b/>
              </w:rPr>
              <w:t xml:space="preserve"> </w:t>
            </w:r>
            <w:r w:rsidRPr="00F316C9">
              <w:t>The program connects expecting and parenting teen</w:t>
            </w:r>
            <w:r>
              <w:t>ager</w:t>
            </w:r>
            <w:r w:rsidRPr="00F316C9">
              <w:t xml:space="preserve">s with a range of health, education and community support practitioners and providers such as </w:t>
            </w:r>
            <w:r>
              <w:t>g</w:t>
            </w:r>
            <w:r w:rsidRPr="00F316C9">
              <w:t xml:space="preserve">eneral </w:t>
            </w:r>
            <w:r>
              <w:t>p</w:t>
            </w:r>
            <w:r w:rsidRPr="00F316C9">
              <w:t xml:space="preserve">ractitioners, </w:t>
            </w:r>
            <w:r>
              <w:t>p</w:t>
            </w:r>
            <w:r w:rsidRPr="00F316C9">
              <w:t xml:space="preserve">erinatal </w:t>
            </w:r>
            <w:r>
              <w:t>n</w:t>
            </w:r>
            <w:r w:rsidRPr="00F316C9">
              <w:t xml:space="preserve">urses, </w:t>
            </w:r>
            <w:r>
              <w:t>m</w:t>
            </w:r>
            <w:r w:rsidRPr="00F316C9">
              <w:t xml:space="preserve">aternal and </w:t>
            </w:r>
            <w:r>
              <w:t>c</w:t>
            </w:r>
            <w:r w:rsidRPr="00F316C9">
              <w:t xml:space="preserve">hild </w:t>
            </w:r>
            <w:r>
              <w:t>h</w:t>
            </w:r>
            <w:r w:rsidRPr="00F316C9">
              <w:t xml:space="preserve">ealth </w:t>
            </w:r>
            <w:r>
              <w:t>n</w:t>
            </w:r>
            <w:r w:rsidRPr="00F316C9">
              <w:t xml:space="preserve">urses, </w:t>
            </w:r>
            <w:r>
              <w:t>e</w:t>
            </w:r>
            <w:r w:rsidRPr="00F316C9">
              <w:t xml:space="preserve">ducation </w:t>
            </w:r>
            <w:r>
              <w:t>p</w:t>
            </w:r>
            <w:r w:rsidRPr="00F316C9">
              <w:t>roviders and community support hubs and representatives</w:t>
            </w:r>
          </w:p>
          <w:p w:rsidR="00DC32C7" w:rsidRPr="00F316C9" w:rsidRDefault="00DC32C7" w:rsidP="00222517">
            <w:pPr>
              <w:numPr>
                <w:ilvl w:val="0"/>
                <w:numId w:val="164"/>
              </w:numPr>
              <w:spacing w:before="0"/>
            </w:pPr>
            <w:r>
              <w:rPr>
                <w:b/>
              </w:rPr>
              <w:t>personalised s</w:t>
            </w:r>
            <w:r w:rsidRPr="00F316C9">
              <w:rPr>
                <w:b/>
              </w:rPr>
              <w:t>upport:</w:t>
            </w:r>
            <w:r w:rsidRPr="00F316C9">
              <w:t xml:space="preserve"> Throughout the young parent’s journey as an expecting and parenting teen</w:t>
            </w:r>
            <w:r>
              <w:t>ager, a nominated Brave community c</w:t>
            </w:r>
            <w:r w:rsidRPr="00F316C9">
              <w:t>hampio</w:t>
            </w:r>
            <w:r>
              <w:t xml:space="preserve">n or Brave hub program manager </w:t>
            </w:r>
            <w:r w:rsidRPr="00F316C9">
              <w:t xml:space="preserve">checks in with the young parent at key pregnancy and post-natal milestones. </w:t>
            </w:r>
            <w:r>
              <w:t>They also</w:t>
            </w:r>
            <w:r w:rsidRPr="00F316C9">
              <w:t xml:space="preserve"> ensure that appointments are attended</w:t>
            </w:r>
            <w:r>
              <w:t xml:space="preserve">, provide </w:t>
            </w:r>
            <w:r w:rsidRPr="00F316C9">
              <w:t xml:space="preserve">support </w:t>
            </w:r>
            <w:r>
              <w:t xml:space="preserve">and facilitate </w:t>
            </w:r>
            <w:r w:rsidRPr="00F316C9">
              <w:t>understand</w:t>
            </w:r>
            <w:r>
              <w:t>ing of</w:t>
            </w:r>
            <w:r w:rsidRPr="00F316C9">
              <w:t xml:space="preserve"> what is </w:t>
            </w:r>
            <w:r>
              <w:t>i</w:t>
            </w:r>
            <w:r w:rsidRPr="00F316C9">
              <w:t>nvolved at</w:t>
            </w:r>
            <w:r w:rsidR="00EF05E9">
              <w:t xml:space="preserve"> each appointment or milestone.</w:t>
            </w:r>
          </w:p>
          <w:p w:rsidR="00DC32C7" w:rsidRPr="00F316C9" w:rsidRDefault="00DC32C7" w:rsidP="00112E1F">
            <w:pPr>
              <w:numPr>
                <w:ilvl w:val="0"/>
                <w:numId w:val="164"/>
              </w:numPr>
              <w:spacing w:before="0" w:after="0"/>
              <w:ind w:left="714" w:hanging="357"/>
            </w:pPr>
            <w:r>
              <w:rPr>
                <w:b/>
              </w:rPr>
              <w:t>continuing e</w:t>
            </w:r>
            <w:r w:rsidRPr="00F316C9">
              <w:rPr>
                <w:b/>
              </w:rPr>
              <w:t>ducation:</w:t>
            </w:r>
            <w:r w:rsidRPr="00F316C9">
              <w:t xml:space="preserve"> Brave supports young parents to continue their education and connects young parents with alternative education options such as T</w:t>
            </w:r>
            <w:r>
              <w:t xml:space="preserve">echnical and </w:t>
            </w:r>
            <w:r w:rsidRPr="00F316C9">
              <w:t>F</w:t>
            </w:r>
            <w:r>
              <w:t xml:space="preserve">urther </w:t>
            </w:r>
            <w:r w:rsidRPr="00F316C9">
              <w:t>E</w:t>
            </w:r>
            <w:r>
              <w:t>ducation (TAFE)</w:t>
            </w:r>
            <w:r w:rsidRPr="00F316C9">
              <w:t xml:space="preserve">, adult education programs, young mum specific education and distance education with socialisation. Young mothers are also supported to continue education at their </w:t>
            </w:r>
            <w:r w:rsidR="00EF05E9">
              <w:t>existing provider, if possible.</w:t>
            </w:r>
          </w:p>
          <w:p w:rsidR="00DC32C7" w:rsidRPr="00F316C9" w:rsidRDefault="00DC32C7" w:rsidP="00112E1F">
            <w:pPr>
              <w:numPr>
                <w:ilvl w:val="0"/>
                <w:numId w:val="164"/>
              </w:numPr>
              <w:spacing w:after="0"/>
              <w:ind w:left="714" w:hanging="357"/>
            </w:pPr>
            <w:r>
              <w:rPr>
                <w:b/>
              </w:rPr>
              <w:t>Brave village h</w:t>
            </w:r>
            <w:r w:rsidRPr="00F316C9">
              <w:rPr>
                <w:b/>
              </w:rPr>
              <w:t>ub:</w:t>
            </w:r>
            <w:r>
              <w:t xml:space="preserve"> The Brave village h</w:t>
            </w:r>
            <w:r w:rsidRPr="00F316C9">
              <w:t>ub is a central point of activity and communication in communities to ensure that young parents have a constant point of access and support.</w:t>
            </w:r>
            <w:r>
              <w:t xml:space="preserve"> Hubs can be virtual or pop up — eg</w:t>
            </w:r>
            <w:r w:rsidRPr="00F316C9">
              <w:t xml:space="preserve"> sharing office spaces in relevant organisations</w:t>
            </w:r>
            <w:r>
              <w:t>. Brave village h</w:t>
            </w:r>
            <w:r w:rsidRPr="00F316C9">
              <w:t>ub currently support</w:t>
            </w:r>
            <w:r>
              <w:t>s more than 24,</w:t>
            </w:r>
            <w:r w:rsidRPr="00F316C9">
              <w:t xml:space="preserve">000 teenagers. </w:t>
            </w:r>
          </w:p>
        </w:tc>
      </w:tr>
    </w:tbl>
    <w:p w:rsidR="00DC32C7" w:rsidRDefault="00DC32C7" w:rsidP="00DC32C7">
      <w:pPr>
        <w:pStyle w:val="Titolo3"/>
      </w:pPr>
      <w:bookmarkStart w:id="109" w:name="_Toc500308801"/>
      <w:r>
        <w:t>Child protection and family and domestic violence</w:t>
      </w:r>
      <w:bookmarkEnd w:id="109"/>
    </w:p>
    <w:p w:rsidR="00DC32C7" w:rsidRDefault="00DC32C7" w:rsidP="00DC32C7">
      <w:r w:rsidRPr="00F316C9">
        <w:t>A number of submissions and discussions at roundtables reported that many young parents fear child protection authorities</w:t>
      </w:r>
      <w:r>
        <w:t>.</w:t>
      </w:r>
      <w:r w:rsidRPr="00F316C9">
        <w:t xml:space="preserve"> </w:t>
      </w:r>
      <w:r>
        <w:t>Because of this fear, they</w:t>
      </w:r>
      <w:r w:rsidRPr="00F316C9">
        <w:t xml:space="preserve"> do not access services or seek support </w:t>
      </w:r>
      <w:r>
        <w:t>as they worry</w:t>
      </w:r>
      <w:r w:rsidRPr="00F316C9">
        <w:t xml:space="preserve"> that child protection authorities </w:t>
      </w:r>
      <w:r>
        <w:t>may</w:t>
      </w:r>
      <w:r w:rsidRPr="00F316C9">
        <w:t xml:space="preserve"> become involved and their children </w:t>
      </w:r>
      <w:r>
        <w:t xml:space="preserve">might be </w:t>
      </w:r>
      <w:r w:rsidRPr="00F316C9">
        <w:t>removed.</w:t>
      </w:r>
      <w:r w:rsidRPr="00F316C9">
        <w:rPr>
          <w:sz w:val="20"/>
          <w:vertAlign w:val="superscript"/>
        </w:rPr>
        <w:endnoteReference w:id="520"/>
      </w:r>
      <w:r w:rsidRPr="00F316C9">
        <w:t xml:space="preserve"> </w:t>
      </w:r>
    </w:p>
    <w:p w:rsidR="00DC32C7" w:rsidRPr="00F316C9" w:rsidRDefault="00DC32C7" w:rsidP="00DC32C7">
      <w:r>
        <w:t>By</w:t>
      </w:r>
      <w:r w:rsidRPr="00F316C9">
        <w:t xml:space="preserve"> disengaging from services, </w:t>
      </w:r>
      <w:r>
        <w:t>problems faced by young parents may escalate</w:t>
      </w:r>
      <w:r w:rsidRPr="00F316C9">
        <w:t>, which could</w:t>
      </w:r>
      <w:r>
        <w:t xml:space="preserve"> ironically result in</w:t>
      </w:r>
      <w:r w:rsidRPr="00F316C9">
        <w:t xml:space="preserve"> child protection involvement.</w:t>
      </w:r>
      <w:r w:rsidRPr="00F316C9">
        <w:rPr>
          <w:sz w:val="20"/>
          <w:vertAlign w:val="superscript"/>
        </w:rPr>
        <w:endnoteReference w:id="521"/>
      </w:r>
      <w:r w:rsidRPr="00F316C9">
        <w:t xml:space="preserve"> This self-perpetuating cycle of fear is</w:t>
      </w:r>
      <w:r>
        <w:t xml:space="preserve"> repeatedly more</w:t>
      </w:r>
      <w:r w:rsidRPr="00F316C9">
        <w:t xml:space="preserve"> frequent among young parents from disadvantaged communities.</w:t>
      </w:r>
      <w:r w:rsidRPr="00F316C9">
        <w:rPr>
          <w:sz w:val="20"/>
          <w:vertAlign w:val="superscript"/>
        </w:rPr>
        <w:endnoteReference w:id="522"/>
      </w:r>
      <w:r w:rsidRPr="00F316C9">
        <w:t xml:space="preserve"> </w:t>
      </w:r>
    </w:p>
    <w:p w:rsidR="00DC32C7" w:rsidRPr="00F548DA" w:rsidRDefault="00DC32C7" w:rsidP="00B55241">
      <w:r w:rsidRPr="00F548DA">
        <w:t>According to academics Mendes and Purtell, ‘there is speculation and anecdotal evidence that young care leaver parents experience child protection involvement with their own children at higher rates compared with others in the general population</w:t>
      </w:r>
      <w:r>
        <w:t>’</w:t>
      </w:r>
      <w:r w:rsidRPr="00F548DA">
        <w:t>.</w:t>
      </w:r>
      <w:r w:rsidRPr="00B55241">
        <w:rPr>
          <w:rStyle w:val="Rimandonotadichiusura"/>
        </w:rPr>
        <w:endnoteReference w:id="523"/>
      </w:r>
    </w:p>
    <w:p w:rsidR="00DC32C7" w:rsidRPr="00F316C9" w:rsidRDefault="00DC32C7" w:rsidP="00DC32C7">
      <w:r>
        <w:t xml:space="preserve">Mendes and Purtell further </w:t>
      </w:r>
      <w:r w:rsidRPr="00F316C9">
        <w:t xml:space="preserve">suggest </w:t>
      </w:r>
      <w:r w:rsidRPr="007F168F">
        <w:t>that child</w:t>
      </w:r>
      <w:r w:rsidRPr="00F316C9">
        <w:t xml:space="preserve"> protection authorities have </w:t>
      </w:r>
      <w:r>
        <w:t>greater</w:t>
      </w:r>
      <w:r w:rsidRPr="00F316C9">
        <w:t xml:space="preserve"> access to care leavers’ health and personal records than those of the general population</w:t>
      </w:r>
      <w:r>
        <w:t>,</w:t>
      </w:r>
      <w:r w:rsidRPr="00F316C9">
        <w:t xml:space="preserve"> enabling this information to be incorporated into an assessment of their parenting skills.</w:t>
      </w:r>
      <w:r w:rsidRPr="00F316C9">
        <w:rPr>
          <w:sz w:val="20"/>
          <w:vertAlign w:val="superscript"/>
        </w:rPr>
        <w:endnoteReference w:id="524"/>
      </w:r>
      <w:r w:rsidRPr="00F316C9">
        <w:t xml:space="preserve"> </w:t>
      </w:r>
      <w:r>
        <w:t xml:space="preserve">However, it </w:t>
      </w:r>
      <w:r w:rsidRPr="00F316C9">
        <w:t xml:space="preserve">is difficult to </w:t>
      </w:r>
      <w:r>
        <w:t xml:space="preserve">gauge the extent to which </w:t>
      </w:r>
      <w:r w:rsidRPr="00F316C9">
        <w:t>yo</w:t>
      </w:r>
      <w:r>
        <w:t xml:space="preserve">ung people who have been in care </w:t>
      </w:r>
      <w:r w:rsidRPr="00F316C9">
        <w:t>experience discrimination as a result of information accessible t</w:t>
      </w:r>
      <w:r>
        <w:t xml:space="preserve">o child protection authorities. </w:t>
      </w:r>
    </w:p>
    <w:p w:rsidR="00DC32C7" w:rsidRPr="00F316C9" w:rsidRDefault="00DC32C7" w:rsidP="00DC32C7">
      <w:r>
        <w:t xml:space="preserve">Participants in roundtables said </w:t>
      </w:r>
      <w:r w:rsidRPr="00F316C9">
        <w:t>that</w:t>
      </w:r>
      <w:r>
        <w:t>,</w:t>
      </w:r>
      <w:r w:rsidRPr="00F316C9">
        <w:t xml:space="preserve"> </w:t>
      </w:r>
      <w:r>
        <w:t>d</w:t>
      </w:r>
      <w:r w:rsidRPr="00F316C9">
        <w:t>espite this</w:t>
      </w:r>
      <w:r>
        <w:t xml:space="preserve"> background</w:t>
      </w:r>
      <w:r w:rsidRPr="00F316C9">
        <w:t>, young mothers with child protection or OOHC experience are often motivated to change their lives and raise their children differently to how they were raised.</w:t>
      </w:r>
      <w:r w:rsidRPr="00F316C9">
        <w:rPr>
          <w:sz w:val="20"/>
          <w:vertAlign w:val="superscript"/>
        </w:rPr>
        <w:endnoteReference w:id="525"/>
      </w:r>
      <w:r w:rsidRPr="00F316C9">
        <w:t xml:space="preserve"> To reduce the risk of child protection intervention and increase engagement with young mothers (with or without an OOHC experience), submissions indicated that parenting programs and programs with embedded health care support and the ability to develop trusting relationships with teen</w:t>
      </w:r>
      <w:r>
        <w:t>age mothers</w:t>
      </w:r>
      <w:r w:rsidRPr="00F316C9">
        <w:t xml:space="preserve"> should be provided to young parents.</w:t>
      </w:r>
      <w:r w:rsidRPr="00F316C9">
        <w:rPr>
          <w:sz w:val="20"/>
          <w:vertAlign w:val="superscript"/>
        </w:rPr>
        <w:endnoteReference w:id="526"/>
      </w:r>
      <w:r w:rsidR="00EF05E9">
        <w:t xml:space="preserve"> </w:t>
      </w:r>
    </w:p>
    <w:p w:rsidR="00DC32C7" w:rsidRDefault="00DC32C7" w:rsidP="00DC32C7">
      <w:r w:rsidRPr="00F316C9">
        <w:t>A history of childhood physical and sexual abuse is considered a key risk factor leading to adolescent pregnancy and young parenthood.</w:t>
      </w:r>
      <w:r w:rsidRPr="00F316C9">
        <w:rPr>
          <w:sz w:val="20"/>
          <w:vertAlign w:val="superscript"/>
        </w:rPr>
        <w:endnoteReference w:id="527"/>
      </w:r>
      <w:r w:rsidRPr="00F316C9">
        <w:t xml:space="preserve"> </w:t>
      </w:r>
      <w:r>
        <w:t xml:space="preserve">One study suggested that </w:t>
      </w:r>
      <w:r w:rsidRPr="00F316C9">
        <w:t>20</w:t>
      </w:r>
      <w:r>
        <w:t>%</w:t>
      </w:r>
      <w:r w:rsidRPr="00F316C9">
        <w:t xml:space="preserve"> of pregnant teenagers had experienced family or partner violence prior to the age of 16.</w:t>
      </w:r>
      <w:r w:rsidRPr="00F316C9">
        <w:rPr>
          <w:sz w:val="20"/>
          <w:vertAlign w:val="superscript"/>
        </w:rPr>
        <w:endnoteReference w:id="528"/>
      </w:r>
      <w:r w:rsidRPr="00F316C9">
        <w:t xml:space="preserve"> Partner violence is considered commonplace for teenagers and for women during young adulthood, with some research indicating that young mothers could be at a higher risk.</w:t>
      </w:r>
      <w:r w:rsidRPr="00F316C9">
        <w:rPr>
          <w:sz w:val="20"/>
          <w:vertAlign w:val="superscript"/>
        </w:rPr>
        <w:endnoteReference w:id="529"/>
      </w:r>
      <w:r w:rsidRPr="00F316C9">
        <w:t xml:space="preserve"> </w:t>
      </w:r>
    </w:p>
    <w:p w:rsidR="00DC32C7" w:rsidRDefault="00DC32C7" w:rsidP="00DC32C7">
      <w:r w:rsidRPr="00F316C9">
        <w:t>While such abuse has a clear effect on maternal wellbeing, child exposure to</w:t>
      </w:r>
      <w:r>
        <w:t xml:space="preserve"> family and partner violence may</w:t>
      </w:r>
      <w:r w:rsidRPr="00F316C9">
        <w:t xml:space="preserve"> have significant social, psychological and physical effects on child development.</w:t>
      </w:r>
      <w:r w:rsidRPr="00F316C9">
        <w:rPr>
          <w:sz w:val="20"/>
          <w:vertAlign w:val="superscript"/>
        </w:rPr>
        <w:endnoteReference w:id="530"/>
      </w:r>
      <w:r w:rsidRPr="00F316C9">
        <w:t xml:space="preserve"> </w:t>
      </w:r>
      <w:r>
        <w:t>W</w:t>
      </w:r>
      <w:r w:rsidRPr="00F316C9">
        <w:t xml:space="preserve">omen who were abused as children may be at more risk of maltreating their </w:t>
      </w:r>
      <w:r>
        <w:t xml:space="preserve">own </w:t>
      </w:r>
      <w:r w:rsidRPr="00F316C9">
        <w:t>children and more susceptible to becoming victims of intimate partner violence.</w:t>
      </w:r>
      <w:r w:rsidRPr="00F316C9">
        <w:rPr>
          <w:sz w:val="20"/>
          <w:vertAlign w:val="superscript"/>
        </w:rPr>
        <w:endnoteReference w:id="531"/>
      </w:r>
      <w:r w:rsidRPr="00F316C9">
        <w:t xml:space="preserve"> </w:t>
      </w:r>
    </w:p>
    <w:p w:rsidR="00DC32C7" w:rsidRDefault="00DC32C7" w:rsidP="00DC32C7">
      <w:r w:rsidRPr="00F316C9">
        <w:t>Skinner et al suggest that there is a need for further research in order to develop appropriate interventions to address parenting skills, substance abuse and the ‘potential for partner violence and child maltreatment in young families’.</w:t>
      </w:r>
      <w:r w:rsidRPr="00F316C9">
        <w:rPr>
          <w:sz w:val="20"/>
          <w:vertAlign w:val="superscript"/>
        </w:rPr>
        <w:endnoteReference w:id="532"/>
      </w:r>
    </w:p>
    <w:p w:rsidR="00DC32C7" w:rsidRPr="00F316C9" w:rsidRDefault="00DC32C7" w:rsidP="00DC32C7">
      <w:r>
        <w:t>Y</w:t>
      </w:r>
      <w:r w:rsidRPr="00F316C9">
        <w:t>oung mothers with a history</w:t>
      </w:r>
      <w:r>
        <w:t xml:space="preserve"> of</w:t>
      </w:r>
      <w:r w:rsidRPr="00F316C9">
        <w:t xml:space="preserve"> childhood abuse or trauma can develop distrust </w:t>
      </w:r>
      <w:r>
        <w:t xml:space="preserve">of </w:t>
      </w:r>
      <w:r w:rsidRPr="00F316C9">
        <w:t>services</w:t>
      </w:r>
      <w:r>
        <w:t>,</w:t>
      </w:r>
      <w:r w:rsidRPr="00F316C9">
        <w:t xml:space="preserve"> resulting in a reluctance to leave their children with strangers.</w:t>
      </w:r>
      <w:r w:rsidRPr="00F316C9">
        <w:rPr>
          <w:sz w:val="20"/>
          <w:vertAlign w:val="superscript"/>
        </w:rPr>
        <w:endnoteReference w:id="533"/>
      </w:r>
      <w:r>
        <w:t xml:space="preserve"> This can</w:t>
      </w:r>
      <w:r w:rsidRPr="00F316C9">
        <w:t xml:space="preserve"> be exacerbated by mental health issues that may have been brought on or amplif</w:t>
      </w:r>
      <w:r>
        <w:t xml:space="preserve">ied by the birth of their child and can also lead to </w:t>
      </w:r>
      <w:r w:rsidRPr="00F316C9">
        <w:t xml:space="preserve">greater social isolation and </w:t>
      </w:r>
      <w:r>
        <w:t>increased d</w:t>
      </w:r>
      <w:r w:rsidRPr="00F316C9">
        <w:t>epression, anxiety and low self-esteem.</w:t>
      </w:r>
      <w:r w:rsidRPr="00F316C9">
        <w:rPr>
          <w:sz w:val="20"/>
          <w:vertAlign w:val="superscript"/>
        </w:rPr>
        <w:endnoteReference w:id="534"/>
      </w:r>
      <w:r w:rsidRPr="00F316C9">
        <w:t xml:space="preserve"> </w:t>
      </w:r>
    </w:p>
    <w:p w:rsidR="00DC32C7" w:rsidRDefault="00DC32C7" w:rsidP="00DC32C7">
      <w:r w:rsidRPr="00F316C9">
        <w:t>Multicultural Youth</w:t>
      </w:r>
      <w:r>
        <w:t xml:space="preserve"> South Australia (MYSA) described </w:t>
      </w:r>
      <w:r w:rsidRPr="00F316C9">
        <w:t xml:space="preserve">the </w:t>
      </w:r>
      <w:r>
        <w:t>high</w:t>
      </w:r>
      <w:r w:rsidRPr="00F316C9">
        <w:t xml:space="preserve"> rates of adolescent pregnancy in </w:t>
      </w:r>
      <w:r w:rsidRPr="004E4884">
        <w:t>young parents from refugee backgrounds</w:t>
      </w:r>
      <w:r w:rsidRPr="0072551E">
        <w:t>.</w:t>
      </w:r>
      <w:r w:rsidRPr="00F316C9">
        <w:rPr>
          <w:sz w:val="20"/>
          <w:vertAlign w:val="superscript"/>
        </w:rPr>
        <w:endnoteReference w:id="535"/>
      </w:r>
      <w:r w:rsidRPr="00F316C9">
        <w:t xml:space="preserve"> The majority of these pregnancies were recorded as unplanned and as occurring outside of stable relationships.</w:t>
      </w:r>
      <w:r w:rsidRPr="00F316C9">
        <w:rPr>
          <w:sz w:val="20"/>
          <w:vertAlign w:val="superscript"/>
        </w:rPr>
        <w:endnoteReference w:id="536"/>
      </w:r>
      <w:r w:rsidRPr="00F316C9">
        <w:t xml:space="preserve"> </w:t>
      </w:r>
      <w:r>
        <w:t>MYSA suggest</w:t>
      </w:r>
      <w:r w:rsidRPr="00F316C9">
        <w:t xml:space="preserve"> that some of these pregnancies </w:t>
      </w:r>
      <w:r>
        <w:t>occur in the context of</w:t>
      </w:r>
      <w:r w:rsidRPr="00F316C9">
        <w:t xml:space="preserve"> intimate partner violence (IPV).</w:t>
      </w:r>
      <w:r w:rsidRPr="00F316C9">
        <w:rPr>
          <w:sz w:val="20"/>
          <w:vertAlign w:val="superscript"/>
        </w:rPr>
        <w:endnoteReference w:id="537"/>
      </w:r>
      <w:r w:rsidRPr="00F316C9">
        <w:t xml:space="preserve"> </w:t>
      </w:r>
    </w:p>
    <w:p w:rsidR="00DC32C7" w:rsidRDefault="00DC32C7" w:rsidP="00DC32C7">
      <w:r>
        <w:t xml:space="preserve">MYSA </w:t>
      </w:r>
      <w:r w:rsidRPr="00F316C9">
        <w:t>reported that refugee adolescent mothers and girls in contact with their service have increasingly experienced IPV.</w:t>
      </w:r>
      <w:r w:rsidRPr="00F316C9">
        <w:rPr>
          <w:sz w:val="20"/>
          <w:vertAlign w:val="superscript"/>
        </w:rPr>
        <w:endnoteReference w:id="538"/>
      </w:r>
      <w:r w:rsidRPr="00F316C9">
        <w:t xml:space="preserve"> As noted by other submissions and raised at roundtables</w:t>
      </w:r>
      <w:r>
        <w:t>,</w:t>
      </w:r>
      <w:r w:rsidRPr="00F316C9">
        <w:t xml:space="preserve"> refugee teenagers who experience IPV</w:t>
      </w:r>
      <w:r>
        <w:t xml:space="preserve"> </w:t>
      </w:r>
      <w:r w:rsidRPr="00F316C9">
        <w:t>fear they will lose their child to child protection authorities due to the existence of domestic violence within the family.</w:t>
      </w:r>
      <w:r w:rsidRPr="00F316C9">
        <w:rPr>
          <w:sz w:val="20"/>
          <w:vertAlign w:val="superscript"/>
        </w:rPr>
        <w:endnoteReference w:id="539"/>
      </w:r>
      <w:r w:rsidRPr="00F316C9">
        <w:t xml:space="preserve"> For this reason, young mothers </w:t>
      </w:r>
      <w:r>
        <w:t xml:space="preserve">with this background </w:t>
      </w:r>
      <w:r w:rsidRPr="00F316C9">
        <w:t xml:space="preserve">are </w:t>
      </w:r>
      <w:r>
        <w:t xml:space="preserve">often </w:t>
      </w:r>
      <w:r w:rsidRPr="00F316C9">
        <w:t>unwilling to access health care services or seek support.</w:t>
      </w:r>
      <w:r w:rsidRPr="00F316C9">
        <w:rPr>
          <w:sz w:val="20"/>
          <w:vertAlign w:val="superscript"/>
        </w:rPr>
        <w:endnoteReference w:id="540"/>
      </w:r>
      <w:r w:rsidRPr="00F316C9">
        <w:t xml:space="preserve"> </w:t>
      </w:r>
    </w:p>
    <w:p w:rsidR="00DC32C7" w:rsidRDefault="00DC32C7" w:rsidP="00DC32C7">
      <w:r>
        <w:t xml:space="preserve">According to MYSA: </w:t>
      </w:r>
    </w:p>
    <w:p w:rsidR="00DC32C7" w:rsidRPr="00B55241" w:rsidRDefault="00DC32C7" w:rsidP="00DC32C7">
      <w:pPr>
        <w:ind w:left="680" w:right="680"/>
      </w:pPr>
      <w:r w:rsidRPr="00B55241">
        <w:rPr>
          <w:rStyle w:val="CitazioneCarattere"/>
        </w:rPr>
        <w:t>Without exception, every young mother who participated in the research had her children removed for no other reason than remaining in a violent relationship… Most of the young mothers received no support for the abuse and their children were removed without them understanding the process or implications.</w:t>
      </w:r>
      <w:r w:rsidRPr="00B55241">
        <w:rPr>
          <w:rStyle w:val="Rimandonotadichiusura"/>
          <w:sz w:val="22"/>
          <w:szCs w:val="22"/>
        </w:rPr>
        <w:endnoteReference w:id="541"/>
      </w:r>
    </w:p>
    <w:p w:rsidR="00DC32C7" w:rsidRDefault="00DC32C7" w:rsidP="00DC32C7">
      <w:r w:rsidRPr="00F316C9">
        <w:t xml:space="preserve">MYSA recommended that a multi-dimensional approach </w:t>
      </w:r>
      <w:r>
        <w:t>is needed</w:t>
      </w:r>
      <w:r w:rsidRPr="00F316C9">
        <w:t xml:space="preserve"> to provide support for young mothers experiencing </w:t>
      </w:r>
      <w:r>
        <w:t>IPV</w:t>
      </w:r>
      <w:r w:rsidRPr="00F316C9">
        <w:t xml:space="preserve"> or domestic violence.</w:t>
      </w:r>
      <w:r w:rsidRPr="00F316C9">
        <w:rPr>
          <w:sz w:val="20"/>
          <w:vertAlign w:val="superscript"/>
        </w:rPr>
        <w:endnoteReference w:id="542"/>
      </w:r>
      <w:r w:rsidRPr="00F316C9">
        <w:t xml:space="preserve"> </w:t>
      </w:r>
      <w:r>
        <w:t>They</w:t>
      </w:r>
      <w:r w:rsidRPr="00F316C9">
        <w:t xml:space="preserve"> suggested that this approach could include education intervention for minors and young perpetrators with a focus on understanding</w:t>
      </w:r>
      <w:r>
        <w:t xml:space="preserve"> the multifaceted nature of</w:t>
      </w:r>
      <w:r w:rsidRPr="00F316C9">
        <w:t xml:space="preserve"> </w:t>
      </w:r>
      <w:r>
        <w:t>IPV including</w:t>
      </w:r>
      <w:r w:rsidRPr="00F316C9">
        <w:t xml:space="preserve"> its causes and effects, an awareness of Australian laws</w:t>
      </w:r>
      <w:r>
        <w:t xml:space="preserve"> and </w:t>
      </w:r>
      <w:r w:rsidRPr="00F316C9">
        <w:t>safety planning</w:t>
      </w:r>
      <w:r>
        <w:t>.</w:t>
      </w:r>
      <w:r w:rsidRPr="00F316C9">
        <w:t xml:space="preserve"> </w:t>
      </w:r>
    </w:p>
    <w:p w:rsidR="00DC32C7" w:rsidRDefault="00DC32C7" w:rsidP="00DC32C7">
      <w:r>
        <w:t>F</w:t>
      </w:r>
      <w:r w:rsidRPr="00F316C9">
        <w:t>or young perpetrators, anger management support and education on maintaining healthy relationships</w:t>
      </w:r>
      <w:r>
        <w:t xml:space="preserve"> were recommended</w:t>
      </w:r>
      <w:r w:rsidRPr="00F316C9">
        <w:t>.</w:t>
      </w:r>
      <w:r w:rsidRPr="00F316C9">
        <w:rPr>
          <w:sz w:val="20"/>
          <w:vertAlign w:val="superscript"/>
        </w:rPr>
        <w:endnoteReference w:id="543"/>
      </w:r>
      <w:r w:rsidRPr="00F316C9">
        <w:t xml:space="preserve"> In addition, </w:t>
      </w:r>
      <w:r>
        <w:t>MYSA</w:t>
      </w:r>
      <w:r w:rsidRPr="00F316C9">
        <w:t xml:space="preserve"> advocated that community awareness should be raised and mainstream services should be developed to respond directly to the needs of young people.</w:t>
      </w:r>
      <w:r w:rsidRPr="00F316C9">
        <w:rPr>
          <w:sz w:val="20"/>
          <w:vertAlign w:val="superscript"/>
        </w:rPr>
        <w:endnoteReference w:id="544"/>
      </w:r>
      <w:r w:rsidRPr="00F316C9">
        <w:t xml:space="preserve"> </w:t>
      </w:r>
    </w:p>
    <w:p w:rsidR="00DC32C7" w:rsidRDefault="00DC32C7" w:rsidP="00DC32C7">
      <w:r w:rsidRPr="00F316C9">
        <w:t>Another policy issue raised in MYSA’s submission is that the National Plan to Reduce Violence against</w:t>
      </w:r>
      <w:r>
        <w:t xml:space="preserve"> Women and their Children (2010–</w:t>
      </w:r>
      <w:r w:rsidRPr="00F316C9">
        <w:t xml:space="preserve">2022) does </w:t>
      </w:r>
      <w:r>
        <w:t>not consider minors as clients —</w:t>
      </w:r>
      <w:r w:rsidRPr="00F316C9">
        <w:t xml:space="preserve"> only as children of those mothers experiencing domestic violence.</w:t>
      </w:r>
      <w:r w:rsidRPr="00F316C9">
        <w:rPr>
          <w:sz w:val="20"/>
          <w:vertAlign w:val="superscript"/>
        </w:rPr>
        <w:endnoteReference w:id="545"/>
      </w:r>
      <w:r w:rsidRPr="00F316C9">
        <w:t xml:space="preserve"> </w:t>
      </w:r>
      <w:r>
        <w:t xml:space="preserve">According to MYSA: </w:t>
      </w:r>
    </w:p>
    <w:p w:rsidR="00DC32C7" w:rsidRDefault="00DC32C7" w:rsidP="000E54E6">
      <w:pPr>
        <w:pStyle w:val="Citazione"/>
        <w:rPr>
          <w:vertAlign w:val="superscript"/>
        </w:rPr>
      </w:pPr>
      <w:r w:rsidRPr="000C4B98">
        <w:t>At the program level, IPV support for minors is currently non-existent. They cannot access [domestic violence] DV services established for the general population or multi-cultural communities until they reach 18 years of age. This is despite the fact that the legal age of consent for sexual intercourse is 17 years of age. This service gap places young women and their children at considerable risk as they are unable to access supports.</w:t>
      </w:r>
      <w:r w:rsidRPr="000C4B98">
        <w:rPr>
          <w:vertAlign w:val="superscript"/>
        </w:rPr>
        <w:endnoteReference w:id="546"/>
      </w:r>
    </w:p>
    <w:p w:rsidR="00DC32C7" w:rsidRDefault="00DC32C7" w:rsidP="00DC32C7">
      <w:pPr>
        <w:pStyle w:val="Titolo3"/>
      </w:pPr>
      <w:bookmarkStart w:id="110" w:name="_Toc500308802"/>
      <w:r>
        <w:t>Access to early childhood education and care services</w:t>
      </w:r>
      <w:bookmarkEnd w:id="110"/>
    </w:p>
    <w:p w:rsidR="00DC32C7" w:rsidRPr="00ED66AD" w:rsidRDefault="00DC32C7" w:rsidP="000E54E6">
      <w:pPr>
        <w:pStyle w:val="Citazione"/>
      </w:pPr>
      <w:r w:rsidRPr="00A24FDC">
        <w:t>Neither education nor employment is a possibility for most young parents without access to quality affordable child</w:t>
      </w:r>
      <w:r>
        <w:t xml:space="preserve"> </w:t>
      </w:r>
      <w:r w:rsidRPr="00A24FDC">
        <w:t>care</w:t>
      </w:r>
      <w:r w:rsidRPr="00ED66AD">
        <w:t>.</w:t>
      </w:r>
      <w:r w:rsidRPr="00ED66AD">
        <w:rPr>
          <w:rStyle w:val="Rimandonotadichiusura"/>
          <w:sz w:val="22"/>
          <w:szCs w:val="22"/>
        </w:rPr>
        <w:endnoteReference w:id="547"/>
      </w:r>
    </w:p>
    <w:p w:rsidR="00DC32C7" w:rsidRDefault="00DC32C7" w:rsidP="00DC32C7">
      <w:r>
        <w:t>In submissions to my project, the</w:t>
      </w:r>
      <w:r w:rsidRPr="00F316C9">
        <w:t xml:space="preserve"> inability to access affordable ‘quality’ </w:t>
      </w:r>
      <w:r>
        <w:t xml:space="preserve">early childhood education and care is cited as the most significant </w:t>
      </w:r>
      <w:r w:rsidRPr="00F316C9">
        <w:t xml:space="preserve">deterrent for young </w:t>
      </w:r>
      <w:r>
        <w:t>mothers</w:t>
      </w:r>
      <w:r w:rsidRPr="00F316C9">
        <w:t xml:space="preserve"> returning to education.</w:t>
      </w:r>
      <w:r w:rsidRPr="00F316C9">
        <w:rPr>
          <w:sz w:val="20"/>
          <w:vertAlign w:val="superscript"/>
        </w:rPr>
        <w:endnoteReference w:id="548"/>
      </w:r>
      <w:r>
        <w:t xml:space="preserve"> For example, </w:t>
      </w:r>
      <w:r w:rsidRPr="00F316C9">
        <w:t xml:space="preserve">Uniting Communities note that limited access to </w:t>
      </w:r>
      <w:r>
        <w:t>these services</w:t>
      </w:r>
      <w:r w:rsidRPr="00F316C9">
        <w:t xml:space="preserve"> due to financial and other vulnerabilities impact on young mothers’ ability to engage in education, training and employment opportunities.</w:t>
      </w:r>
      <w:r w:rsidRPr="00F316C9">
        <w:rPr>
          <w:sz w:val="20"/>
          <w:vertAlign w:val="superscript"/>
        </w:rPr>
        <w:endnoteReference w:id="549"/>
      </w:r>
      <w:r w:rsidRPr="00F316C9">
        <w:t xml:space="preserve"> </w:t>
      </w:r>
    </w:p>
    <w:p w:rsidR="00DC32C7" w:rsidRPr="00002F9C" w:rsidRDefault="00DC32C7" w:rsidP="00DC32C7">
      <w:r w:rsidRPr="00F316C9">
        <w:t>The Association for Women Educators also notes that ‘by the time they have completed schooling, their [young parents’] childcare allocation is used up’.</w:t>
      </w:r>
      <w:r w:rsidRPr="00F316C9">
        <w:rPr>
          <w:sz w:val="20"/>
          <w:vertAlign w:val="superscript"/>
        </w:rPr>
        <w:endnoteReference w:id="550"/>
      </w:r>
      <w:r w:rsidRPr="00F316C9">
        <w:t xml:space="preserve"> Similarly, participants in the roundtable discussions pointed out that challenges arise because young mothers can only get</w:t>
      </w:r>
      <w:r>
        <w:t xml:space="preserve"> early childhood education and care</w:t>
      </w:r>
      <w:r w:rsidRPr="00F316C9">
        <w:t xml:space="preserve"> benefits for two years yet some basic university courses are four years.</w:t>
      </w:r>
      <w:r w:rsidRPr="00F316C9">
        <w:rPr>
          <w:sz w:val="20"/>
          <w:vertAlign w:val="superscript"/>
        </w:rPr>
        <w:endnoteReference w:id="551"/>
      </w:r>
      <w:r w:rsidRPr="00F316C9">
        <w:t xml:space="preserve"> Other </w:t>
      </w:r>
      <w:r>
        <w:t xml:space="preserve">participants </w:t>
      </w:r>
      <w:r w:rsidRPr="00F316C9">
        <w:t xml:space="preserve">mentioned that the high cost of </w:t>
      </w:r>
      <w:r>
        <w:t>early childhood education and care</w:t>
      </w:r>
      <w:r w:rsidRPr="00F316C9">
        <w:t xml:space="preserve"> creates</w:t>
      </w:r>
      <w:r w:rsidRPr="00610B20">
        <w:rPr>
          <w:rStyle w:val="Rimandocommento"/>
        </w:rPr>
        <w:t xml:space="preserve"> </w:t>
      </w:r>
      <w:r w:rsidRPr="001B2F83">
        <w:rPr>
          <w:rStyle w:val="Rimandocommento"/>
          <w:sz w:val="24"/>
          <w:szCs w:val="24"/>
        </w:rPr>
        <w:t xml:space="preserve">a deterrent to remaining </w:t>
      </w:r>
      <w:r w:rsidRPr="001D6C89">
        <w:rPr>
          <w:rStyle w:val="Rimandocommento"/>
          <w:sz w:val="24"/>
          <w:szCs w:val="24"/>
        </w:rPr>
        <w:t>in employment or returning to work.</w:t>
      </w:r>
      <w:r w:rsidRPr="00002F9C">
        <w:t xml:space="preserve"> </w:t>
      </w:r>
    </w:p>
    <w:p w:rsidR="00DC32C7" w:rsidRPr="00A24FDC" w:rsidRDefault="00DC32C7" w:rsidP="000E54E6">
      <w:pPr>
        <w:pStyle w:val="Citazione"/>
      </w:pPr>
      <w:r w:rsidRPr="00A24FDC">
        <w:t>Young parents consistently say they cannot obtain child care relief when they urgently need respite, nor to allow them to take up opportunities for future study and/or employment.</w:t>
      </w:r>
      <w:r w:rsidRPr="000E54E6">
        <w:rPr>
          <w:rStyle w:val="Rimandonotadichiusura"/>
          <w:sz w:val="22"/>
          <w:szCs w:val="22"/>
        </w:rPr>
        <w:endnoteReference w:id="552"/>
      </w:r>
    </w:p>
    <w:p w:rsidR="00DC32C7" w:rsidRPr="00F316C9" w:rsidRDefault="00DC32C7" w:rsidP="00DC32C7">
      <w:r w:rsidRPr="004E4884">
        <w:t>Further, roundtable discussions ind</w:t>
      </w:r>
      <w:r>
        <w:t xml:space="preserve">icated that under the new child </w:t>
      </w:r>
      <w:r w:rsidRPr="004E4884">
        <w:t xml:space="preserve">care policy (to be introduced in 2018), young parents </w:t>
      </w:r>
      <w:r>
        <w:t>are likely to</w:t>
      </w:r>
      <w:r w:rsidRPr="004E4884">
        <w:t xml:space="preserve"> be worse off.</w:t>
      </w:r>
      <w:r w:rsidRPr="004E4884">
        <w:rPr>
          <w:sz w:val="20"/>
          <w:vertAlign w:val="superscript"/>
        </w:rPr>
        <w:endnoteReference w:id="553"/>
      </w:r>
      <w:r w:rsidRPr="004E4884">
        <w:t xml:space="preserve"> This is becaus</w:t>
      </w:r>
      <w:r>
        <w:t>e the hours available to parents to access subsidised early childhood education and care has been reduced from 24 to 12 hours per week. Parents will also be required to undergo more onerous activity tests which may inadvertently hinder vulnerable families from accessing early childhood education and care services, particularly for those parents in insecure or unpredictable work.</w:t>
      </w:r>
      <w:r>
        <w:rPr>
          <w:rStyle w:val="Rimandonotadichiusura"/>
        </w:rPr>
        <w:endnoteReference w:id="554"/>
      </w:r>
    </w:p>
    <w:p w:rsidR="00DC32C7" w:rsidRDefault="00DC32C7" w:rsidP="00DC32C7">
      <w:r w:rsidRPr="00F316C9">
        <w:t xml:space="preserve">Some submissions and roundtable discussions recommended the provision of affordable </w:t>
      </w:r>
      <w:r>
        <w:t xml:space="preserve">early childhood education and care services </w:t>
      </w:r>
      <w:r w:rsidRPr="00F316C9">
        <w:t xml:space="preserve">located on </w:t>
      </w:r>
      <w:r>
        <w:t xml:space="preserve">the </w:t>
      </w:r>
      <w:r w:rsidRPr="00F316C9">
        <w:t xml:space="preserve">site of educational or training institutions so that young mothers can have close contact with </w:t>
      </w:r>
      <w:r>
        <w:t>their child and early childhood education and care</w:t>
      </w:r>
      <w:r w:rsidRPr="00F316C9">
        <w:t xml:space="preserve"> providers.</w:t>
      </w:r>
      <w:r w:rsidRPr="00F316C9">
        <w:rPr>
          <w:sz w:val="20"/>
          <w:vertAlign w:val="superscript"/>
        </w:rPr>
        <w:endnoteReference w:id="555"/>
      </w:r>
      <w:r w:rsidRPr="00F316C9">
        <w:t xml:space="preserve"> Some argued that young parents are an obvious cohort that should have free </w:t>
      </w:r>
      <w:r>
        <w:t>access to early childhood education and care</w:t>
      </w:r>
      <w:r w:rsidRPr="00F316C9">
        <w:t>.</w:t>
      </w:r>
      <w:r w:rsidRPr="00F316C9">
        <w:rPr>
          <w:sz w:val="20"/>
          <w:vertAlign w:val="superscript"/>
        </w:rPr>
        <w:endnoteReference w:id="556"/>
      </w:r>
      <w:r>
        <w:t xml:space="preserve"> </w:t>
      </w:r>
    </w:p>
    <w:p w:rsidR="00DC32C7" w:rsidRDefault="00DC32C7" w:rsidP="00DC32C7">
      <w:r>
        <w:t>Further, participants in</w:t>
      </w:r>
      <w:r w:rsidRPr="00F316C9">
        <w:t xml:space="preserve"> discussions also called for what they referre</w:t>
      </w:r>
      <w:r>
        <w:t>d to as ‘integrated child care’—</w:t>
      </w:r>
      <w:r w:rsidRPr="00F316C9">
        <w:t xml:space="preserve"> a wrap</w:t>
      </w:r>
      <w:r>
        <w:t>-</w:t>
      </w:r>
      <w:r w:rsidRPr="00F316C9">
        <w:t>around model that allows young people to be close to their children</w:t>
      </w:r>
      <w:r>
        <w:t xml:space="preserve"> by</w:t>
      </w:r>
      <w:r w:rsidRPr="00F316C9">
        <w:t xml:space="preserve"> learning, volunteering, working </w:t>
      </w:r>
      <w:r>
        <w:t xml:space="preserve">or engaging in other activities </w:t>
      </w:r>
      <w:r w:rsidRPr="00F316C9">
        <w:t>in the same premises.</w:t>
      </w:r>
      <w:r w:rsidRPr="00F316C9">
        <w:rPr>
          <w:sz w:val="20"/>
          <w:vertAlign w:val="superscript"/>
        </w:rPr>
        <w:endnoteReference w:id="557"/>
      </w:r>
      <w:r>
        <w:t xml:space="preserve"> </w:t>
      </w:r>
      <w:r w:rsidRPr="00F316C9">
        <w:t xml:space="preserve">Some agencies in the roundtable discussions advised me that they provide </w:t>
      </w:r>
      <w:r>
        <w:t>education and care services</w:t>
      </w:r>
      <w:r w:rsidRPr="00F316C9">
        <w:t xml:space="preserve"> to young mothers on</w:t>
      </w:r>
      <w:r>
        <w:t>-</w:t>
      </w:r>
      <w:r w:rsidRPr="00F316C9">
        <w:t>site while they attend the school next door or undertake flexible learning online.</w:t>
      </w:r>
      <w:r w:rsidRPr="00F316C9">
        <w:rPr>
          <w:sz w:val="20"/>
          <w:vertAlign w:val="superscript"/>
        </w:rPr>
        <w:endnoteReference w:id="558"/>
      </w:r>
      <w:r>
        <w:t xml:space="preserve"> </w:t>
      </w:r>
    </w:p>
    <w:p w:rsidR="00DC32C7" w:rsidRPr="00F316C9" w:rsidRDefault="00DC32C7" w:rsidP="00DC32C7">
      <w:r w:rsidRPr="00F316C9">
        <w:t>CCCares</w:t>
      </w:r>
      <w:r>
        <w:t xml:space="preserve"> in Canberra</w:t>
      </w:r>
      <w:r w:rsidRPr="00F316C9">
        <w:t xml:space="preserve"> </w:t>
      </w:r>
      <w:r>
        <w:t>is one example of this model of educational support with built-in early childhood education and care services (s</w:t>
      </w:r>
      <w:r w:rsidRPr="00F316C9">
        <w:t xml:space="preserve">ee </w:t>
      </w:r>
      <w:r>
        <w:t>B</w:t>
      </w:r>
      <w:r w:rsidRPr="00F316C9">
        <w:t xml:space="preserve">ox </w:t>
      </w:r>
      <w:r>
        <w:t>3)</w:t>
      </w:r>
      <w:r w:rsidRPr="00F316C9">
        <w:t>. In the roundtable discussions, Diversitat Youth also advised me of their program allow</w:t>
      </w:r>
      <w:r>
        <w:t>ing</w:t>
      </w:r>
      <w:r w:rsidRPr="00F316C9">
        <w:t xml:space="preserve"> young parents to bring their children </w:t>
      </w:r>
      <w:r>
        <w:t xml:space="preserve">with them </w:t>
      </w:r>
      <w:r w:rsidRPr="00F316C9">
        <w:t>every day a</w:t>
      </w:r>
      <w:r>
        <w:t>s they participate</w:t>
      </w:r>
      <w:r w:rsidRPr="00F316C9">
        <w:t xml:space="preserve"> in </w:t>
      </w:r>
      <w:r>
        <w:t>a</w:t>
      </w:r>
      <w:r w:rsidRPr="00F316C9">
        <w:t xml:space="preserve"> Year 10 equivalent.</w:t>
      </w:r>
      <w:r w:rsidRPr="00F316C9">
        <w:rPr>
          <w:sz w:val="20"/>
          <w:vertAlign w:val="superscript"/>
        </w:rPr>
        <w:endnoteReference w:id="559"/>
      </w:r>
      <w:r w:rsidRPr="00F316C9">
        <w:t xml:space="preserve"> </w:t>
      </w:r>
      <w:r>
        <w:t>F</w:t>
      </w:r>
      <w:r w:rsidRPr="00F316C9">
        <w:t xml:space="preserve">or example, in one subject the young parents set up a play group with children and together they learned how to budget. </w:t>
      </w:r>
      <w:r>
        <w:t>R</w:t>
      </w:r>
      <w:r w:rsidRPr="00F316C9">
        <w:t>oundtable participants a</w:t>
      </w:r>
      <w:r>
        <w:t>greed</w:t>
      </w:r>
      <w:r w:rsidRPr="00F316C9">
        <w:t xml:space="preserve"> that providing </w:t>
      </w:r>
      <w:r>
        <w:t>early childhood education and c</w:t>
      </w:r>
      <w:r w:rsidRPr="00F316C9">
        <w:t>are at study spaces w</w:t>
      </w:r>
      <w:r>
        <w:t>ould</w:t>
      </w:r>
      <w:r w:rsidRPr="00F316C9">
        <w:t xml:space="preserve"> make </w:t>
      </w:r>
      <w:r>
        <w:t>further education</w:t>
      </w:r>
      <w:r w:rsidRPr="00F316C9">
        <w:t xml:space="preserve"> more attractive to young parents.</w:t>
      </w:r>
      <w:r w:rsidRPr="00F316C9">
        <w:rPr>
          <w:sz w:val="20"/>
          <w:vertAlign w:val="superscript"/>
        </w:rPr>
        <w:endnoteReference w:id="560"/>
      </w:r>
    </w:p>
    <w:p w:rsidR="00DC32C7" w:rsidRPr="00072BB1" w:rsidRDefault="00DC32C7" w:rsidP="00DF14C0">
      <w:pPr>
        <w:spacing w:after="400"/>
        <w:rPr>
          <w:b/>
        </w:rPr>
      </w:pPr>
      <w:r>
        <w:t xml:space="preserve">In their submission, </w:t>
      </w:r>
      <w:r w:rsidRPr="00F316C9">
        <w:t xml:space="preserve">Winkworth and McArthur </w:t>
      </w:r>
      <w:r>
        <w:t xml:space="preserve">also </w:t>
      </w:r>
      <w:r w:rsidRPr="00F316C9">
        <w:t>emphasised the need for subsidised and/or affordable</w:t>
      </w:r>
      <w:r>
        <w:t xml:space="preserve"> and </w:t>
      </w:r>
      <w:r w:rsidRPr="00F316C9">
        <w:t>accessible</w:t>
      </w:r>
      <w:r>
        <w:t xml:space="preserve"> early childhood education and care</w:t>
      </w:r>
      <w:r w:rsidRPr="00F316C9">
        <w:t xml:space="preserve"> services to </w:t>
      </w:r>
      <w:r>
        <w:t xml:space="preserve">facilitate engagement in </w:t>
      </w:r>
      <w:r w:rsidRPr="00F316C9">
        <w:t>e</w:t>
      </w:r>
      <w:r>
        <w:t>ducational or income generating</w:t>
      </w:r>
      <w:r w:rsidRPr="00F316C9">
        <w:t xml:space="preserve"> activities by young parents.</w:t>
      </w:r>
      <w:r w:rsidRPr="00F316C9">
        <w:rPr>
          <w:sz w:val="20"/>
          <w:vertAlign w:val="superscript"/>
        </w:rPr>
        <w:endnoteReference w:id="561"/>
      </w:r>
      <w:r w:rsidRPr="00F316C9">
        <w:t xml:space="preserve"> </w:t>
      </w:r>
      <w:r>
        <w:t>A</w:t>
      </w:r>
      <w:r w:rsidRPr="00F316C9">
        <w:t xml:space="preserve">nother area of need </w:t>
      </w:r>
      <w:r>
        <w:t>discussed by roundtable participants wa</w:t>
      </w:r>
      <w:r w:rsidRPr="00F316C9">
        <w:t xml:space="preserve">s </w:t>
      </w:r>
      <w:r>
        <w:t>early childhood education and care</w:t>
      </w:r>
      <w:r w:rsidRPr="00F316C9">
        <w:t xml:space="preserve"> support on weekends.</w:t>
      </w:r>
      <w:r w:rsidRPr="00F316C9">
        <w:rPr>
          <w:sz w:val="20"/>
          <w:vertAlign w:val="superscript"/>
        </w:rPr>
        <w:endnoteReference w:id="562"/>
      </w:r>
      <w:r w:rsidRPr="00F316C9">
        <w:t xml:space="preserve"> </w:t>
      </w:r>
      <w:r>
        <w:t xml:space="preserve">One suggestion was that the inclusion of </w:t>
      </w:r>
      <w:r w:rsidRPr="00F316C9">
        <w:t xml:space="preserve">nanny support in </w:t>
      </w:r>
      <w:r>
        <w:t>early childhood education and care provisions for young mothers would be a helpful option</w:t>
      </w:r>
      <w:r w:rsidRPr="00F316C9">
        <w:t>.</w:t>
      </w:r>
      <w:r w:rsidRPr="00F316C9">
        <w:rPr>
          <w:sz w:val="20"/>
          <w:vertAlign w:val="superscript"/>
        </w:rPr>
        <w:endnoteReference w:id="563"/>
      </w:r>
      <w:r w:rsidRPr="00F316C9">
        <w:t xml:space="preserve"> Another suggestion was that educational facilities/providers should consult with teen parents to find out what works for them.</w:t>
      </w:r>
      <w:r w:rsidRPr="00F316C9">
        <w:rPr>
          <w:sz w:val="20"/>
          <w:vertAlign w:val="superscript"/>
        </w:rPr>
        <w:endnoteReference w:id="564"/>
      </w:r>
      <w:r w:rsidRPr="00F316C9">
        <w:t xml:space="preserve"> </w:t>
      </w:r>
    </w:p>
    <w:tbl>
      <w:tblPr>
        <w:tblStyle w:val="Grigliatabella"/>
        <w:tblW w:w="0" w:type="auto"/>
        <w:tblCellMar>
          <w:left w:w="284" w:type="dxa"/>
          <w:bottom w:w="284" w:type="dxa"/>
          <w:right w:w="284" w:type="dxa"/>
        </w:tblCellMar>
        <w:tblLook w:val="04A0" w:firstRow="1" w:lastRow="0" w:firstColumn="1" w:lastColumn="0" w:noHBand="0" w:noVBand="1"/>
      </w:tblPr>
      <w:tblGrid>
        <w:gridCol w:w="9060"/>
      </w:tblGrid>
      <w:tr w:rsidR="00DC32C7" w:rsidRPr="00F316C9" w:rsidTr="00B55241">
        <w:tc>
          <w:tcPr>
            <w:tcW w:w="9060" w:type="dxa"/>
          </w:tcPr>
          <w:p w:rsidR="00DC32C7" w:rsidRDefault="00DC32C7" w:rsidP="00F763BE">
            <w:pPr>
              <w:rPr>
                <w:b/>
              </w:rPr>
            </w:pPr>
            <w:r>
              <w:rPr>
                <w:b/>
              </w:rPr>
              <w:t>Box 3: CCCares @</w:t>
            </w:r>
            <w:r w:rsidRPr="00072BB1">
              <w:rPr>
                <w:b/>
              </w:rPr>
              <w:t xml:space="preserve"> Canberra College Program</w:t>
            </w:r>
            <w:r w:rsidRPr="0094322B">
              <w:rPr>
                <w:rStyle w:val="Rimandonotadichiusura"/>
              </w:rPr>
              <w:endnoteReference w:id="565"/>
            </w:r>
          </w:p>
          <w:p w:rsidR="00DC32C7" w:rsidRPr="00F316C9" w:rsidRDefault="00DC32C7" w:rsidP="00F763BE">
            <w:r w:rsidRPr="00F316C9">
              <w:rPr>
                <w:i/>
              </w:rPr>
              <w:t>CCCares @ Canberra College</w:t>
            </w:r>
            <w:r w:rsidRPr="00F316C9">
              <w:t xml:space="preserve"> is a holistic health, welfare and educational program that supports pregnant and parenting young people. It is an independent program operating within Canberra College, a </w:t>
            </w:r>
            <w:r>
              <w:t>public</w:t>
            </w:r>
            <w:r w:rsidRPr="00F316C9">
              <w:t xml:space="preserve"> school for Year 11 and 12 students.</w:t>
            </w:r>
          </w:p>
          <w:p w:rsidR="00DC32C7" w:rsidRPr="00F316C9" w:rsidRDefault="00DC32C7" w:rsidP="00F763BE">
            <w:r w:rsidRPr="00F316C9">
              <w:rPr>
                <w:i/>
              </w:rPr>
              <w:t>CCCares</w:t>
            </w:r>
            <w:r w:rsidRPr="00F316C9">
              <w:t xml:space="preserve"> provides a flexible learning environment for the delivery of education programs including ACT Year 12 Certificate and certified competency based training. </w:t>
            </w:r>
          </w:p>
          <w:p w:rsidR="00DC32C7" w:rsidRPr="00F316C9" w:rsidRDefault="00DC32C7" w:rsidP="00F763BE">
            <w:r w:rsidRPr="00F316C9">
              <w:t xml:space="preserve">The </w:t>
            </w:r>
            <w:r w:rsidRPr="00F316C9">
              <w:rPr>
                <w:i/>
              </w:rPr>
              <w:t>CCCares</w:t>
            </w:r>
            <w:r w:rsidRPr="00F316C9">
              <w:t xml:space="preserve"> program is specifically tailored for pregnant and parenting students from the ACT and surrounding regions aged from the early teens to late twenties.  The program is supported by the ACT </w:t>
            </w:r>
            <w:r>
              <w:t>G</w:t>
            </w:r>
            <w:r w:rsidR="0094322B">
              <w:t xml:space="preserve">overnment. </w:t>
            </w:r>
          </w:p>
          <w:p w:rsidR="00DC32C7" w:rsidRPr="00F316C9" w:rsidRDefault="00DC32C7" w:rsidP="00F763BE">
            <w:pPr>
              <w:rPr>
                <w:b/>
              </w:rPr>
            </w:pPr>
            <w:r w:rsidRPr="00F316C9">
              <w:rPr>
                <w:b/>
              </w:rPr>
              <w:t xml:space="preserve">Key features: </w:t>
            </w:r>
          </w:p>
          <w:p w:rsidR="00DC32C7" w:rsidRPr="00F316C9" w:rsidRDefault="00DC32C7" w:rsidP="00222517">
            <w:pPr>
              <w:numPr>
                <w:ilvl w:val="0"/>
                <w:numId w:val="165"/>
              </w:numPr>
              <w:spacing w:before="0" w:after="200"/>
              <w:ind w:left="714" w:hanging="357"/>
            </w:pPr>
            <w:r>
              <w:rPr>
                <w:b/>
              </w:rPr>
              <w:t>Early Childhood Education and Care:</w:t>
            </w:r>
            <w:r>
              <w:t xml:space="preserve"> b</w:t>
            </w:r>
            <w:r w:rsidRPr="00F316C9">
              <w:t xml:space="preserve">abies and children are welcome in the CCCares environment and young parents are provided with on-site </w:t>
            </w:r>
            <w:r>
              <w:t>education and care</w:t>
            </w:r>
            <w:r w:rsidRPr="00F316C9">
              <w:t xml:space="preserve"> for this purpose. </w:t>
            </w:r>
          </w:p>
          <w:p w:rsidR="00DC32C7" w:rsidRPr="00F316C9" w:rsidRDefault="00DC32C7" w:rsidP="00222517">
            <w:pPr>
              <w:numPr>
                <w:ilvl w:val="0"/>
                <w:numId w:val="165"/>
              </w:numPr>
              <w:spacing w:before="0" w:after="200"/>
              <w:ind w:left="714" w:hanging="357"/>
            </w:pPr>
            <w:r w:rsidRPr="00F316C9">
              <w:rPr>
                <w:b/>
              </w:rPr>
              <w:t>Community and Health Partnerships</w:t>
            </w:r>
            <w:r>
              <w:rPr>
                <w:b/>
              </w:rPr>
              <w:t>:</w:t>
            </w:r>
            <w:r w:rsidRPr="00F316C9">
              <w:t xml:space="preserve"> The program has a holistic health service provision partnership with ACT Health and has relationships with external agencies to provide young people with advocacy and support. </w:t>
            </w:r>
          </w:p>
          <w:p w:rsidR="00DC32C7" w:rsidRPr="00F316C9" w:rsidRDefault="00DC32C7" w:rsidP="00222517">
            <w:pPr>
              <w:numPr>
                <w:ilvl w:val="0"/>
                <w:numId w:val="165"/>
              </w:numPr>
              <w:spacing w:before="0" w:after="200"/>
              <w:ind w:left="714" w:hanging="357"/>
            </w:pPr>
            <w:r w:rsidRPr="00F316C9">
              <w:rPr>
                <w:b/>
              </w:rPr>
              <w:t>Transportation Support:</w:t>
            </w:r>
            <w:r w:rsidRPr="00F316C9">
              <w:t xml:space="preserve"> CCCares offers transportation to students and their children from home to school and return every school day. </w:t>
            </w:r>
          </w:p>
          <w:p w:rsidR="00DC32C7" w:rsidRPr="00F316C9" w:rsidRDefault="00DC32C7" w:rsidP="00222517">
            <w:pPr>
              <w:numPr>
                <w:ilvl w:val="0"/>
                <w:numId w:val="165"/>
              </w:numPr>
              <w:spacing w:before="0" w:after="200"/>
              <w:ind w:left="714" w:hanging="357"/>
            </w:pPr>
            <w:r w:rsidRPr="00F316C9">
              <w:rPr>
                <w:b/>
              </w:rPr>
              <w:t>Training Opportunities:</w:t>
            </w:r>
            <w:r w:rsidRPr="00F316C9">
              <w:t xml:space="preserve"> The</w:t>
            </w:r>
            <w:r>
              <w:t xml:space="preserve"> program has partnerships with external registered training organisations, employment a</w:t>
            </w:r>
            <w:r w:rsidRPr="00F316C9">
              <w:t>gencies and various other government and non-government agencies in order to assist students to plan training pathways and career development opportunities. The combination of learning and training enables students to learn and be assessed at their own pace.</w:t>
            </w:r>
            <w:r w:rsidR="0094322B">
              <w:t xml:space="preserve"> </w:t>
            </w:r>
          </w:p>
          <w:p w:rsidR="00DC32C7" w:rsidRPr="00F316C9" w:rsidRDefault="00DC32C7" w:rsidP="00222517">
            <w:pPr>
              <w:numPr>
                <w:ilvl w:val="0"/>
                <w:numId w:val="165"/>
              </w:numPr>
              <w:spacing w:before="0" w:after="200"/>
              <w:ind w:left="714" w:hanging="357"/>
            </w:pPr>
            <w:r w:rsidRPr="00F316C9">
              <w:rPr>
                <w:b/>
              </w:rPr>
              <w:t>Access:</w:t>
            </w:r>
            <w:r w:rsidRPr="00F316C9">
              <w:t xml:space="preserve"> CCCares provides students with industry</w:t>
            </w:r>
            <w:r>
              <w:t xml:space="preserve"> </w:t>
            </w:r>
            <w:r w:rsidRPr="00F316C9">
              <w:t xml:space="preserve">specific courses during the day and on the site of CCCares. </w:t>
            </w:r>
          </w:p>
          <w:p w:rsidR="00DC32C7" w:rsidRPr="00F316C9" w:rsidRDefault="00DC32C7" w:rsidP="00222517">
            <w:pPr>
              <w:numPr>
                <w:ilvl w:val="0"/>
                <w:numId w:val="165"/>
              </w:numPr>
              <w:spacing w:before="0" w:after="200"/>
              <w:ind w:left="714" w:hanging="357"/>
            </w:pPr>
            <w:r w:rsidRPr="00F316C9">
              <w:rPr>
                <w:b/>
              </w:rPr>
              <w:t>Costs:</w:t>
            </w:r>
            <w:r w:rsidRPr="00F316C9">
              <w:t xml:space="preserve"> CCCares covers all course costs. </w:t>
            </w:r>
          </w:p>
        </w:tc>
      </w:tr>
    </w:tbl>
    <w:p w:rsidR="00F13BA8" w:rsidRDefault="00F13BA8" w:rsidP="00F13BA8">
      <w:pPr>
        <w:pStyle w:val="Titolo3"/>
      </w:pPr>
      <w:bookmarkStart w:id="111" w:name="_Toc500308803"/>
      <w:r>
        <w:t>Health, sexual health and contraception education</w:t>
      </w:r>
      <w:bookmarkEnd w:id="111"/>
    </w:p>
    <w:p w:rsidR="00F13BA8" w:rsidRPr="00F316C9" w:rsidRDefault="00F13BA8" w:rsidP="00F13BA8">
      <w:r w:rsidRPr="00F316C9">
        <w:t>Programs that provide combined sexual health education and access to contraception are</w:t>
      </w:r>
      <w:r>
        <w:t xml:space="preserve"> generally</w:t>
      </w:r>
      <w:r w:rsidRPr="00F316C9">
        <w:t xml:space="preserve"> considered to be the most effective</w:t>
      </w:r>
      <w:r>
        <w:t xml:space="preserve"> at reducing adolescent pregnancies</w:t>
      </w:r>
      <w:r w:rsidRPr="00F316C9">
        <w:t>.</w:t>
      </w:r>
      <w:r w:rsidRPr="00F316C9">
        <w:rPr>
          <w:sz w:val="20"/>
          <w:vertAlign w:val="superscript"/>
        </w:rPr>
        <w:endnoteReference w:id="566"/>
      </w:r>
      <w:r w:rsidRPr="00F316C9">
        <w:t xml:space="preserve"> </w:t>
      </w:r>
      <w:r>
        <w:t>C</w:t>
      </w:r>
      <w:r w:rsidRPr="00F316C9">
        <w:t>ombining sexual health education and</w:t>
      </w:r>
      <w:r>
        <w:t xml:space="preserve"> access to contraception results in</w:t>
      </w:r>
      <w:r w:rsidRPr="00F316C9">
        <w:t xml:space="preserve"> a reduction in risky sexual behaviours through the use of </w:t>
      </w:r>
      <w:r>
        <w:t xml:space="preserve">effective </w:t>
      </w:r>
      <w:r w:rsidRPr="00F316C9">
        <w:t>contraception and fewer sexual partners.</w:t>
      </w:r>
      <w:r w:rsidRPr="00F316C9">
        <w:rPr>
          <w:sz w:val="20"/>
          <w:vertAlign w:val="superscript"/>
        </w:rPr>
        <w:endnoteReference w:id="567"/>
      </w:r>
      <w:r w:rsidRPr="00F316C9">
        <w:t xml:space="preserve"> </w:t>
      </w:r>
      <w:r>
        <w:t>S</w:t>
      </w:r>
      <w:r w:rsidRPr="00F316C9">
        <w:t>ubmissions also recommended</w:t>
      </w:r>
      <w:r w:rsidR="00002F9C">
        <w:t xml:space="preserve"> that</w:t>
      </w:r>
      <w:r w:rsidRPr="00F316C9">
        <w:t xml:space="preserve"> programs combine relationship and sexual health education and that emphasis should be on teaching young people about personal responsibility and developing self-esteem and self-confidence.</w:t>
      </w:r>
      <w:r w:rsidRPr="00F316C9">
        <w:rPr>
          <w:sz w:val="20"/>
          <w:vertAlign w:val="superscript"/>
        </w:rPr>
        <w:endnoteReference w:id="568"/>
      </w:r>
      <w:r w:rsidRPr="00F316C9">
        <w:t xml:space="preserve"> </w:t>
      </w:r>
      <w:r>
        <w:t>H</w:t>
      </w:r>
      <w:r w:rsidRPr="00F316C9">
        <w:t xml:space="preserve">owever, </w:t>
      </w:r>
      <w:r>
        <w:t>submissions</w:t>
      </w:r>
      <w:r w:rsidRPr="00F316C9">
        <w:t xml:space="preserve"> also recognised that disrupted school attendance f</w:t>
      </w:r>
      <w:r>
        <w:t>or some young people meant that such educational programs were</w:t>
      </w:r>
      <w:r w:rsidRPr="00F316C9">
        <w:t xml:space="preserve"> missed.</w:t>
      </w:r>
      <w:r w:rsidRPr="00F316C9">
        <w:rPr>
          <w:sz w:val="20"/>
          <w:vertAlign w:val="superscript"/>
        </w:rPr>
        <w:endnoteReference w:id="569"/>
      </w:r>
      <w:r w:rsidRPr="00F316C9">
        <w:t xml:space="preserve"> </w:t>
      </w:r>
    </w:p>
    <w:p w:rsidR="00F13BA8" w:rsidRDefault="00F13BA8" w:rsidP="00F13BA8">
      <w:r w:rsidRPr="00F316C9">
        <w:t xml:space="preserve">According to </w:t>
      </w:r>
      <w:r>
        <w:t>y</w:t>
      </w:r>
      <w:r w:rsidRPr="00F316C9">
        <w:t>ourtown, the greatest demand for sexual health and contraception education w</w:t>
      </w:r>
      <w:r>
        <w:t>as</w:t>
      </w:r>
      <w:r w:rsidRPr="00F316C9">
        <w:t xml:space="preserve"> from young people aged 15 to 17.</w:t>
      </w:r>
      <w:r w:rsidRPr="00F316C9">
        <w:rPr>
          <w:sz w:val="20"/>
          <w:vertAlign w:val="superscript"/>
        </w:rPr>
        <w:endnoteReference w:id="570"/>
      </w:r>
      <w:r w:rsidRPr="00F316C9">
        <w:t xml:space="preserve"> </w:t>
      </w:r>
      <w:r>
        <w:t>yourtown</w:t>
      </w:r>
      <w:r w:rsidRPr="00F316C9">
        <w:t xml:space="preserve"> noted that young people want information about safe</w:t>
      </w:r>
      <w:r>
        <w:t xml:space="preserve"> </w:t>
      </w:r>
      <w:r w:rsidRPr="00F316C9">
        <w:t>sex practices, the probability of pregnancy and to understand the biology of reproduction and puberty.</w:t>
      </w:r>
      <w:r w:rsidRPr="00F316C9">
        <w:rPr>
          <w:sz w:val="20"/>
          <w:vertAlign w:val="superscript"/>
        </w:rPr>
        <w:endnoteReference w:id="571"/>
      </w:r>
      <w:r w:rsidRPr="00F316C9">
        <w:t xml:space="preserve"> </w:t>
      </w:r>
    </w:p>
    <w:p w:rsidR="00F13BA8" w:rsidRPr="00F316C9" w:rsidRDefault="00F13BA8" w:rsidP="00F13BA8">
      <w:r w:rsidRPr="00F316C9">
        <w:t>Submissions recommended that sexual health programs should offer information relating to contraception, pap smears, pregnancy testing, antenatal and post</w:t>
      </w:r>
      <w:r>
        <w:t>-</w:t>
      </w:r>
      <w:r w:rsidRPr="00F316C9">
        <w:t>natal care.</w:t>
      </w:r>
      <w:r w:rsidRPr="00F316C9">
        <w:rPr>
          <w:sz w:val="20"/>
          <w:vertAlign w:val="superscript"/>
        </w:rPr>
        <w:endnoteReference w:id="572"/>
      </w:r>
      <w:r w:rsidRPr="00F316C9">
        <w:t xml:space="preserve"> Conflict resolution and negotiating consensual relationships was another educational area of </w:t>
      </w:r>
      <w:r>
        <w:t xml:space="preserve">identified </w:t>
      </w:r>
      <w:r w:rsidRPr="00F316C9">
        <w:t>need</w:t>
      </w:r>
      <w:r>
        <w:t xml:space="preserve">, </w:t>
      </w:r>
      <w:r w:rsidRPr="00F316C9">
        <w:t>stemm</w:t>
      </w:r>
      <w:r>
        <w:t>ing</w:t>
      </w:r>
      <w:r w:rsidRPr="00F316C9">
        <w:t xml:space="preserve"> primarily from young women’s concern about feeling pressured to have sex.</w:t>
      </w:r>
      <w:r w:rsidRPr="00F316C9">
        <w:rPr>
          <w:sz w:val="20"/>
          <w:vertAlign w:val="superscript"/>
        </w:rPr>
        <w:endnoteReference w:id="573"/>
      </w:r>
      <w:r w:rsidRPr="00F316C9">
        <w:t xml:space="preserve"> For young people in OOHC, peer pressure was a significant factor in earlier engagement in sexual activity.</w:t>
      </w:r>
      <w:r w:rsidRPr="00F316C9">
        <w:rPr>
          <w:sz w:val="20"/>
          <w:vertAlign w:val="superscript"/>
        </w:rPr>
        <w:endnoteReference w:id="574"/>
      </w:r>
    </w:p>
    <w:p w:rsidR="00F13BA8" w:rsidRPr="00F316C9" w:rsidRDefault="00F13BA8" w:rsidP="00F13BA8">
      <w:r w:rsidRPr="00F316C9">
        <w:t>Mendes and Purtell</w:t>
      </w:r>
      <w:r>
        <w:t xml:space="preserve"> noted that </w:t>
      </w:r>
      <w:r w:rsidRPr="00F316C9">
        <w:t xml:space="preserve">adolescents in </w:t>
      </w:r>
      <w:r>
        <w:t>OOHC</w:t>
      </w:r>
      <w:r w:rsidRPr="00F316C9">
        <w:t xml:space="preserve"> often miss sexual health and contraception education at school and</w:t>
      </w:r>
      <w:r>
        <w:t xml:space="preserve"> </w:t>
      </w:r>
      <w:r w:rsidRPr="00F316C9">
        <w:t>without a family support system around them</w:t>
      </w:r>
      <w:r>
        <w:t>,</w:t>
      </w:r>
      <w:r w:rsidRPr="00F316C9">
        <w:t xml:space="preserve"> t</w:t>
      </w:r>
      <w:r>
        <w:t xml:space="preserve">hey continue to lack </w:t>
      </w:r>
      <w:r w:rsidRPr="00F316C9">
        <w:t>knowledge</w:t>
      </w:r>
      <w:r>
        <w:t xml:space="preserve"> about these issues</w:t>
      </w:r>
      <w:r w:rsidRPr="00F316C9">
        <w:t>.</w:t>
      </w:r>
      <w:r w:rsidRPr="00F316C9">
        <w:rPr>
          <w:sz w:val="20"/>
          <w:vertAlign w:val="superscript"/>
        </w:rPr>
        <w:endnoteReference w:id="575"/>
      </w:r>
      <w:r w:rsidRPr="00F316C9">
        <w:t xml:space="preserve"> </w:t>
      </w:r>
      <w:r w:rsidR="00C6467C">
        <w:t>Y</w:t>
      </w:r>
      <w:r w:rsidRPr="00F316C9">
        <w:t xml:space="preserve">oung people in </w:t>
      </w:r>
      <w:r>
        <w:t>such care</w:t>
      </w:r>
      <w:r w:rsidRPr="00F316C9">
        <w:t xml:space="preserve"> are vulnerable to sexual exploitation and abuse (from both</w:t>
      </w:r>
      <w:r>
        <w:t xml:space="preserve"> </w:t>
      </w:r>
      <w:r w:rsidRPr="00F316C9">
        <w:t xml:space="preserve">adults </w:t>
      </w:r>
      <w:r>
        <w:t>and</w:t>
      </w:r>
      <w:r w:rsidRPr="00F316C9">
        <w:t xml:space="preserve"> other children) and this vulnerability is exacerbated by </w:t>
      </w:r>
      <w:r>
        <w:t>limited</w:t>
      </w:r>
      <w:r w:rsidRPr="00F316C9">
        <w:t xml:space="preserve"> sexual health knowledge.</w:t>
      </w:r>
      <w:r w:rsidRPr="00F316C9">
        <w:rPr>
          <w:sz w:val="20"/>
          <w:vertAlign w:val="superscript"/>
        </w:rPr>
        <w:endnoteReference w:id="576"/>
      </w:r>
      <w:r w:rsidRPr="00F316C9">
        <w:t xml:space="preserve"> </w:t>
      </w:r>
      <w:r>
        <w:t>Because of these factors</w:t>
      </w:r>
      <w:r w:rsidRPr="00F316C9">
        <w:t>, pregnancy</w:t>
      </w:r>
      <w:r>
        <w:t xml:space="preserve"> </w:t>
      </w:r>
      <w:r w:rsidRPr="00F316C9">
        <w:t xml:space="preserve">prevention and healthy relationships education is </w:t>
      </w:r>
      <w:r>
        <w:t>crucial for</w:t>
      </w:r>
      <w:r w:rsidRPr="00F316C9">
        <w:t xml:space="preserve"> young people in </w:t>
      </w:r>
      <w:r>
        <w:t>OOHC</w:t>
      </w:r>
      <w:r w:rsidRPr="00F316C9">
        <w:t>.</w:t>
      </w:r>
      <w:r w:rsidRPr="00F316C9">
        <w:rPr>
          <w:sz w:val="20"/>
          <w:vertAlign w:val="superscript"/>
        </w:rPr>
        <w:endnoteReference w:id="577"/>
      </w:r>
      <w:r w:rsidRPr="00F316C9">
        <w:t xml:space="preserve"> </w:t>
      </w:r>
    </w:p>
    <w:p w:rsidR="00F13BA8" w:rsidRPr="00F316C9" w:rsidRDefault="00F13BA8" w:rsidP="00F13BA8">
      <w:r>
        <w:t xml:space="preserve">The need for </w:t>
      </w:r>
      <w:r w:rsidRPr="00F316C9">
        <w:t>young people to know more about</w:t>
      </w:r>
      <w:r>
        <w:t>,</w:t>
      </w:r>
      <w:r w:rsidRPr="00F316C9">
        <w:t xml:space="preserve"> and have access to</w:t>
      </w:r>
      <w:r>
        <w:t>,</w:t>
      </w:r>
      <w:r w:rsidRPr="00F316C9">
        <w:t xml:space="preserve"> contraception </w:t>
      </w:r>
      <w:r>
        <w:t>was a consistent theme in roundtable discussions and in submissions</w:t>
      </w:r>
      <w:r w:rsidRPr="00F316C9">
        <w:t>.</w:t>
      </w:r>
      <w:r w:rsidRPr="00F316C9">
        <w:rPr>
          <w:sz w:val="20"/>
          <w:vertAlign w:val="superscript"/>
        </w:rPr>
        <w:endnoteReference w:id="578"/>
      </w:r>
      <w:r w:rsidRPr="00F316C9">
        <w:t xml:space="preserve"> Limited knowledge about contraception was highlighted as a particular issue for Aboriginal and Torres Strait Islander young people.</w:t>
      </w:r>
      <w:r w:rsidRPr="00F316C9">
        <w:rPr>
          <w:sz w:val="20"/>
          <w:vertAlign w:val="superscript"/>
        </w:rPr>
        <w:endnoteReference w:id="579"/>
      </w:r>
      <w:r w:rsidRPr="00F316C9">
        <w:t xml:space="preserve"> </w:t>
      </w:r>
      <w:r>
        <w:t xml:space="preserve">The need for education on pregnancy, including post-natal depression, has also been raised with me by the </w:t>
      </w:r>
      <w:r w:rsidRPr="00F316C9">
        <w:t>Aboriginal and Torres Strait Islander Social Justice Commissioner</w:t>
      </w:r>
      <w:r>
        <w:t>,</w:t>
      </w:r>
      <w:r w:rsidRPr="00F316C9">
        <w:t xml:space="preserve"> June Oscar</w:t>
      </w:r>
      <w:r>
        <w:t xml:space="preserve">. </w:t>
      </w:r>
      <w:r w:rsidRPr="00F316C9">
        <w:t>Commissioner Oscar advised that pregnant teenagers and young mothers need to have a support system around them to teach them about the changes in a woman’s body during pregnancy, and to learn how to adapt and respond to those changes safely.</w:t>
      </w:r>
      <w:r w:rsidRPr="00F316C9">
        <w:rPr>
          <w:sz w:val="20"/>
          <w:vertAlign w:val="superscript"/>
        </w:rPr>
        <w:endnoteReference w:id="580"/>
      </w:r>
      <w:r w:rsidR="0094322B">
        <w:t xml:space="preserve"> </w:t>
      </w:r>
    </w:p>
    <w:p w:rsidR="00F13BA8" w:rsidRPr="00145990" w:rsidRDefault="00F13BA8" w:rsidP="00F13BA8">
      <w:r>
        <w:t>T</w:t>
      </w:r>
      <w:r w:rsidRPr="00F316C9">
        <w:t xml:space="preserve">he roundtables </w:t>
      </w:r>
      <w:r>
        <w:t xml:space="preserve">also </w:t>
      </w:r>
      <w:r w:rsidRPr="00F316C9">
        <w:t>highlighted that</w:t>
      </w:r>
      <w:r>
        <w:t>,</w:t>
      </w:r>
      <w:r w:rsidRPr="00F316C9">
        <w:t xml:space="preserve"> even </w:t>
      </w:r>
      <w:r>
        <w:t>when</w:t>
      </w:r>
      <w:r w:rsidRPr="00F316C9">
        <w:t xml:space="preserve"> young women had knowle</w:t>
      </w:r>
      <w:r>
        <w:t>dge of contraception, they faced</w:t>
      </w:r>
      <w:r w:rsidRPr="00F316C9">
        <w:t xml:space="preserve"> further obstacles</w:t>
      </w:r>
      <w:r>
        <w:t>,</w:t>
      </w:r>
      <w:r w:rsidRPr="00F316C9">
        <w:t xml:space="preserve"> such as the cost of contraception and knowing where to obtain it.</w:t>
      </w:r>
      <w:r w:rsidRPr="00F316C9">
        <w:rPr>
          <w:sz w:val="20"/>
          <w:vertAlign w:val="superscript"/>
        </w:rPr>
        <w:endnoteReference w:id="581"/>
      </w:r>
      <w:r w:rsidRPr="00F316C9">
        <w:t xml:space="preserve"> </w:t>
      </w:r>
      <w:r>
        <w:t xml:space="preserve">Further, many </w:t>
      </w:r>
      <w:r w:rsidRPr="00F316C9">
        <w:t>young women, in particular those in regional areas, do not have access to abortion services.</w:t>
      </w:r>
      <w:r w:rsidRPr="00F316C9">
        <w:rPr>
          <w:sz w:val="20"/>
          <w:vertAlign w:val="superscript"/>
        </w:rPr>
        <w:endnoteReference w:id="582"/>
      </w:r>
      <w:r w:rsidRPr="00F316C9">
        <w:t xml:space="preserve"> </w:t>
      </w:r>
      <w:r>
        <w:t xml:space="preserve">Participants </w:t>
      </w:r>
      <w:r w:rsidRPr="00F316C9">
        <w:t xml:space="preserve">noted that </w:t>
      </w:r>
      <w:r>
        <w:t xml:space="preserve">many </w:t>
      </w:r>
      <w:r w:rsidRPr="00F316C9">
        <w:t xml:space="preserve">young people did not feel comfortable using mainstream services to access contraception as these </w:t>
      </w:r>
      <w:r w:rsidRPr="00145990">
        <w:t>were often not youth-friendly.</w:t>
      </w:r>
      <w:r w:rsidRPr="00145990">
        <w:rPr>
          <w:sz w:val="20"/>
          <w:vertAlign w:val="superscript"/>
        </w:rPr>
        <w:endnoteReference w:id="583"/>
      </w:r>
      <w:r w:rsidRPr="00145990">
        <w:t xml:space="preserve"> </w:t>
      </w:r>
    </w:p>
    <w:p w:rsidR="00F13BA8" w:rsidRPr="00F316C9" w:rsidRDefault="00F13BA8" w:rsidP="00F13BA8">
      <w:r w:rsidRPr="00145990">
        <w:t xml:space="preserve">In submissions and in discussions at roundtables, experts suggested that health promotion activities </w:t>
      </w:r>
      <w:r w:rsidRPr="00FA5306">
        <w:t xml:space="preserve">could </w:t>
      </w:r>
      <w:r w:rsidRPr="00B23556">
        <w:t>be directed to encourage young women to use Long Acting Rev</w:t>
      </w:r>
      <w:r w:rsidRPr="00145990">
        <w:t>ersible Contraception (LARC) such as inter-uterine devices and hormonal implants (for example, Implanon).</w:t>
      </w:r>
      <w:r w:rsidRPr="00145990">
        <w:rPr>
          <w:sz w:val="20"/>
          <w:vertAlign w:val="superscript"/>
        </w:rPr>
        <w:endnoteReference w:id="584"/>
      </w:r>
      <w:r w:rsidRPr="00145990">
        <w:t xml:space="preserve"> Australia</w:t>
      </w:r>
      <w:r w:rsidRPr="00F316C9">
        <w:t>, compared internationally, has relatively low use of this method of contraception.</w:t>
      </w:r>
      <w:r w:rsidRPr="00F316C9">
        <w:rPr>
          <w:sz w:val="20"/>
          <w:vertAlign w:val="superscript"/>
        </w:rPr>
        <w:endnoteReference w:id="585"/>
      </w:r>
      <w:r w:rsidRPr="00F316C9">
        <w:t xml:space="preserve"> According to the Family Planning Alliance Australia, LARCs are </w:t>
      </w:r>
      <w:r>
        <w:t xml:space="preserve">one of </w:t>
      </w:r>
      <w:r w:rsidRPr="00F316C9">
        <w:t>the most effective form</w:t>
      </w:r>
      <w:r>
        <w:t>s</w:t>
      </w:r>
      <w:r w:rsidRPr="00F316C9">
        <w:t xml:space="preserve"> of contraception at 99</w:t>
      </w:r>
      <w:r>
        <w:t>%</w:t>
      </w:r>
      <w:r w:rsidRPr="00F316C9">
        <w:t xml:space="preserve"> efficacy.</w:t>
      </w:r>
      <w:r w:rsidRPr="00F316C9">
        <w:rPr>
          <w:sz w:val="20"/>
          <w:vertAlign w:val="superscript"/>
        </w:rPr>
        <w:endnoteReference w:id="586"/>
      </w:r>
      <w:r w:rsidRPr="00F316C9">
        <w:t xml:space="preserve"> Difficulties in accessing this method of contraception </w:t>
      </w:r>
      <w:r>
        <w:t>include</w:t>
      </w:r>
      <w:r w:rsidRPr="00F316C9">
        <w:t xml:space="preserve"> a lack of knowledge of the contraceptive among young people, general practitioners, nurses and midwives.</w:t>
      </w:r>
      <w:r w:rsidRPr="00F316C9">
        <w:rPr>
          <w:sz w:val="20"/>
          <w:vertAlign w:val="superscript"/>
        </w:rPr>
        <w:endnoteReference w:id="587"/>
      </w:r>
      <w:r w:rsidRPr="00F316C9">
        <w:t xml:space="preserve"> </w:t>
      </w:r>
      <w:r>
        <w:t>However, it is also worth noting that research in Australia and New Zealand has found that contraceptive implants, such as Implanon, have side effects such as bruising, bleeding, mood changes, dymenorhoea and weight gain.</w:t>
      </w:r>
      <w:r>
        <w:rPr>
          <w:rStyle w:val="Rimandonotadichiusura"/>
        </w:rPr>
        <w:endnoteReference w:id="588"/>
      </w:r>
      <w:r>
        <w:t xml:space="preserve"> At the time of writing, the impact of such side effects on girls under 16 is unknown and as such, is not available on the Pharmaceutical Benefits Scheme for girls under 16. </w:t>
      </w:r>
    </w:p>
    <w:p w:rsidR="00F13BA8" w:rsidRDefault="00F13BA8" w:rsidP="00F13BA8">
      <w:r w:rsidRPr="00F316C9">
        <w:t>Rapid repeat pregnancies were also highlighted as a specific risk to young parents.</w:t>
      </w:r>
      <w:r w:rsidRPr="00F316C9">
        <w:rPr>
          <w:sz w:val="20"/>
          <w:vertAlign w:val="superscript"/>
        </w:rPr>
        <w:endnoteReference w:id="589"/>
      </w:r>
      <w:r w:rsidRPr="00F316C9">
        <w:t xml:space="preserve"> As a result, a number of submissions recommended that young parents be </w:t>
      </w:r>
      <w:r>
        <w:t xml:space="preserve">offered </w:t>
      </w:r>
      <w:r w:rsidRPr="00F316C9">
        <w:t>LARCs upon the birth of their child in order to support spacing between pregnancies</w:t>
      </w:r>
      <w:r>
        <w:t xml:space="preserve"> together with other supports such as outreach and home visiting services</w:t>
      </w:r>
      <w:r w:rsidRPr="00F316C9">
        <w:t>.</w:t>
      </w:r>
      <w:r w:rsidRPr="00F316C9">
        <w:rPr>
          <w:sz w:val="20"/>
          <w:vertAlign w:val="superscript"/>
        </w:rPr>
        <w:endnoteReference w:id="590"/>
      </w:r>
      <w:r w:rsidRPr="00F316C9">
        <w:t xml:space="preserve"> Further, </w:t>
      </w:r>
      <w:r>
        <w:t>free</w:t>
      </w:r>
      <w:r w:rsidRPr="00F316C9">
        <w:t xml:space="preserve"> contraception was widely supported as another </w:t>
      </w:r>
      <w:r>
        <w:t xml:space="preserve">way </w:t>
      </w:r>
      <w:r w:rsidRPr="00F316C9">
        <w:t>to reduc</w:t>
      </w:r>
      <w:r>
        <w:t>e</w:t>
      </w:r>
      <w:r w:rsidRPr="00F316C9">
        <w:t xml:space="preserve"> the teenage fertility rate.</w:t>
      </w:r>
      <w:r w:rsidRPr="00F316C9">
        <w:rPr>
          <w:sz w:val="20"/>
          <w:vertAlign w:val="superscript"/>
        </w:rPr>
        <w:endnoteReference w:id="591"/>
      </w:r>
      <w:r w:rsidRPr="00F316C9">
        <w:t xml:space="preserve"> </w:t>
      </w:r>
    </w:p>
    <w:p w:rsidR="00F13BA8" w:rsidRDefault="00F13BA8" w:rsidP="00F13BA8">
      <w:r>
        <w:t>Access to abortion services was highlighted as a challenge for young parents in submissions and at roundtables.</w:t>
      </w:r>
      <w:r>
        <w:rPr>
          <w:rStyle w:val="Rimandonotadichiusura"/>
        </w:rPr>
        <w:endnoteReference w:id="592"/>
      </w:r>
      <w:r>
        <w:t xml:space="preserve"> Participants noted that many young people did not feel comfortable accessing mainstream services for abortion advice and services, as these services were not youth friendly.</w:t>
      </w:r>
      <w:r>
        <w:rPr>
          <w:rStyle w:val="Rimandonotadichiusura"/>
        </w:rPr>
        <w:endnoteReference w:id="593"/>
      </w:r>
      <w:r>
        <w:t xml:space="preserve"> </w:t>
      </w:r>
    </w:p>
    <w:p w:rsidR="00F13BA8" w:rsidRDefault="00F13BA8" w:rsidP="00F13BA8">
      <w:pPr>
        <w:pStyle w:val="Titolo3"/>
      </w:pPr>
      <w:bookmarkStart w:id="112" w:name="_Toc500308804"/>
      <w:r>
        <w:t>Transport and driver’s licences</w:t>
      </w:r>
      <w:bookmarkEnd w:id="112"/>
    </w:p>
    <w:p w:rsidR="00F13BA8" w:rsidRPr="00CA55D7" w:rsidRDefault="00F13BA8" w:rsidP="00F13BA8">
      <w:r w:rsidRPr="00CA55D7">
        <w:t>Transport is fundamental to young parents’ access to services and support. Without a reliable form of transport, young parents face very practical challenges in being able to go to work, attend school or other education settings and access health and care services.</w:t>
      </w:r>
      <w:r w:rsidRPr="000E54E6">
        <w:rPr>
          <w:rStyle w:val="Rimandonotadichiusura"/>
        </w:rPr>
        <w:endnoteReference w:id="594"/>
      </w:r>
      <w:r w:rsidR="00CA55D7" w:rsidRPr="00CA55D7">
        <w:t xml:space="preserve"> </w:t>
      </w:r>
    </w:p>
    <w:p w:rsidR="00F13BA8" w:rsidRPr="00CA55D7" w:rsidRDefault="00F13BA8" w:rsidP="00F13BA8">
      <w:r w:rsidRPr="00CA55D7">
        <w:t>A number of submissions recognised that an inability to gain a driver’s licence or access other transport meant a young parent could not attend work. The financial limitations of not working meant they were unable to afford the cost of housing, health care or other basic services.</w:t>
      </w:r>
      <w:r w:rsidRPr="000E54E6">
        <w:rPr>
          <w:rStyle w:val="Rimandonotadichiusura"/>
        </w:rPr>
        <w:endnoteReference w:id="595"/>
      </w:r>
      <w:r w:rsidRPr="00CA55D7">
        <w:t xml:space="preserve"> </w:t>
      </w:r>
    </w:p>
    <w:p w:rsidR="00F13BA8" w:rsidRPr="00CA55D7" w:rsidRDefault="00F13BA8" w:rsidP="00F13BA8">
      <w:r w:rsidRPr="00CA55D7">
        <w:t>At the roundtables, the Healing Foundation also raised concerns that for young fathers, not having a driver’s licence was a significant barrier to employment and financial stability.</w:t>
      </w:r>
      <w:r w:rsidRPr="000E54E6">
        <w:rPr>
          <w:rStyle w:val="Rimandonotadichiusura"/>
        </w:rPr>
        <w:endnoteReference w:id="596"/>
      </w:r>
      <w:r w:rsidRPr="00CA55D7">
        <w:t xml:space="preserve"> The consequences of this included being financially unable to support their family, which could also contribute to relationship breakdowns.</w:t>
      </w:r>
      <w:r w:rsidRPr="000E54E6">
        <w:rPr>
          <w:rStyle w:val="Rimandonotadichiusura"/>
        </w:rPr>
        <w:endnoteReference w:id="597"/>
      </w:r>
    </w:p>
    <w:p w:rsidR="00F13BA8" w:rsidRDefault="00F13BA8" w:rsidP="00F13BA8">
      <w:r>
        <w:t>Transport c</w:t>
      </w:r>
      <w:r w:rsidRPr="00F316C9">
        <w:t xml:space="preserve">hallenges </w:t>
      </w:r>
      <w:r>
        <w:t>faced</w:t>
      </w:r>
      <w:r w:rsidRPr="00F316C9">
        <w:t xml:space="preserve"> by young parents include</w:t>
      </w:r>
      <w:r>
        <w:t>:</w:t>
      </w:r>
      <w:r w:rsidRPr="00F316C9">
        <w:t xml:space="preserve"> </w:t>
      </w:r>
    </w:p>
    <w:p w:rsidR="00F13BA8" w:rsidRDefault="00F13BA8" w:rsidP="00222517">
      <w:pPr>
        <w:pStyle w:val="Paragrafoelenco"/>
        <w:numPr>
          <w:ilvl w:val="0"/>
          <w:numId w:val="166"/>
        </w:numPr>
        <w:jc w:val="left"/>
      </w:pPr>
      <w:r w:rsidRPr="00F316C9">
        <w:t>expensive bus fares</w:t>
      </w:r>
    </w:p>
    <w:p w:rsidR="00F13BA8" w:rsidRDefault="00F13BA8" w:rsidP="00222517">
      <w:pPr>
        <w:pStyle w:val="Paragrafoelenco"/>
        <w:numPr>
          <w:ilvl w:val="0"/>
          <w:numId w:val="166"/>
        </w:numPr>
        <w:jc w:val="left"/>
      </w:pPr>
      <w:r>
        <w:t>poor treatment by bus drivers</w:t>
      </w:r>
    </w:p>
    <w:p w:rsidR="00F13BA8" w:rsidRDefault="00F13BA8" w:rsidP="00222517">
      <w:pPr>
        <w:pStyle w:val="Paragrafoelenco"/>
        <w:numPr>
          <w:ilvl w:val="0"/>
          <w:numId w:val="166"/>
        </w:numPr>
        <w:jc w:val="left"/>
      </w:pPr>
      <w:r w:rsidRPr="00F316C9">
        <w:t>narrow and poorly maintained f</w:t>
      </w:r>
      <w:r>
        <w:t>ootpaths preventing pram access</w:t>
      </w:r>
    </w:p>
    <w:p w:rsidR="00F13BA8" w:rsidRDefault="00F13BA8" w:rsidP="00222517">
      <w:pPr>
        <w:pStyle w:val="Paragrafoelenco"/>
        <w:numPr>
          <w:ilvl w:val="0"/>
          <w:numId w:val="166"/>
        </w:numPr>
        <w:jc w:val="left"/>
      </w:pPr>
      <w:r>
        <w:t>the cost of petrol</w:t>
      </w:r>
    </w:p>
    <w:p w:rsidR="00F13BA8" w:rsidRDefault="00F13BA8" w:rsidP="00222517">
      <w:pPr>
        <w:pStyle w:val="Paragrafoelenco"/>
        <w:numPr>
          <w:ilvl w:val="0"/>
          <w:numId w:val="166"/>
        </w:numPr>
        <w:jc w:val="left"/>
      </w:pPr>
      <w:r w:rsidRPr="00F316C9">
        <w:t>gaining a driver</w:t>
      </w:r>
      <w:r>
        <w:t>’</w:t>
      </w:r>
      <w:r w:rsidRPr="00F316C9">
        <w:t>s licence and completing the number of required</w:t>
      </w:r>
      <w:r>
        <w:t xml:space="preserve"> supervised driving hours </w:t>
      </w:r>
      <w:r w:rsidRPr="00F316C9">
        <w:t>without a car or someone to supervise.</w:t>
      </w:r>
      <w:r w:rsidRPr="000E54E6">
        <w:rPr>
          <w:rStyle w:val="Rimandonotadichiusura"/>
        </w:rPr>
        <w:endnoteReference w:id="598"/>
      </w:r>
      <w:r w:rsidRPr="00CA55D7">
        <w:t xml:space="preserve"> </w:t>
      </w:r>
    </w:p>
    <w:p w:rsidR="00F13BA8" w:rsidRPr="00CA55D7" w:rsidRDefault="00F13BA8" w:rsidP="00F13BA8">
      <w:r>
        <w:t>Submissions pointed out</w:t>
      </w:r>
      <w:r w:rsidRPr="00F316C9">
        <w:t xml:space="preserve"> that</w:t>
      </w:r>
      <w:r>
        <w:t>, due to the many difficulties in using these services,</w:t>
      </w:r>
      <w:r w:rsidRPr="00F316C9">
        <w:t xml:space="preserve"> public transport was an unreliable means of access</w:t>
      </w:r>
      <w:r>
        <w:t>ing early childhood education and care services</w:t>
      </w:r>
      <w:r w:rsidRPr="00CA55D7">
        <w:t>.</w:t>
      </w:r>
      <w:r w:rsidRPr="000E54E6">
        <w:rPr>
          <w:rStyle w:val="Rimandonotadichiusura"/>
        </w:rPr>
        <w:endnoteReference w:id="599"/>
      </w:r>
      <w:r w:rsidRPr="00CA55D7">
        <w:t xml:space="preserve"> </w:t>
      </w:r>
    </w:p>
    <w:p w:rsidR="00F13BA8" w:rsidRPr="00FA1E91" w:rsidRDefault="00F13BA8" w:rsidP="000E54E6">
      <w:pPr>
        <w:pStyle w:val="Citazione"/>
      </w:pPr>
      <w:r w:rsidRPr="00FA1E91">
        <w:t>[P]articipants identified … that not holding a driver’s licence was a significant barrier in obtaining their individual vocational goals … accessibility to services is [also] a challenge for many young parents and a driver’s licence would assist them to access key services.</w:t>
      </w:r>
      <w:r w:rsidRPr="000E54E6">
        <w:rPr>
          <w:rStyle w:val="Rimandonotadichiusura"/>
          <w:sz w:val="22"/>
          <w:szCs w:val="22"/>
        </w:rPr>
        <w:endnoteReference w:id="600"/>
      </w:r>
    </w:p>
    <w:p w:rsidR="00F13BA8" w:rsidRDefault="00F13BA8" w:rsidP="00F13BA8">
      <w:r w:rsidRPr="00F316C9">
        <w:t>In submissions and roundtables, it was recommended that programs should support young parents to gain their driver’s licen</w:t>
      </w:r>
      <w:r>
        <w:t>c</w:t>
      </w:r>
      <w:r w:rsidRPr="00F316C9">
        <w:t xml:space="preserve">e or provide alternative transport to enable access to services, </w:t>
      </w:r>
      <w:r>
        <w:t xml:space="preserve">early childhood education and care services </w:t>
      </w:r>
      <w:r w:rsidRPr="00F316C9">
        <w:t>or employment.</w:t>
      </w:r>
      <w:r w:rsidRPr="00F316C9">
        <w:rPr>
          <w:sz w:val="20"/>
          <w:vertAlign w:val="superscript"/>
        </w:rPr>
        <w:endnoteReference w:id="601"/>
      </w:r>
      <w:r w:rsidRPr="00F316C9">
        <w:t xml:space="preserve"> </w:t>
      </w:r>
    </w:p>
    <w:p w:rsidR="00F13BA8" w:rsidRPr="00F316C9" w:rsidRDefault="00F13BA8" w:rsidP="00F13BA8">
      <w:pPr>
        <w:rPr>
          <w:b/>
          <w:u w:val="single"/>
        </w:rPr>
      </w:pPr>
      <w:r w:rsidRPr="00F316C9">
        <w:t xml:space="preserve">One example discussed at roundtables was the </w:t>
      </w:r>
      <w:r w:rsidRPr="00F316C9">
        <w:rPr>
          <w:i/>
        </w:rPr>
        <w:t>Geared2Drive</w:t>
      </w:r>
      <w:r w:rsidRPr="00F316C9">
        <w:t xml:space="preserve"> program through Helping Young People Achieve (HYPA). This program, based in </w:t>
      </w:r>
      <w:r>
        <w:t>SA</w:t>
      </w:r>
      <w:r w:rsidRPr="00F316C9">
        <w:t xml:space="preserve">, provides free driving lessons for young people </w:t>
      </w:r>
      <w:r>
        <w:t xml:space="preserve">with </w:t>
      </w:r>
      <w:r w:rsidRPr="00F316C9">
        <w:t>volunteer</w:t>
      </w:r>
      <w:r>
        <w:t>s</w:t>
      </w:r>
      <w:r w:rsidRPr="00F316C9">
        <w:t xml:space="preserve"> supervising drivers. </w:t>
      </w:r>
      <w:r>
        <w:t xml:space="preserve">Through </w:t>
      </w:r>
      <w:r w:rsidRPr="00F316C9">
        <w:t xml:space="preserve">driving lessons, volunteers are </w:t>
      </w:r>
      <w:r>
        <w:t xml:space="preserve">also </w:t>
      </w:r>
      <w:r w:rsidRPr="00F316C9">
        <w:t xml:space="preserve">able to build rapport and trust with young people and provide feedback to the organisation </w:t>
      </w:r>
      <w:r>
        <w:t xml:space="preserve">about </w:t>
      </w:r>
      <w:r w:rsidRPr="00F316C9">
        <w:t>where referrals and further support are required.</w:t>
      </w:r>
      <w:r w:rsidRPr="00F316C9">
        <w:rPr>
          <w:sz w:val="20"/>
          <w:vertAlign w:val="superscript"/>
        </w:rPr>
        <w:endnoteReference w:id="602"/>
      </w:r>
      <w:r w:rsidRPr="00F316C9">
        <w:t xml:space="preserve"> </w:t>
      </w: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060"/>
      </w:tblGrid>
      <w:tr w:rsidR="00F13BA8" w:rsidRPr="00F316C9" w:rsidTr="00CA55D7">
        <w:tc>
          <w:tcPr>
            <w:tcW w:w="9060" w:type="dxa"/>
          </w:tcPr>
          <w:p w:rsidR="00F13BA8" w:rsidRDefault="00F13BA8" w:rsidP="00F763BE">
            <w:pPr>
              <w:spacing w:before="100" w:beforeAutospacing="1" w:after="100" w:afterAutospacing="1" w:line="270" w:lineRule="atLeast"/>
              <w:rPr>
                <w:rFonts w:cs="Arial"/>
              </w:rPr>
            </w:pPr>
            <w:r>
              <w:rPr>
                <w:b/>
              </w:rPr>
              <w:t>Box 4:</w:t>
            </w:r>
            <w:r w:rsidRPr="00B27EA6">
              <w:rPr>
                <w:b/>
              </w:rPr>
              <w:t xml:space="preserve"> </w:t>
            </w:r>
            <w:r w:rsidRPr="00220D04">
              <w:rPr>
                <w:b/>
              </w:rPr>
              <w:t xml:space="preserve">Geared2Drive – Helping Young People Achieve (HYPA), </w:t>
            </w:r>
            <w:r>
              <w:rPr>
                <w:b/>
              </w:rPr>
              <w:t>SA</w:t>
            </w:r>
            <w:r w:rsidRPr="00F316C9">
              <w:rPr>
                <w:rFonts w:cs="Arial"/>
                <w:sz w:val="20"/>
                <w:vertAlign w:val="superscript"/>
              </w:rPr>
              <w:endnoteReference w:id="603"/>
            </w:r>
          </w:p>
          <w:p w:rsidR="00F13BA8" w:rsidRPr="00F316C9" w:rsidRDefault="00F13BA8" w:rsidP="00F763BE">
            <w:pPr>
              <w:spacing w:before="100" w:beforeAutospacing="1" w:after="100" w:afterAutospacing="1" w:line="270" w:lineRule="atLeast"/>
              <w:rPr>
                <w:rFonts w:cs="Arial"/>
              </w:rPr>
            </w:pPr>
            <w:r w:rsidRPr="00F316C9">
              <w:rPr>
                <w:rFonts w:cs="Arial"/>
              </w:rPr>
              <w:t>Geared2Drive is a driver’s licen</w:t>
            </w:r>
            <w:r>
              <w:rPr>
                <w:rFonts w:cs="Arial"/>
              </w:rPr>
              <w:t>c</w:t>
            </w:r>
            <w:r w:rsidRPr="00F316C9">
              <w:rPr>
                <w:rFonts w:cs="Arial"/>
              </w:rPr>
              <w:t>e program initiated by HYPA t</w:t>
            </w:r>
            <w:r>
              <w:rPr>
                <w:rFonts w:cs="Arial"/>
              </w:rPr>
              <w:t>o support young people, aged 16–</w:t>
            </w:r>
            <w:r w:rsidRPr="00F316C9">
              <w:rPr>
                <w:rFonts w:cs="Arial"/>
              </w:rPr>
              <w:t>25 years</w:t>
            </w:r>
            <w:r>
              <w:rPr>
                <w:rFonts w:cs="Arial"/>
              </w:rPr>
              <w:t>,</w:t>
            </w:r>
            <w:r w:rsidRPr="00F316C9">
              <w:rPr>
                <w:rFonts w:cs="Arial"/>
              </w:rPr>
              <w:t xml:space="preserve"> to become licensed drivers. The program was introduced in </w:t>
            </w:r>
            <w:r>
              <w:rPr>
                <w:rFonts w:cs="Arial"/>
              </w:rPr>
              <w:t>SA</w:t>
            </w:r>
            <w:r w:rsidRPr="00F316C9">
              <w:rPr>
                <w:rFonts w:cs="Arial"/>
              </w:rPr>
              <w:t xml:space="preserve"> wh</w:t>
            </w:r>
            <w:r>
              <w:rPr>
                <w:rFonts w:cs="Arial"/>
              </w:rPr>
              <w:t>ere state legislation requires l</w:t>
            </w:r>
            <w:r w:rsidRPr="00F316C9">
              <w:rPr>
                <w:rFonts w:cs="Arial"/>
              </w:rPr>
              <w:t xml:space="preserve">earner drivers to undertake 75 hours of supervised driving with a licensed adult, </w:t>
            </w:r>
            <w:r>
              <w:rPr>
                <w:rFonts w:cs="Arial"/>
              </w:rPr>
              <w:t>before sitting their p</w:t>
            </w:r>
            <w:r w:rsidRPr="00F316C9">
              <w:rPr>
                <w:rFonts w:cs="Arial"/>
              </w:rPr>
              <w:t>rovisional driver’s licen</w:t>
            </w:r>
            <w:r>
              <w:rPr>
                <w:rFonts w:cs="Arial"/>
              </w:rPr>
              <w:t>c</w:t>
            </w:r>
            <w:r w:rsidRPr="00F316C9">
              <w:rPr>
                <w:rFonts w:cs="Arial"/>
              </w:rPr>
              <w:t xml:space="preserve">e test. </w:t>
            </w:r>
          </w:p>
          <w:p w:rsidR="00F13BA8" w:rsidRPr="00F316C9" w:rsidRDefault="00F13BA8" w:rsidP="00F763BE">
            <w:pPr>
              <w:spacing w:before="100" w:beforeAutospacing="1" w:after="100" w:afterAutospacing="1" w:line="270" w:lineRule="atLeast"/>
              <w:rPr>
                <w:rFonts w:cs="Arial"/>
              </w:rPr>
            </w:pPr>
            <w:r w:rsidRPr="00F316C9">
              <w:rPr>
                <w:rFonts w:cs="Arial"/>
              </w:rPr>
              <w:t>HYPA identified that not all young people have access to a licensed adult with whom they can complete their supervised driving hours. This is a significant barrier for many young peop</w:t>
            </w:r>
            <w:r>
              <w:rPr>
                <w:rFonts w:cs="Arial"/>
              </w:rPr>
              <w:t>le in being able to gain their d</w:t>
            </w:r>
            <w:r w:rsidRPr="00F316C9">
              <w:rPr>
                <w:rFonts w:cs="Arial"/>
              </w:rPr>
              <w:t>river’s licen</w:t>
            </w:r>
            <w:r>
              <w:rPr>
                <w:rFonts w:cs="Arial"/>
              </w:rPr>
              <w:t>c</w:t>
            </w:r>
            <w:r w:rsidRPr="00F316C9">
              <w:rPr>
                <w:rFonts w:cs="Arial"/>
              </w:rPr>
              <w:t xml:space="preserve">e. </w:t>
            </w:r>
          </w:p>
          <w:p w:rsidR="00F13BA8" w:rsidRPr="00F316C9" w:rsidRDefault="00F13BA8" w:rsidP="00C6467C">
            <w:pPr>
              <w:spacing w:before="100" w:beforeAutospacing="1" w:after="100" w:afterAutospacing="1" w:line="270" w:lineRule="atLeast"/>
              <w:rPr>
                <w:rFonts w:cs="Arial"/>
              </w:rPr>
            </w:pPr>
            <w:r w:rsidRPr="00F316C9">
              <w:rPr>
                <w:rFonts w:cs="Arial"/>
              </w:rPr>
              <w:t xml:space="preserve">Geared2Drive provides cars and volunteer supervising drivers to overcome this barrier and </w:t>
            </w:r>
            <w:r w:rsidR="00C6467C">
              <w:rPr>
                <w:rFonts w:cs="Arial"/>
              </w:rPr>
              <w:t>give</w:t>
            </w:r>
            <w:r w:rsidRPr="00F316C9">
              <w:rPr>
                <w:rFonts w:cs="Arial"/>
              </w:rPr>
              <w:t xml:space="preserve"> more young people the opportunity to eventually become fully licen</w:t>
            </w:r>
            <w:r>
              <w:rPr>
                <w:rFonts w:cs="Arial"/>
              </w:rPr>
              <w:t>s</w:t>
            </w:r>
            <w:r w:rsidRPr="00F316C9">
              <w:rPr>
                <w:rFonts w:cs="Arial"/>
              </w:rPr>
              <w:t>ed drivers.</w:t>
            </w:r>
          </w:p>
        </w:tc>
      </w:tr>
    </w:tbl>
    <w:p w:rsidR="00F13BA8" w:rsidRDefault="00F13BA8" w:rsidP="00F13BA8">
      <w:pPr>
        <w:pStyle w:val="Titolo3"/>
      </w:pPr>
      <w:bookmarkStart w:id="113" w:name="_Toc500308805"/>
      <w:r>
        <w:t>Education, employment and economic security</w:t>
      </w:r>
      <w:bookmarkEnd w:id="113"/>
    </w:p>
    <w:p w:rsidR="00F13BA8" w:rsidRPr="000F4F72" w:rsidRDefault="00F13BA8" w:rsidP="00F13BA8">
      <w:r w:rsidRPr="00F316C9">
        <w:t xml:space="preserve">Education is critical for breaking the cycle of poverty and welfare dependency and </w:t>
      </w:r>
      <w:r>
        <w:t xml:space="preserve">to </w:t>
      </w:r>
      <w:r w:rsidRPr="00F316C9">
        <w:t xml:space="preserve">increase the chances of new young parents becoming economically </w:t>
      </w:r>
      <w:r w:rsidRPr="000F4F72">
        <w:t>secure.</w:t>
      </w:r>
      <w:r w:rsidRPr="000F4F72">
        <w:rPr>
          <w:vertAlign w:val="superscript"/>
        </w:rPr>
        <w:endnoteReference w:id="604"/>
      </w:r>
      <w:r w:rsidRPr="000F4F72">
        <w:t xml:space="preserve"> In particular, education is a pathway to improved employment opportunities and outcomes. According to the submission by National Aboriginal Community Controlled Health Organisation (NACCHO), ‘educational attainment is a pre-requisite for improving health outcomes, increasing the likelihood of economic security and breaking the cycle of disadvantage’.</w:t>
      </w:r>
      <w:r w:rsidRPr="000F4F72">
        <w:rPr>
          <w:vertAlign w:val="superscript"/>
        </w:rPr>
        <w:endnoteReference w:id="605"/>
      </w:r>
      <w:r w:rsidRPr="000F4F72">
        <w:t xml:space="preserve"> They further note:</w:t>
      </w:r>
    </w:p>
    <w:p w:rsidR="00F13BA8" w:rsidRPr="00BB0232" w:rsidRDefault="00F13BA8" w:rsidP="000E54E6">
      <w:pPr>
        <w:pStyle w:val="Citazione"/>
      </w:pPr>
      <w:r w:rsidRPr="00BB0232">
        <w:t>Educational attainment is key to decreasing the risk profile and enhancing the trajectory of young parents and their children, improving the capacity of young people to safely and effectively parent, and increasing the likelihood of such young people to become economically secure.</w:t>
      </w:r>
      <w:r w:rsidRPr="000E54E6">
        <w:rPr>
          <w:rStyle w:val="Rimandonotadichiusura"/>
          <w:szCs w:val="20"/>
        </w:rPr>
        <w:endnoteReference w:id="606"/>
      </w:r>
    </w:p>
    <w:p w:rsidR="00F13BA8" w:rsidRPr="000F4F72" w:rsidRDefault="00F13BA8" w:rsidP="00F13BA8">
      <w:r w:rsidRPr="00F316C9">
        <w:t>Similarly, in the roundtable discussions, I was inf</w:t>
      </w:r>
      <w:r>
        <w:t xml:space="preserve">ormed that education is the main way to solve long </w:t>
      </w:r>
      <w:r w:rsidRPr="00F316C9">
        <w:t xml:space="preserve">term welfare </w:t>
      </w:r>
      <w:r w:rsidRPr="000F4F72">
        <w:t>dependency.</w:t>
      </w:r>
      <w:r w:rsidRPr="000E54E6">
        <w:rPr>
          <w:rStyle w:val="Rimandonotadichiusura"/>
        </w:rPr>
        <w:endnoteReference w:id="607"/>
      </w:r>
      <w:r w:rsidRPr="000F4F72">
        <w:t xml:space="preserve"> </w:t>
      </w:r>
    </w:p>
    <w:p w:rsidR="00F13BA8" w:rsidRDefault="00F13BA8" w:rsidP="00F13BA8">
      <w:r>
        <w:t>T</w:t>
      </w:r>
      <w:r w:rsidRPr="00F316C9">
        <w:t>here are complexities around young parents’ engagement with education. For example, young mothers are likely to leave school early</w:t>
      </w:r>
      <w:r>
        <w:t xml:space="preserve">. Yet, </w:t>
      </w:r>
      <w:r w:rsidRPr="00F316C9">
        <w:t xml:space="preserve">at the same time, early school leavers have a greater likelihood of becoming young </w:t>
      </w:r>
      <w:r w:rsidRPr="000F4F72">
        <w:t>parents.</w:t>
      </w:r>
      <w:r w:rsidRPr="000E54E6">
        <w:rPr>
          <w:rStyle w:val="Rimandonotadichiusura"/>
        </w:rPr>
        <w:endnoteReference w:id="608"/>
      </w:r>
      <w:r w:rsidRPr="000F4F72">
        <w:t xml:space="preserve"> As</w:t>
      </w:r>
      <w:r>
        <w:t xml:space="preserve"> was stated by Ipswich State High School, </w:t>
      </w:r>
      <w:r>
        <w:rPr>
          <w:szCs w:val="22"/>
        </w:rPr>
        <w:t>‘l</w:t>
      </w:r>
      <w:r w:rsidRPr="007D2552">
        <w:rPr>
          <w:szCs w:val="22"/>
        </w:rPr>
        <w:t>ow rates of school completion are associated with the very limited support available to pregnant young women to complete their education</w:t>
      </w:r>
      <w:r>
        <w:rPr>
          <w:szCs w:val="22"/>
        </w:rPr>
        <w:t>’</w:t>
      </w:r>
      <w:r w:rsidRPr="007D2552">
        <w:rPr>
          <w:szCs w:val="22"/>
        </w:rPr>
        <w:t>.</w:t>
      </w:r>
      <w:r w:rsidRPr="00E34166">
        <w:rPr>
          <w:rStyle w:val="Rimandonotadichiusura"/>
          <w:szCs w:val="20"/>
        </w:rPr>
        <w:endnoteReference w:id="609"/>
      </w:r>
      <w:r>
        <w:t xml:space="preserve"> </w:t>
      </w:r>
    </w:p>
    <w:p w:rsidR="00F13BA8" w:rsidRPr="000F4F72" w:rsidRDefault="00F13BA8" w:rsidP="00F13BA8">
      <w:r w:rsidRPr="000F4F72">
        <w:t>In the roundtables, there was emphasis on the barriers that young parents, especially young mothers, face to remaining in mainstream schooling.</w:t>
      </w:r>
      <w:r w:rsidRPr="000E54E6">
        <w:rPr>
          <w:rStyle w:val="Rimandonotadichiusura"/>
        </w:rPr>
        <w:endnoteReference w:id="610"/>
      </w:r>
      <w:r w:rsidRPr="000F4F72">
        <w:t xml:space="preserve"> Some participants advised me that, even when schools implement an education policy to support pregnancy and parenting, it may be unrealistic to get parenting students back into the mainstream classroom.</w:t>
      </w:r>
      <w:r w:rsidRPr="000E54E6">
        <w:rPr>
          <w:rStyle w:val="Rimandonotadichiusura"/>
        </w:rPr>
        <w:endnoteReference w:id="611"/>
      </w:r>
      <w:r w:rsidRPr="000F4F72">
        <w:t xml:space="preserve"> In the roundtable discussions, Professor Daryl Higgins noted that young parents have many ‘competing drivers’ (including but not limited to parenting, education and employment) that make it hard for them to fit into the mainstream education environment.</w:t>
      </w:r>
      <w:r w:rsidRPr="000E54E6">
        <w:rPr>
          <w:rStyle w:val="Rimandonotadichiusura"/>
        </w:rPr>
        <w:endnoteReference w:id="612"/>
      </w:r>
    </w:p>
    <w:p w:rsidR="00F13BA8" w:rsidRPr="000F4F72" w:rsidRDefault="00F13BA8" w:rsidP="00F13BA8">
      <w:r w:rsidRPr="000F4F72">
        <w:t>NACCHO noted that mothers’ education is ‘directly linked to child health outcomes and is probably the single most important determinant of population health outcomes’.</w:t>
      </w:r>
      <w:r w:rsidRPr="000E54E6">
        <w:rPr>
          <w:rStyle w:val="Rimandonotadichiusura"/>
        </w:rPr>
        <w:endnoteReference w:id="613"/>
      </w:r>
      <w:r w:rsidRPr="000F4F72">
        <w:t xml:space="preserve"> In the roundtable discussions, participants acknowledged the importance of re-engaging women in the education system, especially to prevent the education gap from deepening — over time and through the generations.</w:t>
      </w:r>
      <w:r w:rsidRPr="000E54E6">
        <w:rPr>
          <w:rStyle w:val="Rimandonotadichiusura"/>
        </w:rPr>
        <w:endnoteReference w:id="614"/>
      </w:r>
      <w:r w:rsidRPr="000F4F72">
        <w:t xml:space="preserve"> </w:t>
      </w:r>
    </w:p>
    <w:p w:rsidR="00F13BA8" w:rsidRPr="000F4F72" w:rsidRDefault="00F13BA8" w:rsidP="00F13BA8">
      <w:r w:rsidRPr="000F4F72">
        <w:t>NACCHO also emphasised the need to strengthen adult literacy programs that can educate young mothers as well as appropriate early childhood programs that can support the long term development of children.</w:t>
      </w:r>
      <w:r w:rsidRPr="000E54E6">
        <w:rPr>
          <w:rStyle w:val="Rimandonotadichiusura"/>
        </w:rPr>
        <w:endnoteReference w:id="615"/>
      </w:r>
      <w:r w:rsidRPr="000F4F72">
        <w:t xml:space="preserve"> </w:t>
      </w:r>
    </w:p>
    <w:p w:rsidR="00F13BA8" w:rsidRPr="000F4F72" w:rsidRDefault="00F13BA8" w:rsidP="00F13BA8">
      <w:r w:rsidRPr="000F4F72">
        <w:t>Some submissions pointed to the desirability for inbuilt flexibility within schools and educational institutions to accommodate the needs of pregnant and parenting young people.</w:t>
      </w:r>
      <w:r w:rsidRPr="000F4F72">
        <w:rPr>
          <w:vertAlign w:val="superscript"/>
        </w:rPr>
        <w:endnoteReference w:id="616"/>
      </w:r>
      <w:r w:rsidRPr="000F4F72">
        <w:t xml:space="preserve"> Young parents are far less likely than their peers to complete secondary education or to engage in post-school education and training without interventions that meets their specific needs as new parents.</w:t>
      </w:r>
      <w:r w:rsidRPr="000E54E6">
        <w:rPr>
          <w:rStyle w:val="Rimandonotadichiusura"/>
        </w:rPr>
        <w:endnoteReference w:id="617"/>
      </w:r>
      <w:r w:rsidRPr="000F4F72">
        <w:t xml:space="preserve"> </w:t>
      </w:r>
    </w:p>
    <w:p w:rsidR="00F13BA8" w:rsidRPr="000F4F72" w:rsidRDefault="00F13BA8" w:rsidP="00F13BA8">
      <w:r w:rsidRPr="000F4F72">
        <w:t>Programs such as the Young Families Connect (YFC) — a collaboration between Mission Australia Communities for Children, Inala to Ipswich and Ipswich State High School — that aim to ‘remove barriers to learning for pregnant and parenting young women’ are examples of the kinds of flexibility needed to promote young parents’ education.</w:t>
      </w:r>
      <w:r w:rsidRPr="000E54E6">
        <w:rPr>
          <w:rStyle w:val="Rimandonotadichiusura"/>
        </w:rPr>
        <w:endnoteReference w:id="618"/>
      </w:r>
      <w:r w:rsidR="001345FD" w:rsidRPr="000F4F72">
        <w:t xml:space="preserve"> T</w:t>
      </w:r>
      <w:r w:rsidRPr="000F4F72">
        <w:t xml:space="preserve">he YFC Program, for example: </w:t>
      </w:r>
    </w:p>
    <w:p w:rsidR="00F13BA8" w:rsidRPr="00F316C9" w:rsidRDefault="00F13BA8" w:rsidP="00F13BA8">
      <w:pPr>
        <w:ind w:left="851"/>
      </w:pPr>
      <w:r w:rsidRPr="00F316C9">
        <w:rPr>
          <w:sz w:val="22"/>
          <w:szCs w:val="22"/>
        </w:rPr>
        <w:t>supports young parents through both academic and parenting education and facilitates re-engagement into education by targeting the support needs of young families, addressing social inclusion and reducing isolation of disadvantaged families.</w:t>
      </w:r>
      <w:r w:rsidRPr="00F316C9">
        <w:rPr>
          <w:sz w:val="20"/>
          <w:vertAlign w:val="superscript"/>
        </w:rPr>
        <w:endnoteReference w:id="619"/>
      </w:r>
    </w:p>
    <w:p w:rsidR="00F13BA8" w:rsidRDefault="00F13BA8" w:rsidP="00F13BA8">
      <w:r w:rsidRPr="000F4F72">
        <w:t>Another important issue related to the education of young parents (especially young mothers), raised by the Association of Women Educators, is that of cancelled enrolments.</w:t>
      </w:r>
      <w:r w:rsidRPr="000E54E6">
        <w:rPr>
          <w:rStyle w:val="Rimandonotadichiusura"/>
        </w:rPr>
        <w:endnoteReference w:id="620"/>
      </w:r>
      <w:r w:rsidRPr="000F4F72">
        <w:t xml:space="preserve"> They advised me that it is not uncommon for young mothers to have their school enrolments cancelled without recourse to departmental procedures.</w:t>
      </w:r>
      <w:r w:rsidRPr="000E54E6">
        <w:rPr>
          <w:rStyle w:val="Rimandonotadichiusura"/>
        </w:rPr>
        <w:endnoteReference w:id="621"/>
      </w:r>
      <w:r w:rsidRPr="00F316C9">
        <w:t xml:space="preserve"> This is because young women and their families are </w:t>
      </w:r>
      <w:r>
        <w:t xml:space="preserve">often </w:t>
      </w:r>
      <w:r w:rsidRPr="00F316C9">
        <w:t>unaware of their rights</w:t>
      </w:r>
      <w:r>
        <w:t>.</w:t>
      </w:r>
      <w:r w:rsidRPr="00F316C9">
        <w:t xml:space="preserve"> </w:t>
      </w:r>
    </w:p>
    <w:p w:rsidR="00F13BA8" w:rsidRPr="00F316C9" w:rsidRDefault="00F13BA8" w:rsidP="00F13BA8">
      <w:r>
        <w:t>R</w:t>
      </w:r>
      <w:r w:rsidRPr="00F316C9">
        <w:t>eason</w:t>
      </w:r>
      <w:r>
        <w:t>s</w:t>
      </w:r>
      <w:r w:rsidRPr="00F316C9">
        <w:t xml:space="preserve"> given for </w:t>
      </w:r>
      <w:r>
        <w:t>enrolment</w:t>
      </w:r>
      <w:r w:rsidRPr="00F316C9">
        <w:t xml:space="preserve"> cancellation can be ambiguous</w:t>
      </w:r>
      <w:r>
        <w:t>, such</w:t>
      </w:r>
      <w:r w:rsidRPr="00F316C9">
        <w:t xml:space="preserve"> as saying the parenting student is ‘not suitable’.</w:t>
      </w:r>
      <w:r w:rsidRPr="000E54E6">
        <w:rPr>
          <w:rStyle w:val="Rimandonotadichiusura"/>
        </w:rPr>
        <w:endnoteReference w:id="622"/>
      </w:r>
      <w:r w:rsidRPr="00F316C9">
        <w:t xml:space="preserve"> As the Association of Women Educators note:</w:t>
      </w:r>
    </w:p>
    <w:p w:rsidR="00F13BA8" w:rsidRPr="006E10FB" w:rsidRDefault="00F13BA8" w:rsidP="00B55241">
      <w:pPr>
        <w:spacing w:after="400"/>
        <w:ind w:left="862"/>
        <w:rPr>
          <w:b/>
          <w:bCs/>
        </w:rPr>
      </w:pPr>
      <w:r w:rsidRPr="00F316C9">
        <w:rPr>
          <w:iCs/>
          <w:sz w:val="22"/>
          <w:szCs w:val="22"/>
        </w:rPr>
        <w:t>Young mothers are likely to experience discrimination in relation to the resumption or completion of basic education. This is often due to young mothers having disengaged from education prior to school completion, or having had poor outcomes from schooling, often linked to existing disadvantage.</w:t>
      </w:r>
      <w:r w:rsidRPr="00F316C9">
        <w:rPr>
          <w:iCs/>
          <w:sz w:val="20"/>
          <w:vertAlign w:val="superscript"/>
        </w:rPr>
        <w:endnoteReference w:id="623"/>
      </w:r>
    </w:p>
    <w:tbl>
      <w:tblPr>
        <w:tblStyle w:val="Grigliatabella"/>
        <w:tblW w:w="0" w:type="auto"/>
        <w:tblCellMar>
          <w:left w:w="284" w:type="dxa"/>
          <w:bottom w:w="284" w:type="dxa"/>
          <w:right w:w="284" w:type="dxa"/>
        </w:tblCellMar>
        <w:tblLook w:val="04A0" w:firstRow="1" w:lastRow="0" w:firstColumn="1" w:lastColumn="0" w:noHBand="0" w:noVBand="1"/>
      </w:tblPr>
      <w:tblGrid>
        <w:gridCol w:w="9060"/>
      </w:tblGrid>
      <w:tr w:rsidR="00F13BA8" w:rsidRPr="00F316C9" w:rsidTr="00B55241">
        <w:tc>
          <w:tcPr>
            <w:tcW w:w="9060" w:type="dxa"/>
          </w:tcPr>
          <w:p w:rsidR="00F13BA8" w:rsidRDefault="00F13BA8" w:rsidP="00F763BE">
            <w:r w:rsidRPr="006E10FB">
              <w:rPr>
                <w:b/>
                <w:iCs/>
              </w:rPr>
              <w:t xml:space="preserve">Box </w:t>
            </w:r>
            <w:r>
              <w:rPr>
                <w:b/>
                <w:iCs/>
              </w:rPr>
              <w:t>5:</w:t>
            </w:r>
            <w:r w:rsidRPr="006E10FB">
              <w:rPr>
                <w:b/>
                <w:iCs/>
              </w:rPr>
              <w:t xml:space="preserve"> </w:t>
            </w:r>
            <w:r w:rsidRPr="006E10FB">
              <w:rPr>
                <w:b/>
                <w:bCs/>
              </w:rPr>
              <w:t>Supporting Teenagers with Education, Mothering and Mentoring (STEMM)</w:t>
            </w:r>
            <w:r w:rsidRPr="007B5C20">
              <w:rPr>
                <w:rStyle w:val="Rimandonotadichiusura"/>
                <w:bCs/>
              </w:rPr>
              <w:endnoteReference w:id="624"/>
            </w:r>
          </w:p>
          <w:p w:rsidR="00F13BA8" w:rsidRPr="00F316C9" w:rsidRDefault="00F13BA8" w:rsidP="00F763BE">
            <w:r w:rsidRPr="00F316C9">
              <w:t>STEMM, established in 2008 and based on the Sunshine Coast, is an innovative, wrap-around service model which re-engages pregnant girls and young mothers with education in a safe and non-judgemental environment.</w:t>
            </w:r>
          </w:p>
          <w:p w:rsidR="00F13BA8" w:rsidRPr="00F316C9" w:rsidRDefault="00F13BA8" w:rsidP="00F763BE">
            <w:r w:rsidRPr="00F316C9">
              <w:t xml:space="preserve">Pregnant students from 12 weeks of pregnancy and young mothers under 24 years old can enrol at STEMM. Each young mum will be given </w:t>
            </w:r>
            <w:r>
              <w:t xml:space="preserve">the opportunity to develop life </w:t>
            </w:r>
            <w:r w:rsidRPr="00F316C9">
              <w:t>skills, parenting skills, healthy relationship skills and pre</w:t>
            </w:r>
            <w:r>
              <w:t>- and post-</w:t>
            </w:r>
            <w:r w:rsidRPr="00F316C9">
              <w:t xml:space="preserve">birthing knowledge, as well as vocational education and </w:t>
            </w:r>
            <w:r>
              <w:t>tertiary pathways p</w:t>
            </w:r>
            <w:r w:rsidRPr="00F316C9">
              <w:t xml:space="preserve">rograms. </w:t>
            </w:r>
          </w:p>
          <w:p w:rsidR="00F13BA8" w:rsidRPr="00F316C9" w:rsidRDefault="00F13BA8" w:rsidP="00F763BE">
            <w:pPr>
              <w:rPr>
                <w:b/>
                <w:bCs/>
              </w:rPr>
            </w:pPr>
            <w:r w:rsidRPr="00F316C9">
              <w:rPr>
                <w:b/>
                <w:bCs/>
              </w:rPr>
              <w:t>Key</w:t>
            </w:r>
            <w:r w:rsidR="001F274A">
              <w:rPr>
                <w:b/>
                <w:bCs/>
              </w:rPr>
              <w:t xml:space="preserve"> features:</w:t>
            </w:r>
          </w:p>
          <w:p w:rsidR="00F13BA8" w:rsidRPr="00F316C9" w:rsidRDefault="00F13BA8" w:rsidP="00222517">
            <w:pPr>
              <w:numPr>
                <w:ilvl w:val="0"/>
                <w:numId w:val="167"/>
              </w:numPr>
              <w:contextualSpacing/>
              <w:rPr>
                <w:b/>
                <w:bCs/>
              </w:rPr>
            </w:pPr>
            <w:r>
              <w:t xml:space="preserve">on-site child </w:t>
            </w:r>
            <w:r w:rsidRPr="00F316C9">
              <w:t xml:space="preserve">care (up to age 4) </w:t>
            </w:r>
          </w:p>
          <w:p w:rsidR="00F13BA8" w:rsidRPr="00F316C9" w:rsidRDefault="00F13BA8" w:rsidP="00222517">
            <w:pPr>
              <w:numPr>
                <w:ilvl w:val="0"/>
                <w:numId w:val="167"/>
              </w:numPr>
              <w:contextualSpacing/>
              <w:rPr>
                <w:b/>
                <w:bCs/>
              </w:rPr>
            </w:pPr>
            <w:r>
              <w:rPr>
                <w:bCs/>
              </w:rPr>
              <w:t>f</w:t>
            </w:r>
            <w:r w:rsidRPr="007F168F">
              <w:rPr>
                <w:bCs/>
              </w:rPr>
              <w:t xml:space="preserve">lexible </w:t>
            </w:r>
            <w:r>
              <w:rPr>
                <w:bCs/>
              </w:rPr>
              <w:t>e</w:t>
            </w:r>
            <w:r w:rsidRPr="007F168F">
              <w:rPr>
                <w:bCs/>
              </w:rPr>
              <w:t xml:space="preserve">ducation </w:t>
            </w:r>
            <w:r>
              <w:rPr>
                <w:bCs/>
              </w:rPr>
              <w:t>d</w:t>
            </w:r>
            <w:r w:rsidRPr="007F168F">
              <w:rPr>
                <w:bCs/>
              </w:rPr>
              <w:t>elivery</w:t>
            </w:r>
          </w:p>
          <w:p w:rsidR="00F13BA8" w:rsidRPr="00F316C9" w:rsidRDefault="00F13BA8" w:rsidP="00222517">
            <w:pPr>
              <w:numPr>
                <w:ilvl w:val="0"/>
                <w:numId w:val="167"/>
              </w:numPr>
              <w:contextualSpacing/>
            </w:pPr>
            <w:r>
              <w:rPr>
                <w:bCs/>
              </w:rPr>
              <w:t>c</w:t>
            </w:r>
            <w:r w:rsidRPr="007F168F">
              <w:rPr>
                <w:bCs/>
              </w:rPr>
              <w:t xml:space="preserve">ommunity </w:t>
            </w:r>
            <w:r>
              <w:rPr>
                <w:bCs/>
              </w:rPr>
              <w:t>p</w:t>
            </w:r>
            <w:r w:rsidRPr="007F168F">
              <w:rPr>
                <w:bCs/>
              </w:rPr>
              <w:t>artnerships</w:t>
            </w:r>
            <w:r>
              <w:rPr>
                <w:b/>
                <w:bCs/>
              </w:rPr>
              <w:t xml:space="preserve"> </w:t>
            </w:r>
            <w:r w:rsidRPr="00F316C9">
              <w:t xml:space="preserve">to provide young parents with wrap-around services as well as educational opportunities </w:t>
            </w:r>
          </w:p>
          <w:p w:rsidR="00F13BA8" w:rsidRPr="00F316C9" w:rsidRDefault="00F13BA8" w:rsidP="00222517">
            <w:pPr>
              <w:numPr>
                <w:ilvl w:val="0"/>
                <w:numId w:val="167"/>
              </w:numPr>
              <w:contextualSpacing/>
            </w:pPr>
            <w:r>
              <w:rPr>
                <w:bCs/>
              </w:rPr>
              <w:t>t</w:t>
            </w:r>
            <w:r w:rsidRPr="007F168F">
              <w:rPr>
                <w:bCs/>
              </w:rPr>
              <w:t>ransport</w:t>
            </w:r>
            <w:r w:rsidRPr="00F316C9">
              <w:t xml:space="preserve"> to attend the program </w:t>
            </w:r>
          </w:p>
          <w:p w:rsidR="00F13BA8" w:rsidRPr="00F316C9" w:rsidRDefault="00F13BA8" w:rsidP="00222517">
            <w:pPr>
              <w:numPr>
                <w:ilvl w:val="0"/>
                <w:numId w:val="167"/>
              </w:numPr>
              <w:spacing w:before="0"/>
              <w:ind w:left="714" w:hanging="357"/>
            </w:pPr>
            <w:r>
              <w:rPr>
                <w:bCs/>
              </w:rPr>
              <w:t>an emphasis on developing r</w:t>
            </w:r>
            <w:r w:rsidRPr="007F168F">
              <w:rPr>
                <w:bCs/>
              </w:rPr>
              <w:t xml:space="preserve">espectful </w:t>
            </w:r>
            <w:r w:rsidRPr="003D79A3">
              <w:rPr>
                <w:bCs/>
              </w:rPr>
              <w:t>r</w:t>
            </w:r>
            <w:r w:rsidRPr="007F168F">
              <w:rPr>
                <w:bCs/>
              </w:rPr>
              <w:t>elationships with</w:t>
            </w:r>
            <w:r w:rsidRPr="003D79A3">
              <w:t xml:space="preserve"> </w:t>
            </w:r>
            <w:r w:rsidRPr="00F316C9">
              <w:t xml:space="preserve">young mothers through </w:t>
            </w:r>
            <w:r>
              <w:t>a</w:t>
            </w:r>
            <w:r w:rsidRPr="00F316C9">
              <w:t xml:space="preserve"> non-judgmental and supportive approach. </w:t>
            </w:r>
          </w:p>
          <w:p w:rsidR="00F13BA8" w:rsidRPr="00F316C9" w:rsidRDefault="00F13BA8" w:rsidP="00F763BE">
            <w:pPr>
              <w:rPr>
                <w:b/>
                <w:bCs/>
              </w:rPr>
            </w:pPr>
            <w:r w:rsidRPr="00F316C9">
              <w:rPr>
                <w:b/>
                <w:bCs/>
              </w:rPr>
              <w:t>Outcomes:</w:t>
            </w:r>
          </w:p>
          <w:p w:rsidR="00F13BA8" w:rsidRDefault="00F13BA8" w:rsidP="00222517">
            <w:pPr>
              <w:numPr>
                <w:ilvl w:val="0"/>
                <w:numId w:val="168"/>
              </w:numPr>
              <w:contextualSpacing/>
            </w:pPr>
            <w:r>
              <w:t>no babies</w:t>
            </w:r>
            <w:r w:rsidRPr="00F316C9">
              <w:t xml:space="preserve"> </w:t>
            </w:r>
            <w:r>
              <w:t xml:space="preserve">of participating mothers </w:t>
            </w:r>
            <w:r w:rsidRPr="00F316C9">
              <w:t xml:space="preserve">permanently placed in </w:t>
            </w:r>
            <w:r>
              <w:t>OOHC</w:t>
            </w:r>
            <w:r w:rsidRPr="00F316C9">
              <w:t xml:space="preserve"> </w:t>
            </w:r>
            <w:r>
              <w:t>since 2008</w:t>
            </w:r>
          </w:p>
          <w:p w:rsidR="00F13BA8" w:rsidRPr="00F316C9" w:rsidRDefault="00F13BA8" w:rsidP="00222517">
            <w:pPr>
              <w:numPr>
                <w:ilvl w:val="0"/>
                <w:numId w:val="168"/>
              </w:numPr>
              <w:contextualSpacing/>
            </w:pPr>
            <w:r w:rsidRPr="00F316C9">
              <w:t xml:space="preserve">a significant increase in the participation rate of pregnant or parenting students in education </w:t>
            </w:r>
          </w:p>
          <w:p w:rsidR="00F13BA8" w:rsidRDefault="00F13BA8" w:rsidP="00222517">
            <w:pPr>
              <w:numPr>
                <w:ilvl w:val="0"/>
                <w:numId w:val="168"/>
              </w:numPr>
              <w:contextualSpacing/>
            </w:pPr>
            <w:r>
              <w:t>o</w:t>
            </w:r>
            <w:r w:rsidRPr="00F316C9">
              <w:t>f 140 young women tracked</w:t>
            </w:r>
            <w:r>
              <w:t xml:space="preserve"> since leaving STEMM</w:t>
            </w:r>
            <w:r w:rsidRPr="00F316C9">
              <w:t>, 51% are working and 34% are studying in tertiary institutions</w:t>
            </w:r>
          </w:p>
          <w:p w:rsidR="00F13BA8" w:rsidRPr="00F316C9" w:rsidRDefault="00F13BA8" w:rsidP="00F763BE">
            <w:pPr>
              <w:numPr>
                <w:ilvl w:val="0"/>
                <w:numId w:val="168"/>
              </w:numPr>
              <w:contextualSpacing/>
            </w:pPr>
            <w:r>
              <w:t>f</w:t>
            </w:r>
            <w:r w:rsidRPr="00F316C9">
              <w:t xml:space="preserve">rom STEMM graduations in </w:t>
            </w:r>
            <w:r>
              <w:t>2016–17, five young mothers</w:t>
            </w:r>
            <w:r w:rsidRPr="00F316C9">
              <w:t xml:space="preserve"> finished tertiary education and have progressed into employment in the education, health and community services sectors. Further, four young</w:t>
            </w:r>
            <w:r>
              <w:t xml:space="preserve"> mothers have graduated from a c</w:t>
            </w:r>
            <w:r w:rsidRPr="00F316C9">
              <w:t>ertificate course and have also gained employment.</w:t>
            </w:r>
            <w:r>
              <w:t xml:space="preserve"> </w:t>
            </w:r>
            <w:r w:rsidRPr="00F316C9">
              <w:t xml:space="preserve">Based on these nine young mothers, STEMM has reported that the program has saved the government in excess of </w:t>
            </w:r>
            <w:r>
              <w:t>$4 million</w:t>
            </w:r>
            <w:r w:rsidRPr="00F316C9">
              <w:t xml:space="preserve"> in welfare support.</w:t>
            </w:r>
          </w:p>
        </w:tc>
      </w:tr>
    </w:tbl>
    <w:p w:rsidR="00F13BA8" w:rsidRDefault="00F13BA8" w:rsidP="00EE607C">
      <w:pPr>
        <w:spacing w:before="0" w:after="0"/>
        <w:rPr>
          <w:rFonts w:cs="Arial"/>
        </w:rPr>
      </w:pPr>
    </w:p>
    <w:p w:rsidR="00F13BA8" w:rsidRDefault="00F13BA8" w:rsidP="00F13BA8">
      <w:pPr>
        <w:spacing w:before="200" w:after="160"/>
        <w:rPr>
          <w:bCs/>
        </w:rPr>
      </w:pPr>
      <w:r>
        <w:rPr>
          <w:bCs/>
        </w:rPr>
        <w:t>P</w:t>
      </w:r>
      <w:r w:rsidRPr="00FD4BB1">
        <w:rPr>
          <w:bCs/>
        </w:rPr>
        <w:t>arentsNext,</w:t>
      </w:r>
      <w:r>
        <w:rPr>
          <w:b/>
          <w:bCs/>
        </w:rPr>
        <w:t xml:space="preserve"> </w:t>
      </w:r>
      <w:r w:rsidRPr="00F80498">
        <w:rPr>
          <w:bCs/>
        </w:rPr>
        <w:t>a national pre-employment program</w:t>
      </w:r>
      <w:r>
        <w:rPr>
          <w:bCs/>
        </w:rPr>
        <w:t>,</w:t>
      </w:r>
      <w:r w:rsidRPr="00F80498">
        <w:rPr>
          <w:bCs/>
        </w:rPr>
        <w:t xml:space="preserve"> funded nationally by the Department of Employment</w:t>
      </w:r>
      <w:r>
        <w:rPr>
          <w:bCs/>
        </w:rPr>
        <w:t>,</w:t>
      </w:r>
      <w:r w:rsidRPr="00F80498">
        <w:rPr>
          <w:bCs/>
        </w:rPr>
        <w:t xml:space="preserve"> is another example of a program which supports disadvantaged parents </w:t>
      </w:r>
      <w:r>
        <w:rPr>
          <w:bCs/>
        </w:rPr>
        <w:t xml:space="preserve">to </w:t>
      </w:r>
      <w:r w:rsidRPr="00F80498">
        <w:rPr>
          <w:bCs/>
        </w:rPr>
        <w:t>re-engage with education and seek employment pathways</w:t>
      </w:r>
      <w:r w:rsidR="00331CA9">
        <w:rPr>
          <w:bCs/>
        </w:rPr>
        <w:t xml:space="preserve"> (see Box 6).</w:t>
      </w:r>
    </w:p>
    <w:p w:rsidR="00F13BA8" w:rsidRDefault="00F13BA8" w:rsidP="00B55241">
      <w:pPr>
        <w:spacing w:after="400"/>
      </w:pPr>
      <w:r w:rsidRPr="00A708CA">
        <w:t xml:space="preserve">In 2018, this program will be further expanded to additional locations </w:t>
      </w:r>
      <w:r>
        <w:t xml:space="preserve">and specific streams targeted to engage Aboriginal and Torres Strait Islander parents as well as those most disadvantaged parents. </w:t>
      </w:r>
      <w:r w:rsidRPr="00A708CA">
        <w:t xml:space="preserve">At the time of writing, this program does not cater specifically for the needs of young parents, noting </w:t>
      </w:r>
      <w:r>
        <w:t>also that the</w:t>
      </w:r>
      <w:r w:rsidRPr="00A708CA">
        <w:t xml:space="preserve"> most vulnerable young parents live in rural or remote areas of Australia.</w:t>
      </w:r>
    </w:p>
    <w:tbl>
      <w:tblPr>
        <w:tblStyle w:val="Grigliatabella"/>
        <w:tblW w:w="0" w:type="auto"/>
        <w:shd w:val="clear" w:color="auto" w:fill="E7E6E6" w:themeFill="background2"/>
        <w:tblCellMar>
          <w:left w:w="284" w:type="dxa"/>
          <w:right w:w="284" w:type="dxa"/>
        </w:tblCellMar>
        <w:tblLook w:val="04A0" w:firstRow="1" w:lastRow="0" w:firstColumn="1" w:lastColumn="0" w:noHBand="0" w:noVBand="1"/>
      </w:tblPr>
      <w:tblGrid>
        <w:gridCol w:w="9060"/>
      </w:tblGrid>
      <w:tr w:rsidR="00F13BA8" w:rsidTr="007F14C2">
        <w:tc>
          <w:tcPr>
            <w:tcW w:w="9060" w:type="dxa"/>
            <w:shd w:val="clear" w:color="auto" w:fill="E7E6E6" w:themeFill="background2"/>
          </w:tcPr>
          <w:p w:rsidR="00F13BA8" w:rsidRDefault="00F13BA8" w:rsidP="00F763BE">
            <w:pPr>
              <w:spacing w:before="200" w:after="160"/>
              <w:rPr>
                <w:bCs/>
              </w:rPr>
            </w:pPr>
            <w:r w:rsidRPr="00DB1C2F">
              <w:rPr>
                <w:b/>
                <w:bCs/>
              </w:rPr>
              <w:t xml:space="preserve">Recommendation </w:t>
            </w:r>
            <w:r>
              <w:rPr>
                <w:b/>
                <w:bCs/>
              </w:rPr>
              <w:t>10</w:t>
            </w:r>
            <w:r w:rsidRPr="00DB1C2F">
              <w:rPr>
                <w:b/>
                <w:bCs/>
              </w:rPr>
              <w:t>:</w:t>
            </w:r>
            <w:r w:rsidRPr="00DB1C2F">
              <w:rPr>
                <w:bCs/>
              </w:rPr>
              <w:t xml:space="preserve"> </w:t>
            </w:r>
            <w:r>
              <w:rPr>
                <w:bCs/>
              </w:rPr>
              <w:t>The Australian Government</w:t>
            </w:r>
            <w:r w:rsidRPr="00FD4BB1">
              <w:rPr>
                <w:bCs/>
              </w:rPr>
              <w:t xml:space="preserve"> </w:t>
            </w:r>
            <w:r>
              <w:rPr>
                <w:bCs/>
              </w:rPr>
              <w:t xml:space="preserve">should </w:t>
            </w:r>
            <w:r w:rsidRPr="00FD4BB1">
              <w:rPr>
                <w:bCs/>
              </w:rPr>
              <w:t>develop a specific ParentsNext stream for young parents, in particular for those living in rural or remote Australia.</w:t>
            </w:r>
            <w:r>
              <w:rPr>
                <w:bCs/>
              </w:rPr>
              <w:t xml:space="preserve"> </w:t>
            </w:r>
          </w:p>
        </w:tc>
      </w:tr>
    </w:tbl>
    <w:p w:rsidR="00DC32C7" w:rsidRDefault="00DC32C7" w:rsidP="00B55241"/>
    <w:tbl>
      <w:tblPr>
        <w:tblStyle w:val="Grigliatabella"/>
        <w:tblW w:w="0" w:type="auto"/>
        <w:tblCellMar>
          <w:left w:w="284" w:type="dxa"/>
          <w:bottom w:w="284" w:type="dxa"/>
          <w:right w:w="284" w:type="dxa"/>
        </w:tblCellMar>
        <w:tblLook w:val="04A0" w:firstRow="1" w:lastRow="0" w:firstColumn="1" w:lastColumn="0" w:noHBand="0" w:noVBand="1"/>
      </w:tblPr>
      <w:tblGrid>
        <w:gridCol w:w="9060"/>
      </w:tblGrid>
      <w:tr w:rsidR="00F13BA8" w:rsidTr="00B55241">
        <w:tc>
          <w:tcPr>
            <w:tcW w:w="9060" w:type="dxa"/>
          </w:tcPr>
          <w:p w:rsidR="00F13BA8" w:rsidRDefault="00F13BA8" w:rsidP="00F763BE">
            <w:pPr>
              <w:rPr>
                <w:b/>
                <w:bCs/>
              </w:rPr>
            </w:pPr>
            <w:r w:rsidRPr="00220D04">
              <w:rPr>
                <w:b/>
                <w:bCs/>
              </w:rPr>
              <w:t xml:space="preserve">Box </w:t>
            </w:r>
            <w:r>
              <w:rPr>
                <w:b/>
                <w:bCs/>
              </w:rPr>
              <w:t>6:</w:t>
            </w:r>
            <w:r w:rsidRPr="00220D04">
              <w:rPr>
                <w:b/>
                <w:bCs/>
              </w:rPr>
              <w:t xml:space="preserve"> ParentsNext, Department of Employment</w:t>
            </w:r>
            <w:r w:rsidRPr="007B5C20">
              <w:rPr>
                <w:rStyle w:val="Rimandonotadichiusura"/>
                <w:bCs/>
              </w:rPr>
              <w:endnoteReference w:id="625"/>
            </w:r>
          </w:p>
          <w:p w:rsidR="00F13BA8" w:rsidRDefault="00F13BA8" w:rsidP="00F763BE">
            <w:r>
              <w:t xml:space="preserve">ParentsNext is a pre-employment program that provides early intervention assistance to parents with young children. Providers assist parents to identify their education and employment goals and refer parents to local activities and service providers to assist them in achieving goals. In essence, the program is an engagement and referral program. </w:t>
            </w:r>
          </w:p>
          <w:p w:rsidR="00F13BA8" w:rsidRDefault="00F13BA8" w:rsidP="00F763BE">
            <w:r>
              <w:t xml:space="preserve">Since April 2016, ParentsNext has operated in ten locations across Australia. In July 2018, the program will be expanded to operate in all non-remote areas across Australia for people in receipt of the Parenting Payment.  The national expansion of ParentsNext will consist of two distinct program streams (i) an intensive stream delivered in 30 locations focused on supporting Aboriginal and Torres Strait Islander parents to prepare for employment; and (ii) another stream focused on assisting the most disadvantaged parents in all 51 employment regions. </w:t>
            </w:r>
          </w:p>
          <w:p w:rsidR="00F13BA8" w:rsidRDefault="00F13BA8" w:rsidP="00F763BE">
            <w:r>
              <w:t>Eligibility criteria differ for each stream.</w:t>
            </w:r>
          </w:p>
          <w:p w:rsidR="00F13BA8" w:rsidRDefault="00F13BA8" w:rsidP="00F763BE">
            <w:pPr>
              <w:rPr>
                <w:b/>
              </w:rPr>
            </w:pPr>
            <w:r>
              <w:rPr>
                <w:b/>
              </w:rPr>
              <w:t xml:space="preserve">Key features: </w:t>
            </w:r>
          </w:p>
          <w:p w:rsidR="00F13BA8" w:rsidRPr="004B68F5" w:rsidRDefault="00F13BA8" w:rsidP="00222517">
            <w:pPr>
              <w:pStyle w:val="Paragrafoelenco"/>
              <w:numPr>
                <w:ilvl w:val="0"/>
                <w:numId w:val="169"/>
              </w:numPr>
              <w:ind w:hanging="720"/>
              <w:jc w:val="left"/>
            </w:pPr>
            <w:r w:rsidRPr="00DC6ECB">
              <w:rPr>
                <w:b/>
              </w:rPr>
              <w:t>Tailored assistance</w:t>
            </w:r>
            <w:r>
              <w:t xml:space="preserve"> to develop a p</w:t>
            </w:r>
            <w:r w:rsidRPr="004B68F5">
              <w:t xml:space="preserve">articipation </w:t>
            </w:r>
            <w:r>
              <w:t>p</w:t>
            </w:r>
            <w:r w:rsidRPr="004B68F5">
              <w:t xml:space="preserve">lan </w:t>
            </w:r>
            <w:r>
              <w:t>that identifies</w:t>
            </w:r>
            <w:r w:rsidRPr="004B68F5">
              <w:t xml:space="preserve"> parents</w:t>
            </w:r>
            <w:r>
              <w:t>’</w:t>
            </w:r>
            <w:r w:rsidRPr="004B68F5">
              <w:t xml:space="preserve"> employment and education goals</w:t>
            </w:r>
          </w:p>
          <w:p w:rsidR="00F13BA8" w:rsidRPr="004A624A" w:rsidRDefault="00F13BA8" w:rsidP="00222517">
            <w:pPr>
              <w:pStyle w:val="Paragrafoelenco"/>
              <w:numPr>
                <w:ilvl w:val="0"/>
                <w:numId w:val="169"/>
              </w:numPr>
              <w:ind w:hanging="720"/>
              <w:jc w:val="left"/>
            </w:pPr>
            <w:r>
              <w:rPr>
                <w:b/>
              </w:rPr>
              <w:t xml:space="preserve">Regular contact </w:t>
            </w:r>
            <w:r w:rsidRPr="008D6DDD">
              <w:t>with providers</w:t>
            </w:r>
            <w:r>
              <w:rPr>
                <w:b/>
              </w:rPr>
              <w:t xml:space="preserve"> </w:t>
            </w:r>
            <w:r w:rsidRPr="008D6DDD">
              <w:t xml:space="preserve">to build rapport and determine individual </w:t>
            </w:r>
            <w:r>
              <w:t xml:space="preserve">work </w:t>
            </w:r>
            <w:r w:rsidRPr="008D6DDD">
              <w:t>g</w:t>
            </w:r>
            <w:r>
              <w:t>oals and family responsibilities</w:t>
            </w:r>
          </w:p>
          <w:p w:rsidR="00F13BA8" w:rsidRPr="00F42B81" w:rsidRDefault="00F13BA8" w:rsidP="00DF14C0">
            <w:pPr>
              <w:pStyle w:val="Paragrafoelenco"/>
              <w:numPr>
                <w:ilvl w:val="0"/>
                <w:numId w:val="169"/>
              </w:numPr>
              <w:spacing w:after="0"/>
              <w:ind w:hanging="720"/>
              <w:jc w:val="left"/>
            </w:pPr>
            <w:r w:rsidRPr="00DC6ECB">
              <w:rPr>
                <w:b/>
              </w:rPr>
              <w:t>Connecting parents</w:t>
            </w:r>
            <w:r w:rsidRPr="004B68F5">
              <w:t xml:space="preserve"> with s</w:t>
            </w:r>
            <w:r>
              <w:t xml:space="preserve">ervices in the local community — including child care providers. </w:t>
            </w:r>
          </w:p>
        </w:tc>
      </w:tr>
    </w:tbl>
    <w:p w:rsidR="00F13BA8" w:rsidRDefault="00F13BA8" w:rsidP="00F13BA8">
      <w:pPr>
        <w:pStyle w:val="Titolo3"/>
      </w:pPr>
      <w:bookmarkStart w:id="114" w:name="_Toc500308806"/>
      <w:r>
        <w:t>Housing</w:t>
      </w:r>
      <w:bookmarkEnd w:id="114"/>
    </w:p>
    <w:p w:rsidR="00F13BA8" w:rsidRDefault="00F13BA8" w:rsidP="00F13BA8">
      <w:r w:rsidRPr="00F316C9">
        <w:t xml:space="preserve">Several of the submissions </w:t>
      </w:r>
      <w:r>
        <w:t xml:space="preserve">cited the need for stable and </w:t>
      </w:r>
      <w:r w:rsidRPr="00F316C9">
        <w:t>secure housing as a c</w:t>
      </w:r>
      <w:r>
        <w:t>ore</w:t>
      </w:r>
      <w:r w:rsidRPr="00F316C9">
        <w:t xml:space="preserve"> issue for young parents.</w:t>
      </w:r>
      <w:r w:rsidRPr="00F316C9">
        <w:rPr>
          <w:sz w:val="20"/>
          <w:vertAlign w:val="superscript"/>
        </w:rPr>
        <w:endnoteReference w:id="626"/>
      </w:r>
      <w:r w:rsidRPr="00F316C9">
        <w:t xml:space="preserve"> As noted by the Department of Family and Community Services (FaCS) in NSW, ‘teenage parenting often coincides with temporary, unsafe and unhygienic housing due to lack of affordability’.</w:t>
      </w:r>
      <w:r w:rsidRPr="00F316C9">
        <w:rPr>
          <w:sz w:val="20"/>
          <w:vertAlign w:val="superscript"/>
        </w:rPr>
        <w:endnoteReference w:id="627"/>
      </w:r>
      <w:r>
        <w:t xml:space="preserve"> </w:t>
      </w:r>
      <w:r w:rsidRPr="00F316C9">
        <w:t>Karinya Young Women’s Service (KYWS) specifically cite</w:t>
      </w:r>
      <w:r>
        <w:t>d</w:t>
      </w:r>
      <w:r w:rsidRPr="00F316C9">
        <w:t xml:space="preserve"> ‘access to suitable properties</w:t>
      </w:r>
      <w:r>
        <w:t xml:space="preserve"> and security of tenure’ as central</w:t>
      </w:r>
      <w:r w:rsidRPr="00F316C9">
        <w:t xml:space="preserve"> to addressing other issues and challenges that young parents often face (such as drug and/or alcohol misuse, </w:t>
      </w:r>
      <w:r>
        <w:t xml:space="preserve">family and </w:t>
      </w:r>
      <w:r w:rsidRPr="00F316C9">
        <w:t>domestic violence</w:t>
      </w:r>
      <w:r>
        <w:t xml:space="preserve"> and</w:t>
      </w:r>
      <w:r w:rsidRPr="00F316C9">
        <w:t xml:space="preserve"> family breakdown).</w:t>
      </w:r>
      <w:r w:rsidRPr="00F316C9">
        <w:rPr>
          <w:sz w:val="20"/>
          <w:vertAlign w:val="superscript"/>
        </w:rPr>
        <w:endnoteReference w:id="628"/>
      </w:r>
      <w:r w:rsidRPr="00F316C9">
        <w:t xml:space="preserve"> </w:t>
      </w:r>
      <w:r>
        <w:t>They further note that:</w:t>
      </w:r>
    </w:p>
    <w:p w:rsidR="00F13BA8" w:rsidRPr="005A2639" w:rsidRDefault="00F13BA8" w:rsidP="000E54E6">
      <w:pPr>
        <w:pStyle w:val="Citazione"/>
      </w:pPr>
      <w:r w:rsidRPr="005A2639">
        <w:t>Without the stability of accommodation the young parent is restricted in addressing any other needs and it is fundamental to their future development and that of their child/children.</w:t>
      </w:r>
      <w:r>
        <w:t xml:space="preserve"> </w:t>
      </w:r>
      <w:r w:rsidRPr="005A2639">
        <w:t>It has been identified that once accommodation is in place then other issues, concerns or requirements can be addressed.</w:t>
      </w:r>
      <w:r w:rsidRPr="000E54E6">
        <w:rPr>
          <w:rStyle w:val="Rimandonotadichiusura"/>
          <w:sz w:val="22"/>
          <w:szCs w:val="22"/>
        </w:rPr>
        <w:endnoteReference w:id="629"/>
      </w:r>
    </w:p>
    <w:p w:rsidR="00F13BA8" w:rsidRDefault="00F13BA8" w:rsidP="00F13BA8">
      <w:r>
        <w:t>Access to housing</w:t>
      </w:r>
      <w:r w:rsidRPr="00F316C9">
        <w:t xml:space="preserve"> was also raised as a significant issue in the round</w:t>
      </w:r>
      <w:r>
        <w:t xml:space="preserve">tables. Participants advised </w:t>
      </w:r>
      <w:r w:rsidRPr="00F316C9">
        <w:t xml:space="preserve">that young people with children tend to go into the social housing system and </w:t>
      </w:r>
      <w:r>
        <w:t>find themselves</w:t>
      </w:r>
      <w:r w:rsidRPr="00F316C9">
        <w:t xml:space="preserve"> </w:t>
      </w:r>
      <w:r>
        <w:t xml:space="preserve">living in </w:t>
      </w:r>
      <w:r w:rsidRPr="00F316C9">
        <w:t>area</w:t>
      </w:r>
      <w:r>
        <w:t>s</w:t>
      </w:r>
      <w:r w:rsidRPr="00F316C9">
        <w:t xml:space="preserve"> which </w:t>
      </w:r>
      <w:r>
        <w:t>are</w:t>
      </w:r>
      <w:r w:rsidRPr="00F316C9">
        <w:t xml:space="preserve"> </w:t>
      </w:r>
      <w:r>
        <w:t>often socially and economically</w:t>
      </w:r>
      <w:r w:rsidRPr="00F316C9">
        <w:t xml:space="preserve"> disadvantaged</w:t>
      </w:r>
      <w:r>
        <w:t xml:space="preserve">. This may </w:t>
      </w:r>
      <w:r w:rsidRPr="00F316C9">
        <w:t>c</w:t>
      </w:r>
      <w:r>
        <w:t>ontribute to</w:t>
      </w:r>
      <w:r w:rsidRPr="00F316C9">
        <w:t xml:space="preserve"> long</w:t>
      </w:r>
      <w:r>
        <w:t xml:space="preserve"> </w:t>
      </w:r>
      <w:r w:rsidRPr="00F316C9">
        <w:t xml:space="preserve">term poverty, food stress and </w:t>
      </w:r>
      <w:r>
        <w:t>an inability to move to another neighbourhood</w:t>
      </w:r>
      <w:r w:rsidRPr="00F316C9">
        <w:t>.</w:t>
      </w:r>
      <w:r w:rsidRPr="00F316C9">
        <w:rPr>
          <w:sz w:val="20"/>
          <w:vertAlign w:val="superscript"/>
        </w:rPr>
        <w:endnoteReference w:id="630"/>
      </w:r>
      <w:r w:rsidRPr="00F316C9">
        <w:t xml:space="preserve"> </w:t>
      </w:r>
    </w:p>
    <w:p w:rsidR="00F13BA8" w:rsidRDefault="00F13BA8" w:rsidP="00F13BA8">
      <w:r>
        <w:t>T</w:t>
      </w:r>
      <w:r w:rsidRPr="00F316C9">
        <w:t>he Advocate for Children and Young People (ACYP) NSW’s submission notes that some of the barriers to housing for young parents include</w:t>
      </w:r>
      <w:r>
        <w:t>:</w:t>
      </w:r>
      <w:r w:rsidRPr="00F316C9">
        <w:t xml:space="preserve"> the high cost of rent coupled with low</w:t>
      </w:r>
      <w:r>
        <w:t xml:space="preserve"> income and unstable employment; poor or no rental history;</w:t>
      </w:r>
      <w:r w:rsidRPr="00F316C9">
        <w:t xml:space="preserve"> lack of experience navigating the rental market</w:t>
      </w:r>
      <w:r>
        <w:t>;</w:t>
      </w:r>
      <w:r w:rsidRPr="00F316C9">
        <w:t xml:space="preserve"> and reported discrimination from real estate agents.</w:t>
      </w:r>
      <w:r w:rsidRPr="00F316C9">
        <w:rPr>
          <w:sz w:val="20"/>
          <w:vertAlign w:val="superscript"/>
        </w:rPr>
        <w:endnoteReference w:id="631"/>
      </w:r>
      <w:r w:rsidRPr="00F316C9">
        <w:t xml:space="preserve"> </w:t>
      </w:r>
      <w:r>
        <w:t>However</w:t>
      </w:r>
      <w:r w:rsidRPr="00F316C9">
        <w:t xml:space="preserve">, </w:t>
      </w:r>
      <w:r>
        <w:t xml:space="preserve">this submission reported </w:t>
      </w:r>
      <w:r w:rsidRPr="00F316C9">
        <w:t>that where young parents have case workers advocating on their behalf for housing, they are more likely to be successful.</w:t>
      </w:r>
      <w:r w:rsidRPr="00F316C9">
        <w:rPr>
          <w:sz w:val="20"/>
          <w:vertAlign w:val="superscript"/>
        </w:rPr>
        <w:endnoteReference w:id="632"/>
      </w:r>
      <w:r w:rsidRPr="00F316C9">
        <w:t xml:space="preserve"> </w:t>
      </w:r>
    </w:p>
    <w:p w:rsidR="00F13BA8" w:rsidRPr="00F316C9" w:rsidRDefault="00F13BA8" w:rsidP="00F13BA8">
      <w:r w:rsidRPr="00F316C9">
        <w:t xml:space="preserve">In the roundtable discussions, participants advised that for services to be successful in supporting young people to acquire rental properties, relationships </w:t>
      </w:r>
      <w:r>
        <w:t xml:space="preserve">need to be built </w:t>
      </w:r>
      <w:r w:rsidRPr="00F316C9">
        <w:t>with local rental agencies.</w:t>
      </w:r>
      <w:r w:rsidRPr="00F316C9">
        <w:rPr>
          <w:sz w:val="20"/>
          <w:vertAlign w:val="superscript"/>
        </w:rPr>
        <w:endnoteReference w:id="633"/>
      </w:r>
      <w:r w:rsidRPr="00F316C9">
        <w:t xml:space="preserve"> Some agencies </w:t>
      </w:r>
      <w:r>
        <w:t xml:space="preserve">told </w:t>
      </w:r>
      <w:r w:rsidRPr="00F316C9">
        <w:t xml:space="preserve">me </w:t>
      </w:r>
      <w:r>
        <w:t>about their</w:t>
      </w:r>
      <w:r w:rsidRPr="00F316C9">
        <w:t xml:space="preserve"> success in obtaining private rental properties for their clients</w:t>
      </w:r>
      <w:r>
        <w:t xml:space="preserve"> through developing strong relationships with local real estate agents</w:t>
      </w:r>
      <w:r w:rsidRPr="00F316C9">
        <w:t>. Zoe Support</w:t>
      </w:r>
      <w:r>
        <w:t xml:space="preserve"> was one of these, reporting</w:t>
      </w:r>
      <w:r w:rsidRPr="00F316C9">
        <w:t xml:space="preserve"> that 30% of young mothers utilising their services are now in private rental </w:t>
      </w:r>
      <w:r>
        <w:t>rather than</w:t>
      </w:r>
      <w:r w:rsidRPr="00F316C9">
        <w:t xml:space="preserve"> public housing.</w:t>
      </w:r>
      <w:r w:rsidRPr="00F316C9">
        <w:rPr>
          <w:sz w:val="20"/>
          <w:vertAlign w:val="superscript"/>
        </w:rPr>
        <w:endnoteReference w:id="634"/>
      </w:r>
    </w:p>
    <w:p w:rsidR="00F13BA8" w:rsidRDefault="00F13BA8" w:rsidP="00F13BA8">
      <w:r>
        <w:t xml:space="preserve">Consequently, </w:t>
      </w:r>
      <w:r w:rsidRPr="00F316C9">
        <w:t>when young parents (especially young women) have difficulties accessing stable housing, often without support from their partners or family and friends, they are at a highe</w:t>
      </w:r>
      <w:r>
        <w:t>r risk of homelessness. A</w:t>
      </w:r>
      <w:r w:rsidRPr="00F316C9">
        <w:t xml:space="preserve">s Kuskoff points out, young parents </w:t>
      </w:r>
      <w:r>
        <w:t xml:space="preserve">constitute </w:t>
      </w:r>
      <w:r w:rsidRPr="00F316C9">
        <w:t>a</w:t>
      </w:r>
      <w:r>
        <w:t>n</w:t>
      </w:r>
      <w:r w:rsidRPr="00F316C9">
        <w:t xml:space="preserve"> increasingly large</w:t>
      </w:r>
      <w:r>
        <w:t xml:space="preserve"> proportion of young people (12–</w:t>
      </w:r>
      <w:r w:rsidRPr="00F316C9">
        <w:t>24 years) experiencing homelessness.</w:t>
      </w:r>
      <w:r w:rsidRPr="00F316C9">
        <w:rPr>
          <w:sz w:val="20"/>
          <w:vertAlign w:val="superscript"/>
        </w:rPr>
        <w:endnoteReference w:id="635"/>
      </w:r>
      <w:r>
        <w:t xml:space="preserve"> Further</w:t>
      </w:r>
      <w:r w:rsidRPr="00F316C9">
        <w:t>, approximately 10</w:t>
      </w:r>
      <w:r>
        <w:t>,</w:t>
      </w:r>
      <w:r w:rsidRPr="00F316C9">
        <w:t>000 young parents (</w:t>
      </w:r>
      <w:r w:rsidRPr="00E02F15">
        <w:t>15</w:t>
      </w:r>
      <w:r>
        <w:t>–24</w:t>
      </w:r>
      <w:r w:rsidRPr="00F316C9">
        <w:t xml:space="preserve"> years) require support from specialist homelessness services each year.</w:t>
      </w:r>
      <w:r w:rsidRPr="00F316C9">
        <w:rPr>
          <w:sz w:val="20"/>
          <w:vertAlign w:val="superscript"/>
        </w:rPr>
        <w:endnoteReference w:id="636"/>
      </w:r>
      <w:r w:rsidRPr="00F316C9">
        <w:t xml:space="preserve"> </w:t>
      </w:r>
    </w:p>
    <w:p w:rsidR="00F13BA8" w:rsidRPr="000E54E6" w:rsidRDefault="00F13BA8" w:rsidP="000E54E6">
      <w:pPr>
        <w:pStyle w:val="Citazione"/>
      </w:pPr>
      <w:r w:rsidRPr="005A2639">
        <w:t>Homelessness and housing instability can lead to unsafe environments for infants and children and consequ</w:t>
      </w:r>
      <w:r w:rsidRPr="00BB4BD9">
        <w:t>ent Child Protection</w:t>
      </w:r>
      <w:r w:rsidRPr="005A2639">
        <w:t xml:space="preserve"> involvement including removal of children</w:t>
      </w:r>
      <w:r w:rsidRPr="000E54E6">
        <w:t>.</w:t>
      </w:r>
      <w:r w:rsidRPr="000E54E6">
        <w:rPr>
          <w:rStyle w:val="Rimandonotadichiusura"/>
          <w:sz w:val="22"/>
          <w:szCs w:val="22"/>
        </w:rPr>
        <w:endnoteReference w:id="637"/>
      </w:r>
    </w:p>
    <w:p w:rsidR="00F13BA8" w:rsidRDefault="00F13BA8" w:rsidP="00F13BA8">
      <w:r>
        <w:t>Some participants at the roundtables</w:t>
      </w:r>
      <w:r w:rsidRPr="00F316C9">
        <w:t xml:space="preserve"> advised me that for young parents in the OOHC system,</w:t>
      </w:r>
      <w:r>
        <w:t xml:space="preserve"> </w:t>
      </w:r>
      <w:r w:rsidRPr="00F316C9">
        <w:t xml:space="preserve">there is </w:t>
      </w:r>
      <w:r>
        <w:t xml:space="preserve">often nowhere for </w:t>
      </w:r>
      <w:r w:rsidRPr="00F316C9">
        <w:t>young mothers and their babies to go while they are still</w:t>
      </w:r>
      <w:r>
        <w:t xml:space="preserve"> officially</w:t>
      </w:r>
      <w:r w:rsidRPr="00F316C9">
        <w:t xml:space="preserve"> in care</w:t>
      </w:r>
      <w:r>
        <w:t>, as it</w:t>
      </w:r>
      <w:r w:rsidRPr="00F316C9">
        <w:t xml:space="preserve"> is </w:t>
      </w:r>
      <w:r>
        <w:t>difficult to</w:t>
      </w:r>
      <w:r w:rsidRPr="00F316C9">
        <w:t xml:space="preserve"> find foster carers who will take both t</w:t>
      </w:r>
      <w:r>
        <w:t>he young parent and their child</w:t>
      </w:r>
      <w:r w:rsidRPr="00F316C9">
        <w:t>.</w:t>
      </w:r>
      <w:r w:rsidRPr="00F316C9">
        <w:rPr>
          <w:sz w:val="20"/>
          <w:vertAlign w:val="superscript"/>
        </w:rPr>
        <w:endnoteReference w:id="638"/>
      </w:r>
      <w:r w:rsidRPr="00F316C9">
        <w:t xml:space="preserve"> </w:t>
      </w:r>
    </w:p>
    <w:p w:rsidR="00F13BA8" w:rsidRPr="00F316C9" w:rsidRDefault="00F13BA8" w:rsidP="00F13BA8">
      <w:r w:rsidRPr="00F316C9">
        <w:t>I was also advised that</w:t>
      </w:r>
      <w:r>
        <w:t xml:space="preserve"> in some states, </w:t>
      </w:r>
      <w:r w:rsidRPr="00F316C9">
        <w:t>young mothers are not able to remain in OOHC residential services if they have a baby. Consequently, VACCA advocates for access to safe, secure and affordable housing as a critical factor in providing effective services to young parents with vulnerable children.</w:t>
      </w:r>
      <w:r w:rsidRPr="00F316C9">
        <w:rPr>
          <w:sz w:val="20"/>
          <w:vertAlign w:val="superscript"/>
        </w:rPr>
        <w:endnoteReference w:id="639"/>
      </w:r>
      <w:r w:rsidRPr="00F316C9">
        <w:t xml:space="preserve"> Similarly, in the roundtables</w:t>
      </w:r>
      <w:r>
        <w:t xml:space="preserve"> </w:t>
      </w:r>
      <w:r w:rsidRPr="00F316C9">
        <w:t xml:space="preserve">some participants suggested refocusing </w:t>
      </w:r>
      <w:r>
        <w:t>a proportion of</w:t>
      </w:r>
      <w:r w:rsidRPr="00F316C9">
        <w:t xml:space="preserve"> homeless refuges to house young parents only, arguing </w:t>
      </w:r>
      <w:r>
        <w:t xml:space="preserve">that this would yield positive </w:t>
      </w:r>
      <w:r w:rsidRPr="00F316C9">
        <w:t>results.</w:t>
      </w:r>
      <w:r w:rsidRPr="00F316C9">
        <w:rPr>
          <w:sz w:val="20"/>
          <w:vertAlign w:val="superscript"/>
        </w:rPr>
        <w:endnoteReference w:id="640"/>
      </w:r>
      <w:r w:rsidRPr="00F316C9">
        <w:t xml:space="preserve"> </w:t>
      </w:r>
    </w:p>
    <w:p w:rsidR="00F13BA8" w:rsidRDefault="00F13BA8" w:rsidP="00F13BA8">
      <w:r w:rsidRPr="00F316C9">
        <w:t xml:space="preserve">Homeless young parents tend to experience </w:t>
      </w:r>
      <w:r>
        <w:t>multiple</w:t>
      </w:r>
      <w:r w:rsidRPr="00F316C9">
        <w:t xml:space="preserve"> social disadvantages such as</w:t>
      </w:r>
      <w:r>
        <w:t>: financial instability; lower educational attainment;</w:t>
      </w:r>
      <w:r w:rsidRPr="00F316C9">
        <w:t xml:space="preserve"> poor training and employment opportunities and </w:t>
      </w:r>
      <w:r>
        <w:t>outcomes;</w:t>
      </w:r>
      <w:r w:rsidRPr="00F316C9">
        <w:t xml:space="preserve"> </w:t>
      </w:r>
      <w:r>
        <w:t>poor physical and mental health; social isolation</w:t>
      </w:r>
      <w:r w:rsidRPr="00F316C9">
        <w:t>,</w:t>
      </w:r>
      <w:r>
        <w:t xml:space="preserve"> and</w:t>
      </w:r>
      <w:r w:rsidRPr="00F316C9">
        <w:t xml:space="preserve"> lack of independent living skills.</w:t>
      </w:r>
      <w:r w:rsidRPr="00F316C9">
        <w:rPr>
          <w:sz w:val="20"/>
          <w:vertAlign w:val="superscript"/>
        </w:rPr>
        <w:endnoteReference w:id="641"/>
      </w:r>
      <w:r w:rsidRPr="00F316C9">
        <w:t xml:space="preserve"> It seems there are few programs for homeless young couples and there is insufficient emergency and ongoing housing support for young parents. </w:t>
      </w:r>
    </w:p>
    <w:p w:rsidR="00F13BA8" w:rsidRDefault="00F13BA8" w:rsidP="00F13BA8">
      <w:r w:rsidRPr="00F316C9">
        <w:t>As SYC Limited</w:t>
      </w:r>
      <w:r>
        <w:t xml:space="preserve"> argued</w:t>
      </w:r>
      <w:r w:rsidRPr="00F316C9">
        <w:t>, stable housing can enable young couples to stay together.</w:t>
      </w:r>
      <w:r w:rsidRPr="00F316C9">
        <w:rPr>
          <w:sz w:val="20"/>
          <w:vertAlign w:val="superscript"/>
        </w:rPr>
        <w:endnoteReference w:id="642"/>
      </w:r>
      <w:r w:rsidRPr="00F316C9">
        <w:t xml:space="preserve"> Programs such as SYC Limited Adelaide’s HYPA Housing program </w:t>
      </w:r>
      <w:r>
        <w:t xml:space="preserve">are </w:t>
      </w:r>
      <w:r w:rsidRPr="00F316C9">
        <w:t>aimed at breaking down the ‘barriers that lock young people out of the private rental market’, provid</w:t>
      </w:r>
      <w:r>
        <w:t>ing</w:t>
      </w:r>
      <w:r w:rsidRPr="00F316C9">
        <w:t xml:space="preserve"> a safe and secure environment that strengthens young people’s rental experiences</w:t>
      </w:r>
      <w:r>
        <w:t>,</w:t>
      </w:r>
      <w:r w:rsidRPr="00F316C9">
        <w:t xml:space="preserve"> including</w:t>
      </w:r>
      <w:r>
        <w:t xml:space="preserve"> equipping them with the skills necessary to</w:t>
      </w:r>
      <w:r w:rsidRPr="00F316C9">
        <w:t xml:space="preserve"> maintain a successful tenancy.</w:t>
      </w:r>
      <w:r w:rsidRPr="00F316C9">
        <w:rPr>
          <w:sz w:val="20"/>
          <w:vertAlign w:val="superscript"/>
        </w:rPr>
        <w:endnoteReference w:id="643"/>
      </w:r>
      <w:r w:rsidRPr="00F316C9">
        <w:t xml:space="preserve"> </w:t>
      </w:r>
    </w:p>
    <w:p w:rsidR="00F13BA8" w:rsidRDefault="00F13BA8" w:rsidP="00F13BA8">
      <w:r w:rsidRPr="00F316C9">
        <w:t>Kuskoff also notes that</w:t>
      </w:r>
      <w:r>
        <w:t>,</w:t>
      </w:r>
      <w:r w:rsidRPr="00F316C9">
        <w:t xml:space="preserve"> due to the various disadvantages often faced by young homeless parents, ‘it is important for support services to have the ability to address multiple issues at once in order to better help vulnerable youth [to] make a sustainable transition out of homelessness’.</w:t>
      </w:r>
      <w:r w:rsidRPr="00F316C9">
        <w:rPr>
          <w:sz w:val="20"/>
          <w:vertAlign w:val="superscript"/>
        </w:rPr>
        <w:endnoteReference w:id="644"/>
      </w:r>
      <w:r w:rsidRPr="00F316C9">
        <w:t xml:space="preserve"> </w:t>
      </w:r>
    </w:p>
    <w:p w:rsidR="00B55241" w:rsidRPr="00B55241" w:rsidRDefault="00331CA9" w:rsidP="00DF14C0">
      <w:pPr>
        <w:spacing w:after="400"/>
      </w:pPr>
      <w:r>
        <w:t xml:space="preserve">There should be consideration of housing </w:t>
      </w:r>
      <w:r w:rsidR="000F52F1">
        <w:t xml:space="preserve">and services </w:t>
      </w:r>
      <w:r>
        <w:t xml:space="preserve">access models that provide support for young parents across multiple areas of need, </w:t>
      </w:r>
      <w:r w:rsidR="000F52F1">
        <w:t xml:space="preserve">and </w:t>
      </w:r>
      <w:r>
        <w:t>in particular</w:t>
      </w:r>
      <w:r w:rsidR="000F52F1">
        <w:t>, provide incentives for ongoing</w:t>
      </w:r>
      <w:r>
        <w:t xml:space="preserve"> education. Th</w:t>
      </w:r>
      <w:r w:rsidR="00EB3573">
        <w:t>e Education First Youth Foyers p</w:t>
      </w:r>
      <w:r>
        <w:t>rogram in Victoria</w:t>
      </w:r>
      <w:r w:rsidR="00EB3573">
        <w:t>, funded by the Victorian Government, is an example of an integrated approach to supporting young people who cannot live at home to access education.</w:t>
      </w:r>
    </w:p>
    <w:tbl>
      <w:tblPr>
        <w:tblStyle w:val="Grigliatabella"/>
        <w:tblW w:w="0" w:type="auto"/>
        <w:tblCellMar>
          <w:left w:w="284" w:type="dxa"/>
          <w:bottom w:w="284" w:type="dxa"/>
          <w:right w:w="284" w:type="dxa"/>
        </w:tblCellMar>
        <w:tblLook w:val="04A0" w:firstRow="1" w:lastRow="0" w:firstColumn="1" w:lastColumn="0" w:noHBand="0" w:noVBand="1"/>
      </w:tblPr>
      <w:tblGrid>
        <w:gridCol w:w="9060"/>
      </w:tblGrid>
      <w:tr w:rsidR="00F13BA8" w:rsidRPr="00F316C9" w:rsidTr="00B55241">
        <w:tc>
          <w:tcPr>
            <w:tcW w:w="9060" w:type="dxa"/>
          </w:tcPr>
          <w:p w:rsidR="00F13BA8" w:rsidRDefault="00F13BA8" w:rsidP="00F763BE">
            <w:pPr>
              <w:rPr>
                <w:b/>
              </w:rPr>
            </w:pPr>
            <w:r w:rsidRPr="00BD277E">
              <w:rPr>
                <w:b/>
              </w:rPr>
              <w:t>Box 7</w:t>
            </w:r>
            <w:r>
              <w:rPr>
                <w:b/>
              </w:rPr>
              <w:t>:</w:t>
            </w:r>
            <w:r w:rsidRPr="00BD277E">
              <w:rPr>
                <w:b/>
              </w:rPr>
              <w:t xml:space="preserve"> Karinya</w:t>
            </w:r>
            <w:r w:rsidRPr="00A024E9">
              <w:rPr>
                <w:b/>
              </w:rPr>
              <w:t xml:space="preserve"> Young Mums ‘n’ Bubs Program</w:t>
            </w:r>
            <w:r w:rsidRPr="00A024E9">
              <w:rPr>
                <w:sz w:val="20"/>
                <w:vertAlign w:val="superscript"/>
              </w:rPr>
              <w:endnoteReference w:id="645"/>
            </w:r>
          </w:p>
          <w:p w:rsidR="00F13BA8" w:rsidRPr="00F316C9" w:rsidRDefault="00F13BA8" w:rsidP="00F763BE">
            <w:r w:rsidRPr="00F316C9">
              <w:t>Karinya Young Wom</w:t>
            </w:r>
            <w:r>
              <w:t xml:space="preserve">en’s Service has provided short </w:t>
            </w:r>
            <w:r w:rsidRPr="00F316C9">
              <w:t xml:space="preserve">term crisis accommodation to young women, aged between 13 and 20 years old since 1979. The organisation services the Launceston and greater northern region of Tasmania. </w:t>
            </w:r>
          </w:p>
          <w:p w:rsidR="00F13BA8" w:rsidRPr="00F316C9" w:rsidRDefault="00F13BA8" w:rsidP="00F763BE">
            <w:r w:rsidRPr="00F316C9">
              <w:t>As a separate program, the Karinya Young Mums ‘n’ Bubs (KYM) program is an early intervention service for pregnant teenagers and young parents aged between 15 and 19 years old. KYM provides accommodation and intensive case management to these young parents. The program prioritises its services for those most vulnerable, such as those young parents who are homele</w:t>
            </w:r>
            <w:r>
              <w:t xml:space="preserve">ss, at risk of homelessness </w:t>
            </w:r>
            <w:r w:rsidRPr="00F316C9">
              <w:t>or with limited family support.</w:t>
            </w:r>
          </w:p>
          <w:p w:rsidR="00B55241" w:rsidRPr="00F316C9" w:rsidRDefault="00F13BA8" w:rsidP="00DF14C0">
            <w:r w:rsidRPr="00F316C9">
              <w:t>The Karinya Young Mums ‘n’ Bubs (KYM) p</w:t>
            </w:r>
            <w:r w:rsidR="000E54E6">
              <w:t>rogram was established in 2012.</w:t>
            </w:r>
            <w:r w:rsidRPr="00F316C9">
              <w:t xml:space="preserve"> </w:t>
            </w:r>
          </w:p>
          <w:p w:rsidR="00F13BA8" w:rsidRPr="00F316C9" w:rsidRDefault="00F13BA8" w:rsidP="00DF14C0">
            <w:pPr>
              <w:spacing w:before="700"/>
              <w:rPr>
                <w:b/>
              </w:rPr>
            </w:pPr>
            <w:r w:rsidRPr="00F316C9">
              <w:rPr>
                <w:b/>
              </w:rPr>
              <w:t xml:space="preserve">Key features: </w:t>
            </w:r>
          </w:p>
          <w:p w:rsidR="00F13BA8" w:rsidRPr="00F316C9" w:rsidRDefault="00F13BA8" w:rsidP="00F763BE">
            <w:r w:rsidRPr="00F316C9">
              <w:t xml:space="preserve">KYM aims to re-direct young parents and their children from the welfare and child protection systems by </w:t>
            </w:r>
            <w:r>
              <w:t>achieving</w:t>
            </w:r>
            <w:r w:rsidRPr="00F316C9">
              <w:t xml:space="preserve"> three key </w:t>
            </w:r>
            <w:r>
              <w:t>objectives:</w:t>
            </w:r>
            <w:r w:rsidRPr="00F316C9">
              <w:t xml:space="preserve"> </w:t>
            </w:r>
          </w:p>
          <w:p w:rsidR="00F13BA8" w:rsidRPr="00F316C9" w:rsidRDefault="00F13BA8" w:rsidP="00222517">
            <w:pPr>
              <w:numPr>
                <w:ilvl w:val="0"/>
                <w:numId w:val="170"/>
              </w:numPr>
              <w:contextualSpacing/>
            </w:pPr>
            <w:r>
              <w:t>h</w:t>
            </w:r>
            <w:r w:rsidRPr="00F316C9">
              <w:t xml:space="preserve">ealthy, skilled, connected and confident young-parent families </w:t>
            </w:r>
          </w:p>
          <w:p w:rsidR="00F13BA8" w:rsidRPr="00F316C9" w:rsidRDefault="00F13BA8" w:rsidP="00222517">
            <w:pPr>
              <w:numPr>
                <w:ilvl w:val="0"/>
                <w:numId w:val="170"/>
              </w:numPr>
              <w:contextualSpacing/>
            </w:pPr>
            <w:r>
              <w:t>h</w:t>
            </w:r>
            <w:r w:rsidRPr="00F316C9">
              <w:t>ealthy nurtu</w:t>
            </w:r>
            <w:r>
              <w:t>red babies of young mothers</w:t>
            </w:r>
          </w:p>
          <w:p w:rsidR="00F13BA8" w:rsidRPr="001F274A" w:rsidRDefault="00F13BA8" w:rsidP="00222517">
            <w:pPr>
              <w:numPr>
                <w:ilvl w:val="0"/>
                <w:numId w:val="170"/>
              </w:numPr>
              <w:spacing w:before="0"/>
              <w:ind w:left="714" w:hanging="357"/>
            </w:pPr>
            <w:r>
              <w:t>h</w:t>
            </w:r>
            <w:r w:rsidRPr="00F316C9">
              <w:t xml:space="preserve">ealthy young parents pursuing the development of their personal potential as productive, socially and economically engaged adults. </w:t>
            </w:r>
          </w:p>
          <w:p w:rsidR="001F274A" w:rsidRDefault="00F13BA8" w:rsidP="00F763BE">
            <w:pPr>
              <w:rPr>
                <w:b/>
              </w:rPr>
            </w:pPr>
            <w:r w:rsidRPr="00F316C9">
              <w:rPr>
                <w:b/>
              </w:rPr>
              <w:t>Outcomes:</w:t>
            </w:r>
          </w:p>
          <w:p w:rsidR="00F13BA8" w:rsidRPr="00F316C9" w:rsidRDefault="00F13BA8" w:rsidP="00F763BE">
            <w:r w:rsidRPr="00F316C9">
              <w:t xml:space="preserve">An independent evaluation assessing outcomes generated by KYM </w:t>
            </w:r>
            <w:r>
              <w:t>from</w:t>
            </w:r>
            <w:r w:rsidRPr="00F316C9">
              <w:t xml:space="preserve"> 1 September 2015 to 31 August 2016 found that</w:t>
            </w:r>
            <w:r>
              <w:t xml:space="preserve"> KYM</w:t>
            </w:r>
            <w:r w:rsidRPr="00F316C9">
              <w:t xml:space="preserve">: </w:t>
            </w:r>
          </w:p>
          <w:p w:rsidR="00F13BA8" w:rsidRPr="00F316C9" w:rsidRDefault="00EB3573" w:rsidP="00222517">
            <w:pPr>
              <w:numPr>
                <w:ilvl w:val="0"/>
                <w:numId w:val="171"/>
              </w:numPr>
              <w:contextualSpacing/>
            </w:pPr>
            <w:r>
              <w:t xml:space="preserve">KYM </w:t>
            </w:r>
            <w:r w:rsidR="00F13BA8">
              <w:t>p</w:t>
            </w:r>
            <w:r w:rsidR="00F13BA8" w:rsidRPr="00F316C9">
              <w:t xml:space="preserve">rovides a unique service due to the programs ability to provide continuity of attentive, holistic and family/person-centred care </w:t>
            </w:r>
          </w:p>
          <w:p w:rsidR="00F13BA8" w:rsidRPr="00F316C9" w:rsidRDefault="00EB3573" w:rsidP="00222517">
            <w:pPr>
              <w:numPr>
                <w:ilvl w:val="0"/>
                <w:numId w:val="171"/>
              </w:numPr>
              <w:contextualSpacing/>
            </w:pPr>
            <w:r>
              <w:t xml:space="preserve">KYM </w:t>
            </w:r>
            <w:r w:rsidR="00F13BA8" w:rsidRPr="00F316C9">
              <w:t>effective</w:t>
            </w:r>
            <w:r w:rsidR="00F13BA8">
              <w:t>ly</w:t>
            </w:r>
            <w:r w:rsidR="00F13BA8" w:rsidRPr="00F316C9">
              <w:t xml:space="preserve"> engage</w:t>
            </w:r>
            <w:r w:rsidR="00F13BA8">
              <w:t>s</w:t>
            </w:r>
            <w:r w:rsidR="00F13BA8" w:rsidRPr="00F316C9">
              <w:t xml:space="preserve"> with other community services to support young parents </w:t>
            </w:r>
          </w:p>
          <w:p w:rsidR="00F13BA8" w:rsidRPr="00F316C9" w:rsidRDefault="00F13BA8" w:rsidP="00222517">
            <w:pPr>
              <w:numPr>
                <w:ilvl w:val="0"/>
                <w:numId w:val="171"/>
              </w:numPr>
              <w:contextualSpacing/>
            </w:pPr>
            <w:r>
              <w:t>t</w:t>
            </w:r>
            <w:r w:rsidRPr="00F316C9">
              <w:t xml:space="preserve">he $165,600 invested in KYM over a 12 month period (both grant income and in-kind support) is estimated to generate $470,620 in real economic value for the Tasmanian </w:t>
            </w:r>
            <w:r w:rsidR="00EB3573">
              <w:t>G</w:t>
            </w:r>
            <w:r w:rsidRPr="00F316C9">
              <w:t>ov</w:t>
            </w:r>
            <w:r>
              <w:t xml:space="preserve">ernment over five years </w:t>
            </w:r>
          </w:p>
          <w:p w:rsidR="00F13BA8" w:rsidRPr="00F316C9" w:rsidRDefault="00F13BA8" w:rsidP="00222517">
            <w:pPr>
              <w:numPr>
                <w:ilvl w:val="0"/>
                <w:numId w:val="171"/>
              </w:numPr>
              <w:contextualSpacing/>
            </w:pPr>
            <w:r>
              <w:t>k</w:t>
            </w:r>
            <w:r w:rsidRPr="00F316C9">
              <w:t xml:space="preserve">ey areas of cost savings identified by evaluators included: </w:t>
            </w:r>
          </w:p>
          <w:p w:rsidR="00F13BA8" w:rsidRPr="00F316C9" w:rsidRDefault="00F13BA8" w:rsidP="00222517">
            <w:pPr>
              <w:numPr>
                <w:ilvl w:val="0"/>
                <w:numId w:val="172"/>
              </w:numPr>
              <w:contextualSpacing/>
            </w:pPr>
            <w:r>
              <w:t>d</w:t>
            </w:r>
            <w:r w:rsidRPr="00F316C9">
              <w:t xml:space="preserve">ecreased engagement with child protection, resulting in reduced costs for </w:t>
            </w:r>
            <w:r>
              <w:t>OOHC</w:t>
            </w:r>
          </w:p>
          <w:p w:rsidR="00F13BA8" w:rsidRPr="00F316C9" w:rsidRDefault="00F13BA8" w:rsidP="00222517">
            <w:pPr>
              <w:numPr>
                <w:ilvl w:val="0"/>
                <w:numId w:val="172"/>
              </w:numPr>
              <w:contextualSpacing/>
            </w:pPr>
            <w:r>
              <w:t>r</w:t>
            </w:r>
            <w:r w:rsidRPr="00F316C9">
              <w:t xml:space="preserve">educed level of engagement in </w:t>
            </w:r>
            <w:r>
              <w:t xml:space="preserve">the </w:t>
            </w:r>
            <w:r w:rsidRPr="00F316C9">
              <w:t xml:space="preserve">justice system due to increased housing stability </w:t>
            </w:r>
          </w:p>
          <w:p w:rsidR="00F13BA8" w:rsidRPr="00F316C9" w:rsidRDefault="00F13BA8" w:rsidP="00222517">
            <w:pPr>
              <w:numPr>
                <w:ilvl w:val="0"/>
                <w:numId w:val="172"/>
              </w:numPr>
              <w:contextualSpacing/>
            </w:pPr>
            <w:r>
              <w:t>r</w:t>
            </w:r>
            <w:r w:rsidRPr="00F316C9">
              <w:t xml:space="preserve">educed health service engagement as a result of improved health, due to </w:t>
            </w:r>
            <w:r>
              <w:t>s</w:t>
            </w:r>
            <w:r w:rsidRPr="00F316C9">
              <w:t>table housing</w:t>
            </w:r>
          </w:p>
          <w:p w:rsidR="00F13BA8" w:rsidRPr="00F316C9" w:rsidRDefault="00F13BA8" w:rsidP="00222517">
            <w:pPr>
              <w:numPr>
                <w:ilvl w:val="0"/>
                <w:numId w:val="172"/>
              </w:numPr>
              <w:contextualSpacing/>
            </w:pPr>
            <w:r>
              <w:t>i</w:t>
            </w:r>
            <w:r w:rsidRPr="00F316C9">
              <w:t>ncrease in GST revenue from p</w:t>
            </w:r>
            <w:r>
              <w:t>arental income and expenditure —</w:t>
            </w:r>
            <w:r w:rsidRPr="00F316C9">
              <w:t xml:space="preserve"> a result of improved education and employability of young parents </w:t>
            </w:r>
          </w:p>
          <w:p w:rsidR="001F274A" w:rsidRPr="00F316C9" w:rsidRDefault="00F13BA8" w:rsidP="001F274A">
            <w:pPr>
              <w:numPr>
                <w:ilvl w:val="0"/>
                <w:numId w:val="172"/>
              </w:numPr>
              <w:contextualSpacing/>
            </w:pPr>
            <w:r>
              <w:t>r</w:t>
            </w:r>
            <w:r w:rsidRPr="00F316C9">
              <w:t>educed education support expenditure by raising healt</w:t>
            </w:r>
            <w:r w:rsidR="001F274A">
              <w:t>hier and more engaged children.</w:t>
            </w:r>
          </w:p>
        </w:tc>
      </w:tr>
    </w:tbl>
    <w:p w:rsidR="00F13BA8" w:rsidRDefault="00F13BA8" w:rsidP="00DF14C0">
      <w:pPr>
        <w:pStyle w:val="Titolo3"/>
        <w:spacing w:before="400"/>
      </w:pPr>
      <w:bookmarkStart w:id="115" w:name="_Toc500308807"/>
      <w:r>
        <w:t>Cultural safety</w:t>
      </w:r>
      <w:bookmarkEnd w:id="115"/>
    </w:p>
    <w:p w:rsidR="00F13BA8" w:rsidRDefault="00F13BA8" w:rsidP="00F13BA8">
      <w:r w:rsidRPr="00F316C9">
        <w:t xml:space="preserve">Some of the submissions I received advocated </w:t>
      </w:r>
      <w:r>
        <w:t xml:space="preserve">positioning </w:t>
      </w:r>
      <w:r w:rsidRPr="00F316C9">
        <w:t xml:space="preserve">cultural safety as a significant issue in the provision of services targeted </w:t>
      </w:r>
      <w:r>
        <w:t>for</w:t>
      </w:r>
      <w:r w:rsidRPr="00F316C9">
        <w:t xml:space="preserve"> young parents. For example, the submission by the Parenting Research Centre </w:t>
      </w:r>
      <w:r>
        <w:t>and</w:t>
      </w:r>
      <w:r w:rsidRPr="00F316C9">
        <w:t xml:space="preserve"> Murdoch Children’s Research Institute argues that there needs to be recognition that ‘young parents, especially those from culturally and linguistically diverse backgrounds, may have unique ways of expressing parenting qualities such as nurturance, warmth, sensitivity, responsiveness and flexibility’.</w:t>
      </w:r>
      <w:r w:rsidRPr="00F316C9">
        <w:rPr>
          <w:sz w:val="20"/>
          <w:vertAlign w:val="superscript"/>
        </w:rPr>
        <w:endnoteReference w:id="646"/>
      </w:r>
      <w:r w:rsidRPr="00F316C9">
        <w:t xml:space="preserve"> </w:t>
      </w:r>
    </w:p>
    <w:p w:rsidR="00F13BA8" w:rsidRPr="00AD1AE8" w:rsidRDefault="00F13BA8" w:rsidP="00F13BA8">
      <w:pPr>
        <w:ind w:left="680" w:right="680"/>
        <w:rPr>
          <w:sz w:val="22"/>
          <w:szCs w:val="22"/>
        </w:rPr>
      </w:pPr>
      <w:r w:rsidRPr="00AD1AE8">
        <w:rPr>
          <w:sz w:val="22"/>
          <w:szCs w:val="22"/>
        </w:rPr>
        <w:t>The process of cultural transition and resettlement brings with it additional difficulties including missing family and frien</w:t>
      </w:r>
      <w:r>
        <w:rPr>
          <w:sz w:val="22"/>
          <w:szCs w:val="22"/>
        </w:rPr>
        <w:t>ds left behind; homesickness;</w:t>
      </w:r>
      <w:r w:rsidRPr="00AD1AE8">
        <w:rPr>
          <w:sz w:val="22"/>
          <w:szCs w:val="22"/>
        </w:rPr>
        <w:t xml:space="preserve"> difficulty understanding Australian culture and systems; school adjustment problems, often in a context of disrupted education; few friends, lack of peer acceptance, lack of a supportive network, and low social participation.</w:t>
      </w:r>
      <w:r w:rsidRPr="00AD1AE8">
        <w:rPr>
          <w:rStyle w:val="Rimandonotadichiusura"/>
          <w:sz w:val="22"/>
          <w:szCs w:val="22"/>
        </w:rPr>
        <w:endnoteReference w:id="647"/>
      </w:r>
    </w:p>
    <w:p w:rsidR="00F13BA8" w:rsidRDefault="00F13BA8" w:rsidP="00F13BA8">
      <w:r w:rsidRPr="00F316C9">
        <w:t>In relation to Aboriginal and Torres Strait Islander young parents, NACCHO advocated for the ‘prioritis[ation] and support of Aboriginal Community Controlled Health Services as the preferred providers of primary health care services to Aboriginal young people and their children’.</w:t>
      </w:r>
      <w:r w:rsidRPr="00F316C9">
        <w:rPr>
          <w:sz w:val="20"/>
          <w:vertAlign w:val="superscript"/>
        </w:rPr>
        <w:endnoteReference w:id="648"/>
      </w:r>
      <w:r w:rsidRPr="00F316C9">
        <w:t xml:space="preserve"> The mai</w:t>
      </w:r>
      <w:r>
        <w:t>n contention was that community-</w:t>
      </w:r>
      <w:r w:rsidRPr="00F316C9">
        <w:t>based and controlled services are more likely to provide culturally safe and appropriate services and are therefore more likely to succeed in promoting the health, wellbeing and social and economic independence of Aboriginal and Torres Strait Islander young parents.</w:t>
      </w:r>
      <w:r w:rsidRPr="00F316C9">
        <w:rPr>
          <w:sz w:val="20"/>
          <w:vertAlign w:val="superscript"/>
        </w:rPr>
        <w:endnoteReference w:id="649"/>
      </w:r>
      <w:r w:rsidRPr="00F316C9">
        <w:t xml:space="preserve"> </w:t>
      </w:r>
    </w:p>
    <w:p w:rsidR="00F13BA8" w:rsidRPr="00F316C9" w:rsidRDefault="00F13BA8" w:rsidP="00F13BA8">
      <w:r w:rsidRPr="00F316C9">
        <w:t>Furthermore, in the roundtable discussions, the Healing Foundation</w:t>
      </w:r>
      <w:r>
        <w:t xml:space="preserve">, </w:t>
      </w:r>
      <w:r w:rsidRPr="00F316C9">
        <w:t>which provides services in rural</w:t>
      </w:r>
      <w:r w:rsidR="00EB3573">
        <w:t xml:space="preserve"> and </w:t>
      </w:r>
      <w:r w:rsidRPr="00F316C9">
        <w:t>remote Australia</w:t>
      </w:r>
      <w:r>
        <w:t>,</w:t>
      </w:r>
      <w:r w:rsidRPr="00F316C9">
        <w:t xml:space="preserve"> argued that there needs to be consideration of the culturally appropriate nature of education.</w:t>
      </w:r>
      <w:r w:rsidRPr="00F316C9">
        <w:rPr>
          <w:sz w:val="20"/>
          <w:vertAlign w:val="superscript"/>
        </w:rPr>
        <w:endnoteReference w:id="650"/>
      </w:r>
      <w:r w:rsidRPr="00F316C9">
        <w:t xml:space="preserve"> The</w:t>
      </w:r>
      <w:r>
        <w:t xml:space="preserve">y also advised that in rural </w:t>
      </w:r>
      <w:r w:rsidR="00EB3573">
        <w:t>and</w:t>
      </w:r>
      <w:r>
        <w:t xml:space="preserve"> </w:t>
      </w:r>
      <w:r w:rsidRPr="00F316C9">
        <w:t>remot</w:t>
      </w:r>
      <w:r>
        <w:t xml:space="preserve">e areas, discussions </w:t>
      </w:r>
      <w:r w:rsidR="00EB3573">
        <w:t>about</w:t>
      </w:r>
      <w:r>
        <w:t xml:space="preserve"> young </w:t>
      </w:r>
      <w:r w:rsidRPr="00F316C9">
        <w:t>parenting still do not take into account</w:t>
      </w:r>
      <w:r>
        <w:t xml:space="preserve"> or prioritise</w:t>
      </w:r>
      <w:r w:rsidRPr="00F316C9">
        <w:t xml:space="preserve"> the cultural contexts of how people parent.</w:t>
      </w:r>
      <w:r w:rsidRPr="00F316C9">
        <w:rPr>
          <w:sz w:val="20"/>
          <w:vertAlign w:val="superscript"/>
        </w:rPr>
        <w:endnoteReference w:id="651"/>
      </w:r>
      <w:r w:rsidRPr="00F316C9">
        <w:t xml:space="preserve"> </w:t>
      </w:r>
    </w:p>
    <w:p w:rsidR="00F13BA8" w:rsidRDefault="00F13BA8" w:rsidP="00F13BA8">
      <w:r w:rsidRPr="00F316C9">
        <w:t xml:space="preserve">The submission from </w:t>
      </w:r>
      <w:r>
        <w:t>y</w:t>
      </w:r>
      <w:r w:rsidRPr="00F316C9">
        <w:t xml:space="preserve">ourtown noted an increase in </w:t>
      </w:r>
      <w:r>
        <w:t xml:space="preserve">the </w:t>
      </w:r>
      <w:r w:rsidRPr="00F316C9">
        <w:t xml:space="preserve">number of young parents from </w:t>
      </w:r>
      <w:r>
        <w:t>CALD backgrounds</w:t>
      </w:r>
      <w:r w:rsidRPr="00F316C9">
        <w:t xml:space="preserve"> ‘contacting the service about pregnancy concerns’ (about 25%</w:t>
      </w:r>
      <w:r>
        <w:t xml:space="preserve"> of all young people who contacted the helpline for this purpose</w:t>
      </w:r>
      <w:r w:rsidRPr="00F316C9">
        <w:t>).</w:t>
      </w:r>
      <w:r w:rsidRPr="00F316C9">
        <w:rPr>
          <w:sz w:val="20"/>
          <w:vertAlign w:val="superscript"/>
        </w:rPr>
        <w:endnoteReference w:id="652"/>
      </w:r>
      <w:r w:rsidRPr="00F316C9">
        <w:t xml:space="preserve"> </w:t>
      </w:r>
    </w:p>
    <w:p w:rsidR="00F13BA8" w:rsidRDefault="00F13BA8" w:rsidP="00F13BA8">
      <w:r w:rsidRPr="00F316C9">
        <w:t xml:space="preserve">Some of the </w:t>
      </w:r>
      <w:r>
        <w:t xml:space="preserve">roundtable </w:t>
      </w:r>
      <w:r w:rsidRPr="00F316C9">
        <w:t>discussions affirmed t</w:t>
      </w:r>
      <w:r>
        <w:t>he importance of addressing the</w:t>
      </w:r>
      <w:r w:rsidRPr="00F316C9">
        <w:t xml:space="preserve"> issue</w:t>
      </w:r>
      <w:r>
        <w:t xml:space="preserve"> of cultural safety in services. Participants pointed</w:t>
      </w:r>
      <w:r w:rsidRPr="00F316C9">
        <w:t xml:space="preserve"> out that</w:t>
      </w:r>
      <w:r>
        <w:t>,</w:t>
      </w:r>
      <w:r w:rsidRPr="00F316C9">
        <w:t xml:space="preserve"> for young people from refugee backgrounds</w:t>
      </w:r>
      <w:r>
        <w:t>,</w:t>
      </w:r>
      <w:r w:rsidRPr="00F316C9">
        <w:t xml:space="preserve"> there is often a clash with mainstream </w:t>
      </w:r>
      <w:r>
        <w:t>parenting beliefs and practices related to divergent cultural values.</w:t>
      </w:r>
      <w:r w:rsidRPr="00F316C9">
        <w:rPr>
          <w:sz w:val="20"/>
          <w:vertAlign w:val="superscript"/>
        </w:rPr>
        <w:endnoteReference w:id="653"/>
      </w:r>
      <w:r w:rsidRPr="00F316C9">
        <w:t xml:space="preserve"> </w:t>
      </w:r>
    </w:p>
    <w:p w:rsidR="00F13BA8" w:rsidRPr="0020056C" w:rsidRDefault="00F13BA8" w:rsidP="00F13BA8">
      <w:r w:rsidRPr="00BE77C4">
        <w:t>Professor Kerry Arabena, from the Melbourne School of Population and Global Health, suggest</w:t>
      </w:r>
      <w:r>
        <w:t>ed</w:t>
      </w:r>
      <w:r w:rsidRPr="00BE77C4">
        <w:t xml:space="preserve"> that young Aboriginal and Torres Strait Islander women and men should be supported by members of a therapeutic cultural workforce</w:t>
      </w:r>
      <w:r>
        <w:t>. This would include the</w:t>
      </w:r>
      <w:r w:rsidRPr="00BE77C4">
        <w:t xml:space="preserve"> help of a multidisciplinary team of trusted professionals from pre-conception to the first two tho</w:t>
      </w:r>
      <w:r>
        <w:t>usand days of a newborn’s life. T</w:t>
      </w:r>
      <w:r w:rsidRPr="00BE77C4">
        <w:t>his support should intensify at key transition points such as at first knowledge of pregnancy, imminent birth, birth and six weeks after birth. The team should be able to shift their focus of support as needed, from health needs of mum and baby, to addressing family violence, and building the skills and capacities of parents.</w:t>
      </w:r>
      <w:r w:rsidRPr="00BE77C4">
        <w:rPr>
          <w:rStyle w:val="Rimandonotadichiusura"/>
        </w:rPr>
        <w:endnoteReference w:id="654"/>
      </w:r>
    </w:p>
    <w:p w:rsidR="00F13BA8" w:rsidRDefault="00F13BA8" w:rsidP="00F13BA8">
      <w:r w:rsidRPr="00BE77C4">
        <w:t xml:space="preserve">Given that culture is a fundamental protective factor for Aboriginal and Torres Strait Islander families, the concept of a therapeutic cultural workforce captures the notion that everyone in the extended family group has a responsibility </w:t>
      </w:r>
      <w:r w:rsidR="006B0398">
        <w:t>for</w:t>
      </w:r>
      <w:r w:rsidRPr="00BE77C4">
        <w:t xml:space="preserve"> the new baby that is derived by the kinship relationships that come from culture.</w:t>
      </w:r>
      <w:r w:rsidRPr="00BE77C4">
        <w:rPr>
          <w:rStyle w:val="Rimandonotadichiusura"/>
        </w:rPr>
        <w:endnoteReference w:id="655"/>
      </w:r>
    </w:p>
    <w:p w:rsidR="00DF14C0" w:rsidRPr="00DF14C0" w:rsidRDefault="00DF14C0" w:rsidP="00DF14C0">
      <w:pPr>
        <w:keepLines w:val="0"/>
        <w:spacing w:before="0" w:after="0"/>
      </w:pPr>
      <w:r>
        <w:br w:type="page"/>
      </w:r>
    </w:p>
    <w:tbl>
      <w:tblPr>
        <w:tblStyle w:val="Grigliatabella"/>
        <w:tblW w:w="0" w:type="auto"/>
        <w:tblCellMar>
          <w:left w:w="284" w:type="dxa"/>
          <w:bottom w:w="284" w:type="dxa"/>
          <w:right w:w="284" w:type="dxa"/>
        </w:tblCellMar>
        <w:tblLook w:val="04A0" w:firstRow="1" w:lastRow="0" w:firstColumn="1" w:lastColumn="0" w:noHBand="0" w:noVBand="1"/>
      </w:tblPr>
      <w:tblGrid>
        <w:gridCol w:w="9060"/>
      </w:tblGrid>
      <w:tr w:rsidR="007B7137" w:rsidRPr="00F316C9" w:rsidTr="00B55241">
        <w:tc>
          <w:tcPr>
            <w:tcW w:w="9060" w:type="dxa"/>
          </w:tcPr>
          <w:p w:rsidR="007B7137" w:rsidRPr="00E34166" w:rsidRDefault="007B7137" w:rsidP="00F763BE">
            <w:pPr>
              <w:rPr>
                <w:b/>
                <w:lang w:val="it-IT"/>
              </w:rPr>
            </w:pPr>
            <w:r w:rsidRPr="00E34166">
              <w:rPr>
                <w:b/>
                <w:lang w:val="it-IT"/>
              </w:rPr>
              <w:t>Box 8: Ngala Nanga Mai pARenT Group</w:t>
            </w:r>
            <w:r w:rsidRPr="00A024E9">
              <w:rPr>
                <w:sz w:val="20"/>
                <w:vertAlign w:val="superscript"/>
              </w:rPr>
              <w:endnoteReference w:id="656"/>
            </w:r>
          </w:p>
          <w:p w:rsidR="007B7137" w:rsidRPr="00F316C9" w:rsidRDefault="007B7137" w:rsidP="00F763BE">
            <w:r w:rsidRPr="00F316C9">
              <w:t>The Ngala Nanga Mai (We Dream) pARenT Group Program (NNM) is a participatory arts</w:t>
            </w:r>
            <w:r>
              <w:t xml:space="preserve"> </w:t>
            </w:r>
            <w:r w:rsidRPr="00F316C9">
              <w:t>based community health program for parents of Aboriginal children. The program is operated by the Sydney Children’s Hospital and is delivered at the La Perouse Abori</w:t>
            </w:r>
            <w:r w:rsidR="000E54E6">
              <w:t xml:space="preserve">ginal Community Health Centre. </w:t>
            </w:r>
          </w:p>
          <w:p w:rsidR="007B7137" w:rsidRPr="00F316C9" w:rsidRDefault="007B7137" w:rsidP="00F763BE">
            <w:r w:rsidRPr="00F316C9">
              <w:t>NNM is a multi-award winning program established in 2009 to improve the health and wellbeing of Aboriginal children and their parents as well as address parental social isolation. The program adopts a strengths-based, empowerment and community development approach to health literacy and wellbeing.</w:t>
            </w:r>
          </w:p>
          <w:p w:rsidR="007B7137" w:rsidRPr="00F316C9" w:rsidRDefault="007B7137" w:rsidP="00F763BE">
            <w:pPr>
              <w:rPr>
                <w:b/>
              </w:rPr>
            </w:pPr>
            <w:r w:rsidRPr="00F316C9">
              <w:rPr>
                <w:b/>
              </w:rPr>
              <w:t xml:space="preserve">Key features: </w:t>
            </w:r>
          </w:p>
          <w:p w:rsidR="007B7137" w:rsidRPr="00F316C9" w:rsidRDefault="007B7137" w:rsidP="00222517">
            <w:pPr>
              <w:pStyle w:val="Paragrafoelenco"/>
              <w:numPr>
                <w:ilvl w:val="0"/>
                <w:numId w:val="174"/>
              </w:numPr>
              <w:jc w:val="left"/>
            </w:pPr>
            <w:r>
              <w:t>w</w:t>
            </w:r>
            <w:r w:rsidRPr="00F316C9">
              <w:t>eekly art sessions</w:t>
            </w:r>
          </w:p>
          <w:p w:rsidR="007B7137" w:rsidRPr="00F316C9" w:rsidRDefault="007B7137" w:rsidP="00222517">
            <w:pPr>
              <w:pStyle w:val="Paragrafoelenco"/>
              <w:numPr>
                <w:ilvl w:val="0"/>
                <w:numId w:val="174"/>
              </w:numPr>
              <w:jc w:val="left"/>
            </w:pPr>
            <w:r>
              <w:t>h</w:t>
            </w:r>
            <w:r w:rsidRPr="00F316C9">
              <w:t>ealth education</w:t>
            </w:r>
          </w:p>
          <w:p w:rsidR="007B7137" w:rsidRPr="00F316C9" w:rsidRDefault="007B7137" w:rsidP="00222517">
            <w:pPr>
              <w:pStyle w:val="Paragrafoelenco"/>
              <w:numPr>
                <w:ilvl w:val="0"/>
                <w:numId w:val="174"/>
              </w:numPr>
              <w:jc w:val="left"/>
            </w:pPr>
            <w:r>
              <w:t>c</w:t>
            </w:r>
            <w:r w:rsidRPr="00F316C9">
              <w:t xml:space="preserve">onnection with tutoring and TAFE enrolment and employment opportunities </w:t>
            </w:r>
          </w:p>
          <w:p w:rsidR="007B7137" w:rsidRPr="00F316C9" w:rsidRDefault="007B7137" w:rsidP="00222517">
            <w:pPr>
              <w:pStyle w:val="Paragrafoelenco"/>
              <w:numPr>
                <w:ilvl w:val="0"/>
                <w:numId w:val="174"/>
              </w:numPr>
              <w:jc w:val="left"/>
            </w:pPr>
            <w:r>
              <w:t>o</w:t>
            </w:r>
            <w:r w:rsidRPr="00F316C9">
              <w:t>pportunit</w:t>
            </w:r>
            <w:r>
              <w:t>ies</w:t>
            </w:r>
            <w:r w:rsidRPr="00F316C9">
              <w:t xml:space="preserve"> to exhibit artwork and participate in cultural events</w:t>
            </w:r>
          </w:p>
          <w:p w:rsidR="007B7137" w:rsidRPr="00F316C9" w:rsidRDefault="007B7137" w:rsidP="00222517">
            <w:pPr>
              <w:pStyle w:val="Paragrafoelenco"/>
              <w:numPr>
                <w:ilvl w:val="0"/>
                <w:numId w:val="174"/>
              </w:numPr>
              <w:jc w:val="left"/>
            </w:pPr>
            <w:r>
              <w:t>c</w:t>
            </w:r>
            <w:r w:rsidRPr="00F316C9">
              <w:t>hildcare support and</w:t>
            </w:r>
            <w:r>
              <w:t xml:space="preserve"> transport to and from sessions</w:t>
            </w:r>
          </w:p>
          <w:p w:rsidR="007B7137" w:rsidRPr="007B5C20" w:rsidRDefault="007B7137" w:rsidP="00222517">
            <w:pPr>
              <w:pStyle w:val="Paragrafoelenco"/>
              <w:numPr>
                <w:ilvl w:val="0"/>
                <w:numId w:val="174"/>
              </w:numPr>
              <w:jc w:val="left"/>
              <w:rPr>
                <w:b/>
              </w:rPr>
            </w:pPr>
            <w:r>
              <w:t>o</w:t>
            </w:r>
            <w:r w:rsidRPr="00F316C9">
              <w:t>utreach services including an Aboriginal health worker, early childhood nurse, social worker and paediatric doctors</w:t>
            </w:r>
            <w:r>
              <w:t>. Y</w:t>
            </w:r>
            <w:r w:rsidRPr="00F316C9">
              <w:t xml:space="preserve">oung parents are also connected with community-based midwifery services.  </w:t>
            </w:r>
          </w:p>
          <w:p w:rsidR="007B7137" w:rsidRPr="00F316C9" w:rsidRDefault="007B7137" w:rsidP="00F763BE">
            <w:r w:rsidRPr="00F316C9">
              <w:rPr>
                <w:b/>
              </w:rPr>
              <w:t xml:space="preserve">Outcomes: </w:t>
            </w:r>
          </w:p>
          <w:p w:rsidR="007B7137" w:rsidRPr="00F316C9" w:rsidRDefault="007B7137" w:rsidP="00F763BE">
            <w:r w:rsidRPr="00F316C9">
              <w:t xml:space="preserve">In 2011 and 2012, a quantitative and qualitative evaluation of the health, education and empowerment outcomes of NNM found that parent participation in the program led to: </w:t>
            </w:r>
          </w:p>
          <w:p w:rsidR="007B7137" w:rsidRPr="00F316C9" w:rsidRDefault="007B7137" w:rsidP="00222517">
            <w:pPr>
              <w:numPr>
                <w:ilvl w:val="0"/>
                <w:numId w:val="173"/>
              </w:numPr>
              <w:contextualSpacing/>
            </w:pPr>
            <w:r>
              <w:t>i</w:t>
            </w:r>
            <w:r w:rsidRPr="00F316C9">
              <w:t>mproved access to paediatric health care services and</w:t>
            </w:r>
            <w:r>
              <w:t>,</w:t>
            </w:r>
            <w:r w:rsidRPr="00F316C9">
              <w:t xml:space="preserve"> as a result, an increase in early detection of treatable childhood diseases </w:t>
            </w:r>
          </w:p>
          <w:p w:rsidR="007B7137" w:rsidRPr="00F316C9" w:rsidRDefault="007B7137" w:rsidP="00222517">
            <w:pPr>
              <w:numPr>
                <w:ilvl w:val="0"/>
                <w:numId w:val="173"/>
              </w:numPr>
              <w:contextualSpacing/>
            </w:pPr>
            <w:r>
              <w:t>s</w:t>
            </w:r>
            <w:r w:rsidRPr="00F316C9">
              <w:t xml:space="preserve">upport for parents in accessing education and employment opportunities </w:t>
            </w:r>
          </w:p>
          <w:p w:rsidR="007B7137" w:rsidRPr="00F316C9" w:rsidRDefault="007B7137" w:rsidP="00222517">
            <w:pPr>
              <w:numPr>
                <w:ilvl w:val="0"/>
                <w:numId w:val="173"/>
              </w:numPr>
              <w:contextualSpacing/>
            </w:pPr>
            <w:r>
              <w:t>a n</w:t>
            </w:r>
            <w:r w:rsidRPr="00F316C9">
              <w:t>otable increase in individual empowerment and social connectedness</w:t>
            </w:r>
          </w:p>
          <w:p w:rsidR="007B7137" w:rsidRDefault="007B7137" w:rsidP="00222517">
            <w:pPr>
              <w:numPr>
                <w:ilvl w:val="0"/>
                <w:numId w:val="173"/>
              </w:numPr>
              <w:spacing w:before="0"/>
              <w:ind w:left="714" w:hanging="357"/>
            </w:pPr>
            <w:r>
              <w:t>i</w:t>
            </w:r>
            <w:r w:rsidRPr="00F316C9">
              <w:t xml:space="preserve">mprovement in maternal and child wellbeing and parenting confidence. </w:t>
            </w:r>
          </w:p>
          <w:p w:rsidR="007B7137" w:rsidRPr="00F316C9" w:rsidRDefault="007B7137" w:rsidP="00DF14C0">
            <w:pPr>
              <w:spacing w:after="0"/>
            </w:pPr>
            <w:r w:rsidRPr="00F316C9">
              <w:t xml:space="preserve">The co-location of the program within the community health centre enabled workers to engage in health promotion and prevention activities with the young parents and their children. </w:t>
            </w:r>
          </w:p>
        </w:tc>
      </w:tr>
    </w:tbl>
    <w:p w:rsidR="00F13BA8" w:rsidRDefault="007B7137" w:rsidP="007B7137">
      <w:pPr>
        <w:pStyle w:val="Titolo3"/>
      </w:pPr>
      <w:bookmarkStart w:id="116" w:name="_Toc500308808"/>
      <w:r>
        <w:t>Young fathers</w:t>
      </w:r>
      <w:bookmarkEnd w:id="116"/>
    </w:p>
    <w:p w:rsidR="007B7137" w:rsidRPr="00B7233C" w:rsidRDefault="007B7137" w:rsidP="00DF14C0">
      <w:pPr>
        <w:pStyle w:val="Citazione"/>
      </w:pPr>
      <w:r w:rsidRPr="00B7233C">
        <w:t xml:space="preserve">[O]ne valuable contribution to the domain could be a deeper consideration of the </w:t>
      </w:r>
      <w:r w:rsidRPr="00B7233C">
        <w:rPr>
          <w:bCs/>
        </w:rPr>
        <w:t xml:space="preserve">role of fathers </w:t>
      </w:r>
      <w:r w:rsidRPr="00B7233C">
        <w:t>in young parenthood. Considering adolescent motherhood, the fathers of these children may be adolescent themselves …</w:t>
      </w:r>
      <w:r w:rsidRPr="00DF14C0">
        <w:rPr>
          <w:rStyle w:val="Rimandonotadichiusura"/>
          <w:sz w:val="22"/>
          <w:szCs w:val="22"/>
        </w:rPr>
        <w:endnoteReference w:id="657"/>
      </w:r>
    </w:p>
    <w:p w:rsidR="007B7137" w:rsidRDefault="007B7137" w:rsidP="005823F3">
      <w:r>
        <w:t>S</w:t>
      </w:r>
      <w:r w:rsidRPr="00F316C9">
        <w:t xml:space="preserve">ubmissions </w:t>
      </w:r>
      <w:r>
        <w:t xml:space="preserve">received, </w:t>
      </w:r>
      <w:r w:rsidRPr="00F316C9">
        <w:t>a</w:t>
      </w:r>
      <w:r>
        <w:t>s well as</w:t>
      </w:r>
      <w:r w:rsidRPr="00F316C9">
        <w:t xml:space="preserve"> roundtable</w:t>
      </w:r>
      <w:r>
        <w:t xml:space="preserve"> discussions,</w:t>
      </w:r>
      <w:r w:rsidRPr="00F316C9">
        <w:t xml:space="preserve"> </w:t>
      </w:r>
      <w:r>
        <w:t xml:space="preserve">consistently </w:t>
      </w:r>
      <w:r w:rsidRPr="00F316C9">
        <w:t xml:space="preserve">highlighted that research, policies and programs to support teenage pregnancy mostly exclude young fathers, </w:t>
      </w:r>
      <w:r>
        <w:t xml:space="preserve">and that </w:t>
      </w:r>
      <w:r w:rsidRPr="00F316C9">
        <w:t>the</w:t>
      </w:r>
      <w:r>
        <w:t>ir</w:t>
      </w:r>
      <w:r w:rsidRPr="00F316C9">
        <w:t xml:space="preserve"> in</w:t>
      </w:r>
      <w:r>
        <w:t>clusion</w:t>
      </w:r>
      <w:r w:rsidRPr="00F316C9">
        <w:t xml:space="preserve"> is critical for the longer</w:t>
      </w:r>
      <w:r>
        <w:t xml:space="preserve"> </w:t>
      </w:r>
      <w:r w:rsidRPr="00F316C9">
        <w:t>term involvement of young parents with services.</w:t>
      </w:r>
      <w:r w:rsidRPr="00F316C9">
        <w:rPr>
          <w:sz w:val="20"/>
          <w:vertAlign w:val="superscript"/>
        </w:rPr>
        <w:endnoteReference w:id="658"/>
      </w:r>
      <w:r w:rsidRPr="00F316C9">
        <w:t xml:space="preserve"> </w:t>
      </w:r>
    </w:p>
    <w:p w:rsidR="007B7137" w:rsidRPr="00F316C9" w:rsidRDefault="007B7137" w:rsidP="005823F3">
      <w:r w:rsidRPr="00F316C9">
        <w:t xml:space="preserve">According to the Association of Women Educators, any ‘comprehensive strategy to promote positive outcomes for young parents and their children’ needs to </w:t>
      </w:r>
      <w:r>
        <w:t>take into account of</w:t>
      </w:r>
      <w:r w:rsidRPr="00F316C9">
        <w:t xml:space="preserve"> the social, emotional and educational needs of young fathers.</w:t>
      </w:r>
      <w:r w:rsidRPr="00F316C9">
        <w:rPr>
          <w:sz w:val="20"/>
          <w:vertAlign w:val="superscript"/>
        </w:rPr>
        <w:endnoteReference w:id="659"/>
      </w:r>
      <w:r w:rsidRPr="00F316C9">
        <w:t xml:space="preserve"> </w:t>
      </w:r>
    </w:p>
    <w:p w:rsidR="007B7137" w:rsidRPr="00F316C9" w:rsidRDefault="007B7137" w:rsidP="005823F3">
      <w:r w:rsidRPr="00F316C9">
        <w:t>Fletcher and StGeorge from the University of Newcastle have suggested three approaches which acknowledge and have the potential to improve the social, educational and health outcomes of families. These include</w:t>
      </w:r>
      <w:r>
        <w:t xml:space="preserve"> addressing</w:t>
      </w:r>
      <w:r w:rsidRPr="00F316C9">
        <w:t xml:space="preserve">: </w:t>
      </w:r>
    </w:p>
    <w:p w:rsidR="007B7137" w:rsidRPr="00F316C9" w:rsidRDefault="007B7137" w:rsidP="00222517">
      <w:pPr>
        <w:numPr>
          <w:ilvl w:val="0"/>
          <w:numId w:val="175"/>
        </w:numPr>
        <w:spacing w:before="0" w:after="0"/>
        <w:rPr>
          <w:rFonts w:eastAsiaTheme="minorHAnsi" w:cs="Arial"/>
          <w:lang w:eastAsia="en-US"/>
        </w:rPr>
      </w:pPr>
      <w:r w:rsidRPr="00F316C9">
        <w:rPr>
          <w:rFonts w:eastAsiaTheme="minorHAnsi" w:cs="Arial"/>
          <w:lang w:eastAsia="en-US"/>
        </w:rPr>
        <w:t>the psychosocial wellbeing of young people in the period prior to conceptio</w:t>
      </w:r>
      <w:r>
        <w:rPr>
          <w:rFonts w:eastAsiaTheme="minorHAnsi" w:cs="Arial"/>
          <w:lang w:eastAsia="en-US"/>
        </w:rPr>
        <w:t>n</w:t>
      </w:r>
      <w:r w:rsidRPr="00F316C9">
        <w:rPr>
          <w:rFonts w:eastAsiaTheme="minorHAnsi" w:cs="Arial"/>
          <w:lang w:eastAsia="en-US"/>
        </w:rPr>
        <w:t xml:space="preserve"> </w:t>
      </w:r>
    </w:p>
    <w:p w:rsidR="007B7137" w:rsidRPr="00F316C9" w:rsidRDefault="007B7137" w:rsidP="00222517">
      <w:pPr>
        <w:numPr>
          <w:ilvl w:val="0"/>
          <w:numId w:val="175"/>
        </w:numPr>
        <w:spacing w:before="0" w:after="0"/>
        <w:rPr>
          <w:rFonts w:eastAsiaTheme="minorHAnsi" w:cs="Arial"/>
          <w:lang w:eastAsia="en-US"/>
        </w:rPr>
      </w:pPr>
      <w:r w:rsidRPr="00F316C9">
        <w:rPr>
          <w:rFonts w:eastAsiaTheme="minorHAnsi" w:cs="Arial"/>
          <w:lang w:eastAsia="en-US"/>
        </w:rPr>
        <w:t xml:space="preserve">parenting interventions to biological and social fathers as well as mothers </w:t>
      </w:r>
    </w:p>
    <w:p w:rsidR="007B7137" w:rsidRPr="00F316C9" w:rsidRDefault="007B7137" w:rsidP="00222517">
      <w:pPr>
        <w:numPr>
          <w:ilvl w:val="0"/>
          <w:numId w:val="175"/>
        </w:numPr>
        <w:spacing w:before="0"/>
        <w:ind w:left="714" w:hanging="357"/>
        <w:rPr>
          <w:rFonts w:eastAsiaTheme="minorHAnsi" w:cs="Arial"/>
          <w:lang w:eastAsia="en-US"/>
        </w:rPr>
      </w:pPr>
      <w:r w:rsidRPr="00F316C9">
        <w:rPr>
          <w:rFonts w:eastAsiaTheme="minorHAnsi" w:cs="Arial"/>
          <w:lang w:eastAsia="en-US"/>
        </w:rPr>
        <w:t>the particular strengths and needs of young Aboriginal fathers.</w:t>
      </w:r>
      <w:r w:rsidRPr="000E54E6">
        <w:rPr>
          <w:rStyle w:val="Rimandonotadichiusura"/>
        </w:rPr>
        <w:endnoteReference w:id="660"/>
      </w:r>
    </w:p>
    <w:p w:rsidR="007B7137" w:rsidRPr="00F316C9" w:rsidRDefault="007B7137" w:rsidP="006A6C92">
      <w:r w:rsidRPr="00F316C9">
        <w:t>Similar to the predictors of teenage pregnancy for young women, the indicators of teen fatherhood include multiple factors such as ‘parental separation/divorce in early childhood, exposure to family violence in early childhood, and illicit drug use (ever or in pregnancy)’.</w:t>
      </w:r>
      <w:r w:rsidRPr="00F316C9">
        <w:rPr>
          <w:sz w:val="20"/>
          <w:vertAlign w:val="superscript"/>
        </w:rPr>
        <w:endnoteReference w:id="661"/>
      </w:r>
      <w:r w:rsidRPr="00F316C9">
        <w:t xml:space="preserve"> Indeed, teenage fathers’ lives are characterised by a mixture of ‘harsh realities’</w:t>
      </w:r>
      <w:r>
        <w:t xml:space="preserve">, which may include </w:t>
      </w:r>
      <w:r w:rsidRPr="00F316C9">
        <w:t xml:space="preserve">pre-existing disability, drug and alcohol use, depression and </w:t>
      </w:r>
      <w:r>
        <w:t xml:space="preserve">prior OOHC </w:t>
      </w:r>
      <w:r w:rsidRPr="00F316C9">
        <w:t>experience.</w:t>
      </w:r>
      <w:r w:rsidRPr="00F316C9">
        <w:rPr>
          <w:sz w:val="20"/>
          <w:vertAlign w:val="superscript"/>
        </w:rPr>
        <w:endnoteReference w:id="662"/>
      </w:r>
      <w:r w:rsidR="006A6C92">
        <w:t xml:space="preserve"> </w:t>
      </w:r>
    </w:p>
    <w:p w:rsidR="007B7137" w:rsidRPr="00F316C9" w:rsidRDefault="007B7137" w:rsidP="006A6C92">
      <w:r w:rsidRPr="00F316C9">
        <w:t>At roundtables, I was advised that programs support</w:t>
      </w:r>
      <w:r>
        <w:t>ing</w:t>
      </w:r>
      <w:r w:rsidRPr="00F316C9">
        <w:t xml:space="preserve"> young fathers to share their stories and learn to understand their </w:t>
      </w:r>
      <w:r>
        <w:t xml:space="preserve">paternal </w:t>
      </w:r>
      <w:r w:rsidRPr="00F316C9">
        <w:t>role</w:t>
      </w:r>
      <w:r>
        <w:t>, while rare,</w:t>
      </w:r>
      <w:r w:rsidRPr="00F316C9">
        <w:t xml:space="preserve"> were very helpful and supportive to teenage </w:t>
      </w:r>
      <w:r>
        <w:t>parents</w:t>
      </w:r>
      <w:r w:rsidRPr="00F316C9">
        <w:t>.</w:t>
      </w:r>
      <w:r w:rsidRPr="00F316C9">
        <w:rPr>
          <w:sz w:val="20"/>
          <w:vertAlign w:val="superscript"/>
        </w:rPr>
        <w:endnoteReference w:id="663"/>
      </w:r>
      <w:r w:rsidRPr="00F316C9">
        <w:t xml:space="preserve"> For Aboriginal and Torres Strait Islander young fathers, VACCA recommended that ‘direct support’ should be provided to young fathers at the individual, family and community level.</w:t>
      </w:r>
      <w:r w:rsidRPr="00F316C9">
        <w:rPr>
          <w:sz w:val="20"/>
          <w:vertAlign w:val="superscript"/>
        </w:rPr>
        <w:endnoteReference w:id="664"/>
      </w:r>
      <w:r w:rsidRPr="00F316C9">
        <w:t xml:space="preserve"> VACCA additionally advocated that programs should be inclusive of young fathers</w:t>
      </w:r>
      <w:r>
        <w:t>,</w:t>
      </w:r>
      <w:r w:rsidRPr="00F316C9">
        <w:t xml:space="preserve"> </w:t>
      </w:r>
      <w:r>
        <w:t xml:space="preserve">as long as </w:t>
      </w:r>
      <w:r w:rsidRPr="00F316C9">
        <w:t>the safety of the mother and child is not compromised.</w:t>
      </w:r>
      <w:r w:rsidRPr="00F316C9">
        <w:rPr>
          <w:sz w:val="20"/>
          <w:vertAlign w:val="superscript"/>
        </w:rPr>
        <w:endnoteReference w:id="665"/>
      </w:r>
      <w:r w:rsidRPr="00F316C9">
        <w:t xml:space="preserve"> </w:t>
      </w:r>
    </w:p>
    <w:p w:rsidR="007B7137" w:rsidRPr="00F316C9" w:rsidRDefault="007B7137" w:rsidP="006A6C92">
      <w:r w:rsidRPr="00F316C9">
        <w:t>Fletcher and StGeorge</w:t>
      </w:r>
      <w:r>
        <w:t xml:space="preserve"> observed that</w:t>
      </w:r>
      <w:r w:rsidRPr="00F316C9">
        <w:t xml:space="preserve"> ‘father-inclusive practice[s]’ have not improved over the past 20 years.</w:t>
      </w:r>
      <w:r w:rsidRPr="00F316C9">
        <w:rPr>
          <w:sz w:val="20"/>
          <w:vertAlign w:val="superscript"/>
        </w:rPr>
        <w:endnoteReference w:id="666"/>
      </w:r>
      <w:r w:rsidRPr="00F316C9">
        <w:t xml:space="preserve"> They argue that the lack of foresight in including fathers wastes resources and can have a destab</w:t>
      </w:r>
      <w:r>
        <w:t>i</w:t>
      </w:r>
      <w:r w:rsidRPr="00F316C9">
        <w:t xml:space="preserve">lising influence on relationships as mothers develop </w:t>
      </w:r>
      <w:r>
        <w:t>greater</w:t>
      </w:r>
      <w:r w:rsidRPr="00F316C9">
        <w:t xml:space="preserve"> parenting knowledge and skills.</w:t>
      </w:r>
      <w:r w:rsidRPr="00F316C9">
        <w:rPr>
          <w:sz w:val="20"/>
          <w:vertAlign w:val="superscript"/>
        </w:rPr>
        <w:endnoteReference w:id="667"/>
      </w:r>
      <w:r w:rsidRPr="00F316C9">
        <w:t xml:space="preserve"> </w:t>
      </w:r>
      <w:r>
        <w:t xml:space="preserve">Reinforcing </w:t>
      </w:r>
      <w:r w:rsidRPr="00F316C9">
        <w:t>discussions at roundtables, Fletcher and StGeorge state</w:t>
      </w:r>
      <w:r>
        <w:t>d</w:t>
      </w:r>
      <w:r w:rsidRPr="00F316C9">
        <w:t xml:space="preserve"> that fathers experience poor professional support irrespective of age, race or class but that teenage fathers require specialised services, just like teenage mothers.</w:t>
      </w:r>
      <w:r w:rsidRPr="00F316C9">
        <w:rPr>
          <w:sz w:val="20"/>
          <w:vertAlign w:val="superscript"/>
        </w:rPr>
        <w:endnoteReference w:id="668"/>
      </w:r>
      <w:r w:rsidR="006A6C92">
        <w:t xml:space="preserve"> </w:t>
      </w:r>
    </w:p>
    <w:p w:rsidR="007B7137" w:rsidRPr="00F316C9" w:rsidRDefault="007B7137" w:rsidP="007B7137">
      <w:pPr>
        <w:spacing w:before="0" w:after="0"/>
      </w:pPr>
      <w:r w:rsidRPr="00F316C9">
        <w:t xml:space="preserve">Research and engagement has found that fathers seem to be more likely to use web-based information services than </w:t>
      </w:r>
      <w:r>
        <w:t>mothers</w:t>
      </w:r>
      <w:r w:rsidRPr="00F316C9">
        <w:t>, suggesting that investment should be made to develop dedicated web-based programs to effectively engage young fathers.</w:t>
      </w:r>
      <w:r w:rsidRPr="00F316C9">
        <w:rPr>
          <w:sz w:val="20"/>
          <w:vertAlign w:val="superscript"/>
        </w:rPr>
        <w:endnoteReference w:id="669"/>
      </w:r>
      <w:r w:rsidRPr="00F316C9">
        <w:t xml:space="preserve"> </w:t>
      </w:r>
    </w:p>
    <w:p w:rsidR="007B7137" w:rsidRPr="00A30CF9" w:rsidRDefault="007B7137" w:rsidP="007B7137">
      <w:pPr>
        <w:rPr>
          <w:b/>
        </w:rPr>
      </w:pPr>
      <w:r w:rsidRPr="00F316C9">
        <w:t xml:space="preserve">The </w:t>
      </w:r>
      <w:r w:rsidRPr="00F316C9">
        <w:rPr>
          <w:i/>
        </w:rPr>
        <w:t>Aboriginal F</w:t>
      </w:r>
      <w:r>
        <w:rPr>
          <w:i/>
        </w:rPr>
        <w:t xml:space="preserve">athers Stayin’ on Track </w:t>
      </w:r>
      <w:r w:rsidRPr="007B5C20">
        <w:t>and</w:t>
      </w:r>
      <w:r>
        <w:rPr>
          <w:i/>
        </w:rPr>
        <w:t xml:space="preserve"> SMS4d</w:t>
      </w:r>
      <w:r w:rsidRPr="00F316C9">
        <w:rPr>
          <w:i/>
        </w:rPr>
        <w:t>ads</w:t>
      </w:r>
      <w:r w:rsidRPr="00F316C9">
        <w:t xml:space="preserve"> program (</w:t>
      </w:r>
      <w:r>
        <w:t>s</w:t>
      </w:r>
      <w:r w:rsidRPr="00F316C9">
        <w:t xml:space="preserve">ee </w:t>
      </w:r>
      <w:r>
        <w:t>B</w:t>
      </w:r>
      <w:r w:rsidRPr="00F316C9">
        <w:t xml:space="preserve">ox </w:t>
      </w:r>
      <w:r>
        <w:t xml:space="preserve">9) are </w:t>
      </w:r>
      <w:r w:rsidRPr="00F316C9">
        <w:t>example</w:t>
      </w:r>
      <w:r>
        <w:t>s</w:t>
      </w:r>
      <w:r w:rsidRPr="00F316C9">
        <w:t xml:space="preserve"> of an innovative approach to engage young Aboriginal fathers. The</w:t>
      </w:r>
      <w:r>
        <w:t>se</w:t>
      </w:r>
      <w:r w:rsidRPr="00F316C9">
        <w:t xml:space="preserve"> two tools enable young dads to connect with each other, receive practical information and feel that they are not alone in their fatherhood journey. The use of technology and social media to engage with hard to reach cl</w:t>
      </w:r>
      <w:r>
        <w:t>ients — including young mums —</w:t>
      </w:r>
      <w:r w:rsidRPr="00F316C9">
        <w:t xml:space="preserve"> was also recommended by Winkworth and McArthur.</w:t>
      </w:r>
      <w:r w:rsidRPr="00F316C9">
        <w:rPr>
          <w:sz w:val="20"/>
          <w:vertAlign w:val="superscript"/>
        </w:rPr>
        <w:endnoteReference w:id="670"/>
      </w:r>
      <w:r w:rsidR="000E54E6">
        <w:t xml:space="preserve"> </w:t>
      </w:r>
    </w:p>
    <w:tbl>
      <w:tblPr>
        <w:tblStyle w:val="Grigliatabella"/>
        <w:tblW w:w="0" w:type="auto"/>
        <w:tblCellMar>
          <w:left w:w="284" w:type="dxa"/>
          <w:bottom w:w="284" w:type="dxa"/>
          <w:right w:w="284" w:type="dxa"/>
        </w:tblCellMar>
        <w:tblLook w:val="04A0" w:firstRow="1" w:lastRow="0" w:firstColumn="1" w:lastColumn="0" w:noHBand="0" w:noVBand="1"/>
      </w:tblPr>
      <w:tblGrid>
        <w:gridCol w:w="9060"/>
      </w:tblGrid>
      <w:tr w:rsidR="007B7137" w:rsidRPr="00F316C9" w:rsidTr="00B55241">
        <w:tc>
          <w:tcPr>
            <w:tcW w:w="9060" w:type="dxa"/>
          </w:tcPr>
          <w:p w:rsidR="007B7137" w:rsidRDefault="007B7137" w:rsidP="00F763BE">
            <w:pPr>
              <w:rPr>
                <w:b/>
              </w:rPr>
            </w:pPr>
            <w:r w:rsidRPr="00BD277E">
              <w:rPr>
                <w:b/>
              </w:rPr>
              <w:t>Box 9</w:t>
            </w:r>
            <w:r>
              <w:rPr>
                <w:b/>
              </w:rPr>
              <w:t>:</w:t>
            </w:r>
            <w:r w:rsidRPr="00A30CF9">
              <w:rPr>
                <w:b/>
              </w:rPr>
              <w:t xml:space="preserve"> </w:t>
            </w:r>
            <w:r w:rsidRPr="009233D3">
              <w:rPr>
                <w:b/>
              </w:rPr>
              <w:t>Aboriginal Fathers Stayin’ on Track and SMS4dads</w:t>
            </w:r>
            <w:r w:rsidRPr="00A30CF9">
              <w:rPr>
                <w:sz w:val="20"/>
                <w:vertAlign w:val="superscript"/>
              </w:rPr>
              <w:endnoteReference w:id="671"/>
            </w:r>
          </w:p>
          <w:p w:rsidR="007B7137" w:rsidRPr="00F316C9" w:rsidRDefault="007B7137" w:rsidP="00F763BE">
            <w:r w:rsidRPr="00F316C9">
              <w:rPr>
                <w:i/>
              </w:rPr>
              <w:t>Stayin’ on Track</w:t>
            </w:r>
            <w:r w:rsidRPr="00F316C9">
              <w:t xml:space="preserve"> is an online resource developed by young Aboriginal fathers about Aboriginal men and fatherhood. The website features stories from other young Aboriginal fathers and links to online services. </w:t>
            </w:r>
          </w:p>
          <w:p w:rsidR="007B7137" w:rsidRPr="00F316C9" w:rsidRDefault="007B7137" w:rsidP="00F763BE">
            <w:r>
              <w:t xml:space="preserve">Another </w:t>
            </w:r>
            <w:r w:rsidRPr="00F316C9">
              <w:t xml:space="preserve">project is </w:t>
            </w:r>
            <w:r w:rsidRPr="00F316C9">
              <w:rPr>
                <w:i/>
              </w:rPr>
              <w:t>SMS4dads</w:t>
            </w:r>
            <w:r w:rsidRPr="00F316C9">
              <w:t xml:space="preserve"> which enables young fathers to opt-in, either before or af</w:t>
            </w:r>
            <w:r>
              <w:t>ter the birth of their baby, to</w:t>
            </w:r>
            <w:r w:rsidRPr="00F316C9">
              <w:t xml:space="preserve"> receive text messages that provide information and support to new fathers before and after the birth. </w:t>
            </w:r>
          </w:p>
          <w:p w:rsidR="007B7137" w:rsidRPr="00F316C9" w:rsidRDefault="007B7137" w:rsidP="00F763BE">
            <w:r w:rsidRPr="00F316C9">
              <w:t>Together, the two programs enable young dads to connect with each other, receive practical information and feel that they are not alone in their fatherhood journey. A key part of the program also involves Aboriginal Mentoring through the ‘Mood Tracker’ and ‘Dad Tracker’</w:t>
            </w:r>
            <w:r>
              <w:t xml:space="preserve"> applications that are built in</w:t>
            </w:r>
            <w:r w:rsidRPr="00F316C9">
              <w:t>to the program. This part of the program enables mentor</w:t>
            </w:r>
            <w:r>
              <w:t xml:space="preserve">s and support services to check </w:t>
            </w:r>
            <w:r w:rsidRPr="00F316C9">
              <w:t xml:space="preserve">in with fathers and </w:t>
            </w:r>
            <w:r w:rsidR="009233D3">
              <w:t xml:space="preserve">connect with them if required. </w:t>
            </w:r>
          </w:p>
          <w:p w:rsidR="007B7137" w:rsidRPr="00F316C9" w:rsidRDefault="007B7137" w:rsidP="00CA39C1">
            <w:pPr>
              <w:spacing w:after="0"/>
            </w:pPr>
            <w:r w:rsidRPr="00F316C9">
              <w:t xml:space="preserve">The program partners included the University of Newcastle, Microsoft and the Young and Well Cooperative Research Centre. </w:t>
            </w:r>
          </w:p>
        </w:tc>
      </w:tr>
    </w:tbl>
    <w:p w:rsidR="00F13BA8" w:rsidRDefault="007B7137" w:rsidP="00CA39C1">
      <w:pPr>
        <w:pStyle w:val="Titolo3"/>
        <w:spacing w:before="400"/>
      </w:pPr>
      <w:bookmarkStart w:id="117" w:name="_Toc500308809"/>
      <w:r>
        <w:t>Lost in transition: Service disconnection</w:t>
      </w:r>
      <w:bookmarkEnd w:id="117"/>
    </w:p>
    <w:p w:rsidR="007B7137" w:rsidRDefault="007B7137" w:rsidP="007B7137">
      <w:r w:rsidRPr="00F316C9">
        <w:t>A</w:t>
      </w:r>
      <w:r>
        <w:t xml:space="preserve"> particular concern</w:t>
      </w:r>
      <w:r w:rsidRPr="00F316C9">
        <w:t xml:space="preserve"> raised in the roundtable consultations is a phenomenon that some participants framed as </w:t>
      </w:r>
      <w:r>
        <w:t>being</w:t>
      </w:r>
      <w:r w:rsidRPr="00F316C9">
        <w:t xml:space="preserve"> ‘lost in transition’</w:t>
      </w:r>
      <w:r>
        <w:t xml:space="preserve">, </w:t>
      </w:r>
      <w:r w:rsidRPr="00F316C9">
        <w:t>refer</w:t>
      </w:r>
      <w:r>
        <w:t>ring</w:t>
      </w:r>
      <w:r w:rsidRPr="00F316C9">
        <w:t xml:space="preserve"> to the service disconnect when </w:t>
      </w:r>
      <w:r>
        <w:t>a young parent</w:t>
      </w:r>
      <w:r w:rsidRPr="00F316C9">
        <w:t xml:space="preserve"> leave</w:t>
      </w:r>
      <w:r>
        <w:t>s</w:t>
      </w:r>
      <w:r w:rsidRPr="00F316C9">
        <w:t xml:space="preserve"> </w:t>
      </w:r>
      <w:r>
        <w:t xml:space="preserve">a </w:t>
      </w:r>
      <w:r w:rsidRPr="00F316C9">
        <w:t>service.</w:t>
      </w:r>
      <w:r w:rsidRPr="00F316C9">
        <w:rPr>
          <w:sz w:val="20"/>
          <w:vertAlign w:val="superscript"/>
        </w:rPr>
        <w:endnoteReference w:id="672"/>
      </w:r>
      <w:r w:rsidRPr="00F316C9">
        <w:t xml:space="preserve"> </w:t>
      </w:r>
    </w:p>
    <w:p w:rsidR="007B7137" w:rsidRDefault="007B7137" w:rsidP="007B7137">
      <w:r w:rsidRPr="00F316C9">
        <w:t>Discussions high</w:t>
      </w:r>
      <w:r>
        <w:t xml:space="preserve">lighted the lack of follow </w:t>
      </w:r>
      <w:r w:rsidRPr="00F316C9">
        <w:t>up with young parents after they leave services, complete programs or no longer meet the criteria required to continue to attend the service.</w:t>
      </w:r>
      <w:r w:rsidRPr="00F316C9">
        <w:rPr>
          <w:sz w:val="20"/>
          <w:vertAlign w:val="superscript"/>
        </w:rPr>
        <w:endnoteReference w:id="673"/>
      </w:r>
      <w:r w:rsidRPr="00F316C9">
        <w:t xml:space="preserve"> Based on my investigation, there seems to b</w:t>
      </w:r>
      <w:r>
        <w:t xml:space="preserve">e limited knowledge of the long </w:t>
      </w:r>
      <w:r w:rsidRPr="00F316C9">
        <w:t xml:space="preserve">term impacts of programs on young parents’ transition when they leave services, due to loss of contact. </w:t>
      </w:r>
    </w:p>
    <w:p w:rsidR="007B7137" w:rsidRDefault="007B7137" w:rsidP="007B7137">
      <w:pPr>
        <w:ind w:left="360"/>
        <w:rPr>
          <w:sz w:val="22"/>
          <w:szCs w:val="22"/>
        </w:rPr>
      </w:pPr>
      <w:r w:rsidRPr="00FF2EC7">
        <w:rPr>
          <w:sz w:val="22"/>
          <w:szCs w:val="22"/>
        </w:rPr>
        <w:t>A consistent message is that younger mothers hav</w:t>
      </w:r>
      <w:r>
        <w:rPr>
          <w:sz w:val="22"/>
          <w:szCs w:val="22"/>
        </w:rPr>
        <w:t>e aspirations, hopes and dreams</w:t>
      </w:r>
      <w:r w:rsidRPr="00FF2EC7">
        <w:rPr>
          <w:sz w:val="22"/>
          <w:szCs w:val="22"/>
        </w:rPr>
        <w:t xml:space="preserve"> for being the best parent they can be; for higher education; and for meaningful employment. However hopes and dreams are increasingly out of reach for many as primary systems of care (such as income support, health, education, and employment) become too difficult to navigate and do not work together to leverage opportunities for this vulnerable group.</w:t>
      </w:r>
      <w:r w:rsidRPr="00FF2EC7">
        <w:rPr>
          <w:rStyle w:val="Rimandonotadichiusura"/>
          <w:sz w:val="22"/>
          <w:szCs w:val="22"/>
        </w:rPr>
        <w:endnoteReference w:id="674"/>
      </w:r>
    </w:p>
    <w:p w:rsidR="00455105" w:rsidRPr="00FF2EC7" w:rsidRDefault="00455105" w:rsidP="00CA39C1">
      <w:pPr>
        <w:keepLines w:val="0"/>
        <w:spacing w:before="0" w:after="0"/>
      </w:pPr>
      <w:r>
        <w:br w:type="page"/>
      </w:r>
    </w:p>
    <w:tbl>
      <w:tblPr>
        <w:tblStyle w:val="Grigliatabella"/>
        <w:tblW w:w="0" w:type="auto"/>
        <w:tblCellMar>
          <w:left w:w="284" w:type="dxa"/>
          <w:bottom w:w="284" w:type="dxa"/>
          <w:right w:w="284" w:type="dxa"/>
        </w:tblCellMar>
        <w:tblLook w:val="04A0" w:firstRow="1" w:lastRow="0" w:firstColumn="1" w:lastColumn="0" w:noHBand="0" w:noVBand="1"/>
      </w:tblPr>
      <w:tblGrid>
        <w:gridCol w:w="9060"/>
      </w:tblGrid>
      <w:tr w:rsidR="007B7137" w:rsidTr="00B55241">
        <w:tc>
          <w:tcPr>
            <w:tcW w:w="9060" w:type="dxa"/>
          </w:tcPr>
          <w:p w:rsidR="007B7137" w:rsidRPr="00455105" w:rsidRDefault="007B7137" w:rsidP="00455105">
            <w:pPr>
              <w:rPr>
                <w:b/>
              </w:rPr>
            </w:pPr>
            <w:r w:rsidRPr="00455105">
              <w:rPr>
                <w:b/>
              </w:rPr>
              <w:t>Summary</w:t>
            </w:r>
          </w:p>
          <w:p w:rsidR="007B7137" w:rsidRDefault="007B7137" w:rsidP="00222517">
            <w:pPr>
              <w:pStyle w:val="Paragrafoelenco"/>
              <w:numPr>
                <w:ilvl w:val="0"/>
                <w:numId w:val="176"/>
              </w:numPr>
              <w:spacing w:before="0" w:after="200"/>
              <w:ind w:left="714" w:hanging="357"/>
              <w:contextualSpacing w:val="0"/>
              <w:jc w:val="left"/>
            </w:pPr>
            <w:r>
              <w:t>Limited or poor access to affordable and quality early childhood education and care services is a significant impediment to sustained educational and employment participation</w:t>
            </w:r>
            <w:r w:rsidR="006B0398">
              <w:t xml:space="preserve"> by young parents</w:t>
            </w:r>
            <w:r>
              <w:t>.</w:t>
            </w:r>
          </w:p>
          <w:p w:rsidR="007B7137" w:rsidRDefault="007B7137" w:rsidP="00222517">
            <w:pPr>
              <w:pStyle w:val="Paragrafoelenco"/>
              <w:numPr>
                <w:ilvl w:val="0"/>
                <w:numId w:val="176"/>
              </w:numPr>
              <w:spacing w:before="0" w:after="200"/>
              <w:ind w:left="714" w:hanging="357"/>
              <w:contextualSpacing w:val="0"/>
              <w:jc w:val="left"/>
            </w:pPr>
            <w:r>
              <w:t xml:space="preserve">Experiences or perceptions of discrimination, stigma and prejudice by young parents as well as fear of child protection authorities, including risk of removal of their children, present significant hurdles to </w:t>
            </w:r>
            <w:r w:rsidR="006B0398">
              <w:t>their use</w:t>
            </w:r>
            <w:r>
              <w:t xml:space="preserve"> of various services.</w:t>
            </w:r>
          </w:p>
          <w:p w:rsidR="007B7137" w:rsidRDefault="007B7137" w:rsidP="00222517">
            <w:pPr>
              <w:pStyle w:val="Paragrafoelenco"/>
              <w:numPr>
                <w:ilvl w:val="0"/>
                <w:numId w:val="176"/>
              </w:numPr>
              <w:spacing w:before="0" w:after="200"/>
              <w:ind w:left="714" w:hanging="357"/>
              <w:contextualSpacing w:val="0"/>
              <w:jc w:val="left"/>
            </w:pPr>
            <w:r>
              <w:t>Programs that combine sexual health education and access to contraception are most effective at reducing adolescent pregnancy, and can result in reduced risky sexual behaviour in young people.</w:t>
            </w:r>
          </w:p>
          <w:p w:rsidR="007B7137" w:rsidRDefault="007B7137" w:rsidP="00222517">
            <w:pPr>
              <w:pStyle w:val="Paragrafoelenco"/>
              <w:numPr>
                <w:ilvl w:val="0"/>
                <w:numId w:val="176"/>
              </w:numPr>
              <w:spacing w:before="0" w:after="200"/>
              <w:ind w:left="714" w:hanging="357"/>
              <w:contextualSpacing w:val="0"/>
              <w:jc w:val="left"/>
            </w:pPr>
            <w:r>
              <w:t xml:space="preserve">Young parents face various challenges relating to transportation. These include: </w:t>
            </w:r>
          </w:p>
          <w:p w:rsidR="007B7137" w:rsidRDefault="007B7137" w:rsidP="00222517">
            <w:pPr>
              <w:pStyle w:val="Paragrafoelenco"/>
              <w:numPr>
                <w:ilvl w:val="0"/>
                <w:numId w:val="177"/>
              </w:numPr>
              <w:spacing w:before="0" w:after="0"/>
              <w:jc w:val="left"/>
            </w:pPr>
            <w:r>
              <w:t xml:space="preserve">difficulties </w:t>
            </w:r>
            <w:r w:rsidRPr="00F316C9">
              <w:t>gaining a driver</w:t>
            </w:r>
            <w:r>
              <w:t>’</w:t>
            </w:r>
            <w:r w:rsidRPr="00F316C9">
              <w:t>s licence</w:t>
            </w:r>
          </w:p>
          <w:p w:rsidR="007B7137" w:rsidRDefault="007B7137" w:rsidP="00222517">
            <w:pPr>
              <w:pStyle w:val="Paragrafoelenco"/>
              <w:numPr>
                <w:ilvl w:val="0"/>
                <w:numId w:val="177"/>
              </w:numPr>
              <w:spacing w:before="0" w:after="0"/>
              <w:jc w:val="left"/>
            </w:pPr>
            <w:r>
              <w:t>c</w:t>
            </w:r>
            <w:r w:rsidRPr="00F316C9">
              <w:t>ompleting the number of required</w:t>
            </w:r>
            <w:r>
              <w:t xml:space="preserve"> supervised driving hours </w:t>
            </w:r>
          </w:p>
          <w:p w:rsidR="007B7137" w:rsidRDefault="007B7137" w:rsidP="00222517">
            <w:pPr>
              <w:pStyle w:val="Paragrafoelenco"/>
              <w:numPr>
                <w:ilvl w:val="0"/>
                <w:numId w:val="177"/>
              </w:numPr>
              <w:spacing w:before="0" w:after="0"/>
              <w:jc w:val="left"/>
            </w:pPr>
            <w:r>
              <w:t>access to a car or someone to supervise</w:t>
            </w:r>
          </w:p>
          <w:p w:rsidR="007B7137" w:rsidRDefault="007B7137" w:rsidP="00222517">
            <w:pPr>
              <w:pStyle w:val="Paragrafoelenco"/>
              <w:numPr>
                <w:ilvl w:val="0"/>
                <w:numId w:val="177"/>
              </w:numPr>
              <w:spacing w:before="0" w:after="0"/>
              <w:jc w:val="left"/>
            </w:pPr>
            <w:r>
              <w:t>expensive bus fares</w:t>
            </w:r>
          </w:p>
          <w:p w:rsidR="007B7137" w:rsidRDefault="007B7137" w:rsidP="00222517">
            <w:pPr>
              <w:pStyle w:val="Paragrafoelenco"/>
              <w:numPr>
                <w:ilvl w:val="0"/>
                <w:numId w:val="177"/>
              </w:numPr>
              <w:spacing w:before="0" w:after="0"/>
              <w:jc w:val="left"/>
            </w:pPr>
            <w:r>
              <w:t>poor treatment by bus drivers</w:t>
            </w:r>
          </w:p>
          <w:p w:rsidR="007B7137" w:rsidRDefault="007B7137" w:rsidP="00222517">
            <w:pPr>
              <w:pStyle w:val="Paragrafoelenco"/>
              <w:numPr>
                <w:ilvl w:val="0"/>
                <w:numId w:val="177"/>
              </w:numPr>
              <w:spacing w:before="0"/>
              <w:ind w:left="1077" w:hanging="357"/>
              <w:contextualSpacing w:val="0"/>
              <w:jc w:val="left"/>
            </w:pPr>
            <w:r>
              <w:t>the cost of petrol.</w:t>
            </w:r>
          </w:p>
          <w:p w:rsidR="007B7137" w:rsidRDefault="007B7137" w:rsidP="00222517">
            <w:pPr>
              <w:pStyle w:val="Paragrafoelenco"/>
              <w:numPr>
                <w:ilvl w:val="0"/>
                <w:numId w:val="176"/>
              </w:numPr>
              <w:spacing w:before="0" w:after="200"/>
              <w:ind w:left="714" w:hanging="357"/>
              <w:contextualSpacing w:val="0"/>
              <w:jc w:val="left"/>
            </w:pPr>
            <w:r>
              <w:t xml:space="preserve">Young parents have poorer educational outcomes than their counterparts. </w:t>
            </w:r>
          </w:p>
          <w:p w:rsidR="007B7137" w:rsidRDefault="007B7137" w:rsidP="00222517">
            <w:pPr>
              <w:pStyle w:val="Paragrafoelenco"/>
              <w:numPr>
                <w:ilvl w:val="0"/>
                <w:numId w:val="176"/>
              </w:numPr>
              <w:spacing w:before="0" w:after="200"/>
              <w:ind w:left="714" w:hanging="357"/>
              <w:contextualSpacing w:val="0"/>
              <w:jc w:val="left"/>
            </w:pPr>
            <w:r>
              <w:t>S</w:t>
            </w:r>
            <w:r w:rsidRPr="00F316C9">
              <w:t xml:space="preserve">ecure housing </w:t>
            </w:r>
            <w:r>
              <w:t xml:space="preserve">is </w:t>
            </w:r>
            <w:r w:rsidRPr="00F316C9">
              <w:t>a c</w:t>
            </w:r>
            <w:r>
              <w:t>ore</w:t>
            </w:r>
            <w:r w:rsidRPr="00F316C9">
              <w:t xml:space="preserve"> </w:t>
            </w:r>
            <w:r>
              <w:t>need</w:t>
            </w:r>
            <w:r w:rsidRPr="00F316C9">
              <w:t xml:space="preserve"> for young parents</w:t>
            </w:r>
            <w:r>
              <w:t>.</w:t>
            </w:r>
          </w:p>
          <w:p w:rsidR="007B7137" w:rsidRDefault="007B7137" w:rsidP="00222517">
            <w:pPr>
              <w:pStyle w:val="Paragrafoelenco"/>
              <w:numPr>
                <w:ilvl w:val="0"/>
                <w:numId w:val="176"/>
              </w:numPr>
              <w:spacing w:before="0" w:after="200"/>
              <w:ind w:left="714" w:hanging="357"/>
              <w:contextualSpacing w:val="0"/>
              <w:jc w:val="left"/>
            </w:pPr>
            <w:r>
              <w:t>Culturally safe programs and services for young parents and their children</w:t>
            </w:r>
            <w:r w:rsidR="006B0398">
              <w:t xml:space="preserve"> are more likely to succeed in promoting their health, wellbeing and socio-economic independence</w:t>
            </w:r>
            <w:r>
              <w:t>.</w:t>
            </w:r>
          </w:p>
          <w:p w:rsidR="007B7137" w:rsidRDefault="007B7137" w:rsidP="00CA39C1">
            <w:pPr>
              <w:pStyle w:val="Paragrafoelenco"/>
              <w:numPr>
                <w:ilvl w:val="0"/>
                <w:numId w:val="176"/>
              </w:numPr>
              <w:spacing w:before="0" w:after="0"/>
              <w:ind w:left="714" w:hanging="357"/>
              <w:contextualSpacing w:val="0"/>
              <w:jc w:val="left"/>
            </w:pPr>
            <w:r>
              <w:t xml:space="preserve">Currently, </w:t>
            </w:r>
            <w:r w:rsidRPr="00F316C9">
              <w:t>research, policies and programs to support teenage pregnan</w:t>
            </w:r>
            <w:r>
              <w:t>cy mostly exclude young fathers. T</w:t>
            </w:r>
            <w:r w:rsidRPr="00F316C9">
              <w:t>he in</w:t>
            </w:r>
            <w:r>
              <w:t>clusion of young fathers</w:t>
            </w:r>
            <w:r w:rsidRPr="00F316C9">
              <w:t xml:space="preserve"> is critical for the longer</w:t>
            </w:r>
            <w:r>
              <w:t xml:space="preserve"> </w:t>
            </w:r>
            <w:r w:rsidRPr="00F316C9">
              <w:t>term involvement of young parents with services.</w:t>
            </w:r>
          </w:p>
        </w:tc>
      </w:tr>
    </w:tbl>
    <w:p w:rsidR="00455105" w:rsidRDefault="00455105" w:rsidP="003B713D"/>
    <w:p w:rsidR="00455105" w:rsidRDefault="00455105">
      <w:pPr>
        <w:keepLines w:val="0"/>
        <w:spacing w:before="0" w:after="0"/>
      </w:pPr>
      <w:r>
        <w:br w:type="page"/>
      </w:r>
    </w:p>
    <w:p w:rsidR="007B7137" w:rsidRDefault="00C7470F" w:rsidP="00361016">
      <w:pPr>
        <w:pStyle w:val="31"/>
      </w:pPr>
      <w:bookmarkStart w:id="118" w:name="_Toc500308810"/>
      <w:r>
        <w:t>Wha</w:t>
      </w:r>
      <w:r w:rsidR="007B7137">
        <w:t>t young parents said</w:t>
      </w:r>
      <w:bookmarkEnd w:id="118"/>
    </w:p>
    <w:p w:rsidR="007B7137" w:rsidRDefault="007B7137" w:rsidP="00222517">
      <w:pPr>
        <w:pStyle w:val="Titolo3"/>
        <w:numPr>
          <w:ilvl w:val="2"/>
          <w:numId w:val="194"/>
        </w:numPr>
      </w:pPr>
      <w:bookmarkStart w:id="119" w:name="_Toc500308811"/>
      <w:r>
        <w:t>Who we spoke with</w:t>
      </w:r>
      <w:bookmarkEnd w:id="119"/>
    </w:p>
    <w:p w:rsidR="007B7137" w:rsidRPr="00366F57" w:rsidRDefault="007B7137" w:rsidP="007B7137">
      <w:pPr>
        <w:spacing w:before="0" w:after="0"/>
        <w:rPr>
          <w:color w:val="000000" w:themeColor="text1"/>
        </w:rPr>
      </w:pPr>
      <w:r>
        <w:rPr>
          <w:color w:val="000000" w:themeColor="text1"/>
        </w:rPr>
        <w:t>For this project, I consulted directly with 77</w:t>
      </w:r>
      <w:r w:rsidRPr="00366F57">
        <w:rPr>
          <w:color w:val="000000" w:themeColor="text1"/>
        </w:rPr>
        <w:t xml:space="preserve"> young parents </w:t>
      </w:r>
      <w:r>
        <w:rPr>
          <w:color w:val="000000" w:themeColor="text1"/>
        </w:rPr>
        <w:t xml:space="preserve">in </w:t>
      </w:r>
      <w:r w:rsidRPr="00366F57">
        <w:rPr>
          <w:color w:val="000000" w:themeColor="text1"/>
        </w:rPr>
        <w:t xml:space="preserve">workshops and individual interviews </w:t>
      </w:r>
      <w:r>
        <w:rPr>
          <w:color w:val="000000" w:themeColor="text1"/>
        </w:rPr>
        <w:t>conducted in NSW, NT, ACT, Qld, Vic</w:t>
      </w:r>
      <w:r w:rsidR="001345FD">
        <w:rPr>
          <w:color w:val="000000" w:themeColor="text1"/>
        </w:rPr>
        <w:t>toria</w:t>
      </w:r>
      <w:r w:rsidRPr="00366F57">
        <w:rPr>
          <w:color w:val="000000" w:themeColor="text1"/>
        </w:rPr>
        <w:t xml:space="preserve"> and SA between March and October 2017. The consultations were facilitated by a range of service providers.</w:t>
      </w:r>
      <w:r w:rsidRPr="00366F57">
        <w:rPr>
          <w:rStyle w:val="Rimandonotadichiusura"/>
          <w:color w:val="000000" w:themeColor="text1"/>
        </w:rPr>
        <w:endnoteReference w:id="675"/>
      </w:r>
    </w:p>
    <w:p w:rsidR="007B7137" w:rsidRPr="00366F57" w:rsidRDefault="007B7137" w:rsidP="007B7137">
      <w:pPr>
        <w:spacing w:before="0" w:after="0"/>
        <w:rPr>
          <w:color w:val="000000" w:themeColor="text1"/>
        </w:rPr>
      </w:pPr>
    </w:p>
    <w:p w:rsidR="007B7137" w:rsidRPr="00366F57" w:rsidRDefault="007B7137" w:rsidP="007B7137">
      <w:pPr>
        <w:spacing w:before="0" w:after="0"/>
        <w:rPr>
          <w:color w:val="000000" w:themeColor="text1"/>
        </w:rPr>
      </w:pPr>
      <w:r w:rsidRPr="00366F57">
        <w:rPr>
          <w:color w:val="000000" w:themeColor="text1"/>
        </w:rPr>
        <w:t xml:space="preserve">Separate to this, 89 young parents or </w:t>
      </w:r>
      <w:r>
        <w:rPr>
          <w:color w:val="000000" w:themeColor="text1"/>
        </w:rPr>
        <w:t xml:space="preserve">expecting </w:t>
      </w:r>
      <w:r w:rsidRPr="00366F57">
        <w:rPr>
          <w:color w:val="000000" w:themeColor="text1"/>
        </w:rPr>
        <w:t>parents from across the country</w:t>
      </w:r>
      <w:r>
        <w:rPr>
          <w:color w:val="000000" w:themeColor="text1"/>
        </w:rPr>
        <w:t xml:space="preserve"> completed surveys</w:t>
      </w:r>
      <w:r w:rsidRPr="00366F57">
        <w:rPr>
          <w:color w:val="000000" w:themeColor="text1"/>
        </w:rPr>
        <w:t>, again facilitated by service providers working with the young parents. The questions in the survey were largely based on a previous semi-structured interview and focus group process conducted by the Institute of Child Protection Studies</w:t>
      </w:r>
      <w:r>
        <w:rPr>
          <w:color w:val="000000" w:themeColor="text1"/>
        </w:rPr>
        <w:t xml:space="preserve"> (ICPS) at the Australian Catholic University</w:t>
      </w:r>
      <w:r w:rsidRPr="00366F57">
        <w:rPr>
          <w:color w:val="000000" w:themeColor="text1"/>
        </w:rPr>
        <w:t xml:space="preserve"> in 2010</w:t>
      </w:r>
      <w:r>
        <w:rPr>
          <w:color w:val="000000" w:themeColor="text1"/>
        </w:rPr>
        <w:t>, on the experiences and aspirations of young mothers.</w:t>
      </w:r>
      <w:r w:rsidRPr="00366F57">
        <w:rPr>
          <w:rStyle w:val="Rimandonotadichiusura"/>
          <w:color w:val="000000" w:themeColor="text1"/>
        </w:rPr>
        <w:endnoteReference w:id="676"/>
      </w:r>
      <w:r w:rsidRPr="00366F57">
        <w:rPr>
          <w:color w:val="000000" w:themeColor="text1"/>
        </w:rPr>
        <w:t xml:space="preserve"> </w:t>
      </w:r>
    </w:p>
    <w:p w:rsidR="007B7137" w:rsidRPr="00366F57" w:rsidRDefault="007B7137" w:rsidP="007B7137">
      <w:pPr>
        <w:rPr>
          <w:color w:val="000000" w:themeColor="text1"/>
        </w:rPr>
      </w:pPr>
      <w:r w:rsidRPr="00366F57">
        <w:rPr>
          <w:color w:val="000000" w:themeColor="text1"/>
        </w:rPr>
        <w:t xml:space="preserve">I wish to sincerely thank all the young people who participated </w:t>
      </w:r>
      <w:r>
        <w:rPr>
          <w:color w:val="000000" w:themeColor="text1"/>
        </w:rPr>
        <w:t xml:space="preserve">in the consultations and surveys, </w:t>
      </w:r>
      <w:r w:rsidRPr="00366F57">
        <w:rPr>
          <w:color w:val="000000" w:themeColor="text1"/>
        </w:rPr>
        <w:t>and the services who helped facilitate their participation.</w:t>
      </w:r>
    </w:p>
    <w:p w:rsidR="007B7137" w:rsidRPr="00366F57" w:rsidRDefault="007B7137" w:rsidP="00DC0A5C">
      <w:pPr>
        <w:pStyle w:val="Titolo4"/>
      </w:pPr>
      <w:r w:rsidRPr="00366F57">
        <w:t>Consultations</w:t>
      </w:r>
    </w:p>
    <w:p w:rsidR="007B7137" w:rsidRDefault="007B7137" w:rsidP="007B7137">
      <w:r>
        <w:t xml:space="preserve">Of the 77 young parents who participated in workshops and individual consultations, three were currently in juvenile detention facilities and seven mothers were in an adult custodial setting. Fifteen of these young parents were participating in the joint CREATE </w:t>
      </w:r>
      <w:r w:rsidR="001345FD">
        <w:t>F</w:t>
      </w:r>
      <w:r>
        <w:t xml:space="preserve">oundation and National Children’s Commissioner consultations for the development of the Third Action Plan of the National Framework for Protecting Australia’s Children (see Chapter 1). </w:t>
      </w:r>
      <w:r w:rsidRPr="00486FF3">
        <w:t>Nine</w:t>
      </w:r>
      <w:r>
        <w:t xml:space="preserve"> of the participants were young fathers. The ages of participants ranged from 15 to 43. This consisted of young parents under 19 as well as some people who were older but who had a child at a young age.</w:t>
      </w:r>
    </w:p>
    <w:p w:rsidR="007B7137" w:rsidRDefault="007B7137" w:rsidP="007B7137">
      <w:r>
        <w:t>Of the 52 young people under 25 (at the time their first child was born) who provided basic demographic material during the consultations, the average age when they had their first baby was 18 and three months. Of those young people who were 19 or under at the time they had their baby (63%) — the youngest being 14 — the average age that they had their first baby was just under 17 years of age. Twenty five per cent of the total number of participants identified as being from an Aboriginal or Torres Strait Islander background, and 15.4% spoke another language other than English at home. In answer to the question ‘who helps you the most in your life now?</w:t>
      </w:r>
      <w:r w:rsidR="00281433">
        <w:t>’</w:t>
      </w:r>
      <w:r w:rsidR="000F52F1">
        <w:t>;</w:t>
      </w:r>
      <w:r>
        <w:t xml:space="preserve"> 38% said partner or father of the baby, 35% said family, and 13.5% indicated that a service was the most help. Four young people said no-one helps them,</w:t>
      </w:r>
      <w:r w:rsidR="000F52F1">
        <w:t xml:space="preserve"> and</w:t>
      </w:r>
      <w:r>
        <w:t xml:space="preserve"> two of these were young people from an immigrant or refugee background.</w:t>
      </w:r>
    </w:p>
    <w:p w:rsidR="007B7137" w:rsidRDefault="007B7137" w:rsidP="007B7137">
      <w:r>
        <w:t>In the consultations, y</w:t>
      </w:r>
      <w:r w:rsidRPr="005D34A8">
        <w:t>oung parents were asked to reflect on</w:t>
      </w:r>
      <w:r>
        <w:t>:</w:t>
      </w:r>
    </w:p>
    <w:p w:rsidR="007B7137" w:rsidRDefault="007B7137" w:rsidP="00222517">
      <w:pPr>
        <w:pStyle w:val="Paragrafoelenco"/>
        <w:numPr>
          <w:ilvl w:val="0"/>
          <w:numId w:val="178"/>
        </w:numPr>
        <w:jc w:val="left"/>
      </w:pPr>
      <w:r w:rsidRPr="005D34A8">
        <w:t xml:space="preserve">their </w:t>
      </w:r>
      <w:r>
        <w:t xml:space="preserve">feelings and </w:t>
      </w:r>
      <w:r w:rsidRPr="005D34A8">
        <w:t>experiences before and after they had their children</w:t>
      </w:r>
    </w:p>
    <w:p w:rsidR="007B7137" w:rsidRDefault="007B7137" w:rsidP="00222517">
      <w:pPr>
        <w:pStyle w:val="Paragrafoelenco"/>
        <w:numPr>
          <w:ilvl w:val="0"/>
          <w:numId w:val="178"/>
        </w:numPr>
        <w:jc w:val="left"/>
      </w:pPr>
      <w:r w:rsidRPr="005D34A8">
        <w:t>who helped them at the time</w:t>
      </w:r>
    </w:p>
    <w:p w:rsidR="007B7137" w:rsidRDefault="007B7137" w:rsidP="00222517">
      <w:pPr>
        <w:pStyle w:val="Paragrafoelenco"/>
        <w:numPr>
          <w:ilvl w:val="0"/>
          <w:numId w:val="178"/>
        </w:numPr>
        <w:jc w:val="left"/>
      </w:pPr>
      <w:r w:rsidRPr="005D34A8">
        <w:t>what they found difficult</w:t>
      </w:r>
    </w:p>
    <w:p w:rsidR="007B7137" w:rsidRDefault="007B7137" w:rsidP="00222517">
      <w:pPr>
        <w:pStyle w:val="Paragrafoelenco"/>
        <w:numPr>
          <w:ilvl w:val="0"/>
          <w:numId w:val="178"/>
        </w:numPr>
        <w:jc w:val="left"/>
      </w:pPr>
      <w:r w:rsidRPr="005D34A8">
        <w:t xml:space="preserve">what support they most need. </w:t>
      </w:r>
    </w:p>
    <w:p w:rsidR="007B7137" w:rsidRDefault="007B7137" w:rsidP="007B7137">
      <w:r w:rsidRPr="005D34A8">
        <w:t xml:space="preserve">These young parents were also invited to provide advice to other young parents or </w:t>
      </w:r>
      <w:r w:rsidR="005B7D72">
        <w:t xml:space="preserve">expecting </w:t>
      </w:r>
      <w:r w:rsidRPr="005D34A8">
        <w:t xml:space="preserve">parents, along with a message to the government. In </w:t>
      </w:r>
      <w:r>
        <w:t>the course of the consultations</w:t>
      </w:r>
      <w:r w:rsidRPr="005D34A8">
        <w:t>, they also gave us some information about their backgrounds.</w:t>
      </w:r>
    </w:p>
    <w:p w:rsidR="007B7137" w:rsidRPr="00366F57" w:rsidRDefault="007B7137" w:rsidP="00DC0A5C">
      <w:pPr>
        <w:pStyle w:val="Titolo4"/>
      </w:pPr>
      <w:r w:rsidRPr="00366F57">
        <w:t>Surveys</w:t>
      </w:r>
    </w:p>
    <w:p w:rsidR="007B7137" w:rsidRDefault="007B7137" w:rsidP="007B7137">
      <w:r>
        <w:t>The surveys were mostly completed by y</w:t>
      </w:r>
      <w:r w:rsidRPr="00366F57">
        <w:t>oung</w:t>
      </w:r>
      <w:r>
        <w:t xml:space="preserve"> mothers (80.8%)</w:t>
      </w:r>
      <w:r w:rsidRPr="00366F57">
        <w:t>. The average age of the young mothers who completed the survey was 17.4 years at the time of the birth of their first baby. The age range was 14 to 23 years.</w:t>
      </w:r>
    </w:p>
    <w:p w:rsidR="007B7137" w:rsidRDefault="007B7137" w:rsidP="007B7137">
      <w:r>
        <w:t xml:space="preserve">Almost seven per cent of young mothers who completed the survey identified as Aboriginal and Torres Strait Islander. This is fewer than the proportion of </w:t>
      </w:r>
      <w:r w:rsidR="005B7D72">
        <w:t xml:space="preserve">the </w:t>
      </w:r>
      <w:r>
        <w:t>young parent population reflected in the data we received from the ABS, which indicates that Aboriginal and Torres Strait Islander young mothers make up 25.7% of the teen</w:t>
      </w:r>
      <w:r w:rsidR="005B7D72">
        <w:t>age</w:t>
      </w:r>
      <w:r>
        <w:t xml:space="preserve"> parent population.</w:t>
      </w:r>
      <w:r>
        <w:rPr>
          <w:rStyle w:val="Rimandonotadichiusura"/>
        </w:rPr>
        <w:endnoteReference w:id="677"/>
      </w:r>
      <w:r>
        <w:t xml:space="preserve"> This could indicate that Aboriginal and Torres Strait Islander young mothers are not accessing the services or networks that participated in the survey.</w:t>
      </w:r>
    </w:p>
    <w:p w:rsidR="007B7137" w:rsidRDefault="007B7137" w:rsidP="007B7137">
      <w:r>
        <w:t xml:space="preserve">Of the young mothers that completed the survey, 11.1% </w:t>
      </w:r>
      <w:r w:rsidR="005B7D72">
        <w:t xml:space="preserve">told us </w:t>
      </w:r>
      <w:r>
        <w:t>that they were not born in Australia. Fifty per cent of these young mother</w:t>
      </w:r>
      <w:r w:rsidR="00492181">
        <w:t>s</w:t>
      </w:r>
      <w:r>
        <w:t xml:space="preserve"> stated that they speak a language other than English at home. </w:t>
      </w:r>
    </w:p>
    <w:p w:rsidR="007B7137" w:rsidRDefault="007B7137" w:rsidP="000B1FDF">
      <w:pPr>
        <w:spacing w:after="400"/>
      </w:pPr>
      <w:r>
        <w:t>Notably, 98.6% of young mothers who responded to the survey listed their ‘family’ as the most helpful support while they were pregnant. Family support was also identified as something that would help young mothers attain or complete their education.</w:t>
      </w:r>
    </w:p>
    <w:tbl>
      <w:tblPr>
        <w:tblStyle w:val="Grigliatabella"/>
        <w:tblW w:w="0" w:type="auto"/>
        <w:shd w:val="clear" w:color="auto" w:fill="F2F2F2" w:themeFill="background1" w:themeFillShade="F2"/>
        <w:tblCellMar>
          <w:left w:w="284" w:type="dxa"/>
          <w:bottom w:w="284" w:type="dxa"/>
          <w:right w:w="284" w:type="dxa"/>
        </w:tblCellMar>
        <w:tblLook w:val="04A0" w:firstRow="1" w:lastRow="0" w:firstColumn="1" w:lastColumn="0" w:noHBand="0" w:noVBand="1"/>
      </w:tblPr>
      <w:tblGrid>
        <w:gridCol w:w="9060"/>
      </w:tblGrid>
      <w:tr w:rsidR="007B7137" w:rsidTr="00B55241">
        <w:tc>
          <w:tcPr>
            <w:tcW w:w="9060" w:type="dxa"/>
            <w:shd w:val="clear" w:color="auto" w:fill="auto"/>
          </w:tcPr>
          <w:p w:rsidR="007B7137" w:rsidRDefault="007B7137" w:rsidP="00DC0A5C">
            <w:r w:rsidRPr="00DC0A5C">
              <w:rPr>
                <w:b/>
              </w:rPr>
              <w:t>Box 10: Case study of a young mother</w:t>
            </w:r>
            <w:r w:rsidRPr="0000213D">
              <w:rPr>
                <w:rStyle w:val="Rimandonotadichiusura"/>
              </w:rPr>
              <w:endnoteReference w:id="678"/>
            </w:r>
          </w:p>
          <w:p w:rsidR="007B7137" w:rsidRDefault="007B7137" w:rsidP="00DC0A5C">
            <w:r>
              <w:t xml:space="preserve">My name is Jane. I’m 18 years old. I have a baby, Maddy, who turned one this month. I’ve been in a Juvenile Justice Centre since May. </w:t>
            </w:r>
          </w:p>
          <w:p w:rsidR="007B7137" w:rsidRDefault="007B7137" w:rsidP="00DC0A5C">
            <w:r>
              <w:t xml:space="preserve">I grew up in </w:t>
            </w:r>
            <w:r w:rsidR="00A207DC">
              <w:t>the country</w:t>
            </w:r>
            <w:r>
              <w:t xml:space="preserve">. When </w:t>
            </w:r>
            <w:r w:rsidRPr="009A4131">
              <w:t>I was six, I went</w:t>
            </w:r>
            <w:r>
              <w:t xml:space="preserve"> to live with my grandma after my dad knocked out my mum’s two front teeth. After I was taken away from my parents, my mum turned to drugs. </w:t>
            </w:r>
          </w:p>
          <w:p w:rsidR="007B7137" w:rsidRDefault="007B7137" w:rsidP="00DC0A5C">
            <w:r>
              <w:t>When I w</w:t>
            </w:r>
            <w:r w:rsidRPr="009A4131">
              <w:t>as 11, I d</w:t>
            </w:r>
            <w:r>
              <w:t xml:space="preserve">ropped out of school, left home and moved to Sydney. Sydney was a bad environment for me. I was doing drugs and crimes. </w:t>
            </w:r>
          </w:p>
          <w:p w:rsidR="007B7137" w:rsidRDefault="007B7137" w:rsidP="00DC0A5C">
            <w:r>
              <w:t>I got pregnant when I was 16. I didn’t believe the pregnancy test. I felt really overwhelmed and sc</w:t>
            </w:r>
            <w:r w:rsidR="00DC0A5C">
              <w:t xml:space="preserve">ared. I didn’t know what to do. </w:t>
            </w:r>
          </w:p>
          <w:p w:rsidR="007B7137" w:rsidRDefault="007B7137" w:rsidP="00DC0A5C">
            <w:r w:rsidRPr="00DB408F">
              <w:t xml:space="preserve">I told mum four days after I found out. Mum was quiet. She was more shocked </w:t>
            </w:r>
            <w:r>
              <w:t xml:space="preserve">than I was. She was </w:t>
            </w:r>
            <w:r w:rsidRPr="00DB408F">
              <w:t>pretty upset, but in the end she supported me. I left it to my mum to tell my dad. Dad gave me a hug and said it was alright. My baby’s father didn’t believe it until I got an ultrasound. He was surprised and happy.</w:t>
            </w:r>
            <w:r>
              <w:t xml:space="preserve"> </w:t>
            </w:r>
          </w:p>
          <w:p w:rsidR="007B7137" w:rsidRDefault="007B7137" w:rsidP="00150A9B">
            <w:pPr>
              <w:spacing w:after="0"/>
            </w:pPr>
            <w:r>
              <w:t>After I got pregnant I came back to my family and went back to s</w:t>
            </w:r>
            <w:r w:rsidRPr="00DB408F">
              <w:t xml:space="preserve">chool. My mum was my biggest support. </w:t>
            </w:r>
            <w:r>
              <w:t>She’</w:t>
            </w:r>
            <w:r w:rsidRPr="00DB408F">
              <w:t xml:space="preserve">s still a drug addict. Mum’s brothers and sisters </w:t>
            </w:r>
            <w:r>
              <w:t>were</w:t>
            </w:r>
            <w:r w:rsidRPr="00DB408F">
              <w:t xml:space="preserve"> also supportive. They </w:t>
            </w:r>
            <w:r>
              <w:t xml:space="preserve">all </w:t>
            </w:r>
            <w:r w:rsidRPr="00DB408F">
              <w:t xml:space="preserve">live in </w:t>
            </w:r>
            <w:r w:rsidR="00A207DC">
              <w:t>the country</w:t>
            </w:r>
            <w:r w:rsidRPr="00DB408F">
              <w:t>.</w:t>
            </w:r>
          </w:p>
          <w:p w:rsidR="007B7137" w:rsidRDefault="007B7137" w:rsidP="00DC0A5C">
            <w:r>
              <w:t xml:space="preserve">I gave birth to my baby, Maddy, in </w:t>
            </w:r>
            <w:r w:rsidR="00A207DC">
              <w:t>the country</w:t>
            </w:r>
            <w:r>
              <w:t xml:space="preserve">. Maddy was three weeks premature. After Maddy was born, I was in hospital for two weeks. Maddy wasn’t feeding properly. My aunty was the most helpful. She bathed Maddy first — I didn’t know how to hold her because she was so small. </w:t>
            </w:r>
            <w:r w:rsidRPr="00146BD8">
              <w:t>The hospital staff were also helpful.</w:t>
            </w:r>
          </w:p>
          <w:p w:rsidR="007B7137" w:rsidRDefault="007B7137" w:rsidP="00DC0A5C">
            <w:r>
              <w:t xml:space="preserve">The hardest thing about being a mum was when I was tiring myself out. I was staying up really late and getting really anxious. </w:t>
            </w:r>
            <w:r w:rsidRPr="00146BD8">
              <w:t xml:space="preserve">I felt like I wasn’t doing it right, but I was. </w:t>
            </w:r>
            <w:r>
              <w:t>My aunty gave me two nights’ break. Maddy and I got sick at the same time. This was the most stressful time for me. My aunty helped me.</w:t>
            </w:r>
            <w:r w:rsidRPr="00CF2898">
              <w:t xml:space="preserve"> </w:t>
            </w:r>
          </w:p>
          <w:p w:rsidR="007B7137" w:rsidRDefault="007B7137" w:rsidP="00DC0A5C">
            <w:r>
              <w:t xml:space="preserve">Two girls </w:t>
            </w:r>
            <w:r w:rsidRPr="009A4131">
              <w:t>from an Aboriginal community group visited</w:t>
            </w:r>
            <w:r>
              <w:t xml:space="preserve"> me every week and checked the baby’s weight, but I didn’t need them after a few weeks because my family was so supportive. My </w:t>
            </w:r>
            <w:r w:rsidR="00A207DC">
              <w:t>case</w:t>
            </w:r>
            <w:r>
              <w:t xml:space="preserve"> worker also visited.</w:t>
            </w:r>
          </w:p>
          <w:p w:rsidR="007B7137" w:rsidRDefault="007B7137" w:rsidP="00DC0A5C">
            <w:r>
              <w:t>The best thing about being a mum was when I first changed Maddy’s nappy, and seeing her first smile and her first giggle. I have lots of nephews and nieces, but it’s different when it’s your own.</w:t>
            </w:r>
          </w:p>
          <w:p w:rsidR="007B7137" w:rsidRDefault="007B7137" w:rsidP="00DC0A5C">
            <w:r>
              <w:t>Maddy is in care with my aunty now. They want me to do counselling and a parents’ program, and stay off drugs.</w:t>
            </w:r>
            <w:r w:rsidRPr="00FB4A45">
              <w:t xml:space="preserve"> </w:t>
            </w:r>
          </w:p>
          <w:p w:rsidR="007B7137" w:rsidRDefault="007B7137" w:rsidP="00DC0A5C">
            <w:r>
              <w:t>Maddy is the best thing that ever happened to me because it put me on a straight line. I want to finish year 10 and</w:t>
            </w:r>
            <w:r w:rsidR="00123624">
              <w:t xml:space="preserve"> year 12. I’ve been studying </w:t>
            </w:r>
            <w:r w:rsidR="00951106">
              <w:t>while in detention</w:t>
            </w:r>
            <w:r>
              <w:t>, and I get out in September. I want to go to TAFE and become a youth worker. I want my baby to have a good education.</w:t>
            </w:r>
            <w:r w:rsidRPr="003B5177">
              <w:t xml:space="preserve"> </w:t>
            </w:r>
          </w:p>
          <w:p w:rsidR="007B7137" w:rsidRDefault="007B7137" w:rsidP="00DC0A5C">
            <w:r>
              <w:t xml:space="preserve">My advice to another young parent: look for help and don’t be afraid to speak up. </w:t>
            </w:r>
          </w:p>
          <w:p w:rsidR="007B7137" w:rsidRDefault="007B7137" w:rsidP="00150A9B">
            <w:pPr>
              <w:spacing w:after="0"/>
            </w:pPr>
            <w:r>
              <w:t>My message to government: if the community gives me something to do, I won’t get bored or turn to my friends.</w:t>
            </w:r>
          </w:p>
        </w:tc>
      </w:tr>
    </w:tbl>
    <w:p w:rsidR="007B7137" w:rsidRDefault="007B7137" w:rsidP="00150A9B">
      <w:pPr>
        <w:pStyle w:val="Titolo3"/>
        <w:spacing w:before="400"/>
      </w:pPr>
      <w:bookmarkStart w:id="120" w:name="_Toc500308812"/>
      <w:r>
        <w:t>Education</w:t>
      </w:r>
      <w:bookmarkEnd w:id="120"/>
    </w:p>
    <w:p w:rsidR="007B7137" w:rsidRDefault="007B7137" w:rsidP="00DC0A5C">
      <w:r>
        <w:t xml:space="preserve">Most young parents we heard from in consultations and surveys were not in school when they became pregnant. Of the young mothers who completed the survey, 64% were not regularly attending school when they became pregnant, and 79% reported that their baby’s father was not regularly attending school at the time. 30.1% said that their school supported their attendance while 33% said that the school did not support their attendance. Of those who were attending school (36%), the majority (76.6%) said that they were supported by their school. </w:t>
      </w:r>
    </w:p>
    <w:p w:rsidR="007B7137" w:rsidRDefault="007B7137" w:rsidP="00DC0A5C">
      <w:r w:rsidRPr="00D379BE">
        <w:t>Being a pregnant school student was difficult for most young people. In p</w:t>
      </w:r>
      <w:r>
        <w:t xml:space="preserve">articular, </w:t>
      </w:r>
      <w:r w:rsidRPr="00D379BE">
        <w:t xml:space="preserve">young people said that others judged </w:t>
      </w:r>
      <w:r>
        <w:t>them</w:t>
      </w:r>
      <w:r w:rsidRPr="00D379BE">
        <w:t xml:space="preserve">, gossiped about </w:t>
      </w:r>
      <w:r>
        <w:t>them</w:t>
      </w:r>
      <w:r w:rsidRPr="00D379BE">
        <w:t>, pried</w:t>
      </w:r>
      <w:r w:rsidR="00B40E73">
        <w:t xml:space="preserve"> into</w:t>
      </w:r>
      <w:r w:rsidRPr="00D379BE">
        <w:t xml:space="preserve"> </w:t>
      </w:r>
      <w:r>
        <w:t>their affairs or stared at them</w:t>
      </w:r>
      <w:r w:rsidRPr="00D379BE">
        <w:t xml:space="preserve">. Many said that they were bullied. Other difficulties </w:t>
      </w:r>
      <w:r>
        <w:t xml:space="preserve">young parents </w:t>
      </w:r>
      <w:r w:rsidRPr="00D379BE">
        <w:t>reported were being sick while trying to study, being tired all the time, being unable to concentrate, the effort to get dressed, getting around the school and being on public transport</w:t>
      </w:r>
      <w:r>
        <w:t>.</w:t>
      </w:r>
    </w:p>
    <w:p w:rsidR="007B7137" w:rsidRDefault="007B7137" w:rsidP="00DC0A5C">
      <w:r>
        <w:t>In the survey, young parents who reported that they were supported by their school, told us their school:</w:t>
      </w:r>
    </w:p>
    <w:p w:rsidR="007B7137" w:rsidRDefault="007B7137" w:rsidP="00222517">
      <w:pPr>
        <w:pStyle w:val="Paragrafoelenco"/>
        <w:numPr>
          <w:ilvl w:val="0"/>
          <w:numId w:val="179"/>
        </w:numPr>
        <w:spacing w:before="0" w:after="0"/>
        <w:jc w:val="left"/>
      </w:pPr>
      <w:r>
        <w:t>was flexible with schedules, breaks (including for feeding), appointments, home work, and exams</w:t>
      </w:r>
    </w:p>
    <w:p w:rsidR="007B7137" w:rsidRDefault="007B7137" w:rsidP="00222517">
      <w:pPr>
        <w:pStyle w:val="Paragrafoelenco"/>
        <w:numPr>
          <w:ilvl w:val="0"/>
          <w:numId w:val="179"/>
        </w:numPr>
        <w:spacing w:before="0" w:after="0"/>
        <w:jc w:val="left"/>
      </w:pPr>
      <w:r>
        <w:t>provided out of school support such as a home visit from a teacher</w:t>
      </w:r>
    </w:p>
    <w:p w:rsidR="007B7137" w:rsidRDefault="007B7137" w:rsidP="00222517">
      <w:pPr>
        <w:pStyle w:val="Paragrafoelenco"/>
        <w:numPr>
          <w:ilvl w:val="0"/>
          <w:numId w:val="179"/>
        </w:numPr>
        <w:spacing w:before="0" w:after="0"/>
        <w:jc w:val="left"/>
      </w:pPr>
      <w:r>
        <w:t>had a crèche on site, allowed children in the school, or helped to access external early childhood education and care services</w:t>
      </w:r>
    </w:p>
    <w:p w:rsidR="007B7137" w:rsidRDefault="007B7137" w:rsidP="00222517">
      <w:pPr>
        <w:pStyle w:val="Paragrafoelenco"/>
        <w:numPr>
          <w:ilvl w:val="0"/>
          <w:numId w:val="179"/>
        </w:numPr>
        <w:spacing w:before="0" w:after="0"/>
        <w:jc w:val="left"/>
      </w:pPr>
      <w:r>
        <w:t>supplied larger uniforms for when they were pregnant</w:t>
      </w:r>
    </w:p>
    <w:p w:rsidR="007B7137" w:rsidRDefault="007B7137" w:rsidP="00222517">
      <w:pPr>
        <w:pStyle w:val="Paragrafoelenco"/>
        <w:numPr>
          <w:ilvl w:val="0"/>
          <w:numId w:val="179"/>
        </w:numPr>
        <w:spacing w:before="0"/>
        <w:ind w:left="1077" w:hanging="357"/>
        <w:contextualSpacing w:val="0"/>
        <w:jc w:val="left"/>
      </w:pPr>
      <w:r>
        <w:t>provided keys to an accessible lift.</w:t>
      </w:r>
    </w:p>
    <w:p w:rsidR="007B7137" w:rsidRDefault="007B7137" w:rsidP="00F44442">
      <w:r>
        <w:t>The diversity of experiences with schools was reiterated in consultations with young people. They told us:</w:t>
      </w:r>
    </w:p>
    <w:p w:rsidR="007B7137" w:rsidRPr="005A0C17" w:rsidRDefault="007B7137" w:rsidP="00F44442">
      <w:pPr>
        <w:spacing w:before="0"/>
        <w:ind w:left="720"/>
        <w:rPr>
          <w:sz w:val="22"/>
          <w:szCs w:val="22"/>
        </w:rPr>
      </w:pPr>
      <w:r w:rsidRPr="005A0C17">
        <w:rPr>
          <w:sz w:val="22"/>
          <w:szCs w:val="22"/>
        </w:rPr>
        <w:t>I was scared school was going to kick me out because I was pregnant.</w:t>
      </w:r>
    </w:p>
    <w:p w:rsidR="007B7137" w:rsidRPr="005A0C17" w:rsidRDefault="007B7137" w:rsidP="00F44442">
      <w:pPr>
        <w:spacing w:before="0"/>
        <w:ind w:left="720"/>
        <w:rPr>
          <w:sz w:val="22"/>
          <w:szCs w:val="22"/>
        </w:rPr>
      </w:pPr>
      <w:r w:rsidRPr="005A0C17">
        <w:rPr>
          <w:sz w:val="22"/>
          <w:szCs w:val="22"/>
        </w:rPr>
        <w:t>The school told me to leave when I got pregnant.</w:t>
      </w:r>
    </w:p>
    <w:p w:rsidR="007B7137" w:rsidRPr="005A0C17" w:rsidRDefault="007B7137" w:rsidP="00F44442">
      <w:pPr>
        <w:spacing w:before="0"/>
        <w:ind w:left="720"/>
        <w:rPr>
          <w:sz w:val="22"/>
          <w:szCs w:val="22"/>
        </w:rPr>
      </w:pPr>
      <w:r w:rsidRPr="005A0C17">
        <w:rPr>
          <w:sz w:val="22"/>
          <w:szCs w:val="22"/>
        </w:rPr>
        <w:t>(College) was supportive but I couldn’t cope and I couldn’t get there so I dropped out.</w:t>
      </w:r>
    </w:p>
    <w:p w:rsidR="007B7137" w:rsidRPr="005A0C17" w:rsidRDefault="007B7137" w:rsidP="00F44442">
      <w:pPr>
        <w:spacing w:before="0"/>
        <w:ind w:left="720"/>
        <w:rPr>
          <w:sz w:val="22"/>
          <w:szCs w:val="22"/>
        </w:rPr>
      </w:pPr>
      <w:r w:rsidRPr="005A0C17">
        <w:rPr>
          <w:sz w:val="22"/>
          <w:szCs w:val="22"/>
        </w:rPr>
        <w:t>I was getting hate from other students</w:t>
      </w:r>
      <w:r>
        <w:rPr>
          <w:sz w:val="22"/>
          <w:szCs w:val="22"/>
        </w:rPr>
        <w:t>.</w:t>
      </w:r>
    </w:p>
    <w:p w:rsidR="007B7137" w:rsidRPr="005A0C17" w:rsidRDefault="007B7137" w:rsidP="00F44442">
      <w:pPr>
        <w:spacing w:before="0"/>
        <w:ind w:left="720"/>
        <w:rPr>
          <w:sz w:val="22"/>
          <w:szCs w:val="22"/>
        </w:rPr>
      </w:pPr>
      <w:r w:rsidRPr="005A0C17">
        <w:rPr>
          <w:sz w:val="22"/>
          <w:szCs w:val="22"/>
        </w:rPr>
        <w:t>I was at school but by the time I was twenty weeks I left because I was in and out of hospital. I asked school for (home) work but they didn’t provide any support.</w:t>
      </w:r>
    </w:p>
    <w:p w:rsidR="007B7137" w:rsidRPr="005A0C17" w:rsidRDefault="007B7137" w:rsidP="00F44442">
      <w:pPr>
        <w:spacing w:before="0"/>
        <w:ind w:left="720"/>
        <w:rPr>
          <w:sz w:val="22"/>
          <w:szCs w:val="22"/>
        </w:rPr>
      </w:pPr>
      <w:r w:rsidRPr="005A0C17">
        <w:rPr>
          <w:sz w:val="22"/>
          <w:szCs w:val="22"/>
        </w:rPr>
        <w:t>I am going to try online, because I can’t go to school with my baby.</w:t>
      </w:r>
    </w:p>
    <w:p w:rsidR="007B7137" w:rsidRPr="005A0C17" w:rsidRDefault="007B7137" w:rsidP="00F44442">
      <w:pPr>
        <w:spacing w:before="0"/>
        <w:ind w:left="720"/>
        <w:rPr>
          <w:sz w:val="22"/>
          <w:szCs w:val="22"/>
        </w:rPr>
      </w:pPr>
      <w:r w:rsidRPr="005A0C17">
        <w:rPr>
          <w:sz w:val="22"/>
          <w:szCs w:val="22"/>
        </w:rPr>
        <w:t>I’m doing a bridging course to go to uni and want to be a midwife. Studying is hard with two kids.</w:t>
      </w:r>
    </w:p>
    <w:p w:rsidR="007B7137" w:rsidRPr="005A0C17" w:rsidRDefault="007B7137" w:rsidP="00F44442">
      <w:pPr>
        <w:spacing w:before="0"/>
        <w:ind w:left="720"/>
        <w:rPr>
          <w:sz w:val="22"/>
          <w:szCs w:val="22"/>
        </w:rPr>
      </w:pPr>
      <w:r w:rsidRPr="005A0C17">
        <w:rPr>
          <w:sz w:val="22"/>
          <w:szCs w:val="22"/>
        </w:rPr>
        <w:t>I’m too worried about legal stuff to focus on TAFE.</w:t>
      </w:r>
    </w:p>
    <w:p w:rsidR="007B7137" w:rsidRDefault="007B7137" w:rsidP="00F44442">
      <w:r>
        <w:t>Some of the ways young people said that school could have helped more included:</w:t>
      </w:r>
    </w:p>
    <w:p w:rsidR="007B7137" w:rsidRDefault="007B7137" w:rsidP="00222517">
      <w:pPr>
        <w:pStyle w:val="Paragrafoelenco"/>
        <w:numPr>
          <w:ilvl w:val="0"/>
          <w:numId w:val="180"/>
        </w:numPr>
        <w:spacing w:before="0" w:after="0"/>
        <w:jc w:val="left"/>
      </w:pPr>
      <w:r>
        <w:t>giving information about distance education options</w:t>
      </w:r>
    </w:p>
    <w:p w:rsidR="007B7137" w:rsidRDefault="007B7137" w:rsidP="00222517">
      <w:pPr>
        <w:pStyle w:val="Paragrafoelenco"/>
        <w:numPr>
          <w:ilvl w:val="0"/>
          <w:numId w:val="180"/>
        </w:numPr>
        <w:spacing w:before="0" w:after="0"/>
        <w:jc w:val="left"/>
      </w:pPr>
      <w:r>
        <w:t>proactively addressing bullying of pregnant students</w:t>
      </w:r>
    </w:p>
    <w:p w:rsidR="007B7137" w:rsidRDefault="007B7137" w:rsidP="00222517">
      <w:pPr>
        <w:pStyle w:val="Paragrafoelenco"/>
        <w:numPr>
          <w:ilvl w:val="0"/>
          <w:numId w:val="180"/>
        </w:numPr>
        <w:spacing w:before="0" w:after="0"/>
        <w:jc w:val="left"/>
      </w:pPr>
      <w:r>
        <w:t>being flexible about child minding and breast feeding after giving birth</w:t>
      </w:r>
    </w:p>
    <w:p w:rsidR="007B7137" w:rsidRDefault="007B7137" w:rsidP="00222517">
      <w:pPr>
        <w:pStyle w:val="Paragrafoelenco"/>
        <w:numPr>
          <w:ilvl w:val="0"/>
          <w:numId w:val="180"/>
        </w:numPr>
        <w:spacing w:before="0" w:after="0"/>
        <w:jc w:val="left"/>
      </w:pPr>
      <w:r>
        <w:t>helping young people handle the dual pressures of pregnancy and school work</w:t>
      </w:r>
    </w:p>
    <w:p w:rsidR="007B7137" w:rsidRDefault="007B7137" w:rsidP="00222517">
      <w:pPr>
        <w:pStyle w:val="Paragrafoelenco"/>
        <w:numPr>
          <w:ilvl w:val="0"/>
          <w:numId w:val="180"/>
        </w:numPr>
        <w:spacing w:before="0" w:after="0"/>
        <w:jc w:val="left"/>
      </w:pPr>
      <w:r>
        <w:t>allowing the option of taking school work home when unwell.</w:t>
      </w:r>
    </w:p>
    <w:p w:rsidR="007B7137" w:rsidRDefault="007B7137" w:rsidP="00F44442">
      <w:r>
        <w:t xml:space="preserve">Twenty two per cent of the young mothers who completed the surveys had completed </w:t>
      </w:r>
      <w:r w:rsidR="00B40E73">
        <w:t>Y</w:t>
      </w:r>
      <w:r w:rsidR="00F44442">
        <w:t xml:space="preserve">ear 12. </w:t>
      </w:r>
    </w:p>
    <w:p w:rsidR="007B7137" w:rsidRDefault="007B7137" w:rsidP="00F44442">
      <w:r>
        <w:t>Of young mothers who completed the survey, 58.3% returned to education after they had their baby, 43% returned to full time education and 30.6% returned to part time education. Of those young mothers who returned to full time education, 77.4% returned to school full time, 12.8% returned to TAFE</w:t>
      </w:r>
      <w:r w:rsidR="00F44442">
        <w:t xml:space="preserve"> full time and 9.7% returned to </w:t>
      </w:r>
      <w:r>
        <w:t>other, non-specified education on a full</w:t>
      </w:r>
      <w:r w:rsidR="00B40E73">
        <w:t>-</w:t>
      </w:r>
      <w:r w:rsidR="00DC0A5C">
        <w:t xml:space="preserve">time basis. </w:t>
      </w:r>
    </w:p>
    <w:p w:rsidR="007B7137" w:rsidRDefault="007B7137" w:rsidP="00F44442">
      <w:r>
        <w:t>Of the young mothers in the survey who returned to education on a part</w:t>
      </w:r>
      <w:r w:rsidR="00B40E73">
        <w:t>-</w:t>
      </w:r>
      <w:r>
        <w:t>time basis, 18.2% returned to school part</w:t>
      </w:r>
      <w:r w:rsidR="00B40E73">
        <w:t>-</w:t>
      </w:r>
      <w:r>
        <w:t>time, 59.1% returned to part</w:t>
      </w:r>
      <w:r w:rsidR="00B40E73">
        <w:t>-</w:t>
      </w:r>
      <w:r>
        <w:t xml:space="preserve">time education at TAFE, 18.2% returned to education through a service and 27.3% returned to non-specified education on a part-time basis. </w:t>
      </w:r>
    </w:p>
    <w:p w:rsidR="007B7137" w:rsidRPr="000440B7" w:rsidRDefault="007B7137" w:rsidP="00F44442">
      <w:r>
        <w:t xml:space="preserve">These results contrast with information collected from young parents in face-to-face consultations. Very few of these young parents returned to school, with the majority continuing education through TAFE or alternative distance education methods. </w:t>
      </w:r>
    </w:p>
    <w:p w:rsidR="007B7137" w:rsidRDefault="007B7137" w:rsidP="007B7137">
      <w:pPr>
        <w:pStyle w:val="Titolo3"/>
      </w:pPr>
      <w:bookmarkStart w:id="121" w:name="_Toc500308813"/>
      <w:r>
        <w:t>Employment</w:t>
      </w:r>
      <w:bookmarkEnd w:id="121"/>
    </w:p>
    <w:p w:rsidR="007B7137" w:rsidRDefault="007B7137" w:rsidP="007B7137">
      <w:r>
        <w:t>Of the young mothers who completed the surveys, 26.4% told us that they were employed at the time of comp</w:t>
      </w:r>
      <w:r w:rsidR="00B40E73">
        <w:t>l</w:t>
      </w:r>
      <w:r>
        <w:t>eting the survey.</w:t>
      </w:r>
    </w:p>
    <w:p w:rsidR="007B7137" w:rsidRDefault="007B7137" w:rsidP="007B7137">
      <w:r>
        <w:t>Of the 19 young mothers we surveyed who were in employment, five were working full</w:t>
      </w:r>
      <w:r w:rsidR="00B40E73">
        <w:t>-</w:t>
      </w:r>
      <w:r>
        <w:t xml:space="preserve">time, and 14 part-time. One mother was working full-time as well as studying full-time. Some 15.3% of young mothers said that they were unemployed, with the majority of these (90.9%) saying that they were actively looking for work. 12.5% of the young mothers who completed the survey said they were not looking for work. </w:t>
      </w:r>
    </w:p>
    <w:p w:rsidR="007B7137" w:rsidRDefault="007B7137" w:rsidP="007B7137">
      <w:r>
        <w:t>Very few of the young mothers we spoke with in face-to-face consultations had full or part-time jobs. However, many of the young fathers did have jobs. It was particularly hard for young mothers with preschool-aged children and no private transport, to be working as they were focused on caring for their children, addressing their own physical and mental health issues, and securing stable housing. Young parents told us:</w:t>
      </w:r>
    </w:p>
    <w:p w:rsidR="007B7137" w:rsidRPr="004F0055" w:rsidRDefault="007B7137" w:rsidP="007B7137">
      <w:pPr>
        <w:ind w:left="720"/>
        <w:rPr>
          <w:sz w:val="22"/>
          <w:szCs w:val="22"/>
        </w:rPr>
      </w:pPr>
      <w:r w:rsidRPr="004F0055">
        <w:rPr>
          <w:sz w:val="22"/>
          <w:szCs w:val="22"/>
        </w:rPr>
        <w:t>I lost my job when they found out I was pregnant, I was only six weeks. They asked if I was pregnant or just putting on weight.  I got a text message saying I’d lost my job after they found out.</w:t>
      </w:r>
    </w:p>
    <w:p w:rsidR="007B7137" w:rsidRPr="004F0055" w:rsidRDefault="007B7137" w:rsidP="007B7137">
      <w:pPr>
        <w:ind w:left="720"/>
        <w:rPr>
          <w:sz w:val="22"/>
          <w:szCs w:val="22"/>
        </w:rPr>
      </w:pPr>
      <w:r w:rsidRPr="004F0055">
        <w:rPr>
          <w:sz w:val="22"/>
          <w:szCs w:val="22"/>
        </w:rPr>
        <w:t>With employment services, I need somewhere that guarantees a job.</w:t>
      </w:r>
    </w:p>
    <w:p w:rsidR="007B7137" w:rsidRPr="004F0055" w:rsidRDefault="007B7137" w:rsidP="007B7137">
      <w:pPr>
        <w:ind w:left="720"/>
        <w:rPr>
          <w:sz w:val="22"/>
          <w:szCs w:val="22"/>
        </w:rPr>
      </w:pPr>
      <w:r w:rsidRPr="004F0055">
        <w:rPr>
          <w:sz w:val="22"/>
          <w:szCs w:val="22"/>
        </w:rPr>
        <w:t>It’s hard to get a job because I don’t have formal qualifications or experience.</w:t>
      </w:r>
    </w:p>
    <w:p w:rsidR="007B7137" w:rsidRPr="004F0055" w:rsidRDefault="007B7137" w:rsidP="007B7137">
      <w:pPr>
        <w:ind w:left="720"/>
        <w:rPr>
          <w:sz w:val="22"/>
          <w:szCs w:val="22"/>
        </w:rPr>
      </w:pPr>
      <w:r w:rsidRPr="004F0055">
        <w:rPr>
          <w:sz w:val="22"/>
          <w:szCs w:val="22"/>
        </w:rPr>
        <w:t>I don’t know if I should tell people I was in jail.</w:t>
      </w:r>
    </w:p>
    <w:p w:rsidR="007B7137" w:rsidRPr="004F0055" w:rsidRDefault="007B7137" w:rsidP="007B7137">
      <w:pPr>
        <w:ind w:left="720"/>
        <w:rPr>
          <w:sz w:val="22"/>
          <w:szCs w:val="22"/>
        </w:rPr>
      </w:pPr>
      <w:r w:rsidRPr="004F0055">
        <w:rPr>
          <w:sz w:val="22"/>
          <w:szCs w:val="22"/>
        </w:rPr>
        <w:t>I was working when I got pregnant. I was in a good place, but when I became pregnant it just spiralled downwards.</w:t>
      </w:r>
    </w:p>
    <w:p w:rsidR="007B7137" w:rsidRPr="004F0055" w:rsidRDefault="007B7137" w:rsidP="007B7137">
      <w:pPr>
        <w:ind w:left="720"/>
        <w:rPr>
          <w:sz w:val="22"/>
          <w:szCs w:val="22"/>
        </w:rPr>
      </w:pPr>
      <w:r w:rsidRPr="004F0055">
        <w:rPr>
          <w:sz w:val="22"/>
          <w:szCs w:val="22"/>
        </w:rPr>
        <w:t xml:space="preserve">(Goal is to) </w:t>
      </w:r>
      <w:r w:rsidR="00B40E73">
        <w:rPr>
          <w:sz w:val="22"/>
          <w:szCs w:val="22"/>
        </w:rPr>
        <w:t>g</w:t>
      </w:r>
      <w:r w:rsidRPr="004F0055">
        <w:rPr>
          <w:sz w:val="22"/>
          <w:szCs w:val="22"/>
        </w:rPr>
        <w:t>et a job as disability teacher’s aid, get my own home, so I have something to leave my children.</w:t>
      </w:r>
    </w:p>
    <w:p w:rsidR="007B7137" w:rsidRPr="004F0055" w:rsidRDefault="007B7137" w:rsidP="007B7137">
      <w:pPr>
        <w:ind w:left="720"/>
        <w:rPr>
          <w:sz w:val="22"/>
          <w:szCs w:val="22"/>
        </w:rPr>
      </w:pPr>
      <w:r w:rsidRPr="004F0055">
        <w:rPr>
          <w:sz w:val="22"/>
          <w:szCs w:val="22"/>
        </w:rPr>
        <w:t>I want to finish my childcare course because I had to stop when I was pregnant.</w:t>
      </w:r>
    </w:p>
    <w:p w:rsidR="007B7137" w:rsidRPr="004F0055" w:rsidRDefault="007B7137" w:rsidP="007B7137">
      <w:pPr>
        <w:ind w:left="720"/>
        <w:rPr>
          <w:sz w:val="22"/>
          <w:szCs w:val="22"/>
        </w:rPr>
      </w:pPr>
      <w:r w:rsidRPr="004F0055">
        <w:rPr>
          <w:sz w:val="22"/>
          <w:szCs w:val="22"/>
        </w:rPr>
        <w:t>I would really like to work straight away, when I get out.</w:t>
      </w:r>
    </w:p>
    <w:p w:rsidR="007B7137" w:rsidRDefault="007B7137" w:rsidP="007B7137">
      <w:pPr>
        <w:pStyle w:val="Titolo3"/>
      </w:pPr>
      <w:bookmarkStart w:id="122" w:name="_Toc500308814"/>
      <w:r>
        <w:t>Health care and information</w:t>
      </w:r>
      <w:bookmarkEnd w:id="122"/>
    </w:p>
    <w:p w:rsidR="005F7C0F" w:rsidRDefault="005F7C0F" w:rsidP="005F7C0F">
      <w:r>
        <w:t>Many young parents in consultations and the survey said they received limited helpful information or advice at the hospital prior to or after giving birth. The exception to this was when their baby required special care in the hospital for a period of some days. In these circumstances young people reported more consistent and useful guidance about how to care for their baby.</w:t>
      </w:r>
    </w:p>
    <w:p w:rsidR="005F7C0F" w:rsidRDefault="005F7C0F" w:rsidP="005F7C0F">
      <w:r>
        <w:t>Some young people reported that they received several home visits over many months after the baby was born, while others reported that they had no visits or one visit only.</w:t>
      </w:r>
    </w:p>
    <w:p w:rsidR="005F7C0F" w:rsidRDefault="005F7C0F" w:rsidP="005F7C0F">
      <w:r>
        <w:t>The experience of giving birth and care at the hospital varied. Young parents told us:</w:t>
      </w:r>
    </w:p>
    <w:p w:rsidR="005F7C0F" w:rsidRPr="004F0055" w:rsidRDefault="005F7C0F" w:rsidP="005F7C0F">
      <w:pPr>
        <w:ind w:left="720"/>
        <w:rPr>
          <w:sz w:val="22"/>
          <w:szCs w:val="22"/>
        </w:rPr>
      </w:pPr>
      <w:r w:rsidRPr="004F0055">
        <w:rPr>
          <w:sz w:val="22"/>
          <w:szCs w:val="22"/>
        </w:rPr>
        <w:t>Midwives were really nice to me and allowed my family to stay.</w:t>
      </w:r>
    </w:p>
    <w:p w:rsidR="005F7C0F" w:rsidRPr="004F0055" w:rsidRDefault="005F7C0F" w:rsidP="005F7C0F">
      <w:pPr>
        <w:ind w:left="720"/>
        <w:rPr>
          <w:sz w:val="22"/>
          <w:szCs w:val="22"/>
        </w:rPr>
      </w:pPr>
      <w:r w:rsidRPr="004F0055">
        <w:rPr>
          <w:sz w:val="22"/>
          <w:szCs w:val="22"/>
        </w:rPr>
        <w:t>I was breastfeeding and the midwife ripped my breast from her mouth and told me I wasn’t doing it properly</w:t>
      </w:r>
      <w:r>
        <w:rPr>
          <w:sz w:val="22"/>
          <w:szCs w:val="22"/>
        </w:rPr>
        <w:t>.</w:t>
      </w:r>
    </w:p>
    <w:p w:rsidR="005F7C0F" w:rsidRPr="004F0055" w:rsidRDefault="005F7C0F" w:rsidP="005F7C0F">
      <w:pPr>
        <w:ind w:left="720"/>
        <w:rPr>
          <w:sz w:val="22"/>
          <w:szCs w:val="22"/>
        </w:rPr>
      </w:pPr>
      <w:r w:rsidRPr="004F0055">
        <w:rPr>
          <w:sz w:val="22"/>
          <w:szCs w:val="22"/>
        </w:rPr>
        <w:t>They (hospital staff) looked at me like I was a bloody idiot.</w:t>
      </w:r>
    </w:p>
    <w:p w:rsidR="005F7C0F" w:rsidRPr="004F0055" w:rsidRDefault="005F7C0F" w:rsidP="005F7C0F">
      <w:pPr>
        <w:ind w:left="720"/>
        <w:rPr>
          <w:sz w:val="22"/>
          <w:szCs w:val="22"/>
        </w:rPr>
      </w:pPr>
      <w:r w:rsidRPr="004F0055">
        <w:rPr>
          <w:sz w:val="22"/>
          <w:szCs w:val="22"/>
        </w:rPr>
        <w:t>The hospital staff were really good, I got lots of materials.</w:t>
      </w:r>
    </w:p>
    <w:p w:rsidR="005F7C0F" w:rsidRPr="004F0055" w:rsidRDefault="005F7C0F" w:rsidP="005F7C0F">
      <w:pPr>
        <w:ind w:left="720"/>
        <w:rPr>
          <w:sz w:val="22"/>
          <w:szCs w:val="22"/>
        </w:rPr>
      </w:pPr>
      <w:r w:rsidRPr="004F0055">
        <w:rPr>
          <w:sz w:val="22"/>
          <w:szCs w:val="22"/>
        </w:rPr>
        <w:t>They wouldn’t let me express. They wouldn’t listen to me.</w:t>
      </w:r>
    </w:p>
    <w:p w:rsidR="005F7C0F" w:rsidRPr="004F0055" w:rsidRDefault="005F7C0F" w:rsidP="005F7C0F">
      <w:pPr>
        <w:ind w:left="720"/>
        <w:rPr>
          <w:sz w:val="22"/>
          <w:szCs w:val="22"/>
        </w:rPr>
      </w:pPr>
      <w:r w:rsidRPr="004F0055">
        <w:rPr>
          <w:sz w:val="22"/>
          <w:szCs w:val="22"/>
        </w:rPr>
        <w:t>They didn’t really help me when I asked for help. They said they had to help other people.</w:t>
      </w:r>
    </w:p>
    <w:p w:rsidR="005F7C0F" w:rsidRPr="004F0055" w:rsidRDefault="005F7C0F" w:rsidP="005F7C0F">
      <w:pPr>
        <w:ind w:left="720"/>
        <w:rPr>
          <w:sz w:val="22"/>
          <w:szCs w:val="22"/>
        </w:rPr>
      </w:pPr>
      <w:r w:rsidRPr="004F0055">
        <w:rPr>
          <w:sz w:val="22"/>
          <w:szCs w:val="22"/>
        </w:rPr>
        <w:t>Midwives were pushing me to breastfeed … I was so anxious I couldn’t produce enough milk. My mum went and bought formula and my child was fine.</w:t>
      </w:r>
    </w:p>
    <w:p w:rsidR="005F7C0F" w:rsidRDefault="005F7C0F" w:rsidP="005F7C0F">
      <w:r>
        <w:t>Some young parents thought the midwives were generally helpful and that they prepared you for birth, taught you how to wrap and bathe a baby, and about pain relief for birth, but that ‘sometimes communication was difficult’ and ‘it’s confusing’. Others said:</w:t>
      </w:r>
    </w:p>
    <w:p w:rsidR="005F7C0F" w:rsidRPr="004F0055" w:rsidRDefault="005F7C0F" w:rsidP="005F7C0F">
      <w:pPr>
        <w:ind w:left="720"/>
        <w:rPr>
          <w:sz w:val="22"/>
          <w:szCs w:val="22"/>
        </w:rPr>
      </w:pPr>
      <w:r w:rsidRPr="004F0055">
        <w:rPr>
          <w:sz w:val="22"/>
          <w:szCs w:val="22"/>
        </w:rPr>
        <w:t xml:space="preserve">I was in special care with my baby. I was discharged but stayed as a boarder, with no room and crying babies. I had a new midwife every three hours for eleven days, all with different information and advice, but nothing consistent. </w:t>
      </w:r>
    </w:p>
    <w:p w:rsidR="005F7C0F" w:rsidRPr="004F0055" w:rsidRDefault="005F7C0F" w:rsidP="005F7C0F">
      <w:pPr>
        <w:ind w:left="720"/>
        <w:rPr>
          <w:sz w:val="22"/>
          <w:szCs w:val="22"/>
        </w:rPr>
      </w:pPr>
      <w:r w:rsidRPr="004F0055">
        <w:rPr>
          <w:sz w:val="22"/>
          <w:szCs w:val="22"/>
        </w:rPr>
        <w:t>You can have two visits, then they send you to a health clinic.</w:t>
      </w:r>
    </w:p>
    <w:p w:rsidR="005F7C0F" w:rsidRPr="004F0055" w:rsidRDefault="005F7C0F" w:rsidP="005F7C0F">
      <w:pPr>
        <w:ind w:left="720"/>
        <w:rPr>
          <w:sz w:val="22"/>
          <w:szCs w:val="22"/>
        </w:rPr>
      </w:pPr>
      <w:r w:rsidRPr="004F0055">
        <w:rPr>
          <w:sz w:val="22"/>
          <w:szCs w:val="22"/>
        </w:rPr>
        <w:t>They think you’re immature, no doctors took me seriously.</w:t>
      </w:r>
    </w:p>
    <w:p w:rsidR="005F7C0F" w:rsidRPr="004F0055" w:rsidRDefault="005F7C0F" w:rsidP="005F7C0F">
      <w:pPr>
        <w:ind w:left="720"/>
        <w:rPr>
          <w:sz w:val="22"/>
          <w:szCs w:val="22"/>
        </w:rPr>
      </w:pPr>
      <w:r w:rsidRPr="004F0055">
        <w:rPr>
          <w:sz w:val="22"/>
          <w:szCs w:val="22"/>
        </w:rPr>
        <w:t>They gave you information about places to go, but they don’t follow up on how you’re doing. The visits are about the baby, not about you and the baby.</w:t>
      </w:r>
    </w:p>
    <w:p w:rsidR="005F7C0F" w:rsidRPr="004F0055" w:rsidRDefault="005F7C0F" w:rsidP="005F7C0F">
      <w:pPr>
        <w:ind w:left="720"/>
        <w:rPr>
          <w:sz w:val="22"/>
          <w:szCs w:val="22"/>
        </w:rPr>
      </w:pPr>
      <w:r w:rsidRPr="004F0055">
        <w:rPr>
          <w:sz w:val="22"/>
          <w:szCs w:val="22"/>
        </w:rPr>
        <w:t>The midwives gave me basic information but they didn’t have time.</w:t>
      </w:r>
    </w:p>
    <w:p w:rsidR="005F7C0F" w:rsidRDefault="005F7C0F" w:rsidP="005F7C0F">
      <w:r>
        <w:t>Some young people told us they experienced mental health issues and post-natal depression with little support. Others were linked into local mental health services. For example, one young mother told us that she went to Headspace (a mental health service for young people) because she had anxiety coming off drugs and being pregnant.</w:t>
      </w:r>
    </w:p>
    <w:p w:rsidR="007B7137" w:rsidRPr="004E352E" w:rsidRDefault="005F7C0F" w:rsidP="004E352E">
      <w:pPr>
        <w:pStyle w:val="Titolo3"/>
      </w:pPr>
      <w:bookmarkStart w:id="123" w:name="_Toc500308815"/>
      <w:r>
        <w:t>Stigma, prejudice and lack of respect</w:t>
      </w:r>
      <w:bookmarkEnd w:id="123"/>
    </w:p>
    <w:p w:rsidR="005F7C0F" w:rsidRDefault="005F7C0F" w:rsidP="005F7C0F">
      <w:r w:rsidRPr="0081405F">
        <w:t>In the survey</w:t>
      </w:r>
      <w:r>
        <w:t>,</w:t>
      </w:r>
      <w:r w:rsidRPr="0081405F">
        <w:t xml:space="preserve"> participants were asked if they are treated differently because they are a young parent. </w:t>
      </w:r>
      <w:r>
        <w:t>Fifty seven per cent</w:t>
      </w:r>
      <w:r w:rsidRPr="0081405F">
        <w:t xml:space="preserve"> of young mothers responded ‘yes’ to this question and indicated that they feel judged because of the prejudice they face in public, from service providers and from their friends and family.  </w:t>
      </w:r>
    </w:p>
    <w:p w:rsidR="005F7C0F" w:rsidRDefault="005F7C0F" w:rsidP="005F7C0F">
      <w:r>
        <w:t xml:space="preserve">Being judged and being treated like a young child </w:t>
      </w:r>
      <w:r w:rsidR="00B40E73">
        <w:t>were</w:t>
      </w:r>
      <w:r>
        <w:t xml:space="preserve"> common experience</w:t>
      </w:r>
      <w:r w:rsidR="00B40E73">
        <w:t>s</w:t>
      </w:r>
      <w:r>
        <w:t xml:space="preserve"> for the young people consulted. These negative experiences were reported</w:t>
      </w:r>
      <w:r w:rsidR="00B40E73">
        <w:t xml:space="preserve"> as occurring</w:t>
      </w:r>
      <w:r>
        <w:t xml:space="preserve"> in mothers groups, school, shopping centres, Centrelink, on public transport</w:t>
      </w:r>
      <w:r w:rsidR="00B40E73">
        <w:t>, in medical contexts,</w:t>
      </w:r>
      <w:r>
        <w:t xml:space="preserve"> and sometimes </w:t>
      </w:r>
      <w:r w:rsidR="00B40E73">
        <w:t xml:space="preserve">within </w:t>
      </w:r>
      <w:r>
        <w:t>their own family. For this reason young parents liked being in programs with other young parents who they could identify with.</w:t>
      </w:r>
    </w:p>
    <w:p w:rsidR="005F7C0F" w:rsidRDefault="005F7C0F" w:rsidP="005F7C0F">
      <w:r>
        <w:t>Some young parents also said that they were teased at school, and that contributed to them leaving school. For example, some told us:</w:t>
      </w:r>
    </w:p>
    <w:p w:rsidR="005F7C0F" w:rsidRPr="004F0055" w:rsidRDefault="005F7C0F" w:rsidP="005F7C0F">
      <w:pPr>
        <w:ind w:left="720"/>
        <w:rPr>
          <w:sz w:val="22"/>
          <w:szCs w:val="22"/>
        </w:rPr>
      </w:pPr>
      <w:r w:rsidRPr="004F0055">
        <w:rPr>
          <w:sz w:val="22"/>
          <w:szCs w:val="22"/>
        </w:rPr>
        <w:t>I told my parents and they pretty much disowned me.</w:t>
      </w:r>
    </w:p>
    <w:p w:rsidR="005F7C0F" w:rsidRPr="004F0055" w:rsidRDefault="005F7C0F" w:rsidP="005F7C0F">
      <w:pPr>
        <w:ind w:left="720"/>
        <w:rPr>
          <w:sz w:val="22"/>
          <w:szCs w:val="22"/>
        </w:rPr>
      </w:pPr>
      <w:r w:rsidRPr="004F0055">
        <w:rPr>
          <w:sz w:val="22"/>
          <w:szCs w:val="22"/>
        </w:rPr>
        <w:t>Sometimes people say that they are better mothers than me.</w:t>
      </w:r>
    </w:p>
    <w:p w:rsidR="005F7C0F" w:rsidRPr="004F0055" w:rsidRDefault="005F7C0F" w:rsidP="005F7C0F">
      <w:pPr>
        <w:ind w:left="720"/>
        <w:rPr>
          <w:sz w:val="22"/>
          <w:szCs w:val="22"/>
        </w:rPr>
      </w:pPr>
      <w:r w:rsidRPr="004F0055">
        <w:rPr>
          <w:sz w:val="22"/>
          <w:szCs w:val="22"/>
        </w:rPr>
        <w:t xml:space="preserve">My cousin was pregnant when she went to school with me, so I thought it was normal. She wanted to go back to the community because she wasn’t judged there. </w:t>
      </w:r>
    </w:p>
    <w:p w:rsidR="005F7C0F" w:rsidRDefault="005F7C0F" w:rsidP="005F7C0F">
      <w:r>
        <w:t>Others were fearful of reactions in public or on public transport:</w:t>
      </w:r>
    </w:p>
    <w:p w:rsidR="005F7C0F" w:rsidRPr="004F0055" w:rsidRDefault="005F7C0F" w:rsidP="005F7C0F">
      <w:pPr>
        <w:ind w:left="720"/>
        <w:rPr>
          <w:sz w:val="22"/>
          <w:szCs w:val="22"/>
        </w:rPr>
      </w:pPr>
      <w:r w:rsidRPr="004F0055">
        <w:rPr>
          <w:sz w:val="22"/>
          <w:szCs w:val="22"/>
        </w:rPr>
        <w:t xml:space="preserve">One of the hardest things was going around in public. I had my kid at 14. The looks I got going down the street. I would never walk out of the house by myself. One of my biggest fears was the public. Now I don’t care.  </w:t>
      </w:r>
    </w:p>
    <w:p w:rsidR="005F7C0F" w:rsidRPr="004F0055" w:rsidRDefault="005F7C0F" w:rsidP="005F7C0F">
      <w:pPr>
        <w:ind w:left="720"/>
        <w:rPr>
          <w:sz w:val="22"/>
          <w:szCs w:val="22"/>
        </w:rPr>
      </w:pPr>
      <w:r>
        <w:rPr>
          <w:sz w:val="22"/>
          <w:szCs w:val="22"/>
        </w:rPr>
        <w:t>I want to get my licenc</w:t>
      </w:r>
      <w:r w:rsidRPr="004F0055">
        <w:rPr>
          <w:sz w:val="22"/>
          <w:szCs w:val="22"/>
        </w:rPr>
        <w:t xml:space="preserve">e because when we were on public transport a man pushed his hand in my son’s face </w:t>
      </w:r>
      <w:r>
        <w:rPr>
          <w:sz w:val="22"/>
          <w:szCs w:val="22"/>
        </w:rPr>
        <w:t>…</w:t>
      </w:r>
      <w:r w:rsidRPr="004F0055">
        <w:rPr>
          <w:sz w:val="22"/>
          <w:szCs w:val="22"/>
        </w:rPr>
        <w:t xml:space="preserve"> He was drunk. But no one said anything, they just sat there and that’s what made me more angry. I couldn’t do anything because he was a man and you’re on a bus … The bus driver knew and he was just sitting there driving when he could have kicked him off the bus, someone could have said something.</w:t>
      </w:r>
    </w:p>
    <w:p w:rsidR="005F7C0F" w:rsidRDefault="005F7C0F" w:rsidP="005F7C0F">
      <w:r>
        <w:t>Most young mothers described a lack of respect from medical professionals, members of the community and friends through intrusive personal questions and comments on their ability to be a good parent. For example, one young mother reported that a member of the public asked her if all of her children had the same father and if her children saw their father. Young people told us that public judgement and disapproval often results in them feeling criticised for not being in a stable relationship, owning their own home or pursuing a career to support their family. One young mother told us, ‘I got told, when people found out I was pregnant, that I would ruin my child’s life’.</w:t>
      </w:r>
    </w:p>
    <w:p w:rsidR="005F7C0F" w:rsidRDefault="005F7C0F" w:rsidP="005F7C0F">
      <w:r>
        <w:t>Other examples of young mothers feeling confronted in public include comments such as ‘you’re too young to be a mother’ and ‘you should be in school … you should be ashamed’. Other examples were:</w:t>
      </w:r>
    </w:p>
    <w:p w:rsidR="005F7C0F" w:rsidRPr="004F0055" w:rsidRDefault="005F7C0F" w:rsidP="005F7C0F">
      <w:pPr>
        <w:ind w:left="720"/>
        <w:rPr>
          <w:sz w:val="22"/>
          <w:szCs w:val="22"/>
        </w:rPr>
      </w:pPr>
      <w:r w:rsidRPr="004F0055">
        <w:rPr>
          <w:sz w:val="22"/>
          <w:szCs w:val="22"/>
        </w:rPr>
        <w:t>People feel as though they have the right to ask you personal and intimate questions. Not just you,</w:t>
      </w:r>
      <w:r>
        <w:rPr>
          <w:sz w:val="22"/>
          <w:szCs w:val="22"/>
        </w:rPr>
        <w:t xml:space="preserve"> but often your children too eg</w:t>
      </w:r>
      <w:r w:rsidRPr="004F0055">
        <w:rPr>
          <w:sz w:val="22"/>
          <w:szCs w:val="22"/>
        </w:rPr>
        <w:t xml:space="preserve"> why you were so young or is the father around.</w:t>
      </w:r>
    </w:p>
    <w:p w:rsidR="005F7C0F" w:rsidRPr="004F0055" w:rsidRDefault="005F7C0F" w:rsidP="005F7C0F">
      <w:pPr>
        <w:ind w:left="720"/>
        <w:rPr>
          <w:sz w:val="22"/>
          <w:szCs w:val="22"/>
        </w:rPr>
      </w:pPr>
      <w:r w:rsidRPr="004F0055">
        <w:rPr>
          <w:sz w:val="22"/>
          <w:szCs w:val="22"/>
        </w:rPr>
        <w:t>The only reason people don’t go to mainstream school or don’t go to education at all or anywhere like hospitals or anything, it’s because there is</w:t>
      </w:r>
      <w:r>
        <w:rPr>
          <w:sz w:val="22"/>
          <w:szCs w:val="22"/>
        </w:rPr>
        <w:t xml:space="preserve"> [a</w:t>
      </w:r>
      <w:r w:rsidR="00B46743">
        <w:rPr>
          <w:sz w:val="22"/>
          <w:szCs w:val="22"/>
        </w:rPr>
        <w:t>]</w:t>
      </w:r>
      <w:r w:rsidRPr="004F0055">
        <w:rPr>
          <w:sz w:val="22"/>
          <w:szCs w:val="22"/>
        </w:rPr>
        <w:t xml:space="preserve"> sense of judgement and people who feel judged don’t feel welcome.</w:t>
      </w:r>
    </w:p>
    <w:p w:rsidR="005F7C0F" w:rsidRDefault="005F7C0F" w:rsidP="005F7C0F">
      <w:r>
        <w:t xml:space="preserve">Some young parents told us that, at times, doctors and nurses ignored their questions at regular appointments </w:t>
      </w:r>
      <w:r w:rsidR="00FD213C">
        <w:t>or the birth of their children.</w:t>
      </w:r>
    </w:p>
    <w:p w:rsidR="005F7C0F" w:rsidRPr="0081405F" w:rsidRDefault="005F7C0F" w:rsidP="005F7C0F">
      <w:r>
        <w:t xml:space="preserve">Many young mothers told us they feel unable to ask questions due to fear of being judged or spoken down to in a way that would not occur, in their opinion, if they were older parents. </w:t>
      </w:r>
    </w:p>
    <w:p w:rsidR="005F7C0F" w:rsidRDefault="005F7C0F" w:rsidP="005F7C0F">
      <w:r>
        <w:t xml:space="preserve">In the survey, young mothers also said they often feel criticised on their parenting skills </w:t>
      </w:r>
      <w:r w:rsidR="00850754">
        <w:t>because of their age</w:t>
      </w:r>
      <w:r>
        <w:t>. One young mother described this:</w:t>
      </w:r>
    </w:p>
    <w:p w:rsidR="005F7C0F" w:rsidRPr="004F0055" w:rsidRDefault="005F7C0F" w:rsidP="005F7C0F">
      <w:pPr>
        <w:ind w:left="720"/>
        <w:rPr>
          <w:sz w:val="22"/>
          <w:szCs w:val="22"/>
        </w:rPr>
      </w:pPr>
      <w:r w:rsidRPr="004F0055">
        <w:rPr>
          <w:sz w:val="22"/>
          <w:szCs w:val="22"/>
        </w:rPr>
        <w:t>Older parents think that they are better/know more than you because</w:t>
      </w:r>
      <w:r>
        <w:rPr>
          <w:sz w:val="22"/>
          <w:szCs w:val="22"/>
        </w:rPr>
        <w:t xml:space="preserve"> [of]</w:t>
      </w:r>
      <w:r w:rsidRPr="004F0055">
        <w:rPr>
          <w:sz w:val="22"/>
          <w:szCs w:val="22"/>
        </w:rPr>
        <w:t xml:space="preserve"> their age even if our children are the same age and look down on you if your parenting differs. My son was ill and I had medical professionals question my abilities due to my age, not due to his health. It went so far that I needed to file a complaint within the hospital.</w:t>
      </w:r>
    </w:p>
    <w:p w:rsidR="005F7C0F" w:rsidRDefault="00850754" w:rsidP="005F7C0F">
      <w:r>
        <w:t>T</w:t>
      </w:r>
      <w:r w:rsidR="005F7C0F">
        <w:t xml:space="preserve">hese experiences of stigma and prejudice could contribute to self-doubt and hinder the ability of young mothers to gain confidence in their parenting skills. Some parenting programs provide safe spaces for parents and offer courses on parenting skills. However, young parent’s responses to the surveys and in consultations indicate that some parenting programs and service providers do </w:t>
      </w:r>
      <w:r w:rsidR="005F7C0F" w:rsidRPr="004F0055">
        <w:t>not make young parents feel comfortable or welcomed. Young mothers told us they feel overwhelmed</w:t>
      </w:r>
      <w:r w:rsidR="005F7C0F">
        <w:t xml:space="preserve"> and judged on their ability to make good decisions and this has led to less participation in these programs. As one young parent said, ‘We’re being condemned because they don’t think we have the skills at all’.</w:t>
      </w:r>
    </w:p>
    <w:p w:rsidR="005F7C0F" w:rsidRDefault="005F7C0F" w:rsidP="005F7C0F">
      <w:r>
        <w:t>In the surveys and consultations, young mothers told us they feel criticised when choosing not to breastfeed and that assumptions are often made that another person will be raising their bab</w:t>
      </w:r>
      <w:r w:rsidR="002073C4">
        <w:t>y.</w:t>
      </w:r>
    </w:p>
    <w:p w:rsidR="005F7C0F" w:rsidRDefault="005F7C0F" w:rsidP="005F7C0F">
      <w:r>
        <w:t>The survey responses suggest that the stigma young parents face can have a serious impact on their mental health. The data collected in the surveys indicates that young mothers feel overwhelmed and isolated because of stereotypes that are held by friends, family and the public. Young mothers describe feeling guilty when choosing to balance their personal time with the time spent with their children. Young parents say they feel isolated and excluded from activities with their friends simply because they are a young parent. As one young father said, ‘I think that I don't get invited to as many things as I use to. Like with friends and stuff</w:t>
      </w:r>
      <w:r w:rsidR="00850754">
        <w:t>’</w:t>
      </w:r>
      <w:r w:rsidR="002073C4">
        <w:t>.</w:t>
      </w:r>
    </w:p>
    <w:p w:rsidR="005F7C0F" w:rsidRDefault="005F7C0F" w:rsidP="005F7C0F">
      <w:r>
        <w:t>It is difficult to measure the impact that stigma alone has on the mental health of young parents as there are a number of challenges facing this group. The combination of issues that young parents face, including financial concerns, lack of stable housing, unsafe environments and the feeling of being constantly judged, may all contribute to a deterioration in their mental health and the healthy</w:t>
      </w:r>
      <w:r w:rsidR="002073C4">
        <w:t xml:space="preserve"> development of their children.</w:t>
      </w:r>
    </w:p>
    <w:p w:rsidR="005F7C0F" w:rsidRDefault="005F7C0F" w:rsidP="005F7C0F">
      <w:pPr>
        <w:pStyle w:val="Titolo3"/>
      </w:pPr>
      <w:bookmarkStart w:id="124" w:name="_Toc500308816"/>
      <w:r>
        <w:t>Affordable early childhood education and care services</w:t>
      </w:r>
      <w:bookmarkEnd w:id="124"/>
    </w:p>
    <w:p w:rsidR="005F7C0F" w:rsidRDefault="005F7C0F" w:rsidP="005F7C0F">
      <w:r>
        <w:t>A number of services for young parents provided free or subsidised early childhood education and care on site, which was highly valued by the young parents we spoke with. Few of the parents in the consultations used early childhood education and care services outside of those provided on site. Many young parents pointed out the prohibitive cost of available early childhood and care services:</w:t>
      </w:r>
    </w:p>
    <w:p w:rsidR="005F7C0F" w:rsidRPr="004F0055" w:rsidRDefault="005F7C0F" w:rsidP="005B547A">
      <w:pPr>
        <w:pStyle w:val="Citazione"/>
      </w:pPr>
      <w:r w:rsidRPr="004F0055">
        <w:t>The money for child care is too expensive.</w:t>
      </w:r>
    </w:p>
    <w:p w:rsidR="005F7C0F" w:rsidRPr="004F0055" w:rsidRDefault="005F7C0F" w:rsidP="005B547A">
      <w:pPr>
        <w:pStyle w:val="Citazione"/>
      </w:pPr>
      <w:r w:rsidRPr="004F0055">
        <w:t>I can afford two days. Just. And then like the problem is that I want to look for a job but then you need money for more day care days, but then you need day care to be able to work.</w:t>
      </w:r>
    </w:p>
    <w:p w:rsidR="005F7C0F" w:rsidRPr="004F0055" w:rsidRDefault="005F7C0F" w:rsidP="005B547A">
      <w:pPr>
        <w:pStyle w:val="Citazione"/>
        <w:rPr>
          <w:highlight w:val="yellow"/>
        </w:rPr>
      </w:pPr>
      <w:r w:rsidRPr="004F0055">
        <w:t>It helps me. I have time to clean and I don’t need to worry.</w:t>
      </w:r>
    </w:p>
    <w:p w:rsidR="005F7C0F" w:rsidRDefault="005F7C0F" w:rsidP="005F7C0F">
      <w:pPr>
        <w:pStyle w:val="Titolo3"/>
      </w:pPr>
      <w:bookmarkStart w:id="125" w:name="_Toc500308817"/>
      <w:r>
        <w:t>Accommodation</w:t>
      </w:r>
      <w:bookmarkEnd w:id="125"/>
      <w:r>
        <w:t xml:space="preserve"> </w:t>
      </w:r>
    </w:p>
    <w:p w:rsidR="005F7C0F" w:rsidRPr="009915CB" w:rsidRDefault="005F7C0F" w:rsidP="005F7C0F">
      <w:r w:rsidRPr="009915CB">
        <w:t xml:space="preserve">Finding suitable, stable and affordable accommodation was a significant problem for most young parents. The majority </w:t>
      </w:r>
      <w:r>
        <w:t xml:space="preserve">of young parents in consultations and the survey </w:t>
      </w:r>
      <w:r w:rsidRPr="009915CB">
        <w:t xml:space="preserve">had moved several times since becoming pregnant and many were on waiting lists for public or community housing. Public housing was generally considered unsafe for them and their children, and often </w:t>
      </w:r>
      <w:r w:rsidR="00850754">
        <w:t xml:space="preserve">was situated </w:t>
      </w:r>
      <w:r w:rsidRPr="009915CB">
        <w:t>in locations far away from family members and services, with limited transport options.</w:t>
      </w:r>
    </w:p>
    <w:p w:rsidR="005F7C0F" w:rsidRDefault="005F7C0F" w:rsidP="005F7C0F">
      <w:r>
        <w:t xml:space="preserve">Only seven of the young mothers who completed the survey (9.7%) were in the same living arrangements as they were when they first became pregnant. There were 65 young mothers who reported that they were not in the same living arrangements when they became pregnant. Of these, 38 (52.7%) said they were living with family including parents, aunties and siblings. The main reasons that young mothers changed their living arrangements were: </w:t>
      </w:r>
    </w:p>
    <w:p w:rsidR="005F7C0F" w:rsidRDefault="005F7C0F" w:rsidP="00222517">
      <w:pPr>
        <w:pStyle w:val="Paragrafoelenco"/>
        <w:numPr>
          <w:ilvl w:val="0"/>
          <w:numId w:val="181"/>
        </w:numPr>
        <w:jc w:val="left"/>
      </w:pPr>
      <w:r>
        <w:t>safety concerns, particularly in cases of domestic violence</w:t>
      </w:r>
    </w:p>
    <w:p w:rsidR="005F7C0F" w:rsidRDefault="005F7C0F" w:rsidP="00222517">
      <w:pPr>
        <w:pStyle w:val="Paragrafoelenco"/>
        <w:numPr>
          <w:ilvl w:val="0"/>
          <w:numId w:val="181"/>
        </w:numPr>
        <w:jc w:val="left"/>
      </w:pPr>
      <w:r>
        <w:t>overcrowding</w:t>
      </w:r>
    </w:p>
    <w:p w:rsidR="005F7C0F" w:rsidRDefault="005F7C0F" w:rsidP="00222517">
      <w:pPr>
        <w:pStyle w:val="Paragrafoelenco"/>
        <w:numPr>
          <w:ilvl w:val="0"/>
          <w:numId w:val="181"/>
        </w:numPr>
        <w:jc w:val="left"/>
      </w:pPr>
      <w:r>
        <w:t>affordability of rent</w:t>
      </w:r>
    </w:p>
    <w:p w:rsidR="005F7C0F" w:rsidRDefault="005F7C0F" w:rsidP="00222517">
      <w:pPr>
        <w:pStyle w:val="Paragrafoelenco"/>
        <w:numPr>
          <w:ilvl w:val="0"/>
          <w:numId w:val="181"/>
        </w:numPr>
        <w:jc w:val="left"/>
      </w:pPr>
      <w:r>
        <w:t>need for independence</w:t>
      </w:r>
    </w:p>
    <w:p w:rsidR="005F7C0F" w:rsidRDefault="005F7C0F" w:rsidP="00222517">
      <w:pPr>
        <w:pStyle w:val="Paragrafoelenco"/>
        <w:numPr>
          <w:ilvl w:val="0"/>
          <w:numId w:val="181"/>
        </w:numPr>
        <w:jc w:val="left"/>
      </w:pPr>
      <w:r>
        <w:t xml:space="preserve">being kicked out of home. </w:t>
      </w:r>
    </w:p>
    <w:p w:rsidR="005F7C0F" w:rsidRDefault="005F7C0F" w:rsidP="005F7C0F">
      <w:r>
        <w:t xml:space="preserve">All of the young father respondents said that they were either living with family or with their partner and child. Similarly, all of the expectant mothers responded that they were living with family or their partner. Most young fathers (75%) responded that they are in different living arrangements than before they had their child. </w:t>
      </w:r>
    </w:p>
    <w:p w:rsidR="005F7C0F" w:rsidRDefault="005F7C0F" w:rsidP="005F7C0F">
      <w:r>
        <w:t>Of the young mothers who responded to the survey, 47.2% stated they live in private rental accommodation. This was similar to the findings of the 2010 ICPS survey.</w:t>
      </w:r>
      <w:r>
        <w:rPr>
          <w:rStyle w:val="Rimandonotadichiusura"/>
        </w:rPr>
        <w:endnoteReference w:id="679"/>
      </w:r>
      <w:r>
        <w:t xml:space="preserve"> 18.1% said that they lived in public housing. Two young mothers said they were in community housing. Two young mothers responded they lived in Red Cross housing, and another three mothers said they lived in a refuge. </w:t>
      </w:r>
      <w:r w:rsidR="00A13243">
        <w:t>As many as</w:t>
      </w:r>
      <w:r>
        <w:t xml:space="preserve"> 23.6% identified that they had been homeless, and 35.3% of this group fell pregnant whilst homeless.</w:t>
      </w:r>
    </w:p>
    <w:p w:rsidR="005F7C0F" w:rsidRDefault="005F7C0F" w:rsidP="005F7C0F">
      <w:r>
        <w:t xml:space="preserve">Of the young mothers responding to the survey, 12.5% identified that they have lived in OOHC, with 44.4% of this group saying they fell pregnant while in OOHC. About half of the young mothers in OOHC had been in more than one type of care, including foster, residential and kinship care. </w:t>
      </w:r>
    </w:p>
    <w:p w:rsidR="005F7C0F" w:rsidRDefault="005F7C0F" w:rsidP="005F7C0F">
      <w:r>
        <w:t>Further, 22.2% of young mothers responding to the survey had sought help with their accommodation. Of these, 62.5% said that they turned to a service or refuge for help. The remaining young mothers asked for help from a father, friends, boyfriend or school counsellor, while one had moved to a caravan park.</w:t>
      </w:r>
    </w:p>
    <w:p w:rsidR="005F7C0F" w:rsidRDefault="005F7C0F" w:rsidP="005F7C0F">
      <w:r>
        <w:t>Comments from young parents in the consultations included:</w:t>
      </w:r>
    </w:p>
    <w:p w:rsidR="005F7C0F" w:rsidRPr="004F0055" w:rsidRDefault="005F7C0F" w:rsidP="005B547A">
      <w:pPr>
        <w:pStyle w:val="Citazione"/>
      </w:pPr>
      <w:r w:rsidRPr="004F0055">
        <w:t>I was homeless. I had to move. It was so stressful and I’m still only in transitional housing</w:t>
      </w:r>
      <w:r>
        <w:t>.</w:t>
      </w:r>
    </w:p>
    <w:p w:rsidR="005F7C0F" w:rsidRPr="004F0055" w:rsidRDefault="005F7C0F" w:rsidP="005B547A">
      <w:pPr>
        <w:pStyle w:val="Citazione"/>
      </w:pPr>
      <w:r w:rsidRPr="004F0055">
        <w:t>It’s scary, I got punched taking the garbage out once.</w:t>
      </w:r>
    </w:p>
    <w:p w:rsidR="005F7C0F" w:rsidRPr="004F0055" w:rsidRDefault="005F7C0F" w:rsidP="005B547A">
      <w:pPr>
        <w:pStyle w:val="Citazione"/>
      </w:pPr>
      <w:r w:rsidRPr="004F0055">
        <w:t>There’s no protection from the police in those areas</w:t>
      </w:r>
      <w:r>
        <w:t xml:space="preserve"> </w:t>
      </w:r>
      <w:r w:rsidRPr="004F0055">
        <w:t>…</w:t>
      </w:r>
      <w:r>
        <w:t xml:space="preserve"> </w:t>
      </w:r>
      <w:r w:rsidRPr="004F0055">
        <w:t>they pass you off</w:t>
      </w:r>
      <w:r>
        <w:t xml:space="preserve"> </w:t>
      </w:r>
      <w:r w:rsidRPr="004F0055">
        <w:t>…</w:t>
      </w:r>
      <w:r>
        <w:t xml:space="preserve"> </w:t>
      </w:r>
      <w:r w:rsidRPr="004F0055">
        <w:t>I feel like I can’t even go out of my house.</w:t>
      </w:r>
    </w:p>
    <w:p w:rsidR="005F7C0F" w:rsidRPr="004F0055" w:rsidRDefault="005F7C0F" w:rsidP="005B547A">
      <w:pPr>
        <w:pStyle w:val="Citazione"/>
      </w:pPr>
      <w:r w:rsidRPr="004F0055">
        <w:t>You can’t be in shelters when you’re pregnant.</w:t>
      </w:r>
    </w:p>
    <w:p w:rsidR="005F7C0F" w:rsidRPr="004F0055" w:rsidRDefault="005F7C0F" w:rsidP="005B547A">
      <w:pPr>
        <w:pStyle w:val="Citazione"/>
      </w:pPr>
      <w:r w:rsidRPr="004F0055">
        <w:t xml:space="preserve">We had to leave his parents’ place </w:t>
      </w:r>
      <w:r w:rsidR="00A13243">
        <w:t>cos</w:t>
      </w:r>
      <w:r w:rsidR="00A13243" w:rsidRPr="004F0055">
        <w:t xml:space="preserve"> </w:t>
      </w:r>
      <w:r w:rsidRPr="004F0055">
        <w:t>there was 11 of us staying in the one house and it was four bedrooms, and two of us were pregnant and about to pop.</w:t>
      </w:r>
    </w:p>
    <w:p w:rsidR="005F7C0F" w:rsidRPr="004F0055" w:rsidRDefault="005F7C0F" w:rsidP="005B547A">
      <w:pPr>
        <w:pStyle w:val="Citazione"/>
      </w:pPr>
      <w:r w:rsidRPr="004F0055">
        <w:t>There was so much stress through my whole birth and pregnancy</w:t>
      </w:r>
      <w:r>
        <w:t xml:space="preserve"> </w:t>
      </w:r>
      <w:r w:rsidRPr="004F0055">
        <w:t>…</w:t>
      </w:r>
      <w:r>
        <w:t xml:space="preserve"> </w:t>
      </w:r>
      <w:r w:rsidRPr="004F0055">
        <w:t>I was stressed because it was pretty much on my due date</w:t>
      </w:r>
      <w:r>
        <w:t xml:space="preserve"> I had to move. They were like — you have to move — and I was like —</w:t>
      </w:r>
      <w:r w:rsidRPr="004F0055">
        <w:t xml:space="preserve"> I don’t have anywhere to move!</w:t>
      </w:r>
    </w:p>
    <w:p w:rsidR="005F7C0F" w:rsidRPr="004F0055" w:rsidRDefault="005F7C0F" w:rsidP="005B547A">
      <w:pPr>
        <w:pStyle w:val="Citazione"/>
      </w:pPr>
      <w:r w:rsidRPr="004F0055">
        <w:t>Most of us need permanent housing. We only get given a place for a certain amount of time</w:t>
      </w:r>
      <w:r>
        <w:t xml:space="preserve"> </w:t>
      </w:r>
      <w:r w:rsidRPr="004F0055">
        <w:t>…</w:t>
      </w:r>
      <w:r>
        <w:t xml:space="preserve"> </w:t>
      </w:r>
      <w:r w:rsidRPr="004F0055">
        <w:t>I don’t think there’s a lot of options for young mums.</w:t>
      </w:r>
    </w:p>
    <w:p w:rsidR="005F7C0F" w:rsidRPr="004F0055" w:rsidRDefault="005F7C0F" w:rsidP="005B547A">
      <w:pPr>
        <w:pStyle w:val="Citazione"/>
      </w:pPr>
      <w:r w:rsidRPr="004F0055">
        <w:t xml:space="preserve">Housing </w:t>
      </w:r>
      <w:r>
        <w:t>is probably the most important [right]</w:t>
      </w:r>
      <w:r w:rsidRPr="004F0055">
        <w:t xml:space="preserve"> to us.</w:t>
      </w:r>
    </w:p>
    <w:p w:rsidR="005F7C0F" w:rsidRPr="00105328" w:rsidRDefault="005F7C0F" w:rsidP="005F7C0F">
      <w:r>
        <w:t>The difficulty of accessing private rental with a young child and no rental record was consistently raised. Young parents stressed the importance of services which provide temporary accommodation, and which assist them to build up a rental history and/or act as lead tenants. Many young people said there needed to be more housing that is cheap for young families.</w:t>
      </w:r>
    </w:p>
    <w:p w:rsidR="005F7C0F" w:rsidRDefault="005F7C0F" w:rsidP="005F7C0F">
      <w:pPr>
        <w:pStyle w:val="Titolo3"/>
      </w:pPr>
      <w:bookmarkStart w:id="126" w:name="_Toc500308818"/>
      <w:r>
        <w:t>Responsiveness of services</w:t>
      </w:r>
      <w:bookmarkEnd w:id="126"/>
    </w:p>
    <w:p w:rsidR="005F7C0F" w:rsidRDefault="005F7C0F" w:rsidP="005F7C0F">
      <w:r>
        <w:t>Of young mothers who responded to the survey, about 60% indicated that services had helped them, most commonly youth specific parenting programs. For example, we heard that:</w:t>
      </w:r>
    </w:p>
    <w:p w:rsidR="005F7C0F" w:rsidRPr="004F0055" w:rsidRDefault="005F7C0F" w:rsidP="005B547A">
      <w:pPr>
        <w:pStyle w:val="Citazione"/>
      </w:pPr>
      <w:r w:rsidRPr="004F0055">
        <w:t>The best thing about being in this program is being able to raise your kids … even though I’ve made a mistake I can still have my kids with me.</w:t>
      </w:r>
    </w:p>
    <w:p w:rsidR="005F7C0F" w:rsidRPr="004F0055" w:rsidRDefault="005F7C0F" w:rsidP="005B547A">
      <w:pPr>
        <w:pStyle w:val="Citazione"/>
      </w:pPr>
      <w:r w:rsidRPr="004F0055">
        <w:t>I was homeless until a social worker at Centrelink got me a house.</w:t>
      </w:r>
    </w:p>
    <w:p w:rsidR="00F44442" w:rsidRDefault="00F44442">
      <w:pPr>
        <w:keepLines w:val="0"/>
        <w:spacing w:before="0" w:after="0"/>
      </w:pPr>
      <w:r>
        <w:br w:type="page"/>
      </w:r>
    </w:p>
    <w:p w:rsidR="005F7C0F" w:rsidRDefault="005F7C0F" w:rsidP="005F7C0F">
      <w:r>
        <w:t>Others found very few services who were helpful, non-judgemental and respectful:</w:t>
      </w:r>
    </w:p>
    <w:p w:rsidR="005F7C0F" w:rsidRPr="004F0055" w:rsidRDefault="005F7C0F" w:rsidP="005B547A">
      <w:pPr>
        <w:pStyle w:val="Citazione"/>
      </w:pPr>
      <w:r w:rsidRPr="004F0055">
        <w:t>There were many times I needed counselling because of my clinical depression and the people I tried to seek help from were awful to me.</w:t>
      </w:r>
    </w:p>
    <w:p w:rsidR="005F7C0F" w:rsidRPr="004F0055" w:rsidRDefault="005F7C0F" w:rsidP="005B547A">
      <w:pPr>
        <w:pStyle w:val="Citazione"/>
      </w:pPr>
      <w:r w:rsidRPr="004F0055">
        <w:t>In the early parenting days I needed help with Centrelink and child care options as I didn't understand what was available to me. I would have benefited greatly from access to this info</w:t>
      </w:r>
      <w:r>
        <w:t>rmation through a social worker.</w:t>
      </w:r>
    </w:p>
    <w:p w:rsidR="005F7C0F" w:rsidRPr="004F0055" w:rsidRDefault="005F7C0F" w:rsidP="005B547A">
      <w:pPr>
        <w:pStyle w:val="Citazione"/>
      </w:pPr>
      <w:r w:rsidRPr="004F0055">
        <w:t>I was very depressed and suicidal and I went to my high school counsellor and said I wanted to kill myself and they said come back Monday. I was kicked out of home and lived on the streets.</w:t>
      </w:r>
    </w:p>
    <w:p w:rsidR="005F7C0F" w:rsidRPr="004F0055" w:rsidRDefault="005F7C0F" w:rsidP="005B547A">
      <w:pPr>
        <w:pStyle w:val="Citazione"/>
      </w:pPr>
      <w:r w:rsidRPr="004F0055">
        <w:t xml:space="preserve">I needed help when guys would beat me up, services said I was too young and I had nowhere to live </w:t>
      </w:r>
      <w:r>
        <w:t xml:space="preserve">[as] </w:t>
      </w:r>
      <w:r w:rsidRPr="004F0055">
        <w:t>all the housing services didn't have any room. My kids were taken away instead of helping.</w:t>
      </w:r>
    </w:p>
    <w:p w:rsidR="00F44442" w:rsidRDefault="005F7C0F" w:rsidP="005B547A">
      <w:pPr>
        <w:pStyle w:val="Citazione"/>
      </w:pPr>
      <w:r w:rsidRPr="004F0055">
        <w:t>We are not all as simple minded as a lot of people think. We do need support of course b</w:t>
      </w:r>
      <w:r w:rsidR="00F44442">
        <w:t xml:space="preserve">ut we are very capable mothers. </w:t>
      </w:r>
    </w:p>
    <w:p w:rsidR="005F7C0F" w:rsidRPr="00F44442" w:rsidRDefault="005F7C0F" w:rsidP="005B547A">
      <w:pPr>
        <w:pStyle w:val="Citazione"/>
      </w:pPr>
      <w:r w:rsidRPr="00F44442">
        <w:t>The department of housing and government services need to be more readily available</w:t>
      </w:r>
      <w:r w:rsidR="00F44442" w:rsidRPr="00F44442">
        <w:t>.</w:t>
      </w:r>
    </w:p>
    <w:p w:rsidR="005F7C0F" w:rsidRPr="004F0055" w:rsidRDefault="005F7C0F" w:rsidP="005B547A">
      <w:pPr>
        <w:pStyle w:val="Citazione"/>
      </w:pPr>
      <w:r w:rsidRPr="004F0055">
        <w:t xml:space="preserve">Life is very hard when you have children with disabilities, it is very exhausting and more help is needed in the house than the hours NDIS </w:t>
      </w:r>
      <w:r>
        <w:t xml:space="preserve">[National Disability Insurance Scheme] </w:t>
      </w:r>
      <w:r w:rsidRPr="004F0055">
        <w:t>allocates to you</w:t>
      </w:r>
      <w:r>
        <w:t>.</w:t>
      </w:r>
    </w:p>
    <w:p w:rsidR="005F7C0F" w:rsidRDefault="005F7C0F" w:rsidP="005F7C0F">
      <w:r>
        <w:t xml:space="preserve">When asked how services and support could be improved, young mothers in the survey said there was a need for: </w:t>
      </w:r>
    </w:p>
    <w:p w:rsidR="005F7C0F" w:rsidRDefault="005F7C0F" w:rsidP="00222517">
      <w:pPr>
        <w:pStyle w:val="Paragrafoelenco"/>
        <w:numPr>
          <w:ilvl w:val="0"/>
          <w:numId w:val="182"/>
        </w:numPr>
        <w:jc w:val="left"/>
      </w:pPr>
      <w:r>
        <w:t xml:space="preserve">more awareness </w:t>
      </w:r>
      <w:r w:rsidR="00A13243">
        <w:t xml:space="preserve">of </w:t>
      </w:r>
      <w:r>
        <w:t>and easier access to services so more mothers can easily find and use them</w:t>
      </w:r>
    </w:p>
    <w:p w:rsidR="005F7C0F" w:rsidRDefault="005F7C0F" w:rsidP="00222517">
      <w:pPr>
        <w:pStyle w:val="Paragrafoelenco"/>
        <w:numPr>
          <w:ilvl w:val="0"/>
          <w:numId w:val="182"/>
        </w:numPr>
        <w:jc w:val="left"/>
      </w:pPr>
      <w:r>
        <w:t xml:space="preserve">easier access to education </w:t>
      </w:r>
    </w:p>
    <w:p w:rsidR="005F7C0F" w:rsidRDefault="005F7C0F" w:rsidP="00222517">
      <w:pPr>
        <w:pStyle w:val="Paragrafoelenco"/>
        <w:numPr>
          <w:ilvl w:val="0"/>
          <w:numId w:val="182"/>
        </w:numPr>
        <w:jc w:val="left"/>
      </w:pPr>
      <w:r>
        <w:t>an improvement to housing services, their availability and the times it takes to find somewhere, especially in cases involving domestic violence</w:t>
      </w:r>
    </w:p>
    <w:p w:rsidR="005F7C0F" w:rsidRDefault="005F7C0F" w:rsidP="00222517">
      <w:pPr>
        <w:pStyle w:val="Paragrafoelenco"/>
        <w:numPr>
          <w:ilvl w:val="0"/>
          <w:numId w:val="182"/>
        </w:numPr>
        <w:jc w:val="left"/>
      </w:pPr>
      <w:r>
        <w:t>more emotional support for young mothers, especially for post-natal depression, and an increase in regular support groups</w:t>
      </w:r>
    </w:p>
    <w:p w:rsidR="005F7C0F" w:rsidRDefault="005F7C0F" w:rsidP="00222517">
      <w:pPr>
        <w:pStyle w:val="Paragrafoelenco"/>
        <w:numPr>
          <w:ilvl w:val="0"/>
          <w:numId w:val="182"/>
        </w:numPr>
        <w:jc w:val="left"/>
      </w:pPr>
      <w:r>
        <w:t>driving lessons and support in getting a licence</w:t>
      </w:r>
    </w:p>
    <w:p w:rsidR="005F7C0F" w:rsidRDefault="005F7C0F" w:rsidP="00222517">
      <w:pPr>
        <w:pStyle w:val="Paragrafoelenco"/>
        <w:numPr>
          <w:ilvl w:val="0"/>
          <w:numId w:val="182"/>
        </w:numPr>
        <w:jc w:val="left"/>
      </w:pPr>
      <w:r>
        <w:t>more financial support, including help with debts and information on financial topics such as how to budget and open a bank account, how to set up health insurance</w:t>
      </w:r>
    </w:p>
    <w:p w:rsidR="005F7C0F" w:rsidRDefault="005F7C0F" w:rsidP="00222517">
      <w:pPr>
        <w:pStyle w:val="Paragrafoelenco"/>
        <w:numPr>
          <w:ilvl w:val="0"/>
          <w:numId w:val="182"/>
        </w:numPr>
        <w:jc w:val="left"/>
      </w:pPr>
      <w:r>
        <w:t>breastfeeding support</w:t>
      </w:r>
    </w:p>
    <w:p w:rsidR="005F7C0F" w:rsidRDefault="005F7C0F" w:rsidP="00222517">
      <w:pPr>
        <w:pStyle w:val="Paragrafoelenco"/>
        <w:numPr>
          <w:ilvl w:val="0"/>
          <w:numId w:val="182"/>
        </w:numPr>
        <w:jc w:val="left"/>
      </w:pPr>
      <w:r>
        <w:t>more flexibility with payment schemes</w:t>
      </w:r>
    </w:p>
    <w:p w:rsidR="005F7C0F" w:rsidRDefault="005F7C0F" w:rsidP="00222517">
      <w:pPr>
        <w:pStyle w:val="Paragrafoelenco"/>
        <w:numPr>
          <w:ilvl w:val="0"/>
          <w:numId w:val="182"/>
        </w:numPr>
        <w:jc w:val="left"/>
      </w:pPr>
      <w:r>
        <w:t>more affordable childcare options, especially those with longer or later hours to accommodate for shift workers</w:t>
      </w:r>
    </w:p>
    <w:p w:rsidR="005F7C0F" w:rsidRDefault="005F7C0F" w:rsidP="00222517">
      <w:pPr>
        <w:pStyle w:val="Paragrafoelenco"/>
        <w:numPr>
          <w:ilvl w:val="0"/>
          <w:numId w:val="182"/>
        </w:numPr>
        <w:jc w:val="left"/>
      </w:pPr>
      <w:r>
        <w:t>help to get out of abusive relationships and situations</w:t>
      </w:r>
    </w:p>
    <w:p w:rsidR="005F7C0F" w:rsidRDefault="005F7C0F" w:rsidP="00222517">
      <w:pPr>
        <w:pStyle w:val="Paragrafoelenco"/>
        <w:numPr>
          <w:ilvl w:val="0"/>
          <w:numId w:val="182"/>
        </w:numPr>
        <w:jc w:val="left"/>
      </w:pPr>
      <w:r>
        <w:t>a review of procedures to give young parents a chance to prove they are capable parents and to provide assistance with support for newborns without the threat of having their child taken away</w:t>
      </w:r>
    </w:p>
    <w:p w:rsidR="005F7C0F" w:rsidRDefault="005F7C0F" w:rsidP="00222517">
      <w:pPr>
        <w:pStyle w:val="Paragrafoelenco"/>
        <w:numPr>
          <w:ilvl w:val="0"/>
          <w:numId w:val="182"/>
        </w:numPr>
        <w:jc w:val="left"/>
      </w:pPr>
      <w:r>
        <w:t>more flexibility around appointment times to accommodate for transport issues</w:t>
      </w:r>
    </w:p>
    <w:p w:rsidR="005F7C0F" w:rsidRDefault="005F7C0F" w:rsidP="00222517">
      <w:pPr>
        <w:pStyle w:val="Paragrafoelenco"/>
        <w:numPr>
          <w:ilvl w:val="0"/>
          <w:numId w:val="182"/>
        </w:numPr>
        <w:jc w:val="left"/>
      </w:pPr>
      <w:r>
        <w:t>training providers to be more respectful and understanding, and to not belittle, patron</w:t>
      </w:r>
      <w:r w:rsidR="00F44442">
        <w:t xml:space="preserve">ise or pressure young parents. </w:t>
      </w:r>
    </w:p>
    <w:p w:rsidR="005F7C0F" w:rsidRDefault="005F7C0F" w:rsidP="005F7C0F">
      <w:r>
        <w:t>Many young parents found out about local services, including services specifically established for young parents, through friends or family members. Others were referred by a general practitioner, a social worker at the hospital, midwives or child protection agencies. From the information provided by the young parents, referral patterns and systems varied significantly across locations.</w:t>
      </w:r>
    </w:p>
    <w:p w:rsidR="005F7C0F" w:rsidRDefault="005F7C0F" w:rsidP="005F7C0F">
      <w:r>
        <w:t>The services young parents spoke about in the consultations were a mix of programs, such as education, job search, early childhood education and care, visiting general practitioners, midwives and other professionals, parenting programs, and peer support group work. Some services also offered transitional accommodation, with safe and engaging spaces for the young people and where they could be linked into other services as needed:</w:t>
      </w:r>
    </w:p>
    <w:p w:rsidR="005F7C0F" w:rsidRPr="00E95155" w:rsidRDefault="005F7C0F" w:rsidP="005B547A">
      <w:pPr>
        <w:pStyle w:val="Citazione"/>
      </w:pPr>
      <w:r>
        <w:t>[</w:t>
      </w:r>
      <w:r w:rsidRPr="00C30BA3">
        <w:t>Service</w:t>
      </w:r>
      <w:r>
        <w:t>]</w:t>
      </w:r>
      <w:r w:rsidRPr="00C30BA3">
        <w:t xml:space="preserve"> helps us set goals, get drivers</w:t>
      </w:r>
      <w:r>
        <w:t>’</w:t>
      </w:r>
      <w:r w:rsidRPr="00C30BA3">
        <w:t xml:space="preserve"> licence</w:t>
      </w:r>
      <w:r>
        <w:t>s</w:t>
      </w:r>
      <w:r w:rsidRPr="00C30BA3">
        <w:t>.</w:t>
      </w:r>
    </w:p>
    <w:p w:rsidR="005F7C0F" w:rsidRPr="00E95155" w:rsidRDefault="005F7C0F" w:rsidP="005B547A">
      <w:pPr>
        <w:pStyle w:val="Citazione"/>
      </w:pPr>
      <w:r w:rsidRPr="00C30BA3">
        <w:t>I feel I can come here and say whatever. I can be a sook and not get judged for it.</w:t>
      </w:r>
    </w:p>
    <w:p w:rsidR="005F7C0F" w:rsidRPr="00E95155" w:rsidRDefault="005F7C0F" w:rsidP="005B547A">
      <w:pPr>
        <w:pStyle w:val="Citazione"/>
      </w:pPr>
      <w:r w:rsidRPr="00C30BA3">
        <w:t>Aboriginal health workers</w:t>
      </w:r>
      <w:r>
        <w:t xml:space="preserve"> </w:t>
      </w:r>
      <w:r w:rsidRPr="00C30BA3">
        <w:t>…</w:t>
      </w:r>
      <w:r>
        <w:t xml:space="preserve"> </w:t>
      </w:r>
      <w:r w:rsidRPr="00C30BA3">
        <w:t xml:space="preserve">make sure nothing makes you feel uncomfortable, and there is ongoing support even after you leave the hospital. </w:t>
      </w:r>
    </w:p>
    <w:p w:rsidR="005F7C0F" w:rsidRDefault="005F7C0F" w:rsidP="005F7C0F">
      <w:pPr>
        <w:pStyle w:val="Paragrafoelenco"/>
        <w:ind w:left="0"/>
      </w:pPr>
      <w:r>
        <w:t>One young parent commented that ‘on paper I look like a no hoper’. But</w:t>
      </w:r>
      <w:r w:rsidR="007430D3">
        <w:t xml:space="preserve"> said</w:t>
      </w:r>
      <w:r>
        <w:t xml:space="preserve"> that she is much more than what </w:t>
      </w:r>
      <w:r w:rsidR="007430D3">
        <w:t xml:space="preserve">exists </w:t>
      </w:r>
      <w:r>
        <w:t>on her file, and that it was important for workers to get to know her.</w:t>
      </w:r>
    </w:p>
    <w:p w:rsidR="005F7C0F" w:rsidRDefault="005F7C0F" w:rsidP="005F7C0F">
      <w:r>
        <w:t>Many young people felt unsupported by care and protection services:</w:t>
      </w:r>
    </w:p>
    <w:p w:rsidR="005F7C0F" w:rsidRPr="00CE4600" w:rsidRDefault="005F7C0F" w:rsidP="005B547A">
      <w:pPr>
        <w:pStyle w:val="Citazione"/>
      </w:pPr>
      <w:r w:rsidRPr="00CE4600">
        <w:t>They’re assholes. They won’t leave me alone. Someone keeps putting in reports that I’m not looking after my child.</w:t>
      </w:r>
    </w:p>
    <w:p w:rsidR="005F7C0F" w:rsidRPr="00CE4600" w:rsidRDefault="005F7C0F" w:rsidP="005B547A">
      <w:pPr>
        <w:pStyle w:val="Citazione"/>
      </w:pPr>
      <w:r>
        <w:t>[Agency]</w:t>
      </w:r>
      <w:r w:rsidRPr="00CE4600">
        <w:t xml:space="preserve"> workers are more concerned with reporting than helping or educating.</w:t>
      </w:r>
    </w:p>
    <w:p w:rsidR="005F7C0F" w:rsidRDefault="005F7C0F" w:rsidP="005F7C0F">
      <w:pPr>
        <w:pStyle w:val="Paragrafoelenco"/>
        <w:ind w:left="0"/>
      </w:pPr>
      <w:r>
        <w:t>Others reported having good experiences:</w:t>
      </w:r>
    </w:p>
    <w:p w:rsidR="005F7C0F" w:rsidRPr="00C30BA3" w:rsidRDefault="005F7C0F" w:rsidP="005B547A">
      <w:pPr>
        <w:pStyle w:val="Citazione"/>
      </w:pPr>
      <w:r w:rsidRPr="00C30BA3">
        <w:t>[Agency] helped us a lot and they’ve kept us busy.</w:t>
      </w:r>
    </w:p>
    <w:p w:rsidR="005F7C0F" w:rsidRPr="00C30BA3" w:rsidRDefault="005F7C0F" w:rsidP="005B547A">
      <w:pPr>
        <w:pStyle w:val="Citazione"/>
      </w:pPr>
      <w:r w:rsidRPr="00C30BA3">
        <w:t>I had my ups and downs seeing someone before I got pregnant. I had anger issues. After I fell pregnant I start</w:t>
      </w:r>
      <w:r>
        <w:t>ed seeing a counsellor because [the child protection agency]</w:t>
      </w:r>
      <w:r w:rsidRPr="00C30BA3">
        <w:t xml:space="preserve"> insisted. I got a case manager and she was ok. My case was closed two or three months after (baby) was born because they didn’t see any issues. We’re </w:t>
      </w:r>
      <w:r>
        <w:t xml:space="preserve">now </w:t>
      </w:r>
      <w:r w:rsidRPr="00C30BA3">
        <w:t>used as an example for other young parents.</w:t>
      </w:r>
    </w:p>
    <w:p w:rsidR="005F7C0F" w:rsidRDefault="005F7C0F" w:rsidP="005F7C0F">
      <w:r>
        <w:t>Young parents in contact with the juvenile justice system wanted the courts to be more understanding. One young parent said:</w:t>
      </w:r>
    </w:p>
    <w:p w:rsidR="005F7C0F" w:rsidRPr="00C30BA3" w:rsidRDefault="005F7C0F" w:rsidP="00865182">
      <w:pPr>
        <w:pStyle w:val="Citazione"/>
      </w:pPr>
      <w:r w:rsidRPr="00C30BA3">
        <w:t>When you’re being sentenced, courts should take into account everything in your life. They need to worry more about fixing people than punishment, and get them the help they need.</w:t>
      </w:r>
    </w:p>
    <w:p w:rsidR="005F7C0F" w:rsidRDefault="005F7C0F" w:rsidP="005F7C0F">
      <w:r>
        <w:t>Delays and frustrations dealing with Centrelink were common experiences:</w:t>
      </w:r>
    </w:p>
    <w:p w:rsidR="005F7C0F" w:rsidRPr="00C30BA3" w:rsidRDefault="005F7C0F" w:rsidP="00865182">
      <w:pPr>
        <w:pStyle w:val="Citazione"/>
      </w:pPr>
      <w:r w:rsidRPr="00C30BA3">
        <w:t>I waited for four hours on the phone.</w:t>
      </w:r>
    </w:p>
    <w:p w:rsidR="005F7C0F" w:rsidRPr="00C30BA3" w:rsidRDefault="005F7C0F" w:rsidP="00865182">
      <w:pPr>
        <w:pStyle w:val="Citazione"/>
      </w:pPr>
      <w:r w:rsidRPr="00C30BA3">
        <w:t>They are so rude and rushed.</w:t>
      </w:r>
    </w:p>
    <w:p w:rsidR="00865182" w:rsidRDefault="005F7C0F" w:rsidP="00865182">
      <w:pPr>
        <w:pStyle w:val="Citazione"/>
      </w:pPr>
      <w:r w:rsidRPr="00C30BA3">
        <w:t>It would be much better if they came to us.</w:t>
      </w:r>
    </w:p>
    <w:p w:rsidR="005F7C0F" w:rsidRPr="00C30BA3" w:rsidRDefault="005F7C0F" w:rsidP="00865182">
      <w:pPr>
        <w:pStyle w:val="Citazione"/>
      </w:pPr>
      <w:r>
        <w:t>It takes 6—</w:t>
      </w:r>
      <w:r w:rsidRPr="00C30BA3">
        <w:t>8 weeks for payments to come after the birth.</w:t>
      </w:r>
    </w:p>
    <w:p w:rsidR="005F7C0F" w:rsidRPr="00C30BA3" w:rsidRDefault="005F7C0F" w:rsidP="00865182">
      <w:pPr>
        <w:pStyle w:val="Citazione"/>
      </w:pPr>
      <w:r w:rsidRPr="00C30BA3">
        <w:t xml:space="preserve">Low income families need to feel supported, not dehumanised by initiatives such as drug testing welfare recipients and basics card. Centrelink is an exhausting process. </w:t>
      </w:r>
      <w:r w:rsidR="0019631C">
        <w:t>[P</w:t>
      </w:r>
      <w:r w:rsidRPr="00C30BA3">
        <w:t>hone</w:t>
      </w:r>
      <w:r w:rsidR="0019631C">
        <w:t>]</w:t>
      </w:r>
      <w:r w:rsidRPr="00C30BA3">
        <w:t xml:space="preserve"> </w:t>
      </w:r>
      <w:r w:rsidR="0019631C">
        <w:t>n</w:t>
      </w:r>
      <w:r w:rsidRPr="00C30BA3">
        <w:t xml:space="preserve">umbers are often outdated and difficult to access, for example, urgent payment line, housing services. </w:t>
      </w:r>
    </w:p>
    <w:p w:rsidR="005F7C0F" w:rsidRDefault="005F7C0F" w:rsidP="005F7C0F">
      <w:r>
        <w:t>Many of the young parents pointed out the need for more support for young fathers. For example we were told:</w:t>
      </w:r>
    </w:p>
    <w:p w:rsidR="005F7C0F" w:rsidRPr="00C30BA3" w:rsidRDefault="005F7C0F" w:rsidP="00865182">
      <w:pPr>
        <w:pStyle w:val="Citazione"/>
      </w:pPr>
      <w:r w:rsidRPr="00C30BA3">
        <w:t>There is not really any support for young men. It can be upsetting to hear that other males aren’t supportive. A support group for dads would have been useful, but I don’t know how many there are.</w:t>
      </w:r>
    </w:p>
    <w:p w:rsidR="005F7C0F" w:rsidRDefault="005F7C0F" w:rsidP="005F7C0F">
      <w:r w:rsidRPr="006C2714">
        <w:t>Another expectant father commented:</w:t>
      </w:r>
    </w:p>
    <w:p w:rsidR="005F7C0F" w:rsidRPr="00CE4600" w:rsidRDefault="005F7C0F" w:rsidP="00865182">
      <w:pPr>
        <w:pStyle w:val="Citazione"/>
      </w:pPr>
      <w:r w:rsidRPr="00CE4600">
        <w:t>I want to be there and support, but I need to sort out my life first.</w:t>
      </w:r>
    </w:p>
    <w:p w:rsidR="005F7C0F" w:rsidRDefault="005F7C0F" w:rsidP="00865182">
      <w:pPr>
        <w:rPr>
          <w:rFonts w:cs="Arial"/>
        </w:rPr>
      </w:pPr>
      <w:r>
        <w:t>Young fathers responding to the survey also identified that more job opportunities, day care options, affordable housing and groups to connect young fathers would be the most helpful for them.</w:t>
      </w:r>
    </w:p>
    <w:p w:rsidR="005F7C0F" w:rsidRDefault="005F7C0F" w:rsidP="005F7C0F">
      <w:pPr>
        <w:pStyle w:val="Titolo3"/>
      </w:pPr>
      <w:bookmarkStart w:id="127" w:name="_Toc500308819"/>
      <w:r>
        <w:t>Goals and aspirations</w:t>
      </w:r>
      <w:bookmarkEnd w:id="127"/>
    </w:p>
    <w:p w:rsidR="005F7C0F" w:rsidRDefault="004E352E" w:rsidP="005F7C0F">
      <w:r>
        <w:t>F</w:t>
      </w:r>
      <w:r w:rsidR="005F7C0F">
        <w:t>or most young people in the consultations their pregnancy was unplanned. However, overwhelmingly they were positive about the experience of being a parent and were aspirational for themselves and their children. Many reported that being a parent had changed them for the better. Some said that they wanted a chance for their children to grow up without the negative experiences they had faced throughout their own childhood. For example:</w:t>
      </w:r>
    </w:p>
    <w:p w:rsidR="005F7C0F" w:rsidRPr="00C30BA3" w:rsidRDefault="005F7C0F" w:rsidP="005F7C0F">
      <w:pPr>
        <w:ind w:left="720"/>
        <w:rPr>
          <w:sz w:val="22"/>
          <w:szCs w:val="22"/>
        </w:rPr>
      </w:pPr>
      <w:r w:rsidRPr="00C30BA3">
        <w:rPr>
          <w:sz w:val="22"/>
          <w:szCs w:val="22"/>
        </w:rPr>
        <w:t>I want to work in the community, be successful … and make my family happy.</w:t>
      </w:r>
    </w:p>
    <w:p w:rsidR="005F7C0F" w:rsidRPr="00C30BA3" w:rsidRDefault="005F7C0F" w:rsidP="005F7C0F">
      <w:pPr>
        <w:ind w:left="720"/>
        <w:rPr>
          <w:sz w:val="22"/>
          <w:szCs w:val="22"/>
        </w:rPr>
      </w:pPr>
      <w:r w:rsidRPr="00C30BA3">
        <w:rPr>
          <w:sz w:val="22"/>
          <w:szCs w:val="22"/>
        </w:rPr>
        <w:t>I want her to grow up better than what I did. Have an amazing future.</w:t>
      </w:r>
    </w:p>
    <w:p w:rsidR="005F7C0F" w:rsidRPr="00C30BA3" w:rsidRDefault="005F7C0F" w:rsidP="005F7C0F">
      <w:pPr>
        <w:ind w:left="720"/>
        <w:rPr>
          <w:sz w:val="22"/>
          <w:szCs w:val="22"/>
        </w:rPr>
      </w:pPr>
      <w:r w:rsidRPr="00C30BA3">
        <w:rPr>
          <w:sz w:val="22"/>
          <w:szCs w:val="22"/>
        </w:rPr>
        <w:t>A better life than what I grew up with …</w:t>
      </w:r>
      <w:r>
        <w:rPr>
          <w:sz w:val="22"/>
          <w:szCs w:val="22"/>
        </w:rPr>
        <w:t xml:space="preserve"> </w:t>
      </w:r>
      <w:r w:rsidRPr="00C30BA3">
        <w:rPr>
          <w:sz w:val="22"/>
          <w:szCs w:val="22"/>
        </w:rPr>
        <w:t>a lot less violence, and stable.</w:t>
      </w:r>
    </w:p>
    <w:p w:rsidR="005F7C0F" w:rsidRPr="00C30BA3" w:rsidRDefault="005F7C0F" w:rsidP="005F7C0F">
      <w:pPr>
        <w:ind w:left="720"/>
        <w:rPr>
          <w:sz w:val="22"/>
          <w:szCs w:val="22"/>
        </w:rPr>
      </w:pPr>
      <w:r w:rsidRPr="00C30BA3">
        <w:rPr>
          <w:sz w:val="22"/>
          <w:szCs w:val="22"/>
        </w:rPr>
        <w:t>Anything and everything to make my children happy healthy and loved. To have a stable house for my family and to have a stable career.</w:t>
      </w:r>
    </w:p>
    <w:p w:rsidR="005F7C0F" w:rsidRPr="00C30BA3" w:rsidRDefault="005F7C0F" w:rsidP="005F7C0F">
      <w:pPr>
        <w:ind w:left="720"/>
        <w:rPr>
          <w:sz w:val="22"/>
          <w:szCs w:val="22"/>
        </w:rPr>
      </w:pPr>
      <w:r>
        <w:rPr>
          <w:sz w:val="22"/>
          <w:szCs w:val="22"/>
        </w:rPr>
        <w:t xml:space="preserve">The way I was raised — </w:t>
      </w:r>
      <w:r w:rsidRPr="00C30BA3">
        <w:rPr>
          <w:sz w:val="22"/>
          <w:szCs w:val="22"/>
        </w:rPr>
        <w:t>my kid is not going down the same path.</w:t>
      </w:r>
    </w:p>
    <w:p w:rsidR="005F7C0F" w:rsidRPr="00C30BA3" w:rsidRDefault="005F7C0F" w:rsidP="005F7C0F">
      <w:pPr>
        <w:ind w:left="720"/>
        <w:rPr>
          <w:sz w:val="22"/>
          <w:szCs w:val="22"/>
        </w:rPr>
      </w:pPr>
      <w:r w:rsidRPr="00C30BA3">
        <w:rPr>
          <w:sz w:val="22"/>
          <w:szCs w:val="22"/>
        </w:rPr>
        <w:t>I want to be a good mum. My dream is to be able to pass onto my kids my culture.</w:t>
      </w:r>
    </w:p>
    <w:p w:rsidR="005F7C0F" w:rsidRPr="00C30BA3" w:rsidRDefault="005F7C0F" w:rsidP="005F7C0F">
      <w:pPr>
        <w:ind w:left="720"/>
        <w:rPr>
          <w:sz w:val="22"/>
          <w:szCs w:val="22"/>
        </w:rPr>
      </w:pPr>
      <w:r>
        <w:rPr>
          <w:sz w:val="22"/>
          <w:szCs w:val="22"/>
        </w:rPr>
        <w:t>When [baby]</w:t>
      </w:r>
      <w:r w:rsidRPr="00C30BA3">
        <w:rPr>
          <w:sz w:val="22"/>
          <w:szCs w:val="22"/>
        </w:rPr>
        <w:t xml:space="preserve"> gets older I’ll go into the army. Heaps of my family were in the army. I want to do transport and PTR so I can travel.</w:t>
      </w:r>
    </w:p>
    <w:p w:rsidR="005F7C0F" w:rsidRPr="00C30BA3" w:rsidRDefault="005F7C0F" w:rsidP="005F7C0F">
      <w:pPr>
        <w:ind w:left="720"/>
        <w:rPr>
          <w:sz w:val="22"/>
          <w:szCs w:val="22"/>
        </w:rPr>
      </w:pPr>
      <w:r w:rsidRPr="00C30BA3">
        <w:rPr>
          <w:sz w:val="22"/>
          <w:szCs w:val="22"/>
        </w:rPr>
        <w:t>After I have the child, I am planning staying home for a couple of months, then go to work or school and get a long term rental.</w:t>
      </w:r>
    </w:p>
    <w:p w:rsidR="005F7C0F" w:rsidRPr="00C30BA3" w:rsidRDefault="005F7C0F" w:rsidP="005F7C0F">
      <w:pPr>
        <w:ind w:left="720"/>
        <w:rPr>
          <w:sz w:val="22"/>
          <w:szCs w:val="22"/>
        </w:rPr>
      </w:pPr>
      <w:r w:rsidRPr="00C30BA3">
        <w:rPr>
          <w:sz w:val="22"/>
          <w:szCs w:val="22"/>
        </w:rPr>
        <w:t>I would like to set a good example for my sons. If they see mum doing well, living a happy, healthy lifestyle, they’ll see it and want to live the same. I want all of my kids to be healthy, happy and strive to be their best.</w:t>
      </w:r>
    </w:p>
    <w:p w:rsidR="005F7C0F" w:rsidRPr="00C30BA3" w:rsidRDefault="005F7C0F" w:rsidP="005F7C0F">
      <w:pPr>
        <w:ind w:left="720"/>
        <w:rPr>
          <w:sz w:val="22"/>
          <w:szCs w:val="22"/>
        </w:rPr>
      </w:pPr>
      <w:r w:rsidRPr="00C30BA3">
        <w:rPr>
          <w:sz w:val="22"/>
          <w:szCs w:val="22"/>
        </w:rPr>
        <w:t xml:space="preserve">Before I was selfish and on the wrong path. She </w:t>
      </w:r>
      <w:r>
        <w:rPr>
          <w:sz w:val="22"/>
          <w:szCs w:val="22"/>
        </w:rPr>
        <w:t xml:space="preserve">[her child] </w:t>
      </w:r>
      <w:r w:rsidRPr="00C30BA3">
        <w:rPr>
          <w:sz w:val="22"/>
          <w:szCs w:val="22"/>
        </w:rPr>
        <w:t>saved my life.</w:t>
      </w:r>
    </w:p>
    <w:p w:rsidR="005F7C0F" w:rsidRDefault="005F7C0F" w:rsidP="005F7C0F">
      <w:r>
        <w:t xml:space="preserve">The surveys also provided the young parents </w:t>
      </w:r>
      <w:r w:rsidR="0019631C">
        <w:t xml:space="preserve">with </w:t>
      </w:r>
      <w:r>
        <w:t>an opportunity to inform us of their goals and aspirations before their pregnancy. Many young parents (76.4%) indicated that before having a baby they had plans for their futures involving education, jobs, family and travel. Of these young mothers, 20.8% responded that they had no plans or did not know what their plans would</w:t>
      </w:r>
      <w:r w:rsidR="004E50AA">
        <w:t xml:space="preserve"> be before they fell pregnant: </w:t>
      </w:r>
    </w:p>
    <w:p w:rsidR="005F7C0F" w:rsidRPr="00C30BA3" w:rsidRDefault="005F7C0F" w:rsidP="005F7C0F">
      <w:pPr>
        <w:ind w:left="720"/>
        <w:rPr>
          <w:sz w:val="22"/>
          <w:szCs w:val="22"/>
        </w:rPr>
      </w:pPr>
      <w:r w:rsidRPr="00C30BA3">
        <w:rPr>
          <w:sz w:val="22"/>
          <w:szCs w:val="22"/>
        </w:rPr>
        <w:t>I was extremely depressed and grieving the recent loss of my beloved family. I had no plans at that time.</w:t>
      </w:r>
    </w:p>
    <w:p w:rsidR="005F7C0F" w:rsidRPr="00C30BA3" w:rsidRDefault="005F7C0F" w:rsidP="005F7C0F">
      <w:pPr>
        <w:ind w:left="720"/>
        <w:rPr>
          <w:sz w:val="22"/>
          <w:szCs w:val="22"/>
        </w:rPr>
      </w:pPr>
      <w:r>
        <w:rPr>
          <w:sz w:val="22"/>
          <w:szCs w:val="22"/>
        </w:rPr>
        <w:t>Didn’</w:t>
      </w:r>
      <w:r w:rsidRPr="00C30BA3">
        <w:rPr>
          <w:sz w:val="22"/>
          <w:szCs w:val="22"/>
        </w:rPr>
        <w:t>t have plans as I was using drugs.</w:t>
      </w:r>
    </w:p>
    <w:p w:rsidR="005F7C0F" w:rsidRPr="00C30BA3" w:rsidRDefault="005F7C0F" w:rsidP="005F7C0F">
      <w:pPr>
        <w:ind w:left="720"/>
        <w:rPr>
          <w:sz w:val="22"/>
          <w:szCs w:val="22"/>
        </w:rPr>
      </w:pPr>
      <w:r w:rsidRPr="00C30BA3">
        <w:rPr>
          <w:sz w:val="22"/>
          <w:szCs w:val="22"/>
        </w:rPr>
        <w:t>Had none, my baby gave me my dreams and goals.</w:t>
      </w:r>
    </w:p>
    <w:p w:rsidR="005F7C0F" w:rsidRDefault="005F7C0F" w:rsidP="005F7C0F">
      <w:r>
        <w:t>Young mothers identified a range of plans for their future before they fell pregnant. These included:</w:t>
      </w:r>
    </w:p>
    <w:p w:rsidR="005F7C0F" w:rsidRDefault="005F7C0F" w:rsidP="00222517">
      <w:pPr>
        <w:pStyle w:val="Paragrafoelenco"/>
        <w:numPr>
          <w:ilvl w:val="0"/>
          <w:numId w:val="183"/>
        </w:numPr>
        <w:jc w:val="left"/>
      </w:pPr>
      <w:r>
        <w:t xml:space="preserve">going to university (20.8%) </w:t>
      </w:r>
    </w:p>
    <w:p w:rsidR="005F7C0F" w:rsidRDefault="005F7C0F" w:rsidP="00222517">
      <w:pPr>
        <w:pStyle w:val="Paragrafoelenco"/>
        <w:numPr>
          <w:ilvl w:val="0"/>
          <w:numId w:val="183"/>
        </w:numPr>
        <w:jc w:val="left"/>
      </w:pPr>
      <w:r>
        <w:t xml:space="preserve">finishing school (11.1%) </w:t>
      </w:r>
    </w:p>
    <w:p w:rsidR="005F7C0F" w:rsidRDefault="005F7C0F" w:rsidP="00222517">
      <w:pPr>
        <w:pStyle w:val="Paragrafoelenco"/>
        <w:numPr>
          <w:ilvl w:val="0"/>
          <w:numId w:val="183"/>
        </w:numPr>
        <w:jc w:val="left"/>
      </w:pPr>
      <w:r>
        <w:t xml:space="preserve">travel (18.1%) </w:t>
      </w:r>
    </w:p>
    <w:p w:rsidR="005F7C0F" w:rsidRDefault="005F7C0F" w:rsidP="00222517">
      <w:pPr>
        <w:pStyle w:val="Paragrafoelenco"/>
        <w:numPr>
          <w:ilvl w:val="0"/>
          <w:numId w:val="183"/>
        </w:numPr>
        <w:jc w:val="left"/>
      </w:pPr>
      <w:r>
        <w:t>finding full</w:t>
      </w:r>
      <w:r w:rsidR="0019631C">
        <w:t>-</w:t>
      </w:r>
      <w:r>
        <w:t>time employment (15.3%)</w:t>
      </w:r>
    </w:p>
    <w:p w:rsidR="005F7C0F" w:rsidRDefault="005F7C0F" w:rsidP="00222517">
      <w:pPr>
        <w:pStyle w:val="Paragrafoelenco"/>
        <w:numPr>
          <w:ilvl w:val="0"/>
          <w:numId w:val="183"/>
        </w:numPr>
        <w:jc w:val="left"/>
      </w:pPr>
      <w:r>
        <w:t xml:space="preserve">having children (4.2%). </w:t>
      </w:r>
    </w:p>
    <w:p w:rsidR="005F7C0F" w:rsidRDefault="005F7C0F" w:rsidP="005F7C0F">
      <w:r>
        <w:t>Of the young mothers who responded to the survey, 68.1% identified that their goals had changed since having their baby, and 20.8% said that their goals had not changed; 6.9% said that they now had a purpose, and 12.5% said that they still had the same goals, but that they had been postponed or would take longer to achieve. Young parents said:</w:t>
      </w:r>
    </w:p>
    <w:p w:rsidR="005F7C0F" w:rsidRPr="00C30BA3" w:rsidRDefault="005F7C0F" w:rsidP="005F7C0F">
      <w:pPr>
        <w:ind w:left="720"/>
        <w:rPr>
          <w:sz w:val="22"/>
          <w:szCs w:val="22"/>
        </w:rPr>
      </w:pPr>
      <w:r>
        <w:rPr>
          <w:sz w:val="22"/>
          <w:szCs w:val="22"/>
        </w:rPr>
        <w:t>I’</w:t>
      </w:r>
      <w:r w:rsidRPr="00C30BA3">
        <w:rPr>
          <w:sz w:val="22"/>
          <w:szCs w:val="22"/>
        </w:rPr>
        <w:t>m not going to graduate but I will still study beauty therapy.</w:t>
      </w:r>
    </w:p>
    <w:p w:rsidR="005F7C0F" w:rsidRPr="00C30BA3" w:rsidRDefault="005F7C0F" w:rsidP="005F7C0F">
      <w:pPr>
        <w:ind w:left="720"/>
        <w:rPr>
          <w:sz w:val="22"/>
          <w:szCs w:val="22"/>
        </w:rPr>
      </w:pPr>
      <w:r w:rsidRPr="00C30BA3">
        <w:rPr>
          <w:sz w:val="22"/>
          <w:szCs w:val="22"/>
        </w:rPr>
        <w:t>I might have lived with my parents for longer and probably have a part-time job whilst completing university.</w:t>
      </w:r>
    </w:p>
    <w:p w:rsidR="005F7C0F" w:rsidRPr="00C30BA3" w:rsidRDefault="005F7C0F" w:rsidP="005F7C0F">
      <w:pPr>
        <w:ind w:left="720"/>
        <w:rPr>
          <w:sz w:val="22"/>
          <w:szCs w:val="22"/>
        </w:rPr>
      </w:pPr>
      <w:r>
        <w:rPr>
          <w:sz w:val="22"/>
          <w:szCs w:val="22"/>
        </w:rPr>
        <w:t>I’</w:t>
      </w:r>
      <w:r w:rsidRPr="00C30BA3">
        <w:rPr>
          <w:sz w:val="22"/>
          <w:szCs w:val="22"/>
        </w:rPr>
        <w:t>ve achieved them all but the hole in my soul has not been worth it at all. I would trade it all to have my daughter with me today.</w:t>
      </w:r>
    </w:p>
    <w:p w:rsidR="005F7C0F" w:rsidRPr="00C30BA3" w:rsidRDefault="005F7C0F" w:rsidP="005F7C0F">
      <w:pPr>
        <w:ind w:left="720"/>
        <w:rPr>
          <w:sz w:val="22"/>
          <w:szCs w:val="22"/>
        </w:rPr>
      </w:pPr>
      <w:r w:rsidRPr="00C30BA3">
        <w:rPr>
          <w:sz w:val="22"/>
          <w:szCs w:val="22"/>
        </w:rPr>
        <w:t>I completed my diploma before falling pregnant but I wouldn't dare go back to work until I finished having children because of the daycare costs.</w:t>
      </w:r>
    </w:p>
    <w:p w:rsidR="005F7C0F" w:rsidRPr="00C30BA3" w:rsidRDefault="005F7C0F" w:rsidP="005F7C0F">
      <w:pPr>
        <w:ind w:left="720"/>
        <w:rPr>
          <w:sz w:val="22"/>
          <w:szCs w:val="22"/>
        </w:rPr>
      </w:pPr>
      <w:r w:rsidRPr="00C30BA3">
        <w:rPr>
          <w:sz w:val="22"/>
          <w:szCs w:val="22"/>
        </w:rPr>
        <w:t>I am now focused on how I can make my son’s future perfect, happy and safe. And how I can help prepare him for the future.</w:t>
      </w:r>
    </w:p>
    <w:p w:rsidR="005F7C0F" w:rsidRDefault="005F7C0F" w:rsidP="005F7C0F">
      <w:r>
        <w:t xml:space="preserve">When asked about new goals since having their baby, 29.2% of survey participants told us that they wanted to be good parents, care for their children and provide their children with the best opportunities to succeed in life. One mother said: </w:t>
      </w:r>
    </w:p>
    <w:p w:rsidR="005F7C0F" w:rsidRPr="00C30BA3" w:rsidRDefault="005F7C0F" w:rsidP="005F7C0F">
      <w:pPr>
        <w:ind w:left="720"/>
        <w:rPr>
          <w:sz w:val="22"/>
          <w:szCs w:val="22"/>
        </w:rPr>
      </w:pPr>
      <w:r w:rsidRPr="00C30BA3">
        <w:rPr>
          <w:sz w:val="22"/>
          <w:szCs w:val="22"/>
        </w:rPr>
        <w:t>It</w:t>
      </w:r>
      <w:r>
        <w:rPr>
          <w:sz w:val="22"/>
          <w:szCs w:val="22"/>
        </w:rPr>
        <w:t>’</w:t>
      </w:r>
      <w:r w:rsidRPr="00C30BA3">
        <w:rPr>
          <w:sz w:val="22"/>
          <w:szCs w:val="22"/>
        </w:rPr>
        <w:t>s been the biggest challenge I’ve yet to face but full of</w:t>
      </w:r>
      <w:r>
        <w:rPr>
          <w:sz w:val="22"/>
          <w:szCs w:val="22"/>
        </w:rPr>
        <w:t xml:space="preserve"> amazing rewards. While it wasn’</w:t>
      </w:r>
      <w:r w:rsidRPr="00C30BA3">
        <w:rPr>
          <w:sz w:val="22"/>
          <w:szCs w:val="22"/>
        </w:rPr>
        <w:t>t how I expected my intro t</w:t>
      </w:r>
      <w:r>
        <w:rPr>
          <w:sz w:val="22"/>
          <w:szCs w:val="22"/>
        </w:rPr>
        <w:t>o motherhood would be, I wouldn’</w:t>
      </w:r>
      <w:r w:rsidRPr="00C30BA3">
        <w:rPr>
          <w:sz w:val="22"/>
          <w:szCs w:val="22"/>
        </w:rPr>
        <w:t>t change it for the world.</w:t>
      </w:r>
    </w:p>
    <w:p w:rsidR="005F7C0F" w:rsidRPr="009D7FFD" w:rsidRDefault="005F7C0F" w:rsidP="005F7C0F">
      <w:r>
        <w:t>When asked about what their new goals were and what would help them achieve them, young mothers responded that education and employment were most important, with each</w:t>
      </w:r>
      <w:r w:rsidR="007F4052">
        <w:t xml:space="preserve"> of these</w:t>
      </w:r>
      <w:r>
        <w:t xml:space="preserve"> identified by </w:t>
      </w:r>
      <w:r w:rsidRPr="00977228">
        <w:t xml:space="preserve">15.3% </w:t>
      </w:r>
      <w:r>
        <w:t>of respondents. Another 12.5% said that having a licence and car would help them the most. More affordable and accessible child care was also a top priority, with 9.7% responding that it would help them the most in achieving their goals. Young parents told me:</w:t>
      </w:r>
    </w:p>
    <w:p w:rsidR="005F7C0F" w:rsidRPr="00E7070E" w:rsidRDefault="005F7C0F" w:rsidP="005F7C0F">
      <w:pPr>
        <w:ind w:left="720"/>
        <w:rPr>
          <w:sz w:val="22"/>
          <w:szCs w:val="22"/>
        </w:rPr>
      </w:pPr>
      <w:r w:rsidRPr="00E7070E">
        <w:rPr>
          <w:sz w:val="22"/>
          <w:szCs w:val="22"/>
        </w:rPr>
        <w:t>To study beauty therapy in university. Financial help would be fantastic because I won't be able to afford university until my son is older.</w:t>
      </w:r>
    </w:p>
    <w:p w:rsidR="005F7C0F" w:rsidRPr="00E7070E" w:rsidRDefault="005F7C0F" w:rsidP="005F7C0F">
      <w:pPr>
        <w:ind w:left="720"/>
        <w:rPr>
          <w:sz w:val="22"/>
          <w:szCs w:val="22"/>
        </w:rPr>
      </w:pPr>
      <w:r w:rsidRPr="00E7070E">
        <w:rPr>
          <w:sz w:val="22"/>
          <w:szCs w:val="22"/>
        </w:rPr>
        <w:t>My new goals are gaining a good job to provide for my children and also assist my children to become happy, healthy and well-rounded adults one day.  I think for both of those goals education is the key.</w:t>
      </w:r>
    </w:p>
    <w:p w:rsidR="005F7C0F" w:rsidRPr="00E7070E" w:rsidRDefault="005F7C0F" w:rsidP="005F7C0F">
      <w:pPr>
        <w:ind w:left="720"/>
        <w:rPr>
          <w:sz w:val="22"/>
          <w:szCs w:val="22"/>
        </w:rPr>
      </w:pPr>
      <w:r w:rsidRPr="00E7070E">
        <w:rPr>
          <w:sz w:val="22"/>
          <w:szCs w:val="22"/>
        </w:rPr>
        <w:t>Cheaper childcare so I can work, put him in a good scho</w:t>
      </w:r>
      <w:r>
        <w:rPr>
          <w:sz w:val="22"/>
          <w:szCs w:val="22"/>
        </w:rPr>
        <w:t>ol. Help with getting my licenc</w:t>
      </w:r>
      <w:r w:rsidRPr="00E7070E">
        <w:rPr>
          <w:sz w:val="22"/>
          <w:szCs w:val="22"/>
        </w:rPr>
        <w:t xml:space="preserve">e so I don't have to rely on public transport, help with getting a job and paying debts so more money can be spent on my child. </w:t>
      </w:r>
    </w:p>
    <w:p w:rsidR="005F7C0F" w:rsidRDefault="005F7C0F" w:rsidP="005F7C0F">
      <w:pPr>
        <w:pStyle w:val="Titolo3"/>
      </w:pPr>
      <w:bookmarkStart w:id="128" w:name="_Toc500308820"/>
      <w:r>
        <w:t>Other reflections on being a young parent</w:t>
      </w:r>
      <w:bookmarkEnd w:id="128"/>
    </w:p>
    <w:p w:rsidR="005F7C0F" w:rsidRDefault="005F7C0F" w:rsidP="005F7C0F">
      <w:r>
        <w:t xml:space="preserve">Young parents were asked about what they thought were the best and hardest things about being a young parent. </w:t>
      </w:r>
    </w:p>
    <w:p w:rsidR="005F7C0F" w:rsidRDefault="005F7C0F" w:rsidP="005F7C0F">
      <w:r>
        <w:t xml:space="preserve">Some of the </w:t>
      </w:r>
      <w:r w:rsidRPr="00805403">
        <w:rPr>
          <w:b/>
        </w:rPr>
        <w:t>hardest</w:t>
      </w:r>
      <w:r>
        <w:t xml:space="preserve"> things young people said about being a parent:</w:t>
      </w:r>
    </w:p>
    <w:p w:rsidR="005F7C0F" w:rsidRPr="00C30BA3" w:rsidRDefault="005F7C0F" w:rsidP="005F7C0F">
      <w:pPr>
        <w:ind w:left="720"/>
        <w:rPr>
          <w:sz w:val="22"/>
          <w:szCs w:val="22"/>
        </w:rPr>
      </w:pPr>
      <w:r>
        <w:rPr>
          <w:sz w:val="22"/>
          <w:szCs w:val="22"/>
        </w:rPr>
        <w:t>Balance —</w:t>
      </w:r>
      <w:r w:rsidRPr="00C30BA3">
        <w:rPr>
          <w:sz w:val="22"/>
          <w:szCs w:val="22"/>
        </w:rPr>
        <w:t xml:space="preserve"> not falling behind in your own personal goals.</w:t>
      </w:r>
    </w:p>
    <w:p w:rsidR="005F7C0F" w:rsidRPr="00C30BA3" w:rsidRDefault="005F7C0F" w:rsidP="005F7C0F">
      <w:pPr>
        <w:ind w:left="720"/>
        <w:rPr>
          <w:sz w:val="22"/>
          <w:szCs w:val="22"/>
        </w:rPr>
      </w:pPr>
      <w:r w:rsidRPr="00C30BA3">
        <w:rPr>
          <w:sz w:val="22"/>
          <w:szCs w:val="22"/>
        </w:rPr>
        <w:t>Juggling everything.</w:t>
      </w:r>
    </w:p>
    <w:p w:rsidR="005F7C0F" w:rsidRPr="00C30BA3" w:rsidRDefault="005F7C0F" w:rsidP="005F7C0F">
      <w:pPr>
        <w:ind w:left="720"/>
        <w:rPr>
          <w:sz w:val="22"/>
          <w:szCs w:val="22"/>
        </w:rPr>
      </w:pPr>
      <w:r w:rsidRPr="00C30BA3">
        <w:rPr>
          <w:sz w:val="22"/>
          <w:szCs w:val="22"/>
        </w:rPr>
        <w:t>Being in JJ [juvenile justice] and not being able to support the mother and child in person.</w:t>
      </w:r>
    </w:p>
    <w:p w:rsidR="005F7C0F" w:rsidRPr="00C30BA3" w:rsidRDefault="005F7C0F" w:rsidP="005F7C0F">
      <w:pPr>
        <w:ind w:left="720"/>
        <w:rPr>
          <w:sz w:val="22"/>
          <w:szCs w:val="22"/>
        </w:rPr>
      </w:pPr>
      <w:r>
        <w:rPr>
          <w:sz w:val="22"/>
          <w:szCs w:val="22"/>
        </w:rPr>
        <w:t>Money is the hardest thing I’</w:t>
      </w:r>
      <w:r w:rsidRPr="00C30BA3">
        <w:rPr>
          <w:sz w:val="22"/>
          <w:szCs w:val="22"/>
        </w:rPr>
        <w:t>ve come across. It's so hard to pay rent by yourself and then have to pay childcare fees because you’re working. Then your Centrelink gets reduced the more you work but you have to work to be able to afford rent because just Centrelink doesn't cover it.</w:t>
      </w:r>
    </w:p>
    <w:p w:rsidR="005F7C0F" w:rsidRPr="00C30BA3" w:rsidRDefault="005F7C0F" w:rsidP="005F7C0F">
      <w:pPr>
        <w:ind w:left="720"/>
        <w:rPr>
          <w:sz w:val="22"/>
          <w:szCs w:val="22"/>
        </w:rPr>
      </w:pPr>
      <w:r w:rsidRPr="00C30BA3">
        <w:rPr>
          <w:sz w:val="22"/>
          <w:szCs w:val="22"/>
        </w:rPr>
        <w:t>I try saving for my kids but it’s too hard cause we’ve got bills to pay.</w:t>
      </w:r>
    </w:p>
    <w:p w:rsidR="005F7C0F" w:rsidRDefault="005F7C0F" w:rsidP="005F7C0F">
      <w:r>
        <w:t xml:space="preserve">Some of the </w:t>
      </w:r>
      <w:r w:rsidRPr="00805403">
        <w:rPr>
          <w:b/>
        </w:rPr>
        <w:t xml:space="preserve">best </w:t>
      </w:r>
      <w:r>
        <w:t>things young people said about being a parent:</w:t>
      </w:r>
    </w:p>
    <w:p w:rsidR="005F7C0F" w:rsidRPr="00C30BA3" w:rsidRDefault="005F7C0F" w:rsidP="005F7C0F">
      <w:pPr>
        <w:ind w:left="720"/>
        <w:rPr>
          <w:sz w:val="22"/>
          <w:szCs w:val="22"/>
        </w:rPr>
      </w:pPr>
      <w:r w:rsidRPr="00C30BA3">
        <w:rPr>
          <w:sz w:val="22"/>
          <w:szCs w:val="22"/>
        </w:rPr>
        <w:t>The smiles and the recognition that I’m actually doing something.</w:t>
      </w:r>
    </w:p>
    <w:p w:rsidR="005F7C0F" w:rsidRPr="00C30BA3" w:rsidRDefault="005F7C0F" w:rsidP="005F7C0F">
      <w:pPr>
        <w:ind w:left="720"/>
        <w:rPr>
          <w:sz w:val="22"/>
          <w:szCs w:val="22"/>
        </w:rPr>
      </w:pPr>
      <w:r w:rsidRPr="00C30BA3">
        <w:rPr>
          <w:sz w:val="22"/>
          <w:szCs w:val="22"/>
        </w:rPr>
        <w:t>It’s changed everything about me and my partner. We were on drugs</w:t>
      </w:r>
      <w:r>
        <w:rPr>
          <w:sz w:val="22"/>
          <w:szCs w:val="22"/>
        </w:rPr>
        <w:t xml:space="preserve"> </w:t>
      </w:r>
      <w:r w:rsidRPr="00C30BA3">
        <w:rPr>
          <w:sz w:val="22"/>
          <w:szCs w:val="22"/>
        </w:rPr>
        <w:t>…now we’re off drugs and he’s got his licence.</w:t>
      </w:r>
    </w:p>
    <w:p w:rsidR="005F7C0F" w:rsidRPr="00C30BA3" w:rsidRDefault="005F7C0F" w:rsidP="005F7C0F">
      <w:pPr>
        <w:ind w:left="720"/>
        <w:rPr>
          <w:sz w:val="22"/>
          <w:szCs w:val="22"/>
        </w:rPr>
      </w:pPr>
      <w:r w:rsidRPr="00C30BA3">
        <w:rPr>
          <w:sz w:val="22"/>
          <w:szCs w:val="22"/>
        </w:rPr>
        <w:t>When you become a parent you want to do better for yourself, for your child.</w:t>
      </w:r>
    </w:p>
    <w:p w:rsidR="005F7C0F" w:rsidRPr="00C30BA3" w:rsidRDefault="005F7C0F" w:rsidP="005F7C0F">
      <w:pPr>
        <w:ind w:left="720"/>
        <w:rPr>
          <w:sz w:val="22"/>
          <w:szCs w:val="22"/>
        </w:rPr>
      </w:pPr>
      <w:r w:rsidRPr="00C30BA3">
        <w:rPr>
          <w:sz w:val="22"/>
          <w:szCs w:val="22"/>
        </w:rPr>
        <w:t>I dropped out in grade 10 and I was out of home when I was 16 so when I became pregnant I wanted to strive more for my future.</w:t>
      </w:r>
    </w:p>
    <w:p w:rsidR="005F7C0F" w:rsidRDefault="005F7C0F" w:rsidP="005F7C0F">
      <w:r>
        <w:t>In their advice to another young parent, the main messages were to: ‘hang in there’, ‘believe in yourself’, ‘ask for help if you need it’, and ‘finish your education’.</w:t>
      </w:r>
    </w:p>
    <w:p w:rsidR="00F5031B" w:rsidRDefault="00F5031B">
      <w:pPr>
        <w:keepLines w:val="0"/>
        <w:spacing w:before="0" w:after="0"/>
      </w:pPr>
    </w:p>
    <w:p w:rsidR="00F5031B" w:rsidRDefault="00F5031B">
      <w:pPr>
        <w:keepLines w:val="0"/>
        <w:spacing w:before="0" w:after="0"/>
      </w:pPr>
    </w:p>
    <w:tbl>
      <w:tblPr>
        <w:tblStyle w:val="Grigliatabella"/>
        <w:tblW w:w="0" w:type="auto"/>
        <w:tblCellMar>
          <w:left w:w="284" w:type="dxa"/>
          <w:right w:w="284" w:type="dxa"/>
        </w:tblCellMar>
        <w:tblLook w:val="04A0" w:firstRow="1" w:lastRow="0" w:firstColumn="1" w:lastColumn="0" w:noHBand="0" w:noVBand="1"/>
      </w:tblPr>
      <w:tblGrid>
        <w:gridCol w:w="9060"/>
      </w:tblGrid>
      <w:tr w:rsidR="00F5031B" w:rsidTr="00F5031B">
        <w:tc>
          <w:tcPr>
            <w:tcW w:w="9060" w:type="dxa"/>
          </w:tcPr>
          <w:p w:rsidR="00F5031B" w:rsidRPr="00363084" w:rsidRDefault="00F5031B" w:rsidP="00F5031B">
            <w:pPr>
              <w:rPr>
                <w:b/>
              </w:rPr>
            </w:pPr>
            <w:r w:rsidRPr="00363084">
              <w:rPr>
                <w:b/>
              </w:rPr>
              <w:t>Messages to government</w:t>
            </w:r>
          </w:p>
          <w:p w:rsidR="00F5031B" w:rsidRPr="005354C9" w:rsidRDefault="00F5031B" w:rsidP="00F5031B">
            <w:pPr>
              <w:pStyle w:val="Citazione"/>
              <w:spacing w:before="140" w:after="140"/>
            </w:pPr>
            <w:r w:rsidRPr="005354C9">
              <w:t xml:space="preserve">The punitive and harsh cuts to welfare and support to young parents will only contribute to the same cycle of deprivation I was born into. Policies such as the work for the dole and the basics card show only contempt for future vulnerable children. “a society is judged by how </w:t>
            </w:r>
            <w:r>
              <w:t>it treats it’s most vulnerable”.</w:t>
            </w:r>
          </w:p>
          <w:p w:rsidR="00F5031B" w:rsidRPr="005354C9" w:rsidRDefault="00F5031B" w:rsidP="00F5031B">
            <w:pPr>
              <w:pStyle w:val="Citazione"/>
              <w:spacing w:before="140" w:after="140"/>
            </w:pPr>
            <w:r w:rsidRPr="005354C9">
              <w:t>Do your job!</w:t>
            </w:r>
          </w:p>
          <w:p w:rsidR="00F5031B" w:rsidRPr="005354C9" w:rsidRDefault="00F5031B" w:rsidP="00F5031B">
            <w:pPr>
              <w:pStyle w:val="Citazione"/>
              <w:spacing w:before="140" w:after="140"/>
            </w:pPr>
            <w:r w:rsidRPr="005354C9">
              <w:t>Free Childcare for single parents, more Healthcare benefits for children</w:t>
            </w:r>
            <w:r>
              <w:t>.</w:t>
            </w:r>
          </w:p>
          <w:p w:rsidR="00F5031B" w:rsidRPr="005354C9" w:rsidRDefault="00F5031B" w:rsidP="00F5031B">
            <w:pPr>
              <w:pStyle w:val="Citazione"/>
              <w:spacing w:before="140" w:after="140"/>
            </w:pPr>
            <w:r w:rsidRPr="005354C9">
              <w:t xml:space="preserve">Housing needs to be more affordable or attainable for mothers on low income, A stable home is the first step to a child’s future. </w:t>
            </w:r>
          </w:p>
          <w:p w:rsidR="00F5031B" w:rsidRPr="005354C9" w:rsidRDefault="00F5031B" w:rsidP="00F5031B">
            <w:pPr>
              <w:pStyle w:val="Citazione"/>
              <w:spacing w:before="140" w:after="140"/>
            </w:pPr>
            <w:r w:rsidRPr="005354C9">
              <w:t>I should be able to consent as a parent, not just for my child but for myself as well</w:t>
            </w:r>
            <w:r>
              <w:t>.</w:t>
            </w:r>
          </w:p>
          <w:p w:rsidR="00F5031B" w:rsidRPr="005354C9" w:rsidRDefault="00F5031B" w:rsidP="00F5031B">
            <w:pPr>
              <w:pStyle w:val="Citazione"/>
              <w:spacing w:before="140" w:after="140"/>
            </w:pPr>
            <w:r w:rsidRPr="005354C9">
              <w:t>It’s hard to get your licence and gain 100 hours supervised training when you</w:t>
            </w:r>
            <w:r>
              <w:t xml:space="preserve"> have no money/no one to help.</w:t>
            </w:r>
          </w:p>
          <w:p w:rsidR="00F5031B" w:rsidRPr="005354C9" w:rsidRDefault="00F5031B" w:rsidP="00F5031B">
            <w:pPr>
              <w:pStyle w:val="Citazione"/>
              <w:spacing w:before="140" w:after="140"/>
            </w:pPr>
            <w:r w:rsidRPr="005354C9">
              <w:t>Everyone know what services are available. A lot of services that were available for me I didn’t find out about till after I really needed them.</w:t>
            </w:r>
          </w:p>
          <w:p w:rsidR="00F5031B" w:rsidRDefault="00F5031B" w:rsidP="00150A9B">
            <w:pPr>
              <w:pStyle w:val="Citazione"/>
              <w:spacing w:before="140" w:after="240"/>
            </w:pPr>
            <w:r w:rsidRPr="005354C9">
              <w:t>Dear Government, I think you should be more aware of the young mums out there who are suffering and struggling. More support is needed financially, support networks, case managers, more needed for housing not just refuges.</w:t>
            </w:r>
          </w:p>
        </w:tc>
      </w:tr>
    </w:tbl>
    <w:p w:rsidR="00F5031B" w:rsidRDefault="00F5031B" w:rsidP="00F5031B">
      <w:pPr>
        <w:keepLines w:val="0"/>
        <w:spacing w:before="0" w:after="0"/>
      </w:pPr>
    </w:p>
    <w:tbl>
      <w:tblPr>
        <w:tblStyle w:val="Grigliatabella"/>
        <w:tblW w:w="0" w:type="auto"/>
        <w:tblCellMar>
          <w:left w:w="284" w:type="dxa"/>
          <w:right w:w="284" w:type="dxa"/>
        </w:tblCellMar>
        <w:tblLook w:val="04A0" w:firstRow="1" w:lastRow="0" w:firstColumn="1" w:lastColumn="0" w:noHBand="0" w:noVBand="1"/>
      </w:tblPr>
      <w:tblGrid>
        <w:gridCol w:w="9060"/>
      </w:tblGrid>
      <w:tr w:rsidR="00F5031B" w:rsidTr="00493197">
        <w:tc>
          <w:tcPr>
            <w:tcW w:w="9060" w:type="dxa"/>
          </w:tcPr>
          <w:p w:rsidR="00F5031B" w:rsidRPr="00F5031B" w:rsidRDefault="00F5031B" w:rsidP="00F5031B">
            <w:pPr>
              <w:rPr>
                <w:b/>
              </w:rPr>
            </w:pPr>
            <w:r w:rsidRPr="00F5031B">
              <w:rPr>
                <w:b/>
              </w:rPr>
              <w:t>Advice to other young parents</w:t>
            </w:r>
          </w:p>
          <w:p w:rsidR="00F5031B" w:rsidRPr="00F5031B" w:rsidRDefault="00F5031B" w:rsidP="00F5031B">
            <w:pPr>
              <w:pStyle w:val="Citazione"/>
              <w:spacing w:before="140" w:after="140"/>
              <w:rPr>
                <w:szCs w:val="22"/>
              </w:rPr>
            </w:pPr>
            <w:r w:rsidRPr="00F5031B">
              <w:rPr>
                <w:szCs w:val="22"/>
              </w:rPr>
              <w:t>Going to school is important.</w:t>
            </w:r>
          </w:p>
          <w:p w:rsidR="00F5031B" w:rsidRPr="00F5031B" w:rsidRDefault="00F5031B" w:rsidP="00F5031B">
            <w:pPr>
              <w:pStyle w:val="Citazione"/>
              <w:spacing w:before="140" w:after="140"/>
              <w:rPr>
                <w:szCs w:val="22"/>
              </w:rPr>
            </w:pPr>
            <w:r w:rsidRPr="00F5031B">
              <w:rPr>
                <w:szCs w:val="22"/>
              </w:rPr>
              <w:t>Things will be easier with education.</w:t>
            </w:r>
          </w:p>
          <w:p w:rsidR="00F5031B" w:rsidRPr="00F5031B" w:rsidRDefault="00F5031B" w:rsidP="00F5031B">
            <w:pPr>
              <w:pStyle w:val="Citazione"/>
              <w:spacing w:before="140" w:after="140"/>
              <w:rPr>
                <w:szCs w:val="22"/>
                <w:lang w:val="en-US" w:eastAsia="it-IT"/>
              </w:rPr>
            </w:pPr>
            <w:r w:rsidRPr="00F5031B">
              <w:rPr>
                <w:szCs w:val="22"/>
                <w:lang w:val="en-US" w:eastAsia="it-IT"/>
              </w:rPr>
              <w:t>You’re not silly, ask’s all the question are not dumb its okay to asks for help.</w:t>
            </w:r>
          </w:p>
          <w:p w:rsidR="00F5031B" w:rsidRPr="005354C9" w:rsidRDefault="00F5031B" w:rsidP="00F5031B">
            <w:pPr>
              <w:pStyle w:val="Citazione"/>
              <w:numPr>
                <w:ilvl w:val="0"/>
                <w:numId w:val="214"/>
              </w:numPr>
              <w:spacing w:before="0" w:after="0"/>
              <w:ind w:left="1434" w:hanging="357"/>
            </w:pPr>
            <w:r w:rsidRPr="005354C9">
              <w:t>Patience</w:t>
            </w:r>
          </w:p>
          <w:p w:rsidR="00F5031B" w:rsidRPr="005354C9" w:rsidRDefault="00F5031B" w:rsidP="00F5031B">
            <w:pPr>
              <w:pStyle w:val="Citazione"/>
              <w:numPr>
                <w:ilvl w:val="0"/>
                <w:numId w:val="214"/>
              </w:numPr>
              <w:spacing w:before="0" w:after="0"/>
              <w:ind w:left="1434" w:hanging="357"/>
            </w:pPr>
            <w:r w:rsidRPr="005354C9">
              <w:t>Enjoy every moment they get older quickly</w:t>
            </w:r>
          </w:p>
          <w:p w:rsidR="00F5031B" w:rsidRPr="005354C9" w:rsidRDefault="00F5031B" w:rsidP="00F5031B">
            <w:pPr>
              <w:pStyle w:val="Citazione"/>
              <w:numPr>
                <w:ilvl w:val="0"/>
                <w:numId w:val="214"/>
              </w:numPr>
              <w:spacing w:before="0"/>
              <w:ind w:left="1434" w:hanging="357"/>
            </w:pPr>
            <w:r w:rsidRPr="005354C9">
              <w:t>You can’t love them enough</w:t>
            </w:r>
          </w:p>
          <w:p w:rsidR="00F5031B" w:rsidRPr="005354C9" w:rsidRDefault="00F5031B" w:rsidP="00F5031B">
            <w:pPr>
              <w:pStyle w:val="Citazione"/>
              <w:spacing w:before="140" w:after="140"/>
            </w:pPr>
            <w:r w:rsidRPr="005354C9">
              <w:t xml:space="preserve">Try and attend as much parents groups as possible. Make sure you have a circle you belong to. </w:t>
            </w:r>
          </w:p>
          <w:p w:rsidR="00F5031B" w:rsidRPr="005354C9" w:rsidRDefault="00F5031B" w:rsidP="00F5031B">
            <w:pPr>
              <w:pStyle w:val="Citazione"/>
              <w:spacing w:before="140" w:after="140"/>
            </w:pPr>
            <w:r w:rsidRPr="005354C9">
              <w:t xml:space="preserve">Run your own race, take all the advice with a grain of salt. </w:t>
            </w:r>
          </w:p>
          <w:p w:rsidR="00F5031B" w:rsidRPr="005354C9" w:rsidRDefault="00F5031B" w:rsidP="00F5031B">
            <w:pPr>
              <w:pStyle w:val="Citazione"/>
              <w:spacing w:before="140" w:after="140"/>
            </w:pPr>
            <w:r w:rsidRPr="005354C9">
              <w:t xml:space="preserve">Support your kids every single day. </w:t>
            </w:r>
          </w:p>
          <w:p w:rsidR="00F5031B" w:rsidRPr="005354C9" w:rsidRDefault="00F5031B" w:rsidP="00F5031B">
            <w:pPr>
              <w:pStyle w:val="Citazione"/>
              <w:spacing w:before="140" w:after="140"/>
            </w:pPr>
            <w:r w:rsidRPr="005354C9">
              <w:t xml:space="preserve">Don’t count the days, make the days count. </w:t>
            </w:r>
          </w:p>
          <w:p w:rsidR="00F5031B" w:rsidRPr="005354C9" w:rsidRDefault="00F5031B" w:rsidP="00F5031B">
            <w:pPr>
              <w:pStyle w:val="Citazione"/>
              <w:spacing w:before="140" w:after="140"/>
            </w:pPr>
            <w:r w:rsidRPr="005354C9">
              <w:t>Be there for your kid, pull your head in.</w:t>
            </w:r>
          </w:p>
          <w:p w:rsidR="00F5031B" w:rsidRPr="005354C9" w:rsidRDefault="00F5031B" w:rsidP="00F5031B">
            <w:pPr>
              <w:pStyle w:val="Citazione"/>
              <w:spacing w:before="140" w:after="140"/>
            </w:pPr>
            <w:r w:rsidRPr="005354C9">
              <w:t xml:space="preserve">This world is so judgemental. If someone wants to judge you, it doesn’t matter. They don’t know [what] you’ve been through. </w:t>
            </w:r>
          </w:p>
          <w:p w:rsidR="00F5031B" w:rsidRDefault="00F5031B" w:rsidP="00150A9B">
            <w:pPr>
              <w:pStyle w:val="Citazione"/>
              <w:spacing w:before="140" w:after="240"/>
            </w:pPr>
            <w:r w:rsidRPr="005354C9">
              <w:t>Gain as much knowledge as you can. As hard as somedays may seem try and find the right support to get what your entitled to!!! The support is there. Just seems very hidden.</w:t>
            </w:r>
          </w:p>
        </w:tc>
      </w:tr>
    </w:tbl>
    <w:p w:rsidR="00E46A42" w:rsidRDefault="00E46A42">
      <w:pPr>
        <w:keepLines w:val="0"/>
        <w:spacing w:before="0" w:after="0"/>
        <w:rPr>
          <w:highlight w:val="yellow"/>
        </w:rPr>
      </w:pPr>
      <w:r>
        <w:rPr>
          <w:highlight w:val="yellow"/>
        </w:rPr>
        <w:br w:type="page"/>
      </w:r>
    </w:p>
    <w:p w:rsidR="005F7C0F" w:rsidRDefault="005F7C0F" w:rsidP="00865182">
      <w:pPr>
        <w:pStyle w:val="31"/>
      </w:pPr>
      <w:bookmarkStart w:id="129" w:name="_Toc500308821"/>
      <w:r>
        <w:t>Conclusion</w:t>
      </w:r>
      <w:bookmarkEnd w:id="129"/>
    </w:p>
    <w:p w:rsidR="005F7C0F" w:rsidRDefault="005F7C0F" w:rsidP="005F7C0F">
      <w:r>
        <w:t xml:space="preserve">Young parents are highly motivated to be good parents and to have a home, a good education and do well in life. Specialist services that support young parents in these endeavours play an essential role in improving education, employment, health and safe parenting outcomes. </w:t>
      </w:r>
    </w:p>
    <w:p w:rsidR="005F7C0F" w:rsidRDefault="005F7C0F" w:rsidP="005F7C0F">
      <w:r>
        <w:t>It was clear from my investigation that young parents and their children face a range of difficulties and barriers. Young parents:</w:t>
      </w:r>
    </w:p>
    <w:p w:rsidR="005F7C0F" w:rsidRDefault="005F7C0F" w:rsidP="00222517">
      <w:pPr>
        <w:pStyle w:val="Paragrafoelenco"/>
        <w:numPr>
          <w:ilvl w:val="0"/>
          <w:numId w:val="184"/>
        </w:numPr>
        <w:jc w:val="left"/>
      </w:pPr>
      <w:r>
        <w:t xml:space="preserve">have poorer health outcomes including higher rates of premature births and low birth weight </w:t>
      </w:r>
    </w:p>
    <w:p w:rsidR="005F7C0F" w:rsidRDefault="005F7C0F" w:rsidP="00222517">
      <w:pPr>
        <w:pStyle w:val="Paragrafoelenco"/>
        <w:numPr>
          <w:ilvl w:val="0"/>
          <w:numId w:val="184"/>
        </w:numPr>
        <w:jc w:val="left"/>
      </w:pPr>
      <w:r>
        <w:t>are more likely to be single, on low incomes and have limited family support</w:t>
      </w:r>
    </w:p>
    <w:p w:rsidR="005F7C0F" w:rsidRDefault="005F7C0F" w:rsidP="00222517">
      <w:pPr>
        <w:pStyle w:val="Paragrafoelenco"/>
        <w:numPr>
          <w:ilvl w:val="0"/>
          <w:numId w:val="184"/>
        </w:numPr>
        <w:jc w:val="left"/>
      </w:pPr>
      <w:r>
        <w:t>are less likely to complete school and obtain qualifications</w:t>
      </w:r>
    </w:p>
    <w:p w:rsidR="005F7C0F" w:rsidRDefault="005F7C0F" w:rsidP="00222517">
      <w:pPr>
        <w:pStyle w:val="Paragrafoelenco"/>
        <w:numPr>
          <w:ilvl w:val="0"/>
          <w:numId w:val="184"/>
        </w:numPr>
        <w:jc w:val="left"/>
      </w:pPr>
      <w:r>
        <w:t>face significant stigma and judgement by professionals and the community</w:t>
      </w:r>
    </w:p>
    <w:p w:rsidR="005F7C0F" w:rsidRDefault="005F7C0F" w:rsidP="00222517">
      <w:pPr>
        <w:pStyle w:val="Paragrafoelenco"/>
        <w:numPr>
          <w:ilvl w:val="0"/>
          <w:numId w:val="184"/>
        </w:numPr>
        <w:jc w:val="left"/>
      </w:pPr>
      <w:r>
        <w:t>have great difficulty obtaining secure, stable and safe housing.</w:t>
      </w:r>
    </w:p>
    <w:p w:rsidR="005F7C0F" w:rsidRDefault="005F7C0F" w:rsidP="005F7C0F">
      <w:r>
        <w:t>Recognising and responding to the particular needs of young parents is critical to reducing the economic, social and health risks to them and their children. Youth-friendly services which target young parents, including young fathers, are needed in locations where there is known to be a high proportion of young parents. Such services need to provide or connect with a range of supports that young parents need, such as parenting programs, education, employment, health, housing, transport, and early childhood education and care. Of great importance is ensuring strong connections and referral pathways between service providers, from the time of pregnancy.</w:t>
      </w:r>
    </w:p>
    <w:p w:rsidR="005F7C0F" w:rsidRDefault="005F7C0F" w:rsidP="005F7C0F">
      <w:r>
        <w:t xml:space="preserve">To build on my learnings, I sought additional information about some of the legal and policy barriers highlighted in the roundtables, submissions, surveys and consultations, in particular in relation to: access to abortion and contraception; access to education; and child protection laws and policies relevant to young parents. This involved a review of existing legislation and information received from state and territory child protection agencies. This was a preliminary review only, and I suggest further work is needed to build a more complete picture. </w:t>
      </w:r>
    </w:p>
    <w:p w:rsidR="005F7C0F" w:rsidRDefault="00F05024" w:rsidP="00222517">
      <w:pPr>
        <w:pStyle w:val="Titolo3"/>
        <w:numPr>
          <w:ilvl w:val="2"/>
          <w:numId w:val="195"/>
        </w:numPr>
      </w:pPr>
      <w:bookmarkStart w:id="130" w:name="_Toc500308822"/>
      <w:r>
        <w:t>Access to contraception and abortion</w:t>
      </w:r>
      <w:bookmarkEnd w:id="130"/>
    </w:p>
    <w:p w:rsidR="00F05024" w:rsidRDefault="00F05024" w:rsidP="00F05024">
      <w:r w:rsidRPr="00867330">
        <w:t>Appendix 12</w:t>
      </w:r>
      <w:r>
        <w:t xml:space="preserve"> sets out the laws relevant to young people’s access to prescribed medical forms of contraception and abortion.</w:t>
      </w:r>
    </w:p>
    <w:p w:rsidR="00F05024" w:rsidRDefault="00F05024" w:rsidP="00F05024">
      <w:r>
        <w:t>Under common law, a child is capable of giving informed consent to medical treatment if they have a sufficient level of understanding and intelligence to allow them to fully understand what is proposed.</w:t>
      </w:r>
      <w:r>
        <w:rPr>
          <w:rStyle w:val="Rimandonotadichiusura"/>
        </w:rPr>
        <w:endnoteReference w:id="680"/>
      </w:r>
      <w:r w:rsidR="002D774C">
        <w:t xml:space="preserve"> </w:t>
      </w:r>
      <w:r>
        <w:t xml:space="preserve">This test, known as the ‘Gillick competency’ test, requires the treating health practitioner to consider the individual child’s level of understanding in respect of the particular treatment or advice in question. The test does not rely on a fixed age to determine competence. If a child satisfies this test, no parental consent is required for a child to access prescribed medical forms of contraception or abortion. </w:t>
      </w:r>
    </w:p>
    <w:p w:rsidR="00F05024" w:rsidRDefault="00F05024" w:rsidP="00F05024">
      <w:r>
        <w:t>In all states and territories, except SA, the age of consent to medical treatment (without a test of competency) is 18 years. In SA, legislation provides that a child aged 16 years or over may consent to or refuse medical treatment or health care as validly and effectively as an adult.</w:t>
      </w:r>
      <w:r>
        <w:rPr>
          <w:rStyle w:val="Rimandonotadichiusura"/>
        </w:rPr>
        <w:endnoteReference w:id="681"/>
      </w:r>
      <w:r>
        <w:t xml:space="preserve"> The doctor must explain the treatment, consequences, risks and any alternatives to the treatment. For children aged under 16 years to receive a prescription for contraception without parental consent, two doctors who have personally examined the child must be of the opinion that the child is capable of understanding the nature, consequences and risks of the treatment and that the treatment is in the best interests of the child. In Tas</w:t>
      </w:r>
      <w:r w:rsidR="00FC5DB9">
        <w:t>mania</w:t>
      </w:r>
      <w:r>
        <w:t>, a Bill was introduced in 2016 to reform its laws on the age of consent to medical treatment in line with SA.</w:t>
      </w:r>
      <w:r>
        <w:rPr>
          <w:rStyle w:val="Rimandonotadichiusura"/>
        </w:rPr>
        <w:endnoteReference w:id="682"/>
      </w:r>
      <w:r>
        <w:t xml:space="preserve"> </w:t>
      </w:r>
    </w:p>
    <w:p w:rsidR="00F05024" w:rsidRDefault="00F05024" w:rsidP="00F05024">
      <w:r>
        <w:t>Certain state and territory laws criminalise abortion or limit access to abortion in certain circumstances. In WA, abortion is legal up to 20 weeks in certain circumstances</w:t>
      </w:r>
      <w:r w:rsidR="007C4B47">
        <w:t>.</w:t>
      </w:r>
      <w:r>
        <w:t xml:space="preserve"> </w:t>
      </w:r>
      <w:r w:rsidR="007C4B47">
        <w:t>H</w:t>
      </w:r>
      <w:r>
        <w:t>owever there are additional restrictions that apply to children aged under 16 years. Specifically, if the child is aged under 16 years and is being supported by a parent or guardian, the parent or guardian must be informed, or the child may apply to the Children’s Court for an order that it is not suitable to involve her parent or guardian and that the abortion should proceed.</w:t>
      </w:r>
      <w:r>
        <w:rPr>
          <w:rStyle w:val="Rimandonotadichiusura"/>
        </w:rPr>
        <w:endnoteReference w:id="683"/>
      </w:r>
      <w:r>
        <w:t xml:space="preserve"> </w:t>
      </w:r>
    </w:p>
    <w:tbl>
      <w:tblPr>
        <w:tblStyle w:val="Grigliatabella"/>
        <w:tblW w:w="0" w:type="auto"/>
        <w:shd w:val="clear" w:color="auto" w:fill="E7E6E6" w:themeFill="background2"/>
        <w:tblCellMar>
          <w:left w:w="284" w:type="dxa"/>
          <w:right w:w="284" w:type="dxa"/>
        </w:tblCellMar>
        <w:tblLook w:val="04A0" w:firstRow="1" w:lastRow="0" w:firstColumn="1" w:lastColumn="0" w:noHBand="0" w:noVBand="1"/>
      </w:tblPr>
      <w:tblGrid>
        <w:gridCol w:w="9060"/>
      </w:tblGrid>
      <w:tr w:rsidR="00F05024" w:rsidTr="007F14C2">
        <w:tc>
          <w:tcPr>
            <w:tcW w:w="9060" w:type="dxa"/>
            <w:shd w:val="clear" w:color="auto" w:fill="E7E6E6" w:themeFill="background2"/>
          </w:tcPr>
          <w:p w:rsidR="00F05024" w:rsidRPr="005A0C17" w:rsidRDefault="00F05024" w:rsidP="00F763BE">
            <w:r w:rsidRPr="00DB1C2F">
              <w:rPr>
                <w:b/>
              </w:rPr>
              <w:t xml:space="preserve">Recommendation </w:t>
            </w:r>
            <w:r>
              <w:rPr>
                <w:b/>
              </w:rPr>
              <w:t>11</w:t>
            </w:r>
            <w:r w:rsidRPr="00DB1C2F">
              <w:t>:</w:t>
            </w:r>
            <w:r w:rsidRPr="007E0DD0">
              <w:t xml:space="preserve"> </w:t>
            </w:r>
            <w:r>
              <w:t>The Australian Government</w:t>
            </w:r>
            <w:r w:rsidRPr="007E0DD0">
              <w:t xml:space="preserve">, through the Council of Australian Governments’ Health Council, </w:t>
            </w:r>
            <w:r>
              <w:t xml:space="preserve">should work with states and territories to </w:t>
            </w:r>
            <w:r w:rsidRPr="007E0DD0">
              <w:t>review laws, policies and practices</w:t>
            </w:r>
            <w:r>
              <w:t xml:space="preserve">, so </w:t>
            </w:r>
            <w:r w:rsidRPr="007E0DD0">
              <w:t>that all children and young people who are determined to be Gillick competent have access to prescribed medical forms of contraception and abortion</w:t>
            </w:r>
            <w:r>
              <w:t>.</w:t>
            </w:r>
          </w:p>
        </w:tc>
      </w:tr>
    </w:tbl>
    <w:p w:rsidR="00F05024" w:rsidRDefault="00F05024" w:rsidP="00150A9B">
      <w:pPr>
        <w:pStyle w:val="Titolo3"/>
        <w:spacing w:before="400"/>
      </w:pPr>
      <w:bookmarkStart w:id="131" w:name="_Toc500308823"/>
      <w:r>
        <w:t>Access to education</w:t>
      </w:r>
      <w:bookmarkEnd w:id="131"/>
    </w:p>
    <w:p w:rsidR="00F05024" w:rsidRDefault="00F05024" w:rsidP="00F05024">
      <w:r w:rsidRPr="00867330">
        <w:t>Appendix 13</w:t>
      </w:r>
      <w:r>
        <w:t xml:space="preserve"> sets out the laws relevant to access to education for children and young people who are parents or are pregnant.</w:t>
      </w:r>
    </w:p>
    <w:p w:rsidR="00F05024" w:rsidRDefault="00F05024" w:rsidP="00F05024">
      <w:r>
        <w:t>Most state and territor</w:t>
      </w:r>
      <w:r w:rsidR="007C4B47">
        <w:t>y</w:t>
      </w:r>
      <w:r>
        <w:t xml:space="preserve"> education laws specify that providing access to education for all children is a principle or objective of the law. The education laws in certain jurisdictions recognise that some children require special assistance or adjustments to ensure their access to education. For example: </w:t>
      </w:r>
    </w:p>
    <w:p w:rsidR="00F05024" w:rsidRDefault="00F05024" w:rsidP="00222517">
      <w:pPr>
        <w:pStyle w:val="Paragrafoelenco"/>
        <w:numPr>
          <w:ilvl w:val="0"/>
          <w:numId w:val="185"/>
        </w:numPr>
        <w:spacing w:before="0" w:after="200"/>
        <w:contextualSpacing w:val="0"/>
        <w:jc w:val="left"/>
      </w:pPr>
      <w:r>
        <w:t xml:space="preserve">QLD’s </w:t>
      </w:r>
      <w:r w:rsidRPr="003E056D">
        <w:rPr>
          <w:i/>
        </w:rPr>
        <w:t>Education (General Provisions Act) 2006</w:t>
      </w:r>
      <w:r>
        <w:t xml:space="preserve"> provides, as a guiding principle, that ‘the State should develop practical ways to improve the social, educational and employment outcomes of young people, including, in particular, those who are at risk of disengaging from education and training’.</w:t>
      </w:r>
      <w:r>
        <w:rPr>
          <w:rStyle w:val="Rimandonotadichiusura"/>
        </w:rPr>
        <w:endnoteReference w:id="684"/>
      </w:r>
    </w:p>
    <w:p w:rsidR="00F05024" w:rsidRDefault="00F05024" w:rsidP="00222517">
      <w:pPr>
        <w:pStyle w:val="Paragrafoelenco"/>
        <w:numPr>
          <w:ilvl w:val="0"/>
          <w:numId w:val="185"/>
        </w:numPr>
        <w:spacing w:before="0" w:after="200"/>
        <w:contextualSpacing w:val="0"/>
        <w:jc w:val="left"/>
      </w:pPr>
      <w:r>
        <w:t>Tas</w:t>
      </w:r>
      <w:r w:rsidR="00FC5DB9">
        <w:t>mania</w:t>
      </w:r>
      <w:r>
        <w:t>’</w:t>
      </w:r>
      <w:r w:rsidR="00FC5DB9">
        <w:t>s</w:t>
      </w:r>
      <w:r>
        <w:t xml:space="preserve"> </w:t>
      </w:r>
      <w:r w:rsidRPr="003E056D">
        <w:rPr>
          <w:i/>
        </w:rPr>
        <w:t>Education Act 2016</w:t>
      </w:r>
      <w:r>
        <w:t xml:space="preserve"> allows a Secretary to determine applications for the provision of distance education, taking into account whether the child is pregnant or is otherwise unable to attend school on a regular basis.</w:t>
      </w:r>
      <w:r>
        <w:rPr>
          <w:rStyle w:val="Rimandonotadichiusura"/>
        </w:rPr>
        <w:endnoteReference w:id="685"/>
      </w:r>
    </w:p>
    <w:p w:rsidR="00F05024" w:rsidRDefault="00F05024" w:rsidP="00222517">
      <w:pPr>
        <w:pStyle w:val="Paragrafoelenco"/>
        <w:numPr>
          <w:ilvl w:val="0"/>
          <w:numId w:val="185"/>
        </w:numPr>
        <w:spacing w:before="0" w:after="200"/>
        <w:contextualSpacing w:val="0"/>
        <w:jc w:val="left"/>
      </w:pPr>
      <w:r>
        <w:t xml:space="preserve">NT’s </w:t>
      </w:r>
      <w:r w:rsidRPr="003E056D">
        <w:rPr>
          <w:i/>
        </w:rPr>
        <w:t>Education Act 2015</w:t>
      </w:r>
      <w:r>
        <w:t xml:space="preserve"> states that the Minister may make any provision that the Minister considers necessary or desirable about the education of children with ‘special learning needs’. This includes a child ‘whose educational progress, because of a special factor other than a disability, is likely to suffer unless they have access to special educational arrangements’.</w:t>
      </w:r>
      <w:r>
        <w:rPr>
          <w:rStyle w:val="Rimandonotadichiusura"/>
        </w:rPr>
        <w:endnoteReference w:id="686"/>
      </w:r>
    </w:p>
    <w:p w:rsidR="00F05024" w:rsidRDefault="00F05024" w:rsidP="00222517">
      <w:pPr>
        <w:pStyle w:val="Paragrafoelenco"/>
        <w:numPr>
          <w:ilvl w:val="0"/>
          <w:numId w:val="185"/>
        </w:numPr>
        <w:spacing w:before="0" w:after="200"/>
        <w:contextualSpacing w:val="0"/>
        <w:jc w:val="left"/>
      </w:pPr>
      <w:r w:rsidRPr="00E2380A">
        <w:t>ACT’s</w:t>
      </w:r>
      <w:r w:rsidRPr="003E056D">
        <w:rPr>
          <w:i/>
        </w:rPr>
        <w:t xml:space="preserve"> Education Act 2004</w:t>
      </w:r>
      <w:r>
        <w:t xml:space="preserve"> requires principals of government schools to set up procedures to encourage students to attend school regularly and refer children to support services that encourage them to attend school regularly.</w:t>
      </w:r>
      <w:r>
        <w:rPr>
          <w:rStyle w:val="Rimandonotadichiusura"/>
        </w:rPr>
        <w:endnoteReference w:id="687"/>
      </w:r>
      <w:r w:rsidR="005F203B">
        <w:t xml:space="preserve"> </w:t>
      </w:r>
    </w:p>
    <w:p w:rsidR="00F05024" w:rsidRDefault="00F05024" w:rsidP="00F05024">
      <w:r>
        <w:t>However, generally state and territor</w:t>
      </w:r>
      <w:r w:rsidR="007C4B47">
        <w:t>y</w:t>
      </w:r>
      <w:r>
        <w:t xml:space="preserve"> education laws do not require schools to make necessary adjustments or provide necessary support to ensure access to education for all children, including those who are pregnant or are parents.</w:t>
      </w:r>
    </w:p>
    <w:p w:rsidR="00F05024" w:rsidRDefault="00F05024" w:rsidP="00F05024">
      <w:r>
        <w:t>Some of the state and territory education laws provide for broad grounds of suspension or expulsion of a student, which could be used to suspend or expel a child or young person on the basis of their being pregnant or becoming a parent. For example, in Q</w:t>
      </w:r>
      <w:r w:rsidR="007C4B47">
        <w:t>ld</w:t>
      </w:r>
      <w:r>
        <w:t xml:space="preserve"> a principal of a state school may suspend or exclude a student from school if they are reasonably satisfied that a ground exists for suspension or exclusion, which includes ‘conduct that adversely affects, or is likely to adversely affect, other students’ or ‘the good order and management of the school’.</w:t>
      </w:r>
      <w:r>
        <w:rPr>
          <w:rStyle w:val="Rimandonotadichiusura"/>
        </w:rPr>
        <w:endnoteReference w:id="688"/>
      </w:r>
      <w:r>
        <w:t xml:space="preserve"> It is also a ground for exclusion if ‘the principal is reasonably satisfied it would not be in the best interests of other students or of staff for the student to be enrolled at the school’.</w:t>
      </w:r>
      <w:r>
        <w:rPr>
          <w:rStyle w:val="Rimandonotadichiusura"/>
        </w:rPr>
        <w:endnoteReference w:id="689"/>
      </w:r>
      <w:r w:rsidR="00800DB6">
        <w:t xml:space="preserve"> </w:t>
      </w:r>
    </w:p>
    <w:p w:rsidR="00F05024" w:rsidRDefault="00F05024" w:rsidP="00F05024">
      <w:r>
        <w:t>Similarly, in WA, a student may be suspended for a breach of school discipline, which includes ‘any act or omission that impairs the good order and proper management of the school’.</w:t>
      </w:r>
      <w:r>
        <w:rPr>
          <w:rStyle w:val="Rimandonotadichiusura"/>
        </w:rPr>
        <w:endnoteReference w:id="690"/>
      </w:r>
      <w:r>
        <w:t xml:space="preserve"> </w:t>
      </w:r>
    </w:p>
    <w:p w:rsidR="00F05024" w:rsidRDefault="00F05024" w:rsidP="00F05024">
      <w:r>
        <w:t xml:space="preserve">State and territory and Commonwealth anti-discrimination laws, though formulated differently, prohibit discrimination on the grounds of pregnancy, breastfeeding or parental status/responsibilities, including by denying or limiting the student’s access to education. However, a few jurisdictions provide exceptions to this prohibition.For example, the ACT </w:t>
      </w:r>
      <w:r w:rsidRPr="003E056D">
        <w:rPr>
          <w:i/>
        </w:rPr>
        <w:t>Human Rights Act 2004</w:t>
      </w:r>
      <w:r>
        <w:t xml:space="preserve"> explicitly provides that every child has the right to education appropriate to their needs, but this may be subject to reasonable limits set by law.</w:t>
      </w:r>
      <w:r>
        <w:rPr>
          <w:rStyle w:val="Rimandonotadichiusura"/>
        </w:rPr>
        <w:endnoteReference w:id="691"/>
      </w:r>
      <w:r>
        <w:t xml:space="preserve"> Under Tas</w:t>
      </w:r>
      <w:r w:rsidR="00FC5DB9">
        <w:t>mania</w:t>
      </w:r>
      <w:r>
        <w:t>’</w:t>
      </w:r>
      <w:r w:rsidR="00FC5DB9">
        <w:t>s</w:t>
      </w:r>
      <w:r>
        <w:t xml:space="preserve"> </w:t>
      </w:r>
      <w:r w:rsidRPr="003E056D">
        <w:rPr>
          <w:i/>
        </w:rPr>
        <w:t>Anti-Discrimination Act 1998</w:t>
      </w:r>
      <w:r>
        <w:t>, a person may discriminate against another person on the ground of family responsibilities, parental status, pregnancy or breastfeeding if that other person requires special services and facilities, the supply of which would impose unjustifiable hardship.</w:t>
      </w:r>
      <w:r>
        <w:rPr>
          <w:rStyle w:val="Rimandonotadichiusura"/>
        </w:rPr>
        <w:endnoteReference w:id="692"/>
      </w:r>
      <w:r>
        <w:t xml:space="preserve"> This exception could apply to a child who is pregnant or is a parent and requires special services and facilities to attend school. </w:t>
      </w:r>
    </w:p>
    <w:p w:rsidR="00F05024" w:rsidRPr="00150A9B" w:rsidRDefault="00E46A42" w:rsidP="00150A9B">
      <w:pPr>
        <w:keepLines w:val="0"/>
        <w:spacing w:before="0" w:after="0"/>
        <w:rPr>
          <w:rFonts w:cs="Arial"/>
        </w:rPr>
      </w:pPr>
      <w:r>
        <w:rPr>
          <w:rFonts w:cs="Arial"/>
        </w:rPr>
        <w:br w:type="page"/>
      </w:r>
    </w:p>
    <w:tbl>
      <w:tblPr>
        <w:tblStyle w:val="Grigliatabella"/>
        <w:tblW w:w="0" w:type="auto"/>
        <w:shd w:val="clear" w:color="auto" w:fill="E7E6E6" w:themeFill="background2"/>
        <w:tblCellMar>
          <w:left w:w="284" w:type="dxa"/>
          <w:right w:w="284" w:type="dxa"/>
        </w:tblCellMar>
        <w:tblLook w:val="04A0" w:firstRow="1" w:lastRow="0" w:firstColumn="1" w:lastColumn="0" w:noHBand="0" w:noVBand="1"/>
      </w:tblPr>
      <w:tblGrid>
        <w:gridCol w:w="9060"/>
      </w:tblGrid>
      <w:tr w:rsidR="00F05024" w:rsidTr="007F14C2">
        <w:tc>
          <w:tcPr>
            <w:tcW w:w="9060" w:type="dxa"/>
            <w:shd w:val="clear" w:color="auto" w:fill="E7E6E6" w:themeFill="background2"/>
          </w:tcPr>
          <w:p w:rsidR="00F05024" w:rsidRPr="003E056D" w:rsidRDefault="00F05024" w:rsidP="00F763BE">
            <w:r w:rsidRPr="00DB1C2F">
              <w:rPr>
                <w:b/>
              </w:rPr>
              <w:t xml:space="preserve">Recommendation </w:t>
            </w:r>
            <w:r>
              <w:rPr>
                <w:b/>
              </w:rPr>
              <w:t>12</w:t>
            </w:r>
            <w:r w:rsidRPr="00DB1C2F">
              <w:rPr>
                <w:b/>
              </w:rPr>
              <w:t>:</w:t>
            </w:r>
            <w:r w:rsidRPr="003E056D">
              <w:t xml:space="preserve"> </w:t>
            </w:r>
            <w:r>
              <w:t>The Australian Government</w:t>
            </w:r>
            <w:r w:rsidRPr="003E056D">
              <w:t xml:space="preserve">, through the Council of Australian Governments’ Education Council, </w:t>
            </w:r>
            <w:r>
              <w:t xml:space="preserve">should work with states and territories to </w:t>
            </w:r>
            <w:r w:rsidRPr="003E056D">
              <w:t>review their laws, policies and practices to ensure that:</w:t>
            </w:r>
          </w:p>
          <w:p w:rsidR="00F05024" w:rsidRPr="003E056D" w:rsidRDefault="00F05024" w:rsidP="00B934D7">
            <w:pPr>
              <w:pStyle w:val="Paragrafoelenco"/>
              <w:numPr>
                <w:ilvl w:val="0"/>
                <w:numId w:val="137"/>
              </w:numPr>
              <w:jc w:val="left"/>
            </w:pPr>
            <w:r w:rsidRPr="003E056D">
              <w:t>access to education for all children is guaranteed</w:t>
            </w:r>
          </w:p>
          <w:p w:rsidR="00F05024" w:rsidRPr="003E056D" w:rsidRDefault="00F05024" w:rsidP="00B934D7">
            <w:pPr>
              <w:pStyle w:val="Paragrafoelenco"/>
              <w:numPr>
                <w:ilvl w:val="0"/>
                <w:numId w:val="137"/>
              </w:numPr>
              <w:jc w:val="left"/>
            </w:pPr>
            <w:r w:rsidRPr="003E056D">
              <w:t xml:space="preserve">educational authorities and educational institutions – both public and private – are required to make all necessary adjustments and provide all necessary support to facilitate and ensure access to education for children and young people who are pregnant or are parents </w:t>
            </w:r>
          </w:p>
          <w:p w:rsidR="00F05024" w:rsidRPr="003E056D" w:rsidRDefault="00F05024" w:rsidP="00B934D7">
            <w:pPr>
              <w:pStyle w:val="Paragrafoelenco"/>
              <w:numPr>
                <w:ilvl w:val="0"/>
                <w:numId w:val="137"/>
              </w:numPr>
              <w:jc w:val="left"/>
            </w:pPr>
            <w:r w:rsidRPr="003E056D">
              <w:t>regular publication of information on adjustments made to support children and young people who are pregnant or are parents is required</w:t>
            </w:r>
          </w:p>
          <w:p w:rsidR="00F05024" w:rsidRDefault="00F05024" w:rsidP="00B934D7">
            <w:pPr>
              <w:pStyle w:val="Paragrafoelenco"/>
              <w:numPr>
                <w:ilvl w:val="0"/>
                <w:numId w:val="137"/>
              </w:numPr>
              <w:jc w:val="left"/>
            </w:pPr>
            <w:r w:rsidRPr="003E056D">
              <w:t>suspension, expulsion or denial of education of a child or young person on the ground of their being pregnant or a parent is prohibited.</w:t>
            </w:r>
          </w:p>
        </w:tc>
      </w:tr>
    </w:tbl>
    <w:p w:rsidR="00F05024" w:rsidRDefault="00F05024" w:rsidP="00150A9B"/>
    <w:tbl>
      <w:tblPr>
        <w:tblStyle w:val="Grigliatabella"/>
        <w:tblW w:w="0" w:type="auto"/>
        <w:shd w:val="clear" w:color="auto" w:fill="E7E6E6" w:themeFill="background2"/>
        <w:tblCellMar>
          <w:left w:w="284" w:type="dxa"/>
          <w:right w:w="284" w:type="dxa"/>
        </w:tblCellMar>
        <w:tblLook w:val="04A0" w:firstRow="1" w:lastRow="0" w:firstColumn="1" w:lastColumn="0" w:noHBand="0" w:noVBand="1"/>
      </w:tblPr>
      <w:tblGrid>
        <w:gridCol w:w="9060"/>
      </w:tblGrid>
      <w:tr w:rsidR="00F05024" w:rsidTr="007F14C2">
        <w:tc>
          <w:tcPr>
            <w:tcW w:w="9060" w:type="dxa"/>
            <w:shd w:val="clear" w:color="auto" w:fill="E7E6E6" w:themeFill="background2"/>
          </w:tcPr>
          <w:p w:rsidR="00F05024" w:rsidRDefault="00F05024" w:rsidP="00F763BE">
            <w:r w:rsidRPr="00DB1C2F">
              <w:rPr>
                <w:b/>
              </w:rPr>
              <w:t xml:space="preserve">Recommendation </w:t>
            </w:r>
            <w:r>
              <w:rPr>
                <w:b/>
              </w:rPr>
              <w:t>13</w:t>
            </w:r>
            <w:r w:rsidRPr="00DB1C2F">
              <w:rPr>
                <w:b/>
              </w:rPr>
              <w:t>:</w:t>
            </w:r>
            <w:r>
              <w:rPr>
                <w:b/>
              </w:rPr>
              <w:t xml:space="preserve"> </w:t>
            </w:r>
            <w:r>
              <w:t>The Australian Government</w:t>
            </w:r>
            <w:r w:rsidRPr="003E056D">
              <w:t xml:space="preserve">, through the Council of Australian Governments’ </w:t>
            </w:r>
            <w:r>
              <w:t>Attorneys-General Council</w:t>
            </w:r>
            <w:r w:rsidRPr="003E056D">
              <w:t xml:space="preserve">, </w:t>
            </w:r>
            <w:r>
              <w:t>should work with states and territories to</w:t>
            </w:r>
            <w:r w:rsidRPr="003E056D">
              <w:t xml:space="preserve"> review their laws, policies and practices to ensure that discrimination against a child or young person on the ground of their pregnancy, breastfeeding or parental status/responsibilities is prohibited without exceptions</w:t>
            </w:r>
            <w:r w:rsidR="00F30A88">
              <w:t>.</w:t>
            </w:r>
          </w:p>
        </w:tc>
      </w:tr>
    </w:tbl>
    <w:p w:rsidR="00F05024" w:rsidRDefault="00F05024" w:rsidP="00150A9B">
      <w:pPr>
        <w:pStyle w:val="Titolo3"/>
        <w:spacing w:before="400"/>
      </w:pPr>
      <w:bookmarkStart w:id="132" w:name="_Toc500308824"/>
      <w:r>
        <w:t>Child protection and young parents</w:t>
      </w:r>
      <w:bookmarkEnd w:id="132"/>
    </w:p>
    <w:p w:rsidR="00F05024" w:rsidRDefault="00F05024" w:rsidP="00F05024">
      <w:r>
        <w:t>As part of my investigation, I requested data from each state and territory department responsible for child protection services. This data was requested to understand if and how young parents and their children’s lives intersect with the child protection system. I received responses from the ACT, Tas</w:t>
      </w:r>
      <w:r w:rsidR="00FC5DB9">
        <w:t>mania</w:t>
      </w:r>
      <w:r>
        <w:t>, Q</w:t>
      </w:r>
      <w:r w:rsidR="00F64139">
        <w:t>ld</w:t>
      </w:r>
      <w:r>
        <w:t xml:space="preserve">, WA, SA and the NT. I thank each government for its support in providing information for this investigation. I asked for information on four key issues: </w:t>
      </w:r>
    </w:p>
    <w:p w:rsidR="00F05024" w:rsidRDefault="00F05024" w:rsidP="00222517">
      <w:pPr>
        <w:pStyle w:val="Paragrafoelenco"/>
        <w:numPr>
          <w:ilvl w:val="0"/>
          <w:numId w:val="186"/>
        </w:numPr>
        <w:spacing w:before="0" w:after="200"/>
        <w:ind w:left="1077"/>
        <w:contextualSpacing w:val="0"/>
        <w:jc w:val="left"/>
      </w:pPr>
      <w:r>
        <w:t>child protection laws, policies and practices on reporting or notification (mandatory or non-mandatory) in relation to a young parent and/or their child, and a pregnant young person</w:t>
      </w:r>
    </w:p>
    <w:p w:rsidR="00F05024" w:rsidRDefault="00F05024" w:rsidP="00222517">
      <w:pPr>
        <w:pStyle w:val="Paragrafoelenco"/>
        <w:numPr>
          <w:ilvl w:val="0"/>
          <w:numId w:val="186"/>
        </w:numPr>
        <w:spacing w:before="0" w:after="200"/>
        <w:ind w:left="1077"/>
        <w:contextualSpacing w:val="0"/>
        <w:jc w:val="left"/>
      </w:pPr>
      <w:r>
        <w:t>age of the person captured by the reporting or notification (eg a person under the age of 18 who is a parent and/or their child, or a person under the age of 18 who is pregnant)</w:t>
      </w:r>
    </w:p>
    <w:p w:rsidR="00F05024" w:rsidRDefault="00F05024" w:rsidP="00222517">
      <w:pPr>
        <w:pStyle w:val="Paragrafoelenco"/>
        <w:numPr>
          <w:ilvl w:val="0"/>
          <w:numId w:val="186"/>
        </w:numPr>
        <w:spacing w:before="0" w:after="200"/>
        <w:ind w:left="1077"/>
        <w:contextualSpacing w:val="0"/>
        <w:jc w:val="left"/>
      </w:pPr>
      <w:r>
        <w:t>authorities to which the reporting or notification applies (eg hospitals, health workers, social workers, schools, etc)</w:t>
      </w:r>
    </w:p>
    <w:p w:rsidR="00150A9B" w:rsidRDefault="00150A9B">
      <w:pPr>
        <w:keepLines w:val="0"/>
        <w:spacing w:before="0" w:after="0"/>
      </w:pPr>
      <w:r>
        <w:br w:type="page"/>
      </w:r>
    </w:p>
    <w:p w:rsidR="00F05024" w:rsidRDefault="00F05024" w:rsidP="00222517">
      <w:pPr>
        <w:pStyle w:val="Paragrafoelenco"/>
        <w:numPr>
          <w:ilvl w:val="0"/>
          <w:numId w:val="186"/>
        </w:numPr>
        <w:spacing w:before="0" w:after="200"/>
        <w:ind w:left="1077"/>
        <w:contextualSpacing w:val="0"/>
        <w:jc w:val="left"/>
      </w:pPr>
      <w:r>
        <w:t xml:space="preserve">any available data on young parents and their children, and pregnant young people, in the child protection system in the 2015/16 financial year, including the numbers of: </w:t>
      </w:r>
    </w:p>
    <w:p w:rsidR="00F05024" w:rsidRDefault="00F05024" w:rsidP="00F05024">
      <w:pPr>
        <w:ind w:left="1440"/>
      </w:pPr>
      <w:r>
        <w:t>a.</w:t>
      </w:r>
      <w:r>
        <w:tab/>
        <w:t>young parents and pregnant young people aged 19 years and under who are, or have been, in the child protection system</w:t>
      </w:r>
    </w:p>
    <w:p w:rsidR="00F05024" w:rsidRDefault="00F05024" w:rsidP="00F05024">
      <w:pPr>
        <w:ind w:left="1440"/>
      </w:pPr>
      <w:r>
        <w:t>b.</w:t>
      </w:r>
      <w:r>
        <w:tab/>
        <w:t>children of young parents aged 19 years and under, who are, or have been, in the child protection system.</w:t>
      </w:r>
    </w:p>
    <w:p w:rsidR="00F05024" w:rsidRDefault="00F05024" w:rsidP="00F05024">
      <w:r>
        <w:t>The responses from jurisdictions (Appendix 14) indicate that there are no laws that mandate child protection reporting in relation to young parents, pregnant young people or children of young parents. However, what this information reveals is that the age of mothers is considered a potential risk factor by a few jurisdictions during child protection risk assessment processes. As a result, these processes can enable child protection departments to receive and/or investigate reports that an unborn child may be at risk of harm or neglect.</w:t>
      </w:r>
      <w:r>
        <w:rPr>
          <w:rStyle w:val="Rimandonotadichiusura"/>
        </w:rPr>
        <w:endnoteReference w:id="693"/>
      </w:r>
      <w:r>
        <w:t xml:space="preserve"> Mandatory reporters or voluntary reporters (in most jurisdictions) who are authorised to report child protection risks include the majority of the population whose profession puts them in some contact with children. These reports can warrant the commencement of alerts which are activated on the birth of the child. </w:t>
      </w:r>
    </w:p>
    <w:p w:rsidR="00F05024" w:rsidRDefault="00F05024" w:rsidP="00B87D45">
      <w:r>
        <w:t>That the age of parents can be seen as a risk factor correlates with anecdotal feedback and information from young parents that I have received during my investigation. As young parents reported to me in the consultations, many feel like they are targeted by child protection agencies and are fearful of the removal of their children.</w:t>
      </w:r>
    </w:p>
    <w:p w:rsidR="00F05024" w:rsidRDefault="00F05024" w:rsidP="00150A9B">
      <w:pPr>
        <w:spacing w:after="400"/>
      </w:pPr>
      <w:r>
        <w:t>Young mothers also frequently reported that they do not feel supported by departmental procedures and that they experience discrimination and stigma due to the fact that they are young parents.</w:t>
      </w:r>
      <w:r>
        <w:rPr>
          <w:rStyle w:val="Rimandonotadichiusura"/>
        </w:rPr>
        <w:endnoteReference w:id="694"/>
      </w:r>
      <w:r>
        <w:t xml:space="preserve"> I note that some agencies offer services to support women during their pregnancy. However, it is imperative that these services find ways to constructively engage with young and expectant mothers and fathers, offering these teenagers age-appropriate services tailored to support their specific needs.</w:t>
      </w:r>
    </w:p>
    <w:tbl>
      <w:tblPr>
        <w:tblStyle w:val="Grigliatabella"/>
        <w:tblW w:w="0" w:type="auto"/>
        <w:shd w:val="clear" w:color="auto" w:fill="E7E6E6" w:themeFill="background2"/>
        <w:tblCellMar>
          <w:left w:w="284" w:type="dxa"/>
          <w:right w:w="284" w:type="dxa"/>
        </w:tblCellMar>
        <w:tblLook w:val="04A0" w:firstRow="1" w:lastRow="0" w:firstColumn="1" w:lastColumn="0" w:noHBand="0" w:noVBand="1"/>
      </w:tblPr>
      <w:tblGrid>
        <w:gridCol w:w="9060"/>
      </w:tblGrid>
      <w:tr w:rsidR="00F05024" w:rsidTr="007F14C2">
        <w:tc>
          <w:tcPr>
            <w:tcW w:w="9060" w:type="dxa"/>
            <w:shd w:val="clear" w:color="auto" w:fill="E7E6E6" w:themeFill="background2"/>
          </w:tcPr>
          <w:p w:rsidR="00F05024" w:rsidRDefault="00F05024" w:rsidP="00F763BE">
            <w:r w:rsidRPr="00DB1C2F">
              <w:rPr>
                <w:b/>
              </w:rPr>
              <w:t xml:space="preserve">Recommendation </w:t>
            </w:r>
            <w:r>
              <w:rPr>
                <w:b/>
              </w:rPr>
              <w:t>14</w:t>
            </w:r>
            <w:r w:rsidRPr="00DB1C2F">
              <w:rPr>
                <w:b/>
              </w:rPr>
              <w:t>:</w:t>
            </w:r>
            <w:r w:rsidRPr="005D6E24">
              <w:rPr>
                <w:b/>
              </w:rPr>
              <w:t xml:space="preserve"> </w:t>
            </w:r>
            <w:r>
              <w:t>S</w:t>
            </w:r>
            <w:r w:rsidRPr="003E056D">
              <w:t xml:space="preserve">tate and territory governments </w:t>
            </w:r>
            <w:r>
              <w:t xml:space="preserve">should </w:t>
            </w:r>
            <w:r w:rsidRPr="003E056D">
              <w:t xml:space="preserve">review their policies and practices to ensure that young parents are not targeted </w:t>
            </w:r>
            <w:r>
              <w:t>on the basis of their age as an at-</w:t>
            </w:r>
            <w:r w:rsidRPr="003E056D">
              <w:t>risk group for child protection</w:t>
            </w:r>
            <w:r w:rsidRPr="0096344B">
              <w:t xml:space="preserve"> assessment purposes.</w:t>
            </w:r>
          </w:p>
        </w:tc>
      </w:tr>
    </w:tbl>
    <w:p w:rsidR="00F05024" w:rsidRDefault="00F05024" w:rsidP="00150A9B"/>
    <w:tbl>
      <w:tblPr>
        <w:tblStyle w:val="Grigliatabella"/>
        <w:tblW w:w="0" w:type="auto"/>
        <w:shd w:val="clear" w:color="auto" w:fill="E7E6E6" w:themeFill="background2"/>
        <w:tblCellMar>
          <w:left w:w="284" w:type="dxa"/>
          <w:right w:w="284" w:type="dxa"/>
        </w:tblCellMar>
        <w:tblLook w:val="04A0" w:firstRow="1" w:lastRow="0" w:firstColumn="1" w:lastColumn="0" w:noHBand="0" w:noVBand="1"/>
      </w:tblPr>
      <w:tblGrid>
        <w:gridCol w:w="9060"/>
      </w:tblGrid>
      <w:tr w:rsidR="00F05024" w:rsidTr="007F14C2">
        <w:tc>
          <w:tcPr>
            <w:tcW w:w="9060" w:type="dxa"/>
            <w:shd w:val="clear" w:color="auto" w:fill="E7E6E6" w:themeFill="background2"/>
          </w:tcPr>
          <w:p w:rsidR="00F05024" w:rsidRDefault="00F05024" w:rsidP="00F763BE">
            <w:r w:rsidRPr="00DB1C2F">
              <w:rPr>
                <w:b/>
              </w:rPr>
              <w:t xml:space="preserve">Recommendation </w:t>
            </w:r>
            <w:r>
              <w:rPr>
                <w:b/>
              </w:rPr>
              <w:t>15</w:t>
            </w:r>
            <w:r w:rsidRPr="00DB1C2F">
              <w:rPr>
                <w:b/>
              </w:rPr>
              <w:t>:</w:t>
            </w:r>
            <w:r w:rsidRPr="005D6E24">
              <w:rPr>
                <w:b/>
              </w:rPr>
              <w:t xml:space="preserve"> </w:t>
            </w:r>
            <w:r>
              <w:t>S</w:t>
            </w:r>
            <w:r w:rsidRPr="00424E9A">
              <w:t xml:space="preserve">tate and territory governments </w:t>
            </w:r>
            <w:r>
              <w:t xml:space="preserve">should </w:t>
            </w:r>
            <w:r w:rsidRPr="00424E9A">
              <w:t xml:space="preserve">review their policies and practices to ensure that young parents </w:t>
            </w:r>
            <w:r>
              <w:t xml:space="preserve">receive services designed to support them in their parenting role. </w:t>
            </w:r>
          </w:p>
        </w:tc>
      </w:tr>
    </w:tbl>
    <w:p w:rsidR="00F05024" w:rsidRDefault="00F05024" w:rsidP="00150A9B"/>
    <w:p w:rsidR="00F05024" w:rsidRDefault="00F05024" w:rsidP="00F05024">
      <w:r>
        <w:t>Based on the information I received from states and territories, there is a varying amount and type of data collected by each jurisdiction concerning the numbers of young parents within each child protection system and the numbers of their children who have been in the care of the state. What is clear from the little data available is that significant numbers of children in the care system are the children of teenage parents, and that many young people in care go on to be teenage parents themselves.</w:t>
      </w:r>
    </w:p>
    <w:p w:rsidR="00F05024" w:rsidRDefault="00F05024" w:rsidP="00150A9B">
      <w:pPr>
        <w:spacing w:after="400"/>
      </w:pPr>
      <w:r>
        <w:t xml:space="preserve">This national inconsistency in data collection weakens the knowledge base needed to respond effectively to the needs and circumstances of this vulnerable group of young people. Some jurisdictions do not collect any information regarding the parents of children in care and others record different pieces of information. For this reason, it is critical that national, state and territory child protection departments are able to collect nationally consistent data on the details of children in care and protection services who have teenage parents and how many of those children go on to become young parents themselves. </w:t>
      </w:r>
    </w:p>
    <w:tbl>
      <w:tblPr>
        <w:tblStyle w:val="Grigliatabella"/>
        <w:tblW w:w="0" w:type="auto"/>
        <w:shd w:val="clear" w:color="auto" w:fill="E7E6E6" w:themeFill="background2"/>
        <w:tblCellMar>
          <w:left w:w="284" w:type="dxa"/>
          <w:right w:w="284" w:type="dxa"/>
        </w:tblCellMar>
        <w:tblLook w:val="04A0" w:firstRow="1" w:lastRow="0" w:firstColumn="1" w:lastColumn="0" w:noHBand="0" w:noVBand="1"/>
      </w:tblPr>
      <w:tblGrid>
        <w:gridCol w:w="9060"/>
      </w:tblGrid>
      <w:tr w:rsidR="00F05024" w:rsidTr="007F14C2">
        <w:tc>
          <w:tcPr>
            <w:tcW w:w="9060" w:type="dxa"/>
            <w:shd w:val="clear" w:color="auto" w:fill="E7E6E6" w:themeFill="background2"/>
          </w:tcPr>
          <w:p w:rsidR="00F05024" w:rsidRPr="00A9051F" w:rsidRDefault="00F05024" w:rsidP="00F763BE">
            <w:r w:rsidRPr="00DB1C2F">
              <w:rPr>
                <w:b/>
              </w:rPr>
              <w:t xml:space="preserve">Recommendation </w:t>
            </w:r>
            <w:r>
              <w:rPr>
                <w:b/>
              </w:rPr>
              <w:t>16</w:t>
            </w:r>
            <w:r w:rsidRPr="00DB1C2F">
              <w:rPr>
                <w:b/>
              </w:rPr>
              <w:t>:</w:t>
            </w:r>
            <w:r>
              <w:rPr>
                <w:b/>
              </w:rPr>
              <w:t xml:space="preserve"> </w:t>
            </w:r>
            <w:r w:rsidRPr="003E056D">
              <w:t xml:space="preserve">As part of the </w:t>
            </w:r>
            <w:r w:rsidRPr="003E056D">
              <w:rPr>
                <w:i/>
              </w:rPr>
              <w:t>National Framework for Protecting Australia’s Children</w:t>
            </w:r>
            <w:r w:rsidRPr="003E056D">
              <w:t xml:space="preserve">, </w:t>
            </w:r>
            <w:r>
              <w:t>Commonwealth, s</w:t>
            </w:r>
            <w:r w:rsidRPr="003E056D">
              <w:t xml:space="preserve">tate and </w:t>
            </w:r>
            <w:r>
              <w:t>t</w:t>
            </w:r>
            <w:r w:rsidRPr="003E056D">
              <w:t xml:space="preserve">erritory governments </w:t>
            </w:r>
            <w:r>
              <w:t xml:space="preserve">should collect </w:t>
            </w:r>
            <w:r w:rsidRPr="003E056D">
              <w:t>nationally consistent data on children receiving child protection and care services who have teen</w:t>
            </w:r>
            <w:r>
              <w:t>age</w:t>
            </w:r>
            <w:r w:rsidRPr="003E056D">
              <w:t xml:space="preserve"> parents and on young people receiving child protection and care services who have chi</w:t>
            </w:r>
            <w:r>
              <w:t xml:space="preserve">ldren as teenagers themselves. </w:t>
            </w:r>
          </w:p>
        </w:tc>
      </w:tr>
    </w:tbl>
    <w:p w:rsidR="00F05024" w:rsidRDefault="00F05024" w:rsidP="00150A9B">
      <w:pPr>
        <w:spacing w:before="400"/>
      </w:pPr>
      <w:r>
        <w:t>I will conclude this report with a final word from a young parent we spoke to during the project, who said ‘w</w:t>
      </w:r>
      <w:r w:rsidRPr="00F0049E">
        <w:t>ith support you’re m</w:t>
      </w:r>
      <w:r>
        <w:t>ore likely not to be a statistic’.</w:t>
      </w:r>
    </w:p>
    <w:p w:rsidR="00F05024" w:rsidRDefault="00B87D45" w:rsidP="00B87D45">
      <w:pPr>
        <w:keepLines w:val="0"/>
        <w:spacing w:before="0" w:after="0"/>
      </w:pPr>
      <w:r>
        <w:br w:type="page"/>
      </w:r>
    </w:p>
    <w:p w:rsidR="00F05024" w:rsidRDefault="00F05024" w:rsidP="00F05024">
      <w:pPr>
        <w:spacing w:before="0" w:after="0"/>
        <w:rPr>
          <w:rFonts w:cs="Arial"/>
        </w:rPr>
      </w:pPr>
    </w:p>
    <w:p w:rsidR="00F05024" w:rsidRDefault="00F05024" w:rsidP="00EE607C">
      <w:pPr>
        <w:spacing w:before="0" w:after="0"/>
        <w:rPr>
          <w:rFonts w:cs="Arial"/>
        </w:rPr>
        <w:sectPr w:rsidR="00F05024" w:rsidSect="003716C0">
          <w:endnotePr>
            <w:numFmt w:val="decimal"/>
            <w:numRestart w:val="eachSect"/>
          </w:endnotePr>
          <w:pgSz w:w="11906" w:h="16838" w:code="9"/>
          <w:pgMar w:top="1134" w:right="1418" w:bottom="1134" w:left="1418" w:header="709" w:footer="709" w:gutter="0"/>
          <w:cols w:space="708"/>
          <w:docGrid w:linePitch="360"/>
        </w:sectPr>
      </w:pPr>
    </w:p>
    <w:p w:rsidR="00B30072" w:rsidRPr="00B30072" w:rsidRDefault="0019651A" w:rsidP="00B30072">
      <w:pPr>
        <w:pStyle w:val="Titolo1"/>
      </w:pPr>
      <w:bookmarkStart w:id="133" w:name="_Toc500308825"/>
      <w:r>
        <w:t>Children’s safety and w</w:t>
      </w:r>
      <w:r w:rsidR="00B30072">
        <w:t>ellbeing</w:t>
      </w:r>
      <w:bookmarkEnd w:id="133"/>
    </w:p>
    <w:p w:rsidR="00EE7572" w:rsidRDefault="00F57BC1" w:rsidP="009721C7">
      <w:pPr>
        <w:pStyle w:val="41"/>
      </w:pPr>
      <w:bookmarkStart w:id="134" w:name="_Toc498694119"/>
      <w:bookmarkStart w:id="135" w:name="_Toc498696842"/>
      <w:bookmarkStart w:id="136" w:name="_Toc500308826"/>
      <w:bookmarkEnd w:id="134"/>
      <w:bookmarkEnd w:id="135"/>
      <w:r>
        <w:t>Introduction</w:t>
      </w:r>
      <w:bookmarkEnd w:id="136"/>
    </w:p>
    <w:p w:rsidR="00BA4057" w:rsidRDefault="00BA4057" w:rsidP="00BA4057">
      <w:r>
        <w:t>Children have a right to be safe from harm, and to be properly protected from violence, abuse and neglect.</w:t>
      </w:r>
    </w:p>
    <w:p w:rsidR="00BA4057" w:rsidRDefault="00BA4057" w:rsidP="00BA4057">
      <w:r>
        <w:t>This chapter discusses what we know about child harm in Australia, and about ways of keeping children safe from harm, with a particular focus on children and young people in organisational settings. This chapter:</w:t>
      </w:r>
    </w:p>
    <w:p w:rsidR="00BA4057" w:rsidRDefault="00BA4057" w:rsidP="00B934D7">
      <w:pPr>
        <w:pStyle w:val="Paragrafoelenco"/>
        <w:numPr>
          <w:ilvl w:val="0"/>
          <w:numId w:val="138"/>
        </w:numPr>
        <w:jc w:val="left"/>
      </w:pPr>
      <w:r>
        <w:t>highlights some data on child harm, noting trends and gaps in available information</w:t>
      </w:r>
    </w:p>
    <w:p w:rsidR="00BA4057" w:rsidRDefault="00BA4057" w:rsidP="00B934D7">
      <w:pPr>
        <w:pStyle w:val="Paragrafoelenco"/>
        <w:numPr>
          <w:ilvl w:val="0"/>
          <w:numId w:val="138"/>
        </w:numPr>
        <w:jc w:val="left"/>
      </w:pPr>
      <w:r>
        <w:t>describes some recent inquiries relevant to children’s safety, including the Royal Commission into Institutional Responses to Child Sexual Abuse (the Royal Commission)</w:t>
      </w:r>
    </w:p>
    <w:p w:rsidR="00BA4057" w:rsidRDefault="00BA4057" w:rsidP="00B934D7">
      <w:pPr>
        <w:pStyle w:val="Paragrafoelenco"/>
        <w:numPr>
          <w:ilvl w:val="0"/>
          <w:numId w:val="138"/>
        </w:numPr>
        <w:jc w:val="left"/>
      </w:pPr>
      <w:r>
        <w:t>discusses some recent research on child safety in organisational settings, including children’s views of safety</w:t>
      </w:r>
    </w:p>
    <w:p w:rsidR="00BA4057" w:rsidRDefault="00BA4057" w:rsidP="00B934D7">
      <w:pPr>
        <w:pStyle w:val="Paragrafoelenco"/>
        <w:numPr>
          <w:ilvl w:val="0"/>
          <w:numId w:val="138"/>
        </w:numPr>
        <w:jc w:val="left"/>
      </w:pPr>
      <w:r>
        <w:t>outlines my current work developing a national set of principles for child safe organisations.</w:t>
      </w:r>
    </w:p>
    <w:p w:rsidR="00BA4057" w:rsidRDefault="00BA4057" w:rsidP="00BA4057">
      <w:r>
        <w:t>Since 2012, the Royal Commission has conducted an extensive program of private sessions, public hearings, and policy and research on child sexual abuse in institutional contexts. The Royal Commission’s work, both its activities to date and its final report submitted to the Governor General on 15 December 2017, is a significant source of information and understanding on how to keep children safe from child sexual abuse in institutions. Although the work of the Royal Commission focuses on institutional child sexual abuse, its recommendations on child safe organisations are likely to improve prevention and responses to all forms of child abuse and harm in the coming years.</w:t>
      </w:r>
      <w:r>
        <w:rPr>
          <w:rStyle w:val="Rimandonotadichiusura"/>
        </w:rPr>
        <w:endnoteReference w:id="695"/>
      </w:r>
      <w:r w:rsidR="009721C7">
        <w:t xml:space="preserve"> </w:t>
      </w:r>
    </w:p>
    <w:p w:rsidR="00BA4057" w:rsidRDefault="00BA4057" w:rsidP="00BA4057">
      <w:r>
        <w:t xml:space="preserve">In this context, the following chapter outlines the work I am leading to embed child safe cultures and children’s rights knowledge throughout organisations that work for and with children and young people across Australia. </w:t>
      </w:r>
    </w:p>
    <w:p w:rsidR="00BA4057" w:rsidRDefault="00BA4057" w:rsidP="00BA4057">
      <w:r>
        <w:t xml:space="preserve">A core element of this work is developing the National Statement of Principles for Child Safe Organisations (the National Principles). Community Services Ministers from all jurisdictions recently endorsed draft National Principles for consultation with all key sectors that provide services to, or work with, children and young people. They include health, sport and recreation, education, early childhood, out-of-home care (OOHC), justice and detention services for children, arts and entertainment, disability services, religious services, local government, accommodation and residential services for children, transport services for children, coaching and tuition services, and family and child welfare. </w:t>
      </w:r>
      <w:r w:rsidRPr="00D36D57">
        <w:t>Members of the public, children and young people, parents, carers, families and communities should be confident that organisations working with children provide safe enviro</w:t>
      </w:r>
      <w:r>
        <w:t xml:space="preserve">nments where children’s rights, </w:t>
      </w:r>
      <w:r w:rsidRPr="00D36D57">
        <w:t>needs and interests are met.</w:t>
      </w:r>
    </w:p>
    <w:p w:rsidR="00BA4057" w:rsidRDefault="00BA4057" w:rsidP="00BA4057">
      <w:r>
        <w:t>This initiative has primarily been precipitated by the work of the Royal Commission whose findings will require ongoing action in order to sustain our collective efforts to prevent and respond to child abuse, and harm more generally, wherever it occurs.</w:t>
      </w:r>
    </w:p>
    <w:p w:rsidR="00BA4057" w:rsidRDefault="00BA4057" w:rsidP="009721C7">
      <w:pPr>
        <w:pStyle w:val="41"/>
      </w:pPr>
      <w:bookmarkStart w:id="137" w:name="_Toc500308827"/>
      <w:r>
        <w:t>Understanding child harm in Australia</w:t>
      </w:r>
      <w:bookmarkEnd w:id="137"/>
    </w:p>
    <w:p w:rsidR="00BA4057" w:rsidRDefault="00BA4057" w:rsidP="00BA4057">
      <w:r>
        <w:t xml:space="preserve">Child harm can take many different forms. Harm can include child maltreatment — including emotional, physical and sexual abuse, and neglect. It can also include other types of harm, for example bullying by peers, exposure to physical hazards, exposure to violence, or harm which has occurred because of a lack of awareness of culturally inclusive practices. </w:t>
      </w:r>
    </w:p>
    <w:p w:rsidR="00BA4057" w:rsidRDefault="00BA4057" w:rsidP="00BA4057">
      <w:r>
        <w:t>It can also take place in a variety of settings, including family contexts, early childhood environments, schools, clubs and residential care.</w:t>
      </w:r>
    </w:p>
    <w:p w:rsidR="00BA4057" w:rsidRDefault="00BA4057" w:rsidP="00BA4057">
      <w:r>
        <w:t>These differences mean that we face challenges in gaining a comprehensive picture of the extent and nature of harm experienced by children across Australia. This also means that our measures to improve child safety must take account of the different experiences of children, and the context in which they take place.</w:t>
      </w:r>
    </w:p>
    <w:p w:rsidR="00BA4057" w:rsidRDefault="00BA4057" w:rsidP="00BA4057">
      <w:r>
        <w:t>Although child harm takes a variety of forms, the most comprehensive statistics are those relating to child abuse and neglect in the family. Abuse and neglect are some of the most serious forms of harm to children. While not providing a measure of prevalence, child protection statistics are an important source of proxy information about the extent and type of abuse and neglect experienced by children across Australia. Some other sources of information about child harm are also discussed briefly in this section.</w:t>
      </w:r>
    </w:p>
    <w:p w:rsidR="00BA4057" w:rsidRDefault="00770DD2" w:rsidP="00222517">
      <w:pPr>
        <w:pStyle w:val="Titolo3"/>
        <w:numPr>
          <w:ilvl w:val="2"/>
          <w:numId w:val="204"/>
        </w:numPr>
      </w:pPr>
      <w:bookmarkStart w:id="138" w:name="_Toc500308828"/>
      <w:r>
        <w:t>Child protection statistics</w:t>
      </w:r>
      <w:bookmarkEnd w:id="138"/>
    </w:p>
    <w:p w:rsidR="00770DD2" w:rsidRDefault="00770DD2" w:rsidP="00770DD2">
      <w:r>
        <w:t>The Child Protection National Minimum Data Set (CP NMDS), established in 2013, is an annual collection of information on child protection in Australia. It includes all the data on children who come into contact with state and territory departments responsible for child protection, which is published by the Australian Institute of Health and Welfare (AIHW), and is also used in the Report on Government Services. It requires state and territory child protection agencies to collect and report data to an agreed set of technical specifications.</w:t>
      </w:r>
      <w:r w:rsidRPr="001B2F83">
        <w:rPr>
          <w:rStyle w:val="Rimandonotadichiusura"/>
          <w:rFonts w:cs="Arial"/>
          <w:szCs w:val="20"/>
        </w:rPr>
        <w:endnoteReference w:id="696"/>
      </w:r>
      <w:r>
        <w:t xml:space="preserve"> </w:t>
      </w:r>
    </w:p>
    <w:p w:rsidR="00770DD2" w:rsidRPr="00457EE1" w:rsidRDefault="00770DD2" w:rsidP="00770DD2">
      <w:r w:rsidRPr="00A24BE2">
        <w:rPr>
          <w:rFonts w:cs="Arial"/>
        </w:rPr>
        <w:t>The</w:t>
      </w:r>
      <w:r>
        <w:rPr>
          <w:rFonts w:cs="Arial"/>
        </w:rPr>
        <w:t xml:space="preserve"> CP NMDS</w:t>
      </w:r>
      <w:r w:rsidRPr="00A24BE2">
        <w:rPr>
          <w:rFonts w:cs="Arial"/>
        </w:rPr>
        <w:t xml:space="preserve"> assists us to understand chi</w:t>
      </w:r>
      <w:r>
        <w:rPr>
          <w:rFonts w:cs="Arial"/>
        </w:rPr>
        <w:t>ld abuse and neglect</w:t>
      </w:r>
      <w:r w:rsidRPr="00A24BE2">
        <w:rPr>
          <w:rFonts w:cs="Arial"/>
        </w:rPr>
        <w:t xml:space="preserve"> in A</w:t>
      </w:r>
      <w:r>
        <w:rPr>
          <w:rFonts w:cs="Arial"/>
        </w:rPr>
        <w:t>ustralia and has significantly improved the quality of available information on child protection.</w:t>
      </w:r>
      <w:r w:rsidRPr="00A24BE2">
        <w:rPr>
          <w:rFonts w:cs="Arial"/>
        </w:rPr>
        <w:t xml:space="preserve"> </w:t>
      </w:r>
      <w:r>
        <w:rPr>
          <w:rFonts w:cs="Arial"/>
        </w:rPr>
        <w:t>H</w:t>
      </w:r>
      <w:r w:rsidRPr="00A24BE2">
        <w:rPr>
          <w:rFonts w:cs="Arial"/>
        </w:rPr>
        <w:t>owever</w:t>
      </w:r>
      <w:r>
        <w:rPr>
          <w:rFonts w:cs="Arial"/>
        </w:rPr>
        <w:t>,</w:t>
      </w:r>
      <w:r w:rsidRPr="00A24BE2">
        <w:rPr>
          <w:rFonts w:cs="Arial"/>
        </w:rPr>
        <w:t xml:space="preserve"> the information does not represent the prevalence of child abuse</w:t>
      </w:r>
      <w:r>
        <w:rPr>
          <w:rFonts w:cs="Arial"/>
        </w:rPr>
        <w:t xml:space="preserve"> and neglect</w:t>
      </w:r>
      <w:r w:rsidRPr="00A24BE2">
        <w:rPr>
          <w:rFonts w:cs="Arial"/>
        </w:rPr>
        <w:t>. The data only records cases of child abuse</w:t>
      </w:r>
      <w:r>
        <w:rPr>
          <w:rFonts w:cs="Arial"/>
        </w:rPr>
        <w:t xml:space="preserve"> and neglect</w:t>
      </w:r>
      <w:r w:rsidRPr="00A24BE2">
        <w:rPr>
          <w:rFonts w:cs="Arial"/>
        </w:rPr>
        <w:t xml:space="preserve"> where they ar</w:t>
      </w:r>
      <w:r>
        <w:rPr>
          <w:rFonts w:cs="Arial"/>
        </w:rPr>
        <w:t xml:space="preserve">e detected and </w:t>
      </w:r>
      <w:r w:rsidRPr="00A24BE2">
        <w:rPr>
          <w:rFonts w:cs="Arial"/>
        </w:rPr>
        <w:t>reported</w:t>
      </w:r>
      <w:r>
        <w:rPr>
          <w:rFonts w:cs="Arial"/>
        </w:rPr>
        <w:t>, according to particular legislative definitions</w:t>
      </w:r>
      <w:r w:rsidRPr="00A24BE2">
        <w:rPr>
          <w:rFonts w:cs="Arial"/>
        </w:rPr>
        <w:t xml:space="preserve">. </w:t>
      </w:r>
      <w:r>
        <w:rPr>
          <w:rFonts w:cs="Arial"/>
        </w:rPr>
        <w:t xml:space="preserve">It remains the case that there is no collection in Australia that records the prevalence of child abuse and neglect. This significantly impedes our ability to understand the extent and nature of child abuse and any changes over time. </w:t>
      </w:r>
    </w:p>
    <w:p w:rsidR="00770DD2" w:rsidRPr="00045AF0" w:rsidRDefault="00770DD2" w:rsidP="00770DD2">
      <w:pPr>
        <w:spacing w:before="0" w:after="0"/>
        <w:rPr>
          <w:rFonts w:cs="Arial"/>
        </w:rPr>
      </w:pPr>
      <w:r>
        <w:rPr>
          <w:rFonts w:cs="Arial"/>
        </w:rPr>
        <w:t>The latest available administrative data from 2015–16 was analysed by</w:t>
      </w:r>
      <w:r w:rsidRPr="00A24BE2">
        <w:rPr>
          <w:rFonts w:cs="Arial"/>
        </w:rPr>
        <w:t xml:space="preserve"> the </w:t>
      </w:r>
      <w:r>
        <w:rPr>
          <w:rFonts w:cs="Arial"/>
        </w:rPr>
        <w:t xml:space="preserve">AIHW, with findings published </w:t>
      </w:r>
      <w:r w:rsidRPr="00A24BE2">
        <w:rPr>
          <w:rFonts w:cs="Arial"/>
        </w:rPr>
        <w:t>in</w:t>
      </w:r>
      <w:r>
        <w:rPr>
          <w:rFonts w:cs="Arial"/>
        </w:rPr>
        <w:t xml:space="preserve"> the</w:t>
      </w:r>
      <w:r w:rsidRPr="00A24BE2">
        <w:rPr>
          <w:rFonts w:cs="Arial"/>
        </w:rPr>
        <w:t xml:space="preserve"> </w:t>
      </w:r>
      <w:r>
        <w:rPr>
          <w:rFonts w:cs="Arial"/>
        </w:rPr>
        <w:t>Child Protection Australia 2015–</w:t>
      </w:r>
      <w:r w:rsidRPr="00A24BE2">
        <w:rPr>
          <w:rFonts w:cs="Arial"/>
        </w:rPr>
        <w:t>16</w:t>
      </w:r>
      <w:r>
        <w:rPr>
          <w:rFonts w:cs="Arial"/>
        </w:rPr>
        <w:t xml:space="preserve"> report</w:t>
      </w:r>
      <w:r w:rsidRPr="00A24BE2">
        <w:rPr>
          <w:rFonts w:cs="Arial"/>
        </w:rPr>
        <w:t>.</w:t>
      </w:r>
      <w:r w:rsidRPr="001B2F83">
        <w:rPr>
          <w:rStyle w:val="Rimandonotadichiusura"/>
          <w:rFonts w:cs="Arial"/>
          <w:szCs w:val="20"/>
        </w:rPr>
        <w:endnoteReference w:id="697"/>
      </w:r>
      <w:r w:rsidRPr="00A24BE2">
        <w:rPr>
          <w:rFonts w:cs="Arial"/>
        </w:rPr>
        <w:t xml:space="preserve"> </w:t>
      </w:r>
      <w:r>
        <w:rPr>
          <w:rFonts w:cs="Arial"/>
        </w:rPr>
        <w:t>This section highlights the report’s key findings regarding child protection n</w:t>
      </w:r>
      <w:r w:rsidRPr="00A24BE2">
        <w:rPr>
          <w:rFonts w:cs="Arial"/>
        </w:rPr>
        <w:t>otification</w:t>
      </w:r>
      <w:r>
        <w:rPr>
          <w:rFonts w:cs="Arial"/>
        </w:rPr>
        <w:t>s</w:t>
      </w:r>
      <w:r w:rsidRPr="00A24BE2">
        <w:rPr>
          <w:rFonts w:cs="Arial"/>
        </w:rPr>
        <w:t>, investigation</w:t>
      </w:r>
      <w:r>
        <w:rPr>
          <w:rFonts w:cs="Arial"/>
        </w:rPr>
        <w:t>s</w:t>
      </w:r>
      <w:r w:rsidRPr="00A24BE2">
        <w:rPr>
          <w:rFonts w:cs="Arial"/>
        </w:rPr>
        <w:t xml:space="preserve"> and substantiation</w:t>
      </w:r>
      <w:r>
        <w:rPr>
          <w:rFonts w:cs="Arial"/>
        </w:rPr>
        <w:t>s</w:t>
      </w:r>
      <w:r w:rsidRPr="00045AF0">
        <w:rPr>
          <w:rFonts w:cs="Arial"/>
        </w:rPr>
        <w:t>.</w:t>
      </w:r>
      <w:r w:rsidRPr="001B2F83">
        <w:rPr>
          <w:rStyle w:val="Rimandonotadichiusura"/>
          <w:rFonts w:cs="Arial"/>
          <w:szCs w:val="20"/>
        </w:rPr>
        <w:endnoteReference w:id="698"/>
      </w:r>
    </w:p>
    <w:p w:rsidR="00770DD2" w:rsidRPr="00770DD2" w:rsidRDefault="00770DD2" w:rsidP="009721C7">
      <w:pPr>
        <w:pStyle w:val="Titolo4"/>
      </w:pPr>
      <w:r w:rsidRPr="00770DD2">
        <w:t>Notifications, investigations and substantiations</w:t>
      </w:r>
    </w:p>
    <w:p w:rsidR="00770DD2" w:rsidRPr="00C76F8E" w:rsidRDefault="00770DD2" w:rsidP="00770DD2">
      <w:pPr>
        <w:rPr>
          <w:rFonts w:cs="Arial"/>
        </w:rPr>
      </w:pPr>
      <w:r>
        <w:rPr>
          <w:rFonts w:cs="Arial"/>
        </w:rPr>
        <w:t>‘</w:t>
      </w:r>
      <w:r w:rsidRPr="00C76F8E">
        <w:rPr>
          <w:rFonts w:cs="Arial"/>
        </w:rPr>
        <w:t>Notifications</w:t>
      </w:r>
      <w:r>
        <w:rPr>
          <w:rFonts w:cs="Arial"/>
        </w:rPr>
        <w:t>’</w:t>
      </w:r>
      <w:r w:rsidRPr="00C76F8E">
        <w:rPr>
          <w:rFonts w:cs="Arial"/>
        </w:rPr>
        <w:t xml:space="preserve"> are contacts made to an authorised department alleging child abuse or neglect, child maltreatment or harm to a child.</w:t>
      </w:r>
      <w:r w:rsidRPr="00C76F8E">
        <w:rPr>
          <w:rStyle w:val="Rimandonotadichiusura"/>
          <w:rFonts w:cs="Arial"/>
        </w:rPr>
        <w:endnoteReference w:id="699"/>
      </w:r>
      <w:r>
        <w:rPr>
          <w:rFonts w:cs="Arial"/>
        </w:rPr>
        <w:t xml:space="preserve"> In 2015–</w:t>
      </w:r>
      <w:r w:rsidRPr="00C76F8E">
        <w:rPr>
          <w:rFonts w:cs="Arial"/>
        </w:rPr>
        <w:t>16, there were 355,935 notifications received in Australia, involving 225,487 children.</w:t>
      </w:r>
      <w:r w:rsidRPr="00C76F8E">
        <w:rPr>
          <w:rStyle w:val="Rimandonotadichiusura"/>
          <w:rFonts w:cs="Arial"/>
        </w:rPr>
        <w:endnoteReference w:id="700"/>
      </w:r>
      <w:r>
        <w:rPr>
          <w:rFonts w:cs="Arial"/>
        </w:rPr>
        <w:t xml:space="preserve"> These harms to children primarily involve family members.</w:t>
      </w:r>
      <w:r w:rsidRPr="00C76F8E">
        <w:rPr>
          <w:rFonts w:cs="Arial"/>
        </w:rPr>
        <w:t xml:space="preserve"> </w:t>
      </w:r>
    </w:p>
    <w:p w:rsidR="00770DD2" w:rsidRPr="00C76F8E" w:rsidRDefault="00770DD2" w:rsidP="00770DD2">
      <w:pPr>
        <w:rPr>
          <w:rFonts w:cs="Arial"/>
        </w:rPr>
      </w:pPr>
      <w:r>
        <w:rPr>
          <w:rFonts w:cs="Arial"/>
        </w:rPr>
        <w:t>‘</w:t>
      </w:r>
      <w:r w:rsidRPr="00C76F8E">
        <w:rPr>
          <w:rFonts w:cs="Arial"/>
        </w:rPr>
        <w:t>Investigations</w:t>
      </w:r>
      <w:r>
        <w:rPr>
          <w:rFonts w:cs="Arial"/>
        </w:rPr>
        <w:t>’</w:t>
      </w:r>
      <w:r w:rsidRPr="00C76F8E">
        <w:rPr>
          <w:rFonts w:cs="Arial"/>
        </w:rPr>
        <w:t xml:space="preserve"> are the processes whereby the relevant department obtains more detailed information about a child who is the subject of a notification.</w:t>
      </w:r>
      <w:r w:rsidRPr="00C76F8E">
        <w:rPr>
          <w:rStyle w:val="Rimandonotadichiusura"/>
          <w:rFonts w:cs="Arial"/>
        </w:rPr>
        <w:endnoteReference w:id="701"/>
      </w:r>
      <w:r w:rsidRPr="00C76F8E">
        <w:rPr>
          <w:rFonts w:cs="Arial"/>
        </w:rPr>
        <w:t xml:space="preserve"> </w:t>
      </w:r>
      <w:r>
        <w:rPr>
          <w:rFonts w:cs="Arial"/>
        </w:rPr>
        <w:t>Forty six per cent</w:t>
      </w:r>
      <w:r w:rsidRPr="00C76F8E">
        <w:rPr>
          <w:rFonts w:cs="Arial"/>
        </w:rPr>
        <w:t xml:space="preserve"> of notifications were investigated, representing 164,987 investigations.</w:t>
      </w:r>
      <w:r w:rsidRPr="00C76F8E">
        <w:rPr>
          <w:rStyle w:val="Rimandonotadichiusura"/>
          <w:rFonts w:cs="Arial"/>
        </w:rPr>
        <w:endnoteReference w:id="702"/>
      </w:r>
      <w:r w:rsidRPr="00C76F8E">
        <w:rPr>
          <w:rFonts w:cs="Arial"/>
        </w:rPr>
        <w:t xml:space="preserve"> </w:t>
      </w:r>
    </w:p>
    <w:p w:rsidR="00770DD2" w:rsidRDefault="00770DD2" w:rsidP="00E86C4D">
      <w:pPr>
        <w:spacing w:before="0" w:after="0"/>
        <w:rPr>
          <w:rFonts w:cs="Arial"/>
        </w:rPr>
      </w:pPr>
      <w:r>
        <w:rPr>
          <w:rFonts w:cs="Arial"/>
        </w:rPr>
        <w:t>‘</w:t>
      </w:r>
      <w:r w:rsidRPr="00C76F8E">
        <w:rPr>
          <w:rFonts w:cs="Arial"/>
        </w:rPr>
        <w:t>Substantiations</w:t>
      </w:r>
      <w:r>
        <w:rPr>
          <w:rFonts w:cs="Arial"/>
        </w:rPr>
        <w:t>’</w:t>
      </w:r>
      <w:r w:rsidRPr="00C76F8E">
        <w:rPr>
          <w:rFonts w:cs="Arial"/>
        </w:rPr>
        <w:t xml:space="preserve"> occur when an investigation into child abuse </w:t>
      </w:r>
      <w:r>
        <w:rPr>
          <w:rFonts w:cs="Arial"/>
        </w:rPr>
        <w:t xml:space="preserve">and neglect </w:t>
      </w:r>
      <w:r w:rsidRPr="00C76F8E">
        <w:rPr>
          <w:rFonts w:cs="Arial"/>
        </w:rPr>
        <w:t>has concluded and there is reasonable cause to believe that a child had been, was being or was likely to be abused, neglected or otherwise harmed.</w:t>
      </w:r>
      <w:r w:rsidRPr="00C76F8E">
        <w:rPr>
          <w:rStyle w:val="Rimandonotadichiusura"/>
          <w:rFonts w:cs="Arial"/>
        </w:rPr>
        <w:endnoteReference w:id="703"/>
      </w:r>
      <w:r w:rsidRPr="00C76F8E">
        <w:rPr>
          <w:rFonts w:cs="Arial"/>
        </w:rPr>
        <w:t xml:space="preserve"> Following investigations, there were a total of 60,989 substantiations.</w:t>
      </w:r>
      <w:r w:rsidRPr="00C76F8E">
        <w:rPr>
          <w:rStyle w:val="Rimandonotadichiusura"/>
          <w:rFonts w:cs="Arial"/>
        </w:rPr>
        <w:endnoteReference w:id="704"/>
      </w:r>
      <w:r w:rsidRPr="00C76F8E">
        <w:rPr>
          <w:rFonts w:cs="Arial"/>
        </w:rPr>
        <w:t xml:space="preserve"> </w:t>
      </w:r>
    </w:p>
    <w:p w:rsidR="00770DD2" w:rsidRDefault="00770DD2" w:rsidP="00E86C4D">
      <w:r>
        <w:t>Substantiations are categorised into one of four types of harm. In 2015–16, the percentage breakdown of substantiations was:</w:t>
      </w:r>
    </w:p>
    <w:p w:rsidR="00770DD2" w:rsidRPr="004F41B5" w:rsidRDefault="00770DD2" w:rsidP="00B934D7">
      <w:pPr>
        <w:pStyle w:val="Paragrafoelenco"/>
        <w:numPr>
          <w:ilvl w:val="0"/>
          <w:numId w:val="139"/>
        </w:numPr>
        <w:spacing w:before="0" w:after="0"/>
        <w:jc w:val="left"/>
      </w:pPr>
      <w:r w:rsidRPr="00896125">
        <w:rPr>
          <w:b/>
        </w:rPr>
        <w:t>emotional abuse</w:t>
      </w:r>
      <w:r>
        <w:t xml:space="preserve"> – 45% </w:t>
      </w:r>
    </w:p>
    <w:p w:rsidR="00770DD2" w:rsidRDefault="00770DD2" w:rsidP="00B934D7">
      <w:pPr>
        <w:pStyle w:val="Paragrafoelenco"/>
        <w:numPr>
          <w:ilvl w:val="0"/>
          <w:numId w:val="139"/>
        </w:numPr>
        <w:spacing w:before="0" w:after="0"/>
        <w:jc w:val="left"/>
      </w:pPr>
      <w:r>
        <w:rPr>
          <w:b/>
        </w:rPr>
        <w:t>n</w:t>
      </w:r>
      <w:r w:rsidRPr="001B4BA5">
        <w:rPr>
          <w:b/>
        </w:rPr>
        <w:t>eglect</w:t>
      </w:r>
      <w:r w:rsidRPr="00EA462E">
        <w:t xml:space="preserve"> </w:t>
      </w:r>
      <w:r>
        <w:t xml:space="preserve">– 24.9% </w:t>
      </w:r>
    </w:p>
    <w:p w:rsidR="00770DD2" w:rsidRPr="00DE23E3" w:rsidRDefault="00770DD2" w:rsidP="00B934D7">
      <w:pPr>
        <w:pStyle w:val="Paragrafoelenco"/>
        <w:numPr>
          <w:ilvl w:val="0"/>
          <w:numId w:val="139"/>
        </w:numPr>
        <w:spacing w:before="0" w:after="0"/>
        <w:jc w:val="left"/>
      </w:pPr>
      <w:r>
        <w:rPr>
          <w:b/>
        </w:rPr>
        <w:t xml:space="preserve">physical abuse </w:t>
      </w:r>
      <w:r>
        <w:t>–</w:t>
      </w:r>
      <w:r w:rsidRPr="00DE23E3">
        <w:t xml:space="preserve">18.3% </w:t>
      </w:r>
    </w:p>
    <w:p w:rsidR="00770DD2" w:rsidRPr="004E352E" w:rsidRDefault="00770DD2" w:rsidP="00B934D7">
      <w:pPr>
        <w:pStyle w:val="Paragrafoelenco"/>
        <w:numPr>
          <w:ilvl w:val="0"/>
          <w:numId w:val="139"/>
        </w:numPr>
        <w:spacing w:before="0" w:after="0"/>
        <w:jc w:val="left"/>
      </w:pPr>
      <w:r w:rsidRPr="00DE23E3">
        <w:rPr>
          <w:b/>
        </w:rPr>
        <w:t>sexual abuse</w:t>
      </w:r>
      <w:r>
        <w:t xml:space="preserve"> –12.2%.</w:t>
      </w:r>
      <w:r>
        <w:rPr>
          <w:rStyle w:val="Rimandonotadichiusura"/>
        </w:rPr>
        <w:endnoteReference w:id="705"/>
      </w:r>
      <w:r>
        <w:t xml:space="preserve"> </w:t>
      </w:r>
    </w:p>
    <w:p w:rsidR="00770DD2" w:rsidRDefault="00770DD2" w:rsidP="00770DD2">
      <w:r>
        <w:t>It is important to note that, despite the existence of the CP NMDS, s</w:t>
      </w:r>
      <w:r w:rsidRPr="004F41B5">
        <w:t xml:space="preserve">tates and </w:t>
      </w:r>
      <w:r>
        <w:t>t</w:t>
      </w:r>
      <w:r w:rsidRPr="004F41B5">
        <w:t xml:space="preserve">erritories have different legislation, policies and procedures that affect the data collected and the ability to </w:t>
      </w:r>
      <w:r>
        <w:t>make comparisons</w:t>
      </w:r>
      <w:r w:rsidRPr="004F41B5">
        <w:t xml:space="preserve"> between jurisdictions.</w:t>
      </w:r>
      <w:r>
        <w:rPr>
          <w:rStyle w:val="Rimandonotadichiusura"/>
          <w:rFonts w:cs="Arial"/>
        </w:rPr>
        <w:endnoteReference w:id="706"/>
      </w:r>
      <w:r w:rsidRPr="004F41B5">
        <w:t xml:space="preserve"> </w:t>
      </w:r>
    </w:p>
    <w:p w:rsidR="00770DD2" w:rsidRDefault="00770DD2" w:rsidP="00770DD2">
      <w:pPr>
        <w:pStyle w:val="Titolo3"/>
      </w:pPr>
      <w:bookmarkStart w:id="139" w:name="_Toc500308829"/>
      <w:r>
        <w:t>Other sources of information about child harm</w:t>
      </w:r>
      <w:bookmarkEnd w:id="139"/>
    </w:p>
    <w:p w:rsidR="00770DD2" w:rsidRDefault="00770DD2" w:rsidP="00770DD2">
      <w:r>
        <w:t>Some other recent data sources are relevant to understanding the extent and type of harm experienced by children in Australia.</w:t>
      </w:r>
    </w:p>
    <w:p w:rsidR="00770DD2" w:rsidRDefault="00770DD2" w:rsidP="00770DD2">
      <w:r>
        <w:t xml:space="preserve">The Australian Bureau of Statistics (ABS) Personal Safety Survey collects information about the nature and extent of violence experienced by people aged 18 years and over. The most recent survey was conducted in 2016, with results due for release in late 2017. In its response to my request for information for this report, the ABS advised that it collects the following items: </w:t>
      </w:r>
    </w:p>
    <w:p w:rsidR="00770DD2" w:rsidRPr="008E220E" w:rsidRDefault="00770DD2" w:rsidP="00B934D7">
      <w:pPr>
        <w:pStyle w:val="Paragrafoelenco"/>
        <w:numPr>
          <w:ilvl w:val="0"/>
          <w:numId w:val="140"/>
        </w:numPr>
        <w:spacing w:before="0" w:after="0"/>
        <w:jc w:val="left"/>
      </w:pPr>
      <w:r>
        <w:t>the participant’s r</w:t>
      </w:r>
      <w:r w:rsidRPr="008E220E">
        <w:t xml:space="preserve">elationship to all perpetrator(s) of physical and/or sexual abuse before age 15 </w:t>
      </w:r>
    </w:p>
    <w:p w:rsidR="00770DD2" w:rsidRPr="008E220E" w:rsidRDefault="00770DD2" w:rsidP="00B934D7">
      <w:pPr>
        <w:pStyle w:val="Paragrafoelenco"/>
        <w:numPr>
          <w:ilvl w:val="0"/>
          <w:numId w:val="140"/>
        </w:numPr>
        <w:spacing w:before="0" w:after="0"/>
        <w:jc w:val="left"/>
      </w:pPr>
      <w:r>
        <w:t>w</w:t>
      </w:r>
      <w:r w:rsidRPr="008E220E">
        <w:t>hether</w:t>
      </w:r>
      <w:r>
        <w:t xml:space="preserve"> the</w:t>
      </w:r>
      <w:r w:rsidRPr="008E220E">
        <w:t xml:space="preserve"> </w:t>
      </w:r>
      <w:r>
        <w:t xml:space="preserve">participant </w:t>
      </w:r>
      <w:r w:rsidRPr="008E220E">
        <w:t>witnessed violence toward</w:t>
      </w:r>
      <w:r w:rsidR="00453401">
        <w:t>s</w:t>
      </w:r>
      <w:r w:rsidRPr="008E220E">
        <w:t xml:space="preserve"> mother by a partner before age 15 </w:t>
      </w:r>
    </w:p>
    <w:p w:rsidR="00770DD2" w:rsidRPr="008E220E" w:rsidRDefault="00770DD2" w:rsidP="00B934D7">
      <w:pPr>
        <w:pStyle w:val="Paragrafoelenco"/>
        <w:numPr>
          <w:ilvl w:val="0"/>
          <w:numId w:val="140"/>
        </w:numPr>
        <w:spacing w:before="0" w:after="0"/>
        <w:jc w:val="left"/>
      </w:pPr>
      <w:r>
        <w:t>w</w:t>
      </w:r>
      <w:r w:rsidRPr="008E220E">
        <w:t xml:space="preserve">hether </w:t>
      </w:r>
      <w:r>
        <w:t xml:space="preserve">the participant </w:t>
      </w:r>
      <w:r w:rsidRPr="008E220E">
        <w:t>witnessed violence towards father by a partner before age 15</w:t>
      </w:r>
      <w:r>
        <w:t>.</w:t>
      </w:r>
    </w:p>
    <w:p w:rsidR="00770DD2" w:rsidRDefault="00770DD2" w:rsidP="00770DD2">
      <w:r>
        <w:t>Some data about deliberate harms to children can also be found in coronial information, hospital and police records. For example, the latest national victims of crime data shows that between 1 January and 31 December 2016 there were 23,052 victims of sexual assault and 12,956 victims were aged between 0 and 19 years.</w:t>
      </w:r>
      <w:r>
        <w:rPr>
          <w:rStyle w:val="Rimandonotadichiusura"/>
        </w:rPr>
        <w:endnoteReference w:id="707"/>
      </w:r>
      <w:r>
        <w:t xml:space="preserve"> However, there are significant limitations with this data, stemming, in part, from inconsistent national collection.</w:t>
      </w:r>
    </w:p>
    <w:p w:rsidR="00770DD2" w:rsidRDefault="00770DD2" w:rsidP="00770DD2">
      <w:r>
        <w:t>Information from Kids Helpline informs us about the help-seeking needs and concerns of Australian children and young people. Kids Helpline provides a free, national, confidential counselling and support service for children and young people aged 5–25 years. In 2016, its counsellors received 66,963 counselling contacts, defined as contacts that were seeking help in relation to a specific problem or concern.</w:t>
      </w:r>
      <w:r>
        <w:rPr>
          <w:rStyle w:val="Rimandonotadichiusura"/>
        </w:rPr>
        <w:endnoteReference w:id="708"/>
      </w:r>
      <w:r>
        <w:t xml:space="preserve"> 5,387 (8%) of these contacts were about child abuse, domestic or family violence, or issues related to living in </w:t>
      </w:r>
      <w:r w:rsidR="00453401">
        <w:t>OOHC</w:t>
      </w:r>
      <w:r>
        <w:t>.</w:t>
      </w:r>
      <w:r>
        <w:rPr>
          <w:rStyle w:val="Rimandonotadichiusura"/>
        </w:rPr>
        <w:endnoteReference w:id="709"/>
      </w:r>
      <w:r>
        <w:t xml:space="preserve"> The majority of counselling contacts in this category (69%) concern current abuse or risk of abuse.</w:t>
      </w:r>
      <w:r>
        <w:rPr>
          <w:rStyle w:val="Rimandonotadichiusura"/>
        </w:rPr>
        <w:endnoteReference w:id="710"/>
      </w:r>
    </w:p>
    <w:p w:rsidR="00770DD2" w:rsidRDefault="00770DD2" w:rsidP="00770DD2">
      <w:r>
        <w:t>There is also some information about the type and extent of harm experienced by children in non-familial contexts, such as online harm</w:t>
      </w:r>
      <w:r>
        <w:rPr>
          <w:rStyle w:val="Rimandonotadichiusura"/>
        </w:rPr>
        <w:endnoteReference w:id="711"/>
      </w:r>
      <w:r>
        <w:t xml:space="preserve"> and bullying by peers.</w:t>
      </w:r>
      <w:r>
        <w:rPr>
          <w:rStyle w:val="Rimandonotadichiusura"/>
        </w:rPr>
        <w:endnoteReference w:id="712"/>
      </w:r>
    </w:p>
    <w:p w:rsidR="00770DD2" w:rsidRDefault="00770DD2" w:rsidP="00770DD2">
      <w:r>
        <w:t>In 2016, 3,828 (6%) counselling contacts received by Kids Helpline were about bullying.</w:t>
      </w:r>
      <w:r>
        <w:rPr>
          <w:rStyle w:val="Rimandonotadichiusura"/>
        </w:rPr>
        <w:endnoteReference w:id="713"/>
      </w:r>
      <w:r>
        <w:t xml:space="preserve"> Key observations from the data about bullying contacts include:</w:t>
      </w:r>
    </w:p>
    <w:p w:rsidR="00770DD2" w:rsidRDefault="00770DD2" w:rsidP="00B934D7">
      <w:pPr>
        <w:pStyle w:val="Paragrafoelenco"/>
        <w:numPr>
          <w:ilvl w:val="0"/>
          <w:numId w:val="141"/>
        </w:numPr>
        <w:jc w:val="left"/>
      </w:pPr>
      <w:r>
        <w:t>84% were classified as school-based bullying</w:t>
      </w:r>
    </w:p>
    <w:p w:rsidR="00770DD2" w:rsidRDefault="00770DD2" w:rsidP="00B934D7">
      <w:pPr>
        <w:pStyle w:val="Paragrafoelenco"/>
        <w:numPr>
          <w:ilvl w:val="0"/>
          <w:numId w:val="141"/>
        </w:numPr>
        <w:jc w:val="left"/>
      </w:pPr>
      <w:r>
        <w:t>70% were from children and young people experiencing some form of bullying</w:t>
      </w:r>
    </w:p>
    <w:p w:rsidR="00770DD2" w:rsidRDefault="00770DD2" w:rsidP="00B934D7">
      <w:pPr>
        <w:pStyle w:val="Paragrafoelenco"/>
        <w:numPr>
          <w:ilvl w:val="0"/>
          <w:numId w:val="141"/>
        </w:numPr>
        <w:jc w:val="left"/>
      </w:pPr>
      <w:r>
        <w:t>25% of bullying contacts involved verbal abuse</w:t>
      </w:r>
    </w:p>
    <w:p w:rsidR="00770DD2" w:rsidRDefault="00770DD2" w:rsidP="00B934D7">
      <w:pPr>
        <w:pStyle w:val="Paragrafoelenco"/>
        <w:numPr>
          <w:ilvl w:val="0"/>
          <w:numId w:val="141"/>
        </w:numPr>
        <w:jc w:val="left"/>
      </w:pPr>
      <w:r>
        <w:t>14% of bullying contacts involved exclusion, isolation and/or spreading of rumours.</w:t>
      </w:r>
      <w:r>
        <w:rPr>
          <w:rStyle w:val="Rimandonotadichiusura"/>
        </w:rPr>
        <w:endnoteReference w:id="714"/>
      </w:r>
      <w:r>
        <w:t xml:space="preserve"> </w:t>
      </w:r>
    </w:p>
    <w:p w:rsidR="00770DD2" w:rsidRDefault="00770DD2" w:rsidP="00770DD2">
      <w:r>
        <w:t>From 1 July 2016, counsellors at Kids Helpline began collecting information about whether or not the child or young person indicated that the bullying included an online or texting element. There were 2,016 contacts received about bullying between July and December 2016. Of these contacts, 560 (28%) indicated that the bullying included online or texting elements.</w:t>
      </w:r>
      <w:r>
        <w:rPr>
          <w:rStyle w:val="Rimandonotadichiusura"/>
        </w:rPr>
        <w:endnoteReference w:id="715"/>
      </w:r>
      <w:r>
        <w:t xml:space="preserve"> </w:t>
      </w:r>
    </w:p>
    <w:p w:rsidR="00770DD2" w:rsidRDefault="00770DD2" w:rsidP="00770DD2">
      <w:r>
        <w:t>In November and December 2016, the Office of the eSafety Commissioner and the Department of Education and Training surveyed 2,448 young people aged 12–17 about their online experiences. Twenty five per cent of respondents reported being targets of bullying or hurtful comments online and 57% of respondents reported seeing real violence online that disturbed them.</w:t>
      </w:r>
      <w:r>
        <w:rPr>
          <w:rStyle w:val="Rimandonotadichiusura"/>
        </w:rPr>
        <w:endnoteReference w:id="716"/>
      </w:r>
    </w:p>
    <w:p w:rsidR="00770DD2" w:rsidRDefault="00770DD2" w:rsidP="00770DD2">
      <w:pPr>
        <w:pStyle w:val="Titolo3"/>
      </w:pPr>
      <w:bookmarkStart w:id="140" w:name="_Toc500308830"/>
      <w:r>
        <w:t>Lack of information on child harm</w:t>
      </w:r>
      <w:bookmarkEnd w:id="140"/>
    </w:p>
    <w:p w:rsidR="00C5217A" w:rsidRDefault="00C5217A" w:rsidP="00C5217A">
      <w:r w:rsidRPr="00E6668D">
        <w:t xml:space="preserve">Our ability to understand </w:t>
      </w:r>
      <w:r>
        <w:t>child harm</w:t>
      </w:r>
      <w:r w:rsidRPr="00E6668D">
        <w:t xml:space="preserve"> in Australia is limited by the </w:t>
      </w:r>
      <w:r>
        <w:t xml:space="preserve">lack of information regarding the prevalence of abuse, neglect and other forms of child harm and by the </w:t>
      </w:r>
      <w:r w:rsidRPr="00E6668D">
        <w:t xml:space="preserve">differences between state and territory legislation, policies and practices. </w:t>
      </w:r>
      <w:r>
        <w:t>C</w:t>
      </w:r>
      <w:r w:rsidRPr="00E6668D">
        <w:t xml:space="preserve">onsistency </w:t>
      </w:r>
      <w:r>
        <w:t>in the way data is collected when children come into contact with the child protection system allows us to form some conclusions about the type of harm occurring and the number of children placed in OOHC. However, there is no available information on the overall prevalence of child abuse and neglect, nor the prevalence of other types of harm, or harm occurring in different contexts.</w:t>
      </w:r>
      <w:r w:rsidRPr="006A20F4">
        <w:rPr>
          <w:rStyle w:val="Rimandonotadichiusura"/>
          <w:rFonts w:cs="Arial"/>
        </w:rPr>
        <w:endnoteReference w:id="717"/>
      </w:r>
    </w:p>
    <w:p w:rsidR="00C5217A" w:rsidRDefault="00C5217A" w:rsidP="00C5217A">
      <w:r>
        <w:t>For example, there are limited information sources about the extent and type of harm experienced by children in institutional contexts, such as schools, residential care and recreational organisations. The Royal Commission, in its Interim Report, highlighted the lack of data on the prevalence of institutional child sexual abuse.</w:t>
      </w:r>
      <w:r>
        <w:rPr>
          <w:rStyle w:val="Rimandonotadichiusura"/>
        </w:rPr>
        <w:endnoteReference w:id="718"/>
      </w:r>
      <w:r>
        <w:t xml:space="preserve"> Its final report is likely to provide further information and recommendations about the available data on child sexual abuse in institutions.</w:t>
      </w:r>
    </w:p>
    <w:p w:rsidR="00C5217A" w:rsidRDefault="00C5217A" w:rsidP="00C5217A">
      <w:pPr>
        <w:rPr>
          <w:color w:val="000000"/>
        </w:rPr>
      </w:pPr>
      <w:r>
        <w:rPr>
          <w:color w:val="000000"/>
        </w:rPr>
        <w:t xml:space="preserve">The lack of comprehensive data in Australia </w:t>
      </w:r>
      <w:r w:rsidRPr="000D032F">
        <w:rPr>
          <w:color w:val="000000"/>
        </w:rPr>
        <w:t>significantly impedes our ability to understand the extent and nature of child a</w:t>
      </w:r>
      <w:r>
        <w:rPr>
          <w:color w:val="000000"/>
        </w:rPr>
        <w:t>buse and neglect, and other forms of harm, and how this may have changed over time</w:t>
      </w:r>
      <w:r w:rsidRPr="000D032F">
        <w:rPr>
          <w:color w:val="000000"/>
        </w:rPr>
        <w:t>, as well as the effectiveness of any strategies designed to</w:t>
      </w:r>
      <w:r>
        <w:rPr>
          <w:color w:val="000000"/>
        </w:rPr>
        <w:t xml:space="preserve"> address these harms.</w:t>
      </w:r>
    </w:p>
    <w:p w:rsidR="00C5217A" w:rsidRDefault="00C5217A" w:rsidP="00C5217A">
      <w:pPr>
        <w:spacing w:before="100" w:beforeAutospacing="1" w:after="100" w:afterAutospacing="1"/>
        <w:rPr>
          <w:rFonts w:cs="Arial"/>
          <w:color w:val="000000"/>
        </w:rPr>
      </w:pPr>
      <w:r>
        <w:rPr>
          <w:rFonts w:cs="Arial"/>
        </w:rPr>
        <w:t>If, as a nation, we are serious about preventing and responding to child harm, we need to urgently address this issue. As a start, we should invest in routine collections of data that alert us to the prevalence and incidence of child maltreatment in all settings within the Australian community</w:t>
      </w:r>
      <w:r w:rsidRPr="000D032F">
        <w:rPr>
          <w:rFonts w:cs="Arial"/>
          <w:color w:val="000000"/>
        </w:rPr>
        <w:t>. </w:t>
      </w:r>
    </w:p>
    <w:tbl>
      <w:tblPr>
        <w:tblStyle w:val="Grigliatabella"/>
        <w:tblW w:w="0" w:type="auto"/>
        <w:shd w:val="clear" w:color="auto" w:fill="E7E6E6" w:themeFill="background2"/>
        <w:tblCellMar>
          <w:left w:w="284" w:type="dxa"/>
          <w:right w:w="284" w:type="dxa"/>
        </w:tblCellMar>
        <w:tblLook w:val="04A0" w:firstRow="1" w:lastRow="0" w:firstColumn="1" w:lastColumn="0" w:noHBand="0" w:noVBand="1"/>
      </w:tblPr>
      <w:tblGrid>
        <w:gridCol w:w="9060"/>
      </w:tblGrid>
      <w:tr w:rsidR="00C5217A" w:rsidTr="007F14C2">
        <w:tc>
          <w:tcPr>
            <w:tcW w:w="9060" w:type="dxa"/>
            <w:shd w:val="clear" w:color="auto" w:fill="E7E6E6" w:themeFill="background2"/>
          </w:tcPr>
          <w:p w:rsidR="00C5217A" w:rsidRDefault="00C5217A" w:rsidP="00A74CAD">
            <w:r w:rsidRPr="00A74CAD">
              <w:rPr>
                <w:b/>
              </w:rPr>
              <w:t>Recommendation 17:</w:t>
            </w:r>
            <w:r>
              <w:t xml:space="preserve"> All states and territories, led by the Australian Government, should commit to conducting a routine national child maltreatment incidence and prevalence study. </w:t>
            </w:r>
          </w:p>
        </w:tc>
      </w:tr>
    </w:tbl>
    <w:p w:rsidR="00770DD2" w:rsidRDefault="00C5217A" w:rsidP="009721C7">
      <w:pPr>
        <w:pStyle w:val="41"/>
      </w:pPr>
      <w:bookmarkStart w:id="141" w:name="_Toc500308831"/>
      <w:r>
        <w:t>Recent government inquiries relevant to child safety and wellbeing</w:t>
      </w:r>
      <w:bookmarkEnd w:id="141"/>
    </w:p>
    <w:p w:rsidR="00C5217A" w:rsidRPr="0045612B" w:rsidRDefault="00C5217A" w:rsidP="00C5217A">
      <w:pPr>
        <w:spacing w:before="0" w:after="0"/>
        <w:rPr>
          <w:rFonts w:cs="Arial"/>
        </w:rPr>
      </w:pPr>
      <w:r w:rsidRPr="0045612B">
        <w:rPr>
          <w:rFonts w:cs="Arial"/>
        </w:rPr>
        <w:t xml:space="preserve">Multiple inquiries </w:t>
      </w:r>
      <w:r>
        <w:rPr>
          <w:rFonts w:cs="Arial"/>
        </w:rPr>
        <w:t>related to</w:t>
      </w:r>
      <w:r w:rsidRPr="0045612B">
        <w:rPr>
          <w:rFonts w:cs="Arial"/>
        </w:rPr>
        <w:t xml:space="preserve"> child safety have been conducted across all Australian jurisdictions</w:t>
      </w:r>
      <w:r>
        <w:rPr>
          <w:rFonts w:cs="Arial"/>
        </w:rPr>
        <w:t xml:space="preserve"> over many decades</w:t>
      </w:r>
      <w:r w:rsidRPr="0045612B">
        <w:rPr>
          <w:rFonts w:cs="Arial"/>
        </w:rPr>
        <w:t>. These inq</w:t>
      </w:r>
      <w:r>
        <w:rPr>
          <w:rFonts w:cs="Arial"/>
        </w:rPr>
        <w:t>uiries have considered child mal</w:t>
      </w:r>
      <w:r w:rsidRPr="0045612B">
        <w:rPr>
          <w:rFonts w:cs="Arial"/>
        </w:rPr>
        <w:t>treatment in institutional care, foster care, child migration, Indigenous communities, within various child protection systems and</w:t>
      </w:r>
      <w:r>
        <w:rPr>
          <w:rFonts w:cs="Arial"/>
        </w:rPr>
        <w:t xml:space="preserve"> in</w:t>
      </w:r>
      <w:r w:rsidRPr="0045612B">
        <w:rPr>
          <w:rFonts w:cs="Arial"/>
        </w:rPr>
        <w:t xml:space="preserve"> families.</w:t>
      </w:r>
      <w:r w:rsidRPr="0045612B">
        <w:rPr>
          <w:rStyle w:val="Rimandonotadichiusura"/>
          <w:rFonts w:cs="Arial"/>
        </w:rPr>
        <w:endnoteReference w:id="719"/>
      </w:r>
      <w:r>
        <w:rPr>
          <w:rFonts w:cs="Arial"/>
        </w:rPr>
        <w:t xml:space="preserve"> These inquiries have consistently demonstrated the many problems within organisations and systems that are supposed to protect children and promote child wellbeing. </w:t>
      </w:r>
    </w:p>
    <w:p w:rsidR="00C5217A" w:rsidRPr="0045612B" w:rsidRDefault="00C5217A" w:rsidP="00C5217A">
      <w:pPr>
        <w:spacing w:before="0" w:after="0"/>
        <w:rPr>
          <w:rFonts w:cs="Arial"/>
        </w:rPr>
      </w:pPr>
    </w:p>
    <w:p w:rsidR="00C5217A" w:rsidRDefault="00C5217A" w:rsidP="00C5217A">
      <w:pPr>
        <w:spacing w:before="0" w:after="0"/>
        <w:rPr>
          <w:rFonts w:cs="Arial"/>
        </w:rPr>
      </w:pPr>
      <w:r w:rsidRPr="0045612B">
        <w:rPr>
          <w:rFonts w:cs="Arial"/>
        </w:rPr>
        <w:t>Recent inquiries in South Australia</w:t>
      </w:r>
      <w:r>
        <w:rPr>
          <w:rFonts w:cs="Arial"/>
        </w:rPr>
        <w:t xml:space="preserve"> (SA),</w:t>
      </w:r>
      <w:r w:rsidRPr="0045612B">
        <w:rPr>
          <w:rStyle w:val="Rimandonotadichiusura"/>
          <w:rFonts w:cs="Arial"/>
        </w:rPr>
        <w:endnoteReference w:id="720"/>
      </w:r>
      <w:r>
        <w:rPr>
          <w:rFonts w:cs="Arial"/>
        </w:rPr>
        <w:t xml:space="preserve"> Queensland (Qld)</w:t>
      </w:r>
      <w:r w:rsidRPr="0045612B">
        <w:rPr>
          <w:rStyle w:val="Rimandonotadichiusura"/>
          <w:rFonts w:cs="Arial"/>
        </w:rPr>
        <w:endnoteReference w:id="721"/>
      </w:r>
      <w:r w:rsidRPr="0045612B">
        <w:rPr>
          <w:rFonts w:cs="Arial"/>
        </w:rPr>
        <w:t xml:space="preserve"> and New South Wales</w:t>
      </w:r>
      <w:r w:rsidR="00453401">
        <w:rPr>
          <w:rFonts w:cs="Arial"/>
        </w:rPr>
        <w:t xml:space="preserve"> (NSW)</w:t>
      </w:r>
      <w:r>
        <w:rPr>
          <w:rFonts w:cs="Arial"/>
        </w:rPr>
        <w:t>,</w:t>
      </w:r>
      <w:r w:rsidRPr="0045612B">
        <w:rPr>
          <w:rStyle w:val="Rimandonotadichiusura"/>
          <w:rFonts w:cs="Arial"/>
        </w:rPr>
        <w:endnoteReference w:id="722"/>
      </w:r>
      <w:r w:rsidRPr="0045612B">
        <w:rPr>
          <w:rFonts w:cs="Arial"/>
        </w:rPr>
        <w:t xml:space="preserve"> have focused on the child protection system, including</w:t>
      </w:r>
      <w:r>
        <w:rPr>
          <w:rFonts w:cs="Arial"/>
        </w:rPr>
        <w:t xml:space="preserve"> OOHC. We also have two recent Royal Commissions focusing on child safety in institutional contexts. At the date of finalising this report, the final reports of the Royal Commissions have not been released. </w:t>
      </w:r>
    </w:p>
    <w:p w:rsidR="00C5217A" w:rsidRDefault="00C5217A" w:rsidP="00222517">
      <w:pPr>
        <w:pStyle w:val="Titolo3"/>
        <w:numPr>
          <w:ilvl w:val="2"/>
          <w:numId w:val="205"/>
        </w:numPr>
      </w:pPr>
      <w:bookmarkStart w:id="142" w:name="_Toc500308832"/>
      <w:r>
        <w:t>Child Protection Systems Royal Commission</w:t>
      </w:r>
      <w:bookmarkEnd w:id="142"/>
    </w:p>
    <w:p w:rsidR="00C5217A" w:rsidRDefault="00C5217A" w:rsidP="00150A9B">
      <w:r>
        <w:t>The arrest of Shannon McCoole in SA, for multiple serious crimes against children in care, was the catalyst for establishing the Child Protection Systems Royal Commission.</w:t>
      </w:r>
      <w:r>
        <w:rPr>
          <w:rStyle w:val="Rimandonotadichiusura"/>
          <w:rFonts w:cs="Arial"/>
        </w:rPr>
        <w:endnoteReference w:id="723"/>
      </w:r>
      <w:r>
        <w:t xml:space="preserve"> Its report, published in 2016, examined in detail the deficits in the child protection system that allowed McCoole to gain access to his victims and allowed his crimes to escape detection.</w:t>
      </w:r>
      <w:r>
        <w:rPr>
          <w:rStyle w:val="Rimandonotadichiusura"/>
          <w:rFonts w:cs="Arial"/>
        </w:rPr>
        <w:endnoteReference w:id="724"/>
      </w:r>
      <w:r>
        <w:t xml:space="preserve">  Five case studies looked at different aspects of the child protection system: vulnerable children (birth to school age), intervening in high risk families, children leaving care, children with high complex needs in OOHC, and keeping children safe in their environment.</w:t>
      </w:r>
      <w:r>
        <w:rPr>
          <w:rStyle w:val="Rimandonotadichiusura"/>
          <w:rFonts w:cs="Arial"/>
        </w:rPr>
        <w:endnoteReference w:id="725"/>
      </w:r>
      <w:r>
        <w:t xml:space="preserve"> </w:t>
      </w:r>
    </w:p>
    <w:p w:rsidR="00C5217A" w:rsidRDefault="00C5217A" w:rsidP="00150A9B">
      <w:r w:rsidRPr="0045612B">
        <w:t xml:space="preserve">The Child Protection Systems Royal Commission </w:t>
      </w:r>
      <w:r>
        <w:t>also inquired into complaints and dissatisfaction with the statutory agency in charge of child protection, Families SA.</w:t>
      </w:r>
      <w:r>
        <w:rPr>
          <w:rStyle w:val="Rimandonotadichiusura"/>
          <w:rFonts w:cs="Arial"/>
        </w:rPr>
        <w:endnoteReference w:id="726"/>
      </w:r>
      <w:r>
        <w:t xml:space="preserve"> The report noted that many children in the care of the state have been abused and neglected by the system that was supposed to protect them, with a ‘yawning gap between policy requirements and day-to-day practice in many areas’.</w:t>
      </w:r>
      <w:r>
        <w:rPr>
          <w:rStyle w:val="Rimandonotadichiusura"/>
          <w:rFonts w:cs="Arial"/>
        </w:rPr>
        <w:endnoteReference w:id="727"/>
      </w:r>
      <w:r>
        <w:t xml:space="preserve"> </w:t>
      </w:r>
    </w:p>
    <w:p w:rsidR="00C5217A" w:rsidRDefault="00C5217A" w:rsidP="00C5217A">
      <w:pPr>
        <w:spacing w:before="0" w:after="0"/>
        <w:rPr>
          <w:rFonts w:cs="Arial"/>
        </w:rPr>
      </w:pPr>
      <w:r>
        <w:rPr>
          <w:rFonts w:cs="Arial"/>
        </w:rPr>
        <w:t>The Child Protection Systems Royal Commission made 260 recommendations, of which 256 have been accepted.</w:t>
      </w:r>
      <w:r>
        <w:rPr>
          <w:rStyle w:val="Rimandonotadichiusura"/>
          <w:rFonts w:cs="Arial"/>
        </w:rPr>
        <w:endnoteReference w:id="728"/>
      </w:r>
      <w:r>
        <w:rPr>
          <w:rFonts w:cs="Arial"/>
        </w:rPr>
        <w:t xml:space="preserve"> These included better screening and scrutiny of individuals engaged in child-related work, the wholesale reform of residential care, substantial reform to investigative processes in order to keep children safe, and improving children’s participation in decision making.</w:t>
      </w:r>
      <w:r>
        <w:rPr>
          <w:rStyle w:val="Rimandonotadichiusura"/>
          <w:rFonts w:cs="Arial"/>
        </w:rPr>
        <w:endnoteReference w:id="729"/>
      </w:r>
      <w:r>
        <w:rPr>
          <w:rFonts w:cs="Arial"/>
        </w:rPr>
        <w:t xml:space="preserve"> The SA Department of Child Protection published a progress report in 2017 outlining what a new child protection system will aim to do.</w:t>
      </w:r>
      <w:r>
        <w:rPr>
          <w:rStyle w:val="Rimandonotadichiusura"/>
          <w:rFonts w:cs="Arial"/>
        </w:rPr>
        <w:endnoteReference w:id="730"/>
      </w:r>
      <w:r>
        <w:rPr>
          <w:rFonts w:cs="Arial"/>
        </w:rPr>
        <w:t xml:space="preserve"> </w:t>
      </w:r>
    </w:p>
    <w:p w:rsidR="00C5217A" w:rsidRDefault="00C5217A" w:rsidP="009719BC">
      <w:pPr>
        <w:pStyle w:val="Titolo3"/>
      </w:pPr>
      <w:bookmarkStart w:id="143" w:name="_Toc500308833"/>
      <w:r>
        <w:t>When a child is missing: Remembering Tiahleigh — A report into Queensland’s children missing from out-of-home care</w:t>
      </w:r>
      <w:bookmarkEnd w:id="143"/>
    </w:p>
    <w:p w:rsidR="009719BC" w:rsidRDefault="009719BC" w:rsidP="00150A9B">
      <w:r>
        <w:t>In 2015, the death of Tiahleigh Palmer, a 12-year-old girl in foster care in Qld, led to an inquiry into issues faced by government, non-government agencies and carers when a child in OOHC is missing.</w:t>
      </w:r>
      <w:r>
        <w:rPr>
          <w:rStyle w:val="Rimandonotadichiusura"/>
          <w:rFonts w:cs="Arial"/>
        </w:rPr>
        <w:endnoteReference w:id="731"/>
      </w:r>
      <w:r>
        <w:t xml:space="preserve"> In 2016, the Queensland Family and Child Commission reported that procedures and processes intended to help agencies to respond when a child is missing cause confusion and misunderstanding.</w:t>
      </w:r>
      <w:r>
        <w:rPr>
          <w:rStyle w:val="Rimandonotadichiusura"/>
          <w:rFonts w:cs="Arial"/>
        </w:rPr>
        <w:endnoteReference w:id="732"/>
      </w:r>
      <w:r>
        <w:t xml:space="preserve"> The review also found that key government agencies do not routinely share information where there is no clear legislated ability or policy mandate to do so.</w:t>
      </w:r>
      <w:r>
        <w:rPr>
          <w:rStyle w:val="Rimandonotadichiusura"/>
          <w:rFonts w:cs="Arial"/>
        </w:rPr>
        <w:endnoteReference w:id="733"/>
      </w:r>
      <w:r>
        <w:t xml:space="preserve"> The report recommended more consistent definitions and guidance to inform immediate and longer term action when a child in OOHC is missing. The importance of a collaborative approach, including shared protocols, information sharing and coordinated risk assessments, was also highlighted.</w:t>
      </w:r>
      <w:r>
        <w:rPr>
          <w:rStyle w:val="Rimandonotadichiusura"/>
          <w:rFonts w:cs="Arial"/>
        </w:rPr>
        <w:endnoteReference w:id="734"/>
      </w:r>
      <w:r>
        <w:t xml:space="preserve"> </w:t>
      </w:r>
    </w:p>
    <w:p w:rsidR="009719BC" w:rsidRDefault="009719BC" w:rsidP="00150A9B">
      <w:r>
        <w:t>The Queensland Family and Child Commission reported that involving children in discussions about the risks and impacts of being missing is important to educate children about their safety. It recommended that once children who have been missing are located, they need to be involved in discussions around developing their case plan and, further, that learnings from these discussions can assist to improve processes and practices.</w:t>
      </w:r>
      <w:r>
        <w:rPr>
          <w:rStyle w:val="Rimandonotadichiusura"/>
          <w:rFonts w:cs="Arial"/>
        </w:rPr>
        <w:endnoteReference w:id="735"/>
      </w:r>
      <w:r>
        <w:t xml:space="preserve"> </w:t>
      </w:r>
    </w:p>
    <w:p w:rsidR="009719BC" w:rsidRDefault="009719BC" w:rsidP="00150A9B">
      <w:r>
        <w:t xml:space="preserve">The Queensland Family and Child Commission conducted a supplementary review focused on information sharing to enhance </w:t>
      </w:r>
      <w:r w:rsidR="003C4165">
        <w:t>the</w:t>
      </w:r>
      <w:r>
        <w:t xml:space="preserve"> safety of children in regulated home-based services including foster and kinship care, family day care and stand-alone care services.</w:t>
      </w:r>
      <w:r>
        <w:rPr>
          <w:rStyle w:val="Rimandonotadichiusura"/>
          <w:rFonts w:cs="Arial"/>
        </w:rPr>
        <w:endnoteReference w:id="736"/>
      </w:r>
    </w:p>
    <w:p w:rsidR="00C5217A" w:rsidRDefault="009719BC" w:rsidP="009719BC">
      <w:pPr>
        <w:pStyle w:val="Titolo3"/>
      </w:pPr>
      <w:bookmarkStart w:id="144" w:name="_Toc500308834"/>
      <w:r>
        <w:t xml:space="preserve">Independent </w:t>
      </w:r>
      <w:r w:rsidR="003C4165">
        <w:t>R</w:t>
      </w:r>
      <w:r>
        <w:t>eview of Out-of-Home Care in New South Wales</w:t>
      </w:r>
      <w:bookmarkEnd w:id="144"/>
    </w:p>
    <w:p w:rsidR="009719BC" w:rsidRPr="0045612B" w:rsidRDefault="009719BC" w:rsidP="00150A9B">
      <w:r>
        <w:t>The Independent Review of Out-of-</w:t>
      </w:r>
      <w:r w:rsidRPr="0045612B">
        <w:t xml:space="preserve">Home Care in New South Wales </w:t>
      </w:r>
      <w:r>
        <w:t>was conducted in 2015–16 in response to the growth of the OOHC population and continuing poor outcomes for the most vulnerable children.</w:t>
      </w:r>
      <w:r>
        <w:rPr>
          <w:rStyle w:val="Rimandonotadichiusura"/>
          <w:rFonts w:cs="Arial"/>
        </w:rPr>
        <w:endnoteReference w:id="737"/>
      </w:r>
      <w:r>
        <w:t xml:space="preserve"> The review </w:t>
      </w:r>
      <w:r w:rsidRPr="0045612B">
        <w:t>concluded that:</w:t>
      </w:r>
    </w:p>
    <w:p w:rsidR="009719BC" w:rsidRPr="0045612B" w:rsidRDefault="009719BC" w:rsidP="00B934D7">
      <w:pPr>
        <w:pStyle w:val="Paragrafoelenco"/>
        <w:numPr>
          <w:ilvl w:val="0"/>
          <w:numId w:val="142"/>
        </w:numPr>
        <w:spacing w:before="0" w:after="0"/>
        <w:jc w:val="left"/>
      </w:pPr>
      <w:r w:rsidRPr="0045612B">
        <w:t xml:space="preserve">the </w:t>
      </w:r>
      <w:r>
        <w:t>OOHC</w:t>
      </w:r>
      <w:r w:rsidRPr="0045612B">
        <w:t xml:space="preserve"> system is not client-centred</w:t>
      </w:r>
      <w:r>
        <w:t>;</w:t>
      </w:r>
      <w:r w:rsidRPr="0045612B">
        <w:t xml:space="preserve"> </w:t>
      </w:r>
      <w:r>
        <w:t>it is</w:t>
      </w:r>
      <w:r w:rsidRPr="0045612B">
        <w:t xml:space="preserve"> designed around programs and service models instead of the needs of vulnerable families</w:t>
      </w:r>
    </w:p>
    <w:p w:rsidR="009719BC" w:rsidRPr="0045612B" w:rsidRDefault="009719BC" w:rsidP="00B934D7">
      <w:pPr>
        <w:pStyle w:val="Paragrafoelenco"/>
        <w:numPr>
          <w:ilvl w:val="0"/>
          <w:numId w:val="142"/>
        </w:numPr>
        <w:spacing w:before="0" w:after="0"/>
        <w:jc w:val="left"/>
      </w:pPr>
      <w:r w:rsidRPr="0045612B">
        <w:t xml:space="preserve">the approach to shared responsibility across government agencies has not improved the outcomes for children </w:t>
      </w:r>
      <w:r>
        <w:t>and families with complex needs</w:t>
      </w:r>
      <w:r w:rsidRPr="0045612B">
        <w:t xml:space="preserve"> </w:t>
      </w:r>
    </w:p>
    <w:p w:rsidR="009719BC" w:rsidRDefault="009719BC" w:rsidP="009721C7">
      <w:pPr>
        <w:pStyle w:val="Paragrafoelenco"/>
        <w:numPr>
          <w:ilvl w:val="0"/>
          <w:numId w:val="142"/>
        </w:numPr>
        <w:spacing w:before="0" w:after="200"/>
        <w:ind w:left="714" w:hanging="357"/>
        <w:contextualSpacing w:val="0"/>
        <w:jc w:val="left"/>
      </w:pPr>
      <w:r w:rsidRPr="0045612B">
        <w:t>expenditure is crisis driven, not well-aligned to evidence and does not effectively target clients</w:t>
      </w:r>
      <w:r>
        <w:t>.</w:t>
      </w:r>
      <w:r w:rsidRPr="0045612B">
        <w:rPr>
          <w:rStyle w:val="Rimandonotadichiusura"/>
        </w:rPr>
        <w:endnoteReference w:id="738"/>
      </w:r>
    </w:p>
    <w:p w:rsidR="009719BC" w:rsidRDefault="009719BC" w:rsidP="009719BC">
      <w:pPr>
        <w:spacing w:before="0" w:after="0"/>
        <w:rPr>
          <w:rFonts w:cs="Arial"/>
        </w:rPr>
      </w:pPr>
      <w:r>
        <w:rPr>
          <w:rFonts w:cs="Arial"/>
        </w:rPr>
        <w:t>The Review recommended that tailored support packages be implemented to address the complex needs of children and families, and that investment in interventions and services is evidence based. The New South Wales Legislative Council’s General Purpose Standing Committee’s report on child protection recommended increasing funding for evidence based prevention and early intervention services to address child protection concerns early and help families stay together.</w:t>
      </w:r>
      <w:r>
        <w:rPr>
          <w:rStyle w:val="Rimandonotadichiusura"/>
          <w:rFonts w:cs="Arial"/>
        </w:rPr>
        <w:endnoteReference w:id="739"/>
      </w:r>
      <w:r>
        <w:rPr>
          <w:rFonts w:cs="Arial"/>
        </w:rPr>
        <w:t xml:space="preserve"> </w:t>
      </w:r>
    </w:p>
    <w:p w:rsidR="009719BC" w:rsidRDefault="009719BC" w:rsidP="009721C7">
      <w:pPr>
        <w:pStyle w:val="Titolo3"/>
      </w:pPr>
      <w:bookmarkStart w:id="145" w:name="_Toc500308835"/>
      <w:r>
        <w:t>Royal Commission into the Protection and Detention of Children in the Northern Territory</w:t>
      </w:r>
      <w:bookmarkEnd w:id="145"/>
    </w:p>
    <w:p w:rsidR="009719BC" w:rsidRDefault="009719BC" w:rsidP="009719BC">
      <w:pPr>
        <w:spacing w:before="0" w:after="0"/>
        <w:rPr>
          <w:rFonts w:cs="Arial"/>
        </w:rPr>
      </w:pPr>
      <w:r w:rsidRPr="0045612B">
        <w:rPr>
          <w:rFonts w:cs="Arial"/>
        </w:rPr>
        <w:t>The Royal Commission into the Protection and Detention of Children in the Northern Territory was established in 2016 in response to concerns about in</w:t>
      </w:r>
      <w:r>
        <w:rPr>
          <w:rFonts w:cs="Arial"/>
        </w:rPr>
        <w:t>appropriate and unlawful practices,</w:t>
      </w:r>
      <w:r w:rsidRPr="0045612B">
        <w:rPr>
          <w:rFonts w:cs="Arial"/>
        </w:rPr>
        <w:t xml:space="preserve"> unacceptable standards of conduct</w:t>
      </w:r>
      <w:r>
        <w:rPr>
          <w:rFonts w:cs="Arial"/>
        </w:rPr>
        <w:t>,</w:t>
      </w:r>
      <w:r w:rsidRPr="0045612B">
        <w:rPr>
          <w:rFonts w:cs="Arial"/>
        </w:rPr>
        <w:t xml:space="preserve"> and inappropriate methods of dealing with young people within detention facilities and child protection.</w:t>
      </w:r>
      <w:r w:rsidRPr="0045612B">
        <w:rPr>
          <w:rStyle w:val="Rimandonotadichiusura"/>
          <w:rFonts w:cs="Arial"/>
        </w:rPr>
        <w:endnoteReference w:id="740"/>
      </w:r>
      <w:r w:rsidRPr="0045612B">
        <w:rPr>
          <w:rFonts w:cs="Arial"/>
        </w:rPr>
        <w:t xml:space="preserve"> </w:t>
      </w:r>
      <w:r>
        <w:rPr>
          <w:rFonts w:cs="Arial"/>
        </w:rPr>
        <w:t xml:space="preserve">It </w:t>
      </w:r>
      <w:r>
        <w:t>delivered an Interim report on 31 March 2017, noting that there is a significant overrepresentation of Aboriginal and Torres Strait Islander children and young people in both child protection and youth detention.</w:t>
      </w:r>
      <w:r>
        <w:rPr>
          <w:rStyle w:val="Rimandonotadichiusura"/>
        </w:rPr>
        <w:endnoteReference w:id="741"/>
      </w:r>
      <w:r>
        <w:t xml:space="preserve"> Its final report will be released in late November 2017.</w:t>
      </w:r>
    </w:p>
    <w:p w:rsidR="009719BC" w:rsidRDefault="009719BC" w:rsidP="009719BC">
      <w:pPr>
        <w:pStyle w:val="Titolo3"/>
      </w:pPr>
      <w:bookmarkStart w:id="146" w:name="_Toc500308836"/>
      <w:r>
        <w:t>Royal Commission into Institutional Responses to Child Sexual Abuse</w:t>
      </w:r>
      <w:bookmarkEnd w:id="146"/>
    </w:p>
    <w:p w:rsidR="009719BC" w:rsidRPr="00BB75C2" w:rsidRDefault="009719BC" w:rsidP="009719BC">
      <w:r w:rsidRPr="0045612B">
        <w:rPr>
          <w:rFonts w:cs="Arial"/>
        </w:rPr>
        <w:t>The Royal Comm</w:t>
      </w:r>
      <w:r>
        <w:rPr>
          <w:rFonts w:cs="Arial"/>
        </w:rPr>
        <w:t>ission was authorised</w:t>
      </w:r>
      <w:r w:rsidRPr="0045612B">
        <w:rPr>
          <w:rFonts w:cs="Arial"/>
        </w:rPr>
        <w:t xml:space="preserve"> in 2012 by the Australia</w:t>
      </w:r>
      <w:r>
        <w:rPr>
          <w:rFonts w:cs="Arial"/>
        </w:rPr>
        <w:t>n Government to investigate responses to child sexual abuse by institution</w:t>
      </w:r>
      <w:r w:rsidRPr="0045612B">
        <w:rPr>
          <w:rFonts w:cs="Arial"/>
        </w:rPr>
        <w:t>s</w:t>
      </w:r>
      <w:r>
        <w:rPr>
          <w:rFonts w:cs="Arial"/>
        </w:rPr>
        <w:t>.</w:t>
      </w:r>
      <w:r w:rsidRPr="0045612B">
        <w:rPr>
          <w:rStyle w:val="Rimandonotadichiusura"/>
          <w:rFonts w:cs="Arial"/>
        </w:rPr>
        <w:endnoteReference w:id="742"/>
      </w:r>
      <w:r w:rsidRPr="0045612B">
        <w:rPr>
          <w:rFonts w:cs="Arial"/>
        </w:rPr>
        <w:t xml:space="preserve"> </w:t>
      </w:r>
      <w:r>
        <w:rPr>
          <w:rFonts w:cs="Arial"/>
        </w:rPr>
        <w:t>These institutions include churches, schools, residential care and sports and recreation clubs, among others.</w:t>
      </w:r>
    </w:p>
    <w:p w:rsidR="009719BC" w:rsidRDefault="009719BC" w:rsidP="009721C7">
      <w:pPr>
        <w:rPr>
          <w:lang w:eastAsia="en-US"/>
        </w:rPr>
      </w:pPr>
      <w:r>
        <w:rPr>
          <w:lang w:eastAsia="en-US"/>
        </w:rPr>
        <w:t>The Royal Commission conducted private sessions with people affected by institutional child sexual abuse, public hearings focusing on case studies, and an extensive program of research on child sexual abuse.</w:t>
      </w:r>
      <w:r>
        <w:rPr>
          <w:rStyle w:val="Rimandonotadichiusura"/>
          <w:rFonts w:eastAsiaTheme="minorHAnsi" w:cs="Arial"/>
          <w:color w:val="000000"/>
          <w:lang w:eastAsia="en-US"/>
        </w:rPr>
        <w:endnoteReference w:id="743"/>
      </w:r>
      <w:r>
        <w:rPr>
          <w:lang w:eastAsia="en-US"/>
        </w:rPr>
        <w:t xml:space="preserve"> </w:t>
      </w:r>
    </w:p>
    <w:p w:rsidR="009719BC" w:rsidRDefault="009719BC" w:rsidP="009721C7">
      <w:r>
        <w:t>Under its Terms of Reference, the Royal Commission was directed to have regard to the experience of people directly or indirectly affected by child sexual abuse and related matters in institutional contexts.</w:t>
      </w:r>
      <w:r>
        <w:rPr>
          <w:rStyle w:val="Rimandonotadichiusura"/>
        </w:rPr>
        <w:endnoteReference w:id="744"/>
      </w:r>
      <w:r>
        <w:t xml:space="preserve"> Between 7 May 2013 and 1 September 2017, the Royal Commission conducted 7,509 private sessions with survivors of child sexual abuse in institutions.</w:t>
      </w:r>
      <w:r>
        <w:rPr>
          <w:rStyle w:val="Rimandonotadichiusura"/>
        </w:rPr>
        <w:endnoteReference w:id="745"/>
      </w:r>
      <w:r>
        <w:t xml:space="preserve"> In public hearings it also heard from many survivors about their experiences of child sexual abuse and poor institutional responses. These personal accounts demonstrate the extent and depth of the issue in the community. </w:t>
      </w:r>
    </w:p>
    <w:p w:rsidR="009719BC" w:rsidRDefault="009719BC" w:rsidP="009721C7">
      <w:r>
        <w:t xml:space="preserve">Many of these personal accounts reveal the </w:t>
      </w:r>
      <w:r w:rsidRPr="0045612B">
        <w:t>devastating legacy of institution</w:t>
      </w:r>
      <w:r>
        <w:t>al</w:t>
      </w:r>
      <w:r w:rsidRPr="0045612B">
        <w:t xml:space="preserve"> neglect </w:t>
      </w:r>
      <w:r>
        <w:t>and abuse</w:t>
      </w:r>
      <w:r w:rsidRPr="0045612B">
        <w:t>.</w:t>
      </w:r>
      <w:r>
        <w:t xml:space="preserve"> </w:t>
      </w:r>
      <w:r w:rsidRPr="0045612B">
        <w:t>The effects of child abuse, particularly child sexual abuse</w:t>
      </w:r>
      <w:r>
        <w:t>, include</w:t>
      </w:r>
      <w:r w:rsidRPr="0045612B">
        <w:t xml:space="preserve"> lifelong and i</w:t>
      </w:r>
      <w:r>
        <w:t xml:space="preserve">ntergenerational harm. The long </w:t>
      </w:r>
      <w:r w:rsidRPr="0045612B">
        <w:t>term damage reported by survivors inclu</w:t>
      </w:r>
      <w:r>
        <w:t>des</w:t>
      </w:r>
      <w:r w:rsidRPr="0045612B">
        <w:t xml:space="preserve"> effects on their physical and mental health, education, career prospects, ability to form relationships and their faith. There are also negative impacts on survivors’ children, partners, parents, other family members and their communities.</w:t>
      </w:r>
      <w:r w:rsidRPr="0045612B">
        <w:rPr>
          <w:rStyle w:val="Rimandonotadichiusura"/>
          <w:rFonts w:cs="Arial"/>
          <w:color w:val="000000"/>
        </w:rPr>
        <w:endnoteReference w:id="746"/>
      </w:r>
      <w:r w:rsidRPr="0045612B">
        <w:t xml:space="preserve"> The harm caused by child sexual abuse </w:t>
      </w:r>
      <w:r>
        <w:t>is</w:t>
      </w:r>
      <w:r w:rsidRPr="0045612B">
        <w:t xml:space="preserve"> often compounded by inadequate and ineffective responses to allegations of abuse within an organisation.</w:t>
      </w:r>
      <w:r w:rsidRPr="0045612B">
        <w:rPr>
          <w:rStyle w:val="Rimandonotadichiusura"/>
          <w:rFonts w:cs="Arial"/>
          <w:color w:val="000000"/>
        </w:rPr>
        <w:endnoteReference w:id="747"/>
      </w:r>
    </w:p>
    <w:p w:rsidR="009719BC" w:rsidRDefault="009719BC" w:rsidP="009721C7">
      <w:r>
        <w:t>The Royal Commission was directed under its Terms of Reference to inquire into what institutions and governments should do to better protect children against child sexual abuse and related matters in institutional contexts in the future. A key aspect of this has been to examine what makes institutions ‘child safe’.</w:t>
      </w:r>
      <w:r>
        <w:rPr>
          <w:rStyle w:val="Rimandonotadichiusura"/>
          <w:rFonts w:cs="Arial"/>
          <w:color w:val="000000"/>
        </w:rPr>
        <w:endnoteReference w:id="748"/>
      </w:r>
      <w:r>
        <w:t xml:space="preserve"> The Royal Commission acknowledged that most child safe frameworks have a broader application than the prevention of sexual abuse alone. They also assist institutions to prevent, identify and improve responses to physical, sexual, emotional, psychological abuse and neglect of children.</w:t>
      </w:r>
      <w:r>
        <w:rPr>
          <w:rStyle w:val="Rimandonotadichiusura"/>
          <w:rFonts w:cs="Arial"/>
          <w:color w:val="000000"/>
        </w:rPr>
        <w:endnoteReference w:id="749"/>
      </w:r>
      <w:r>
        <w:t xml:space="preserve"> </w:t>
      </w:r>
    </w:p>
    <w:p w:rsidR="009719BC" w:rsidRDefault="009719BC" w:rsidP="009721C7">
      <w:r>
        <w:t>The Royal Commission’s final report, including recommendations about preventing child sexual abuse in institutions, is due on 15 December 2017.</w:t>
      </w:r>
    </w:p>
    <w:p w:rsidR="009719BC" w:rsidRPr="00827726" w:rsidRDefault="009719BC" w:rsidP="009721C7">
      <w:r>
        <w:t xml:space="preserve">The findings of the above, and other </w:t>
      </w:r>
      <w:r w:rsidRPr="0045612B">
        <w:t>inquiries</w:t>
      </w:r>
      <w:r>
        <w:t>,</w:t>
      </w:r>
      <w:r w:rsidRPr="0045612B">
        <w:t xml:space="preserve"> </w:t>
      </w:r>
      <w:r>
        <w:t>emphasise</w:t>
      </w:r>
      <w:r w:rsidRPr="0045612B">
        <w:t xml:space="preserve"> </w:t>
      </w:r>
      <w:r>
        <w:t xml:space="preserve">the need for reform to create services and </w:t>
      </w:r>
      <w:r w:rsidRPr="0045612B">
        <w:t>system</w:t>
      </w:r>
      <w:r>
        <w:t>s</w:t>
      </w:r>
      <w:r w:rsidRPr="0045612B">
        <w:t xml:space="preserve"> where children and young people are at the centre of </w:t>
      </w:r>
      <w:r>
        <w:t xml:space="preserve">thinking and </w:t>
      </w:r>
      <w:r w:rsidRPr="0045612B">
        <w:t>decision-making. This includes increasing the value given to children’s opinions, experiences, wellbeing and development.</w:t>
      </w:r>
      <w:r w:rsidRPr="0045612B">
        <w:rPr>
          <w:rStyle w:val="Rimandonotadichiusura"/>
          <w:rFonts w:cs="Arial"/>
        </w:rPr>
        <w:endnoteReference w:id="750"/>
      </w:r>
      <w:r w:rsidRPr="0045612B">
        <w:t xml:space="preserve"> </w:t>
      </w:r>
    </w:p>
    <w:p w:rsidR="009719BC" w:rsidRPr="00770DD2" w:rsidRDefault="009719BC" w:rsidP="009721C7">
      <w:pPr>
        <w:pStyle w:val="41"/>
      </w:pPr>
      <w:bookmarkStart w:id="147" w:name="_Toc500308837"/>
      <w:r>
        <w:t xml:space="preserve">Children’s safety and </w:t>
      </w:r>
      <w:r w:rsidRPr="009721C7">
        <w:t>w</w:t>
      </w:r>
      <w:r>
        <w:t>ellbeing in organisations</w:t>
      </w:r>
      <w:bookmarkEnd w:id="147"/>
    </w:p>
    <w:p w:rsidR="00DE77A8" w:rsidRDefault="00BA4057" w:rsidP="00222517">
      <w:pPr>
        <w:pStyle w:val="Titolo3"/>
        <w:numPr>
          <w:ilvl w:val="2"/>
          <w:numId w:val="206"/>
        </w:numPr>
      </w:pPr>
      <w:r>
        <w:t xml:space="preserve"> </w:t>
      </w:r>
      <w:bookmarkStart w:id="148" w:name="_Toc500308838"/>
      <w:r w:rsidR="009719BC">
        <w:t>A child rights approach</w:t>
      </w:r>
      <w:bookmarkEnd w:id="148"/>
    </w:p>
    <w:p w:rsidR="00DE77A8" w:rsidRDefault="00BA4057" w:rsidP="00DE77A8">
      <w:r>
        <w:t xml:space="preserve"> </w:t>
      </w:r>
      <w:r w:rsidR="00DE77A8" w:rsidRPr="00D11C82">
        <w:t>Children are involved in many</w:t>
      </w:r>
      <w:r w:rsidR="00DE77A8">
        <w:t xml:space="preserve"> types of</w:t>
      </w:r>
      <w:r w:rsidR="00DE77A8" w:rsidRPr="00D11C82">
        <w:t xml:space="preserve"> organisations</w:t>
      </w:r>
      <w:r w:rsidR="00DE77A8">
        <w:t>,</w:t>
      </w:r>
      <w:r w:rsidR="00DE77A8" w:rsidRPr="00D11C82">
        <w:t xml:space="preserve"> including schools, sport and recreation groups, and religious or cultural organisations. Being in</w:t>
      </w:r>
      <w:r w:rsidR="00DE77A8">
        <w:t xml:space="preserve">volved in these organisations is an </w:t>
      </w:r>
      <w:r w:rsidR="00DE77A8" w:rsidRPr="00D11C82">
        <w:t>import</w:t>
      </w:r>
      <w:r w:rsidR="00DE77A8">
        <w:t>ant part of</w:t>
      </w:r>
      <w:r w:rsidR="00DE77A8" w:rsidRPr="00D11C82">
        <w:t xml:space="preserve"> children’s lives. </w:t>
      </w:r>
    </w:p>
    <w:p w:rsidR="00DE77A8" w:rsidRDefault="00DE77A8" w:rsidP="00DE77A8">
      <w:r>
        <w:t xml:space="preserve">The </w:t>
      </w:r>
      <w:r w:rsidRPr="00AD14B2">
        <w:rPr>
          <w:i/>
        </w:rPr>
        <w:t xml:space="preserve">Convention on the Rights of the Child </w:t>
      </w:r>
      <w:r>
        <w:t>(CRC) sets out all the rights that children need to enjoy to ensure that they are safe, healthy and happy, and as such should underpin the creation of child safe organisations. While the CRC has special provisions aimed at protecting children from violence, abuse and neglect, all the rights set out in the CRC are relevant to ensuring both child safety and wellbeing, which are fundamentally linked. Child safety is most effectively fostered by a focus on the child as a whole, as evidenced in a child rights approach.</w:t>
      </w:r>
      <w:r>
        <w:rPr>
          <w:rStyle w:val="Rimandonotadichiusura"/>
        </w:rPr>
        <w:endnoteReference w:id="751"/>
      </w:r>
    </w:p>
    <w:p w:rsidR="00DE77A8" w:rsidRDefault="00DE77A8" w:rsidP="00DE77A8">
      <w:r>
        <w:t xml:space="preserve">In ratifying the CRC and its Optional Protocols, Australia accepts an obligation to respect, protect, promote and fulfil all the rights set out in the CRC, including adopting or changing laws and policies that are needed to implement its provisions. This obligation extends to ensuring that children are safe from harm in organisations they have contact with. </w:t>
      </w:r>
    </w:p>
    <w:p w:rsidR="00DE77A8" w:rsidRDefault="00DE77A8" w:rsidP="00DE77A8">
      <w:r>
        <w:t>Children’s rights that are particularly relevant to ensuring safety for children in organisations include:</w:t>
      </w:r>
    </w:p>
    <w:p w:rsidR="00DE77A8" w:rsidRDefault="00DE77A8" w:rsidP="009721C7">
      <w:pPr>
        <w:pStyle w:val="Paragrafoelenco"/>
        <w:numPr>
          <w:ilvl w:val="0"/>
          <w:numId w:val="143"/>
        </w:numPr>
        <w:spacing w:before="0" w:after="200"/>
        <w:contextualSpacing w:val="0"/>
        <w:jc w:val="left"/>
      </w:pPr>
      <w:r>
        <w:t>Article 3, which provides that all actions concerning children, whether undertaken by social welfare institutions, courts of law, administrative authorities or legislative bodies, give primary consideration to the best interests of the child. It also requires States Parties to ensure that institutions, services and facilities responsible for the care or protection of children conform to ‘standards established by competent authorities, particularly in areas of safety, health, in the number and suitability of their staff, as well as competent supervision’.</w:t>
      </w:r>
      <w:r>
        <w:rPr>
          <w:rStyle w:val="Rimandonotadichiusura"/>
        </w:rPr>
        <w:endnoteReference w:id="752"/>
      </w:r>
      <w:r>
        <w:t xml:space="preserve"> </w:t>
      </w:r>
    </w:p>
    <w:p w:rsidR="00DE77A8" w:rsidRDefault="00DE77A8" w:rsidP="009721C7">
      <w:pPr>
        <w:pStyle w:val="Paragrafoelenco"/>
        <w:numPr>
          <w:ilvl w:val="0"/>
          <w:numId w:val="143"/>
        </w:numPr>
        <w:spacing w:before="0" w:after="200"/>
        <w:contextualSpacing w:val="0"/>
        <w:jc w:val="left"/>
      </w:pPr>
      <w:r>
        <w:t>Article 12, which sets out the right of every child capable of forming their own views, to express their views in all matters affecting them and to have their views considered. Processes to facilitate the views of children should be accessible, inclusive and meaningful to children and take into account the evolving capacities of children and their best interests.</w:t>
      </w:r>
      <w:r>
        <w:rPr>
          <w:rStyle w:val="Rimandonotadichiusura"/>
        </w:rPr>
        <w:endnoteReference w:id="753"/>
      </w:r>
      <w:r>
        <w:t xml:space="preserve"> </w:t>
      </w:r>
    </w:p>
    <w:p w:rsidR="00DE77A8" w:rsidRDefault="00DE77A8" w:rsidP="009721C7">
      <w:pPr>
        <w:pStyle w:val="Paragrafoelenco"/>
        <w:numPr>
          <w:ilvl w:val="0"/>
          <w:numId w:val="143"/>
        </w:numPr>
        <w:spacing w:before="0" w:after="200"/>
        <w:contextualSpacing w:val="0"/>
        <w:jc w:val="left"/>
      </w:pPr>
      <w:r>
        <w:t>Article 19, which, read in conjunction with Article 34, outlines the obligation to take appropriate measures to ensure that children are properly protected from violence, abuse and neglect, including sexual abuse and sexual exploitation. These protective measures should include effective procedures for the establishment of social programmes to provide necessary support for the child and those who care for the child, and systems for identification, reporting, referral, investigation, treatment and follow-up of instances of various forms of child maltreatment.</w:t>
      </w:r>
      <w:r>
        <w:rPr>
          <w:rStyle w:val="Rimandonotadichiusura"/>
        </w:rPr>
        <w:endnoteReference w:id="754"/>
      </w:r>
      <w:r>
        <w:t xml:space="preserve"> </w:t>
      </w:r>
    </w:p>
    <w:p w:rsidR="00DE77A8" w:rsidRDefault="00DE77A8" w:rsidP="009721C7">
      <w:pPr>
        <w:pStyle w:val="Paragrafoelenco"/>
        <w:numPr>
          <w:ilvl w:val="0"/>
          <w:numId w:val="143"/>
        </w:numPr>
        <w:spacing w:before="0" w:after="200"/>
        <w:contextualSpacing w:val="0"/>
        <w:jc w:val="left"/>
      </w:pPr>
      <w:r>
        <w:t>Article 31, which recognises the rights of children to rest, play and participate in leisure activities as critical aspects of child wellbeing and development.</w:t>
      </w:r>
      <w:r>
        <w:rPr>
          <w:rStyle w:val="Rimandonotadichiusura"/>
        </w:rPr>
        <w:endnoteReference w:id="755"/>
      </w:r>
      <w:r>
        <w:t xml:space="preserve"> </w:t>
      </w:r>
    </w:p>
    <w:p w:rsidR="00DE77A8" w:rsidRDefault="00DE77A8" w:rsidP="00DE77A8">
      <w:pPr>
        <w:spacing w:before="0" w:after="0"/>
      </w:pPr>
      <w:r>
        <w:t>Importantly, t</w:t>
      </w:r>
      <w:r w:rsidRPr="009E3010">
        <w:t xml:space="preserve">he </w:t>
      </w:r>
      <w:r>
        <w:t xml:space="preserve">CRC </w:t>
      </w:r>
      <w:r w:rsidRPr="009E3010">
        <w:t>recogni</w:t>
      </w:r>
      <w:r>
        <w:t>s</w:t>
      </w:r>
      <w:r w:rsidRPr="009E3010">
        <w:t>es that children's rights must be actively understood and promoted by a</w:t>
      </w:r>
      <w:r>
        <w:t>dults and children alike in order for its aims to be realised. Article 42 obliges signatories</w:t>
      </w:r>
      <w:r w:rsidRPr="009E3010">
        <w:t xml:space="preserve"> to undertake to make the principles and provisions of the </w:t>
      </w:r>
      <w:r>
        <w:t>CRC widely known</w:t>
      </w:r>
      <w:r w:rsidRPr="009E3010">
        <w:t xml:space="preserve">, </w:t>
      </w:r>
      <w:r>
        <w:t>to both adults and children.</w:t>
      </w:r>
      <w:r>
        <w:rPr>
          <w:rStyle w:val="Rimandonotadichiusura"/>
        </w:rPr>
        <w:endnoteReference w:id="756"/>
      </w:r>
      <w:r>
        <w:t xml:space="preserve"> In actively supporting the principles and provisions of the CRC, organisations can empower children with the knowledge that they have these special rights, and make children’s rights a focus of the organisation’s operations.</w:t>
      </w:r>
    </w:p>
    <w:p w:rsidR="00DE77A8" w:rsidRDefault="00DE77A8" w:rsidP="00DE77A8">
      <w:pPr>
        <w:pStyle w:val="Titolo3"/>
      </w:pPr>
      <w:bookmarkStart w:id="149" w:name="_Toc500308839"/>
      <w:r>
        <w:t>What children say about their safety</w:t>
      </w:r>
      <w:bookmarkEnd w:id="149"/>
    </w:p>
    <w:p w:rsidR="00DE77A8" w:rsidRPr="0045612B" w:rsidRDefault="00DE77A8" w:rsidP="00DE77A8">
      <w:pPr>
        <w:rPr>
          <w:rFonts w:cs="Arial"/>
          <w:color w:val="000000"/>
        </w:rPr>
      </w:pPr>
      <w:r>
        <w:t xml:space="preserve">The Royal Commission has emphasised that our understanding of child safety in organisations must be informed by talking with children about their perceptions and experiences. </w:t>
      </w:r>
      <w:r w:rsidRPr="0045612B">
        <w:rPr>
          <w:rFonts w:cs="Arial"/>
          <w:color w:val="000000"/>
        </w:rPr>
        <w:t xml:space="preserve">The Children’s Safety Study was </w:t>
      </w:r>
      <w:r>
        <w:rPr>
          <w:rFonts w:cs="Arial"/>
          <w:color w:val="000000"/>
        </w:rPr>
        <w:t xml:space="preserve">commissioned by the Royal Commission </w:t>
      </w:r>
      <w:r w:rsidRPr="0045612B">
        <w:rPr>
          <w:rFonts w:cs="Arial"/>
          <w:color w:val="000000"/>
        </w:rPr>
        <w:t xml:space="preserve">to explore children and young people’s perceptions of safety. </w:t>
      </w:r>
      <w:r>
        <w:rPr>
          <w:rFonts w:cs="Arial"/>
          <w:color w:val="000000"/>
        </w:rPr>
        <w:t xml:space="preserve">The study produced two reports: </w:t>
      </w:r>
      <w:r>
        <w:rPr>
          <w:rFonts w:cs="Arial"/>
          <w:i/>
          <w:color w:val="000000"/>
        </w:rPr>
        <w:t>Taking Us Seriously</w:t>
      </w:r>
      <w:r w:rsidRPr="009721C7">
        <w:rPr>
          <w:rStyle w:val="Rimandonotadichiusura"/>
          <w:rFonts w:cs="Arial"/>
          <w:color w:val="000000"/>
        </w:rPr>
        <w:endnoteReference w:id="757"/>
      </w:r>
      <w:r>
        <w:rPr>
          <w:rFonts w:cs="Arial"/>
          <w:color w:val="000000"/>
        </w:rPr>
        <w:t xml:space="preserve"> and </w:t>
      </w:r>
      <w:r>
        <w:rPr>
          <w:rFonts w:cs="Arial"/>
          <w:i/>
          <w:color w:val="000000"/>
        </w:rPr>
        <w:t>Our Safety Counts.</w:t>
      </w:r>
      <w:r w:rsidRPr="009721C7">
        <w:rPr>
          <w:rStyle w:val="Rimandonotadichiusura"/>
          <w:rFonts w:cs="Arial"/>
          <w:color w:val="000000"/>
        </w:rPr>
        <w:endnoteReference w:id="758"/>
      </w:r>
      <w:r w:rsidRPr="009721C7">
        <w:rPr>
          <w:rFonts w:cs="Arial"/>
          <w:color w:val="000000"/>
        </w:rPr>
        <w:t xml:space="preserve"> </w:t>
      </w:r>
    </w:p>
    <w:p w:rsidR="00DE77A8" w:rsidRDefault="00DE77A8" w:rsidP="00DE77A8">
      <w:pPr>
        <w:spacing w:before="0" w:after="0"/>
        <w:rPr>
          <w:rFonts w:cs="Arial"/>
          <w:color w:val="000000"/>
        </w:rPr>
      </w:pPr>
      <w:r w:rsidRPr="0045612B">
        <w:rPr>
          <w:rFonts w:cs="Arial"/>
          <w:color w:val="000000"/>
        </w:rPr>
        <w:t>In August 2015</w:t>
      </w:r>
      <w:r>
        <w:rPr>
          <w:rFonts w:cs="Arial"/>
          <w:color w:val="000000"/>
        </w:rPr>
        <w:t>,</w:t>
      </w:r>
      <w:r w:rsidRPr="0045612B">
        <w:rPr>
          <w:rFonts w:cs="Arial"/>
          <w:color w:val="000000"/>
        </w:rPr>
        <w:t xml:space="preserve"> I launched the </w:t>
      </w:r>
      <w:r w:rsidRPr="0045612B">
        <w:rPr>
          <w:rFonts w:cs="Arial"/>
          <w:i/>
          <w:color w:val="000000"/>
        </w:rPr>
        <w:t>Taking Us Seriously</w:t>
      </w:r>
      <w:r w:rsidRPr="0045612B">
        <w:rPr>
          <w:rFonts w:cs="Arial"/>
          <w:color w:val="000000"/>
        </w:rPr>
        <w:t xml:space="preserve"> report</w:t>
      </w:r>
      <w:r>
        <w:rPr>
          <w:rFonts w:cs="Arial"/>
          <w:color w:val="000000"/>
        </w:rPr>
        <w:t>. The report summarises findings from focus groups conducted with 121 children and young people to find out how they conceptualise and perceive safety, particularly within institutions.</w:t>
      </w:r>
      <w:r>
        <w:rPr>
          <w:rStyle w:val="Rimandonotadichiusura"/>
          <w:rFonts w:cs="Arial"/>
          <w:color w:val="000000"/>
        </w:rPr>
        <w:endnoteReference w:id="759"/>
      </w:r>
      <w:r>
        <w:rPr>
          <w:rFonts w:cs="Arial"/>
          <w:color w:val="000000"/>
        </w:rPr>
        <w:t xml:space="preserve"> </w:t>
      </w:r>
    </w:p>
    <w:p w:rsidR="00DE77A8" w:rsidRPr="0045612B" w:rsidRDefault="00DE77A8" w:rsidP="009721C7">
      <w:r w:rsidRPr="0045612B">
        <w:t xml:space="preserve">Children and young people </w:t>
      </w:r>
      <w:r>
        <w:t xml:space="preserve">in the focus groups </w:t>
      </w:r>
      <w:r w:rsidRPr="0045612B">
        <w:t xml:space="preserve">talked about safety in </w:t>
      </w:r>
      <w:r>
        <w:t>relation to feelings and personal characteristics, describing</w:t>
      </w:r>
      <w:r w:rsidRPr="0045612B">
        <w:t xml:space="preserve"> </w:t>
      </w:r>
      <w:r>
        <w:t>how safe environments made them</w:t>
      </w:r>
      <w:r w:rsidRPr="0045612B">
        <w:t xml:space="preserve"> </w:t>
      </w:r>
      <w:r>
        <w:t xml:space="preserve">‘comfortable’ and ‘relaxed’, encouraging them to be </w:t>
      </w:r>
      <w:r w:rsidRPr="0045612B">
        <w:t>‘confident’ and ‘resilient’.</w:t>
      </w:r>
      <w:r w:rsidRPr="0045612B">
        <w:rPr>
          <w:rStyle w:val="Rimandonotadichiusura"/>
          <w:rFonts w:cs="Arial"/>
          <w:color w:val="000000"/>
        </w:rPr>
        <w:endnoteReference w:id="760"/>
      </w:r>
    </w:p>
    <w:p w:rsidR="00DE77A8" w:rsidRPr="0045612B" w:rsidRDefault="00DE77A8" w:rsidP="009721C7">
      <w:r w:rsidRPr="0045612B">
        <w:t>Children and young people explicitly stated the importance of being included in discussions around safety.</w:t>
      </w:r>
      <w:r>
        <w:t xml:space="preserve"> For example, one child said:</w:t>
      </w:r>
    </w:p>
    <w:p w:rsidR="00DE77A8" w:rsidRPr="007C63C8" w:rsidRDefault="00DE77A8" w:rsidP="009721C7">
      <w:pPr>
        <w:pStyle w:val="Citazione"/>
      </w:pPr>
      <w:r w:rsidRPr="007C63C8">
        <w:t>Every school should do what we just did. Talk about what risks there are and if it’s a big risk and what’s been done and what we think should be done. How else can they find out what young adults think and how can we hear what’s been done?</w:t>
      </w:r>
      <w:r w:rsidRPr="00F53326">
        <w:rPr>
          <w:rStyle w:val="Rimandonotadichiusura"/>
          <w:rFonts w:cs="Arial"/>
          <w:iCs w:val="0"/>
          <w:szCs w:val="20"/>
        </w:rPr>
        <w:endnoteReference w:id="761"/>
      </w:r>
    </w:p>
    <w:p w:rsidR="00DE77A8" w:rsidRPr="0045612B" w:rsidRDefault="00DE77A8" w:rsidP="009721C7">
      <w:r w:rsidRPr="0045612B">
        <w:t>Children and young people identified problems such as adults misusing their power</w:t>
      </w:r>
      <w:r>
        <w:t>,</w:t>
      </w:r>
      <w:r w:rsidRPr="0045612B">
        <w:t xml:space="preserve"> or children not being trusted when they raise concerns about their safety. </w:t>
      </w:r>
      <w:r>
        <w:t>As one child commented:</w:t>
      </w:r>
    </w:p>
    <w:p w:rsidR="00DE77A8" w:rsidRPr="0045612B" w:rsidRDefault="00DE77A8" w:rsidP="009721C7">
      <w:pPr>
        <w:pStyle w:val="Citazione"/>
        <w:rPr>
          <w:rFonts w:cs="Arial"/>
          <w:color w:val="000000"/>
        </w:rPr>
      </w:pPr>
      <w:r w:rsidRPr="00B32C8D">
        <w:t>They need to trust our gut feelings because it’s real, and even if it’s not, if a kid feels unsafe adults have to take notice because it’s real to them. Yeah</w:t>
      </w:r>
      <w:r>
        <w:t>,</w:t>
      </w:r>
      <w:r w:rsidRPr="00B32C8D">
        <w:t xml:space="preserve"> adults shouldn’t ignore it or say ‘don’t worry, settle down’ just because it’s a kid</w:t>
      </w:r>
      <w:r w:rsidRPr="00B32C8D">
        <w:rPr>
          <w:i/>
        </w:rPr>
        <w:t>.</w:t>
      </w:r>
      <w:r w:rsidRPr="00B32C8D">
        <w:rPr>
          <w:rStyle w:val="Rimandonotadichiusura"/>
          <w:iCs w:val="0"/>
          <w:szCs w:val="20"/>
        </w:rPr>
        <w:endnoteReference w:id="762"/>
      </w:r>
      <w:r w:rsidRPr="00B32C8D">
        <w:rPr>
          <w:rFonts w:cs="Arial"/>
          <w:color w:val="000000"/>
          <w:sz w:val="20"/>
          <w:szCs w:val="20"/>
        </w:rPr>
        <w:t xml:space="preserve"> </w:t>
      </w:r>
    </w:p>
    <w:p w:rsidR="00DE77A8" w:rsidRPr="0045612B" w:rsidRDefault="00DE77A8" w:rsidP="009721C7">
      <w:r>
        <w:t>In September 2016, t</w:t>
      </w:r>
      <w:r w:rsidRPr="0045612B">
        <w:t xml:space="preserve">he </w:t>
      </w:r>
      <w:r w:rsidRPr="0045612B">
        <w:rPr>
          <w:i/>
        </w:rPr>
        <w:t>Our Safety Counts</w:t>
      </w:r>
      <w:r>
        <w:t xml:space="preserve"> report was published. It provided</w:t>
      </w:r>
      <w:r w:rsidRPr="0045612B">
        <w:t xml:space="preserve"> an overview of the major findings from </w:t>
      </w:r>
      <w:r>
        <w:t xml:space="preserve">the ASK-YP survey, developed to build on the qualitative findings of the </w:t>
      </w:r>
      <w:r w:rsidRPr="00447374">
        <w:rPr>
          <w:i/>
        </w:rPr>
        <w:t>Taking Us Seriously</w:t>
      </w:r>
      <w:r>
        <w:t xml:space="preserve"> report.</w:t>
      </w:r>
      <w:r w:rsidRPr="0045612B">
        <w:rPr>
          <w:rStyle w:val="Rimandonotadichiusura"/>
          <w:rFonts w:cs="Arial"/>
          <w:color w:val="000000"/>
        </w:rPr>
        <w:endnoteReference w:id="763"/>
      </w:r>
      <w:r>
        <w:t xml:space="preserve"> The ASK-YP survey was completed by</w:t>
      </w:r>
      <w:r w:rsidRPr="0045612B">
        <w:t xml:space="preserve"> 1,480 children and young people</w:t>
      </w:r>
      <w:r>
        <w:t>.</w:t>
      </w:r>
    </w:p>
    <w:p w:rsidR="00DE77A8" w:rsidRPr="0045612B" w:rsidRDefault="00DE77A8" w:rsidP="009721C7">
      <w:r>
        <w:rPr>
          <w:i/>
        </w:rPr>
        <w:t xml:space="preserve">Our Safety Counts </w:t>
      </w:r>
      <w:r>
        <w:t>found that t</w:t>
      </w:r>
      <w:r w:rsidRPr="0045612B">
        <w:t>he majority of children and young people reported feeling safe ‘some of the time’ or ‘all of the time’ in sport (</w:t>
      </w:r>
      <w:r>
        <w:t xml:space="preserve">n=216; </w:t>
      </w:r>
      <w:r w:rsidRPr="0045612B">
        <w:t>93.9%), school (</w:t>
      </w:r>
      <w:r>
        <w:t xml:space="preserve">n=750; </w:t>
      </w:r>
      <w:r w:rsidRPr="0045612B">
        <w:t>89.6%), holiday camp</w:t>
      </w:r>
      <w:r>
        <w:t>s</w:t>
      </w:r>
      <w:r w:rsidRPr="0045612B">
        <w:t xml:space="preserve"> (</w:t>
      </w:r>
      <w:r>
        <w:t xml:space="preserve">n=90; </w:t>
      </w:r>
      <w:r w:rsidRPr="0045612B">
        <w:t>88.9%</w:t>
      </w:r>
      <w:r>
        <w:t xml:space="preserve">) and church groups </w:t>
      </w:r>
      <w:r w:rsidRPr="0045612B">
        <w:t>(</w:t>
      </w:r>
      <w:r>
        <w:t xml:space="preserve">n=57; </w:t>
      </w:r>
      <w:r w:rsidRPr="0045612B">
        <w:t>84.9%).</w:t>
      </w:r>
      <w:r w:rsidRPr="0045612B">
        <w:rPr>
          <w:rStyle w:val="Rimandonotadichiusura"/>
          <w:rFonts w:cs="Arial"/>
          <w:color w:val="000000"/>
        </w:rPr>
        <w:endnoteReference w:id="764"/>
      </w:r>
    </w:p>
    <w:p w:rsidR="00DE77A8" w:rsidRPr="0045612B" w:rsidRDefault="00DE77A8" w:rsidP="009721C7">
      <w:r w:rsidRPr="0045612B">
        <w:t xml:space="preserve">The majority of participants felt that adults valued children and young people’s opinions ‘all the time’ in church </w:t>
      </w:r>
      <w:r>
        <w:t xml:space="preserve">(n=57; 65.2%) </w:t>
      </w:r>
      <w:r w:rsidRPr="0045612B">
        <w:t>and sporting environments</w:t>
      </w:r>
      <w:r>
        <w:t xml:space="preserve"> (n=216; 52.8%)</w:t>
      </w:r>
      <w:r w:rsidRPr="0045612B">
        <w:t>. However</w:t>
      </w:r>
      <w:r>
        <w:t>,</w:t>
      </w:r>
      <w:r w:rsidRPr="0045612B">
        <w:t xml:space="preserve"> less than half of the participants felt this way at holiday camp</w:t>
      </w:r>
      <w:r>
        <w:t xml:space="preserve"> (n=90; 43%)</w:t>
      </w:r>
      <w:r w:rsidRPr="0045612B">
        <w:t xml:space="preserve"> and only one-quarter of those agreed with the statement in relation to school</w:t>
      </w:r>
      <w:r>
        <w:t xml:space="preserve"> (n=750; 27%)</w:t>
      </w:r>
      <w:r w:rsidRPr="0045612B">
        <w:t>.</w:t>
      </w:r>
      <w:r w:rsidRPr="0045612B">
        <w:rPr>
          <w:rStyle w:val="Rimandonotadichiusura"/>
          <w:rFonts w:cs="Arial"/>
          <w:color w:val="000000"/>
        </w:rPr>
        <w:endnoteReference w:id="765"/>
      </w:r>
    </w:p>
    <w:p w:rsidR="00DE77A8" w:rsidRPr="0045612B" w:rsidRDefault="00DE77A8" w:rsidP="009721C7">
      <w:r w:rsidRPr="0045612B">
        <w:t xml:space="preserve">Two-thirds of </w:t>
      </w:r>
      <w:r>
        <w:t xml:space="preserve">all </w:t>
      </w:r>
      <w:r w:rsidRPr="0045612B">
        <w:t xml:space="preserve">participants felt it was unlikely that they would encounter an unsafe </w:t>
      </w:r>
      <w:r>
        <w:t>adult or peer. If they did meet such a person</w:t>
      </w:r>
      <w:r w:rsidRPr="0045612B">
        <w:t>, c</w:t>
      </w:r>
      <w:r>
        <w:t xml:space="preserve">hildren and young people stated they were </w:t>
      </w:r>
      <w:r w:rsidRPr="0045612B">
        <w:t>much more likely to seek help from a peer or parent</w:t>
      </w:r>
      <w:r>
        <w:t xml:space="preserve"> than adults in charge at the organisation</w:t>
      </w:r>
      <w:r w:rsidRPr="0045612B">
        <w:t xml:space="preserve">, even though they believed they would </w:t>
      </w:r>
      <w:r>
        <w:t>need an</w:t>
      </w:r>
      <w:r w:rsidRPr="0045612B">
        <w:t xml:space="preserve"> adult to notice, ask if they were ok</w:t>
      </w:r>
      <w:r>
        <w:t>ay</w:t>
      </w:r>
      <w:r w:rsidRPr="0045612B">
        <w:t xml:space="preserve"> and to take control of the situation.</w:t>
      </w:r>
      <w:r w:rsidRPr="0045612B">
        <w:rPr>
          <w:rStyle w:val="Rimandonotadichiusura"/>
          <w:rFonts w:cs="Arial"/>
          <w:color w:val="000000"/>
        </w:rPr>
        <w:endnoteReference w:id="766"/>
      </w:r>
    </w:p>
    <w:p w:rsidR="00DE77A8" w:rsidRDefault="00DE77A8" w:rsidP="009721C7">
      <w:r w:rsidRPr="0045612B">
        <w:t>The two reports from the Children’s Safety Study indicate that children and young people generally feel positive about their safety in organisations. The findings emphasise that valuing the voice</w:t>
      </w:r>
      <w:r>
        <w:t>s of</w:t>
      </w:r>
      <w:r w:rsidRPr="0045612B">
        <w:t xml:space="preserve"> children and young people and trusting them when they speak up about concerns is central to ensuring child safety and wellbeing in organisations. </w:t>
      </w:r>
    </w:p>
    <w:p w:rsidR="00DE77A8" w:rsidRPr="00F43131" w:rsidRDefault="00DE77A8" w:rsidP="009721C7">
      <w:r>
        <w:t xml:space="preserve">I note that the importance of hearing children’s views on safety is also reflected in the </w:t>
      </w:r>
      <w:r w:rsidRPr="00117565">
        <w:rPr>
          <w:i/>
        </w:rPr>
        <w:t>National Framework for Protecting Australia’s Children</w:t>
      </w:r>
      <w:r>
        <w:t xml:space="preserve"> (National Framework). It </w:t>
      </w:r>
      <w:r w:rsidRPr="00F43131">
        <w:t xml:space="preserve">includes a commitment to consult with children and young people </w:t>
      </w:r>
      <w:r>
        <w:t xml:space="preserve">regarding the design and implementation of strategies contained in its </w:t>
      </w:r>
      <w:r w:rsidR="003C4165">
        <w:t>T</w:t>
      </w:r>
      <w:r>
        <w:t xml:space="preserve">hird </w:t>
      </w:r>
      <w:r w:rsidR="003C4165">
        <w:t>A</w:t>
      </w:r>
      <w:r>
        <w:t xml:space="preserve">ction </w:t>
      </w:r>
      <w:r w:rsidR="003C4165">
        <w:t>P</w:t>
      </w:r>
      <w:r>
        <w:t>lan</w:t>
      </w:r>
      <w:r w:rsidRPr="00F43131">
        <w:t>.</w:t>
      </w:r>
      <w:r>
        <w:rPr>
          <w:rStyle w:val="Rimandonotadichiusura"/>
          <w:rFonts w:cs="Arial"/>
          <w:color w:val="000000"/>
        </w:rPr>
        <w:endnoteReference w:id="767"/>
      </w:r>
    </w:p>
    <w:p w:rsidR="00DE77A8" w:rsidRDefault="00DE77A8" w:rsidP="009721C7">
      <w:r>
        <w:t xml:space="preserve">As discussed in Chapter 1, </w:t>
      </w:r>
      <w:r w:rsidRPr="003B2926">
        <w:t>I partnered with the CREATE Foundation to facilitate consultations with 323 children and young people</w:t>
      </w:r>
      <w:r>
        <w:t xml:space="preserve"> in early 2017</w:t>
      </w:r>
      <w:r w:rsidR="009721C7">
        <w:t xml:space="preserve">. </w:t>
      </w:r>
      <w:r w:rsidRPr="003B2926">
        <w:t>We talked to children and young people about what m</w:t>
      </w:r>
      <w:r w:rsidR="009721C7">
        <w:t>akes them feel safe and unsafe.</w:t>
      </w:r>
    </w:p>
    <w:p w:rsidR="00DE77A8" w:rsidRPr="009721C7" w:rsidRDefault="00DE77A8" w:rsidP="009721C7">
      <w:pPr>
        <w:rPr>
          <w:highlight w:val="yellow"/>
        </w:rPr>
      </w:pPr>
      <w:r w:rsidRPr="003B2926">
        <w:t xml:space="preserve">In </w:t>
      </w:r>
      <w:r>
        <w:t>general, they</w:t>
      </w:r>
      <w:r w:rsidRPr="003B2926">
        <w:t xml:space="preserve"> told us that feeling safe is about feeling welcome, included and not discriminated against, but als</w:t>
      </w:r>
      <w:r>
        <w:t>o noted the importance of youth-</w:t>
      </w:r>
      <w:r w:rsidRPr="003B2926">
        <w:t>friendly physical environments.</w:t>
      </w:r>
      <w:r>
        <w:t xml:space="preserve"> As one participant expressed: ‘</w:t>
      </w:r>
      <w:r w:rsidRPr="009619EE">
        <w:t xml:space="preserve">A lot of the time it’s not feeling </w:t>
      </w:r>
      <w:r>
        <w:t>unsafe, it’s feeling unwelcome —</w:t>
      </w:r>
      <w:r w:rsidRPr="009619EE">
        <w:t xml:space="preserve"> it’s the way that people look at you</w:t>
      </w:r>
      <w:r>
        <w:t>’</w:t>
      </w:r>
      <w:r w:rsidRPr="009619EE">
        <w:t>.</w:t>
      </w:r>
      <w:r>
        <w:rPr>
          <w:rStyle w:val="Rimandonotadichiusura"/>
          <w:rFonts w:cs="Arial"/>
          <w:color w:val="000000"/>
        </w:rPr>
        <w:endnoteReference w:id="768"/>
      </w:r>
      <w:r>
        <w:t xml:space="preserve"> Another remarked: ‘</w:t>
      </w:r>
      <w:r w:rsidRPr="009619EE">
        <w:t xml:space="preserve">It was pretty much the sporting club involving me, into the games, encourage </w:t>
      </w:r>
      <w:r>
        <w:t xml:space="preserve">[sic] </w:t>
      </w:r>
      <w:r w:rsidRPr="009619EE">
        <w:t>me while playing and introducing me to the team as well</w:t>
      </w:r>
      <w:r>
        <w:t>’</w:t>
      </w:r>
      <w:r w:rsidRPr="009619EE">
        <w:t>.</w:t>
      </w:r>
      <w:r>
        <w:rPr>
          <w:rStyle w:val="Rimandonotadichiusura"/>
          <w:rFonts w:cs="Arial"/>
          <w:color w:val="000000"/>
        </w:rPr>
        <w:endnoteReference w:id="769"/>
      </w:r>
      <w:r w:rsidRPr="009619EE">
        <w:t xml:space="preserve"> </w:t>
      </w:r>
      <w:r>
        <w:t xml:space="preserve">Additional comments </w:t>
      </w:r>
      <w:r w:rsidR="003C4165">
        <w:t>about what made them feel safe</w:t>
      </w:r>
      <w:r>
        <w:t xml:space="preserve"> included:</w:t>
      </w:r>
    </w:p>
    <w:p w:rsidR="00DE77A8" w:rsidRPr="009619EE" w:rsidRDefault="00DE77A8" w:rsidP="009721C7">
      <w:pPr>
        <w:pStyle w:val="Citazione"/>
      </w:pPr>
      <w:r w:rsidRPr="00A70D5C">
        <w:t>It’s having activities or sport or anything else. It gives everybody a chance to focus on something, it’s the reason everyone bonds together. It removes the barriers</w:t>
      </w:r>
      <w:r>
        <w:t xml:space="preserve"> </w:t>
      </w:r>
      <w:r w:rsidRPr="00A70D5C">
        <w:t>… everybody knows that they’re there for, say, tennis, they’re not there to judge or compare or ridicule. We just want to play and have fun.</w:t>
      </w:r>
      <w:r>
        <w:rPr>
          <w:rStyle w:val="Rimandonotadichiusura"/>
          <w:rFonts w:cs="Arial"/>
          <w:color w:val="000000"/>
        </w:rPr>
        <w:endnoteReference w:id="770"/>
      </w:r>
    </w:p>
    <w:p w:rsidR="00DE77A8" w:rsidRDefault="00DE77A8" w:rsidP="009721C7">
      <w:pPr>
        <w:pStyle w:val="Citazione"/>
      </w:pPr>
      <w:r w:rsidRPr="00A70D5C">
        <w:t>People come from very different cultures. Being open and talking about it/discussing helps</w:t>
      </w:r>
      <w:r>
        <w:t xml:space="preserve"> </w:t>
      </w:r>
      <w:r w:rsidRPr="00A70D5C">
        <w:t>… and connecting and making friends. Community groups help connect you with other services. It’s the nature of being polite, a different cultural lens.</w:t>
      </w:r>
      <w:r>
        <w:rPr>
          <w:rStyle w:val="Rimandonotadichiusura"/>
          <w:rFonts w:cs="Arial"/>
          <w:color w:val="000000"/>
        </w:rPr>
        <w:endnoteReference w:id="771"/>
      </w:r>
    </w:p>
    <w:p w:rsidR="00DE77A8" w:rsidRPr="003305A3" w:rsidRDefault="00DE77A8" w:rsidP="009721C7">
      <w:r>
        <w:t xml:space="preserve">These statements provide vivid illustrations of the value of listening to children and young people, learning from their experiences and opinions. </w:t>
      </w:r>
    </w:p>
    <w:p w:rsidR="00DE77A8" w:rsidRDefault="00DE77A8" w:rsidP="00DE77A8">
      <w:pPr>
        <w:pStyle w:val="Titolo3"/>
      </w:pPr>
      <w:bookmarkStart w:id="150" w:name="_Toc500308840"/>
      <w:r>
        <w:t>Risk and protective factors for child sexual abuse in organisations</w:t>
      </w:r>
      <w:bookmarkEnd w:id="150"/>
    </w:p>
    <w:p w:rsidR="00DE77A8" w:rsidRDefault="00DE77A8" w:rsidP="00DE77A8">
      <w:pPr>
        <w:spacing w:before="0" w:after="0"/>
        <w:rPr>
          <w:rFonts w:cs="Arial"/>
          <w:color w:val="000000"/>
        </w:rPr>
      </w:pPr>
      <w:r>
        <w:rPr>
          <w:rFonts w:cs="Arial"/>
          <w:color w:val="000000"/>
        </w:rPr>
        <w:t xml:space="preserve">In 2017, the Royal Commission published some commissioned research projects on the risk and protective factors for child sexual abuse in institutional contexts. </w:t>
      </w:r>
      <w:r w:rsidRPr="0045612B">
        <w:rPr>
          <w:rFonts w:cs="Arial"/>
          <w:color w:val="000000"/>
        </w:rPr>
        <w:t>The</w:t>
      </w:r>
      <w:r>
        <w:rPr>
          <w:rFonts w:cs="Arial"/>
          <w:color w:val="000000"/>
        </w:rPr>
        <w:t xml:space="preserve"> </w:t>
      </w:r>
      <w:r w:rsidRPr="0045612B">
        <w:rPr>
          <w:rFonts w:cs="Arial"/>
          <w:color w:val="000000"/>
        </w:rPr>
        <w:t xml:space="preserve">risk of child harm is higher in some organisations than in others. Identifying and mitigating risks </w:t>
      </w:r>
      <w:r>
        <w:rPr>
          <w:rFonts w:cs="Arial"/>
          <w:color w:val="000000"/>
        </w:rPr>
        <w:t>allows organisations to better</w:t>
      </w:r>
      <w:r w:rsidRPr="0045612B">
        <w:rPr>
          <w:rFonts w:cs="Arial"/>
          <w:color w:val="000000"/>
        </w:rPr>
        <w:t xml:space="preserve"> ensure child safety and wellbeing. </w:t>
      </w:r>
    </w:p>
    <w:p w:rsidR="00DE77A8" w:rsidRDefault="00DE77A8" w:rsidP="009721C7">
      <w:pPr>
        <w:pStyle w:val="Titolo4"/>
      </w:pPr>
      <w:r>
        <w:t>Risk and protective factors</w:t>
      </w:r>
    </w:p>
    <w:p w:rsidR="00DE77A8" w:rsidRPr="0045612B" w:rsidRDefault="00DE77A8" w:rsidP="009721C7">
      <w:r>
        <w:t xml:space="preserve">In a </w:t>
      </w:r>
      <w:r w:rsidRPr="0045612B">
        <w:t>literature review completed for the Royal Commission</w:t>
      </w:r>
      <w:r>
        <w:t>,</w:t>
      </w:r>
      <w:r w:rsidRPr="001B0DFD">
        <w:t xml:space="preserve"> </w:t>
      </w:r>
      <w:r>
        <w:t>Kaufman and Erooga synthesised the a</w:t>
      </w:r>
      <w:r w:rsidRPr="0045612B">
        <w:t>vailable literature on risk and protective factors for child sexual</w:t>
      </w:r>
      <w:r>
        <w:t xml:space="preserve"> abuse in organisations</w:t>
      </w:r>
      <w:r w:rsidRPr="0045612B">
        <w:t>.</w:t>
      </w:r>
      <w:r w:rsidRPr="0045612B">
        <w:rPr>
          <w:rStyle w:val="Rimandonotadichiusura"/>
          <w:rFonts w:cs="Arial"/>
          <w:color w:val="000000"/>
        </w:rPr>
        <w:endnoteReference w:id="772"/>
      </w:r>
      <w:r w:rsidRPr="0045612B">
        <w:t xml:space="preserve"> The review </w:t>
      </w:r>
      <w:r>
        <w:t>discussed</w:t>
      </w:r>
      <w:r w:rsidRPr="0045612B">
        <w:t xml:space="preserve"> risk and protective factors in three broad areas: victims, perpetrators and institutional settings.</w:t>
      </w:r>
      <w:r w:rsidRPr="0045612B">
        <w:rPr>
          <w:rStyle w:val="Rimandonotadichiusura"/>
          <w:rFonts w:cs="Arial"/>
          <w:color w:val="000000"/>
        </w:rPr>
        <w:endnoteReference w:id="773"/>
      </w:r>
    </w:p>
    <w:p w:rsidR="00873DD9" w:rsidRDefault="00DE77A8" w:rsidP="009721C7">
      <w:r>
        <w:t xml:space="preserve">On victims, the </w:t>
      </w:r>
      <w:r w:rsidRPr="0045612B">
        <w:t>literature</w:t>
      </w:r>
      <w:r w:rsidR="003C4165">
        <w:t xml:space="preserve"> review</w:t>
      </w:r>
      <w:r w:rsidRPr="0045612B">
        <w:t xml:space="preserve"> </w:t>
      </w:r>
      <w:r>
        <w:t xml:space="preserve">indicated </w:t>
      </w:r>
      <w:r w:rsidRPr="0045612B">
        <w:t xml:space="preserve">a majority of child sexual abuse victims </w:t>
      </w:r>
      <w:r>
        <w:t xml:space="preserve">in all settings </w:t>
      </w:r>
      <w:r w:rsidRPr="0045612B">
        <w:t>are female, noting there may be disproportionately</w:t>
      </w:r>
      <w:r>
        <w:t xml:space="preserve"> low rates of disclosure among</w:t>
      </w:r>
      <w:r w:rsidRPr="0045612B">
        <w:t xml:space="preserve"> males.</w:t>
      </w:r>
      <w:r w:rsidRPr="0045612B">
        <w:rPr>
          <w:rStyle w:val="Rimandonotadichiusura"/>
          <w:rFonts w:cs="Arial"/>
          <w:color w:val="000000"/>
        </w:rPr>
        <w:endnoteReference w:id="774"/>
      </w:r>
      <w:r w:rsidRPr="0045612B">
        <w:t xml:space="preserve"> </w:t>
      </w:r>
      <w:r>
        <w:t>The Royal Commission’s Interim Report states that two in three survivors of sexual abuse in institutional settings who participated in private sessions were male.</w:t>
      </w:r>
      <w:r>
        <w:rPr>
          <w:rStyle w:val="Rimandonotadichiusura"/>
          <w:rFonts w:cs="Arial"/>
          <w:color w:val="000000"/>
        </w:rPr>
        <w:endnoteReference w:id="775"/>
      </w:r>
    </w:p>
    <w:p w:rsidR="00DE77A8" w:rsidRPr="0045612B" w:rsidRDefault="00DE77A8" w:rsidP="009721C7">
      <w:r>
        <w:t xml:space="preserve">Kaufman and Erooga also noted that </w:t>
      </w:r>
      <w:r w:rsidRPr="0045612B">
        <w:t xml:space="preserve">the age at which </w:t>
      </w:r>
      <w:r>
        <w:t xml:space="preserve">sexual </w:t>
      </w:r>
      <w:r w:rsidRPr="0045612B">
        <w:t xml:space="preserve">abuse begins varies, possibly </w:t>
      </w:r>
      <w:r w:rsidRPr="00C93C43">
        <w:t>because children may be in different institutional settings across their developmental span.</w:t>
      </w:r>
      <w:r w:rsidRPr="00C93C43">
        <w:rPr>
          <w:rStyle w:val="Rimandonotadichiusura"/>
          <w:rFonts w:cs="Arial"/>
          <w:color w:val="000000"/>
        </w:rPr>
        <w:endnoteReference w:id="776"/>
      </w:r>
      <w:r w:rsidRPr="0045612B">
        <w:t xml:space="preserve"> The</w:t>
      </w:r>
      <w:r>
        <w:t>y</w:t>
      </w:r>
      <w:r w:rsidRPr="0045612B">
        <w:t xml:space="preserve"> examined literature indicating that children with a disability and children from families with low socio-economic status are at higher risk of child sexual abuse.</w:t>
      </w:r>
      <w:r w:rsidRPr="0045612B">
        <w:rPr>
          <w:rStyle w:val="Rimandonotadichiusura"/>
          <w:rFonts w:cs="Arial"/>
          <w:color w:val="000000"/>
        </w:rPr>
        <w:endnoteReference w:id="777"/>
      </w:r>
    </w:p>
    <w:p w:rsidR="00DE77A8" w:rsidRPr="0045612B" w:rsidRDefault="00DE77A8" w:rsidP="009721C7">
      <w:r>
        <w:t>The review pointed out that there is no profile for perpetrators of child sexual abuse in organisations.</w:t>
      </w:r>
      <w:r>
        <w:rPr>
          <w:rStyle w:val="Rimandonotadichiusura"/>
          <w:rFonts w:cs="Arial"/>
          <w:color w:val="000000"/>
        </w:rPr>
        <w:endnoteReference w:id="778"/>
      </w:r>
      <w:r>
        <w:t xml:space="preserve"> In general, the</w:t>
      </w:r>
      <w:r w:rsidRPr="0045612B">
        <w:t xml:space="preserve"> risk factors for </w:t>
      </w:r>
      <w:r>
        <w:t>sexual offending include deviant sexual interest, distorted attitudes about sex, poor socio-affective function and poor self-management</w:t>
      </w:r>
      <w:r w:rsidRPr="0045612B">
        <w:t>.</w:t>
      </w:r>
      <w:r w:rsidRPr="0045612B">
        <w:rPr>
          <w:rStyle w:val="Rimandonotadichiusura"/>
          <w:rFonts w:cs="Arial"/>
          <w:color w:val="000000"/>
        </w:rPr>
        <w:endnoteReference w:id="779"/>
      </w:r>
      <w:r>
        <w:t xml:space="preserve"> Kaufman and Erooga highlighted a useful distinction between those who have a long term sexual preference for children, described as ‘preferential offenders’, and those who take advantage of opportunities to offend against children, termed ‘situational offenders’.</w:t>
      </w:r>
      <w:r>
        <w:rPr>
          <w:rStyle w:val="Rimandonotadichiusura"/>
          <w:rFonts w:cs="Arial"/>
          <w:color w:val="000000"/>
        </w:rPr>
        <w:endnoteReference w:id="780"/>
      </w:r>
    </w:p>
    <w:p w:rsidR="00DE77A8" w:rsidRDefault="00DE77A8" w:rsidP="009721C7">
      <w:r>
        <w:t>Importantly, the review discussed how the</w:t>
      </w:r>
      <w:r w:rsidRPr="0045612B">
        <w:t xml:space="preserve"> characteristics of an organisation and the activities it conducts play a significant role in determining the level of risk in that organisation.</w:t>
      </w:r>
      <w:r w:rsidRPr="0045612B">
        <w:rPr>
          <w:rStyle w:val="Rimandonotadichiusura"/>
          <w:rFonts w:cs="Arial"/>
          <w:color w:val="000000"/>
        </w:rPr>
        <w:endnoteReference w:id="781"/>
      </w:r>
      <w:r w:rsidRPr="0045612B">
        <w:t xml:space="preserve"> These characteristics include the physical condition of facilities, child safety policies and procedures, a</w:t>
      </w:r>
      <w:r>
        <w:t>s well as</w:t>
      </w:r>
      <w:r w:rsidRPr="0045612B">
        <w:t xml:space="preserve"> screening, training and supervision of staff.</w:t>
      </w:r>
      <w:r w:rsidRPr="0045612B">
        <w:rPr>
          <w:rStyle w:val="Rimandonotadichiusura"/>
          <w:rFonts w:cs="Arial"/>
          <w:color w:val="000000"/>
        </w:rPr>
        <w:endnoteReference w:id="782"/>
      </w:r>
    </w:p>
    <w:p w:rsidR="00DE77A8" w:rsidRDefault="00DE77A8" w:rsidP="009721C7">
      <w:r w:rsidRPr="0045612B">
        <w:t xml:space="preserve">The culture of an organisation is </w:t>
      </w:r>
      <w:r>
        <w:t xml:space="preserve">also </w:t>
      </w:r>
      <w:r w:rsidRPr="0045612B">
        <w:t>a</w:t>
      </w:r>
      <w:r>
        <w:t xml:space="preserve"> salient</w:t>
      </w:r>
      <w:r w:rsidRPr="0045612B">
        <w:t xml:space="preserve"> risk or pr</w:t>
      </w:r>
      <w:r>
        <w:t xml:space="preserve">otective factor for child harm, including </w:t>
      </w:r>
      <w:r w:rsidRPr="0045612B">
        <w:t xml:space="preserve">the perceived authority of the leadership and </w:t>
      </w:r>
      <w:r>
        <w:t xml:space="preserve">the </w:t>
      </w:r>
      <w:r w:rsidRPr="0045612B">
        <w:t xml:space="preserve">organisation, </w:t>
      </w:r>
      <w:r>
        <w:t xml:space="preserve">and </w:t>
      </w:r>
      <w:r w:rsidRPr="0045612B">
        <w:t>op</w:t>
      </w:r>
      <w:r>
        <w:t>enness to information or change.</w:t>
      </w:r>
      <w:r w:rsidRPr="0045612B">
        <w:rPr>
          <w:rStyle w:val="Rimandonotadichiusura"/>
          <w:rFonts w:cs="Arial"/>
          <w:color w:val="000000"/>
        </w:rPr>
        <w:endnoteReference w:id="783"/>
      </w:r>
      <w:r>
        <w:t xml:space="preserve"> The review noted that creating a culture where children have a voice regarding what happens to them has been consistently recommended</w:t>
      </w:r>
      <w:r w:rsidRPr="0045612B">
        <w:t>.</w:t>
      </w:r>
      <w:r w:rsidRPr="00B32C8D">
        <w:rPr>
          <w:rStyle w:val="Rimandonotadichiusura"/>
          <w:rFonts w:cs="Arial"/>
          <w:color w:val="000000"/>
          <w:szCs w:val="20"/>
        </w:rPr>
        <w:endnoteReference w:id="784"/>
      </w:r>
    </w:p>
    <w:p w:rsidR="00DE77A8" w:rsidRPr="0045612B" w:rsidRDefault="00DE77A8" w:rsidP="009721C7">
      <w:r>
        <w:t xml:space="preserve">Kaufman and Erooga concluded that a positive organisational culture is central to keeping children safe and well: </w:t>
      </w:r>
    </w:p>
    <w:p w:rsidR="00DE77A8" w:rsidRPr="0045612B" w:rsidRDefault="00DE77A8" w:rsidP="004A6248">
      <w:pPr>
        <w:pStyle w:val="Citazione"/>
        <w:rPr>
          <w:rFonts w:cs="Arial"/>
          <w:color w:val="000000"/>
        </w:rPr>
      </w:pPr>
      <w:r w:rsidRPr="00DB2141">
        <w:t>Effective prevention is predicated on creating a positive, open and inclusive organisational culture in which the safety of children is paramount. This culture should be led by senior management and wholeheartedly endorsed and owned by staff at all levels.</w:t>
      </w:r>
      <w:r w:rsidRPr="00DB2141">
        <w:rPr>
          <w:rStyle w:val="Rimandonotadichiusura"/>
          <w:sz w:val="22"/>
          <w:szCs w:val="22"/>
        </w:rPr>
        <w:endnoteReference w:id="785"/>
      </w:r>
    </w:p>
    <w:p w:rsidR="00DE77A8" w:rsidRPr="0045612B" w:rsidRDefault="00DE77A8" w:rsidP="00DE77A8">
      <w:r>
        <w:t xml:space="preserve">In another report for the Royal Commission, </w:t>
      </w:r>
      <w:r w:rsidRPr="0045612B">
        <w:t>Parkinson and Cashmore</w:t>
      </w:r>
      <w:r>
        <w:t xml:space="preserve"> </w:t>
      </w:r>
      <w:r w:rsidRPr="0045612B">
        <w:t>assess</w:t>
      </w:r>
      <w:r>
        <w:t>ed</w:t>
      </w:r>
      <w:r w:rsidRPr="0045612B">
        <w:t xml:space="preserve"> the different dimensions and degrees of risk of child sexual abuse in ins</w:t>
      </w:r>
      <w:r>
        <w:t>titutions. The report identified</w:t>
      </w:r>
      <w:r w:rsidR="004A6248">
        <w:t xml:space="preserve"> four key dimensions of risk:</w:t>
      </w:r>
    </w:p>
    <w:p w:rsidR="00DE77A8" w:rsidRPr="0045612B" w:rsidRDefault="00DE77A8" w:rsidP="00B934D7">
      <w:pPr>
        <w:numPr>
          <w:ilvl w:val="0"/>
          <w:numId w:val="144"/>
        </w:numPr>
        <w:rPr>
          <w:rFonts w:cs="Arial"/>
        </w:rPr>
      </w:pPr>
      <w:r>
        <w:rPr>
          <w:rFonts w:cs="Arial"/>
        </w:rPr>
        <w:t>situational risk arises</w:t>
      </w:r>
      <w:r w:rsidRPr="0045612B">
        <w:rPr>
          <w:rFonts w:cs="Arial"/>
        </w:rPr>
        <w:t xml:space="preserve"> from the opportunities for abuse that the environment offers </w:t>
      </w:r>
    </w:p>
    <w:p w:rsidR="00DE77A8" w:rsidRPr="0045612B" w:rsidRDefault="00DE77A8" w:rsidP="00B934D7">
      <w:pPr>
        <w:numPr>
          <w:ilvl w:val="0"/>
          <w:numId w:val="144"/>
        </w:numPr>
        <w:rPr>
          <w:rFonts w:cs="Arial"/>
        </w:rPr>
      </w:pPr>
      <w:r w:rsidRPr="0045612B">
        <w:rPr>
          <w:rFonts w:cs="Arial"/>
        </w:rPr>
        <w:t xml:space="preserve">vulnerability risk </w:t>
      </w:r>
      <w:r>
        <w:rPr>
          <w:rFonts w:cs="Arial"/>
        </w:rPr>
        <w:t>arises</w:t>
      </w:r>
      <w:r w:rsidRPr="0045612B">
        <w:rPr>
          <w:rFonts w:cs="Arial"/>
        </w:rPr>
        <w:t xml:space="preserve"> from the characteristics of the children cared for </w:t>
      </w:r>
    </w:p>
    <w:p w:rsidR="00DE77A8" w:rsidRPr="0045612B" w:rsidRDefault="00DE77A8" w:rsidP="00B934D7">
      <w:pPr>
        <w:numPr>
          <w:ilvl w:val="0"/>
          <w:numId w:val="144"/>
        </w:numPr>
        <w:rPr>
          <w:rFonts w:cs="Arial"/>
        </w:rPr>
      </w:pPr>
      <w:r>
        <w:rPr>
          <w:rFonts w:cs="Arial"/>
        </w:rPr>
        <w:t>propensity risk arises</w:t>
      </w:r>
      <w:r w:rsidRPr="0045612B">
        <w:rPr>
          <w:rFonts w:cs="Arial"/>
        </w:rPr>
        <w:t xml:space="preserve"> from a greater-than-average clustering of those with a propensity to abuse children and young people </w:t>
      </w:r>
    </w:p>
    <w:p w:rsidR="00DE77A8" w:rsidRDefault="00DE77A8" w:rsidP="00B934D7">
      <w:pPr>
        <w:numPr>
          <w:ilvl w:val="0"/>
          <w:numId w:val="144"/>
        </w:numPr>
        <w:rPr>
          <w:rFonts w:cs="Arial"/>
        </w:rPr>
      </w:pPr>
      <w:r>
        <w:rPr>
          <w:rFonts w:cs="Arial"/>
        </w:rPr>
        <w:t xml:space="preserve">institutional risk arises </w:t>
      </w:r>
      <w:r w:rsidRPr="0045612B">
        <w:rPr>
          <w:rFonts w:cs="Arial"/>
        </w:rPr>
        <w:t>from the characteristics of an institution that may make abuse more likely to occur</w:t>
      </w:r>
      <w:r>
        <w:rPr>
          <w:rFonts w:cs="Arial"/>
        </w:rPr>
        <w:t>,</w:t>
      </w:r>
      <w:r w:rsidRPr="0045612B">
        <w:rPr>
          <w:rFonts w:cs="Arial"/>
        </w:rPr>
        <w:t xml:space="preserve"> or less likely to be dealt with properly if disclosed.</w:t>
      </w:r>
      <w:r w:rsidRPr="00B32C8D">
        <w:rPr>
          <w:rStyle w:val="Rimandonotadichiusura"/>
          <w:rFonts w:cs="Arial"/>
          <w:szCs w:val="20"/>
        </w:rPr>
        <w:endnoteReference w:id="786"/>
      </w:r>
    </w:p>
    <w:p w:rsidR="00DE77A8" w:rsidRPr="0045612B" w:rsidRDefault="00DE77A8" w:rsidP="004A6248">
      <w:r>
        <w:t xml:space="preserve">Parkinson and Cashmore discuss </w:t>
      </w:r>
      <w:r w:rsidRPr="0045612B">
        <w:t>these dimensions of risk with detailed reference to Royal Commission case studies</w:t>
      </w:r>
      <w:r>
        <w:t>, which</w:t>
      </w:r>
      <w:r w:rsidRPr="0045612B">
        <w:t xml:space="preserve"> were conducted to investigate allegations of</w:t>
      </w:r>
      <w:r>
        <w:t>,</w:t>
      </w:r>
      <w:r w:rsidRPr="0045612B">
        <w:t xml:space="preserve"> and responses to</w:t>
      </w:r>
      <w:r>
        <w:t>,</w:t>
      </w:r>
      <w:r w:rsidRPr="0045612B">
        <w:t xml:space="preserve"> child sexual abuse in specific institutions. Factual examples from these case studies highlight situations where various risk factors were present and led to child sexual abuse.</w:t>
      </w:r>
      <w:r>
        <w:rPr>
          <w:rStyle w:val="Rimandonotadichiusura"/>
          <w:rFonts w:cs="Arial"/>
          <w:color w:val="000000"/>
        </w:rPr>
        <w:endnoteReference w:id="787"/>
      </w:r>
    </w:p>
    <w:p w:rsidR="00DE77A8" w:rsidRPr="00243F70" w:rsidRDefault="00DE77A8" w:rsidP="004A6248">
      <w:r w:rsidRPr="0045612B">
        <w:t>Some of the risk factors discussed above can be applied when considering how to prevent all forms of child harm and abuse in organisations, not only child sexual abuse.</w:t>
      </w:r>
      <w:r>
        <w:t xml:space="preserve"> Organisations in which staff and volunteers follow child safety policies and procedures, and in which children feel comfortable speaking up about their concerns, are likely to be organisations where there is a reduced risk of all </w:t>
      </w:r>
      <w:r w:rsidR="004A6248">
        <w:t>forms of child harm and abuse.</w:t>
      </w:r>
    </w:p>
    <w:p w:rsidR="00DE77A8" w:rsidRPr="00661021" w:rsidRDefault="004A6248" w:rsidP="004A6248">
      <w:pPr>
        <w:pStyle w:val="Titolo4"/>
      </w:pPr>
      <w:r>
        <w:t>Organisational culture</w:t>
      </w:r>
    </w:p>
    <w:p w:rsidR="00DE77A8" w:rsidRPr="0045612B" w:rsidRDefault="00DE77A8" w:rsidP="004A6248">
      <w:r w:rsidRPr="0045612B">
        <w:t>The culture of an organisation can</w:t>
      </w:r>
      <w:r>
        <w:t xml:space="preserve"> either</w:t>
      </w:r>
      <w:r w:rsidRPr="0045612B">
        <w:t xml:space="preserve"> be a risk or </w:t>
      </w:r>
      <w:r>
        <w:t>a protective factor</w:t>
      </w:r>
      <w:r w:rsidRPr="0045612B">
        <w:t xml:space="preserve"> </w:t>
      </w:r>
      <w:r>
        <w:t xml:space="preserve">for child harm. </w:t>
      </w:r>
      <w:r w:rsidRPr="0045612B">
        <w:t xml:space="preserve">Organisational culture is conceptualised by the Royal Commission as being </w:t>
      </w:r>
      <w:r>
        <w:t>‘</w:t>
      </w:r>
      <w:r w:rsidRPr="0045612B">
        <w:t>the assumptions, values and beliefs, and norms that distinguish appropriate from inappropriate organisational participant attitudes and behaviours</w:t>
      </w:r>
      <w:r>
        <w:t>’</w:t>
      </w:r>
      <w:r w:rsidRPr="0045612B">
        <w:t>.</w:t>
      </w:r>
      <w:r w:rsidRPr="0045612B">
        <w:rPr>
          <w:rStyle w:val="Rimandonotadichiusura"/>
          <w:rFonts w:cs="Arial"/>
          <w:color w:val="000000"/>
        </w:rPr>
        <w:endnoteReference w:id="788"/>
      </w:r>
      <w:r w:rsidRPr="0045612B">
        <w:t xml:space="preserve"> </w:t>
      </w:r>
    </w:p>
    <w:p w:rsidR="00873DD9" w:rsidRDefault="00DE77A8" w:rsidP="004A6248">
      <w:r w:rsidRPr="0045612B">
        <w:t>In a report for the Roy</w:t>
      </w:r>
      <w:r>
        <w:t>al Commission, Palmer identified</w:t>
      </w:r>
      <w:r w:rsidRPr="0045612B">
        <w:t xml:space="preserve"> nine types of organisational cultures that can negatively affect the way child sexual abuse is perpetrated, detected and responded to in institutional contexts.</w:t>
      </w:r>
      <w:r w:rsidRPr="0045612B">
        <w:rPr>
          <w:rStyle w:val="Rimandonotadichiusura"/>
          <w:rFonts w:cs="Arial"/>
          <w:color w:val="000000"/>
        </w:rPr>
        <w:endnoteReference w:id="789"/>
      </w:r>
      <w:r w:rsidRPr="0045612B">
        <w:t xml:space="preserve"> </w:t>
      </w:r>
    </w:p>
    <w:p w:rsidR="00DE77A8" w:rsidRPr="0045612B" w:rsidRDefault="00DE77A8" w:rsidP="004A6248">
      <w:r w:rsidRPr="0045612B">
        <w:t xml:space="preserve">These are organisational cultures where: </w:t>
      </w:r>
    </w:p>
    <w:p w:rsidR="00DE77A8" w:rsidRPr="0045612B" w:rsidRDefault="00DE77A8" w:rsidP="00B934D7">
      <w:pPr>
        <w:pStyle w:val="Paragrafoelenco"/>
        <w:numPr>
          <w:ilvl w:val="0"/>
          <w:numId w:val="145"/>
        </w:numPr>
        <w:spacing w:before="0" w:after="0"/>
        <w:jc w:val="left"/>
        <w:rPr>
          <w:color w:val="000000"/>
        </w:rPr>
      </w:pPr>
      <w:r>
        <w:rPr>
          <w:color w:val="000000"/>
        </w:rPr>
        <w:t>o</w:t>
      </w:r>
      <w:r w:rsidRPr="0045612B">
        <w:rPr>
          <w:color w:val="000000"/>
        </w:rPr>
        <w:t xml:space="preserve">rganisations become viewed by their members as ends in themselves, independent of the goals </w:t>
      </w:r>
      <w:r>
        <w:rPr>
          <w:color w:val="000000"/>
        </w:rPr>
        <w:t>they were established to pursue</w:t>
      </w:r>
      <w:r w:rsidRPr="0045612B">
        <w:rPr>
          <w:rStyle w:val="Rimandonotadichiusura"/>
          <w:color w:val="000000"/>
        </w:rPr>
        <w:endnoteReference w:id="790"/>
      </w:r>
      <w:r w:rsidRPr="0045612B">
        <w:rPr>
          <w:color w:val="000000"/>
        </w:rPr>
        <w:t xml:space="preserve"> </w:t>
      </w:r>
    </w:p>
    <w:p w:rsidR="00DE77A8" w:rsidRPr="0045612B" w:rsidRDefault="00DE77A8" w:rsidP="00B934D7">
      <w:pPr>
        <w:pStyle w:val="Paragrafoelenco"/>
        <w:numPr>
          <w:ilvl w:val="0"/>
          <w:numId w:val="145"/>
        </w:numPr>
        <w:spacing w:before="0" w:after="0"/>
        <w:jc w:val="left"/>
        <w:rPr>
          <w:color w:val="000000"/>
        </w:rPr>
      </w:pPr>
      <w:r>
        <w:rPr>
          <w:color w:val="000000"/>
        </w:rPr>
        <w:t>t</w:t>
      </w:r>
      <w:r w:rsidRPr="0045612B">
        <w:rPr>
          <w:color w:val="000000"/>
        </w:rPr>
        <w:t>here is a ‘macho culture’ where males are encourage</w:t>
      </w:r>
      <w:r>
        <w:rPr>
          <w:color w:val="000000"/>
        </w:rPr>
        <w:t>d</w:t>
      </w:r>
      <w:r w:rsidRPr="0045612B">
        <w:rPr>
          <w:color w:val="000000"/>
        </w:rPr>
        <w:t xml:space="preserve"> to see themselves as powerful and active</w:t>
      </w:r>
      <w:r w:rsidRPr="0045612B">
        <w:rPr>
          <w:rStyle w:val="Rimandonotadichiusura"/>
          <w:color w:val="000000"/>
        </w:rPr>
        <w:endnoteReference w:id="791"/>
      </w:r>
      <w:r w:rsidRPr="0045612B">
        <w:rPr>
          <w:color w:val="000000"/>
        </w:rPr>
        <w:t xml:space="preserve"> </w:t>
      </w:r>
    </w:p>
    <w:p w:rsidR="00DE77A8" w:rsidRPr="0045612B" w:rsidRDefault="00DE77A8" w:rsidP="00B934D7">
      <w:pPr>
        <w:pStyle w:val="Paragrafoelenco"/>
        <w:numPr>
          <w:ilvl w:val="0"/>
          <w:numId w:val="145"/>
        </w:numPr>
        <w:spacing w:before="0" w:after="0"/>
        <w:jc w:val="left"/>
        <w:rPr>
          <w:color w:val="000000"/>
        </w:rPr>
      </w:pPr>
      <w:r>
        <w:rPr>
          <w:color w:val="000000"/>
        </w:rPr>
        <w:t>c</w:t>
      </w:r>
      <w:r w:rsidRPr="0045612B">
        <w:rPr>
          <w:color w:val="000000"/>
        </w:rPr>
        <w:t>hild sexual abuse, grooming behaviours and sexually abusive behaviour by young peopl</w:t>
      </w:r>
      <w:r>
        <w:rPr>
          <w:color w:val="000000"/>
        </w:rPr>
        <w:t>e are tacitly supported</w:t>
      </w:r>
      <w:r w:rsidRPr="0045612B">
        <w:rPr>
          <w:rStyle w:val="Rimandonotadichiusura"/>
          <w:color w:val="000000"/>
        </w:rPr>
        <w:endnoteReference w:id="792"/>
      </w:r>
    </w:p>
    <w:p w:rsidR="00DE77A8" w:rsidRPr="0045612B" w:rsidRDefault="00DE77A8" w:rsidP="00B934D7">
      <w:pPr>
        <w:pStyle w:val="Paragrafoelenco"/>
        <w:numPr>
          <w:ilvl w:val="0"/>
          <w:numId w:val="145"/>
        </w:numPr>
        <w:spacing w:before="0" w:after="0"/>
        <w:jc w:val="left"/>
        <w:rPr>
          <w:color w:val="000000"/>
        </w:rPr>
      </w:pPr>
      <w:r>
        <w:rPr>
          <w:color w:val="000000"/>
        </w:rPr>
        <w:t>d</w:t>
      </w:r>
      <w:r w:rsidRPr="0045612B">
        <w:rPr>
          <w:color w:val="000000"/>
        </w:rPr>
        <w:t>iscussio</w:t>
      </w:r>
      <w:r>
        <w:rPr>
          <w:color w:val="000000"/>
        </w:rPr>
        <w:t>n of sexual matters is</w:t>
      </w:r>
      <w:r w:rsidRPr="0045612B">
        <w:rPr>
          <w:color w:val="000000"/>
        </w:rPr>
        <w:t xml:space="preserve"> discourage</w:t>
      </w:r>
      <w:r>
        <w:rPr>
          <w:color w:val="000000"/>
        </w:rPr>
        <w:t>d</w:t>
      </w:r>
      <w:r w:rsidRPr="0045612B">
        <w:rPr>
          <w:rStyle w:val="Rimandonotadichiusura"/>
          <w:color w:val="000000"/>
        </w:rPr>
        <w:endnoteReference w:id="793"/>
      </w:r>
    </w:p>
    <w:p w:rsidR="00DE77A8" w:rsidRPr="0045612B" w:rsidRDefault="00DE77A8" w:rsidP="00B934D7">
      <w:pPr>
        <w:pStyle w:val="Paragrafoelenco"/>
        <w:numPr>
          <w:ilvl w:val="0"/>
          <w:numId w:val="145"/>
        </w:numPr>
        <w:spacing w:before="0" w:after="0"/>
        <w:jc w:val="left"/>
        <w:rPr>
          <w:color w:val="000000"/>
        </w:rPr>
      </w:pPr>
      <w:r>
        <w:rPr>
          <w:color w:val="000000"/>
        </w:rPr>
        <w:t>c</w:t>
      </w:r>
      <w:r w:rsidRPr="0045612B">
        <w:rPr>
          <w:color w:val="000000"/>
        </w:rPr>
        <w:t>hildren are seen as untrustworthy and do not have freedom of self-expression, especially about matters that might cast thei</w:t>
      </w:r>
      <w:r>
        <w:rPr>
          <w:color w:val="000000"/>
        </w:rPr>
        <w:t>r superiors in a negative light</w:t>
      </w:r>
      <w:r w:rsidRPr="0045612B">
        <w:rPr>
          <w:rStyle w:val="Rimandonotadichiusura"/>
          <w:color w:val="000000"/>
        </w:rPr>
        <w:endnoteReference w:id="794"/>
      </w:r>
    </w:p>
    <w:p w:rsidR="00DE77A8" w:rsidRPr="0045612B" w:rsidRDefault="00DE77A8" w:rsidP="00B934D7">
      <w:pPr>
        <w:pStyle w:val="Paragrafoelenco"/>
        <w:numPr>
          <w:ilvl w:val="0"/>
          <w:numId w:val="145"/>
        </w:numPr>
        <w:spacing w:before="0" w:after="0"/>
        <w:jc w:val="left"/>
        <w:rPr>
          <w:color w:val="000000"/>
        </w:rPr>
      </w:pPr>
      <w:r>
        <w:rPr>
          <w:color w:val="000000"/>
        </w:rPr>
        <w:t>s</w:t>
      </w:r>
      <w:r w:rsidRPr="0045612B">
        <w:rPr>
          <w:color w:val="000000"/>
        </w:rPr>
        <w:t>enior management prioritise</w:t>
      </w:r>
      <w:r>
        <w:rPr>
          <w:color w:val="000000"/>
        </w:rPr>
        <w:t>s</w:t>
      </w:r>
      <w:r w:rsidRPr="0045612B">
        <w:rPr>
          <w:color w:val="000000"/>
        </w:rPr>
        <w:t xml:space="preserve"> protecting the organisation’s public image, at the expense of the s</w:t>
      </w:r>
      <w:r>
        <w:rPr>
          <w:color w:val="000000"/>
        </w:rPr>
        <w:t>afety and wellbeing of children</w:t>
      </w:r>
      <w:r w:rsidRPr="0045612B">
        <w:rPr>
          <w:rStyle w:val="Rimandonotadichiusura"/>
          <w:color w:val="000000"/>
        </w:rPr>
        <w:endnoteReference w:id="795"/>
      </w:r>
    </w:p>
    <w:p w:rsidR="00DE77A8" w:rsidRPr="0045612B" w:rsidRDefault="00DE77A8" w:rsidP="00B934D7">
      <w:pPr>
        <w:pStyle w:val="Paragrafoelenco"/>
        <w:numPr>
          <w:ilvl w:val="0"/>
          <w:numId w:val="145"/>
        </w:numPr>
        <w:spacing w:before="0" w:after="0"/>
        <w:jc w:val="left"/>
        <w:rPr>
          <w:color w:val="000000"/>
        </w:rPr>
      </w:pPr>
      <w:r>
        <w:rPr>
          <w:color w:val="000000"/>
        </w:rPr>
        <w:t>f</w:t>
      </w:r>
      <w:r w:rsidRPr="0045612B">
        <w:rPr>
          <w:color w:val="000000"/>
        </w:rPr>
        <w:t xml:space="preserve">ormal and informal power structures give people </w:t>
      </w:r>
      <w:r>
        <w:rPr>
          <w:color w:val="000000"/>
        </w:rPr>
        <w:t xml:space="preserve">in positions of authority </w:t>
      </w:r>
      <w:r w:rsidRPr="0045612B">
        <w:rPr>
          <w:color w:val="000000"/>
        </w:rPr>
        <w:t>the motivation to abuse, make it costly for victims or third parties to disclose abuse, and reduce the likelihood of eff</w:t>
      </w:r>
      <w:r>
        <w:rPr>
          <w:color w:val="000000"/>
        </w:rPr>
        <w:t>ective organisational responses</w:t>
      </w:r>
      <w:r w:rsidRPr="0045612B">
        <w:rPr>
          <w:rStyle w:val="Rimandonotadichiusura"/>
          <w:color w:val="000000"/>
        </w:rPr>
        <w:endnoteReference w:id="796"/>
      </w:r>
      <w:r w:rsidRPr="0045612B">
        <w:rPr>
          <w:color w:val="000000"/>
        </w:rPr>
        <w:t xml:space="preserve"> </w:t>
      </w:r>
    </w:p>
    <w:p w:rsidR="00DE77A8" w:rsidRPr="0045612B" w:rsidRDefault="00DE77A8" w:rsidP="00B934D7">
      <w:pPr>
        <w:pStyle w:val="Paragrafoelenco"/>
        <w:numPr>
          <w:ilvl w:val="0"/>
          <w:numId w:val="145"/>
        </w:numPr>
        <w:spacing w:before="0" w:after="0"/>
        <w:jc w:val="left"/>
        <w:rPr>
          <w:color w:val="000000"/>
        </w:rPr>
      </w:pPr>
      <w:r>
        <w:rPr>
          <w:color w:val="000000"/>
        </w:rPr>
        <w:t>i</w:t>
      </w:r>
      <w:r w:rsidRPr="0045612B">
        <w:rPr>
          <w:color w:val="000000"/>
        </w:rPr>
        <w:t>nformal group dynamics create reluctance to discuss or address the appropria</w:t>
      </w:r>
      <w:r>
        <w:rPr>
          <w:color w:val="000000"/>
        </w:rPr>
        <w:t>teness of a co-worker’s conduct</w:t>
      </w:r>
      <w:r w:rsidRPr="0045612B">
        <w:rPr>
          <w:rStyle w:val="Rimandonotadichiusura"/>
          <w:color w:val="000000"/>
        </w:rPr>
        <w:endnoteReference w:id="797"/>
      </w:r>
    </w:p>
    <w:p w:rsidR="00DE77A8" w:rsidRPr="0045612B" w:rsidRDefault="00DE77A8" w:rsidP="00B934D7">
      <w:pPr>
        <w:pStyle w:val="Paragrafoelenco"/>
        <w:numPr>
          <w:ilvl w:val="0"/>
          <w:numId w:val="145"/>
        </w:numPr>
        <w:spacing w:before="0" w:after="0"/>
        <w:jc w:val="left"/>
        <w:rPr>
          <w:color w:val="000000"/>
        </w:rPr>
      </w:pPr>
      <w:r>
        <w:rPr>
          <w:color w:val="000000"/>
        </w:rPr>
        <w:t>p</w:t>
      </w:r>
      <w:r w:rsidRPr="0045612B">
        <w:rPr>
          <w:color w:val="000000"/>
        </w:rPr>
        <w:t>articipants in an organisation follow ineffective policies and procedures without question or violate policies and procedures designed to prevent harm to children.</w:t>
      </w:r>
      <w:r w:rsidRPr="0045612B">
        <w:rPr>
          <w:rStyle w:val="Rimandonotadichiusura"/>
          <w:color w:val="000000"/>
        </w:rPr>
        <w:endnoteReference w:id="798"/>
      </w:r>
    </w:p>
    <w:p w:rsidR="00DE77A8" w:rsidRPr="0045612B" w:rsidRDefault="00DE77A8" w:rsidP="004A6248">
      <w:r w:rsidRPr="0045612B">
        <w:t>The report makes some suggestions for organisations to develop a culture that prevents and enhances responses to child sexual abuse.</w:t>
      </w:r>
      <w:r w:rsidRPr="0045612B">
        <w:rPr>
          <w:rStyle w:val="Rimandonotadichiusura"/>
          <w:rFonts w:cs="Arial"/>
          <w:color w:val="000000"/>
        </w:rPr>
        <w:endnoteReference w:id="799"/>
      </w:r>
      <w:r w:rsidRPr="0045612B">
        <w:t xml:space="preserve"> These include encouraging leaders to behave in ways that convey a culture of valuing child safety and wellbeing, training staff members to embrace such a culture, and engineering cultural artefacts and practices that symbolise this culture.</w:t>
      </w:r>
      <w:r w:rsidRPr="0045612B">
        <w:rPr>
          <w:rStyle w:val="Rimandonotadichiusura"/>
          <w:rFonts w:cs="Arial"/>
          <w:color w:val="000000"/>
        </w:rPr>
        <w:endnoteReference w:id="800"/>
      </w:r>
    </w:p>
    <w:p w:rsidR="00DE77A8" w:rsidRPr="0045612B" w:rsidRDefault="00DE77A8" w:rsidP="004A6248">
      <w:r>
        <w:t>Similar to the</w:t>
      </w:r>
      <w:r w:rsidRPr="0045612B">
        <w:t xml:space="preserve"> consideration of risk factors, lessons about organisational culture can be applied to prevent all forms of child harm and abuse, not only child sexual abuse. An organisational culture that </w:t>
      </w:r>
      <w:r>
        <w:t xml:space="preserve">is built on genuine understanding and </w:t>
      </w:r>
      <w:r w:rsidRPr="0045612B">
        <w:t>respect</w:t>
      </w:r>
      <w:r>
        <w:t xml:space="preserve"> for </w:t>
      </w:r>
      <w:r w:rsidRPr="0045612B">
        <w:t xml:space="preserve">children’s rights </w:t>
      </w:r>
      <w:r>
        <w:t xml:space="preserve">is one where the preconditions for child safety and wellbeing are most likely to be embedded and sustained. In particular, the right of children to be involved in discussions about their safety and their right to have their views respected is vital to an organisational culture that promotes child safety and wellbeing. </w:t>
      </w:r>
    </w:p>
    <w:p w:rsidR="00DE77A8" w:rsidRDefault="00DE77A8" w:rsidP="004A6248">
      <w:pPr>
        <w:pStyle w:val="41"/>
      </w:pPr>
      <w:bookmarkStart w:id="151" w:name="_Toc500308841"/>
      <w:r>
        <w:t>National Statement of Principles for Child Safe Organisations</w:t>
      </w:r>
      <w:bookmarkEnd w:id="151"/>
    </w:p>
    <w:p w:rsidR="00DE77A8" w:rsidRDefault="00DE77A8" w:rsidP="00222517">
      <w:pPr>
        <w:pStyle w:val="Titolo3"/>
        <w:numPr>
          <w:ilvl w:val="2"/>
          <w:numId w:val="207"/>
        </w:numPr>
      </w:pPr>
      <w:bookmarkStart w:id="152" w:name="_Toc500308842"/>
      <w:r>
        <w:t>Previous work on child safe principles</w:t>
      </w:r>
      <w:bookmarkEnd w:id="152"/>
    </w:p>
    <w:p w:rsidR="00DE77A8" w:rsidRPr="004A6248" w:rsidRDefault="00DE77A8" w:rsidP="004A6248">
      <w:pPr>
        <w:rPr>
          <w:iCs/>
        </w:rPr>
      </w:pPr>
      <w:r w:rsidRPr="0045612B">
        <w:t>In 2005</w:t>
      </w:r>
      <w:r>
        <w:t>,</w:t>
      </w:r>
      <w:r w:rsidRPr="0045612B">
        <w:t xml:space="preserve"> Community and Disability Services Ministers</w:t>
      </w:r>
      <w:r>
        <w:t xml:space="preserve"> approved a national framework, </w:t>
      </w:r>
      <w:r w:rsidRPr="0045612B">
        <w:t xml:space="preserve">Creating </w:t>
      </w:r>
      <w:r>
        <w:t>Safe Environments for Children —</w:t>
      </w:r>
      <w:r w:rsidRPr="0045612B">
        <w:t xml:space="preserve"> Organisations, Employees and Volunteers.</w:t>
      </w:r>
      <w:r w:rsidRPr="002871E1">
        <w:rPr>
          <w:rStyle w:val="Rimandonotadichiusura"/>
          <w:rFonts w:cs="Arial"/>
        </w:rPr>
        <w:endnoteReference w:id="801"/>
      </w:r>
      <w:r>
        <w:t xml:space="preserve"> Staff g</w:t>
      </w:r>
      <w:r w:rsidRPr="0045612B">
        <w:t>uidelines for</w:t>
      </w:r>
      <w:r>
        <w:t xml:space="preserve"> Building the Capacity of Child-</w:t>
      </w:r>
      <w:r w:rsidRPr="0045612B">
        <w:t xml:space="preserve">Safe Organisations were </w:t>
      </w:r>
      <w:r>
        <w:t xml:space="preserve">also </w:t>
      </w:r>
      <w:r w:rsidRPr="0045612B">
        <w:t>developed under this framework.</w:t>
      </w:r>
      <w:r w:rsidRPr="0045612B">
        <w:rPr>
          <w:rStyle w:val="Rimandonotadichiusura"/>
          <w:rFonts w:cs="Arial"/>
        </w:rPr>
        <w:endnoteReference w:id="802"/>
      </w:r>
      <w:r w:rsidRPr="0045612B">
        <w:t xml:space="preserve"> Although still relevant, our knowledge and understanding of </w:t>
      </w:r>
      <w:r>
        <w:t>risk and protective factors</w:t>
      </w:r>
      <w:r w:rsidRPr="0045612B">
        <w:rPr>
          <w:iCs/>
        </w:rPr>
        <w:t xml:space="preserve">, </w:t>
      </w:r>
      <w:r>
        <w:rPr>
          <w:iCs/>
        </w:rPr>
        <w:t>the</w:t>
      </w:r>
      <w:r w:rsidRPr="0045612B">
        <w:rPr>
          <w:iCs/>
        </w:rPr>
        <w:t xml:space="preserve"> divers</w:t>
      </w:r>
      <w:r>
        <w:rPr>
          <w:iCs/>
        </w:rPr>
        <w:t>ity of children’s</w:t>
      </w:r>
      <w:r w:rsidRPr="0045612B">
        <w:rPr>
          <w:iCs/>
        </w:rPr>
        <w:t xml:space="preserve"> needs and </w:t>
      </w:r>
      <w:r>
        <w:rPr>
          <w:iCs/>
        </w:rPr>
        <w:t>technological changes have developed</w:t>
      </w:r>
      <w:r w:rsidRPr="0045612B">
        <w:t xml:space="preserve"> significantly since </w:t>
      </w:r>
      <w:r w:rsidR="004A6248">
        <w:t>these documents were developed.</w:t>
      </w:r>
    </w:p>
    <w:p w:rsidR="00DE77A8" w:rsidRPr="0045612B" w:rsidRDefault="00DE77A8" w:rsidP="004A6248">
      <w:r w:rsidRPr="0045612B">
        <w:t>In 2013</w:t>
      </w:r>
      <w:r>
        <w:t>,</w:t>
      </w:r>
      <w:r w:rsidRPr="0045612B">
        <w:t xml:space="preserve"> the Australian Children’s Commissioners and Guardians</w:t>
      </w:r>
      <w:r>
        <w:t>’</w:t>
      </w:r>
      <w:r w:rsidRPr="0045612B">
        <w:t xml:space="preserve"> submission to the Royal Commission’s </w:t>
      </w:r>
      <w:r w:rsidRPr="0045612B">
        <w:rPr>
          <w:i/>
        </w:rPr>
        <w:t>Issues Paper 3: Child Safe Institutions</w:t>
      </w:r>
      <w:r w:rsidRPr="0045612B">
        <w:t>, proposed a set of 11 principles for child safe organisations.</w:t>
      </w:r>
      <w:r w:rsidRPr="0045612B">
        <w:rPr>
          <w:rStyle w:val="Rimandonotadichiusura"/>
          <w:rFonts w:cs="Arial"/>
        </w:rPr>
        <w:endnoteReference w:id="803"/>
      </w:r>
      <w:r w:rsidRPr="0045612B">
        <w:t xml:space="preserve"> The Royal Commission received 53 submissions to this issues paper.</w:t>
      </w:r>
      <w:r w:rsidRPr="0045612B">
        <w:rPr>
          <w:rStyle w:val="Rimandonotadichiusura"/>
          <w:rFonts w:cs="Arial"/>
        </w:rPr>
        <w:endnoteReference w:id="804"/>
      </w:r>
      <w:r>
        <w:t xml:space="preserve"> </w:t>
      </w:r>
      <w:r w:rsidRPr="0045612B">
        <w:t>States and territories have also developed various standards or principles for child safe organisations.</w:t>
      </w:r>
      <w:r w:rsidRPr="0045612B">
        <w:rPr>
          <w:rStyle w:val="Rimandonotadichiusura"/>
          <w:rFonts w:cs="Arial"/>
        </w:rPr>
        <w:endnoteReference w:id="805"/>
      </w:r>
      <w:r w:rsidRPr="0045612B">
        <w:t xml:space="preserve"> </w:t>
      </w:r>
      <w:r>
        <w:t xml:space="preserve">Across these, there is general alignment about what an organisation needs to do, at a minimum, to promote child safety and wellbeing. </w:t>
      </w:r>
    </w:p>
    <w:p w:rsidR="00DE77A8" w:rsidRDefault="00DE77A8" w:rsidP="004A6248">
      <w:r w:rsidRPr="0045612B">
        <w:t xml:space="preserve">The Royal Commission drew on information available from its research, consultations, submissions, case studies and findings from the Children’s Safety Study to identify </w:t>
      </w:r>
      <w:r>
        <w:t xml:space="preserve">ten </w:t>
      </w:r>
      <w:r w:rsidRPr="0045612B">
        <w:t>elements that create a child safe institution.</w:t>
      </w:r>
      <w:r w:rsidRPr="0045612B">
        <w:rPr>
          <w:rStyle w:val="Rimandonotadichiusura"/>
          <w:rFonts w:cs="Arial"/>
        </w:rPr>
        <w:endnoteReference w:id="806"/>
      </w:r>
      <w:r w:rsidRPr="0045612B">
        <w:t xml:space="preserve"> </w:t>
      </w:r>
      <w:r>
        <w:t>The draft National Principles, discussed below, align</w:t>
      </w:r>
      <w:r w:rsidRPr="0045612B">
        <w:t xml:space="preserve"> with </w:t>
      </w:r>
      <w:r>
        <w:t xml:space="preserve">the elements identified by the Royal Commission, broadened to cover all forms of potential harms and taking a child rights, strengths-based approach to organisational development. </w:t>
      </w:r>
    </w:p>
    <w:p w:rsidR="00DE77A8" w:rsidRDefault="00DE77A8" w:rsidP="00DE77A8">
      <w:pPr>
        <w:pStyle w:val="Titolo3"/>
      </w:pPr>
      <w:bookmarkStart w:id="153" w:name="_Toc500308843"/>
      <w:r>
        <w:t>National Framework for Protecting Australia’s Children</w:t>
      </w:r>
      <w:bookmarkEnd w:id="153"/>
    </w:p>
    <w:p w:rsidR="00DE77A8" w:rsidRDefault="00DE77A8" w:rsidP="004A6248">
      <w:r w:rsidRPr="001F2C35">
        <w:t>The National Framework recognises that to keep Australia’s children and young people safe and well requires a fundamental shift away from seeing the</w:t>
      </w:r>
      <w:r>
        <w:t>ir</w:t>
      </w:r>
      <w:r w:rsidRPr="001F2C35">
        <w:t xml:space="preserve"> protection </w:t>
      </w:r>
      <w:r>
        <w:t xml:space="preserve">as simply a </w:t>
      </w:r>
      <w:r w:rsidRPr="001F2C35">
        <w:t>respon</w:t>
      </w:r>
      <w:r>
        <w:t>se to child abuse and neglect.</w:t>
      </w:r>
      <w:r>
        <w:rPr>
          <w:rStyle w:val="Rimandonotadichiusura"/>
          <w:rFonts w:cs="Arial"/>
          <w:color w:val="000000"/>
        </w:rPr>
        <w:endnoteReference w:id="807"/>
      </w:r>
      <w:r>
        <w:t xml:space="preserve"> A priority</w:t>
      </w:r>
      <w:r w:rsidRPr="001F2C35">
        <w:t xml:space="preserve"> </w:t>
      </w:r>
      <w:r>
        <w:t xml:space="preserve">area of work for the National Framework is the development of National </w:t>
      </w:r>
      <w:r w:rsidRPr="001F2C35">
        <w:t>P</w:t>
      </w:r>
      <w:r>
        <w:t>rinciples.</w:t>
      </w:r>
      <w:r>
        <w:rPr>
          <w:rStyle w:val="Rimandonotadichiusura"/>
          <w:rFonts w:cs="Arial"/>
          <w:color w:val="000000"/>
        </w:rPr>
        <w:endnoteReference w:id="808"/>
      </w:r>
      <w:r>
        <w:t xml:space="preserve"> </w:t>
      </w:r>
      <w:r w:rsidRPr="0045612B">
        <w:t>In February 2017</w:t>
      </w:r>
      <w:r>
        <w:t>,</w:t>
      </w:r>
      <w:r w:rsidRPr="0045612B">
        <w:t xml:space="preserve"> I was engaged to </w:t>
      </w:r>
      <w:r>
        <w:t>develop these.</w:t>
      </w:r>
      <w:r w:rsidRPr="0045612B">
        <w:t xml:space="preserve"> </w:t>
      </w:r>
    </w:p>
    <w:p w:rsidR="00DE77A8" w:rsidRPr="00626C92" w:rsidRDefault="00DE77A8" w:rsidP="004A6248">
      <w:r>
        <w:t>The aim was</w:t>
      </w:r>
      <w:r w:rsidRPr="001F2C35">
        <w:t xml:space="preserve"> to develop a set of nationally agreed principles to which organisations across all sectors will adhere </w:t>
      </w:r>
      <w:r>
        <w:t xml:space="preserve">to </w:t>
      </w:r>
      <w:r w:rsidRPr="001F2C35">
        <w:t>when working with children and young people, to ensur</w:t>
      </w:r>
      <w:r>
        <w:t>e that they</w:t>
      </w:r>
      <w:r w:rsidRPr="001F2C35">
        <w:t xml:space="preserve"> are kept safe and well. The project involves developing tools and resources to help organisations implement these principles and improve child safety and wellbeing. Working within the National Framework means tha</w:t>
      </w:r>
      <w:r>
        <w:t xml:space="preserve">t the project benefits from </w:t>
      </w:r>
      <w:r w:rsidRPr="001F2C35">
        <w:t>existing networks of governments, researchers and non-government organisation</w:t>
      </w:r>
      <w:r>
        <w:t>s</w:t>
      </w:r>
      <w:r w:rsidRPr="001F2C35">
        <w:t>.</w:t>
      </w:r>
      <w:r>
        <w:t xml:space="preserve"> </w:t>
      </w:r>
    </w:p>
    <w:p w:rsidR="00DE77A8" w:rsidRDefault="00DE77A8" w:rsidP="00DE77A8">
      <w:pPr>
        <w:pStyle w:val="Titolo3"/>
      </w:pPr>
      <w:bookmarkStart w:id="154" w:name="_Toc500308844"/>
      <w:r>
        <w:t>National Statement of Principles for Child Safe Organisations</w:t>
      </w:r>
      <w:bookmarkEnd w:id="154"/>
    </w:p>
    <w:p w:rsidR="00DE77A8" w:rsidRPr="0045612B" w:rsidRDefault="00DE77A8" w:rsidP="002B5AB7">
      <w:r w:rsidRPr="0045612B">
        <w:t>A</w:t>
      </w:r>
      <w:r>
        <w:t xml:space="preserve"> child rights </w:t>
      </w:r>
      <w:r w:rsidRPr="0045612B">
        <w:t>based approach</w:t>
      </w:r>
      <w:r>
        <w:t xml:space="preserve"> is central</w:t>
      </w:r>
      <w:r w:rsidRPr="0045612B">
        <w:t xml:space="preserve"> to developing the National</w:t>
      </w:r>
      <w:r>
        <w:t xml:space="preserve"> Principles</w:t>
      </w:r>
      <w:r w:rsidRPr="0045612B">
        <w:t xml:space="preserve">. A nationally consistent approach to child safety and wellbeing must aim to build cultures and systems that focus on the rights and needs of children and young people </w:t>
      </w:r>
      <w:r w:rsidR="002B5AB7">
        <w:t>within organisational settings.</w:t>
      </w:r>
    </w:p>
    <w:p w:rsidR="00DE77A8" w:rsidRDefault="00DE77A8" w:rsidP="002B5AB7">
      <w:r w:rsidRPr="0045612B">
        <w:t>I</w:t>
      </w:r>
      <w:r>
        <w:t>t is important to</w:t>
      </w:r>
      <w:r w:rsidRPr="0045612B">
        <w:t xml:space="preserve"> acknowledg</w:t>
      </w:r>
      <w:r>
        <w:t>e</w:t>
      </w:r>
      <w:r w:rsidRPr="0045612B">
        <w:t xml:space="preserve"> that children gain great benefits from being involved in organisations</w:t>
      </w:r>
      <w:r>
        <w:t xml:space="preserve"> of various kinds — such as their local sports club, their school, or youth centre. Organisations allow children to meet friends, learn new skills and be active participants in their community</w:t>
      </w:r>
      <w:r w:rsidRPr="0045612B">
        <w:t xml:space="preserve">. </w:t>
      </w:r>
      <w:r>
        <w:t>I recognise</w:t>
      </w:r>
      <w:r w:rsidRPr="0045612B">
        <w:t xml:space="preserve"> that </w:t>
      </w:r>
      <w:r>
        <w:t xml:space="preserve">the vast majority of </w:t>
      </w:r>
      <w:r w:rsidRPr="0045612B">
        <w:t xml:space="preserve">organisations, workers and volunteers </w:t>
      </w:r>
      <w:r>
        <w:t>are motivated</w:t>
      </w:r>
      <w:r w:rsidRPr="0045612B">
        <w:t xml:space="preserve"> to do what is best for children and young people. Many organisations are already </w:t>
      </w:r>
      <w:r>
        <w:t xml:space="preserve">working to </w:t>
      </w:r>
      <w:r w:rsidRPr="0045612B">
        <w:t>ensur</w:t>
      </w:r>
      <w:r>
        <w:t>e</w:t>
      </w:r>
      <w:r w:rsidRPr="0045612B">
        <w:t xml:space="preserve"> child safety and wellbeing, for example by having a child safe policy or screening workers for suitability to work with children</w:t>
      </w:r>
      <w:r w:rsidR="002B5AB7">
        <w:t>.</w:t>
      </w:r>
    </w:p>
    <w:p w:rsidR="00DE77A8" w:rsidRDefault="00DE77A8" w:rsidP="002B5AB7">
      <w:r>
        <w:t>The draft National Principles have</w:t>
      </w:r>
      <w:r w:rsidRPr="0045612B">
        <w:t xml:space="preserve"> been developed through a collaborative approach. In early May 2017</w:t>
      </w:r>
      <w:r>
        <w:t>,</w:t>
      </w:r>
      <w:r w:rsidRPr="0045612B">
        <w:t xml:space="preserve"> I </w:t>
      </w:r>
      <w:r>
        <w:t>convened roundtables</w:t>
      </w:r>
      <w:r w:rsidRPr="0045612B">
        <w:t xml:space="preserve"> to </w:t>
      </w:r>
      <w:r>
        <w:t xml:space="preserve">assist in </w:t>
      </w:r>
      <w:r w:rsidRPr="0045612B">
        <w:t xml:space="preserve">the </w:t>
      </w:r>
      <w:r>
        <w:t>development of the draft National Principles</w:t>
      </w:r>
      <w:r w:rsidRPr="0045612B">
        <w:t>. I heard from representatives of the Australian Children’s Commissioners and Guardians, the National Coalition on Child Safety and Wellbeing, and peak organisations from key sect</w:t>
      </w:r>
      <w:r>
        <w:t xml:space="preserve">ors such as health, education, religious services, </w:t>
      </w:r>
      <w:r w:rsidRPr="0045612B">
        <w:t>sport</w:t>
      </w:r>
      <w:r>
        <w:t>,</w:t>
      </w:r>
      <w:r w:rsidRPr="0045612B">
        <w:t xml:space="preserve"> and recreation</w:t>
      </w:r>
      <w:r>
        <w:t xml:space="preserve"> (see Appendix 15 for a list of roundtable attendees)</w:t>
      </w:r>
      <w:r w:rsidRPr="0045612B">
        <w:t xml:space="preserve">. </w:t>
      </w:r>
      <w:r>
        <w:t xml:space="preserve">Development of the draft National Principles has also benefited from ongoing input from the Royal Commission, and oversight of the joint government and non-governmental body responsible for steering the National Framework. </w:t>
      </w:r>
    </w:p>
    <w:p w:rsidR="00DE77A8" w:rsidRDefault="00DE77A8" w:rsidP="002B5AB7">
      <w:r>
        <w:t>I would like to acknowledge DLA Piper who hosted the consultations in Melbourne, and transcrib</w:t>
      </w:r>
      <w:r w:rsidR="00F01061">
        <w:t>ed</w:t>
      </w:r>
      <w:r>
        <w:t xml:space="preserve"> the discussions that took place. I also thank them for their assistance in researching the child safe frameworks that exist in overseas jurisdictions. </w:t>
      </w:r>
    </w:p>
    <w:p w:rsidR="00DE77A8" w:rsidRDefault="00DE77A8" w:rsidP="002B5AB7">
      <w:r w:rsidRPr="0045612B">
        <w:rPr>
          <w:rFonts w:cs="Arial"/>
          <w:color w:val="000000"/>
        </w:rPr>
        <w:t xml:space="preserve">The </w:t>
      </w:r>
      <w:r>
        <w:rPr>
          <w:rFonts w:cs="Arial"/>
          <w:color w:val="000000"/>
        </w:rPr>
        <w:t xml:space="preserve">draft </w:t>
      </w:r>
      <w:r w:rsidRPr="0045612B">
        <w:rPr>
          <w:rFonts w:cs="Arial"/>
          <w:color w:val="000000"/>
        </w:rPr>
        <w:t xml:space="preserve">National </w:t>
      </w:r>
      <w:r>
        <w:rPr>
          <w:rFonts w:cs="Arial"/>
          <w:color w:val="000000"/>
        </w:rPr>
        <w:t>Principles (</w:t>
      </w:r>
      <w:r w:rsidRPr="00FC1646">
        <w:rPr>
          <w:rFonts w:cs="Arial"/>
          <w:color w:val="000000"/>
        </w:rPr>
        <w:t xml:space="preserve">see </w:t>
      </w:r>
      <w:r>
        <w:rPr>
          <w:rFonts w:cs="Arial"/>
          <w:color w:val="000000"/>
        </w:rPr>
        <w:t>Box 11</w:t>
      </w:r>
      <w:r w:rsidRPr="00FC1646">
        <w:rPr>
          <w:rFonts w:cs="Arial"/>
          <w:color w:val="000000"/>
        </w:rPr>
        <w:t>)</w:t>
      </w:r>
      <w:r>
        <w:rPr>
          <w:rFonts w:cs="Arial"/>
          <w:color w:val="000000"/>
        </w:rPr>
        <w:t xml:space="preserve"> set out ten principles that collectively show</w:t>
      </w:r>
      <w:r w:rsidRPr="0045612B">
        <w:rPr>
          <w:rFonts w:cs="Arial"/>
          <w:color w:val="000000"/>
        </w:rPr>
        <w:t xml:space="preserve"> a child safe organisation is one that creates a culture, adopts strategies and takes action to promote child wellbeing and prevent harm to children and young people</w:t>
      </w:r>
      <w:r>
        <w:rPr>
          <w:rFonts w:cs="Arial"/>
          <w:color w:val="000000"/>
        </w:rPr>
        <w:t>. This is</w:t>
      </w:r>
      <w:r w:rsidRPr="00FC1646">
        <w:rPr>
          <w:rFonts w:cs="Arial"/>
          <w:color w:val="000000"/>
        </w:rPr>
        <w:t xml:space="preserve"> represented in Figure 3.8, the Wheel of Child Safety. </w:t>
      </w:r>
      <w:r w:rsidRPr="00FC1646">
        <w:t xml:space="preserve">The </w:t>
      </w:r>
      <w:r>
        <w:t xml:space="preserve">draft </w:t>
      </w:r>
      <w:r w:rsidRPr="00FC1646">
        <w:t>National Principles</w:t>
      </w:r>
      <w:r w:rsidRPr="0045612B">
        <w:t xml:space="preserve"> are high-level and focused </w:t>
      </w:r>
      <w:r>
        <w:t>on driving cultural change, allowing</w:t>
      </w:r>
      <w:r w:rsidRPr="0045612B">
        <w:t xml:space="preserve"> for flexibility in implementation </w:t>
      </w:r>
      <w:r w:rsidR="00F01061">
        <w:t>by</w:t>
      </w:r>
      <w:r w:rsidRPr="0045612B">
        <w:t xml:space="preserve"> institutions and government. </w:t>
      </w:r>
      <w:r>
        <w:t xml:space="preserve">Given the variety in the size and nature of organisations providing services to children, the specific policies and practices that they develop, based on the National Principles, will necessarily differ. </w:t>
      </w:r>
    </w:p>
    <w:p w:rsidR="00DE77A8" w:rsidRDefault="002B5AB7" w:rsidP="00150A9B">
      <w:pPr>
        <w:keepLines w:val="0"/>
        <w:spacing w:before="0" w:after="0"/>
      </w:pPr>
      <w:r>
        <w:br w:type="page"/>
      </w:r>
    </w:p>
    <w:tbl>
      <w:tblPr>
        <w:tblStyle w:val="Grigliatabella"/>
        <w:tblW w:w="0" w:type="auto"/>
        <w:tblCellMar>
          <w:left w:w="284" w:type="dxa"/>
          <w:right w:w="284" w:type="dxa"/>
        </w:tblCellMar>
        <w:tblLook w:val="04A0" w:firstRow="1" w:lastRow="0" w:firstColumn="1" w:lastColumn="0" w:noHBand="0" w:noVBand="1"/>
      </w:tblPr>
      <w:tblGrid>
        <w:gridCol w:w="9060"/>
      </w:tblGrid>
      <w:tr w:rsidR="00040458" w:rsidRPr="002B5AB7" w:rsidTr="002B5AB7">
        <w:tc>
          <w:tcPr>
            <w:tcW w:w="9060" w:type="dxa"/>
          </w:tcPr>
          <w:p w:rsidR="00040458" w:rsidRPr="002B5AB7" w:rsidRDefault="00040458" w:rsidP="002B5AB7">
            <w:pPr>
              <w:rPr>
                <w:rFonts w:cs="Arial"/>
                <w:b/>
                <w:color w:val="000000"/>
              </w:rPr>
            </w:pPr>
            <w:r w:rsidRPr="002B5AB7">
              <w:rPr>
                <w:rFonts w:cs="Arial"/>
                <w:b/>
                <w:color w:val="000000"/>
              </w:rPr>
              <w:t xml:space="preserve">Box 11: </w:t>
            </w:r>
            <w:r w:rsidRPr="002B5AB7">
              <w:rPr>
                <w:rFonts w:cs="Arial"/>
                <w:b/>
              </w:rPr>
              <w:t>Draft National Statement of Principles for Child Safe Organisations</w:t>
            </w:r>
          </w:p>
          <w:p w:rsidR="00040458" w:rsidRPr="002B5AB7" w:rsidRDefault="00040458" w:rsidP="00F80C53">
            <w:pPr>
              <w:pStyle w:val="Paragrafoelenco"/>
              <w:numPr>
                <w:ilvl w:val="0"/>
                <w:numId w:val="212"/>
              </w:numPr>
              <w:ind w:left="714" w:hanging="357"/>
              <w:contextualSpacing w:val="0"/>
              <w:jc w:val="left"/>
            </w:pPr>
            <w:r w:rsidRPr="002B5AB7">
              <w:t>A commitment to child safety and wellbeing is embedded in organisational leadership, governance and culture.</w:t>
            </w:r>
          </w:p>
          <w:p w:rsidR="00040458" w:rsidRPr="002B5AB7" w:rsidRDefault="00040458" w:rsidP="00F80C53">
            <w:pPr>
              <w:pStyle w:val="Paragrafoelenco"/>
              <w:numPr>
                <w:ilvl w:val="0"/>
                <w:numId w:val="212"/>
              </w:numPr>
              <w:ind w:left="714" w:hanging="357"/>
              <w:contextualSpacing w:val="0"/>
              <w:jc w:val="left"/>
            </w:pPr>
            <w:r w:rsidRPr="002B5AB7">
              <w:t>Children and young people are informed about their rights, participate in decisions affecting them and are taken seriously.</w:t>
            </w:r>
          </w:p>
          <w:p w:rsidR="00040458" w:rsidRPr="002B5AB7" w:rsidRDefault="00040458" w:rsidP="00F80C53">
            <w:pPr>
              <w:pStyle w:val="Paragrafoelenco"/>
              <w:numPr>
                <w:ilvl w:val="0"/>
                <w:numId w:val="212"/>
              </w:numPr>
              <w:ind w:left="714" w:hanging="357"/>
              <w:contextualSpacing w:val="0"/>
              <w:jc w:val="left"/>
            </w:pPr>
            <w:r w:rsidRPr="002B5AB7">
              <w:t>Families and communities are informed and involved in promoting child safety and wellbeing.</w:t>
            </w:r>
          </w:p>
          <w:p w:rsidR="00040458" w:rsidRPr="002B5AB7" w:rsidRDefault="00040458" w:rsidP="00F80C53">
            <w:pPr>
              <w:pStyle w:val="Paragrafoelenco"/>
              <w:numPr>
                <w:ilvl w:val="0"/>
                <w:numId w:val="212"/>
              </w:numPr>
              <w:ind w:left="714" w:hanging="357"/>
              <w:contextualSpacing w:val="0"/>
              <w:jc w:val="left"/>
            </w:pPr>
            <w:r w:rsidRPr="002B5AB7">
              <w:t>Equity is promoted and diversity is respected in policy and practice.</w:t>
            </w:r>
          </w:p>
          <w:p w:rsidR="00040458" w:rsidRPr="002B5AB7" w:rsidRDefault="00040458" w:rsidP="00F80C53">
            <w:pPr>
              <w:pStyle w:val="Paragrafoelenco"/>
              <w:numPr>
                <w:ilvl w:val="0"/>
                <w:numId w:val="212"/>
              </w:numPr>
              <w:ind w:left="714" w:hanging="357"/>
              <w:contextualSpacing w:val="0"/>
              <w:jc w:val="left"/>
            </w:pPr>
            <w:r w:rsidRPr="002B5AB7">
              <w:t>People working with children and young people are suitable and supported to reflect child safety and wellbeing values in practice.</w:t>
            </w:r>
          </w:p>
          <w:p w:rsidR="00040458" w:rsidRPr="002B5AB7" w:rsidRDefault="00040458" w:rsidP="00F80C53">
            <w:pPr>
              <w:pStyle w:val="Paragrafoelenco"/>
              <w:numPr>
                <w:ilvl w:val="0"/>
                <w:numId w:val="212"/>
              </w:numPr>
              <w:ind w:left="714" w:hanging="357"/>
              <w:contextualSpacing w:val="0"/>
              <w:jc w:val="left"/>
            </w:pPr>
            <w:r w:rsidRPr="002B5AB7">
              <w:t>Processes for complaints and concerns are responsive, understood, accessible and used by children, young people, families, staff and volunteers.</w:t>
            </w:r>
          </w:p>
          <w:p w:rsidR="00040458" w:rsidRPr="002B5AB7" w:rsidRDefault="00040458" w:rsidP="00F80C53">
            <w:pPr>
              <w:pStyle w:val="Paragrafoelenco"/>
              <w:numPr>
                <w:ilvl w:val="0"/>
                <w:numId w:val="212"/>
              </w:numPr>
              <w:ind w:left="714" w:hanging="357"/>
              <w:contextualSpacing w:val="0"/>
              <w:jc w:val="left"/>
            </w:pPr>
            <w:r w:rsidRPr="002B5AB7">
              <w:t>Staff and volunteers are equipped with the knowledge, skills and awareness to keep children and young people safe through ongoing education and training.</w:t>
            </w:r>
          </w:p>
          <w:p w:rsidR="00040458" w:rsidRPr="002B5AB7" w:rsidRDefault="00040458" w:rsidP="00F80C53">
            <w:pPr>
              <w:pStyle w:val="Paragrafoelenco"/>
              <w:numPr>
                <w:ilvl w:val="0"/>
                <w:numId w:val="212"/>
              </w:numPr>
              <w:ind w:left="714" w:hanging="357"/>
              <w:contextualSpacing w:val="0"/>
              <w:jc w:val="left"/>
            </w:pPr>
            <w:r w:rsidRPr="002B5AB7">
              <w:t>Physical and online environments promote safety and wellbeing while minimising the opportunity for children and young people to be harmed.</w:t>
            </w:r>
          </w:p>
          <w:p w:rsidR="00040458" w:rsidRPr="002B5AB7" w:rsidRDefault="00040458" w:rsidP="00F80C53">
            <w:pPr>
              <w:pStyle w:val="Paragrafoelenco"/>
              <w:numPr>
                <w:ilvl w:val="0"/>
                <w:numId w:val="212"/>
              </w:numPr>
              <w:ind w:left="714" w:hanging="357"/>
              <w:contextualSpacing w:val="0"/>
              <w:jc w:val="left"/>
            </w:pPr>
            <w:r w:rsidRPr="002B5AB7">
              <w:t>Organisations regularly review and improve implementation of their child safety and wellbeing policies and procedures.</w:t>
            </w:r>
          </w:p>
          <w:p w:rsidR="00040458" w:rsidRPr="002B5AB7" w:rsidRDefault="00040458" w:rsidP="00F80C53">
            <w:pPr>
              <w:pStyle w:val="Paragrafoelenco"/>
              <w:numPr>
                <w:ilvl w:val="0"/>
                <w:numId w:val="212"/>
              </w:numPr>
              <w:jc w:val="left"/>
            </w:pPr>
            <w:r w:rsidRPr="002B5AB7">
              <w:t xml:space="preserve">Policies and procedures document how the organisation is safe for children and young people.  </w:t>
            </w:r>
          </w:p>
        </w:tc>
      </w:tr>
    </w:tbl>
    <w:p w:rsidR="002B5AB7" w:rsidRDefault="002B5AB7" w:rsidP="00DE77A8">
      <w:pPr>
        <w:rPr>
          <w:rFonts w:cs="Arial"/>
          <w:b/>
          <w:color w:val="000000"/>
        </w:rPr>
      </w:pPr>
    </w:p>
    <w:p w:rsidR="002B5AB7" w:rsidRDefault="002B5AB7">
      <w:pPr>
        <w:keepLines w:val="0"/>
        <w:spacing w:before="0" w:after="0"/>
        <w:rPr>
          <w:rFonts w:cs="Arial"/>
          <w:b/>
          <w:color w:val="000000"/>
        </w:rPr>
      </w:pPr>
      <w:r>
        <w:rPr>
          <w:rFonts w:cs="Arial"/>
          <w:b/>
          <w:color w:val="000000"/>
        </w:rPr>
        <w:br w:type="page"/>
      </w:r>
    </w:p>
    <w:p w:rsidR="00DE77A8" w:rsidRDefault="00040458" w:rsidP="00DE77A8">
      <w:pPr>
        <w:rPr>
          <w:rFonts w:cs="Arial"/>
          <w:b/>
          <w:color w:val="000000"/>
        </w:rPr>
      </w:pPr>
      <w:r w:rsidRPr="00FC1646">
        <w:rPr>
          <w:rFonts w:cs="Arial"/>
          <w:b/>
          <w:color w:val="000000"/>
        </w:rPr>
        <w:t>Figure 3.8: Wheel of Child Safety</w:t>
      </w:r>
    </w:p>
    <w:p w:rsidR="00040458" w:rsidRDefault="00040458" w:rsidP="00DE77A8">
      <w:pPr>
        <w:rPr>
          <w:rFonts w:cs="Arial"/>
          <w:b/>
          <w:color w:val="000000"/>
        </w:rPr>
      </w:pPr>
      <w:r>
        <w:rPr>
          <w:noProof/>
          <w:lang w:val="it-IT" w:eastAsia="it-IT"/>
        </w:rPr>
        <w:drawing>
          <wp:anchor distT="0" distB="0" distL="114300" distR="114300" simplePos="0" relativeHeight="251661312" behindDoc="1" locked="0" layoutInCell="1" allowOverlap="1" wp14:anchorId="41BAB6F8" wp14:editId="330A1C8A">
            <wp:simplePos x="0" y="0"/>
            <wp:positionH relativeFrom="margin">
              <wp:posOffset>0</wp:posOffset>
            </wp:positionH>
            <wp:positionV relativeFrom="paragraph">
              <wp:posOffset>323850</wp:posOffset>
            </wp:positionV>
            <wp:extent cx="5740400" cy="5958205"/>
            <wp:effectExtent l="0" t="0" r="0" b="4445"/>
            <wp:wrapTight wrapText="bothSides">
              <wp:wrapPolygon edited="0">
                <wp:start x="10250" y="0"/>
                <wp:lineTo x="10035" y="207"/>
                <wp:lineTo x="9605" y="967"/>
                <wp:lineTo x="3799" y="1934"/>
                <wp:lineTo x="3727" y="2486"/>
                <wp:lineTo x="3727" y="3315"/>
                <wp:lineTo x="4229" y="4420"/>
                <wp:lineTo x="4946" y="6630"/>
                <wp:lineTo x="1004" y="6906"/>
                <wp:lineTo x="0" y="7113"/>
                <wp:lineTo x="0" y="8011"/>
                <wp:lineTo x="573" y="8840"/>
                <wp:lineTo x="2294" y="9945"/>
                <wp:lineTo x="3154" y="11050"/>
                <wp:lineTo x="72" y="13260"/>
                <wp:lineTo x="0" y="13605"/>
                <wp:lineTo x="0" y="14641"/>
                <wp:lineTo x="3656" y="15470"/>
                <wp:lineTo x="4731" y="15470"/>
                <wp:lineTo x="3656" y="18785"/>
                <wp:lineTo x="3656" y="19613"/>
                <wp:lineTo x="5089" y="19890"/>
                <wp:lineTo x="9390" y="19890"/>
                <wp:lineTo x="9749" y="20995"/>
                <wp:lineTo x="10179" y="21547"/>
                <wp:lineTo x="10250" y="21547"/>
                <wp:lineTo x="11254" y="21547"/>
                <wp:lineTo x="11326" y="21547"/>
                <wp:lineTo x="11756" y="20995"/>
                <wp:lineTo x="12114" y="19890"/>
                <wp:lineTo x="16272" y="19890"/>
                <wp:lineTo x="17920" y="19544"/>
                <wp:lineTo x="17849" y="18785"/>
                <wp:lineTo x="16773" y="15470"/>
                <wp:lineTo x="18422" y="15470"/>
                <wp:lineTo x="21504" y="14779"/>
                <wp:lineTo x="21504" y="13536"/>
                <wp:lineTo x="21289" y="13260"/>
                <wp:lineTo x="18135" y="11050"/>
                <wp:lineTo x="19067" y="9945"/>
                <wp:lineTo x="20716" y="8840"/>
                <wp:lineTo x="21504" y="7942"/>
                <wp:lineTo x="21504" y="7044"/>
                <wp:lineTo x="20644" y="6837"/>
                <wp:lineTo x="16558" y="6630"/>
                <wp:lineTo x="17275" y="4420"/>
                <wp:lineTo x="17777" y="3315"/>
                <wp:lineTo x="17777" y="2003"/>
                <wp:lineTo x="16702" y="1796"/>
                <wp:lineTo x="11971" y="1036"/>
                <wp:lineTo x="11541" y="276"/>
                <wp:lineTo x="11254" y="0"/>
                <wp:lineTo x="10250" y="0"/>
              </wp:wrapPolygon>
            </wp:wrapTight>
            <wp:docPr id="22" name="Picture 22" descr="C:\Users\hwei-see.kay\AppData\Local\Microsoft\Windows\Temporary Internet Files\Content.Word\CSONP-infographi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wei-see.kay\AppData\Local\Microsoft\Windows\Temporary Internet Files\Content.Word\CSONP-infographic.COLOUR.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40400" cy="595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040458">
      <w:pPr>
        <w:pStyle w:val="Titolo3"/>
      </w:pPr>
      <w:bookmarkStart w:id="155" w:name="_Toc500308845"/>
      <w:r>
        <w:t>Future-proofing for child safe organisations</w:t>
      </w:r>
      <w:bookmarkEnd w:id="155"/>
    </w:p>
    <w:p w:rsidR="00040458" w:rsidRDefault="00040458" w:rsidP="00040458">
      <w:pPr>
        <w:spacing w:before="0" w:after="0"/>
        <w:rPr>
          <w:rFonts w:cs="Arial"/>
        </w:rPr>
      </w:pPr>
      <w:r>
        <w:rPr>
          <w:rFonts w:cs="Arial"/>
        </w:rPr>
        <w:t>Many o</w:t>
      </w:r>
      <w:r w:rsidRPr="0045612B">
        <w:rPr>
          <w:rFonts w:cs="Arial"/>
        </w:rPr>
        <w:t xml:space="preserve">rganisations are already </w:t>
      </w:r>
      <w:r>
        <w:rPr>
          <w:rFonts w:cs="Arial"/>
        </w:rPr>
        <w:t>taking important steps</w:t>
      </w:r>
      <w:r w:rsidRPr="0045612B">
        <w:rPr>
          <w:rFonts w:cs="Arial"/>
        </w:rPr>
        <w:t xml:space="preserve"> to ensure child safety</w:t>
      </w:r>
      <w:r>
        <w:rPr>
          <w:rFonts w:cs="Arial"/>
        </w:rPr>
        <w:t xml:space="preserve"> </w:t>
      </w:r>
      <w:r w:rsidRPr="0045612B">
        <w:rPr>
          <w:rFonts w:cs="Arial"/>
        </w:rPr>
        <w:t xml:space="preserve">such as </w:t>
      </w:r>
      <w:r>
        <w:rPr>
          <w:rFonts w:cs="Arial"/>
        </w:rPr>
        <w:t xml:space="preserve">assessing and </w:t>
      </w:r>
      <w:r w:rsidRPr="0045612B">
        <w:rPr>
          <w:rFonts w:cs="Arial"/>
        </w:rPr>
        <w:t>screening employees and volunteers for suitability to work with children</w:t>
      </w:r>
      <w:r>
        <w:rPr>
          <w:rFonts w:cs="Arial"/>
        </w:rPr>
        <w:t>, and meeting the child safe requirements of respective state and territory governments.</w:t>
      </w:r>
    </w:p>
    <w:p w:rsidR="00040458" w:rsidRDefault="00040458" w:rsidP="00040458">
      <w:pPr>
        <w:spacing w:before="0" w:after="0"/>
        <w:rPr>
          <w:rFonts w:cs="Arial"/>
        </w:rPr>
      </w:pPr>
    </w:p>
    <w:p w:rsidR="00040458" w:rsidRDefault="00040458" w:rsidP="009A70E3">
      <w:r>
        <w:t>However, to deliver a nationally consistent approach to the development and maintenance of child safe organisations, genuine cultural change is needed that places children at the centre of thinking and action.</w:t>
      </w:r>
    </w:p>
    <w:p w:rsidR="00040458" w:rsidRPr="0045612B" w:rsidRDefault="00040458" w:rsidP="009A70E3">
      <w:r>
        <w:t>A precursor to effecting such change</w:t>
      </w:r>
      <w:r w:rsidRPr="0045612B">
        <w:t xml:space="preserve"> is to </w:t>
      </w:r>
      <w:r>
        <w:t>develop an understanding about</w:t>
      </w:r>
      <w:r w:rsidRPr="0045612B">
        <w:t xml:space="preserve"> what organisations already know about child safety, what they are already doing</w:t>
      </w:r>
      <w:r>
        <w:t>,</w:t>
      </w:r>
      <w:r w:rsidRPr="0045612B">
        <w:t xml:space="preserve"> and where they need additional support.</w:t>
      </w:r>
    </w:p>
    <w:p w:rsidR="00040458" w:rsidRPr="0045612B" w:rsidRDefault="00040458" w:rsidP="009A70E3">
      <w:r w:rsidRPr="0045612B">
        <w:rPr>
          <w:color w:val="000000"/>
        </w:rPr>
        <w:t>A wide range of organisations work with children and young people throughout Australia. These ma</w:t>
      </w:r>
      <w:r>
        <w:rPr>
          <w:color w:val="000000"/>
        </w:rPr>
        <w:t>y be small and community based, through to larger organisations</w:t>
      </w:r>
      <w:r w:rsidRPr="0045612B">
        <w:rPr>
          <w:color w:val="000000"/>
        </w:rPr>
        <w:t>. These may also be businesses or organisations employing staff and/or volunteers providing services to and working with child</w:t>
      </w:r>
      <w:r>
        <w:rPr>
          <w:color w:val="000000"/>
        </w:rPr>
        <w:t>ren and young people, with some of these entities operating</w:t>
      </w:r>
      <w:r w:rsidRPr="0045612B">
        <w:rPr>
          <w:color w:val="000000"/>
        </w:rPr>
        <w:t xml:space="preserve"> across state </w:t>
      </w:r>
      <w:r>
        <w:rPr>
          <w:color w:val="000000"/>
        </w:rPr>
        <w:t xml:space="preserve">and territory </w:t>
      </w:r>
      <w:r w:rsidRPr="0045612B">
        <w:rPr>
          <w:color w:val="000000"/>
        </w:rPr>
        <w:t>boundaries.</w:t>
      </w:r>
    </w:p>
    <w:p w:rsidR="00040458" w:rsidRDefault="00040458" w:rsidP="009A70E3">
      <w:r>
        <w:t>Ongoing</w:t>
      </w:r>
      <w:r w:rsidRPr="0045612B">
        <w:t xml:space="preserve"> work</w:t>
      </w:r>
      <w:r>
        <w:t xml:space="preserve"> and collaboration</w:t>
      </w:r>
      <w:r w:rsidRPr="0045612B">
        <w:t xml:space="preserve"> will </w:t>
      </w:r>
      <w:r>
        <w:t xml:space="preserve">be </w:t>
      </w:r>
      <w:r w:rsidRPr="0045612B">
        <w:t>require</w:t>
      </w:r>
      <w:r>
        <w:t>d to embed the National Principles into organisational policies and practices across the wide range of sectors providing services to children, in ways which complement and support existing sta</w:t>
      </w:r>
      <w:r w:rsidR="009A70E3">
        <w:t>ndards, guidance and resources.</w:t>
      </w:r>
    </w:p>
    <w:p w:rsidR="00040458" w:rsidRDefault="00040458" w:rsidP="009A70E3">
      <w:r>
        <w:t>Given this, the Australian Government should consider establishing or appointing existing appropriate bodies at the national level to drive, implement and monitor child safety across Australia.</w:t>
      </w:r>
    </w:p>
    <w:p w:rsidR="00040458" w:rsidRDefault="00040458" w:rsidP="009A70E3">
      <w:r>
        <w:t>Engaging the c</w:t>
      </w:r>
      <w:r w:rsidRPr="0045612B">
        <w:t xml:space="preserve">ommunity on child safety and wellbeing in organisations is another </w:t>
      </w:r>
      <w:r>
        <w:t xml:space="preserve">critical </w:t>
      </w:r>
      <w:r w:rsidRPr="0045612B">
        <w:t xml:space="preserve">aspect of </w:t>
      </w:r>
      <w:r>
        <w:t xml:space="preserve">any </w:t>
      </w:r>
      <w:r w:rsidRPr="0045612B">
        <w:t>future work. A child’s family and community members are an important part of their protective network</w:t>
      </w:r>
      <w:r>
        <w:t>. They</w:t>
      </w:r>
      <w:r w:rsidRPr="0045612B">
        <w:t xml:space="preserve"> should feel empowered and comfortable speaking to organisations abou</w:t>
      </w:r>
      <w:r>
        <w:t>t what policies and practices are in place</w:t>
      </w:r>
      <w:r w:rsidRPr="0045612B">
        <w:t xml:space="preserve"> to keep children safe or to raise concerns if they arise. </w:t>
      </w:r>
    </w:p>
    <w:p w:rsidR="00040458" w:rsidRDefault="00040458" w:rsidP="009A70E3">
      <w:r>
        <w:t xml:space="preserve">The ultimate goal is to create communities that are safe and nurturing for children, where their special rights are respected and realised. As cornerstones of our communities, all organisations working for and with children need to be proactive in their commitment by taking </w:t>
      </w:r>
      <w:r w:rsidRPr="00B279C1">
        <w:t xml:space="preserve">deliberate steps to protect </w:t>
      </w:r>
      <w:r>
        <w:t>children’s rights and keep them safe from physical, sexual and emotional harm</w:t>
      </w:r>
      <w:r w:rsidRPr="00B279C1">
        <w:t>.</w:t>
      </w:r>
      <w:r>
        <w:t xml:space="preserve"> I trust that the national work I am undertaking in relation to child safe organisations helps to guide and support all organisations, workers, volunteers, children and families in ensuring the safety and well</w:t>
      </w:r>
      <w:r w:rsidR="00150A9B">
        <w:t xml:space="preserve">being of Australia’s children. </w:t>
      </w:r>
    </w:p>
    <w:p w:rsidR="00040458" w:rsidRDefault="009A70E3" w:rsidP="005A1507">
      <w:pPr>
        <w:keepLines w:val="0"/>
        <w:spacing w:before="0" w:after="0"/>
      </w:pPr>
      <w:r>
        <w:br w:type="page"/>
      </w:r>
    </w:p>
    <w:tbl>
      <w:tblPr>
        <w:tblStyle w:val="Grigliatabella"/>
        <w:tblW w:w="0" w:type="auto"/>
        <w:tblCellMar>
          <w:left w:w="284" w:type="dxa"/>
          <w:right w:w="284" w:type="dxa"/>
        </w:tblCellMar>
        <w:tblLook w:val="04A0" w:firstRow="1" w:lastRow="0" w:firstColumn="1" w:lastColumn="0" w:noHBand="0" w:noVBand="1"/>
      </w:tblPr>
      <w:tblGrid>
        <w:gridCol w:w="9060"/>
      </w:tblGrid>
      <w:tr w:rsidR="00040458" w:rsidTr="002B5AB7">
        <w:tc>
          <w:tcPr>
            <w:tcW w:w="9060" w:type="dxa"/>
          </w:tcPr>
          <w:p w:rsidR="00040458" w:rsidRPr="002B5AB7" w:rsidRDefault="00040458" w:rsidP="002B5AB7">
            <w:pPr>
              <w:rPr>
                <w:b/>
              </w:rPr>
            </w:pPr>
            <w:r w:rsidRPr="002B5AB7">
              <w:rPr>
                <w:b/>
              </w:rPr>
              <w:t>Summary</w:t>
            </w:r>
          </w:p>
          <w:p w:rsidR="00040458" w:rsidRPr="00A56E7D" w:rsidRDefault="00040458" w:rsidP="00222517">
            <w:pPr>
              <w:pStyle w:val="Paragrafoelenco"/>
              <w:numPr>
                <w:ilvl w:val="0"/>
                <w:numId w:val="146"/>
              </w:numPr>
              <w:spacing w:before="0" w:after="0"/>
              <w:jc w:val="left"/>
              <w:rPr>
                <w:b/>
              </w:rPr>
            </w:pPr>
            <w:r>
              <w:t xml:space="preserve">Our understanding of child harm in Australia comes from a variety of information sources including administrative data and findings from government inquiries. </w:t>
            </w:r>
          </w:p>
          <w:p w:rsidR="00040458" w:rsidRPr="00491792" w:rsidRDefault="00040458" w:rsidP="00222517">
            <w:pPr>
              <w:pStyle w:val="Paragrafoelenco"/>
              <w:numPr>
                <w:ilvl w:val="0"/>
                <w:numId w:val="146"/>
              </w:numPr>
              <w:spacing w:before="0" w:after="0"/>
              <w:jc w:val="left"/>
              <w:rPr>
                <w:b/>
              </w:rPr>
            </w:pPr>
            <w:r>
              <w:rPr>
                <w:color w:val="000000"/>
              </w:rPr>
              <w:t>O</w:t>
            </w:r>
            <w:r w:rsidRPr="000D032F">
              <w:rPr>
                <w:color w:val="000000"/>
              </w:rPr>
              <w:t>ur ability to understand child</w:t>
            </w:r>
            <w:r>
              <w:rPr>
                <w:color w:val="000000"/>
              </w:rPr>
              <w:t xml:space="preserve"> abuse, neglect and other forms of child harm is limited by the lack of available information on the prevalence and nature of all forms of child harm.</w:t>
            </w:r>
          </w:p>
          <w:p w:rsidR="00040458" w:rsidRPr="00DC3479" w:rsidRDefault="00040458" w:rsidP="00222517">
            <w:pPr>
              <w:pStyle w:val="Paragrafoelenco"/>
              <w:numPr>
                <w:ilvl w:val="0"/>
                <w:numId w:val="146"/>
              </w:numPr>
              <w:spacing w:before="0" w:after="0"/>
              <w:jc w:val="left"/>
              <w:rPr>
                <w:b/>
              </w:rPr>
            </w:pPr>
            <w:r>
              <w:t>The work of the Royal Commission into Institutional Responses to Child Sexual Abuse has brought particular focus to children’s safety in organisations.</w:t>
            </w:r>
          </w:p>
          <w:p w:rsidR="00040458" w:rsidRPr="008071F3" w:rsidRDefault="00040458" w:rsidP="00222517">
            <w:pPr>
              <w:pStyle w:val="Paragrafoelenco"/>
              <w:numPr>
                <w:ilvl w:val="0"/>
                <w:numId w:val="146"/>
              </w:numPr>
              <w:spacing w:before="0" w:after="0"/>
              <w:jc w:val="left"/>
              <w:rPr>
                <w:b/>
              </w:rPr>
            </w:pPr>
            <w:r>
              <w:t>Children’s safety and wellbeing in organisations is most effectively fostered by a child rights approach, which views the child as a whole and promotes children’s enjoyment of a full range of rights.</w:t>
            </w:r>
          </w:p>
          <w:p w:rsidR="00040458" w:rsidRPr="00C56E54" w:rsidRDefault="00040458" w:rsidP="00222517">
            <w:pPr>
              <w:pStyle w:val="Paragrafoelenco"/>
              <w:numPr>
                <w:ilvl w:val="0"/>
                <w:numId w:val="146"/>
              </w:numPr>
              <w:spacing w:before="0" w:after="0"/>
              <w:jc w:val="left"/>
              <w:rPr>
                <w:b/>
              </w:rPr>
            </w:pPr>
            <w:r>
              <w:t>Children and young people have said that safety is about feeling welcome, included, not discriminated against and able to speak up.</w:t>
            </w:r>
          </w:p>
          <w:p w:rsidR="00040458" w:rsidRPr="00C56E54" w:rsidRDefault="00040458" w:rsidP="00222517">
            <w:pPr>
              <w:pStyle w:val="Paragrafoelenco"/>
              <w:numPr>
                <w:ilvl w:val="0"/>
                <w:numId w:val="146"/>
              </w:numPr>
              <w:spacing w:before="0" w:after="0"/>
              <w:jc w:val="left"/>
              <w:rPr>
                <w:b/>
              </w:rPr>
            </w:pPr>
            <w:r>
              <w:t xml:space="preserve">To ensure child safety and wellbeing, organisations need to have cultures and systems that focus on the rights and needs of children and young people. </w:t>
            </w:r>
          </w:p>
          <w:p w:rsidR="00040458" w:rsidRPr="005A1507" w:rsidRDefault="00040458" w:rsidP="005A1507">
            <w:pPr>
              <w:pStyle w:val="Paragrafoelenco"/>
              <w:numPr>
                <w:ilvl w:val="0"/>
                <w:numId w:val="146"/>
              </w:numPr>
              <w:spacing w:before="0"/>
              <w:ind w:left="714" w:hanging="357"/>
              <w:jc w:val="left"/>
              <w:rPr>
                <w:b/>
              </w:rPr>
            </w:pPr>
            <w:r>
              <w:t>My work developing the National Statement of Principles for Child Safe Organisations aims to drive cultural change in organisations and is designed to contribute to</w:t>
            </w:r>
            <w:r w:rsidRPr="008B2587">
              <w:t xml:space="preserve"> a nationally consistent approach to child safety and wellbeing in organisations. </w:t>
            </w:r>
          </w:p>
        </w:tc>
      </w:tr>
    </w:tbl>
    <w:p w:rsidR="00040458" w:rsidRDefault="00040458" w:rsidP="00DE77A8">
      <w:pPr>
        <w:rPr>
          <w:rFonts w:cs="Arial"/>
          <w:b/>
          <w:color w:val="000000"/>
        </w:rPr>
      </w:pPr>
    </w:p>
    <w:p w:rsidR="009A70E3" w:rsidRDefault="009A70E3">
      <w:pPr>
        <w:keepLines w:val="0"/>
        <w:spacing w:before="0" w:after="0"/>
      </w:pPr>
      <w:r>
        <w:br w:type="page"/>
      </w:r>
    </w:p>
    <w:p w:rsidR="00DE77A8" w:rsidRDefault="00DE77A8" w:rsidP="00DE77A8">
      <w:pPr>
        <w:spacing w:before="0" w:after="0"/>
        <w:rPr>
          <w:rFonts w:cs="Arial"/>
          <w:color w:val="000000"/>
          <w:sz w:val="22"/>
          <w:szCs w:val="22"/>
        </w:rPr>
      </w:pPr>
    </w:p>
    <w:p w:rsidR="00EE7572" w:rsidRPr="00C96769" w:rsidRDefault="00EE7572" w:rsidP="00F57BC1">
      <w:pPr>
        <w:pStyle w:val="Titolo2"/>
        <w:sectPr w:rsidR="00EE7572" w:rsidRPr="00C96769" w:rsidSect="003716C0">
          <w:endnotePr>
            <w:numFmt w:val="decimal"/>
            <w:numRestart w:val="eachSect"/>
          </w:endnotePr>
          <w:pgSz w:w="11906" w:h="16838" w:code="9"/>
          <w:pgMar w:top="1134" w:right="1418" w:bottom="1134" w:left="1418" w:header="709" w:footer="709" w:gutter="0"/>
          <w:cols w:space="708"/>
          <w:docGrid w:linePitch="360"/>
        </w:sectPr>
      </w:pPr>
    </w:p>
    <w:p w:rsidR="00391D3E" w:rsidRPr="00021DD2" w:rsidRDefault="00391D3E" w:rsidP="00972629">
      <w:pPr>
        <w:pStyle w:val="Titolo1"/>
        <w:numPr>
          <w:ilvl w:val="0"/>
          <w:numId w:val="0"/>
        </w:numPr>
        <w:rPr>
          <w:rFonts w:cs="Arial"/>
        </w:rPr>
      </w:pPr>
      <w:bookmarkStart w:id="156" w:name="_Toc500308846"/>
      <w:r w:rsidRPr="00021DD2">
        <w:rPr>
          <w:rFonts w:cs="Arial"/>
        </w:rPr>
        <w:t>Appendi</w:t>
      </w:r>
      <w:r w:rsidR="00972629">
        <w:rPr>
          <w:rFonts w:cs="Arial"/>
        </w:rPr>
        <w:t>ces</w:t>
      </w:r>
      <w:bookmarkEnd w:id="156"/>
    </w:p>
    <w:p w:rsidR="00391D3E" w:rsidRPr="00021DD2" w:rsidRDefault="00391D3E" w:rsidP="00222517">
      <w:pPr>
        <w:pStyle w:val="Titolo6"/>
      </w:pPr>
      <w:bookmarkStart w:id="157" w:name="_Toc500308847"/>
      <w:r w:rsidRPr="00021DD2">
        <w:t>Speaking engagements</w:t>
      </w:r>
      <w:bookmarkEnd w:id="157"/>
    </w:p>
    <w:tbl>
      <w:tblPr>
        <w:tblStyle w:val="Grigliatabella"/>
        <w:tblW w:w="9494" w:type="dxa"/>
        <w:tblLook w:val="04A0" w:firstRow="1" w:lastRow="0" w:firstColumn="1" w:lastColumn="0" w:noHBand="0" w:noVBand="1"/>
      </w:tblPr>
      <w:tblGrid>
        <w:gridCol w:w="1486"/>
        <w:gridCol w:w="5700"/>
        <w:gridCol w:w="2308"/>
      </w:tblGrid>
      <w:tr w:rsidR="00391D3E" w:rsidRPr="00222517" w:rsidTr="00222517">
        <w:trPr>
          <w:trHeight w:val="265"/>
          <w:tblHeader/>
        </w:trPr>
        <w:tc>
          <w:tcPr>
            <w:tcW w:w="1486" w:type="dxa"/>
          </w:tcPr>
          <w:p w:rsidR="00391D3E" w:rsidRPr="00222517" w:rsidRDefault="00391D3E" w:rsidP="00222517">
            <w:pPr>
              <w:rPr>
                <w:b/>
              </w:rPr>
            </w:pPr>
            <w:r w:rsidRPr="00222517">
              <w:rPr>
                <w:b/>
              </w:rPr>
              <w:t>Date</w:t>
            </w:r>
          </w:p>
        </w:tc>
        <w:tc>
          <w:tcPr>
            <w:tcW w:w="5700" w:type="dxa"/>
          </w:tcPr>
          <w:p w:rsidR="00391D3E" w:rsidRPr="00222517" w:rsidRDefault="00391D3E" w:rsidP="00222517">
            <w:pPr>
              <w:rPr>
                <w:b/>
              </w:rPr>
            </w:pPr>
            <w:r w:rsidRPr="00222517">
              <w:rPr>
                <w:b/>
              </w:rPr>
              <w:t xml:space="preserve">Engagement </w:t>
            </w:r>
          </w:p>
        </w:tc>
        <w:tc>
          <w:tcPr>
            <w:tcW w:w="2308" w:type="dxa"/>
          </w:tcPr>
          <w:p w:rsidR="00391D3E" w:rsidRPr="00222517" w:rsidRDefault="00391D3E" w:rsidP="00222517">
            <w:pPr>
              <w:rPr>
                <w:b/>
              </w:rPr>
            </w:pPr>
            <w:r w:rsidRPr="00222517">
              <w:rPr>
                <w:b/>
              </w:rPr>
              <w:t>Location</w:t>
            </w:r>
          </w:p>
        </w:tc>
      </w:tr>
      <w:tr w:rsidR="00391D3E" w:rsidRPr="00021DD2" w:rsidTr="00391D3E">
        <w:trPr>
          <w:trHeight w:val="780"/>
        </w:trPr>
        <w:tc>
          <w:tcPr>
            <w:tcW w:w="1486" w:type="dxa"/>
          </w:tcPr>
          <w:p w:rsidR="00391D3E" w:rsidRPr="00021DD2" w:rsidRDefault="00391D3E" w:rsidP="00391D3E">
            <w:pPr>
              <w:spacing w:before="120" w:after="120"/>
              <w:rPr>
                <w:rFonts w:cs="Arial"/>
              </w:rPr>
            </w:pPr>
            <w:r w:rsidRPr="00021DD2">
              <w:rPr>
                <w:rFonts w:cs="Arial"/>
              </w:rPr>
              <w:t>06.07.2016</w:t>
            </w:r>
          </w:p>
        </w:tc>
        <w:tc>
          <w:tcPr>
            <w:tcW w:w="5700" w:type="dxa"/>
          </w:tcPr>
          <w:p w:rsidR="00391D3E" w:rsidRPr="00021DD2" w:rsidRDefault="00391D3E" w:rsidP="00391D3E">
            <w:pPr>
              <w:spacing w:before="120" w:after="120"/>
              <w:rPr>
                <w:rFonts w:cs="Arial"/>
              </w:rPr>
            </w:pPr>
            <w:r w:rsidRPr="00021DD2">
              <w:rPr>
                <w:rFonts w:cs="Arial"/>
              </w:rPr>
              <w:t>Australian Institute of Family Studies 2016 Conference</w:t>
            </w:r>
          </w:p>
        </w:tc>
        <w:tc>
          <w:tcPr>
            <w:tcW w:w="2308" w:type="dxa"/>
          </w:tcPr>
          <w:p w:rsidR="00391D3E" w:rsidRPr="00021DD2" w:rsidRDefault="00391D3E" w:rsidP="00391D3E">
            <w:pPr>
              <w:spacing w:before="120" w:after="120"/>
              <w:rPr>
                <w:rFonts w:cs="Arial"/>
              </w:rPr>
            </w:pPr>
            <w:r w:rsidRPr="00021DD2">
              <w:rPr>
                <w:rFonts w:cs="Arial"/>
              </w:rPr>
              <w:t>Melbourne, V</w:t>
            </w:r>
            <w:r w:rsidR="006006A5">
              <w:rPr>
                <w:rFonts w:cs="Arial"/>
              </w:rPr>
              <w:t>ic</w:t>
            </w:r>
          </w:p>
        </w:tc>
      </w:tr>
      <w:tr w:rsidR="00391D3E" w:rsidRPr="00021DD2" w:rsidTr="00391D3E">
        <w:trPr>
          <w:trHeight w:val="500"/>
        </w:trPr>
        <w:tc>
          <w:tcPr>
            <w:tcW w:w="1486" w:type="dxa"/>
          </w:tcPr>
          <w:p w:rsidR="00391D3E" w:rsidRPr="00021DD2" w:rsidRDefault="00391D3E" w:rsidP="00391D3E">
            <w:pPr>
              <w:spacing w:before="120" w:after="120"/>
              <w:jc w:val="center"/>
              <w:rPr>
                <w:rFonts w:cs="Arial"/>
              </w:rPr>
            </w:pPr>
            <w:r w:rsidRPr="00021DD2">
              <w:rPr>
                <w:rFonts w:cs="Arial"/>
              </w:rPr>
              <w:t>25.07.2016</w:t>
            </w:r>
          </w:p>
        </w:tc>
        <w:tc>
          <w:tcPr>
            <w:tcW w:w="5700" w:type="dxa"/>
          </w:tcPr>
          <w:p w:rsidR="00391D3E" w:rsidRPr="00021DD2" w:rsidRDefault="00391D3E" w:rsidP="00391D3E">
            <w:pPr>
              <w:spacing w:before="120" w:after="120"/>
              <w:rPr>
                <w:rFonts w:cs="Arial"/>
              </w:rPr>
            </w:pPr>
            <w:r w:rsidRPr="00021DD2">
              <w:rPr>
                <w:rFonts w:cs="Arial"/>
              </w:rPr>
              <w:t>2016 National Suicide Prevention Conference</w:t>
            </w:r>
          </w:p>
        </w:tc>
        <w:tc>
          <w:tcPr>
            <w:tcW w:w="2308" w:type="dxa"/>
          </w:tcPr>
          <w:p w:rsidR="00391D3E" w:rsidRPr="00021DD2" w:rsidRDefault="00391D3E" w:rsidP="00391D3E">
            <w:pPr>
              <w:spacing w:before="120" w:after="120"/>
              <w:rPr>
                <w:rFonts w:cs="Arial"/>
              </w:rPr>
            </w:pPr>
            <w:r w:rsidRPr="00021DD2">
              <w:rPr>
                <w:rFonts w:cs="Arial"/>
              </w:rPr>
              <w:t>Canberra, ACT</w:t>
            </w:r>
          </w:p>
        </w:tc>
      </w:tr>
      <w:tr w:rsidR="00391D3E" w:rsidRPr="00021DD2" w:rsidTr="00391D3E">
        <w:trPr>
          <w:trHeight w:val="500"/>
        </w:trPr>
        <w:tc>
          <w:tcPr>
            <w:tcW w:w="1486" w:type="dxa"/>
          </w:tcPr>
          <w:p w:rsidR="00391D3E" w:rsidRPr="00021DD2" w:rsidRDefault="00391D3E" w:rsidP="00391D3E">
            <w:pPr>
              <w:spacing w:before="120" w:after="120"/>
              <w:rPr>
                <w:rFonts w:cs="Arial"/>
              </w:rPr>
            </w:pPr>
            <w:r w:rsidRPr="00021DD2">
              <w:rPr>
                <w:rFonts w:cs="Arial"/>
              </w:rPr>
              <w:t>30.07.2016</w:t>
            </w:r>
          </w:p>
        </w:tc>
        <w:tc>
          <w:tcPr>
            <w:tcW w:w="5700" w:type="dxa"/>
          </w:tcPr>
          <w:p w:rsidR="00391D3E" w:rsidRPr="00021DD2" w:rsidRDefault="00391D3E" w:rsidP="00391D3E">
            <w:pPr>
              <w:spacing w:before="120" w:after="120"/>
              <w:rPr>
                <w:rFonts w:cs="Arial"/>
              </w:rPr>
            </w:pPr>
            <w:r w:rsidRPr="00021DD2">
              <w:rPr>
                <w:rFonts w:cs="Arial"/>
              </w:rPr>
              <w:t>Dirrum Dirrum Festival</w:t>
            </w:r>
          </w:p>
        </w:tc>
        <w:tc>
          <w:tcPr>
            <w:tcW w:w="2308" w:type="dxa"/>
          </w:tcPr>
          <w:p w:rsidR="00391D3E" w:rsidRPr="00021DD2" w:rsidRDefault="00391D3E" w:rsidP="00391D3E">
            <w:pPr>
              <w:spacing w:before="120" w:after="120"/>
              <w:rPr>
                <w:rFonts w:cs="Arial"/>
              </w:rPr>
            </w:pPr>
            <w:r w:rsidRPr="00021DD2">
              <w:rPr>
                <w:rFonts w:cs="Arial"/>
              </w:rPr>
              <w:t>Canberra, ACT</w:t>
            </w:r>
          </w:p>
        </w:tc>
      </w:tr>
      <w:tr w:rsidR="00391D3E" w:rsidRPr="00021DD2" w:rsidTr="00391D3E">
        <w:trPr>
          <w:trHeight w:val="766"/>
        </w:trPr>
        <w:tc>
          <w:tcPr>
            <w:tcW w:w="1486" w:type="dxa"/>
          </w:tcPr>
          <w:p w:rsidR="00391D3E" w:rsidRPr="00021DD2" w:rsidRDefault="00391D3E" w:rsidP="00391D3E">
            <w:pPr>
              <w:spacing w:before="120" w:after="120"/>
              <w:rPr>
                <w:rFonts w:cs="Arial"/>
              </w:rPr>
            </w:pPr>
            <w:r w:rsidRPr="00021DD2">
              <w:rPr>
                <w:rFonts w:cs="Arial"/>
              </w:rPr>
              <w:t>17.08.2016</w:t>
            </w:r>
          </w:p>
        </w:tc>
        <w:tc>
          <w:tcPr>
            <w:tcW w:w="5700" w:type="dxa"/>
          </w:tcPr>
          <w:p w:rsidR="00391D3E" w:rsidRPr="00021DD2" w:rsidRDefault="00391D3E" w:rsidP="00391D3E">
            <w:pPr>
              <w:spacing w:before="120" w:after="120"/>
              <w:rPr>
                <w:rFonts w:cs="Arial"/>
              </w:rPr>
            </w:pPr>
            <w:r w:rsidRPr="00021DD2">
              <w:rPr>
                <w:rFonts w:cs="Arial"/>
              </w:rPr>
              <w:t>Association of Children’s Welfare Agencies Conference 2016</w:t>
            </w:r>
          </w:p>
        </w:tc>
        <w:tc>
          <w:tcPr>
            <w:tcW w:w="2308" w:type="dxa"/>
          </w:tcPr>
          <w:p w:rsidR="00391D3E" w:rsidRPr="00021DD2" w:rsidRDefault="00391D3E" w:rsidP="00391D3E">
            <w:pPr>
              <w:spacing w:before="120" w:after="120"/>
              <w:rPr>
                <w:rFonts w:cs="Arial"/>
              </w:rPr>
            </w:pPr>
            <w:r w:rsidRPr="00021DD2">
              <w:rPr>
                <w:rFonts w:cs="Arial"/>
              </w:rPr>
              <w:t>Sydney, NSW</w:t>
            </w:r>
          </w:p>
        </w:tc>
      </w:tr>
      <w:tr w:rsidR="00391D3E" w:rsidRPr="00021DD2" w:rsidTr="00391D3E">
        <w:trPr>
          <w:trHeight w:val="780"/>
        </w:trPr>
        <w:tc>
          <w:tcPr>
            <w:tcW w:w="1486" w:type="dxa"/>
          </w:tcPr>
          <w:p w:rsidR="00391D3E" w:rsidRPr="00021DD2" w:rsidRDefault="00391D3E" w:rsidP="00391D3E">
            <w:pPr>
              <w:spacing w:before="120" w:after="120"/>
              <w:rPr>
                <w:rFonts w:cs="Arial"/>
              </w:rPr>
            </w:pPr>
            <w:r w:rsidRPr="00021DD2">
              <w:rPr>
                <w:rFonts w:cs="Arial"/>
              </w:rPr>
              <w:t>29.08.2016</w:t>
            </w:r>
          </w:p>
        </w:tc>
        <w:tc>
          <w:tcPr>
            <w:tcW w:w="5700" w:type="dxa"/>
          </w:tcPr>
          <w:p w:rsidR="00391D3E" w:rsidRPr="00021DD2" w:rsidRDefault="00391D3E" w:rsidP="00391D3E">
            <w:pPr>
              <w:spacing w:before="120" w:after="120"/>
              <w:rPr>
                <w:rFonts w:cs="Arial"/>
              </w:rPr>
            </w:pPr>
            <w:r w:rsidRPr="00021DD2">
              <w:rPr>
                <w:rFonts w:cs="Arial"/>
              </w:rPr>
              <w:t>International Society for the Prevention of Child Abuse and Neglect (ISPCAN) Conference 2016</w:t>
            </w:r>
          </w:p>
        </w:tc>
        <w:tc>
          <w:tcPr>
            <w:tcW w:w="2308" w:type="dxa"/>
          </w:tcPr>
          <w:p w:rsidR="00391D3E" w:rsidRPr="00021DD2" w:rsidRDefault="00391D3E" w:rsidP="00391D3E">
            <w:pPr>
              <w:spacing w:before="120" w:after="120"/>
              <w:rPr>
                <w:rFonts w:cs="Arial"/>
              </w:rPr>
            </w:pPr>
            <w:r w:rsidRPr="00021DD2">
              <w:rPr>
                <w:rFonts w:cs="Arial"/>
              </w:rPr>
              <w:t>Calgary, Canada</w:t>
            </w:r>
          </w:p>
        </w:tc>
      </w:tr>
      <w:tr w:rsidR="00391D3E" w:rsidRPr="00021DD2" w:rsidTr="00391D3E">
        <w:trPr>
          <w:trHeight w:val="766"/>
        </w:trPr>
        <w:tc>
          <w:tcPr>
            <w:tcW w:w="1486" w:type="dxa"/>
          </w:tcPr>
          <w:p w:rsidR="00391D3E" w:rsidRPr="00021DD2" w:rsidRDefault="00391D3E" w:rsidP="00391D3E">
            <w:pPr>
              <w:spacing w:before="120" w:after="120"/>
              <w:rPr>
                <w:rFonts w:cs="Arial"/>
              </w:rPr>
            </w:pPr>
            <w:r w:rsidRPr="00021DD2">
              <w:rPr>
                <w:rFonts w:cs="Arial"/>
              </w:rPr>
              <w:t>07.09.2016</w:t>
            </w:r>
          </w:p>
        </w:tc>
        <w:tc>
          <w:tcPr>
            <w:tcW w:w="5700" w:type="dxa"/>
          </w:tcPr>
          <w:p w:rsidR="00391D3E" w:rsidRPr="00021DD2" w:rsidRDefault="00391D3E" w:rsidP="00391D3E">
            <w:pPr>
              <w:spacing w:before="120" w:after="120"/>
              <w:rPr>
                <w:rFonts w:cs="Arial"/>
              </w:rPr>
            </w:pPr>
            <w:r w:rsidRPr="00021DD2">
              <w:rPr>
                <w:rFonts w:cs="Arial"/>
              </w:rPr>
              <w:t>Red Cross Youth Panel (National Child Protection Week)</w:t>
            </w:r>
          </w:p>
        </w:tc>
        <w:tc>
          <w:tcPr>
            <w:tcW w:w="2308" w:type="dxa"/>
          </w:tcPr>
          <w:p w:rsidR="00391D3E" w:rsidRPr="00021DD2" w:rsidRDefault="00391D3E" w:rsidP="00391D3E">
            <w:pPr>
              <w:spacing w:before="120" w:after="120"/>
              <w:rPr>
                <w:rFonts w:cs="Arial"/>
              </w:rPr>
            </w:pPr>
            <w:r w:rsidRPr="00021DD2">
              <w:rPr>
                <w:rFonts w:cs="Arial"/>
              </w:rPr>
              <w:t>Sydney, NSW</w:t>
            </w:r>
          </w:p>
        </w:tc>
      </w:tr>
      <w:tr w:rsidR="00391D3E" w:rsidRPr="00021DD2" w:rsidTr="00391D3E">
        <w:trPr>
          <w:trHeight w:val="500"/>
        </w:trPr>
        <w:tc>
          <w:tcPr>
            <w:tcW w:w="1486" w:type="dxa"/>
          </w:tcPr>
          <w:p w:rsidR="00391D3E" w:rsidRPr="00021DD2" w:rsidRDefault="00391D3E" w:rsidP="00391D3E">
            <w:pPr>
              <w:spacing w:before="120" w:after="120"/>
              <w:rPr>
                <w:rFonts w:cs="Arial"/>
              </w:rPr>
            </w:pPr>
            <w:r w:rsidRPr="00021DD2">
              <w:rPr>
                <w:rFonts w:cs="Arial"/>
              </w:rPr>
              <w:t>09.09.2016</w:t>
            </w:r>
          </w:p>
        </w:tc>
        <w:tc>
          <w:tcPr>
            <w:tcW w:w="5700" w:type="dxa"/>
          </w:tcPr>
          <w:p w:rsidR="00391D3E" w:rsidRPr="00021DD2" w:rsidRDefault="00391D3E" w:rsidP="006006A5">
            <w:pPr>
              <w:spacing w:before="120" w:after="120"/>
              <w:rPr>
                <w:rFonts w:cs="Arial"/>
              </w:rPr>
            </w:pPr>
            <w:r w:rsidRPr="00021DD2">
              <w:rPr>
                <w:rFonts w:cs="Arial"/>
              </w:rPr>
              <w:t xml:space="preserve">National Child Protection Week NSW </w:t>
            </w:r>
          </w:p>
        </w:tc>
        <w:tc>
          <w:tcPr>
            <w:tcW w:w="2308" w:type="dxa"/>
          </w:tcPr>
          <w:p w:rsidR="00391D3E" w:rsidRPr="00021DD2" w:rsidRDefault="00391D3E" w:rsidP="00391D3E">
            <w:pPr>
              <w:spacing w:before="120" w:after="120"/>
              <w:rPr>
                <w:rFonts w:cs="Arial"/>
              </w:rPr>
            </w:pPr>
            <w:r w:rsidRPr="00021DD2">
              <w:rPr>
                <w:rFonts w:cs="Arial"/>
              </w:rPr>
              <w:t>Sydney, NSW</w:t>
            </w:r>
          </w:p>
        </w:tc>
      </w:tr>
      <w:tr w:rsidR="00391D3E" w:rsidRPr="00021DD2" w:rsidTr="00391D3E">
        <w:trPr>
          <w:trHeight w:val="500"/>
        </w:trPr>
        <w:tc>
          <w:tcPr>
            <w:tcW w:w="1486" w:type="dxa"/>
          </w:tcPr>
          <w:p w:rsidR="00391D3E" w:rsidRPr="00021DD2" w:rsidRDefault="00391D3E" w:rsidP="00391D3E">
            <w:pPr>
              <w:spacing w:before="120" w:after="120"/>
              <w:rPr>
                <w:rFonts w:cs="Arial"/>
              </w:rPr>
            </w:pPr>
            <w:r w:rsidRPr="00021DD2">
              <w:rPr>
                <w:rFonts w:cs="Arial"/>
              </w:rPr>
              <w:t>13.09.2016</w:t>
            </w:r>
          </w:p>
        </w:tc>
        <w:tc>
          <w:tcPr>
            <w:tcW w:w="5700" w:type="dxa"/>
          </w:tcPr>
          <w:p w:rsidR="00391D3E" w:rsidRPr="00021DD2" w:rsidRDefault="00391D3E" w:rsidP="00391D3E">
            <w:pPr>
              <w:spacing w:before="120" w:after="120"/>
              <w:rPr>
                <w:rFonts w:cs="Arial"/>
              </w:rPr>
            </w:pPr>
            <w:r w:rsidRPr="00021DD2">
              <w:rPr>
                <w:rFonts w:cs="Arial"/>
              </w:rPr>
              <w:t>The 2</w:t>
            </w:r>
            <w:r w:rsidRPr="00021DD2">
              <w:rPr>
                <w:rFonts w:cs="Arial"/>
                <w:vertAlign w:val="superscript"/>
              </w:rPr>
              <w:t>nd</w:t>
            </w:r>
            <w:r w:rsidRPr="00021DD2">
              <w:rPr>
                <w:rFonts w:cs="Arial"/>
              </w:rPr>
              <w:t xml:space="preserve"> Australasian Youth Justice Conference</w:t>
            </w:r>
          </w:p>
        </w:tc>
        <w:tc>
          <w:tcPr>
            <w:tcW w:w="2308" w:type="dxa"/>
          </w:tcPr>
          <w:p w:rsidR="00391D3E" w:rsidRPr="00021DD2" w:rsidRDefault="00391D3E" w:rsidP="00391D3E">
            <w:pPr>
              <w:spacing w:before="120" w:after="120"/>
              <w:rPr>
                <w:rFonts w:cs="Arial"/>
              </w:rPr>
            </w:pPr>
            <w:r w:rsidRPr="00021DD2">
              <w:rPr>
                <w:rFonts w:cs="Arial"/>
              </w:rPr>
              <w:t>Brisbane, Q</w:t>
            </w:r>
            <w:r w:rsidR="006006A5">
              <w:rPr>
                <w:rFonts w:cs="Arial"/>
              </w:rPr>
              <w:t>ld</w:t>
            </w:r>
          </w:p>
        </w:tc>
      </w:tr>
      <w:tr w:rsidR="00391D3E" w:rsidRPr="00021DD2" w:rsidTr="00391D3E">
        <w:trPr>
          <w:trHeight w:val="500"/>
        </w:trPr>
        <w:tc>
          <w:tcPr>
            <w:tcW w:w="1486" w:type="dxa"/>
          </w:tcPr>
          <w:p w:rsidR="00391D3E" w:rsidRPr="00021DD2" w:rsidRDefault="00391D3E" w:rsidP="00391D3E">
            <w:pPr>
              <w:spacing w:before="120" w:after="120"/>
              <w:rPr>
                <w:rFonts w:cs="Arial"/>
              </w:rPr>
            </w:pPr>
            <w:r w:rsidRPr="00021DD2">
              <w:rPr>
                <w:rFonts w:cs="Arial"/>
              </w:rPr>
              <w:t>15.09.2016</w:t>
            </w:r>
          </w:p>
        </w:tc>
        <w:tc>
          <w:tcPr>
            <w:tcW w:w="5700" w:type="dxa"/>
          </w:tcPr>
          <w:p w:rsidR="00391D3E" w:rsidRPr="00021DD2" w:rsidRDefault="00391D3E" w:rsidP="00391D3E">
            <w:pPr>
              <w:spacing w:before="120" w:after="120"/>
              <w:rPr>
                <w:rFonts w:cs="Arial"/>
              </w:rPr>
            </w:pPr>
            <w:r w:rsidRPr="00021DD2">
              <w:rPr>
                <w:rFonts w:cs="Arial"/>
              </w:rPr>
              <w:t>Kids Helpline Symposium 2016 25</w:t>
            </w:r>
            <w:r w:rsidRPr="00021DD2">
              <w:rPr>
                <w:rFonts w:cs="Arial"/>
                <w:vertAlign w:val="superscript"/>
              </w:rPr>
              <w:t>th</w:t>
            </w:r>
            <w:r w:rsidRPr="00021DD2">
              <w:rPr>
                <w:rFonts w:cs="Arial"/>
              </w:rPr>
              <w:t xml:space="preserve"> Anniversary</w:t>
            </w:r>
          </w:p>
        </w:tc>
        <w:tc>
          <w:tcPr>
            <w:tcW w:w="2308" w:type="dxa"/>
          </w:tcPr>
          <w:p w:rsidR="00391D3E" w:rsidRPr="00021DD2" w:rsidRDefault="00391D3E" w:rsidP="00391D3E">
            <w:pPr>
              <w:spacing w:before="120" w:after="120"/>
              <w:rPr>
                <w:rFonts w:cs="Arial"/>
              </w:rPr>
            </w:pPr>
            <w:r w:rsidRPr="00021DD2">
              <w:rPr>
                <w:rFonts w:cs="Arial"/>
              </w:rPr>
              <w:t>Sydney, NSW</w:t>
            </w:r>
          </w:p>
        </w:tc>
      </w:tr>
      <w:tr w:rsidR="00391D3E" w:rsidRPr="00021DD2" w:rsidTr="00391D3E">
        <w:trPr>
          <w:trHeight w:val="780"/>
        </w:trPr>
        <w:tc>
          <w:tcPr>
            <w:tcW w:w="1486" w:type="dxa"/>
          </w:tcPr>
          <w:p w:rsidR="00391D3E" w:rsidRPr="00021DD2" w:rsidRDefault="00391D3E" w:rsidP="00391D3E">
            <w:pPr>
              <w:spacing w:before="120" w:after="120"/>
              <w:rPr>
                <w:rFonts w:cs="Arial"/>
              </w:rPr>
            </w:pPr>
            <w:r w:rsidRPr="00021DD2">
              <w:rPr>
                <w:rFonts w:cs="Arial"/>
              </w:rPr>
              <w:t>06.10.2016</w:t>
            </w:r>
          </w:p>
        </w:tc>
        <w:tc>
          <w:tcPr>
            <w:tcW w:w="5700" w:type="dxa"/>
          </w:tcPr>
          <w:p w:rsidR="00391D3E" w:rsidRPr="00021DD2" w:rsidRDefault="00391D3E" w:rsidP="00391D3E">
            <w:pPr>
              <w:spacing w:before="120" w:after="120"/>
              <w:rPr>
                <w:rFonts w:cs="Arial"/>
              </w:rPr>
            </w:pPr>
            <w:r w:rsidRPr="00021DD2">
              <w:rPr>
                <w:rFonts w:cs="Arial"/>
              </w:rPr>
              <w:t>2016 Early Childhood Australia National Conference</w:t>
            </w:r>
          </w:p>
        </w:tc>
        <w:tc>
          <w:tcPr>
            <w:tcW w:w="2308" w:type="dxa"/>
          </w:tcPr>
          <w:p w:rsidR="00391D3E" w:rsidRPr="00021DD2" w:rsidRDefault="00391D3E" w:rsidP="00391D3E">
            <w:pPr>
              <w:spacing w:before="120" w:after="120"/>
              <w:rPr>
                <w:rFonts w:cs="Arial"/>
              </w:rPr>
            </w:pPr>
            <w:r w:rsidRPr="00021DD2">
              <w:rPr>
                <w:rFonts w:cs="Arial"/>
              </w:rPr>
              <w:t>Darwin, NT</w:t>
            </w:r>
          </w:p>
        </w:tc>
      </w:tr>
      <w:tr w:rsidR="00391D3E" w:rsidRPr="00021DD2" w:rsidTr="00391D3E">
        <w:trPr>
          <w:trHeight w:val="766"/>
        </w:trPr>
        <w:tc>
          <w:tcPr>
            <w:tcW w:w="1486" w:type="dxa"/>
          </w:tcPr>
          <w:p w:rsidR="00391D3E" w:rsidRPr="00021DD2" w:rsidRDefault="00391D3E" w:rsidP="00391D3E">
            <w:pPr>
              <w:spacing w:before="120" w:after="120"/>
              <w:rPr>
                <w:rFonts w:cs="Arial"/>
              </w:rPr>
            </w:pPr>
            <w:r w:rsidRPr="00021DD2">
              <w:rPr>
                <w:rFonts w:cs="Arial"/>
              </w:rPr>
              <w:t>31.10.2016</w:t>
            </w:r>
          </w:p>
        </w:tc>
        <w:tc>
          <w:tcPr>
            <w:tcW w:w="5700" w:type="dxa"/>
          </w:tcPr>
          <w:p w:rsidR="00391D3E" w:rsidRPr="00021DD2" w:rsidRDefault="00391D3E" w:rsidP="00391D3E">
            <w:pPr>
              <w:spacing w:before="120" w:after="120"/>
              <w:rPr>
                <w:rFonts w:cs="Arial"/>
              </w:rPr>
            </w:pPr>
            <w:r w:rsidRPr="00021DD2">
              <w:rPr>
                <w:rFonts w:cs="Arial"/>
              </w:rPr>
              <w:t>Family Violence Specialist Network Day, Legal Aid</w:t>
            </w:r>
          </w:p>
        </w:tc>
        <w:tc>
          <w:tcPr>
            <w:tcW w:w="2308" w:type="dxa"/>
          </w:tcPr>
          <w:p w:rsidR="00391D3E" w:rsidRPr="00021DD2" w:rsidRDefault="00391D3E" w:rsidP="00391D3E">
            <w:pPr>
              <w:spacing w:before="120" w:after="120"/>
              <w:rPr>
                <w:rFonts w:cs="Arial"/>
              </w:rPr>
            </w:pPr>
            <w:r w:rsidRPr="00021DD2">
              <w:rPr>
                <w:rFonts w:cs="Arial"/>
              </w:rPr>
              <w:t>Sydney, NSW</w:t>
            </w:r>
          </w:p>
        </w:tc>
      </w:tr>
      <w:tr w:rsidR="00391D3E" w:rsidRPr="00021DD2" w:rsidTr="00391D3E">
        <w:trPr>
          <w:trHeight w:val="780"/>
        </w:trPr>
        <w:tc>
          <w:tcPr>
            <w:tcW w:w="1486" w:type="dxa"/>
          </w:tcPr>
          <w:p w:rsidR="00391D3E" w:rsidRPr="00021DD2" w:rsidRDefault="00391D3E" w:rsidP="00391D3E">
            <w:pPr>
              <w:spacing w:before="120" w:after="120"/>
              <w:rPr>
                <w:rFonts w:cs="Arial"/>
              </w:rPr>
            </w:pPr>
            <w:r w:rsidRPr="00021DD2">
              <w:rPr>
                <w:rFonts w:cs="Arial"/>
              </w:rPr>
              <w:t>04.11.2016</w:t>
            </w:r>
          </w:p>
        </w:tc>
        <w:tc>
          <w:tcPr>
            <w:tcW w:w="5700" w:type="dxa"/>
          </w:tcPr>
          <w:p w:rsidR="00391D3E" w:rsidRPr="00021DD2" w:rsidRDefault="00391D3E" w:rsidP="00391D3E">
            <w:pPr>
              <w:spacing w:before="120" w:after="120"/>
              <w:rPr>
                <w:rFonts w:cs="Arial"/>
              </w:rPr>
            </w:pPr>
            <w:r w:rsidRPr="00021DD2">
              <w:rPr>
                <w:rFonts w:cs="Arial"/>
              </w:rPr>
              <w:t>Anglicare NT Alice Springs Communities for Children, Children’s Week Gala Dinner</w:t>
            </w:r>
          </w:p>
        </w:tc>
        <w:tc>
          <w:tcPr>
            <w:tcW w:w="2308" w:type="dxa"/>
          </w:tcPr>
          <w:p w:rsidR="00391D3E" w:rsidRPr="00021DD2" w:rsidRDefault="00391D3E" w:rsidP="00391D3E">
            <w:pPr>
              <w:spacing w:before="120" w:after="120"/>
              <w:rPr>
                <w:rFonts w:cs="Arial"/>
              </w:rPr>
            </w:pPr>
            <w:r w:rsidRPr="00021DD2">
              <w:rPr>
                <w:rFonts w:cs="Arial"/>
              </w:rPr>
              <w:t>Alice Springs, NT</w:t>
            </w:r>
          </w:p>
        </w:tc>
      </w:tr>
      <w:tr w:rsidR="00391D3E" w:rsidRPr="00021DD2" w:rsidTr="00391D3E">
        <w:trPr>
          <w:trHeight w:val="766"/>
        </w:trPr>
        <w:tc>
          <w:tcPr>
            <w:tcW w:w="1486" w:type="dxa"/>
          </w:tcPr>
          <w:p w:rsidR="00391D3E" w:rsidRPr="00021DD2" w:rsidRDefault="00391D3E" w:rsidP="00391D3E">
            <w:pPr>
              <w:spacing w:before="120" w:after="120"/>
              <w:rPr>
                <w:rFonts w:cs="Arial"/>
              </w:rPr>
            </w:pPr>
            <w:r w:rsidRPr="00021DD2">
              <w:rPr>
                <w:rFonts w:cs="Arial"/>
              </w:rPr>
              <w:t>15.11.2016</w:t>
            </w:r>
          </w:p>
        </w:tc>
        <w:tc>
          <w:tcPr>
            <w:tcW w:w="5700" w:type="dxa"/>
          </w:tcPr>
          <w:p w:rsidR="00391D3E" w:rsidRPr="00021DD2" w:rsidRDefault="00391D3E" w:rsidP="00391D3E">
            <w:pPr>
              <w:spacing w:before="120" w:after="120"/>
              <w:rPr>
                <w:rFonts w:cs="Arial"/>
              </w:rPr>
            </w:pPr>
            <w:r w:rsidRPr="00021DD2">
              <w:rPr>
                <w:rFonts w:cs="Arial"/>
              </w:rPr>
              <w:t>Children’s Book Council of Australia NSW Branch, Lady Cutler Dinner</w:t>
            </w:r>
          </w:p>
        </w:tc>
        <w:tc>
          <w:tcPr>
            <w:tcW w:w="2308" w:type="dxa"/>
          </w:tcPr>
          <w:p w:rsidR="00391D3E" w:rsidRPr="00021DD2" w:rsidRDefault="00391D3E" w:rsidP="00391D3E">
            <w:pPr>
              <w:spacing w:before="120" w:after="120"/>
              <w:rPr>
                <w:rFonts w:cs="Arial"/>
              </w:rPr>
            </w:pPr>
            <w:r w:rsidRPr="00021DD2">
              <w:rPr>
                <w:rFonts w:cs="Arial"/>
              </w:rPr>
              <w:t>Sydney, NSW</w:t>
            </w:r>
          </w:p>
        </w:tc>
      </w:tr>
      <w:tr w:rsidR="00391D3E" w:rsidRPr="00021DD2" w:rsidTr="00391D3E">
        <w:trPr>
          <w:trHeight w:val="500"/>
        </w:trPr>
        <w:tc>
          <w:tcPr>
            <w:tcW w:w="1486" w:type="dxa"/>
          </w:tcPr>
          <w:p w:rsidR="00391D3E" w:rsidRPr="00021DD2" w:rsidRDefault="00391D3E" w:rsidP="00391D3E">
            <w:pPr>
              <w:spacing w:before="120" w:after="120"/>
              <w:rPr>
                <w:rFonts w:cs="Arial"/>
              </w:rPr>
            </w:pPr>
            <w:r w:rsidRPr="00021DD2">
              <w:rPr>
                <w:rFonts w:cs="Arial"/>
              </w:rPr>
              <w:t>24.11.2016</w:t>
            </w:r>
          </w:p>
        </w:tc>
        <w:tc>
          <w:tcPr>
            <w:tcW w:w="5700" w:type="dxa"/>
          </w:tcPr>
          <w:p w:rsidR="00391D3E" w:rsidRPr="00021DD2" w:rsidRDefault="00391D3E" w:rsidP="00391D3E">
            <w:pPr>
              <w:spacing w:before="120" w:after="120"/>
              <w:rPr>
                <w:rFonts w:cs="Arial"/>
              </w:rPr>
            </w:pPr>
            <w:r w:rsidRPr="00021DD2">
              <w:rPr>
                <w:rFonts w:cs="Arial"/>
              </w:rPr>
              <w:t>The Sydney Children’s Hospital Network</w:t>
            </w:r>
          </w:p>
        </w:tc>
        <w:tc>
          <w:tcPr>
            <w:tcW w:w="2308" w:type="dxa"/>
          </w:tcPr>
          <w:p w:rsidR="00391D3E" w:rsidRPr="00021DD2" w:rsidRDefault="00391D3E" w:rsidP="00391D3E">
            <w:pPr>
              <w:spacing w:before="120" w:after="120"/>
              <w:rPr>
                <w:rFonts w:cs="Arial"/>
              </w:rPr>
            </w:pPr>
            <w:r w:rsidRPr="00021DD2">
              <w:rPr>
                <w:rFonts w:cs="Arial"/>
              </w:rPr>
              <w:t>Sydney, NSW</w:t>
            </w:r>
          </w:p>
        </w:tc>
      </w:tr>
      <w:tr w:rsidR="00391D3E" w:rsidRPr="00021DD2" w:rsidTr="00391D3E">
        <w:trPr>
          <w:trHeight w:val="780"/>
        </w:trPr>
        <w:tc>
          <w:tcPr>
            <w:tcW w:w="1486" w:type="dxa"/>
          </w:tcPr>
          <w:p w:rsidR="00391D3E" w:rsidRPr="00021DD2" w:rsidRDefault="00391D3E" w:rsidP="00391D3E">
            <w:pPr>
              <w:spacing w:before="120" w:after="120"/>
              <w:rPr>
                <w:rFonts w:cs="Arial"/>
              </w:rPr>
            </w:pPr>
            <w:r w:rsidRPr="00021DD2">
              <w:rPr>
                <w:rFonts w:cs="Arial"/>
              </w:rPr>
              <w:t>24.11.2016</w:t>
            </w:r>
          </w:p>
        </w:tc>
        <w:tc>
          <w:tcPr>
            <w:tcW w:w="5700" w:type="dxa"/>
          </w:tcPr>
          <w:p w:rsidR="00391D3E" w:rsidRPr="00021DD2" w:rsidRDefault="00391D3E" w:rsidP="00391D3E">
            <w:pPr>
              <w:spacing w:before="120" w:after="120"/>
              <w:rPr>
                <w:rFonts w:cs="Arial"/>
              </w:rPr>
            </w:pPr>
            <w:r w:rsidRPr="00021DD2">
              <w:rPr>
                <w:rFonts w:cs="Arial"/>
              </w:rPr>
              <w:t xml:space="preserve">Commonwealth Bank Diversity &amp; Inclusion Event: Domestic Violence Panel </w:t>
            </w:r>
          </w:p>
        </w:tc>
        <w:tc>
          <w:tcPr>
            <w:tcW w:w="2308" w:type="dxa"/>
          </w:tcPr>
          <w:p w:rsidR="00391D3E" w:rsidRPr="00021DD2" w:rsidRDefault="00391D3E" w:rsidP="00391D3E">
            <w:pPr>
              <w:spacing w:before="120" w:after="120"/>
              <w:rPr>
                <w:rFonts w:cs="Arial"/>
              </w:rPr>
            </w:pPr>
            <w:r w:rsidRPr="00021DD2">
              <w:rPr>
                <w:rFonts w:cs="Arial"/>
              </w:rPr>
              <w:t>Sydney, NSW</w:t>
            </w:r>
          </w:p>
        </w:tc>
      </w:tr>
      <w:tr w:rsidR="00391D3E" w:rsidRPr="00021DD2" w:rsidTr="00391D3E">
        <w:trPr>
          <w:trHeight w:val="766"/>
        </w:trPr>
        <w:tc>
          <w:tcPr>
            <w:tcW w:w="1486" w:type="dxa"/>
          </w:tcPr>
          <w:p w:rsidR="00391D3E" w:rsidRPr="00021DD2" w:rsidRDefault="00391D3E" w:rsidP="00391D3E">
            <w:pPr>
              <w:spacing w:before="120" w:after="120"/>
              <w:rPr>
                <w:rFonts w:cs="Arial"/>
              </w:rPr>
            </w:pPr>
            <w:r w:rsidRPr="00021DD2">
              <w:rPr>
                <w:rFonts w:cs="Arial"/>
              </w:rPr>
              <w:t>07.12.2016</w:t>
            </w:r>
          </w:p>
        </w:tc>
        <w:tc>
          <w:tcPr>
            <w:tcW w:w="5700" w:type="dxa"/>
          </w:tcPr>
          <w:p w:rsidR="00391D3E" w:rsidRPr="00021DD2" w:rsidRDefault="00391D3E" w:rsidP="00391D3E">
            <w:pPr>
              <w:tabs>
                <w:tab w:val="left" w:pos="1155"/>
              </w:tabs>
              <w:spacing w:before="120" w:after="120"/>
              <w:rPr>
                <w:rFonts w:cs="Arial"/>
              </w:rPr>
            </w:pPr>
            <w:r w:rsidRPr="00021DD2">
              <w:rPr>
                <w:rFonts w:cs="Arial"/>
              </w:rPr>
              <w:t>FUSE 2016 National Multicultural Youth Advocacy Network Summit</w:t>
            </w:r>
          </w:p>
        </w:tc>
        <w:tc>
          <w:tcPr>
            <w:tcW w:w="2308" w:type="dxa"/>
          </w:tcPr>
          <w:p w:rsidR="00391D3E" w:rsidRPr="00021DD2" w:rsidRDefault="00391D3E" w:rsidP="00391D3E">
            <w:pPr>
              <w:spacing w:before="120" w:after="120"/>
              <w:rPr>
                <w:rFonts w:cs="Arial"/>
              </w:rPr>
            </w:pPr>
            <w:r w:rsidRPr="00021DD2">
              <w:rPr>
                <w:rFonts w:cs="Arial"/>
              </w:rPr>
              <w:t>Melbourne, V</w:t>
            </w:r>
            <w:r w:rsidR="006006A5">
              <w:rPr>
                <w:rFonts w:cs="Arial"/>
              </w:rPr>
              <w:t>ic</w:t>
            </w:r>
          </w:p>
        </w:tc>
      </w:tr>
      <w:tr w:rsidR="00391D3E" w:rsidRPr="00021DD2" w:rsidTr="00391D3E">
        <w:trPr>
          <w:trHeight w:val="780"/>
        </w:trPr>
        <w:tc>
          <w:tcPr>
            <w:tcW w:w="1486" w:type="dxa"/>
          </w:tcPr>
          <w:p w:rsidR="00391D3E" w:rsidRPr="00021DD2" w:rsidRDefault="00391D3E" w:rsidP="00391D3E">
            <w:pPr>
              <w:spacing w:before="120" w:after="120"/>
              <w:rPr>
                <w:rFonts w:cs="Arial"/>
              </w:rPr>
            </w:pPr>
            <w:r w:rsidRPr="00021DD2">
              <w:rPr>
                <w:rFonts w:cs="Arial"/>
              </w:rPr>
              <w:t>07.02.2017</w:t>
            </w:r>
          </w:p>
        </w:tc>
        <w:tc>
          <w:tcPr>
            <w:tcW w:w="5700" w:type="dxa"/>
          </w:tcPr>
          <w:p w:rsidR="00391D3E" w:rsidRPr="00021DD2" w:rsidRDefault="00391D3E" w:rsidP="00391D3E">
            <w:pPr>
              <w:tabs>
                <w:tab w:val="left" w:pos="1155"/>
              </w:tabs>
              <w:spacing w:before="120" w:after="120"/>
              <w:rPr>
                <w:rFonts w:cs="Arial"/>
              </w:rPr>
            </w:pPr>
            <w:r w:rsidRPr="00021DD2">
              <w:rPr>
                <w:rFonts w:cs="Arial"/>
              </w:rPr>
              <w:t>Australian Human Rights Centre Children’s Rights Workshop UNSW</w:t>
            </w:r>
          </w:p>
        </w:tc>
        <w:tc>
          <w:tcPr>
            <w:tcW w:w="2308" w:type="dxa"/>
          </w:tcPr>
          <w:p w:rsidR="00391D3E" w:rsidRPr="00021DD2" w:rsidRDefault="00391D3E" w:rsidP="00972629">
            <w:pPr>
              <w:spacing w:before="120" w:after="120"/>
              <w:rPr>
                <w:rFonts w:cs="Arial"/>
              </w:rPr>
            </w:pPr>
            <w:r w:rsidRPr="00021DD2">
              <w:rPr>
                <w:rFonts w:cs="Arial"/>
              </w:rPr>
              <w:t>Sydney, NSW</w:t>
            </w:r>
          </w:p>
        </w:tc>
      </w:tr>
      <w:tr w:rsidR="00391D3E" w:rsidRPr="00021DD2" w:rsidTr="00391D3E">
        <w:trPr>
          <w:trHeight w:val="766"/>
        </w:trPr>
        <w:tc>
          <w:tcPr>
            <w:tcW w:w="1486" w:type="dxa"/>
          </w:tcPr>
          <w:p w:rsidR="00391D3E" w:rsidRPr="00021DD2" w:rsidRDefault="00391D3E" w:rsidP="00391D3E">
            <w:pPr>
              <w:spacing w:before="120" w:after="120"/>
              <w:rPr>
                <w:rFonts w:cs="Arial"/>
              </w:rPr>
            </w:pPr>
            <w:r w:rsidRPr="00021DD2">
              <w:rPr>
                <w:rFonts w:cs="Arial"/>
              </w:rPr>
              <w:t>13.02.2017</w:t>
            </w:r>
          </w:p>
        </w:tc>
        <w:tc>
          <w:tcPr>
            <w:tcW w:w="5700" w:type="dxa"/>
          </w:tcPr>
          <w:p w:rsidR="00391D3E" w:rsidRPr="00021DD2" w:rsidRDefault="00391D3E" w:rsidP="00391D3E">
            <w:pPr>
              <w:tabs>
                <w:tab w:val="left" w:pos="1155"/>
              </w:tabs>
              <w:spacing w:before="120" w:after="120"/>
              <w:rPr>
                <w:rFonts w:cs="Arial"/>
              </w:rPr>
            </w:pPr>
            <w:r w:rsidRPr="00021DD2">
              <w:rPr>
                <w:rFonts w:cs="Arial"/>
              </w:rPr>
              <w:t>Inaugural NSW Juvenile Justice Advisory Committee Meeting</w:t>
            </w:r>
          </w:p>
        </w:tc>
        <w:tc>
          <w:tcPr>
            <w:tcW w:w="2308" w:type="dxa"/>
          </w:tcPr>
          <w:p w:rsidR="00391D3E" w:rsidRPr="00021DD2" w:rsidRDefault="00391D3E" w:rsidP="00391D3E">
            <w:pPr>
              <w:spacing w:before="120" w:after="120"/>
              <w:rPr>
                <w:rFonts w:cs="Arial"/>
              </w:rPr>
            </w:pPr>
            <w:r w:rsidRPr="00021DD2">
              <w:rPr>
                <w:rFonts w:cs="Arial"/>
              </w:rPr>
              <w:t>Sydney, NSW</w:t>
            </w:r>
          </w:p>
        </w:tc>
      </w:tr>
      <w:tr w:rsidR="00391D3E" w:rsidRPr="00021DD2" w:rsidTr="00391D3E">
        <w:trPr>
          <w:trHeight w:val="766"/>
        </w:trPr>
        <w:tc>
          <w:tcPr>
            <w:tcW w:w="1486" w:type="dxa"/>
          </w:tcPr>
          <w:p w:rsidR="00391D3E" w:rsidRPr="00021DD2" w:rsidRDefault="00391D3E" w:rsidP="00391D3E">
            <w:pPr>
              <w:spacing w:before="120" w:after="120"/>
              <w:rPr>
                <w:rFonts w:cs="Arial"/>
              </w:rPr>
            </w:pPr>
            <w:r w:rsidRPr="00021DD2">
              <w:rPr>
                <w:rFonts w:cs="Arial"/>
              </w:rPr>
              <w:t>03.03.2017</w:t>
            </w:r>
          </w:p>
        </w:tc>
        <w:tc>
          <w:tcPr>
            <w:tcW w:w="5700" w:type="dxa"/>
          </w:tcPr>
          <w:p w:rsidR="00391D3E" w:rsidRPr="00021DD2" w:rsidRDefault="00391D3E" w:rsidP="00391D3E">
            <w:pPr>
              <w:spacing w:before="120" w:after="120"/>
              <w:rPr>
                <w:rFonts w:cs="Arial"/>
              </w:rPr>
            </w:pPr>
            <w:r w:rsidRPr="00021DD2">
              <w:rPr>
                <w:rFonts w:cs="Arial"/>
              </w:rPr>
              <w:t>Wellbeing Australia Conference: Strengths, Circles and Social and Emotional Learning</w:t>
            </w:r>
          </w:p>
        </w:tc>
        <w:tc>
          <w:tcPr>
            <w:tcW w:w="2308" w:type="dxa"/>
          </w:tcPr>
          <w:p w:rsidR="00391D3E" w:rsidRPr="00021DD2" w:rsidRDefault="00391D3E" w:rsidP="00391D3E">
            <w:pPr>
              <w:spacing w:before="120" w:after="120"/>
              <w:rPr>
                <w:rFonts w:cs="Arial"/>
              </w:rPr>
            </w:pPr>
            <w:r w:rsidRPr="00021DD2">
              <w:rPr>
                <w:rFonts w:cs="Arial"/>
              </w:rPr>
              <w:t>Cairns, Q</w:t>
            </w:r>
            <w:r w:rsidR="006006A5">
              <w:rPr>
                <w:rFonts w:cs="Arial"/>
              </w:rPr>
              <w:t>ld</w:t>
            </w:r>
          </w:p>
        </w:tc>
      </w:tr>
      <w:tr w:rsidR="00391D3E" w:rsidRPr="00021DD2" w:rsidTr="00391D3E">
        <w:trPr>
          <w:trHeight w:val="766"/>
        </w:trPr>
        <w:tc>
          <w:tcPr>
            <w:tcW w:w="1486" w:type="dxa"/>
          </w:tcPr>
          <w:p w:rsidR="00391D3E" w:rsidRPr="00021DD2" w:rsidRDefault="00391D3E" w:rsidP="00391D3E">
            <w:pPr>
              <w:spacing w:before="120" w:after="120"/>
              <w:rPr>
                <w:rFonts w:cs="Arial"/>
              </w:rPr>
            </w:pPr>
            <w:r w:rsidRPr="00021DD2">
              <w:rPr>
                <w:rFonts w:cs="Arial"/>
              </w:rPr>
              <w:t xml:space="preserve">07.03.2017 </w:t>
            </w:r>
          </w:p>
        </w:tc>
        <w:tc>
          <w:tcPr>
            <w:tcW w:w="5700" w:type="dxa"/>
          </w:tcPr>
          <w:p w:rsidR="00391D3E" w:rsidRPr="00021DD2" w:rsidRDefault="00391D3E" w:rsidP="00391D3E">
            <w:pPr>
              <w:spacing w:before="120" w:after="120"/>
              <w:rPr>
                <w:rFonts w:cs="Arial"/>
              </w:rPr>
            </w:pPr>
            <w:r w:rsidRPr="00021DD2">
              <w:rPr>
                <w:rFonts w:cs="Arial"/>
              </w:rPr>
              <w:t>Mobile Children’s Services Association Mobile Meet Gala Dinner</w:t>
            </w:r>
          </w:p>
        </w:tc>
        <w:tc>
          <w:tcPr>
            <w:tcW w:w="2308" w:type="dxa"/>
          </w:tcPr>
          <w:p w:rsidR="00391D3E" w:rsidRPr="00021DD2" w:rsidRDefault="00391D3E" w:rsidP="00391D3E">
            <w:pPr>
              <w:spacing w:before="120" w:after="120"/>
              <w:rPr>
                <w:rFonts w:cs="Arial"/>
              </w:rPr>
            </w:pPr>
            <w:r w:rsidRPr="00021DD2">
              <w:rPr>
                <w:rFonts w:cs="Arial"/>
              </w:rPr>
              <w:t>Sydney, NSW</w:t>
            </w:r>
          </w:p>
        </w:tc>
      </w:tr>
      <w:tr w:rsidR="00391D3E" w:rsidRPr="00021DD2" w:rsidTr="00391D3E">
        <w:trPr>
          <w:trHeight w:val="780"/>
        </w:trPr>
        <w:tc>
          <w:tcPr>
            <w:tcW w:w="1486" w:type="dxa"/>
          </w:tcPr>
          <w:p w:rsidR="00391D3E" w:rsidRPr="00021DD2" w:rsidRDefault="00391D3E" w:rsidP="00391D3E">
            <w:pPr>
              <w:spacing w:before="120" w:after="120"/>
              <w:rPr>
                <w:rFonts w:cs="Arial"/>
              </w:rPr>
            </w:pPr>
            <w:r w:rsidRPr="00021DD2">
              <w:rPr>
                <w:rFonts w:cs="Arial"/>
              </w:rPr>
              <w:t>05.04.2017</w:t>
            </w:r>
          </w:p>
        </w:tc>
        <w:tc>
          <w:tcPr>
            <w:tcW w:w="5700" w:type="dxa"/>
          </w:tcPr>
          <w:p w:rsidR="00391D3E" w:rsidRPr="00021DD2" w:rsidRDefault="00391D3E" w:rsidP="00391D3E">
            <w:pPr>
              <w:spacing w:before="120" w:after="120"/>
              <w:rPr>
                <w:rFonts w:cs="Arial"/>
              </w:rPr>
            </w:pPr>
            <w:r w:rsidRPr="00021DD2">
              <w:rPr>
                <w:rFonts w:cs="Arial"/>
              </w:rPr>
              <w:t>Re-imagining Childhood: Birth to 3 Years South Australian Collaborative Child Project</w:t>
            </w:r>
          </w:p>
        </w:tc>
        <w:tc>
          <w:tcPr>
            <w:tcW w:w="2308" w:type="dxa"/>
          </w:tcPr>
          <w:p w:rsidR="00391D3E" w:rsidRPr="00021DD2" w:rsidRDefault="00391D3E" w:rsidP="00391D3E">
            <w:pPr>
              <w:spacing w:before="120" w:after="120"/>
              <w:rPr>
                <w:rFonts w:cs="Arial"/>
              </w:rPr>
            </w:pPr>
            <w:r w:rsidRPr="00021DD2">
              <w:rPr>
                <w:rFonts w:cs="Arial"/>
              </w:rPr>
              <w:t>Adelaide, SA</w:t>
            </w:r>
          </w:p>
        </w:tc>
      </w:tr>
      <w:tr w:rsidR="00391D3E" w:rsidRPr="00021DD2" w:rsidTr="00391D3E">
        <w:trPr>
          <w:trHeight w:val="766"/>
        </w:trPr>
        <w:tc>
          <w:tcPr>
            <w:tcW w:w="1486" w:type="dxa"/>
          </w:tcPr>
          <w:p w:rsidR="00391D3E" w:rsidRPr="00021DD2" w:rsidRDefault="00391D3E" w:rsidP="00391D3E">
            <w:pPr>
              <w:spacing w:before="120" w:after="120"/>
              <w:rPr>
                <w:rFonts w:cs="Arial"/>
              </w:rPr>
            </w:pPr>
            <w:r w:rsidRPr="00021DD2">
              <w:rPr>
                <w:rFonts w:cs="Arial"/>
              </w:rPr>
              <w:t>06.04.2017</w:t>
            </w:r>
          </w:p>
        </w:tc>
        <w:tc>
          <w:tcPr>
            <w:tcW w:w="5700" w:type="dxa"/>
          </w:tcPr>
          <w:p w:rsidR="00391D3E" w:rsidRPr="00021DD2" w:rsidRDefault="00391D3E" w:rsidP="00391D3E">
            <w:pPr>
              <w:spacing w:before="120" w:after="120"/>
              <w:rPr>
                <w:rFonts w:cs="Arial"/>
              </w:rPr>
            </w:pPr>
            <w:r w:rsidRPr="00021DD2">
              <w:rPr>
                <w:rFonts w:cs="Arial"/>
              </w:rPr>
              <w:t>Australian and New Zealand Child Death Review and Prevention Group National Meeting</w:t>
            </w:r>
          </w:p>
        </w:tc>
        <w:tc>
          <w:tcPr>
            <w:tcW w:w="2308" w:type="dxa"/>
          </w:tcPr>
          <w:p w:rsidR="00391D3E" w:rsidRPr="00021DD2" w:rsidRDefault="00391D3E" w:rsidP="00391D3E">
            <w:pPr>
              <w:spacing w:before="120" w:after="120"/>
              <w:rPr>
                <w:rFonts w:cs="Arial"/>
              </w:rPr>
            </w:pPr>
            <w:r w:rsidRPr="00021DD2">
              <w:rPr>
                <w:rFonts w:cs="Arial"/>
              </w:rPr>
              <w:t>Adelaide, SA</w:t>
            </w:r>
          </w:p>
        </w:tc>
      </w:tr>
      <w:tr w:rsidR="00391D3E" w:rsidRPr="00021DD2" w:rsidTr="00391D3E">
        <w:trPr>
          <w:trHeight w:val="780"/>
        </w:trPr>
        <w:tc>
          <w:tcPr>
            <w:tcW w:w="1486" w:type="dxa"/>
          </w:tcPr>
          <w:p w:rsidR="00391D3E" w:rsidRPr="00021DD2" w:rsidRDefault="00391D3E" w:rsidP="00391D3E">
            <w:pPr>
              <w:spacing w:before="120" w:after="120"/>
              <w:jc w:val="center"/>
              <w:rPr>
                <w:rFonts w:cs="Arial"/>
              </w:rPr>
            </w:pPr>
            <w:r w:rsidRPr="00021DD2">
              <w:rPr>
                <w:rFonts w:cs="Arial"/>
              </w:rPr>
              <w:t>04.06.2017</w:t>
            </w:r>
          </w:p>
        </w:tc>
        <w:tc>
          <w:tcPr>
            <w:tcW w:w="5700" w:type="dxa"/>
          </w:tcPr>
          <w:p w:rsidR="00391D3E" w:rsidRPr="00021DD2" w:rsidRDefault="00391D3E" w:rsidP="00391D3E">
            <w:pPr>
              <w:spacing w:before="120" w:after="120"/>
              <w:rPr>
                <w:rFonts w:cs="Arial"/>
              </w:rPr>
            </w:pPr>
            <w:r w:rsidRPr="00021DD2">
              <w:rPr>
                <w:rFonts w:cs="Arial"/>
              </w:rPr>
              <w:t>World Congress on Family Law and Children’s Rights</w:t>
            </w:r>
          </w:p>
        </w:tc>
        <w:tc>
          <w:tcPr>
            <w:tcW w:w="2308" w:type="dxa"/>
          </w:tcPr>
          <w:p w:rsidR="00391D3E" w:rsidRPr="00021DD2" w:rsidRDefault="00391D3E" w:rsidP="00391D3E">
            <w:pPr>
              <w:spacing w:before="120" w:after="120"/>
              <w:rPr>
                <w:rFonts w:cs="Arial"/>
              </w:rPr>
            </w:pPr>
            <w:r w:rsidRPr="00021DD2">
              <w:rPr>
                <w:rFonts w:cs="Arial"/>
              </w:rPr>
              <w:t>Dublin, Ireland</w:t>
            </w:r>
          </w:p>
        </w:tc>
      </w:tr>
      <w:tr w:rsidR="00391D3E" w:rsidRPr="00021DD2" w:rsidTr="00391D3E">
        <w:trPr>
          <w:trHeight w:val="766"/>
        </w:trPr>
        <w:tc>
          <w:tcPr>
            <w:tcW w:w="1486" w:type="dxa"/>
          </w:tcPr>
          <w:p w:rsidR="00391D3E" w:rsidRPr="00021DD2" w:rsidRDefault="00391D3E" w:rsidP="00391D3E">
            <w:pPr>
              <w:spacing w:before="120" w:after="120"/>
              <w:rPr>
                <w:rFonts w:cs="Arial"/>
              </w:rPr>
            </w:pPr>
            <w:r w:rsidRPr="00021DD2">
              <w:rPr>
                <w:rFonts w:cs="Arial"/>
              </w:rPr>
              <w:t>28.06.2017</w:t>
            </w:r>
          </w:p>
        </w:tc>
        <w:tc>
          <w:tcPr>
            <w:tcW w:w="5700" w:type="dxa"/>
          </w:tcPr>
          <w:p w:rsidR="00391D3E" w:rsidRPr="00021DD2" w:rsidRDefault="00391D3E" w:rsidP="00391D3E">
            <w:pPr>
              <w:spacing w:before="120" w:after="120"/>
              <w:rPr>
                <w:rFonts w:cs="Arial"/>
              </w:rPr>
            </w:pPr>
            <w:r w:rsidRPr="00021DD2">
              <w:rPr>
                <w:rFonts w:cs="Arial"/>
              </w:rPr>
              <w:t xml:space="preserve">Psychological Medicine Continuing Professional Development: Westmead Children’s Hospital </w:t>
            </w:r>
          </w:p>
        </w:tc>
        <w:tc>
          <w:tcPr>
            <w:tcW w:w="2308" w:type="dxa"/>
          </w:tcPr>
          <w:p w:rsidR="00391D3E" w:rsidRPr="00021DD2" w:rsidRDefault="00391D3E" w:rsidP="00391D3E">
            <w:pPr>
              <w:spacing w:before="120" w:after="120"/>
              <w:rPr>
                <w:rFonts w:cs="Arial"/>
              </w:rPr>
            </w:pPr>
            <w:r w:rsidRPr="00021DD2">
              <w:rPr>
                <w:rFonts w:cs="Arial"/>
              </w:rPr>
              <w:t>Sydney, NSW</w:t>
            </w:r>
          </w:p>
        </w:tc>
      </w:tr>
      <w:tr w:rsidR="00391D3E" w:rsidRPr="00021DD2" w:rsidTr="00391D3E">
        <w:trPr>
          <w:trHeight w:val="780"/>
        </w:trPr>
        <w:tc>
          <w:tcPr>
            <w:tcW w:w="1486" w:type="dxa"/>
          </w:tcPr>
          <w:p w:rsidR="00391D3E" w:rsidRPr="00021DD2" w:rsidRDefault="00391D3E" w:rsidP="00391D3E">
            <w:pPr>
              <w:spacing w:before="120" w:after="120"/>
              <w:rPr>
                <w:rFonts w:cs="Arial"/>
              </w:rPr>
            </w:pPr>
            <w:r w:rsidRPr="00021DD2">
              <w:rPr>
                <w:rFonts w:cs="Arial"/>
              </w:rPr>
              <w:t>06.07.2017</w:t>
            </w:r>
          </w:p>
        </w:tc>
        <w:tc>
          <w:tcPr>
            <w:tcW w:w="5700" w:type="dxa"/>
          </w:tcPr>
          <w:p w:rsidR="00391D3E" w:rsidRPr="00021DD2" w:rsidRDefault="00391D3E" w:rsidP="00391D3E">
            <w:pPr>
              <w:spacing w:before="120" w:after="120"/>
              <w:rPr>
                <w:rFonts w:cs="Arial"/>
              </w:rPr>
            </w:pPr>
            <w:r w:rsidRPr="00021DD2">
              <w:rPr>
                <w:rFonts w:cs="Arial"/>
              </w:rPr>
              <w:t>Australian Association for Adolescent Health 2017 Conference</w:t>
            </w:r>
          </w:p>
        </w:tc>
        <w:tc>
          <w:tcPr>
            <w:tcW w:w="2308" w:type="dxa"/>
          </w:tcPr>
          <w:p w:rsidR="00391D3E" w:rsidRPr="00021DD2" w:rsidRDefault="00391D3E" w:rsidP="00391D3E">
            <w:pPr>
              <w:spacing w:before="120" w:after="120"/>
              <w:rPr>
                <w:rFonts w:cs="Arial"/>
              </w:rPr>
            </w:pPr>
            <w:r w:rsidRPr="00021DD2">
              <w:rPr>
                <w:rFonts w:cs="Arial"/>
              </w:rPr>
              <w:t>Sydney, NSW</w:t>
            </w:r>
          </w:p>
        </w:tc>
      </w:tr>
      <w:tr w:rsidR="00391D3E" w:rsidRPr="00021DD2" w:rsidTr="00391D3E">
        <w:trPr>
          <w:trHeight w:val="766"/>
        </w:trPr>
        <w:tc>
          <w:tcPr>
            <w:tcW w:w="1486" w:type="dxa"/>
          </w:tcPr>
          <w:p w:rsidR="00391D3E" w:rsidRPr="00021DD2" w:rsidRDefault="00391D3E" w:rsidP="00391D3E">
            <w:pPr>
              <w:spacing w:before="120" w:after="120"/>
              <w:rPr>
                <w:rFonts w:cs="Arial"/>
              </w:rPr>
            </w:pPr>
            <w:r w:rsidRPr="00021DD2">
              <w:rPr>
                <w:rFonts w:cs="Arial"/>
              </w:rPr>
              <w:t>14.07.2017</w:t>
            </w:r>
          </w:p>
        </w:tc>
        <w:tc>
          <w:tcPr>
            <w:tcW w:w="5700" w:type="dxa"/>
          </w:tcPr>
          <w:p w:rsidR="00391D3E" w:rsidRPr="00021DD2" w:rsidRDefault="00391D3E" w:rsidP="00391D3E">
            <w:pPr>
              <w:spacing w:before="120" w:after="120"/>
              <w:rPr>
                <w:rFonts w:cs="Arial"/>
              </w:rPr>
            </w:pPr>
            <w:r w:rsidRPr="00021DD2">
              <w:rPr>
                <w:rFonts w:cs="Arial"/>
              </w:rPr>
              <w:t>Reggio Emilia Australia Information Exchange 9</w:t>
            </w:r>
            <w:r w:rsidRPr="00021DD2">
              <w:rPr>
                <w:rFonts w:cs="Arial"/>
                <w:vertAlign w:val="superscript"/>
              </w:rPr>
              <w:t>th</w:t>
            </w:r>
            <w:r w:rsidRPr="00021DD2">
              <w:rPr>
                <w:rFonts w:cs="Arial"/>
              </w:rPr>
              <w:t xml:space="preserve"> Biennial Conference</w:t>
            </w:r>
          </w:p>
        </w:tc>
        <w:tc>
          <w:tcPr>
            <w:tcW w:w="2308" w:type="dxa"/>
          </w:tcPr>
          <w:p w:rsidR="00391D3E" w:rsidRPr="00021DD2" w:rsidRDefault="00391D3E" w:rsidP="00391D3E">
            <w:pPr>
              <w:spacing w:before="120" w:after="120"/>
              <w:rPr>
                <w:rFonts w:cs="Arial"/>
              </w:rPr>
            </w:pPr>
            <w:r w:rsidRPr="00021DD2">
              <w:rPr>
                <w:rFonts w:cs="Arial"/>
              </w:rPr>
              <w:t>Sydney, NSW</w:t>
            </w:r>
          </w:p>
        </w:tc>
      </w:tr>
      <w:tr w:rsidR="00391D3E" w:rsidRPr="00021DD2" w:rsidTr="00391D3E">
        <w:trPr>
          <w:trHeight w:val="780"/>
        </w:trPr>
        <w:tc>
          <w:tcPr>
            <w:tcW w:w="1486" w:type="dxa"/>
          </w:tcPr>
          <w:p w:rsidR="00391D3E" w:rsidRPr="00021DD2" w:rsidRDefault="00391D3E" w:rsidP="00391D3E">
            <w:pPr>
              <w:spacing w:before="120" w:after="120"/>
              <w:rPr>
                <w:rFonts w:cs="Arial"/>
              </w:rPr>
            </w:pPr>
            <w:r w:rsidRPr="00021DD2">
              <w:rPr>
                <w:rFonts w:cs="Arial"/>
              </w:rPr>
              <w:t>18.07.20</w:t>
            </w:r>
            <w:r w:rsidR="006006A5">
              <w:rPr>
                <w:rFonts w:cs="Arial"/>
              </w:rPr>
              <w:t>17</w:t>
            </w:r>
          </w:p>
        </w:tc>
        <w:tc>
          <w:tcPr>
            <w:tcW w:w="5700" w:type="dxa"/>
          </w:tcPr>
          <w:p w:rsidR="00391D3E" w:rsidRPr="00021DD2" w:rsidRDefault="00391D3E" w:rsidP="00391D3E">
            <w:pPr>
              <w:spacing w:before="120" w:after="120"/>
              <w:rPr>
                <w:rFonts w:cs="Arial"/>
              </w:rPr>
            </w:pPr>
            <w:r w:rsidRPr="00021DD2">
              <w:rPr>
                <w:rFonts w:cs="Arial"/>
              </w:rPr>
              <w:t xml:space="preserve">Royal Children’s Hospital Mental </w:t>
            </w:r>
            <w:r w:rsidR="006006A5">
              <w:rPr>
                <w:rFonts w:cs="Arial"/>
              </w:rPr>
              <w:t>H</w:t>
            </w:r>
            <w:r w:rsidRPr="00021DD2">
              <w:rPr>
                <w:rFonts w:cs="Arial"/>
              </w:rPr>
              <w:t>ealth Community Reference Group</w:t>
            </w:r>
          </w:p>
        </w:tc>
        <w:tc>
          <w:tcPr>
            <w:tcW w:w="2308" w:type="dxa"/>
          </w:tcPr>
          <w:p w:rsidR="00391D3E" w:rsidRPr="00021DD2" w:rsidRDefault="00391D3E" w:rsidP="00391D3E">
            <w:pPr>
              <w:spacing w:before="120" w:after="120"/>
              <w:rPr>
                <w:rFonts w:cs="Arial"/>
              </w:rPr>
            </w:pPr>
            <w:r w:rsidRPr="00021DD2">
              <w:rPr>
                <w:rFonts w:cs="Arial"/>
              </w:rPr>
              <w:t>Melbourne, V</w:t>
            </w:r>
            <w:r w:rsidR="006006A5">
              <w:rPr>
                <w:rFonts w:cs="Arial"/>
              </w:rPr>
              <w:t>ic</w:t>
            </w:r>
          </w:p>
        </w:tc>
      </w:tr>
      <w:tr w:rsidR="00391D3E" w:rsidRPr="00021DD2" w:rsidTr="00391D3E">
        <w:trPr>
          <w:trHeight w:val="486"/>
        </w:trPr>
        <w:tc>
          <w:tcPr>
            <w:tcW w:w="1486" w:type="dxa"/>
          </w:tcPr>
          <w:p w:rsidR="00391D3E" w:rsidRPr="00021DD2" w:rsidRDefault="00391D3E" w:rsidP="00391D3E">
            <w:pPr>
              <w:spacing w:before="120" w:after="120"/>
              <w:rPr>
                <w:rFonts w:cs="Arial"/>
              </w:rPr>
            </w:pPr>
            <w:r w:rsidRPr="00021DD2">
              <w:rPr>
                <w:rFonts w:cs="Arial"/>
              </w:rPr>
              <w:t>26.07.2017</w:t>
            </w:r>
          </w:p>
        </w:tc>
        <w:tc>
          <w:tcPr>
            <w:tcW w:w="5700" w:type="dxa"/>
          </w:tcPr>
          <w:p w:rsidR="00391D3E" w:rsidRPr="00021DD2" w:rsidRDefault="00391D3E" w:rsidP="00391D3E">
            <w:pPr>
              <w:spacing w:before="120" w:after="120"/>
              <w:rPr>
                <w:rFonts w:cs="Arial"/>
              </w:rPr>
            </w:pPr>
            <w:r w:rsidRPr="00021DD2">
              <w:rPr>
                <w:rFonts w:cs="Arial"/>
              </w:rPr>
              <w:t>National Suicide Prevention Conference 2017</w:t>
            </w:r>
          </w:p>
        </w:tc>
        <w:tc>
          <w:tcPr>
            <w:tcW w:w="2308" w:type="dxa"/>
          </w:tcPr>
          <w:p w:rsidR="00391D3E" w:rsidRPr="00021DD2" w:rsidRDefault="00391D3E" w:rsidP="00391D3E">
            <w:pPr>
              <w:spacing w:before="120" w:after="120"/>
              <w:rPr>
                <w:rFonts w:cs="Arial"/>
              </w:rPr>
            </w:pPr>
            <w:r w:rsidRPr="00021DD2">
              <w:rPr>
                <w:rFonts w:cs="Arial"/>
              </w:rPr>
              <w:t>Brisbane, Q</w:t>
            </w:r>
            <w:r w:rsidR="006006A5">
              <w:rPr>
                <w:rFonts w:cs="Arial"/>
              </w:rPr>
              <w:t>ld</w:t>
            </w:r>
          </w:p>
        </w:tc>
      </w:tr>
      <w:tr w:rsidR="00391D3E" w:rsidRPr="00021DD2" w:rsidTr="00391D3E">
        <w:trPr>
          <w:trHeight w:val="486"/>
        </w:trPr>
        <w:tc>
          <w:tcPr>
            <w:tcW w:w="1486" w:type="dxa"/>
          </w:tcPr>
          <w:p w:rsidR="00391D3E" w:rsidRPr="00021DD2" w:rsidRDefault="00391D3E" w:rsidP="00391D3E">
            <w:pPr>
              <w:spacing w:before="120" w:after="120"/>
              <w:rPr>
                <w:rFonts w:cs="Arial"/>
              </w:rPr>
            </w:pPr>
            <w:r w:rsidRPr="00021DD2">
              <w:rPr>
                <w:rFonts w:cs="Arial"/>
              </w:rPr>
              <w:t>10.08.2017</w:t>
            </w:r>
          </w:p>
        </w:tc>
        <w:tc>
          <w:tcPr>
            <w:tcW w:w="5700" w:type="dxa"/>
          </w:tcPr>
          <w:p w:rsidR="00391D3E" w:rsidRPr="00021DD2" w:rsidRDefault="00391D3E" w:rsidP="00391D3E">
            <w:pPr>
              <w:spacing w:before="120" w:after="120"/>
              <w:rPr>
                <w:rFonts w:cs="Arial"/>
              </w:rPr>
            </w:pPr>
            <w:r w:rsidRPr="00021DD2">
              <w:rPr>
                <w:rFonts w:cs="Arial"/>
              </w:rPr>
              <w:t>CREATE Conference, Voices in Action: Empowering young people for positive change</w:t>
            </w:r>
          </w:p>
        </w:tc>
        <w:tc>
          <w:tcPr>
            <w:tcW w:w="2308" w:type="dxa"/>
          </w:tcPr>
          <w:p w:rsidR="00391D3E" w:rsidRPr="00021DD2" w:rsidRDefault="00391D3E" w:rsidP="00391D3E">
            <w:pPr>
              <w:spacing w:before="120" w:after="120"/>
              <w:rPr>
                <w:rFonts w:cs="Arial"/>
              </w:rPr>
            </w:pPr>
            <w:r w:rsidRPr="00021DD2">
              <w:rPr>
                <w:rFonts w:cs="Arial"/>
              </w:rPr>
              <w:t>Sydney, NSW</w:t>
            </w:r>
          </w:p>
        </w:tc>
      </w:tr>
      <w:tr w:rsidR="00391D3E" w:rsidRPr="00021DD2" w:rsidTr="00391D3E">
        <w:trPr>
          <w:trHeight w:val="486"/>
        </w:trPr>
        <w:tc>
          <w:tcPr>
            <w:tcW w:w="1486" w:type="dxa"/>
          </w:tcPr>
          <w:p w:rsidR="00391D3E" w:rsidRPr="00021DD2" w:rsidRDefault="00391D3E" w:rsidP="00391D3E">
            <w:pPr>
              <w:spacing w:before="120" w:after="120"/>
              <w:rPr>
                <w:rFonts w:cs="Arial"/>
              </w:rPr>
            </w:pPr>
            <w:r w:rsidRPr="00021DD2">
              <w:rPr>
                <w:rFonts w:cs="Arial"/>
              </w:rPr>
              <w:t>14.09.2017</w:t>
            </w:r>
          </w:p>
        </w:tc>
        <w:tc>
          <w:tcPr>
            <w:tcW w:w="5700" w:type="dxa"/>
          </w:tcPr>
          <w:p w:rsidR="00391D3E" w:rsidRPr="00021DD2" w:rsidRDefault="00391D3E" w:rsidP="00391D3E">
            <w:pPr>
              <w:spacing w:before="120" w:after="120"/>
              <w:rPr>
                <w:rFonts w:cs="Arial"/>
              </w:rPr>
            </w:pPr>
            <w:r w:rsidRPr="00021DD2">
              <w:rPr>
                <w:rFonts w:cs="Arial"/>
              </w:rPr>
              <w:t>SNAICC National Conference</w:t>
            </w:r>
          </w:p>
        </w:tc>
        <w:tc>
          <w:tcPr>
            <w:tcW w:w="2308" w:type="dxa"/>
          </w:tcPr>
          <w:p w:rsidR="00391D3E" w:rsidRPr="00021DD2" w:rsidRDefault="00391D3E" w:rsidP="00391D3E">
            <w:pPr>
              <w:spacing w:before="120" w:after="120"/>
              <w:rPr>
                <w:rFonts w:cs="Arial"/>
              </w:rPr>
            </w:pPr>
            <w:r w:rsidRPr="00021DD2">
              <w:rPr>
                <w:rFonts w:cs="Arial"/>
              </w:rPr>
              <w:t>Canberra, ACT</w:t>
            </w:r>
          </w:p>
        </w:tc>
      </w:tr>
      <w:tr w:rsidR="00391D3E" w:rsidRPr="00021DD2" w:rsidTr="00391D3E">
        <w:trPr>
          <w:trHeight w:val="486"/>
        </w:trPr>
        <w:tc>
          <w:tcPr>
            <w:tcW w:w="1486" w:type="dxa"/>
          </w:tcPr>
          <w:p w:rsidR="00391D3E" w:rsidRPr="00021DD2" w:rsidRDefault="00391D3E" w:rsidP="00391D3E">
            <w:pPr>
              <w:spacing w:before="120" w:after="120"/>
              <w:rPr>
                <w:rFonts w:cs="Arial"/>
              </w:rPr>
            </w:pPr>
            <w:r w:rsidRPr="00021DD2">
              <w:rPr>
                <w:rFonts w:cs="Arial"/>
              </w:rPr>
              <w:t>21.09.2017</w:t>
            </w:r>
          </w:p>
        </w:tc>
        <w:tc>
          <w:tcPr>
            <w:tcW w:w="5700" w:type="dxa"/>
          </w:tcPr>
          <w:p w:rsidR="00391D3E" w:rsidRPr="00021DD2" w:rsidRDefault="006006A5" w:rsidP="006006A5">
            <w:pPr>
              <w:spacing w:before="120" w:after="120"/>
              <w:rPr>
                <w:rFonts w:cs="Arial"/>
              </w:rPr>
            </w:pPr>
            <w:r>
              <w:rPr>
                <w:rFonts w:cs="Arial"/>
              </w:rPr>
              <w:t xml:space="preserve">Hong Kong </w:t>
            </w:r>
            <w:r w:rsidR="00391D3E" w:rsidRPr="00021DD2">
              <w:rPr>
                <w:rFonts w:cs="Arial"/>
              </w:rPr>
              <w:t xml:space="preserve">Children’s Commission </w:t>
            </w:r>
          </w:p>
        </w:tc>
        <w:tc>
          <w:tcPr>
            <w:tcW w:w="2308" w:type="dxa"/>
          </w:tcPr>
          <w:p w:rsidR="00391D3E" w:rsidRPr="00021DD2" w:rsidRDefault="00391D3E" w:rsidP="00391D3E">
            <w:pPr>
              <w:spacing w:before="120" w:after="120"/>
              <w:rPr>
                <w:rFonts w:cs="Arial"/>
              </w:rPr>
            </w:pPr>
            <w:r w:rsidRPr="00021DD2">
              <w:rPr>
                <w:rFonts w:cs="Arial"/>
              </w:rPr>
              <w:t>Wanchai, Hong Kong</w:t>
            </w:r>
          </w:p>
        </w:tc>
      </w:tr>
    </w:tbl>
    <w:p w:rsidR="001024BD" w:rsidRPr="00021DD2" w:rsidRDefault="001024BD" w:rsidP="00D96AD0">
      <w:pPr>
        <w:rPr>
          <w:rFonts w:cs="Arial"/>
        </w:rPr>
      </w:pPr>
    </w:p>
    <w:p w:rsidR="001024BD" w:rsidRPr="00021DD2" w:rsidRDefault="001024BD" w:rsidP="00D96AD0">
      <w:pPr>
        <w:rPr>
          <w:rFonts w:cs="Arial"/>
        </w:rPr>
      </w:pPr>
    </w:p>
    <w:p w:rsidR="001F5BC6" w:rsidRPr="00021DD2" w:rsidRDefault="001F5BC6" w:rsidP="00D96AD0">
      <w:pPr>
        <w:rPr>
          <w:rFonts w:cs="Arial"/>
        </w:rPr>
        <w:sectPr w:rsidR="001F5BC6" w:rsidRPr="00021DD2" w:rsidSect="003716C0">
          <w:endnotePr>
            <w:numFmt w:val="decimal"/>
            <w:numRestart w:val="eachSect"/>
          </w:endnotePr>
          <w:pgSz w:w="11906" w:h="16838" w:code="9"/>
          <w:pgMar w:top="1134" w:right="1418" w:bottom="1134" w:left="1418" w:header="709" w:footer="709" w:gutter="0"/>
          <w:cols w:space="708"/>
          <w:docGrid w:linePitch="360"/>
        </w:sectPr>
      </w:pPr>
    </w:p>
    <w:p w:rsidR="001024BD" w:rsidRPr="00021DD2" w:rsidRDefault="001024BD" w:rsidP="00222517">
      <w:pPr>
        <w:pStyle w:val="Titolo6"/>
      </w:pPr>
      <w:bookmarkStart w:id="158" w:name="_Toc500308848"/>
      <w:r w:rsidRPr="00021DD2">
        <w:t>Face to face meetings and teleconference</w:t>
      </w:r>
      <w:r w:rsidR="006006A5">
        <w:t>s</w:t>
      </w:r>
      <w:r w:rsidRPr="00021DD2">
        <w:t xml:space="preserve"> about issues affecting children and young people</w:t>
      </w:r>
      <w:bookmarkEnd w:id="158"/>
    </w:p>
    <w:tbl>
      <w:tblPr>
        <w:tblStyle w:val="Grigliatabella"/>
        <w:tblW w:w="0" w:type="auto"/>
        <w:tblLook w:val="04A0" w:firstRow="1" w:lastRow="0" w:firstColumn="1" w:lastColumn="0" w:noHBand="0" w:noVBand="1"/>
      </w:tblPr>
      <w:tblGrid>
        <w:gridCol w:w="1551"/>
        <w:gridCol w:w="5485"/>
        <w:gridCol w:w="2024"/>
      </w:tblGrid>
      <w:tr w:rsidR="001024BD" w:rsidRPr="00021DD2" w:rsidTr="00222517">
        <w:trPr>
          <w:tblHeader/>
        </w:trPr>
        <w:tc>
          <w:tcPr>
            <w:tcW w:w="1551" w:type="dxa"/>
          </w:tcPr>
          <w:p w:rsidR="001024BD" w:rsidRPr="00021DD2" w:rsidRDefault="001024BD" w:rsidP="001024BD">
            <w:pPr>
              <w:rPr>
                <w:rFonts w:cs="Arial"/>
                <w:b/>
              </w:rPr>
            </w:pPr>
            <w:r w:rsidRPr="00021DD2">
              <w:rPr>
                <w:rFonts w:cs="Arial"/>
                <w:b/>
              </w:rPr>
              <w:t>Date</w:t>
            </w:r>
          </w:p>
        </w:tc>
        <w:tc>
          <w:tcPr>
            <w:tcW w:w="5485" w:type="dxa"/>
          </w:tcPr>
          <w:p w:rsidR="001024BD" w:rsidRPr="00021DD2" w:rsidRDefault="001024BD" w:rsidP="001024BD">
            <w:pPr>
              <w:rPr>
                <w:rFonts w:cs="Arial"/>
                <w:b/>
              </w:rPr>
            </w:pPr>
            <w:r w:rsidRPr="00021DD2">
              <w:rPr>
                <w:rFonts w:cs="Arial"/>
                <w:b/>
              </w:rPr>
              <w:t>Meeting</w:t>
            </w:r>
          </w:p>
        </w:tc>
        <w:tc>
          <w:tcPr>
            <w:tcW w:w="2024" w:type="dxa"/>
          </w:tcPr>
          <w:p w:rsidR="001024BD" w:rsidRPr="00021DD2" w:rsidRDefault="001024BD" w:rsidP="001024BD">
            <w:pPr>
              <w:rPr>
                <w:rFonts w:cs="Arial"/>
                <w:b/>
              </w:rPr>
            </w:pPr>
            <w:r w:rsidRPr="00021DD2">
              <w:rPr>
                <w:rFonts w:cs="Arial"/>
                <w:b/>
              </w:rPr>
              <w:t>Location</w:t>
            </w:r>
          </w:p>
        </w:tc>
      </w:tr>
      <w:tr w:rsidR="001024BD" w:rsidRPr="00021DD2" w:rsidTr="00E34166">
        <w:tc>
          <w:tcPr>
            <w:tcW w:w="1551" w:type="dxa"/>
          </w:tcPr>
          <w:p w:rsidR="001024BD" w:rsidRPr="00021DD2" w:rsidRDefault="001024BD" w:rsidP="001024BD">
            <w:pPr>
              <w:rPr>
                <w:rFonts w:cs="Arial"/>
              </w:rPr>
            </w:pPr>
            <w:r w:rsidRPr="00021DD2">
              <w:rPr>
                <w:rFonts w:cs="Arial"/>
              </w:rPr>
              <w:t>01.07.2016</w:t>
            </w:r>
          </w:p>
        </w:tc>
        <w:tc>
          <w:tcPr>
            <w:tcW w:w="5485" w:type="dxa"/>
          </w:tcPr>
          <w:p w:rsidR="001024BD" w:rsidRPr="00021DD2" w:rsidRDefault="001024BD" w:rsidP="001024BD">
            <w:pPr>
              <w:rPr>
                <w:rFonts w:cs="Arial"/>
              </w:rPr>
            </w:pPr>
            <w:r w:rsidRPr="00021DD2">
              <w:rPr>
                <w:rFonts w:cs="Arial"/>
              </w:rPr>
              <w:t>Professor Paula Gerber, Law Faculty, Monash University</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04.07.2016</w:t>
            </w:r>
          </w:p>
        </w:tc>
        <w:tc>
          <w:tcPr>
            <w:tcW w:w="5485" w:type="dxa"/>
          </w:tcPr>
          <w:p w:rsidR="001024BD" w:rsidRPr="00021DD2" w:rsidRDefault="001024BD" w:rsidP="001024BD">
            <w:pPr>
              <w:rPr>
                <w:rFonts w:cs="Arial"/>
              </w:rPr>
            </w:pPr>
            <w:r w:rsidRPr="00021DD2">
              <w:rPr>
                <w:rFonts w:cs="Arial"/>
              </w:rPr>
              <w:t>Jennifer Evans, National Lead Child Protection, Australian Red Cross</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06.07.2016</w:t>
            </w:r>
          </w:p>
        </w:tc>
        <w:tc>
          <w:tcPr>
            <w:tcW w:w="5485" w:type="dxa"/>
          </w:tcPr>
          <w:p w:rsidR="001024BD" w:rsidRPr="00021DD2" w:rsidRDefault="001024BD" w:rsidP="001024BD">
            <w:pPr>
              <w:rPr>
                <w:rFonts w:cs="Arial"/>
              </w:rPr>
            </w:pPr>
            <w:r w:rsidRPr="00021DD2">
              <w:rPr>
                <w:rFonts w:cs="Arial"/>
              </w:rPr>
              <w:t>Paul Wappett, Chief Executive Officer, Open Universities Australia</w:t>
            </w:r>
          </w:p>
        </w:tc>
        <w:tc>
          <w:tcPr>
            <w:tcW w:w="2024" w:type="dxa"/>
          </w:tcPr>
          <w:p w:rsidR="001024BD" w:rsidRPr="00021DD2" w:rsidRDefault="001024BD" w:rsidP="001024BD">
            <w:pPr>
              <w:rPr>
                <w:rFonts w:cs="Arial"/>
              </w:rPr>
            </w:pPr>
            <w:r w:rsidRPr="00021DD2">
              <w:rPr>
                <w:rFonts w:cs="Arial"/>
              </w:rPr>
              <w:t>Melbourne, V</w:t>
            </w:r>
            <w:r w:rsidR="002907E6">
              <w:rPr>
                <w:rFonts w:cs="Arial"/>
              </w:rPr>
              <w:t>ic</w:t>
            </w:r>
          </w:p>
        </w:tc>
      </w:tr>
      <w:tr w:rsidR="001024BD" w:rsidRPr="00021DD2" w:rsidTr="00E34166">
        <w:tc>
          <w:tcPr>
            <w:tcW w:w="1551" w:type="dxa"/>
          </w:tcPr>
          <w:p w:rsidR="001024BD" w:rsidRPr="00021DD2" w:rsidRDefault="001024BD" w:rsidP="001024BD">
            <w:pPr>
              <w:rPr>
                <w:rFonts w:cs="Arial"/>
              </w:rPr>
            </w:pPr>
            <w:r w:rsidRPr="00021DD2">
              <w:rPr>
                <w:rFonts w:cs="Arial"/>
              </w:rPr>
              <w:t>07.07.2016</w:t>
            </w:r>
          </w:p>
        </w:tc>
        <w:tc>
          <w:tcPr>
            <w:tcW w:w="5485" w:type="dxa"/>
          </w:tcPr>
          <w:p w:rsidR="001024BD" w:rsidRPr="00021DD2" w:rsidRDefault="001024BD" w:rsidP="001024BD">
            <w:pPr>
              <w:rPr>
                <w:rFonts w:cs="Arial"/>
              </w:rPr>
            </w:pPr>
            <w:r w:rsidRPr="00021DD2">
              <w:rPr>
                <w:rFonts w:cs="Arial"/>
              </w:rPr>
              <w:t>Dr Rae Kaspiew, Senior Research Fellow, Australian Institute of Family Studies</w:t>
            </w:r>
          </w:p>
        </w:tc>
        <w:tc>
          <w:tcPr>
            <w:tcW w:w="2024" w:type="dxa"/>
          </w:tcPr>
          <w:p w:rsidR="001024BD" w:rsidRPr="00021DD2" w:rsidRDefault="001024BD" w:rsidP="001024BD">
            <w:pPr>
              <w:rPr>
                <w:rFonts w:cs="Arial"/>
              </w:rPr>
            </w:pPr>
            <w:r w:rsidRPr="00021DD2">
              <w:rPr>
                <w:rFonts w:cs="Arial"/>
              </w:rPr>
              <w:t>Melbourne, V</w:t>
            </w:r>
            <w:r w:rsidR="002907E6">
              <w:rPr>
                <w:rFonts w:cs="Arial"/>
              </w:rPr>
              <w:t>ic</w:t>
            </w:r>
          </w:p>
        </w:tc>
      </w:tr>
      <w:tr w:rsidR="001024BD" w:rsidRPr="00021DD2" w:rsidTr="00E34166">
        <w:tc>
          <w:tcPr>
            <w:tcW w:w="1551" w:type="dxa"/>
          </w:tcPr>
          <w:p w:rsidR="001024BD" w:rsidRPr="00021DD2" w:rsidRDefault="001024BD" w:rsidP="001024BD">
            <w:pPr>
              <w:rPr>
                <w:rFonts w:cs="Arial"/>
              </w:rPr>
            </w:pPr>
            <w:r w:rsidRPr="00021DD2">
              <w:rPr>
                <w:rFonts w:cs="Arial"/>
              </w:rPr>
              <w:t>11.07.2016</w:t>
            </w:r>
          </w:p>
        </w:tc>
        <w:tc>
          <w:tcPr>
            <w:tcW w:w="5485" w:type="dxa"/>
          </w:tcPr>
          <w:p w:rsidR="001024BD" w:rsidRPr="00021DD2" w:rsidRDefault="001024BD" w:rsidP="001024BD">
            <w:pPr>
              <w:rPr>
                <w:rFonts w:cs="Arial"/>
              </w:rPr>
            </w:pPr>
            <w:r w:rsidRPr="00021DD2">
              <w:rPr>
                <w:rFonts w:cs="Arial"/>
              </w:rPr>
              <w:t xml:space="preserve">John Dalgleish, Head of Strategy and Research, </w:t>
            </w:r>
            <w:r w:rsidR="006006A5">
              <w:rPr>
                <w:rFonts w:cs="Arial"/>
              </w:rPr>
              <w:t>y</w:t>
            </w:r>
            <w:r w:rsidRPr="00021DD2">
              <w:rPr>
                <w:rFonts w:cs="Arial"/>
              </w:rPr>
              <w:t>ourtown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12.07.2016</w:t>
            </w:r>
          </w:p>
        </w:tc>
        <w:tc>
          <w:tcPr>
            <w:tcW w:w="5485" w:type="dxa"/>
          </w:tcPr>
          <w:p w:rsidR="001024BD" w:rsidRPr="00021DD2" w:rsidRDefault="001024BD" w:rsidP="001024BD">
            <w:pPr>
              <w:rPr>
                <w:rFonts w:cs="Arial"/>
              </w:rPr>
            </w:pPr>
            <w:r w:rsidRPr="00021DD2">
              <w:rPr>
                <w:rFonts w:cs="Arial"/>
              </w:rPr>
              <w:t>Mary Fallon, Producer, ABC Studios</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13.07.2016</w:t>
            </w:r>
          </w:p>
        </w:tc>
        <w:tc>
          <w:tcPr>
            <w:tcW w:w="5485" w:type="dxa"/>
          </w:tcPr>
          <w:p w:rsidR="001024BD" w:rsidRPr="00021DD2" w:rsidRDefault="001024BD" w:rsidP="001024BD">
            <w:pPr>
              <w:rPr>
                <w:rFonts w:cs="Arial"/>
              </w:rPr>
            </w:pPr>
            <w:r w:rsidRPr="00021DD2">
              <w:rPr>
                <w:rFonts w:cs="Arial"/>
              </w:rPr>
              <w:t>Ngroo Campfire for Childhood Educators</w:t>
            </w:r>
          </w:p>
        </w:tc>
        <w:tc>
          <w:tcPr>
            <w:tcW w:w="2024" w:type="dxa"/>
          </w:tcPr>
          <w:p w:rsidR="001024BD" w:rsidRPr="00021DD2" w:rsidRDefault="001024BD" w:rsidP="001024BD">
            <w:pPr>
              <w:rPr>
                <w:rFonts w:cs="Arial"/>
              </w:rPr>
            </w:pPr>
            <w:r w:rsidRPr="00021DD2">
              <w:rPr>
                <w:rFonts w:cs="Arial"/>
              </w:rPr>
              <w:t>Tregear, NSW</w:t>
            </w:r>
          </w:p>
        </w:tc>
      </w:tr>
      <w:tr w:rsidR="001024BD" w:rsidRPr="00021DD2" w:rsidTr="00E34166">
        <w:tc>
          <w:tcPr>
            <w:tcW w:w="1551" w:type="dxa"/>
          </w:tcPr>
          <w:p w:rsidR="001024BD" w:rsidRPr="00021DD2" w:rsidRDefault="001024BD" w:rsidP="001024BD">
            <w:pPr>
              <w:rPr>
                <w:rFonts w:cs="Arial"/>
              </w:rPr>
            </w:pPr>
            <w:r w:rsidRPr="00021DD2">
              <w:rPr>
                <w:rFonts w:cs="Arial"/>
              </w:rPr>
              <w:t>14.07.2016</w:t>
            </w:r>
          </w:p>
        </w:tc>
        <w:tc>
          <w:tcPr>
            <w:tcW w:w="5485" w:type="dxa"/>
          </w:tcPr>
          <w:p w:rsidR="001024BD" w:rsidRPr="00021DD2" w:rsidRDefault="001024BD" w:rsidP="001024BD">
            <w:pPr>
              <w:rPr>
                <w:rFonts w:cs="Arial"/>
              </w:rPr>
            </w:pPr>
            <w:r w:rsidRPr="00021DD2">
              <w:rPr>
                <w:rFonts w:cs="Arial"/>
              </w:rPr>
              <w:t>Jackie Wilson, Deputy Secretary, Early Childhood and Child Care, Department of Education and Training</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15.07.2016</w:t>
            </w:r>
          </w:p>
        </w:tc>
        <w:tc>
          <w:tcPr>
            <w:tcW w:w="5485" w:type="dxa"/>
          </w:tcPr>
          <w:p w:rsidR="001024BD" w:rsidRPr="00021DD2" w:rsidRDefault="001024BD" w:rsidP="001024BD">
            <w:pPr>
              <w:rPr>
                <w:rFonts w:cs="Arial"/>
              </w:rPr>
            </w:pPr>
            <w:r w:rsidRPr="00021DD2">
              <w:rPr>
                <w:rFonts w:cs="Arial"/>
              </w:rPr>
              <w:t>Angela Dennis, Assistant Manager, AusIndustry Business Services, Department of Industry, Innovation and Science</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19.07.2016</w:t>
            </w:r>
          </w:p>
        </w:tc>
        <w:tc>
          <w:tcPr>
            <w:tcW w:w="5485" w:type="dxa"/>
          </w:tcPr>
          <w:p w:rsidR="001024BD" w:rsidRPr="00021DD2" w:rsidRDefault="001024BD" w:rsidP="001024BD">
            <w:pPr>
              <w:rPr>
                <w:rFonts w:cs="Arial"/>
              </w:rPr>
            </w:pPr>
            <w:r w:rsidRPr="00021DD2">
              <w:rPr>
                <w:rFonts w:cs="Arial"/>
              </w:rPr>
              <w:t>Andrew Walter and Paul Pfitzner, Assistant Secretary, Principal Legal Officer, Civil Law Unit,  Attorney-General’s Department</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19.07.2016</w:t>
            </w:r>
          </w:p>
        </w:tc>
        <w:tc>
          <w:tcPr>
            <w:tcW w:w="5485" w:type="dxa"/>
          </w:tcPr>
          <w:p w:rsidR="001024BD" w:rsidRPr="00021DD2" w:rsidRDefault="001024BD" w:rsidP="001024BD">
            <w:pPr>
              <w:rPr>
                <w:rFonts w:cs="Arial"/>
              </w:rPr>
            </w:pPr>
            <w:r w:rsidRPr="00021DD2">
              <w:rPr>
                <w:rFonts w:cs="Arial"/>
              </w:rPr>
              <w:t>Stephen Bartos, CEO, Australian Research Alliance for Children and Youth</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19.07.2016</w:t>
            </w:r>
          </w:p>
        </w:tc>
        <w:tc>
          <w:tcPr>
            <w:tcW w:w="5485" w:type="dxa"/>
          </w:tcPr>
          <w:p w:rsidR="001024BD" w:rsidRPr="00021DD2" w:rsidRDefault="001024BD" w:rsidP="001024BD">
            <w:pPr>
              <w:rPr>
                <w:rFonts w:cs="Arial"/>
              </w:rPr>
            </w:pPr>
            <w:r w:rsidRPr="00021DD2">
              <w:rPr>
                <w:rFonts w:cs="Arial"/>
              </w:rPr>
              <w:t>Dr Wendy Southern PSM, Deputy Secretary, National Programme Delivery Group, Department of Health</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19.07.2016</w:t>
            </w:r>
          </w:p>
        </w:tc>
        <w:tc>
          <w:tcPr>
            <w:tcW w:w="5485" w:type="dxa"/>
          </w:tcPr>
          <w:p w:rsidR="001024BD" w:rsidRPr="00021DD2" w:rsidRDefault="001024BD" w:rsidP="001024BD">
            <w:pPr>
              <w:rPr>
                <w:rFonts w:cs="Arial"/>
              </w:rPr>
            </w:pPr>
            <w:r w:rsidRPr="00021DD2">
              <w:rPr>
                <w:rFonts w:cs="Arial"/>
              </w:rPr>
              <w:t>Laura Bennetts-Kneebone, Assistant Research Director, Helene Shin, Fiona Skelton and Helen Rogers, Research Officers, National Centre for Longitudinal Data, Department of Social Services</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20.07.2016</w:t>
            </w:r>
          </w:p>
        </w:tc>
        <w:tc>
          <w:tcPr>
            <w:tcW w:w="5485" w:type="dxa"/>
          </w:tcPr>
          <w:p w:rsidR="001024BD" w:rsidRPr="00021DD2" w:rsidRDefault="001024BD" w:rsidP="001024BD">
            <w:pPr>
              <w:rPr>
                <w:rFonts w:cs="Arial"/>
              </w:rPr>
            </w:pPr>
            <w:r w:rsidRPr="00021DD2">
              <w:rPr>
                <w:rFonts w:cs="Arial"/>
              </w:rPr>
              <w:t>Richard Glenn, Acting Commonwealth Ombudsman</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20.07.2016</w:t>
            </w:r>
          </w:p>
        </w:tc>
        <w:tc>
          <w:tcPr>
            <w:tcW w:w="5485" w:type="dxa"/>
          </w:tcPr>
          <w:p w:rsidR="001024BD" w:rsidRPr="00021DD2" w:rsidRDefault="001024BD" w:rsidP="001024BD">
            <w:pPr>
              <w:rPr>
                <w:rFonts w:cs="Arial"/>
              </w:rPr>
            </w:pPr>
            <w:r w:rsidRPr="00021DD2">
              <w:rPr>
                <w:rFonts w:cs="Arial"/>
              </w:rPr>
              <w:t>Finn Pratt, Secretary, Department of Social Services</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20.07.2016</w:t>
            </w:r>
          </w:p>
        </w:tc>
        <w:tc>
          <w:tcPr>
            <w:tcW w:w="5485" w:type="dxa"/>
          </w:tcPr>
          <w:p w:rsidR="001024BD" w:rsidRPr="00021DD2" w:rsidRDefault="001024BD" w:rsidP="001024BD">
            <w:pPr>
              <w:rPr>
                <w:rFonts w:cs="Arial"/>
              </w:rPr>
            </w:pPr>
            <w:r w:rsidRPr="00021DD2">
              <w:rPr>
                <w:rFonts w:cs="Arial"/>
              </w:rPr>
              <w:t>Dr Fadwa Al-Yaman and Conan Liu, Indigenous Children’s Group, Australian Institute of Health and Welfare</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20.07.2016</w:t>
            </w:r>
          </w:p>
        </w:tc>
        <w:tc>
          <w:tcPr>
            <w:tcW w:w="5485" w:type="dxa"/>
          </w:tcPr>
          <w:p w:rsidR="001024BD" w:rsidRPr="00021DD2" w:rsidRDefault="001024BD" w:rsidP="001024BD">
            <w:pPr>
              <w:rPr>
                <w:rFonts w:cs="Arial"/>
              </w:rPr>
            </w:pPr>
            <w:r w:rsidRPr="00021DD2">
              <w:rPr>
                <w:rFonts w:cs="Arial"/>
              </w:rPr>
              <w:t>Roslyn Baxter, Families Group Manager, Department of Social Services</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22.07.2016</w:t>
            </w:r>
          </w:p>
        </w:tc>
        <w:tc>
          <w:tcPr>
            <w:tcW w:w="5485" w:type="dxa"/>
          </w:tcPr>
          <w:p w:rsidR="001024BD" w:rsidRPr="00021DD2" w:rsidRDefault="001024BD" w:rsidP="001024BD">
            <w:pPr>
              <w:rPr>
                <w:rFonts w:cs="Arial"/>
              </w:rPr>
            </w:pPr>
            <w:r w:rsidRPr="00021DD2">
              <w:rPr>
                <w:rFonts w:cs="Arial"/>
              </w:rPr>
              <w:t xml:space="preserve">Reiby </w:t>
            </w:r>
            <w:r w:rsidR="006006A5">
              <w:rPr>
                <w:rFonts w:cs="Arial"/>
              </w:rPr>
              <w:t>Juvenile</w:t>
            </w:r>
            <w:r w:rsidRPr="00021DD2">
              <w:rPr>
                <w:rFonts w:cs="Arial"/>
              </w:rPr>
              <w:t xml:space="preserve"> Justice Detention </w:t>
            </w:r>
            <w:r w:rsidR="006006A5">
              <w:rPr>
                <w:rFonts w:cs="Arial"/>
              </w:rPr>
              <w:t>Facility</w:t>
            </w:r>
          </w:p>
        </w:tc>
        <w:tc>
          <w:tcPr>
            <w:tcW w:w="2024" w:type="dxa"/>
          </w:tcPr>
          <w:p w:rsidR="001024BD" w:rsidRPr="00021DD2" w:rsidRDefault="001024BD" w:rsidP="001024BD">
            <w:pPr>
              <w:rPr>
                <w:rFonts w:cs="Arial"/>
              </w:rPr>
            </w:pPr>
            <w:r w:rsidRPr="00021DD2">
              <w:rPr>
                <w:rFonts w:cs="Arial"/>
              </w:rPr>
              <w:t>Reiby, NSW</w:t>
            </w:r>
          </w:p>
        </w:tc>
      </w:tr>
      <w:tr w:rsidR="001024BD" w:rsidRPr="00021DD2" w:rsidTr="00E34166">
        <w:tc>
          <w:tcPr>
            <w:tcW w:w="1551" w:type="dxa"/>
          </w:tcPr>
          <w:p w:rsidR="001024BD" w:rsidRPr="00021DD2" w:rsidRDefault="001024BD" w:rsidP="001024BD">
            <w:pPr>
              <w:rPr>
                <w:rFonts w:cs="Arial"/>
              </w:rPr>
            </w:pPr>
            <w:r w:rsidRPr="00021DD2">
              <w:rPr>
                <w:rFonts w:cs="Arial"/>
              </w:rPr>
              <w:t>27.07.2016</w:t>
            </w:r>
          </w:p>
        </w:tc>
        <w:tc>
          <w:tcPr>
            <w:tcW w:w="5485" w:type="dxa"/>
          </w:tcPr>
          <w:p w:rsidR="001024BD" w:rsidRPr="00021DD2" w:rsidRDefault="001024BD" w:rsidP="001024BD">
            <w:pPr>
              <w:rPr>
                <w:rFonts w:cs="Arial"/>
              </w:rPr>
            </w:pPr>
            <w:r w:rsidRPr="00021DD2">
              <w:rPr>
                <w:rFonts w:cs="Arial"/>
              </w:rPr>
              <w:t>Yunkel Jung, Mihyun Kim, Junghyun Lee, Delegates of the Korean National Human Rights Commission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27.07.2016</w:t>
            </w:r>
          </w:p>
        </w:tc>
        <w:tc>
          <w:tcPr>
            <w:tcW w:w="5485" w:type="dxa"/>
          </w:tcPr>
          <w:p w:rsidR="001024BD" w:rsidRPr="00021DD2" w:rsidRDefault="001024BD" w:rsidP="001024BD">
            <w:pPr>
              <w:rPr>
                <w:rFonts w:cs="Arial"/>
              </w:rPr>
            </w:pPr>
            <w:r w:rsidRPr="00021DD2">
              <w:rPr>
                <w:rFonts w:cs="Arial"/>
              </w:rPr>
              <w:t>Richard Weston, CEO and Lisa Hillan, Director of Programs and Knowledge Creation, Healing Foundation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28.07.2016</w:t>
            </w:r>
          </w:p>
        </w:tc>
        <w:tc>
          <w:tcPr>
            <w:tcW w:w="5485" w:type="dxa"/>
          </w:tcPr>
          <w:p w:rsidR="001024BD" w:rsidRPr="00021DD2" w:rsidRDefault="001024BD" w:rsidP="001024BD">
            <w:pPr>
              <w:rPr>
                <w:rFonts w:cs="Arial"/>
              </w:rPr>
            </w:pPr>
            <w:r w:rsidRPr="00021DD2">
              <w:rPr>
                <w:rFonts w:cs="Arial"/>
              </w:rPr>
              <w:t>Family and Relationship Services Australia and Uniting: Child Inclusive Practice Workshop</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02.08.2016</w:t>
            </w:r>
          </w:p>
        </w:tc>
        <w:tc>
          <w:tcPr>
            <w:tcW w:w="5485" w:type="dxa"/>
          </w:tcPr>
          <w:p w:rsidR="001024BD" w:rsidRPr="00021DD2" w:rsidRDefault="001024BD" w:rsidP="001024BD">
            <w:pPr>
              <w:rPr>
                <w:rFonts w:cs="Arial"/>
              </w:rPr>
            </w:pPr>
            <w:r w:rsidRPr="00021DD2">
              <w:rPr>
                <w:rFonts w:cs="Arial"/>
              </w:rPr>
              <w:t>Child Cybersex Crime Project, Anti-Slavery Australia</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03.08.2016</w:t>
            </w:r>
          </w:p>
        </w:tc>
        <w:tc>
          <w:tcPr>
            <w:tcW w:w="5485" w:type="dxa"/>
          </w:tcPr>
          <w:p w:rsidR="001024BD" w:rsidRPr="00021DD2" w:rsidRDefault="001024BD" w:rsidP="001024BD">
            <w:pPr>
              <w:rPr>
                <w:rFonts w:cs="Arial"/>
              </w:rPr>
            </w:pPr>
            <w:r w:rsidRPr="00021DD2">
              <w:rPr>
                <w:rFonts w:cs="Arial"/>
              </w:rPr>
              <w:t>Frank Baxter Juvenile Justice Centre</w:t>
            </w:r>
          </w:p>
        </w:tc>
        <w:tc>
          <w:tcPr>
            <w:tcW w:w="2024" w:type="dxa"/>
          </w:tcPr>
          <w:p w:rsidR="001024BD" w:rsidRPr="00021DD2" w:rsidRDefault="001024BD" w:rsidP="001024BD">
            <w:pPr>
              <w:rPr>
                <w:rFonts w:cs="Arial"/>
              </w:rPr>
            </w:pPr>
            <w:r w:rsidRPr="00021DD2">
              <w:rPr>
                <w:rFonts w:cs="Arial"/>
              </w:rPr>
              <w:t>Kariong, NSW</w:t>
            </w:r>
          </w:p>
        </w:tc>
      </w:tr>
      <w:tr w:rsidR="001024BD" w:rsidRPr="00021DD2" w:rsidTr="00E34166">
        <w:tc>
          <w:tcPr>
            <w:tcW w:w="1551" w:type="dxa"/>
          </w:tcPr>
          <w:p w:rsidR="001024BD" w:rsidRPr="00021DD2" w:rsidRDefault="001024BD" w:rsidP="001024BD">
            <w:pPr>
              <w:rPr>
                <w:rFonts w:cs="Arial"/>
              </w:rPr>
            </w:pPr>
            <w:r w:rsidRPr="00021DD2">
              <w:rPr>
                <w:rFonts w:cs="Arial"/>
              </w:rPr>
              <w:t>04.08.2016</w:t>
            </w:r>
          </w:p>
        </w:tc>
        <w:tc>
          <w:tcPr>
            <w:tcW w:w="5485" w:type="dxa"/>
          </w:tcPr>
          <w:p w:rsidR="001024BD" w:rsidRPr="00021DD2" w:rsidRDefault="001024BD" w:rsidP="001024BD">
            <w:pPr>
              <w:rPr>
                <w:rFonts w:cs="Arial"/>
              </w:rPr>
            </w:pPr>
            <w:r w:rsidRPr="00021DD2">
              <w:rPr>
                <w:rFonts w:cs="Arial"/>
              </w:rPr>
              <w:t>Claerwen Little, National Director, UnitingCare Australia</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05.08.2016</w:t>
            </w:r>
          </w:p>
        </w:tc>
        <w:tc>
          <w:tcPr>
            <w:tcW w:w="5485" w:type="dxa"/>
          </w:tcPr>
          <w:p w:rsidR="001024BD" w:rsidRPr="00021DD2" w:rsidRDefault="001024BD" w:rsidP="001024BD">
            <w:pPr>
              <w:rPr>
                <w:rFonts w:cs="Arial"/>
              </w:rPr>
            </w:pPr>
            <w:r w:rsidRPr="00021DD2">
              <w:rPr>
                <w:rFonts w:cs="Arial"/>
              </w:rPr>
              <w:t>Stephen Still, Family Law Policy and Legislation Section, Attorney-General’s Department</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08.08.2016</w:t>
            </w:r>
          </w:p>
        </w:tc>
        <w:tc>
          <w:tcPr>
            <w:tcW w:w="5485" w:type="dxa"/>
          </w:tcPr>
          <w:p w:rsidR="001024BD" w:rsidRPr="00021DD2" w:rsidRDefault="001024BD" w:rsidP="001024BD">
            <w:pPr>
              <w:rPr>
                <w:rFonts w:cs="Arial"/>
              </w:rPr>
            </w:pPr>
            <w:r w:rsidRPr="00021DD2">
              <w:rPr>
                <w:rFonts w:cs="Arial"/>
              </w:rPr>
              <w:t>National Forum for Protecting Australia’s Children</w:t>
            </w:r>
            <w:r w:rsidR="006006A5">
              <w:rPr>
                <w:rFonts w:cs="Arial"/>
              </w:rPr>
              <w:t>,</w:t>
            </w:r>
            <w:r w:rsidRPr="00021DD2">
              <w:rPr>
                <w:rFonts w:cs="Arial"/>
              </w:rPr>
              <w:t xml:space="preserve"> Third Action Plan</w:t>
            </w:r>
          </w:p>
        </w:tc>
        <w:tc>
          <w:tcPr>
            <w:tcW w:w="2024" w:type="dxa"/>
          </w:tcPr>
          <w:p w:rsidR="001024BD" w:rsidRPr="00021DD2" w:rsidRDefault="001024BD" w:rsidP="001024BD">
            <w:pPr>
              <w:rPr>
                <w:rFonts w:cs="Arial"/>
              </w:rPr>
            </w:pPr>
            <w:r w:rsidRPr="00021DD2">
              <w:rPr>
                <w:rFonts w:cs="Arial"/>
              </w:rPr>
              <w:t>Melbourne, V</w:t>
            </w:r>
            <w:r w:rsidR="002907E6">
              <w:rPr>
                <w:rFonts w:cs="Arial"/>
              </w:rPr>
              <w:t>ic</w:t>
            </w:r>
          </w:p>
        </w:tc>
      </w:tr>
      <w:tr w:rsidR="001024BD" w:rsidRPr="00021DD2" w:rsidTr="00E34166">
        <w:tc>
          <w:tcPr>
            <w:tcW w:w="1551" w:type="dxa"/>
          </w:tcPr>
          <w:p w:rsidR="001024BD" w:rsidRPr="00021DD2" w:rsidRDefault="001024BD" w:rsidP="001024BD">
            <w:pPr>
              <w:rPr>
                <w:rFonts w:cs="Arial"/>
              </w:rPr>
            </w:pPr>
            <w:r w:rsidRPr="00021DD2">
              <w:rPr>
                <w:rFonts w:cs="Arial"/>
              </w:rPr>
              <w:t>09.08.2016</w:t>
            </w:r>
          </w:p>
        </w:tc>
        <w:tc>
          <w:tcPr>
            <w:tcW w:w="5485" w:type="dxa"/>
          </w:tcPr>
          <w:p w:rsidR="001024BD" w:rsidRPr="00021DD2" w:rsidRDefault="001024BD" w:rsidP="001024BD">
            <w:pPr>
              <w:rPr>
                <w:rFonts w:cs="Arial"/>
              </w:rPr>
            </w:pPr>
            <w:r w:rsidRPr="00021DD2">
              <w:rPr>
                <w:rFonts w:cs="Arial"/>
              </w:rPr>
              <w:t>Royal Commission into Institutional Responses to Child Sexual Abuse Multicultural Community Information Forum</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11.08.2016</w:t>
            </w:r>
          </w:p>
        </w:tc>
        <w:tc>
          <w:tcPr>
            <w:tcW w:w="5485" w:type="dxa"/>
          </w:tcPr>
          <w:p w:rsidR="001024BD" w:rsidRPr="00021DD2" w:rsidRDefault="001024BD" w:rsidP="001024BD">
            <w:pPr>
              <w:rPr>
                <w:rFonts w:cs="Arial"/>
              </w:rPr>
            </w:pPr>
            <w:r w:rsidRPr="00021DD2">
              <w:rPr>
                <w:rFonts w:cs="Arial"/>
              </w:rPr>
              <w:t>Australian Press Council Roundtable</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16.08.2016</w:t>
            </w:r>
          </w:p>
        </w:tc>
        <w:tc>
          <w:tcPr>
            <w:tcW w:w="5485" w:type="dxa"/>
          </w:tcPr>
          <w:p w:rsidR="001024BD" w:rsidRPr="00E34166" w:rsidRDefault="001024BD" w:rsidP="001024BD">
            <w:pPr>
              <w:rPr>
                <w:rFonts w:cs="Arial"/>
                <w:lang w:val="it-IT"/>
              </w:rPr>
            </w:pPr>
            <w:r w:rsidRPr="00E34166">
              <w:rPr>
                <w:rFonts w:cs="Arial"/>
                <w:lang w:val="it-IT"/>
              </w:rPr>
              <w:t>Magistrate Sue Duncombe, Youth Koori Court</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16.08.2016</w:t>
            </w:r>
          </w:p>
        </w:tc>
        <w:tc>
          <w:tcPr>
            <w:tcW w:w="5485" w:type="dxa"/>
          </w:tcPr>
          <w:p w:rsidR="001024BD" w:rsidRPr="00021DD2" w:rsidRDefault="001024BD" w:rsidP="001024BD">
            <w:pPr>
              <w:rPr>
                <w:rFonts w:cs="Arial"/>
              </w:rPr>
            </w:pPr>
            <w:r w:rsidRPr="00021DD2">
              <w:rPr>
                <w:rFonts w:cs="Arial"/>
              </w:rPr>
              <w:t xml:space="preserve">John Dalgleish, Head of Strategy and Research, </w:t>
            </w:r>
            <w:r w:rsidR="006006A5">
              <w:rPr>
                <w:rFonts w:cs="Arial"/>
              </w:rPr>
              <w:t>y</w:t>
            </w:r>
            <w:r w:rsidRPr="00021DD2">
              <w:rPr>
                <w:rFonts w:cs="Arial"/>
              </w:rPr>
              <w:t>ourtown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16.08.2016</w:t>
            </w:r>
          </w:p>
        </w:tc>
        <w:tc>
          <w:tcPr>
            <w:tcW w:w="5485" w:type="dxa"/>
          </w:tcPr>
          <w:p w:rsidR="001024BD" w:rsidRPr="00021DD2" w:rsidRDefault="001024BD" w:rsidP="001024BD">
            <w:pPr>
              <w:rPr>
                <w:rFonts w:cs="Arial"/>
              </w:rPr>
            </w:pPr>
            <w:r w:rsidRPr="00021DD2">
              <w:rPr>
                <w:rFonts w:cs="Arial"/>
              </w:rPr>
              <w:t>Jennifer Evans, National Lead Child Protection, Australian Red Cross</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17.08.2016</w:t>
            </w:r>
          </w:p>
        </w:tc>
        <w:tc>
          <w:tcPr>
            <w:tcW w:w="5485" w:type="dxa"/>
          </w:tcPr>
          <w:p w:rsidR="001024BD" w:rsidRPr="00021DD2" w:rsidRDefault="001024BD" w:rsidP="001024BD">
            <w:pPr>
              <w:rPr>
                <w:rFonts w:cs="Arial"/>
              </w:rPr>
            </w:pPr>
            <w:r w:rsidRPr="00021DD2">
              <w:rPr>
                <w:rFonts w:cs="Arial"/>
              </w:rPr>
              <w:t>National Coalition on Child Safety and Wellbeing: Annual Meeting</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17.08.2016</w:t>
            </w:r>
          </w:p>
        </w:tc>
        <w:tc>
          <w:tcPr>
            <w:tcW w:w="5485" w:type="dxa"/>
          </w:tcPr>
          <w:p w:rsidR="001024BD" w:rsidRPr="00021DD2" w:rsidRDefault="001024BD" w:rsidP="001024BD">
            <w:pPr>
              <w:rPr>
                <w:rFonts w:cs="Arial"/>
              </w:rPr>
            </w:pPr>
            <w:r w:rsidRPr="00021DD2">
              <w:rPr>
                <w:rFonts w:cs="Arial"/>
              </w:rPr>
              <w:t>Dr Meredith Kiraly, Research Fellow, Department of Social Work, The University of Melbourne</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18.08.2016</w:t>
            </w:r>
          </w:p>
        </w:tc>
        <w:tc>
          <w:tcPr>
            <w:tcW w:w="5485" w:type="dxa"/>
          </w:tcPr>
          <w:p w:rsidR="001024BD" w:rsidRPr="00021DD2" w:rsidRDefault="001024BD" w:rsidP="001024BD">
            <w:pPr>
              <w:rPr>
                <w:rFonts w:cs="Arial"/>
              </w:rPr>
            </w:pPr>
            <w:r w:rsidRPr="00021DD2">
              <w:rPr>
                <w:rFonts w:cs="Arial"/>
              </w:rPr>
              <w:t>Bourke Primary School</w:t>
            </w:r>
          </w:p>
        </w:tc>
        <w:tc>
          <w:tcPr>
            <w:tcW w:w="2024" w:type="dxa"/>
          </w:tcPr>
          <w:p w:rsidR="001024BD" w:rsidRPr="00021DD2" w:rsidRDefault="001024BD" w:rsidP="001024BD">
            <w:pPr>
              <w:rPr>
                <w:rFonts w:cs="Arial"/>
              </w:rPr>
            </w:pPr>
            <w:r w:rsidRPr="00021DD2">
              <w:rPr>
                <w:rFonts w:cs="Arial"/>
              </w:rPr>
              <w:t>Bourke, NSW</w:t>
            </w:r>
          </w:p>
        </w:tc>
      </w:tr>
      <w:tr w:rsidR="001024BD" w:rsidRPr="00021DD2" w:rsidTr="00E34166">
        <w:tc>
          <w:tcPr>
            <w:tcW w:w="1551" w:type="dxa"/>
          </w:tcPr>
          <w:p w:rsidR="001024BD" w:rsidRPr="00021DD2" w:rsidRDefault="001024BD" w:rsidP="001024BD">
            <w:pPr>
              <w:rPr>
                <w:rFonts w:cs="Arial"/>
              </w:rPr>
            </w:pPr>
            <w:r w:rsidRPr="00021DD2">
              <w:rPr>
                <w:rFonts w:cs="Arial"/>
              </w:rPr>
              <w:t>23.08.2016</w:t>
            </w:r>
          </w:p>
        </w:tc>
        <w:tc>
          <w:tcPr>
            <w:tcW w:w="5485" w:type="dxa"/>
          </w:tcPr>
          <w:p w:rsidR="001024BD" w:rsidRPr="00021DD2" w:rsidRDefault="001024BD" w:rsidP="001024BD">
            <w:pPr>
              <w:rPr>
                <w:rFonts w:cs="Arial"/>
              </w:rPr>
            </w:pPr>
            <w:r w:rsidRPr="00021DD2">
              <w:rPr>
                <w:rFonts w:cs="Arial"/>
              </w:rPr>
              <w:t>Bourke J</w:t>
            </w:r>
            <w:r w:rsidR="00A35E2A" w:rsidRPr="00021DD2">
              <w:rPr>
                <w:rFonts w:cs="Arial"/>
              </w:rPr>
              <w:t xml:space="preserve">ustice </w:t>
            </w:r>
            <w:r w:rsidRPr="00021DD2">
              <w:rPr>
                <w:rFonts w:cs="Arial"/>
              </w:rPr>
              <w:t>R</w:t>
            </w:r>
            <w:r w:rsidR="00A35E2A" w:rsidRPr="00021DD2">
              <w:rPr>
                <w:rFonts w:cs="Arial"/>
              </w:rPr>
              <w:t>einvestment</w:t>
            </w:r>
            <w:r w:rsidRPr="00021DD2">
              <w:rPr>
                <w:rFonts w:cs="Arial"/>
              </w:rPr>
              <w:t xml:space="preserve"> Steering Committee</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25.08.2016</w:t>
            </w:r>
          </w:p>
        </w:tc>
        <w:tc>
          <w:tcPr>
            <w:tcW w:w="5485" w:type="dxa"/>
          </w:tcPr>
          <w:p w:rsidR="001024BD" w:rsidRPr="00021DD2" w:rsidRDefault="001024BD" w:rsidP="001024BD">
            <w:pPr>
              <w:rPr>
                <w:rFonts w:cs="Arial"/>
              </w:rPr>
            </w:pPr>
            <w:r w:rsidRPr="00021DD2">
              <w:rPr>
                <w:rFonts w:cs="Arial"/>
              </w:rPr>
              <w:t>Associate Professor Brenda Morrison, Director, Centre for Restorative Justice, Simon Fraser University</w:t>
            </w:r>
          </w:p>
        </w:tc>
        <w:tc>
          <w:tcPr>
            <w:tcW w:w="2024" w:type="dxa"/>
          </w:tcPr>
          <w:p w:rsidR="001024BD" w:rsidRPr="00021DD2" w:rsidRDefault="001024BD" w:rsidP="001024BD">
            <w:pPr>
              <w:rPr>
                <w:rFonts w:cs="Arial"/>
              </w:rPr>
            </w:pPr>
            <w:r w:rsidRPr="00021DD2">
              <w:rPr>
                <w:rFonts w:cs="Arial"/>
              </w:rPr>
              <w:t>Vancouver, Canada</w:t>
            </w:r>
          </w:p>
        </w:tc>
      </w:tr>
      <w:tr w:rsidR="001024BD" w:rsidRPr="00021DD2" w:rsidTr="00E34166">
        <w:tc>
          <w:tcPr>
            <w:tcW w:w="1551" w:type="dxa"/>
          </w:tcPr>
          <w:p w:rsidR="001024BD" w:rsidRPr="00021DD2" w:rsidRDefault="001024BD" w:rsidP="001024BD">
            <w:pPr>
              <w:rPr>
                <w:rFonts w:cs="Arial"/>
              </w:rPr>
            </w:pPr>
            <w:r w:rsidRPr="00021DD2">
              <w:rPr>
                <w:rFonts w:cs="Arial"/>
              </w:rPr>
              <w:t>25.08.2016</w:t>
            </w:r>
          </w:p>
        </w:tc>
        <w:tc>
          <w:tcPr>
            <w:tcW w:w="5485" w:type="dxa"/>
          </w:tcPr>
          <w:p w:rsidR="001024BD" w:rsidRPr="00021DD2" w:rsidRDefault="001024BD" w:rsidP="001024BD">
            <w:pPr>
              <w:rPr>
                <w:rFonts w:cs="Arial"/>
              </w:rPr>
            </w:pPr>
            <w:r w:rsidRPr="00021DD2">
              <w:rPr>
                <w:rFonts w:cs="Arial"/>
              </w:rPr>
              <w:t>Mark Vonesch, Director, Reel Youth</w:t>
            </w:r>
          </w:p>
        </w:tc>
        <w:tc>
          <w:tcPr>
            <w:tcW w:w="2024" w:type="dxa"/>
          </w:tcPr>
          <w:p w:rsidR="001024BD" w:rsidRPr="00021DD2" w:rsidRDefault="001024BD" w:rsidP="001024BD">
            <w:pPr>
              <w:rPr>
                <w:rFonts w:cs="Arial"/>
              </w:rPr>
            </w:pPr>
            <w:r w:rsidRPr="00021DD2">
              <w:rPr>
                <w:rFonts w:cs="Arial"/>
              </w:rPr>
              <w:t>Vancouver, Canada</w:t>
            </w:r>
          </w:p>
        </w:tc>
      </w:tr>
      <w:tr w:rsidR="001024BD" w:rsidRPr="00021DD2" w:rsidTr="00E34166">
        <w:tc>
          <w:tcPr>
            <w:tcW w:w="1551" w:type="dxa"/>
          </w:tcPr>
          <w:p w:rsidR="001024BD" w:rsidRPr="00021DD2" w:rsidRDefault="001024BD" w:rsidP="001024BD">
            <w:pPr>
              <w:rPr>
                <w:rFonts w:cs="Arial"/>
              </w:rPr>
            </w:pPr>
            <w:r w:rsidRPr="00021DD2">
              <w:rPr>
                <w:rFonts w:cs="Arial"/>
              </w:rPr>
              <w:t>26.08.2016</w:t>
            </w:r>
          </w:p>
        </w:tc>
        <w:tc>
          <w:tcPr>
            <w:tcW w:w="5485" w:type="dxa"/>
          </w:tcPr>
          <w:p w:rsidR="001024BD" w:rsidRPr="00021DD2" w:rsidRDefault="001024BD" w:rsidP="001024BD">
            <w:pPr>
              <w:rPr>
                <w:rFonts w:cs="Arial"/>
              </w:rPr>
            </w:pPr>
            <w:r w:rsidRPr="00021DD2">
              <w:rPr>
                <w:rFonts w:cs="Arial"/>
              </w:rPr>
              <w:t>Holly Anderson, BSW, MA, Guardianship Manager, Vancouver Aboriginal Child and Family Services Society</w:t>
            </w:r>
          </w:p>
        </w:tc>
        <w:tc>
          <w:tcPr>
            <w:tcW w:w="2024" w:type="dxa"/>
          </w:tcPr>
          <w:p w:rsidR="001024BD" w:rsidRPr="00021DD2" w:rsidRDefault="001024BD" w:rsidP="001024BD">
            <w:pPr>
              <w:rPr>
                <w:rFonts w:cs="Arial"/>
              </w:rPr>
            </w:pPr>
            <w:r w:rsidRPr="00021DD2">
              <w:rPr>
                <w:rFonts w:cs="Arial"/>
              </w:rPr>
              <w:t>Vancouver, Canada</w:t>
            </w:r>
          </w:p>
        </w:tc>
      </w:tr>
      <w:tr w:rsidR="001024BD" w:rsidRPr="00021DD2" w:rsidTr="00E34166">
        <w:tc>
          <w:tcPr>
            <w:tcW w:w="1551" w:type="dxa"/>
          </w:tcPr>
          <w:p w:rsidR="001024BD" w:rsidRPr="00021DD2" w:rsidRDefault="001024BD" w:rsidP="001024BD">
            <w:pPr>
              <w:rPr>
                <w:rFonts w:cs="Arial"/>
              </w:rPr>
            </w:pPr>
            <w:r w:rsidRPr="00021DD2">
              <w:rPr>
                <w:rFonts w:cs="Arial"/>
              </w:rPr>
              <w:t>26.08.2016</w:t>
            </w:r>
          </w:p>
        </w:tc>
        <w:tc>
          <w:tcPr>
            <w:tcW w:w="5485" w:type="dxa"/>
          </w:tcPr>
          <w:p w:rsidR="001024BD" w:rsidRPr="00021DD2" w:rsidRDefault="001024BD" w:rsidP="001024BD">
            <w:pPr>
              <w:rPr>
                <w:rFonts w:cs="Arial"/>
              </w:rPr>
            </w:pPr>
            <w:r w:rsidRPr="00021DD2">
              <w:rPr>
                <w:rFonts w:cs="Arial"/>
              </w:rPr>
              <w:t>Devyn Cousineau, Legal Counsel, British Columbia Human Rights Coalition</w:t>
            </w:r>
          </w:p>
        </w:tc>
        <w:tc>
          <w:tcPr>
            <w:tcW w:w="2024" w:type="dxa"/>
          </w:tcPr>
          <w:p w:rsidR="001024BD" w:rsidRPr="00021DD2" w:rsidRDefault="001024BD" w:rsidP="001024BD">
            <w:pPr>
              <w:rPr>
                <w:rFonts w:cs="Arial"/>
              </w:rPr>
            </w:pPr>
            <w:r w:rsidRPr="00021DD2">
              <w:rPr>
                <w:rFonts w:cs="Arial"/>
              </w:rPr>
              <w:t>Vancouver, Canada</w:t>
            </w:r>
          </w:p>
        </w:tc>
      </w:tr>
      <w:tr w:rsidR="001024BD" w:rsidRPr="00021DD2" w:rsidTr="00E34166">
        <w:tc>
          <w:tcPr>
            <w:tcW w:w="1551" w:type="dxa"/>
          </w:tcPr>
          <w:p w:rsidR="001024BD" w:rsidRPr="00021DD2" w:rsidRDefault="001024BD" w:rsidP="001024BD">
            <w:pPr>
              <w:rPr>
                <w:rFonts w:cs="Arial"/>
              </w:rPr>
            </w:pPr>
            <w:r w:rsidRPr="00021DD2">
              <w:rPr>
                <w:rFonts w:cs="Arial"/>
              </w:rPr>
              <w:t>26.08.2016</w:t>
            </w:r>
          </w:p>
        </w:tc>
        <w:tc>
          <w:tcPr>
            <w:tcW w:w="5485" w:type="dxa"/>
          </w:tcPr>
          <w:p w:rsidR="001024BD" w:rsidRPr="00021DD2" w:rsidRDefault="001024BD" w:rsidP="001024BD">
            <w:pPr>
              <w:rPr>
                <w:rFonts w:cs="Arial"/>
              </w:rPr>
            </w:pPr>
            <w:r w:rsidRPr="00021DD2">
              <w:rPr>
                <w:rFonts w:cs="Arial"/>
              </w:rPr>
              <w:t>Robyn Durling, Co Director, British Columbia Human Rights Clinic</w:t>
            </w:r>
          </w:p>
        </w:tc>
        <w:tc>
          <w:tcPr>
            <w:tcW w:w="2024" w:type="dxa"/>
          </w:tcPr>
          <w:p w:rsidR="001024BD" w:rsidRPr="00021DD2" w:rsidRDefault="001024BD" w:rsidP="001024BD">
            <w:pPr>
              <w:rPr>
                <w:rFonts w:cs="Arial"/>
              </w:rPr>
            </w:pPr>
            <w:r w:rsidRPr="00021DD2">
              <w:rPr>
                <w:rFonts w:cs="Arial"/>
              </w:rPr>
              <w:t>Vancouver, Canada</w:t>
            </w:r>
          </w:p>
        </w:tc>
      </w:tr>
      <w:tr w:rsidR="001024BD" w:rsidRPr="00021DD2" w:rsidTr="00E34166">
        <w:tc>
          <w:tcPr>
            <w:tcW w:w="1551" w:type="dxa"/>
          </w:tcPr>
          <w:p w:rsidR="001024BD" w:rsidRPr="00021DD2" w:rsidRDefault="001024BD" w:rsidP="001024BD">
            <w:pPr>
              <w:rPr>
                <w:rFonts w:cs="Arial"/>
              </w:rPr>
            </w:pPr>
            <w:r w:rsidRPr="00021DD2">
              <w:rPr>
                <w:rFonts w:cs="Arial"/>
              </w:rPr>
              <w:t>26.08.2016</w:t>
            </w:r>
          </w:p>
        </w:tc>
        <w:tc>
          <w:tcPr>
            <w:tcW w:w="5485" w:type="dxa"/>
          </w:tcPr>
          <w:p w:rsidR="001024BD" w:rsidRPr="00021DD2" w:rsidRDefault="001024BD" w:rsidP="001024BD">
            <w:pPr>
              <w:rPr>
                <w:rFonts w:cs="Arial"/>
              </w:rPr>
            </w:pPr>
            <w:r w:rsidRPr="00021DD2">
              <w:rPr>
                <w:rFonts w:cs="Arial"/>
              </w:rPr>
              <w:t xml:space="preserve">Mary-Ellen Turpel Lafond, British Columbia’s Representative for Children and Youth </w:t>
            </w:r>
          </w:p>
        </w:tc>
        <w:tc>
          <w:tcPr>
            <w:tcW w:w="2024" w:type="dxa"/>
          </w:tcPr>
          <w:p w:rsidR="001024BD" w:rsidRPr="00021DD2" w:rsidRDefault="001024BD" w:rsidP="001024BD">
            <w:pPr>
              <w:rPr>
                <w:rFonts w:cs="Arial"/>
              </w:rPr>
            </w:pPr>
            <w:r w:rsidRPr="00021DD2">
              <w:rPr>
                <w:rFonts w:cs="Arial"/>
              </w:rPr>
              <w:t>Vancouver, Canada</w:t>
            </w:r>
          </w:p>
        </w:tc>
      </w:tr>
      <w:tr w:rsidR="001024BD" w:rsidRPr="00021DD2" w:rsidTr="00E34166">
        <w:tc>
          <w:tcPr>
            <w:tcW w:w="1551" w:type="dxa"/>
          </w:tcPr>
          <w:p w:rsidR="001024BD" w:rsidRPr="00021DD2" w:rsidRDefault="001024BD" w:rsidP="001024BD">
            <w:pPr>
              <w:rPr>
                <w:rFonts w:cs="Arial"/>
              </w:rPr>
            </w:pPr>
            <w:r w:rsidRPr="00021DD2">
              <w:rPr>
                <w:rFonts w:cs="Arial"/>
              </w:rPr>
              <w:t>30.08.2016</w:t>
            </w:r>
          </w:p>
        </w:tc>
        <w:tc>
          <w:tcPr>
            <w:tcW w:w="5485" w:type="dxa"/>
          </w:tcPr>
          <w:p w:rsidR="001024BD" w:rsidRPr="00021DD2" w:rsidRDefault="001024BD" w:rsidP="001024BD">
            <w:pPr>
              <w:rPr>
                <w:rFonts w:cs="Arial"/>
              </w:rPr>
            </w:pPr>
            <w:r w:rsidRPr="00021DD2">
              <w:rPr>
                <w:rFonts w:cs="Arial"/>
              </w:rPr>
              <w:t>Marv Bernstein, Chief Policy Advisor, UNICEF Canada</w:t>
            </w:r>
          </w:p>
        </w:tc>
        <w:tc>
          <w:tcPr>
            <w:tcW w:w="2024" w:type="dxa"/>
          </w:tcPr>
          <w:p w:rsidR="001024BD" w:rsidRPr="00021DD2" w:rsidRDefault="001024BD" w:rsidP="001024BD">
            <w:pPr>
              <w:rPr>
                <w:rFonts w:cs="Arial"/>
              </w:rPr>
            </w:pPr>
            <w:r w:rsidRPr="00021DD2">
              <w:rPr>
                <w:rFonts w:cs="Arial"/>
              </w:rPr>
              <w:t>Calgary, Canada</w:t>
            </w:r>
          </w:p>
        </w:tc>
      </w:tr>
      <w:tr w:rsidR="001024BD" w:rsidRPr="00021DD2" w:rsidTr="00E34166">
        <w:tc>
          <w:tcPr>
            <w:tcW w:w="1551" w:type="dxa"/>
          </w:tcPr>
          <w:p w:rsidR="001024BD" w:rsidRPr="00021DD2" w:rsidRDefault="001024BD" w:rsidP="001024BD">
            <w:pPr>
              <w:rPr>
                <w:rFonts w:cs="Arial"/>
              </w:rPr>
            </w:pPr>
            <w:r w:rsidRPr="00021DD2">
              <w:rPr>
                <w:rFonts w:cs="Arial"/>
              </w:rPr>
              <w:t>07.09.2016</w:t>
            </w:r>
          </w:p>
        </w:tc>
        <w:tc>
          <w:tcPr>
            <w:tcW w:w="5485" w:type="dxa"/>
          </w:tcPr>
          <w:p w:rsidR="001024BD" w:rsidRPr="00021DD2" w:rsidRDefault="001024BD" w:rsidP="001024BD">
            <w:pPr>
              <w:rPr>
                <w:rFonts w:cs="Arial"/>
              </w:rPr>
            </w:pPr>
            <w:r w:rsidRPr="00021DD2">
              <w:rPr>
                <w:rFonts w:cs="Arial"/>
              </w:rPr>
              <w:t>Jennifer Evans, National Child Protection Lead, Australian Red Cross</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07.09.2016</w:t>
            </w:r>
          </w:p>
        </w:tc>
        <w:tc>
          <w:tcPr>
            <w:tcW w:w="5485" w:type="dxa"/>
          </w:tcPr>
          <w:p w:rsidR="001024BD" w:rsidRPr="00021DD2" w:rsidRDefault="001024BD" w:rsidP="001024BD">
            <w:pPr>
              <w:rPr>
                <w:rFonts w:cs="Arial"/>
              </w:rPr>
            </w:pPr>
            <w:r w:rsidRPr="00021DD2">
              <w:rPr>
                <w:rFonts w:cs="Arial"/>
              </w:rPr>
              <w:t>Colin Pettit, Commissioner for Children and Young People, Western Australia</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08.09.2016</w:t>
            </w:r>
          </w:p>
        </w:tc>
        <w:tc>
          <w:tcPr>
            <w:tcW w:w="5485" w:type="dxa"/>
          </w:tcPr>
          <w:p w:rsidR="001024BD" w:rsidRPr="00021DD2" w:rsidRDefault="001024BD" w:rsidP="001024BD">
            <w:pPr>
              <w:rPr>
                <w:rFonts w:cs="Arial"/>
              </w:rPr>
            </w:pPr>
            <w:r w:rsidRPr="00021DD2">
              <w:rPr>
                <w:rFonts w:cs="Arial"/>
              </w:rPr>
              <w:t>Andree Wright, Children’s eSafety Commissioner, Office of the Children’s eSafety Commissioner</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14.09.2016</w:t>
            </w:r>
          </w:p>
        </w:tc>
        <w:tc>
          <w:tcPr>
            <w:tcW w:w="5485" w:type="dxa"/>
          </w:tcPr>
          <w:p w:rsidR="001024BD" w:rsidRPr="00021DD2" w:rsidRDefault="001024BD" w:rsidP="001024BD">
            <w:pPr>
              <w:rPr>
                <w:rFonts w:cs="Arial"/>
              </w:rPr>
            </w:pPr>
            <w:r w:rsidRPr="00021DD2">
              <w:rPr>
                <w:rFonts w:cs="Arial"/>
              </w:rPr>
              <w:t xml:space="preserve">John Dalgleish, Head of Strategy and Research, </w:t>
            </w:r>
            <w:r w:rsidR="006006A5">
              <w:rPr>
                <w:rFonts w:cs="Arial"/>
              </w:rPr>
              <w:t>y</w:t>
            </w:r>
            <w:r w:rsidRPr="00021DD2">
              <w:rPr>
                <w:rFonts w:cs="Arial"/>
              </w:rPr>
              <w:t>ourtown</w:t>
            </w:r>
          </w:p>
        </w:tc>
        <w:tc>
          <w:tcPr>
            <w:tcW w:w="2024" w:type="dxa"/>
          </w:tcPr>
          <w:p w:rsidR="001024BD" w:rsidRPr="00021DD2" w:rsidRDefault="001024BD" w:rsidP="001024BD">
            <w:pPr>
              <w:rPr>
                <w:rFonts w:cs="Arial"/>
              </w:rPr>
            </w:pPr>
            <w:r w:rsidRPr="00021DD2">
              <w:rPr>
                <w:rFonts w:cs="Arial"/>
              </w:rPr>
              <w:t>Brisbane, Q</w:t>
            </w:r>
            <w:r w:rsidR="002907E6">
              <w:rPr>
                <w:rFonts w:cs="Arial"/>
              </w:rPr>
              <w:t>ld</w:t>
            </w:r>
          </w:p>
        </w:tc>
      </w:tr>
      <w:tr w:rsidR="001024BD" w:rsidRPr="00021DD2" w:rsidTr="00E34166">
        <w:tc>
          <w:tcPr>
            <w:tcW w:w="1551" w:type="dxa"/>
          </w:tcPr>
          <w:p w:rsidR="001024BD" w:rsidRPr="00021DD2" w:rsidRDefault="001024BD" w:rsidP="001024BD">
            <w:pPr>
              <w:rPr>
                <w:rFonts w:cs="Arial"/>
              </w:rPr>
            </w:pPr>
            <w:r w:rsidRPr="00021DD2">
              <w:rPr>
                <w:rFonts w:cs="Arial"/>
              </w:rPr>
              <w:t>19.09.2016</w:t>
            </w:r>
          </w:p>
        </w:tc>
        <w:tc>
          <w:tcPr>
            <w:tcW w:w="5485" w:type="dxa"/>
          </w:tcPr>
          <w:p w:rsidR="001024BD" w:rsidRPr="00021DD2" w:rsidRDefault="001024BD" w:rsidP="001024BD">
            <w:pPr>
              <w:rPr>
                <w:rFonts w:cs="Arial"/>
              </w:rPr>
            </w:pPr>
            <w:r w:rsidRPr="00021DD2">
              <w:rPr>
                <w:rFonts w:cs="Arial"/>
              </w:rPr>
              <w:t>Anti-Slavery Australia Behind the Screen: Online Child Exploitation in Australia Advisory Board Meeting</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22.09.2016</w:t>
            </w:r>
          </w:p>
        </w:tc>
        <w:tc>
          <w:tcPr>
            <w:tcW w:w="5485" w:type="dxa"/>
          </w:tcPr>
          <w:p w:rsidR="001024BD" w:rsidRPr="00021DD2" w:rsidRDefault="001024BD" w:rsidP="001024BD">
            <w:pPr>
              <w:rPr>
                <w:rFonts w:cs="Arial"/>
              </w:rPr>
            </w:pPr>
            <w:r w:rsidRPr="00021DD2">
              <w:rPr>
                <w:rFonts w:cs="Arial"/>
              </w:rPr>
              <w:t>Premier Mike Baird, Premier of NSW</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28.09.2016</w:t>
            </w:r>
          </w:p>
        </w:tc>
        <w:tc>
          <w:tcPr>
            <w:tcW w:w="5485" w:type="dxa"/>
          </w:tcPr>
          <w:p w:rsidR="001024BD" w:rsidRPr="00021DD2" w:rsidRDefault="001024BD" w:rsidP="001024BD">
            <w:pPr>
              <w:rPr>
                <w:rFonts w:cs="Arial"/>
              </w:rPr>
            </w:pPr>
            <w:r w:rsidRPr="00021DD2">
              <w:rPr>
                <w:rFonts w:cs="Arial"/>
              </w:rPr>
              <w:t>Jack Hamill, Crinkling News</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29.09.2016</w:t>
            </w:r>
          </w:p>
        </w:tc>
        <w:tc>
          <w:tcPr>
            <w:tcW w:w="5485" w:type="dxa"/>
          </w:tcPr>
          <w:p w:rsidR="001024BD" w:rsidRPr="00021DD2" w:rsidRDefault="001024BD" w:rsidP="001024BD">
            <w:pPr>
              <w:rPr>
                <w:rFonts w:cs="Arial"/>
              </w:rPr>
            </w:pPr>
            <w:r w:rsidRPr="00021DD2">
              <w:rPr>
                <w:rFonts w:cs="Arial"/>
              </w:rPr>
              <w:t>Nowra Family Relationship Centre</w:t>
            </w:r>
          </w:p>
        </w:tc>
        <w:tc>
          <w:tcPr>
            <w:tcW w:w="2024" w:type="dxa"/>
          </w:tcPr>
          <w:p w:rsidR="001024BD" w:rsidRPr="00021DD2" w:rsidRDefault="001024BD" w:rsidP="001024BD">
            <w:pPr>
              <w:rPr>
                <w:rFonts w:cs="Arial"/>
              </w:rPr>
            </w:pPr>
            <w:r w:rsidRPr="00021DD2">
              <w:rPr>
                <w:rFonts w:cs="Arial"/>
              </w:rPr>
              <w:t>Nowra, NSW</w:t>
            </w:r>
          </w:p>
        </w:tc>
      </w:tr>
      <w:tr w:rsidR="001024BD" w:rsidRPr="00021DD2" w:rsidTr="00E34166">
        <w:tc>
          <w:tcPr>
            <w:tcW w:w="1551" w:type="dxa"/>
          </w:tcPr>
          <w:p w:rsidR="001024BD" w:rsidRPr="00021DD2" w:rsidRDefault="001024BD" w:rsidP="001024BD">
            <w:pPr>
              <w:rPr>
                <w:rFonts w:cs="Arial"/>
              </w:rPr>
            </w:pPr>
            <w:r w:rsidRPr="00021DD2">
              <w:rPr>
                <w:rFonts w:cs="Arial"/>
              </w:rPr>
              <w:t>05.10.2016</w:t>
            </w:r>
          </w:p>
        </w:tc>
        <w:tc>
          <w:tcPr>
            <w:tcW w:w="5485" w:type="dxa"/>
          </w:tcPr>
          <w:p w:rsidR="001024BD" w:rsidRPr="00021DD2" w:rsidRDefault="001024BD" w:rsidP="001024BD">
            <w:pPr>
              <w:rPr>
                <w:rFonts w:cs="Arial"/>
              </w:rPr>
            </w:pPr>
            <w:r w:rsidRPr="00021DD2">
              <w:rPr>
                <w:rFonts w:cs="Arial"/>
              </w:rPr>
              <w:t>Noelle Hudson, National Policy and Advocacy Manager, CREATE Foundation</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06.10.2016</w:t>
            </w:r>
          </w:p>
        </w:tc>
        <w:tc>
          <w:tcPr>
            <w:tcW w:w="5485" w:type="dxa"/>
          </w:tcPr>
          <w:p w:rsidR="001024BD" w:rsidRPr="00021DD2" w:rsidRDefault="001024BD" w:rsidP="001024BD">
            <w:pPr>
              <w:rPr>
                <w:rFonts w:cs="Arial"/>
              </w:rPr>
            </w:pPr>
            <w:r w:rsidRPr="00021DD2">
              <w:rPr>
                <w:rFonts w:cs="Arial"/>
              </w:rPr>
              <w:t>Sally Sievers, Northern Territory Anti-Discrimination Commissioner</w:t>
            </w:r>
          </w:p>
        </w:tc>
        <w:tc>
          <w:tcPr>
            <w:tcW w:w="2024" w:type="dxa"/>
          </w:tcPr>
          <w:p w:rsidR="001024BD" w:rsidRPr="00021DD2" w:rsidRDefault="001024BD" w:rsidP="001024BD">
            <w:pPr>
              <w:rPr>
                <w:rFonts w:cs="Arial"/>
              </w:rPr>
            </w:pPr>
            <w:r w:rsidRPr="00021DD2">
              <w:rPr>
                <w:rFonts w:cs="Arial"/>
              </w:rPr>
              <w:t>Darwin, NT</w:t>
            </w:r>
          </w:p>
        </w:tc>
      </w:tr>
      <w:tr w:rsidR="001024BD" w:rsidRPr="00021DD2" w:rsidTr="00E34166">
        <w:tc>
          <w:tcPr>
            <w:tcW w:w="1551" w:type="dxa"/>
          </w:tcPr>
          <w:p w:rsidR="001024BD" w:rsidRPr="00021DD2" w:rsidRDefault="001024BD" w:rsidP="001024BD">
            <w:pPr>
              <w:rPr>
                <w:rFonts w:cs="Arial"/>
              </w:rPr>
            </w:pPr>
            <w:r w:rsidRPr="00021DD2">
              <w:rPr>
                <w:rFonts w:cs="Arial"/>
              </w:rPr>
              <w:t>06.10.2016</w:t>
            </w:r>
          </w:p>
        </w:tc>
        <w:tc>
          <w:tcPr>
            <w:tcW w:w="5485" w:type="dxa"/>
          </w:tcPr>
          <w:p w:rsidR="001024BD" w:rsidRPr="00021DD2" w:rsidRDefault="001024BD" w:rsidP="001024BD">
            <w:pPr>
              <w:rPr>
                <w:rFonts w:cs="Arial"/>
              </w:rPr>
            </w:pPr>
            <w:r w:rsidRPr="00021DD2">
              <w:rPr>
                <w:rFonts w:cs="Arial"/>
              </w:rPr>
              <w:t>Professor Alan Cass, Director, Menzies School of Health Research</w:t>
            </w:r>
          </w:p>
        </w:tc>
        <w:tc>
          <w:tcPr>
            <w:tcW w:w="2024" w:type="dxa"/>
          </w:tcPr>
          <w:p w:rsidR="001024BD" w:rsidRPr="00021DD2" w:rsidRDefault="001024BD" w:rsidP="001024BD">
            <w:pPr>
              <w:rPr>
                <w:rFonts w:cs="Arial"/>
              </w:rPr>
            </w:pPr>
            <w:r w:rsidRPr="00021DD2">
              <w:rPr>
                <w:rFonts w:cs="Arial"/>
              </w:rPr>
              <w:t>Darwin, NT</w:t>
            </w:r>
          </w:p>
        </w:tc>
      </w:tr>
      <w:tr w:rsidR="001024BD" w:rsidRPr="00021DD2" w:rsidTr="00E34166">
        <w:tc>
          <w:tcPr>
            <w:tcW w:w="1551" w:type="dxa"/>
          </w:tcPr>
          <w:p w:rsidR="001024BD" w:rsidRPr="00021DD2" w:rsidRDefault="001024BD" w:rsidP="001024BD">
            <w:pPr>
              <w:rPr>
                <w:rFonts w:cs="Arial"/>
              </w:rPr>
            </w:pPr>
            <w:r w:rsidRPr="00021DD2">
              <w:rPr>
                <w:rFonts w:cs="Arial"/>
              </w:rPr>
              <w:t>07.10.2016</w:t>
            </w:r>
          </w:p>
        </w:tc>
        <w:tc>
          <w:tcPr>
            <w:tcW w:w="5485" w:type="dxa"/>
          </w:tcPr>
          <w:p w:rsidR="001024BD" w:rsidRPr="00021DD2" w:rsidRDefault="001024BD" w:rsidP="001024BD">
            <w:pPr>
              <w:rPr>
                <w:rFonts w:cs="Arial"/>
              </w:rPr>
            </w:pPr>
            <w:r w:rsidRPr="00021DD2">
              <w:rPr>
                <w:rFonts w:cs="Arial"/>
              </w:rPr>
              <w:t>Colleen Gwynne, Northern Territory Children’s Commissioner</w:t>
            </w:r>
          </w:p>
        </w:tc>
        <w:tc>
          <w:tcPr>
            <w:tcW w:w="2024" w:type="dxa"/>
          </w:tcPr>
          <w:p w:rsidR="001024BD" w:rsidRPr="00021DD2" w:rsidRDefault="001024BD" w:rsidP="001024BD">
            <w:pPr>
              <w:rPr>
                <w:rFonts w:cs="Arial"/>
              </w:rPr>
            </w:pPr>
            <w:r w:rsidRPr="00021DD2">
              <w:rPr>
                <w:rFonts w:cs="Arial"/>
              </w:rPr>
              <w:t>Darwin, NT</w:t>
            </w:r>
          </w:p>
        </w:tc>
      </w:tr>
      <w:tr w:rsidR="001024BD" w:rsidRPr="00021DD2" w:rsidTr="00E34166">
        <w:tc>
          <w:tcPr>
            <w:tcW w:w="1551" w:type="dxa"/>
          </w:tcPr>
          <w:p w:rsidR="001024BD" w:rsidRPr="00021DD2" w:rsidRDefault="001024BD" w:rsidP="001024BD">
            <w:pPr>
              <w:rPr>
                <w:rFonts w:cs="Arial"/>
              </w:rPr>
            </w:pPr>
            <w:r w:rsidRPr="00021DD2">
              <w:rPr>
                <w:rFonts w:cs="Arial"/>
              </w:rPr>
              <w:t>11.10.2016</w:t>
            </w:r>
          </w:p>
        </w:tc>
        <w:tc>
          <w:tcPr>
            <w:tcW w:w="5485" w:type="dxa"/>
          </w:tcPr>
          <w:p w:rsidR="001024BD" w:rsidRPr="00021DD2" w:rsidRDefault="001024BD" w:rsidP="001024BD">
            <w:pPr>
              <w:rPr>
                <w:rFonts w:cs="Arial"/>
              </w:rPr>
            </w:pPr>
            <w:r w:rsidRPr="00021DD2">
              <w:rPr>
                <w:rFonts w:cs="Arial"/>
              </w:rPr>
              <w:t>National Forum for Protecting Australia’s Children, Strategy 3 Working Group, Third Action Plan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13.10.2016</w:t>
            </w:r>
          </w:p>
        </w:tc>
        <w:tc>
          <w:tcPr>
            <w:tcW w:w="5485" w:type="dxa"/>
          </w:tcPr>
          <w:p w:rsidR="001024BD" w:rsidRPr="00021DD2" w:rsidRDefault="001024BD" w:rsidP="001024BD">
            <w:pPr>
              <w:rPr>
                <w:rFonts w:cs="Arial"/>
              </w:rPr>
            </w:pPr>
            <w:r w:rsidRPr="00021DD2">
              <w:rPr>
                <w:rFonts w:cs="Arial"/>
              </w:rPr>
              <w:t>Australian Council of Human Rights Agencies (ACHRA)</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19.10.2016</w:t>
            </w:r>
          </w:p>
        </w:tc>
        <w:tc>
          <w:tcPr>
            <w:tcW w:w="5485" w:type="dxa"/>
          </w:tcPr>
          <w:p w:rsidR="001024BD" w:rsidRPr="00021DD2" w:rsidRDefault="001024BD" w:rsidP="001024BD">
            <w:pPr>
              <w:rPr>
                <w:rFonts w:cs="Arial"/>
              </w:rPr>
            </w:pPr>
            <w:r w:rsidRPr="00021DD2">
              <w:rPr>
                <w:rFonts w:cs="Arial"/>
              </w:rPr>
              <w:t xml:space="preserve">Elizabeth McCrea, Advocacy and Family Support, </w:t>
            </w:r>
            <w:r w:rsidR="006936CC">
              <w:rPr>
                <w:rFonts w:cs="Arial"/>
              </w:rPr>
              <w:t>T</w:t>
            </w:r>
            <w:r w:rsidRPr="00021DD2">
              <w:rPr>
                <w:rFonts w:cs="Arial"/>
              </w:rPr>
              <w:t>he Mirabel Foundation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20.10.2016</w:t>
            </w:r>
          </w:p>
        </w:tc>
        <w:tc>
          <w:tcPr>
            <w:tcW w:w="5485" w:type="dxa"/>
          </w:tcPr>
          <w:p w:rsidR="001024BD" w:rsidRPr="00021DD2" w:rsidRDefault="001024BD" w:rsidP="001024BD">
            <w:pPr>
              <w:rPr>
                <w:rFonts w:cs="Arial"/>
              </w:rPr>
            </w:pPr>
            <w:r w:rsidRPr="00021DD2">
              <w:rPr>
                <w:rFonts w:cs="Arial"/>
              </w:rPr>
              <w:t>Justin Dowd, Director, World Congress on Family Law and Children’s Rights</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28.10.2016</w:t>
            </w:r>
          </w:p>
        </w:tc>
        <w:tc>
          <w:tcPr>
            <w:tcW w:w="5485" w:type="dxa"/>
          </w:tcPr>
          <w:p w:rsidR="001024BD" w:rsidRPr="00021DD2" w:rsidRDefault="001024BD" w:rsidP="001024BD">
            <w:pPr>
              <w:rPr>
                <w:rFonts w:cs="Arial"/>
              </w:rPr>
            </w:pPr>
            <w:r w:rsidRPr="00021DD2">
              <w:rPr>
                <w:rFonts w:cs="Arial"/>
              </w:rPr>
              <w:t>COAG Summit 2016: Reducing violence against women and their children</w:t>
            </w:r>
          </w:p>
        </w:tc>
        <w:tc>
          <w:tcPr>
            <w:tcW w:w="2024" w:type="dxa"/>
          </w:tcPr>
          <w:p w:rsidR="001024BD" w:rsidRPr="00021DD2" w:rsidRDefault="001024BD" w:rsidP="001024BD">
            <w:pPr>
              <w:rPr>
                <w:rFonts w:cs="Arial"/>
              </w:rPr>
            </w:pPr>
            <w:r w:rsidRPr="00021DD2">
              <w:rPr>
                <w:rFonts w:cs="Arial"/>
              </w:rPr>
              <w:t>Brisbane, Q</w:t>
            </w:r>
            <w:r w:rsidR="00551649">
              <w:rPr>
                <w:rFonts w:cs="Arial"/>
              </w:rPr>
              <w:t>ld</w:t>
            </w:r>
          </w:p>
        </w:tc>
      </w:tr>
      <w:tr w:rsidR="001024BD" w:rsidRPr="00021DD2" w:rsidTr="00E34166">
        <w:tc>
          <w:tcPr>
            <w:tcW w:w="1551" w:type="dxa"/>
          </w:tcPr>
          <w:p w:rsidR="001024BD" w:rsidRPr="00021DD2" w:rsidRDefault="001024BD" w:rsidP="001024BD">
            <w:pPr>
              <w:rPr>
                <w:rFonts w:cs="Arial"/>
              </w:rPr>
            </w:pPr>
            <w:r w:rsidRPr="00021DD2">
              <w:rPr>
                <w:rFonts w:cs="Arial"/>
              </w:rPr>
              <w:t>02.11.2016</w:t>
            </w:r>
          </w:p>
        </w:tc>
        <w:tc>
          <w:tcPr>
            <w:tcW w:w="5485" w:type="dxa"/>
          </w:tcPr>
          <w:p w:rsidR="001024BD" w:rsidRPr="00021DD2" w:rsidRDefault="001024BD" w:rsidP="001024BD">
            <w:pPr>
              <w:rPr>
                <w:rFonts w:cs="Arial"/>
              </w:rPr>
            </w:pPr>
            <w:r w:rsidRPr="00021DD2">
              <w:rPr>
                <w:rFonts w:cs="Arial"/>
              </w:rPr>
              <w:t>Debra Maher, Solicitor, Children’s Legal Service Legal Aid and Nadine Miles, Chief Legal Officer Aboriginal Legal Service</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02.11.2016</w:t>
            </w:r>
          </w:p>
        </w:tc>
        <w:tc>
          <w:tcPr>
            <w:tcW w:w="5485" w:type="dxa"/>
          </w:tcPr>
          <w:p w:rsidR="001024BD" w:rsidRPr="00021DD2" w:rsidRDefault="001024BD" w:rsidP="001024BD">
            <w:pPr>
              <w:rPr>
                <w:rFonts w:cs="Arial"/>
              </w:rPr>
            </w:pPr>
            <w:r w:rsidRPr="00021DD2">
              <w:rPr>
                <w:rFonts w:cs="Arial"/>
              </w:rPr>
              <w:t>Bernadette Black, CEO, Brave Foundation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jc w:val="center"/>
              <w:rPr>
                <w:rFonts w:cs="Arial"/>
              </w:rPr>
            </w:pPr>
            <w:r w:rsidRPr="00021DD2">
              <w:rPr>
                <w:rFonts w:cs="Arial"/>
              </w:rPr>
              <w:t>03.11.2016</w:t>
            </w:r>
          </w:p>
        </w:tc>
        <w:tc>
          <w:tcPr>
            <w:tcW w:w="5485" w:type="dxa"/>
          </w:tcPr>
          <w:p w:rsidR="001024BD" w:rsidRPr="00021DD2" w:rsidRDefault="001024BD" w:rsidP="001024BD">
            <w:pPr>
              <w:rPr>
                <w:rFonts w:cs="Arial"/>
              </w:rPr>
            </w:pPr>
            <w:r w:rsidRPr="00021DD2">
              <w:rPr>
                <w:rFonts w:cs="Arial"/>
              </w:rPr>
              <w:t>Marv Bernstein, Chief Policy Advisor, UNICEF Canada</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03.11.2016</w:t>
            </w:r>
          </w:p>
        </w:tc>
        <w:tc>
          <w:tcPr>
            <w:tcW w:w="5485" w:type="dxa"/>
          </w:tcPr>
          <w:p w:rsidR="001024BD" w:rsidRPr="00021DD2" w:rsidRDefault="001024BD" w:rsidP="001024BD">
            <w:pPr>
              <w:rPr>
                <w:rFonts w:cs="Arial"/>
              </w:rPr>
            </w:pPr>
            <w:r w:rsidRPr="00021DD2">
              <w:rPr>
                <w:rFonts w:cs="Arial"/>
              </w:rPr>
              <w:t>Noelle Hudson, National Policy and Advocacy Manager, CREATE Foundation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04.11.2016</w:t>
            </w:r>
          </w:p>
        </w:tc>
        <w:tc>
          <w:tcPr>
            <w:tcW w:w="5485" w:type="dxa"/>
          </w:tcPr>
          <w:p w:rsidR="001024BD" w:rsidRPr="00021DD2" w:rsidRDefault="001024BD" w:rsidP="001024BD">
            <w:pPr>
              <w:rPr>
                <w:rFonts w:cs="Arial"/>
              </w:rPr>
            </w:pPr>
            <w:r w:rsidRPr="00021DD2">
              <w:rPr>
                <w:rFonts w:cs="Arial"/>
              </w:rPr>
              <w:t>Elizabeth Flynn, Initiatives Manager, Communities for Children, Lutheran Community Care Play Group, Anglicare</w:t>
            </w:r>
          </w:p>
        </w:tc>
        <w:tc>
          <w:tcPr>
            <w:tcW w:w="2024" w:type="dxa"/>
          </w:tcPr>
          <w:p w:rsidR="001024BD" w:rsidRPr="00021DD2" w:rsidRDefault="001024BD" w:rsidP="001024BD">
            <w:pPr>
              <w:rPr>
                <w:rFonts w:cs="Arial"/>
              </w:rPr>
            </w:pPr>
            <w:r w:rsidRPr="00021DD2">
              <w:rPr>
                <w:rFonts w:cs="Arial"/>
              </w:rPr>
              <w:t>Alice Springs, NT</w:t>
            </w:r>
          </w:p>
        </w:tc>
      </w:tr>
      <w:tr w:rsidR="001024BD" w:rsidRPr="00021DD2" w:rsidTr="00E34166">
        <w:tc>
          <w:tcPr>
            <w:tcW w:w="1551" w:type="dxa"/>
          </w:tcPr>
          <w:p w:rsidR="001024BD" w:rsidRPr="00021DD2" w:rsidRDefault="001024BD" w:rsidP="001024BD">
            <w:pPr>
              <w:rPr>
                <w:rFonts w:cs="Arial"/>
              </w:rPr>
            </w:pPr>
            <w:r w:rsidRPr="00021DD2">
              <w:rPr>
                <w:rFonts w:cs="Arial"/>
              </w:rPr>
              <w:t>07.11.2016</w:t>
            </w:r>
          </w:p>
        </w:tc>
        <w:tc>
          <w:tcPr>
            <w:tcW w:w="5485" w:type="dxa"/>
          </w:tcPr>
          <w:p w:rsidR="001024BD" w:rsidRPr="00021DD2" w:rsidRDefault="001024BD" w:rsidP="001024BD">
            <w:pPr>
              <w:rPr>
                <w:rFonts w:cs="Arial"/>
              </w:rPr>
            </w:pPr>
            <w:r w:rsidRPr="00021DD2">
              <w:rPr>
                <w:rFonts w:cs="Arial"/>
              </w:rPr>
              <w:t>Tim Grainger, Director</w:t>
            </w:r>
            <w:r w:rsidR="006936CC">
              <w:rPr>
                <w:rFonts w:cs="Arial"/>
              </w:rPr>
              <w:t>,</w:t>
            </w:r>
            <w:r w:rsidRPr="00021DD2">
              <w:rPr>
                <w:rFonts w:cs="Arial"/>
              </w:rPr>
              <w:t xml:space="preserve"> Parliamentary Education Office, Jason Bongers, Senior Research Officer, Parliament of Australia and Melinda Crole, CEO, YMCA</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07.11.2016</w:t>
            </w:r>
          </w:p>
        </w:tc>
        <w:tc>
          <w:tcPr>
            <w:tcW w:w="5485" w:type="dxa"/>
          </w:tcPr>
          <w:p w:rsidR="001024BD" w:rsidRPr="00021DD2" w:rsidRDefault="001024BD" w:rsidP="001024BD">
            <w:pPr>
              <w:rPr>
                <w:rFonts w:cs="Arial"/>
              </w:rPr>
            </w:pPr>
            <w:r w:rsidRPr="00021DD2">
              <w:rPr>
                <w:rFonts w:cs="Arial"/>
              </w:rPr>
              <w:t>Nick Henry, Advisor to the Hon Minister Greg Hunt, Office of the Minister for Industry, Innovation and Science</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07.11.2016</w:t>
            </w:r>
          </w:p>
        </w:tc>
        <w:tc>
          <w:tcPr>
            <w:tcW w:w="5485" w:type="dxa"/>
          </w:tcPr>
          <w:p w:rsidR="001024BD" w:rsidRPr="00021DD2" w:rsidRDefault="001024BD" w:rsidP="001024BD">
            <w:pPr>
              <w:rPr>
                <w:rFonts w:cs="Arial"/>
              </w:rPr>
            </w:pPr>
            <w:r w:rsidRPr="00021DD2">
              <w:rPr>
                <w:rFonts w:cs="Arial"/>
              </w:rPr>
              <w:t>Senator the Hon Louise Pratt, Senator for Western Australia, Chair of Legal and Constitutional Affairs References Committee</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07.11.2016</w:t>
            </w:r>
          </w:p>
        </w:tc>
        <w:tc>
          <w:tcPr>
            <w:tcW w:w="5485" w:type="dxa"/>
          </w:tcPr>
          <w:p w:rsidR="001024BD" w:rsidRPr="00021DD2" w:rsidRDefault="001024BD" w:rsidP="001024BD">
            <w:pPr>
              <w:rPr>
                <w:rFonts w:cs="Arial"/>
              </w:rPr>
            </w:pPr>
            <w:r w:rsidRPr="00021DD2">
              <w:rPr>
                <w:rFonts w:cs="Arial"/>
              </w:rPr>
              <w:t>Senator the Hon Linda Reynolds CSC, Senator for Western Australia</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08.11.2016</w:t>
            </w:r>
          </w:p>
        </w:tc>
        <w:tc>
          <w:tcPr>
            <w:tcW w:w="5485" w:type="dxa"/>
          </w:tcPr>
          <w:p w:rsidR="001024BD" w:rsidRPr="00021DD2" w:rsidRDefault="001024BD" w:rsidP="001024BD">
            <w:pPr>
              <w:rPr>
                <w:rFonts w:cs="Arial"/>
              </w:rPr>
            </w:pPr>
            <w:r w:rsidRPr="00021DD2">
              <w:rPr>
                <w:rFonts w:cs="Arial"/>
              </w:rPr>
              <w:t>Roslyn Baxter, Families Group Manager, Department of Social Services</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08.11.2016</w:t>
            </w:r>
          </w:p>
        </w:tc>
        <w:tc>
          <w:tcPr>
            <w:tcW w:w="5485" w:type="dxa"/>
          </w:tcPr>
          <w:p w:rsidR="001024BD" w:rsidRPr="00021DD2" w:rsidRDefault="001024BD" w:rsidP="001024BD">
            <w:pPr>
              <w:rPr>
                <w:rFonts w:cs="Arial"/>
              </w:rPr>
            </w:pPr>
            <w:r w:rsidRPr="00021DD2">
              <w:rPr>
                <w:rFonts w:cs="Arial"/>
              </w:rPr>
              <w:t>Senator the Hon Claire Moore, Shadow Minister for International Development and the Pacific</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08.11.2016</w:t>
            </w:r>
          </w:p>
        </w:tc>
        <w:tc>
          <w:tcPr>
            <w:tcW w:w="5485" w:type="dxa"/>
          </w:tcPr>
          <w:p w:rsidR="001024BD" w:rsidRPr="00021DD2" w:rsidRDefault="001024BD" w:rsidP="001024BD">
            <w:pPr>
              <w:rPr>
                <w:rFonts w:cs="Arial"/>
              </w:rPr>
            </w:pPr>
            <w:r w:rsidRPr="00021DD2">
              <w:rPr>
                <w:rFonts w:cs="Arial"/>
              </w:rPr>
              <w:t>Mr Andrew Giles MP, Member for Scullion, Deputy Chair of Joint Standing Committee on Electoral Matters, Australian Labor Party</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08.11.2016</w:t>
            </w:r>
          </w:p>
        </w:tc>
        <w:tc>
          <w:tcPr>
            <w:tcW w:w="5485" w:type="dxa"/>
          </w:tcPr>
          <w:p w:rsidR="001024BD" w:rsidRPr="00021DD2" w:rsidRDefault="001024BD" w:rsidP="001024BD">
            <w:pPr>
              <w:tabs>
                <w:tab w:val="left" w:pos="1095"/>
              </w:tabs>
              <w:rPr>
                <w:rFonts w:cs="Arial"/>
              </w:rPr>
            </w:pPr>
            <w:r w:rsidRPr="00021DD2">
              <w:rPr>
                <w:rFonts w:cs="Arial"/>
              </w:rPr>
              <w:t>Senator the Hon Jacinta Collins, Shadow Cabinet Secretary, Shadow Assistant Minister for Early Childhood, Shadow Assistant Minister for Citizenship and Multicultural Australia</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08.11.2016</w:t>
            </w:r>
          </w:p>
        </w:tc>
        <w:tc>
          <w:tcPr>
            <w:tcW w:w="5485" w:type="dxa"/>
          </w:tcPr>
          <w:p w:rsidR="001024BD" w:rsidRPr="00021DD2" w:rsidRDefault="001024BD" w:rsidP="001024BD">
            <w:pPr>
              <w:rPr>
                <w:rFonts w:cs="Arial"/>
              </w:rPr>
            </w:pPr>
            <w:r w:rsidRPr="00021DD2">
              <w:rPr>
                <w:rFonts w:cs="Arial"/>
              </w:rPr>
              <w:t>Senator the Hon Jacqui Lambie, Senator for Tasmania</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08.11.2016</w:t>
            </w:r>
          </w:p>
        </w:tc>
        <w:tc>
          <w:tcPr>
            <w:tcW w:w="5485" w:type="dxa"/>
          </w:tcPr>
          <w:p w:rsidR="001024BD" w:rsidRPr="00021DD2" w:rsidRDefault="001024BD" w:rsidP="001024BD">
            <w:pPr>
              <w:rPr>
                <w:rFonts w:cs="Arial"/>
              </w:rPr>
            </w:pPr>
            <w:r w:rsidRPr="00021DD2">
              <w:rPr>
                <w:rFonts w:cs="Arial"/>
              </w:rPr>
              <w:t>Tim Wilson, Member for Goldstein, Liberal Party of Australia</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08.11.2016</w:t>
            </w:r>
          </w:p>
        </w:tc>
        <w:tc>
          <w:tcPr>
            <w:tcW w:w="5485" w:type="dxa"/>
          </w:tcPr>
          <w:p w:rsidR="001024BD" w:rsidRPr="00021DD2" w:rsidRDefault="001024BD" w:rsidP="001024BD">
            <w:pPr>
              <w:rPr>
                <w:rFonts w:cs="Arial"/>
              </w:rPr>
            </w:pPr>
            <w:r w:rsidRPr="00021DD2">
              <w:rPr>
                <w:rFonts w:cs="Arial"/>
              </w:rPr>
              <w:t>Will Frost, Senior Advisor to the Hon Christian Porter MP, Office of the Minister for Social Services</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09.11.2016</w:t>
            </w:r>
          </w:p>
        </w:tc>
        <w:tc>
          <w:tcPr>
            <w:tcW w:w="5485" w:type="dxa"/>
          </w:tcPr>
          <w:p w:rsidR="001024BD" w:rsidRPr="00021DD2" w:rsidRDefault="001024BD" w:rsidP="001024BD">
            <w:pPr>
              <w:rPr>
                <w:rFonts w:cs="Arial"/>
              </w:rPr>
            </w:pPr>
            <w:r w:rsidRPr="00021DD2">
              <w:rPr>
                <w:rFonts w:cs="Arial"/>
              </w:rPr>
              <w:t>Dr Kate Bishop, Senior Lecturer, Faculty of Built Environment, UNSW</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14.11.2016</w:t>
            </w:r>
          </w:p>
        </w:tc>
        <w:tc>
          <w:tcPr>
            <w:tcW w:w="5485" w:type="dxa"/>
          </w:tcPr>
          <w:p w:rsidR="001024BD" w:rsidRPr="00021DD2" w:rsidRDefault="001024BD" w:rsidP="001024BD">
            <w:pPr>
              <w:rPr>
                <w:rFonts w:cs="Arial"/>
              </w:rPr>
            </w:pPr>
            <w:r w:rsidRPr="00021DD2">
              <w:rPr>
                <w:rFonts w:cs="Arial"/>
              </w:rPr>
              <w:t>Murray Kimber, Branch Manager, Investment Approach Taskforce, Department of Social Services</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14.11.2016</w:t>
            </w:r>
          </w:p>
        </w:tc>
        <w:tc>
          <w:tcPr>
            <w:tcW w:w="5485" w:type="dxa"/>
          </w:tcPr>
          <w:p w:rsidR="001024BD" w:rsidRPr="00021DD2" w:rsidRDefault="001024BD" w:rsidP="001024BD">
            <w:pPr>
              <w:rPr>
                <w:rFonts w:cs="Arial"/>
              </w:rPr>
            </w:pPr>
            <w:r w:rsidRPr="00021DD2">
              <w:rPr>
                <w:rFonts w:cs="Arial"/>
              </w:rPr>
              <w:t xml:space="preserve">Felipe Gonzalez Morales, Special Rapporteur on the </w:t>
            </w:r>
            <w:r w:rsidR="006936CC">
              <w:rPr>
                <w:rFonts w:cs="Arial"/>
              </w:rPr>
              <w:t>H</w:t>
            </w:r>
            <w:r w:rsidRPr="00021DD2">
              <w:rPr>
                <w:rFonts w:cs="Arial"/>
              </w:rPr>
              <w:t xml:space="preserve">uman </w:t>
            </w:r>
            <w:r w:rsidR="006936CC">
              <w:rPr>
                <w:rFonts w:cs="Arial"/>
              </w:rPr>
              <w:t>R</w:t>
            </w:r>
            <w:r w:rsidRPr="00021DD2">
              <w:rPr>
                <w:rFonts w:cs="Arial"/>
              </w:rPr>
              <w:t xml:space="preserve">ights of </w:t>
            </w:r>
            <w:r w:rsidR="006936CC">
              <w:rPr>
                <w:rFonts w:cs="Arial"/>
              </w:rPr>
              <w:t>M</w:t>
            </w:r>
            <w:r w:rsidRPr="00021DD2">
              <w:rPr>
                <w:rFonts w:cs="Arial"/>
              </w:rPr>
              <w:t>igrants</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15.11.2016</w:t>
            </w:r>
          </w:p>
        </w:tc>
        <w:tc>
          <w:tcPr>
            <w:tcW w:w="5485" w:type="dxa"/>
          </w:tcPr>
          <w:p w:rsidR="001024BD" w:rsidRPr="00021DD2" w:rsidRDefault="001024BD" w:rsidP="001024BD">
            <w:pPr>
              <w:rPr>
                <w:rFonts w:cs="Arial"/>
              </w:rPr>
            </w:pPr>
            <w:r w:rsidRPr="00021DD2">
              <w:rPr>
                <w:rFonts w:cs="Arial"/>
              </w:rPr>
              <w:t>Neil Mitchell, Radio Presenter, 3AW</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16.11.2016</w:t>
            </w:r>
          </w:p>
        </w:tc>
        <w:tc>
          <w:tcPr>
            <w:tcW w:w="5485" w:type="dxa"/>
          </w:tcPr>
          <w:p w:rsidR="001024BD" w:rsidRPr="00021DD2" w:rsidRDefault="001024BD" w:rsidP="001024BD">
            <w:pPr>
              <w:rPr>
                <w:rFonts w:cs="Arial"/>
              </w:rPr>
            </w:pPr>
            <w:r w:rsidRPr="00021DD2">
              <w:rPr>
                <w:rFonts w:cs="Arial"/>
              </w:rPr>
              <w:t xml:space="preserve">Australian Children’s Commissioners and Guardians </w:t>
            </w:r>
            <w:r w:rsidR="006936CC">
              <w:rPr>
                <w:rFonts w:cs="Arial"/>
              </w:rPr>
              <w:t>(ACCG)</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18.11.2016</w:t>
            </w:r>
          </w:p>
        </w:tc>
        <w:tc>
          <w:tcPr>
            <w:tcW w:w="5485" w:type="dxa"/>
          </w:tcPr>
          <w:p w:rsidR="001024BD" w:rsidRPr="00021DD2" w:rsidRDefault="001024BD" w:rsidP="001024BD">
            <w:pPr>
              <w:rPr>
                <w:rFonts w:cs="Arial"/>
              </w:rPr>
            </w:pPr>
            <w:r w:rsidRPr="00021DD2">
              <w:rPr>
                <w:rFonts w:cs="Arial"/>
              </w:rPr>
              <w:t>Yale Stephens, Sales and Marketing Manager, The Personal Risk Management Group</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22.11.2016</w:t>
            </w:r>
          </w:p>
        </w:tc>
        <w:tc>
          <w:tcPr>
            <w:tcW w:w="5485" w:type="dxa"/>
          </w:tcPr>
          <w:p w:rsidR="001024BD" w:rsidRPr="00021DD2" w:rsidRDefault="001024BD" w:rsidP="001024BD">
            <w:pPr>
              <w:rPr>
                <w:rFonts w:cs="Arial"/>
              </w:rPr>
            </w:pPr>
            <w:r w:rsidRPr="00021DD2">
              <w:rPr>
                <w:rFonts w:cs="Arial"/>
              </w:rPr>
              <w:t>National Forum for Protecting Australia’s Children, Strategy 3 Working Group, Third Action Plan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22.11.2016</w:t>
            </w:r>
          </w:p>
        </w:tc>
        <w:tc>
          <w:tcPr>
            <w:tcW w:w="5485" w:type="dxa"/>
          </w:tcPr>
          <w:p w:rsidR="001024BD" w:rsidRPr="00021DD2" w:rsidRDefault="001024BD" w:rsidP="001024BD">
            <w:pPr>
              <w:rPr>
                <w:rFonts w:cs="Arial"/>
              </w:rPr>
            </w:pPr>
            <w:r w:rsidRPr="00021DD2">
              <w:rPr>
                <w:rFonts w:cs="Arial"/>
              </w:rPr>
              <w:t>Claire Mallinson, National Director, Amnesty International Australia</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25.11.2016</w:t>
            </w:r>
          </w:p>
        </w:tc>
        <w:tc>
          <w:tcPr>
            <w:tcW w:w="5485" w:type="dxa"/>
          </w:tcPr>
          <w:p w:rsidR="001024BD" w:rsidRPr="00021DD2" w:rsidRDefault="001024BD" w:rsidP="001024BD">
            <w:pPr>
              <w:rPr>
                <w:rFonts w:cs="Arial"/>
              </w:rPr>
            </w:pPr>
            <w:r w:rsidRPr="00021DD2">
              <w:rPr>
                <w:rFonts w:cs="Arial"/>
              </w:rPr>
              <w:t>Dr Tom McClean, Manager, Research Innovation and Advocacy, Uniting</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28.11.2016</w:t>
            </w:r>
          </w:p>
        </w:tc>
        <w:tc>
          <w:tcPr>
            <w:tcW w:w="5485" w:type="dxa"/>
          </w:tcPr>
          <w:p w:rsidR="001024BD" w:rsidRPr="00021DD2" w:rsidRDefault="001024BD" w:rsidP="001024BD">
            <w:pPr>
              <w:rPr>
                <w:rFonts w:cs="Arial"/>
              </w:rPr>
            </w:pPr>
            <w:r w:rsidRPr="00021DD2">
              <w:rPr>
                <w:rFonts w:cs="Arial"/>
              </w:rPr>
              <w:t>Les White, Chief Paediatrician for NSW Health and Tony Stuart, CEO, UNICEF</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28.11.2016</w:t>
            </w:r>
          </w:p>
        </w:tc>
        <w:tc>
          <w:tcPr>
            <w:tcW w:w="5485" w:type="dxa"/>
          </w:tcPr>
          <w:p w:rsidR="001024BD" w:rsidRPr="00021DD2" w:rsidRDefault="001024BD" w:rsidP="001024BD">
            <w:pPr>
              <w:rPr>
                <w:rFonts w:cs="Arial"/>
              </w:rPr>
            </w:pPr>
            <w:r w:rsidRPr="00021DD2">
              <w:rPr>
                <w:rFonts w:cs="Arial"/>
              </w:rPr>
              <w:t>J</w:t>
            </w:r>
            <w:r w:rsidR="006936CC">
              <w:rPr>
                <w:rFonts w:cs="Arial"/>
              </w:rPr>
              <w:t>enn</w:t>
            </w:r>
            <w:r w:rsidRPr="00021DD2">
              <w:rPr>
                <w:rFonts w:cs="Arial"/>
              </w:rPr>
              <w:t>y Mason, Policy and Research General Manager, Tarina Russell, Policy Manager and Lara Scott, Principal Policy Officer, Royal Commission into Institutional Responses to Child Sexual Abuse</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05.12.2016</w:t>
            </w:r>
          </w:p>
        </w:tc>
        <w:tc>
          <w:tcPr>
            <w:tcW w:w="5485" w:type="dxa"/>
          </w:tcPr>
          <w:p w:rsidR="001024BD" w:rsidRPr="00021DD2" w:rsidRDefault="001024BD" w:rsidP="001024BD">
            <w:pPr>
              <w:rPr>
                <w:rFonts w:cs="Arial"/>
              </w:rPr>
            </w:pPr>
            <w:r w:rsidRPr="00021DD2">
              <w:rPr>
                <w:rFonts w:cs="Arial"/>
              </w:rPr>
              <w:t>Implementing OPCAT Workshop</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06.12.2016</w:t>
            </w:r>
          </w:p>
        </w:tc>
        <w:tc>
          <w:tcPr>
            <w:tcW w:w="5485" w:type="dxa"/>
          </w:tcPr>
          <w:p w:rsidR="001024BD" w:rsidRPr="00021DD2" w:rsidRDefault="001024BD" w:rsidP="001024BD">
            <w:pPr>
              <w:rPr>
                <w:rFonts w:cs="Arial"/>
              </w:rPr>
            </w:pPr>
            <w:r w:rsidRPr="00021DD2">
              <w:rPr>
                <w:rFonts w:cs="Arial"/>
              </w:rPr>
              <w:t>National Forum for Protecting Australia’s Children, Third Action Plan</w:t>
            </w:r>
          </w:p>
        </w:tc>
        <w:tc>
          <w:tcPr>
            <w:tcW w:w="2024" w:type="dxa"/>
          </w:tcPr>
          <w:p w:rsidR="001024BD" w:rsidRPr="00021DD2" w:rsidRDefault="001024BD" w:rsidP="001024BD">
            <w:pPr>
              <w:rPr>
                <w:rFonts w:cs="Arial"/>
              </w:rPr>
            </w:pPr>
            <w:r w:rsidRPr="00021DD2">
              <w:rPr>
                <w:rFonts w:cs="Arial"/>
              </w:rPr>
              <w:t>Melbourne, V</w:t>
            </w:r>
            <w:r w:rsidR="00551649">
              <w:rPr>
                <w:rFonts w:cs="Arial"/>
              </w:rPr>
              <w:t>ic</w:t>
            </w:r>
          </w:p>
        </w:tc>
      </w:tr>
      <w:tr w:rsidR="001024BD" w:rsidRPr="00021DD2" w:rsidTr="00E34166">
        <w:tc>
          <w:tcPr>
            <w:tcW w:w="1551" w:type="dxa"/>
          </w:tcPr>
          <w:p w:rsidR="001024BD" w:rsidRPr="00021DD2" w:rsidRDefault="001024BD" w:rsidP="001024BD">
            <w:pPr>
              <w:rPr>
                <w:rFonts w:cs="Arial"/>
              </w:rPr>
            </w:pPr>
            <w:r w:rsidRPr="00021DD2">
              <w:rPr>
                <w:rFonts w:cs="Arial"/>
              </w:rPr>
              <w:t>07.12.2016</w:t>
            </w:r>
          </w:p>
        </w:tc>
        <w:tc>
          <w:tcPr>
            <w:tcW w:w="5485" w:type="dxa"/>
          </w:tcPr>
          <w:p w:rsidR="001024BD" w:rsidRPr="00021DD2" w:rsidRDefault="001024BD" w:rsidP="001024BD">
            <w:pPr>
              <w:rPr>
                <w:rFonts w:cs="Arial"/>
              </w:rPr>
            </w:pPr>
            <w:r w:rsidRPr="00021DD2">
              <w:rPr>
                <w:rFonts w:cs="Arial"/>
              </w:rPr>
              <w:t>Rosalyn Bell, Assistant Commissioner, Productivity Commission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07.12.2016</w:t>
            </w:r>
          </w:p>
        </w:tc>
        <w:tc>
          <w:tcPr>
            <w:tcW w:w="5485" w:type="dxa"/>
          </w:tcPr>
          <w:p w:rsidR="001024BD" w:rsidRPr="00021DD2" w:rsidRDefault="001024BD" w:rsidP="001024BD">
            <w:pPr>
              <w:rPr>
                <w:rFonts w:cs="Arial"/>
              </w:rPr>
            </w:pPr>
            <w:r w:rsidRPr="00021DD2">
              <w:rPr>
                <w:rFonts w:cs="Arial"/>
              </w:rPr>
              <w:t>Gerry Moore, CEO and Emma Sydenham, Deputy CEO, SNAICC</w:t>
            </w:r>
          </w:p>
        </w:tc>
        <w:tc>
          <w:tcPr>
            <w:tcW w:w="2024" w:type="dxa"/>
          </w:tcPr>
          <w:p w:rsidR="001024BD" w:rsidRPr="00021DD2" w:rsidRDefault="001024BD" w:rsidP="001024BD">
            <w:pPr>
              <w:rPr>
                <w:rFonts w:cs="Arial"/>
              </w:rPr>
            </w:pPr>
            <w:r w:rsidRPr="00021DD2">
              <w:rPr>
                <w:rFonts w:cs="Arial"/>
              </w:rPr>
              <w:t>Melbourne, VIC</w:t>
            </w:r>
          </w:p>
        </w:tc>
      </w:tr>
      <w:tr w:rsidR="001024BD" w:rsidRPr="00021DD2" w:rsidTr="00E34166">
        <w:tc>
          <w:tcPr>
            <w:tcW w:w="1551" w:type="dxa"/>
          </w:tcPr>
          <w:p w:rsidR="001024BD" w:rsidRPr="00021DD2" w:rsidRDefault="001024BD" w:rsidP="001024BD">
            <w:pPr>
              <w:rPr>
                <w:rFonts w:cs="Arial"/>
              </w:rPr>
            </w:pPr>
            <w:r w:rsidRPr="00021DD2">
              <w:rPr>
                <w:rFonts w:cs="Arial"/>
              </w:rPr>
              <w:t>07.12.2016</w:t>
            </w:r>
          </w:p>
        </w:tc>
        <w:tc>
          <w:tcPr>
            <w:tcW w:w="5485" w:type="dxa"/>
          </w:tcPr>
          <w:p w:rsidR="001024BD" w:rsidRPr="00021DD2" w:rsidRDefault="001024BD" w:rsidP="001024BD">
            <w:pPr>
              <w:rPr>
                <w:rFonts w:cs="Arial"/>
              </w:rPr>
            </w:pPr>
            <w:r w:rsidRPr="00021DD2">
              <w:rPr>
                <w:rFonts w:cs="Arial"/>
              </w:rPr>
              <w:t xml:space="preserve">Sandie </w:t>
            </w:r>
            <w:r w:rsidR="006936CC">
              <w:rPr>
                <w:rFonts w:cs="Arial"/>
              </w:rPr>
              <w:t>d</w:t>
            </w:r>
            <w:r w:rsidRPr="00021DD2">
              <w:rPr>
                <w:rFonts w:cs="Arial"/>
              </w:rPr>
              <w:t>e</w:t>
            </w:r>
            <w:r w:rsidR="006936CC">
              <w:rPr>
                <w:rFonts w:cs="Arial"/>
              </w:rPr>
              <w:t xml:space="preserve"> </w:t>
            </w:r>
            <w:r w:rsidRPr="00021DD2">
              <w:rPr>
                <w:rFonts w:cs="Arial"/>
              </w:rPr>
              <w:t>Wolf, CEO, Berry Street</w:t>
            </w:r>
          </w:p>
        </w:tc>
        <w:tc>
          <w:tcPr>
            <w:tcW w:w="2024" w:type="dxa"/>
          </w:tcPr>
          <w:p w:rsidR="001024BD" w:rsidRPr="00021DD2" w:rsidRDefault="001024BD" w:rsidP="001024BD">
            <w:pPr>
              <w:rPr>
                <w:rFonts w:cs="Arial"/>
              </w:rPr>
            </w:pPr>
            <w:r w:rsidRPr="00021DD2">
              <w:rPr>
                <w:rFonts w:cs="Arial"/>
              </w:rPr>
              <w:t>Richmond, V</w:t>
            </w:r>
            <w:r w:rsidR="00551649">
              <w:rPr>
                <w:rFonts w:cs="Arial"/>
              </w:rPr>
              <w:t>ic</w:t>
            </w:r>
          </w:p>
        </w:tc>
      </w:tr>
      <w:tr w:rsidR="001024BD" w:rsidRPr="00021DD2" w:rsidTr="00E34166">
        <w:tc>
          <w:tcPr>
            <w:tcW w:w="1551" w:type="dxa"/>
          </w:tcPr>
          <w:p w:rsidR="001024BD" w:rsidRPr="00021DD2" w:rsidRDefault="001024BD" w:rsidP="001024BD">
            <w:pPr>
              <w:rPr>
                <w:rFonts w:cs="Arial"/>
              </w:rPr>
            </w:pPr>
            <w:r w:rsidRPr="00021DD2">
              <w:rPr>
                <w:rFonts w:cs="Arial"/>
              </w:rPr>
              <w:t>07.12.2016</w:t>
            </w:r>
          </w:p>
        </w:tc>
        <w:tc>
          <w:tcPr>
            <w:tcW w:w="5485" w:type="dxa"/>
          </w:tcPr>
          <w:p w:rsidR="001024BD" w:rsidRPr="00021DD2" w:rsidRDefault="001024BD" w:rsidP="001024BD">
            <w:pPr>
              <w:rPr>
                <w:rFonts w:cs="Arial"/>
              </w:rPr>
            </w:pPr>
            <w:r w:rsidRPr="00021DD2">
              <w:rPr>
                <w:rFonts w:cs="Arial"/>
              </w:rPr>
              <w:t>Kelly Hand, Executive Manager, Policy and Service Systems, Elly Robinson, Executive Manager, Practice and Evidence Engagement, Ken Knight, Cathryn Hunter, CFCA, Dr Stewart Muir, Evaluation and Qualitative Research and Dr Rachel Carson, Family Law, Australian Institute of Family Studies</w:t>
            </w:r>
          </w:p>
        </w:tc>
        <w:tc>
          <w:tcPr>
            <w:tcW w:w="2024" w:type="dxa"/>
          </w:tcPr>
          <w:p w:rsidR="001024BD" w:rsidRPr="00021DD2" w:rsidRDefault="001024BD" w:rsidP="001024BD">
            <w:pPr>
              <w:rPr>
                <w:rFonts w:cs="Arial"/>
              </w:rPr>
            </w:pPr>
            <w:r w:rsidRPr="00021DD2">
              <w:rPr>
                <w:rFonts w:cs="Arial"/>
              </w:rPr>
              <w:t>Melbourne, V</w:t>
            </w:r>
            <w:r w:rsidR="00551649">
              <w:rPr>
                <w:rFonts w:cs="Arial"/>
              </w:rPr>
              <w:t>ic</w:t>
            </w:r>
          </w:p>
        </w:tc>
      </w:tr>
      <w:tr w:rsidR="001024BD" w:rsidRPr="00021DD2" w:rsidTr="00E34166">
        <w:tc>
          <w:tcPr>
            <w:tcW w:w="1551" w:type="dxa"/>
          </w:tcPr>
          <w:p w:rsidR="001024BD" w:rsidRPr="00021DD2" w:rsidRDefault="001024BD" w:rsidP="001024BD">
            <w:pPr>
              <w:rPr>
                <w:rFonts w:cs="Arial"/>
              </w:rPr>
            </w:pPr>
            <w:r w:rsidRPr="00021DD2">
              <w:rPr>
                <w:rFonts w:cs="Arial"/>
              </w:rPr>
              <w:t>08.12.2016</w:t>
            </w:r>
          </w:p>
        </w:tc>
        <w:tc>
          <w:tcPr>
            <w:tcW w:w="5485" w:type="dxa"/>
          </w:tcPr>
          <w:p w:rsidR="001024BD" w:rsidRPr="00021DD2" w:rsidRDefault="001024BD" w:rsidP="001024BD">
            <w:pPr>
              <w:rPr>
                <w:rFonts w:cs="Arial"/>
              </w:rPr>
            </w:pPr>
            <w:r w:rsidRPr="00021DD2">
              <w:rPr>
                <w:rFonts w:cs="Arial"/>
              </w:rPr>
              <w:t>Annual NGO Human Rights Forum</w:t>
            </w:r>
          </w:p>
        </w:tc>
        <w:tc>
          <w:tcPr>
            <w:tcW w:w="2024" w:type="dxa"/>
          </w:tcPr>
          <w:p w:rsidR="001024BD" w:rsidRPr="00021DD2" w:rsidRDefault="001024BD" w:rsidP="001024BD">
            <w:pPr>
              <w:rPr>
                <w:rFonts w:cs="Arial"/>
              </w:rPr>
            </w:pPr>
            <w:r w:rsidRPr="00021DD2">
              <w:rPr>
                <w:rFonts w:cs="Arial"/>
              </w:rPr>
              <w:t>UNSW, NSW</w:t>
            </w:r>
          </w:p>
        </w:tc>
      </w:tr>
      <w:tr w:rsidR="001024BD" w:rsidRPr="00021DD2" w:rsidTr="00E34166">
        <w:tc>
          <w:tcPr>
            <w:tcW w:w="1551" w:type="dxa"/>
          </w:tcPr>
          <w:p w:rsidR="001024BD" w:rsidRPr="00021DD2" w:rsidRDefault="001024BD" w:rsidP="001024BD">
            <w:pPr>
              <w:rPr>
                <w:rFonts w:cs="Arial"/>
              </w:rPr>
            </w:pPr>
            <w:r w:rsidRPr="00021DD2">
              <w:rPr>
                <w:rFonts w:cs="Arial"/>
              </w:rPr>
              <w:t>13.12.2016</w:t>
            </w:r>
          </w:p>
        </w:tc>
        <w:tc>
          <w:tcPr>
            <w:tcW w:w="5485" w:type="dxa"/>
          </w:tcPr>
          <w:p w:rsidR="001024BD" w:rsidRPr="00021DD2" w:rsidRDefault="001024BD" w:rsidP="001024BD">
            <w:pPr>
              <w:rPr>
                <w:rFonts w:cs="Arial"/>
              </w:rPr>
            </w:pPr>
            <w:r w:rsidRPr="00021DD2">
              <w:rPr>
                <w:rFonts w:cs="Arial"/>
              </w:rPr>
              <w:t>Gloria Larman, CEO, SHINE for Kids</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13.12.2016</w:t>
            </w:r>
          </w:p>
        </w:tc>
        <w:tc>
          <w:tcPr>
            <w:tcW w:w="5485" w:type="dxa"/>
          </w:tcPr>
          <w:p w:rsidR="001024BD" w:rsidRPr="00021DD2" w:rsidRDefault="001024BD" w:rsidP="001024BD">
            <w:pPr>
              <w:rPr>
                <w:rFonts w:cs="Arial"/>
              </w:rPr>
            </w:pPr>
            <w:r w:rsidRPr="00021DD2">
              <w:rPr>
                <w:rFonts w:cs="Arial"/>
              </w:rPr>
              <w:t>Gudrun Meyering, School Counsellor, Beverly Hills Intensive English Centre</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21.12.2016</w:t>
            </w:r>
          </w:p>
        </w:tc>
        <w:tc>
          <w:tcPr>
            <w:tcW w:w="5485" w:type="dxa"/>
          </w:tcPr>
          <w:p w:rsidR="001024BD" w:rsidRPr="00021DD2" w:rsidRDefault="001024BD" w:rsidP="001024BD">
            <w:pPr>
              <w:rPr>
                <w:rFonts w:cs="Arial"/>
              </w:rPr>
            </w:pPr>
            <w:r w:rsidRPr="00021DD2">
              <w:rPr>
                <w:rFonts w:cs="Arial"/>
              </w:rPr>
              <w:t>Kris Cala, Branch Manager, Children’s Policy Branch, Department of Social Services</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21.12.2016</w:t>
            </w:r>
          </w:p>
        </w:tc>
        <w:tc>
          <w:tcPr>
            <w:tcW w:w="5485" w:type="dxa"/>
          </w:tcPr>
          <w:p w:rsidR="001024BD" w:rsidRPr="00021DD2" w:rsidRDefault="001024BD" w:rsidP="001024BD">
            <w:pPr>
              <w:rPr>
                <w:rFonts w:cs="Arial"/>
              </w:rPr>
            </w:pPr>
            <w:r w:rsidRPr="00021DD2">
              <w:rPr>
                <w:rFonts w:cs="Arial"/>
              </w:rPr>
              <w:t>Liz Hefren-Webb, First Assistant Secretary, Social Policy Division, Department of Prime Minister and Cabinet</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21.12.2016</w:t>
            </w:r>
          </w:p>
        </w:tc>
        <w:tc>
          <w:tcPr>
            <w:tcW w:w="5485" w:type="dxa"/>
          </w:tcPr>
          <w:p w:rsidR="001024BD" w:rsidRPr="00021DD2" w:rsidRDefault="001024BD" w:rsidP="001024BD">
            <w:pPr>
              <w:rPr>
                <w:rFonts w:cs="Arial"/>
              </w:rPr>
            </w:pPr>
            <w:r w:rsidRPr="00021DD2">
              <w:rPr>
                <w:rFonts w:cs="Arial"/>
              </w:rPr>
              <w:t>Nicholas Hudson, Advisor to the Hon Sussan Ley, Minister for Sport</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22.12.2016</w:t>
            </w:r>
          </w:p>
        </w:tc>
        <w:tc>
          <w:tcPr>
            <w:tcW w:w="5485" w:type="dxa"/>
          </w:tcPr>
          <w:p w:rsidR="001024BD" w:rsidRPr="00021DD2" w:rsidRDefault="001024BD" w:rsidP="001024BD">
            <w:pPr>
              <w:rPr>
                <w:rFonts w:cs="Arial"/>
              </w:rPr>
            </w:pPr>
            <w:r w:rsidRPr="00021DD2">
              <w:rPr>
                <w:rFonts w:cs="Arial"/>
              </w:rPr>
              <w:t>Arash Bordbar, Winner of the Young People</w:t>
            </w:r>
            <w:r w:rsidR="00B45A53" w:rsidRPr="00021DD2">
              <w:rPr>
                <w:rFonts w:cs="Arial"/>
              </w:rPr>
              <w:t>’</w:t>
            </w:r>
            <w:r w:rsidRPr="00021DD2">
              <w:rPr>
                <w:rFonts w:cs="Arial"/>
              </w:rPr>
              <w:t>s Human Rights Medal</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22.12.2016</w:t>
            </w:r>
          </w:p>
        </w:tc>
        <w:tc>
          <w:tcPr>
            <w:tcW w:w="5485" w:type="dxa"/>
          </w:tcPr>
          <w:p w:rsidR="001024BD" w:rsidRPr="00021DD2" w:rsidRDefault="001024BD" w:rsidP="006936CC">
            <w:pPr>
              <w:rPr>
                <w:rFonts w:cs="Arial"/>
              </w:rPr>
            </w:pPr>
            <w:r w:rsidRPr="00021DD2">
              <w:rPr>
                <w:rFonts w:cs="Arial"/>
              </w:rPr>
              <w:t xml:space="preserve">Bee Al-Darraj, </w:t>
            </w:r>
            <w:r w:rsidR="006936CC">
              <w:rPr>
                <w:rFonts w:cs="Arial"/>
              </w:rPr>
              <w:t>c</w:t>
            </w:r>
            <w:r w:rsidRPr="00021DD2">
              <w:rPr>
                <w:rFonts w:cs="Arial"/>
              </w:rPr>
              <w:t xml:space="preserve">hild </w:t>
            </w:r>
            <w:r w:rsidR="006936CC">
              <w:rPr>
                <w:rFonts w:cs="Arial"/>
              </w:rPr>
              <w:t>m</w:t>
            </w:r>
            <w:r w:rsidRPr="00021DD2">
              <w:rPr>
                <w:rFonts w:cs="Arial"/>
              </w:rPr>
              <w:t xml:space="preserve">arriage and </w:t>
            </w:r>
            <w:r w:rsidR="006936CC">
              <w:rPr>
                <w:rFonts w:cs="Arial"/>
              </w:rPr>
              <w:t>c</w:t>
            </w:r>
            <w:r w:rsidRPr="00021DD2">
              <w:rPr>
                <w:rFonts w:cs="Arial"/>
              </w:rPr>
              <w:t xml:space="preserve">hild </w:t>
            </w:r>
            <w:r w:rsidR="006936CC">
              <w:rPr>
                <w:rFonts w:cs="Arial"/>
              </w:rPr>
              <w:t>p</w:t>
            </w:r>
            <w:r w:rsidRPr="00021DD2">
              <w:rPr>
                <w:rFonts w:cs="Arial"/>
              </w:rPr>
              <w:t xml:space="preserve">rotection advocate </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11.01.2017</w:t>
            </w:r>
          </w:p>
        </w:tc>
        <w:tc>
          <w:tcPr>
            <w:tcW w:w="5485" w:type="dxa"/>
          </w:tcPr>
          <w:p w:rsidR="001024BD" w:rsidRPr="00021DD2" w:rsidRDefault="001024BD" w:rsidP="001024BD">
            <w:pPr>
              <w:rPr>
                <w:rFonts w:cs="Arial"/>
              </w:rPr>
            </w:pPr>
            <w:r w:rsidRPr="00021DD2">
              <w:rPr>
                <w:rFonts w:cs="Arial"/>
              </w:rPr>
              <w:t>Kerry Pinkstone, Senior Social Policy Advisor, Amy Dobbin, Advisor, Office of the Prime Minister</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18.01.2017</w:t>
            </w:r>
          </w:p>
        </w:tc>
        <w:tc>
          <w:tcPr>
            <w:tcW w:w="5485" w:type="dxa"/>
          </w:tcPr>
          <w:p w:rsidR="001024BD" w:rsidRPr="00021DD2" w:rsidRDefault="001024BD" w:rsidP="001024BD">
            <w:pPr>
              <w:rPr>
                <w:rFonts w:cs="Arial"/>
              </w:rPr>
            </w:pPr>
            <w:r w:rsidRPr="00021DD2">
              <w:rPr>
                <w:rFonts w:cs="Arial"/>
              </w:rPr>
              <w:t>Noelle Hudson, National Policy and Advocacy Manager, CREATE Foundation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19.01.2017</w:t>
            </w:r>
          </w:p>
        </w:tc>
        <w:tc>
          <w:tcPr>
            <w:tcW w:w="5485" w:type="dxa"/>
          </w:tcPr>
          <w:p w:rsidR="001024BD" w:rsidRPr="00021DD2" w:rsidRDefault="001024BD" w:rsidP="001024BD">
            <w:pPr>
              <w:rPr>
                <w:rFonts w:cs="Arial"/>
              </w:rPr>
            </w:pPr>
            <w:r w:rsidRPr="00021DD2">
              <w:rPr>
                <w:rFonts w:cs="Arial"/>
              </w:rPr>
              <w:t>Jennifer Evans, National Lead Child Protection, Australian Red Cross</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25.01.2017</w:t>
            </w:r>
          </w:p>
        </w:tc>
        <w:tc>
          <w:tcPr>
            <w:tcW w:w="5485" w:type="dxa"/>
          </w:tcPr>
          <w:p w:rsidR="001024BD" w:rsidRPr="00021DD2" w:rsidRDefault="001024BD" w:rsidP="001024BD">
            <w:pPr>
              <w:rPr>
                <w:rFonts w:cs="Arial"/>
              </w:rPr>
            </w:pPr>
            <w:r w:rsidRPr="00021DD2">
              <w:rPr>
                <w:rFonts w:cs="Arial"/>
              </w:rPr>
              <w:t>Child Inclusive Practice Relationship</w:t>
            </w:r>
            <w:r w:rsidR="00B45A53" w:rsidRPr="00021DD2">
              <w:rPr>
                <w:rFonts w:cs="Arial"/>
              </w:rPr>
              <w:t>s</w:t>
            </w:r>
            <w:r w:rsidRPr="00021DD2">
              <w:rPr>
                <w:rFonts w:cs="Arial"/>
              </w:rPr>
              <w:t xml:space="preserve"> Australia</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27.01.2017</w:t>
            </w:r>
          </w:p>
        </w:tc>
        <w:tc>
          <w:tcPr>
            <w:tcW w:w="5485" w:type="dxa"/>
          </w:tcPr>
          <w:p w:rsidR="001024BD" w:rsidRPr="00021DD2" w:rsidRDefault="001024BD" w:rsidP="001024BD">
            <w:pPr>
              <w:rPr>
                <w:rFonts w:cs="Arial"/>
              </w:rPr>
            </w:pPr>
            <w:r w:rsidRPr="00021DD2">
              <w:rPr>
                <w:rFonts w:cs="Arial"/>
              </w:rPr>
              <w:t>Executive Roundtable with the Department of Immigration and Border Protection</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01.02.2017</w:t>
            </w:r>
          </w:p>
        </w:tc>
        <w:tc>
          <w:tcPr>
            <w:tcW w:w="5485" w:type="dxa"/>
          </w:tcPr>
          <w:p w:rsidR="001024BD" w:rsidRPr="00021DD2" w:rsidRDefault="001024BD" w:rsidP="001024BD">
            <w:pPr>
              <w:rPr>
                <w:rFonts w:cs="Arial"/>
              </w:rPr>
            </w:pPr>
            <w:r w:rsidRPr="00021DD2">
              <w:rPr>
                <w:rFonts w:cs="Arial"/>
              </w:rPr>
              <w:t>Noelle Hudson, National Policy and Advocacy Manager, CREATE Foundation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02.02.2017</w:t>
            </w:r>
          </w:p>
        </w:tc>
        <w:tc>
          <w:tcPr>
            <w:tcW w:w="5485" w:type="dxa"/>
          </w:tcPr>
          <w:p w:rsidR="001024BD" w:rsidRPr="00021DD2" w:rsidRDefault="001024BD" w:rsidP="001024BD">
            <w:pPr>
              <w:rPr>
                <w:rFonts w:cs="Arial"/>
              </w:rPr>
            </w:pPr>
            <w:r w:rsidRPr="00021DD2">
              <w:rPr>
                <w:rFonts w:cs="Arial"/>
              </w:rPr>
              <w:t>Key Challenges in Children’s Rights Workshop</w:t>
            </w:r>
          </w:p>
        </w:tc>
        <w:tc>
          <w:tcPr>
            <w:tcW w:w="2024" w:type="dxa"/>
          </w:tcPr>
          <w:p w:rsidR="001024BD" w:rsidRPr="00021DD2" w:rsidRDefault="001024BD" w:rsidP="001024BD">
            <w:pPr>
              <w:rPr>
                <w:rFonts w:cs="Arial"/>
              </w:rPr>
            </w:pPr>
            <w:r w:rsidRPr="00021DD2">
              <w:rPr>
                <w:rFonts w:cs="Arial"/>
              </w:rPr>
              <w:t>UNSW, NSW</w:t>
            </w:r>
          </w:p>
        </w:tc>
      </w:tr>
      <w:tr w:rsidR="001024BD" w:rsidRPr="00021DD2" w:rsidTr="00E34166">
        <w:tc>
          <w:tcPr>
            <w:tcW w:w="1551" w:type="dxa"/>
          </w:tcPr>
          <w:p w:rsidR="001024BD" w:rsidRPr="00021DD2" w:rsidRDefault="001024BD" w:rsidP="001024BD">
            <w:pPr>
              <w:rPr>
                <w:rFonts w:cs="Arial"/>
              </w:rPr>
            </w:pPr>
            <w:r w:rsidRPr="00021DD2">
              <w:rPr>
                <w:rFonts w:cs="Arial"/>
              </w:rPr>
              <w:t>06.02.2017</w:t>
            </w:r>
          </w:p>
        </w:tc>
        <w:tc>
          <w:tcPr>
            <w:tcW w:w="5485" w:type="dxa"/>
          </w:tcPr>
          <w:p w:rsidR="001024BD" w:rsidRPr="00021DD2" w:rsidRDefault="001024BD" w:rsidP="001024BD">
            <w:pPr>
              <w:rPr>
                <w:rFonts w:cs="Arial"/>
              </w:rPr>
            </w:pPr>
            <w:r w:rsidRPr="00021DD2">
              <w:rPr>
                <w:rFonts w:cs="Arial"/>
              </w:rPr>
              <w:t>Andrew Johnson, Advocate of Children and Young People NSW</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07.02.2017</w:t>
            </w:r>
          </w:p>
        </w:tc>
        <w:tc>
          <w:tcPr>
            <w:tcW w:w="5485" w:type="dxa"/>
          </w:tcPr>
          <w:p w:rsidR="001024BD" w:rsidRPr="00021DD2" w:rsidRDefault="001024BD" w:rsidP="001024BD">
            <w:pPr>
              <w:rPr>
                <w:rFonts w:cs="Arial"/>
              </w:rPr>
            </w:pPr>
            <w:r w:rsidRPr="00021DD2">
              <w:rPr>
                <w:rFonts w:cs="Arial"/>
              </w:rPr>
              <w:t>Professor Brad Frankum, President, Fiona Davies, CEO, Australian Medical Association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09.02.2017</w:t>
            </w:r>
          </w:p>
        </w:tc>
        <w:tc>
          <w:tcPr>
            <w:tcW w:w="5485" w:type="dxa"/>
          </w:tcPr>
          <w:p w:rsidR="001024BD" w:rsidRPr="00021DD2" w:rsidRDefault="001024BD" w:rsidP="001024BD">
            <w:pPr>
              <w:rPr>
                <w:rFonts w:cs="Arial"/>
              </w:rPr>
            </w:pPr>
            <w:r w:rsidRPr="00021DD2">
              <w:rPr>
                <w:rFonts w:cs="Arial"/>
              </w:rPr>
              <w:t>Donna Mayhew, Principal Advisor, South Australian Ombudsman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10.02.2017</w:t>
            </w:r>
          </w:p>
        </w:tc>
        <w:tc>
          <w:tcPr>
            <w:tcW w:w="5485" w:type="dxa"/>
          </w:tcPr>
          <w:p w:rsidR="001024BD" w:rsidRPr="00021DD2" w:rsidRDefault="001024BD" w:rsidP="001024BD">
            <w:pPr>
              <w:rPr>
                <w:rFonts w:cs="Arial"/>
              </w:rPr>
            </w:pPr>
            <w:r w:rsidRPr="00021DD2">
              <w:rPr>
                <w:rFonts w:cs="Arial"/>
              </w:rPr>
              <w:t>Try Test Learn Policy Hack, Department of Social Services</w:t>
            </w:r>
          </w:p>
        </w:tc>
        <w:tc>
          <w:tcPr>
            <w:tcW w:w="2024" w:type="dxa"/>
          </w:tcPr>
          <w:p w:rsidR="001024BD" w:rsidRPr="00021DD2" w:rsidRDefault="001024BD" w:rsidP="001024BD">
            <w:pPr>
              <w:rPr>
                <w:rFonts w:cs="Arial"/>
              </w:rPr>
            </w:pPr>
            <w:r w:rsidRPr="00021DD2">
              <w:rPr>
                <w:rFonts w:cs="Arial"/>
              </w:rPr>
              <w:t>Melbourne, V</w:t>
            </w:r>
            <w:r w:rsidR="00551649">
              <w:rPr>
                <w:rFonts w:cs="Arial"/>
              </w:rPr>
              <w:t>ic</w:t>
            </w:r>
          </w:p>
        </w:tc>
      </w:tr>
      <w:tr w:rsidR="001024BD" w:rsidRPr="00021DD2" w:rsidTr="00E34166">
        <w:tc>
          <w:tcPr>
            <w:tcW w:w="1551" w:type="dxa"/>
          </w:tcPr>
          <w:p w:rsidR="001024BD" w:rsidRPr="00021DD2" w:rsidRDefault="001024BD" w:rsidP="001024BD">
            <w:pPr>
              <w:rPr>
                <w:rFonts w:cs="Arial"/>
              </w:rPr>
            </w:pPr>
            <w:r w:rsidRPr="00021DD2">
              <w:rPr>
                <w:rFonts w:cs="Arial"/>
              </w:rPr>
              <w:t>13.02.2017</w:t>
            </w:r>
          </w:p>
        </w:tc>
        <w:tc>
          <w:tcPr>
            <w:tcW w:w="5485" w:type="dxa"/>
          </w:tcPr>
          <w:p w:rsidR="001024BD" w:rsidRPr="00021DD2" w:rsidRDefault="001024BD" w:rsidP="001024BD">
            <w:pPr>
              <w:rPr>
                <w:rFonts w:cs="Arial"/>
              </w:rPr>
            </w:pPr>
            <w:r w:rsidRPr="00021DD2">
              <w:rPr>
                <w:rFonts w:cs="Arial"/>
              </w:rPr>
              <w:t>Kris Cala, Branch Manager, Children’s Policy Branch, Department of Social Services</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13.02.2017</w:t>
            </w:r>
          </w:p>
        </w:tc>
        <w:tc>
          <w:tcPr>
            <w:tcW w:w="5485" w:type="dxa"/>
          </w:tcPr>
          <w:p w:rsidR="001024BD" w:rsidRPr="00021DD2" w:rsidRDefault="001024BD" w:rsidP="001024BD">
            <w:pPr>
              <w:rPr>
                <w:rFonts w:cs="Arial"/>
              </w:rPr>
            </w:pPr>
            <w:r w:rsidRPr="00021DD2">
              <w:rPr>
                <w:rFonts w:cs="Arial"/>
              </w:rPr>
              <w:t>Barbara Bennett, Deputy Secretary, Families and Communities, Department of Social Services</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14.02.2017</w:t>
            </w:r>
          </w:p>
        </w:tc>
        <w:tc>
          <w:tcPr>
            <w:tcW w:w="5485" w:type="dxa"/>
          </w:tcPr>
          <w:p w:rsidR="001024BD" w:rsidRPr="00021DD2" w:rsidRDefault="001024BD" w:rsidP="001024BD">
            <w:pPr>
              <w:rPr>
                <w:rFonts w:cs="Arial"/>
              </w:rPr>
            </w:pPr>
            <w:r w:rsidRPr="00021DD2">
              <w:rPr>
                <w:rFonts w:cs="Arial"/>
              </w:rPr>
              <w:t xml:space="preserve">Dr Dubravka Simonovic, UN Special Rapporteur on </w:t>
            </w:r>
            <w:r w:rsidR="006936CC">
              <w:rPr>
                <w:rFonts w:cs="Arial"/>
              </w:rPr>
              <w:t>V</w:t>
            </w:r>
            <w:r w:rsidRPr="00021DD2">
              <w:rPr>
                <w:rFonts w:cs="Arial"/>
              </w:rPr>
              <w:t xml:space="preserve">iolence against </w:t>
            </w:r>
            <w:r w:rsidR="006936CC">
              <w:rPr>
                <w:rFonts w:cs="Arial"/>
              </w:rPr>
              <w:t>W</w:t>
            </w:r>
            <w:r w:rsidRPr="00021DD2">
              <w:rPr>
                <w:rFonts w:cs="Arial"/>
              </w:rPr>
              <w:t>omen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14.02.2017</w:t>
            </w:r>
          </w:p>
        </w:tc>
        <w:tc>
          <w:tcPr>
            <w:tcW w:w="5485" w:type="dxa"/>
          </w:tcPr>
          <w:p w:rsidR="001024BD" w:rsidRPr="00021DD2" w:rsidRDefault="001024BD" w:rsidP="001024BD">
            <w:pPr>
              <w:rPr>
                <w:rFonts w:cs="Arial"/>
              </w:rPr>
            </w:pPr>
            <w:r w:rsidRPr="00021DD2">
              <w:rPr>
                <w:rFonts w:cs="Arial"/>
              </w:rPr>
              <w:t>National Forum for Protecting Australia’s Children, Strategy 3 Working Group, Third Action Plan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15.02.2017</w:t>
            </w:r>
          </w:p>
        </w:tc>
        <w:tc>
          <w:tcPr>
            <w:tcW w:w="5485" w:type="dxa"/>
          </w:tcPr>
          <w:p w:rsidR="001024BD" w:rsidRPr="00021DD2" w:rsidRDefault="001024BD" w:rsidP="001024BD">
            <w:pPr>
              <w:rPr>
                <w:rFonts w:cs="Arial"/>
              </w:rPr>
            </w:pPr>
            <w:r w:rsidRPr="00021DD2">
              <w:rPr>
                <w:rFonts w:cs="Arial"/>
              </w:rPr>
              <w:t>Dr Brian Babington, CEO, Families Australia</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15.02.2017</w:t>
            </w:r>
          </w:p>
        </w:tc>
        <w:tc>
          <w:tcPr>
            <w:tcW w:w="5485" w:type="dxa"/>
          </w:tcPr>
          <w:p w:rsidR="001024BD" w:rsidRPr="00021DD2" w:rsidRDefault="001024BD" w:rsidP="001024BD">
            <w:pPr>
              <w:rPr>
                <w:rFonts w:cs="Arial"/>
              </w:rPr>
            </w:pPr>
            <w:r w:rsidRPr="00021DD2">
              <w:rPr>
                <w:rFonts w:cs="Arial"/>
              </w:rPr>
              <w:t>David Norris, Acting Assistant Secretary, Child Wellbeing Branch, Australian Border Force</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15.02.2017</w:t>
            </w:r>
          </w:p>
        </w:tc>
        <w:tc>
          <w:tcPr>
            <w:tcW w:w="5485" w:type="dxa"/>
          </w:tcPr>
          <w:p w:rsidR="001024BD" w:rsidRPr="00021DD2" w:rsidRDefault="001024BD" w:rsidP="001024BD">
            <w:pPr>
              <w:rPr>
                <w:rFonts w:cs="Arial"/>
              </w:rPr>
            </w:pPr>
            <w:r w:rsidRPr="00021DD2">
              <w:rPr>
                <w:rFonts w:cs="Arial"/>
              </w:rPr>
              <w:t>Child Protection Panel Briefing, Department of Immigration and Border Protection</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16.02.2017</w:t>
            </w:r>
          </w:p>
        </w:tc>
        <w:tc>
          <w:tcPr>
            <w:tcW w:w="5485" w:type="dxa"/>
          </w:tcPr>
          <w:p w:rsidR="001024BD" w:rsidRPr="00021DD2" w:rsidRDefault="001024BD" w:rsidP="001024BD">
            <w:pPr>
              <w:rPr>
                <w:rFonts w:cs="Arial"/>
              </w:rPr>
            </w:pPr>
            <w:r w:rsidRPr="00021DD2">
              <w:rPr>
                <w:rFonts w:cs="Arial"/>
              </w:rPr>
              <w:t>Roslyn Baxter, Families Group Manager, Department of Social Services</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16.02.2017</w:t>
            </w:r>
          </w:p>
        </w:tc>
        <w:tc>
          <w:tcPr>
            <w:tcW w:w="5485" w:type="dxa"/>
          </w:tcPr>
          <w:p w:rsidR="001024BD" w:rsidRPr="00021DD2" w:rsidRDefault="001024BD" w:rsidP="001024BD">
            <w:pPr>
              <w:rPr>
                <w:rFonts w:cs="Arial"/>
              </w:rPr>
            </w:pPr>
            <w:r w:rsidRPr="00021DD2">
              <w:rPr>
                <w:rFonts w:cs="Arial"/>
              </w:rPr>
              <w:t>Kris Cala, Branch Manager, Deborah Tkalcevic, Assistant Director, Melek Byrne, Director, Children’s Policy Branch, Department of Social Services</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16.02.2017</w:t>
            </w:r>
          </w:p>
        </w:tc>
        <w:tc>
          <w:tcPr>
            <w:tcW w:w="5485" w:type="dxa"/>
          </w:tcPr>
          <w:p w:rsidR="001024BD" w:rsidRPr="00021DD2" w:rsidRDefault="001024BD" w:rsidP="001024BD">
            <w:pPr>
              <w:rPr>
                <w:rFonts w:cs="Arial"/>
              </w:rPr>
            </w:pPr>
            <w:r w:rsidRPr="00021DD2">
              <w:rPr>
                <w:rFonts w:cs="Arial"/>
              </w:rPr>
              <w:t>Senator the Hon Zed Seselja, Assistant Minister for Social Services and Multicultural Affairs</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16.02.2017</w:t>
            </w:r>
          </w:p>
        </w:tc>
        <w:tc>
          <w:tcPr>
            <w:tcW w:w="5485" w:type="dxa"/>
          </w:tcPr>
          <w:p w:rsidR="001024BD" w:rsidRPr="00021DD2" w:rsidRDefault="001024BD" w:rsidP="006936CC">
            <w:pPr>
              <w:rPr>
                <w:rFonts w:cs="Arial"/>
              </w:rPr>
            </w:pPr>
            <w:r w:rsidRPr="00021DD2">
              <w:rPr>
                <w:rFonts w:cs="Arial"/>
              </w:rPr>
              <w:t>Senator the Hon Rachel Siewert, Senator for Western Australia</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16.02.2017</w:t>
            </w:r>
          </w:p>
        </w:tc>
        <w:tc>
          <w:tcPr>
            <w:tcW w:w="5485" w:type="dxa"/>
          </w:tcPr>
          <w:p w:rsidR="001024BD" w:rsidRPr="00021DD2" w:rsidRDefault="001024BD" w:rsidP="001024BD">
            <w:pPr>
              <w:rPr>
                <w:rFonts w:cs="Arial"/>
              </w:rPr>
            </w:pPr>
            <w:r w:rsidRPr="00021DD2">
              <w:rPr>
                <w:rFonts w:cs="Arial"/>
              </w:rPr>
              <w:t>Murray Kimber, Branch Manager, Investment Approach Taskforce, Department of Social Services</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17.02.2017</w:t>
            </w:r>
          </w:p>
        </w:tc>
        <w:tc>
          <w:tcPr>
            <w:tcW w:w="5485" w:type="dxa"/>
          </w:tcPr>
          <w:p w:rsidR="001024BD" w:rsidRPr="00021DD2" w:rsidRDefault="001024BD" w:rsidP="001024BD">
            <w:pPr>
              <w:rPr>
                <w:rFonts w:cs="Arial"/>
              </w:rPr>
            </w:pPr>
            <w:r w:rsidRPr="00021DD2">
              <w:rPr>
                <w:rFonts w:cs="Arial"/>
              </w:rPr>
              <w:t>Dr Chris Perry, Associate Professor, Consultant in Oto-Laryngology/Head and Neck Surgery, University of Queensland</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20.02.2017</w:t>
            </w:r>
          </w:p>
        </w:tc>
        <w:tc>
          <w:tcPr>
            <w:tcW w:w="5485" w:type="dxa"/>
          </w:tcPr>
          <w:p w:rsidR="001024BD" w:rsidRPr="00021DD2" w:rsidRDefault="001024BD" w:rsidP="001024BD">
            <w:pPr>
              <w:rPr>
                <w:rFonts w:cs="Arial"/>
              </w:rPr>
            </w:pPr>
            <w:r w:rsidRPr="00021DD2">
              <w:rPr>
                <w:rFonts w:cs="Arial"/>
              </w:rPr>
              <w:t>Identity Document Working Group</w:t>
            </w:r>
            <w:r w:rsidR="006936CC">
              <w:rPr>
                <w:rFonts w:cs="Arial"/>
              </w:rPr>
              <w:t>, National Forum for Protecting Australia’s Children, Third Action Plan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20.02.2017</w:t>
            </w:r>
          </w:p>
        </w:tc>
        <w:tc>
          <w:tcPr>
            <w:tcW w:w="5485" w:type="dxa"/>
          </w:tcPr>
          <w:p w:rsidR="001024BD" w:rsidRPr="00021DD2" w:rsidRDefault="001024BD" w:rsidP="001024BD">
            <w:pPr>
              <w:rPr>
                <w:rFonts w:cs="Arial"/>
              </w:rPr>
            </w:pPr>
            <w:r w:rsidRPr="00021DD2">
              <w:rPr>
                <w:rFonts w:cs="Arial"/>
              </w:rPr>
              <w:t>The Hon Jenny Macklin MP, Member of Jagajaga</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21.02.2017</w:t>
            </w:r>
          </w:p>
        </w:tc>
        <w:tc>
          <w:tcPr>
            <w:tcW w:w="5485" w:type="dxa"/>
          </w:tcPr>
          <w:p w:rsidR="001024BD" w:rsidRPr="00021DD2" w:rsidRDefault="001024BD" w:rsidP="001024BD">
            <w:pPr>
              <w:rPr>
                <w:rFonts w:cs="Arial"/>
              </w:rPr>
            </w:pPr>
            <w:r w:rsidRPr="00021DD2">
              <w:rPr>
                <w:rFonts w:cs="Arial"/>
              </w:rPr>
              <w:t>Gerry Moore, CEO and Peter Lewis, Acting Deputy CEO, SNAICC</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22.02.2017</w:t>
            </w:r>
          </w:p>
        </w:tc>
        <w:tc>
          <w:tcPr>
            <w:tcW w:w="5485" w:type="dxa"/>
          </w:tcPr>
          <w:p w:rsidR="001024BD" w:rsidRPr="00021DD2" w:rsidRDefault="001024BD" w:rsidP="001024BD">
            <w:pPr>
              <w:rPr>
                <w:rFonts w:cs="Arial"/>
              </w:rPr>
            </w:pPr>
            <w:r w:rsidRPr="00021DD2">
              <w:rPr>
                <w:rFonts w:cs="Arial"/>
              </w:rPr>
              <w:t>Goodstart Early Childhood Learning and Care Reference Committee Meeting</w:t>
            </w:r>
          </w:p>
        </w:tc>
        <w:tc>
          <w:tcPr>
            <w:tcW w:w="2024" w:type="dxa"/>
          </w:tcPr>
          <w:p w:rsidR="001024BD" w:rsidRPr="00021DD2" w:rsidRDefault="001024BD" w:rsidP="001024BD">
            <w:pPr>
              <w:rPr>
                <w:rFonts w:cs="Arial"/>
              </w:rPr>
            </w:pPr>
            <w:r w:rsidRPr="00021DD2">
              <w:rPr>
                <w:rFonts w:cs="Arial"/>
              </w:rPr>
              <w:t xml:space="preserve">Melbourne, </w:t>
            </w:r>
            <w:r w:rsidR="00551649">
              <w:rPr>
                <w:rFonts w:cs="Arial"/>
              </w:rPr>
              <w:t>Vic</w:t>
            </w:r>
          </w:p>
        </w:tc>
      </w:tr>
      <w:tr w:rsidR="001024BD" w:rsidRPr="00021DD2" w:rsidTr="00E34166">
        <w:tc>
          <w:tcPr>
            <w:tcW w:w="1551" w:type="dxa"/>
          </w:tcPr>
          <w:p w:rsidR="001024BD" w:rsidRPr="00021DD2" w:rsidRDefault="001024BD" w:rsidP="001024BD">
            <w:pPr>
              <w:rPr>
                <w:rFonts w:cs="Arial"/>
              </w:rPr>
            </w:pPr>
            <w:r w:rsidRPr="00021DD2">
              <w:rPr>
                <w:rFonts w:cs="Arial"/>
              </w:rPr>
              <w:t>23.02.2017</w:t>
            </w:r>
          </w:p>
        </w:tc>
        <w:tc>
          <w:tcPr>
            <w:tcW w:w="5485" w:type="dxa"/>
          </w:tcPr>
          <w:p w:rsidR="001024BD" w:rsidRPr="00021DD2" w:rsidRDefault="001024BD" w:rsidP="001024BD">
            <w:pPr>
              <w:rPr>
                <w:rFonts w:cs="Arial"/>
              </w:rPr>
            </w:pPr>
            <w:r w:rsidRPr="00021DD2">
              <w:rPr>
                <w:rFonts w:cs="Arial"/>
              </w:rPr>
              <w:t>Lara Scott, Team Leader, Pia van de Zandt, General Manager of Engagement and Support, Tarina Russell, Policy Manager and Tamara Moffat, Senior Policy Officer, Policy and Research, Royal Commission into Institutional Responses to Child Sexual Abuse</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02.03.2017</w:t>
            </w:r>
          </w:p>
        </w:tc>
        <w:tc>
          <w:tcPr>
            <w:tcW w:w="5485" w:type="dxa"/>
          </w:tcPr>
          <w:p w:rsidR="001024BD" w:rsidRPr="00021DD2" w:rsidRDefault="00A35E2A" w:rsidP="001024BD">
            <w:pPr>
              <w:rPr>
                <w:rFonts w:cs="Arial"/>
              </w:rPr>
            </w:pPr>
            <w:r w:rsidRPr="00021DD2">
              <w:rPr>
                <w:rFonts w:cs="Arial"/>
              </w:rPr>
              <w:t>Youth consultation,</w:t>
            </w:r>
            <w:r w:rsidR="001024BD" w:rsidRPr="00021DD2">
              <w:rPr>
                <w:rFonts w:cs="Arial"/>
              </w:rPr>
              <w:t xml:space="preserve"> Goodstart Early Learning</w:t>
            </w:r>
          </w:p>
        </w:tc>
        <w:tc>
          <w:tcPr>
            <w:tcW w:w="2024" w:type="dxa"/>
          </w:tcPr>
          <w:p w:rsidR="001024BD" w:rsidRPr="00021DD2" w:rsidRDefault="001024BD" w:rsidP="001024BD">
            <w:pPr>
              <w:rPr>
                <w:rFonts w:cs="Arial"/>
              </w:rPr>
            </w:pPr>
            <w:r w:rsidRPr="00021DD2">
              <w:rPr>
                <w:rFonts w:cs="Arial"/>
              </w:rPr>
              <w:t>Innisfail, Q</w:t>
            </w:r>
            <w:r w:rsidR="00854C2F">
              <w:rPr>
                <w:rFonts w:cs="Arial"/>
              </w:rPr>
              <w:t>ld</w:t>
            </w:r>
          </w:p>
        </w:tc>
      </w:tr>
      <w:tr w:rsidR="001024BD" w:rsidRPr="00021DD2" w:rsidTr="00E34166">
        <w:tc>
          <w:tcPr>
            <w:tcW w:w="1551" w:type="dxa"/>
          </w:tcPr>
          <w:p w:rsidR="001024BD" w:rsidRPr="00021DD2" w:rsidRDefault="001024BD" w:rsidP="001024BD">
            <w:pPr>
              <w:rPr>
                <w:rFonts w:cs="Arial"/>
              </w:rPr>
            </w:pPr>
            <w:r w:rsidRPr="00021DD2">
              <w:rPr>
                <w:rFonts w:cs="Arial"/>
              </w:rPr>
              <w:t>06.03.2017</w:t>
            </w:r>
          </w:p>
        </w:tc>
        <w:tc>
          <w:tcPr>
            <w:tcW w:w="5485" w:type="dxa"/>
          </w:tcPr>
          <w:p w:rsidR="001024BD" w:rsidRPr="00021DD2" w:rsidRDefault="001024BD" w:rsidP="001024BD">
            <w:pPr>
              <w:rPr>
                <w:rFonts w:cs="Arial"/>
              </w:rPr>
            </w:pPr>
            <w:r w:rsidRPr="00021DD2">
              <w:rPr>
                <w:rFonts w:cs="Arial"/>
              </w:rPr>
              <w:t>The Hon Tanya Plibersek, Deputy Leader of the Opposition, Member for Sydney</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07.03.2016</w:t>
            </w:r>
          </w:p>
        </w:tc>
        <w:tc>
          <w:tcPr>
            <w:tcW w:w="5485" w:type="dxa"/>
          </w:tcPr>
          <w:p w:rsidR="001024BD" w:rsidRPr="00021DD2" w:rsidRDefault="001024BD" w:rsidP="001024BD">
            <w:pPr>
              <w:rPr>
                <w:rFonts w:cs="Arial"/>
              </w:rPr>
            </w:pPr>
            <w:r w:rsidRPr="00021DD2">
              <w:rPr>
                <w:rFonts w:cs="Arial"/>
              </w:rPr>
              <w:t>Joint meeting of ImpEG and the National Forum for Protecting Australia’s Children</w:t>
            </w:r>
          </w:p>
        </w:tc>
        <w:tc>
          <w:tcPr>
            <w:tcW w:w="2024" w:type="dxa"/>
          </w:tcPr>
          <w:p w:rsidR="001024BD" w:rsidRPr="00021DD2" w:rsidRDefault="001024BD" w:rsidP="001024BD">
            <w:pPr>
              <w:rPr>
                <w:rFonts w:cs="Arial"/>
              </w:rPr>
            </w:pPr>
            <w:r w:rsidRPr="00021DD2">
              <w:rPr>
                <w:rFonts w:cs="Arial"/>
              </w:rPr>
              <w:t>Melbourne, V</w:t>
            </w:r>
            <w:r w:rsidR="00854C2F">
              <w:rPr>
                <w:rFonts w:cs="Arial"/>
              </w:rPr>
              <w:t>ic</w:t>
            </w:r>
          </w:p>
        </w:tc>
      </w:tr>
      <w:tr w:rsidR="001024BD" w:rsidRPr="00021DD2" w:rsidTr="00E34166">
        <w:tc>
          <w:tcPr>
            <w:tcW w:w="1551" w:type="dxa"/>
          </w:tcPr>
          <w:p w:rsidR="001024BD" w:rsidRPr="00021DD2" w:rsidRDefault="001024BD" w:rsidP="001024BD">
            <w:pPr>
              <w:rPr>
                <w:rFonts w:cs="Arial"/>
              </w:rPr>
            </w:pPr>
            <w:r w:rsidRPr="00021DD2">
              <w:rPr>
                <w:rFonts w:cs="Arial"/>
              </w:rPr>
              <w:t>08.03.2017</w:t>
            </w:r>
          </w:p>
        </w:tc>
        <w:tc>
          <w:tcPr>
            <w:tcW w:w="5485" w:type="dxa"/>
          </w:tcPr>
          <w:p w:rsidR="001024BD" w:rsidRPr="00021DD2" w:rsidRDefault="001024BD" w:rsidP="001024BD">
            <w:pPr>
              <w:rPr>
                <w:rFonts w:cs="Arial"/>
              </w:rPr>
            </w:pPr>
            <w:r w:rsidRPr="00021DD2">
              <w:rPr>
                <w:rFonts w:cs="Arial"/>
              </w:rPr>
              <w:t>National Forum for Protecting Australia’s Children</w:t>
            </w:r>
          </w:p>
        </w:tc>
        <w:tc>
          <w:tcPr>
            <w:tcW w:w="2024" w:type="dxa"/>
          </w:tcPr>
          <w:p w:rsidR="001024BD" w:rsidRPr="00021DD2" w:rsidRDefault="001024BD" w:rsidP="001024BD">
            <w:pPr>
              <w:rPr>
                <w:rFonts w:cs="Arial"/>
              </w:rPr>
            </w:pPr>
            <w:r w:rsidRPr="00021DD2">
              <w:rPr>
                <w:rFonts w:cs="Arial"/>
              </w:rPr>
              <w:t>Melbourne, V</w:t>
            </w:r>
            <w:r w:rsidR="00854C2F">
              <w:rPr>
                <w:rFonts w:cs="Arial"/>
              </w:rPr>
              <w:t>ic</w:t>
            </w:r>
          </w:p>
        </w:tc>
      </w:tr>
      <w:tr w:rsidR="001024BD" w:rsidRPr="00021DD2" w:rsidTr="00E34166">
        <w:tc>
          <w:tcPr>
            <w:tcW w:w="1551" w:type="dxa"/>
          </w:tcPr>
          <w:p w:rsidR="001024BD" w:rsidRPr="00021DD2" w:rsidRDefault="001024BD" w:rsidP="001024BD">
            <w:pPr>
              <w:rPr>
                <w:rFonts w:cs="Arial"/>
              </w:rPr>
            </w:pPr>
            <w:r w:rsidRPr="00021DD2">
              <w:rPr>
                <w:rFonts w:cs="Arial"/>
              </w:rPr>
              <w:t>08.03.2017</w:t>
            </w:r>
          </w:p>
        </w:tc>
        <w:tc>
          <w:tcPr>
            <w:tcW w:w="5485" w:type="dxa"/>
          </w:tcPr>
          <w:p w:rsidR="001024BD" w:rsidRPr="00021DD2" w:rsidRDefault="001024BD" w:rsidP="001024BD">
            <w:pPr>
              <w:rPr>
                <w:rFonts w:cs="Arial"/>
              </w:rPr>
            </w:pPr>
            <w:r w:rsidRPr="00021DD2">
              <w:rPr>
                <w:rFonts w:cs="Arial"/>
              </w:rPr>
              <w:t>Australian Sport Sector Digital Strategy Workshop</w:t>
            </w:r>
          </w:p>
        </w:tc>
        <w:tc>
          <w:tcPr>
            <w:tcW w:w="2024" w:type="dxa"/>
          </w:tcPr>
          <w:p w:rsidR="001024BD" w:rsidRPr="00021DD2" w:rsidRDefault="001024BD" w:rsidP="001024BD">
            <w:pPr>
              <w:rPr>
                <w:rFonts w:cs="Arial"/>
              </w:rPr>
            </w:pPr>
            <w:r w:rsidRPr="00021DD2">
              <w:rPr>
                <w:rFonts w:cs="Arial"/>
              </w:rPr>
              <w:t>Melbourne, V</w:t>
            </w:r>
            <w:r w:rsidR="00854C2F">
              <w:rPr>
                <w:rFonts w:cs="Arial"/>
              </w:rPr>
              <w:t>ic</w:t>
            </w:r>
          </w:p>
        </w:tc>
      </w:tr>
      <w:tr w:rsidR="001024BD" w:rsidRPr="00021DD2" w:rsidTr="00E34166">
        <w:tc>
          <w:tcPr>
            <w:tcW w:w="1551" w:type="dxa"/>
          </w:tcPr>
          <w:p w:rsidR="001024BD" w:rsidRPr="00021DD2" w:rsidRDefault="001024BD" w:rsidP="001024BD">
            <w:pPr>
              <w:rPr>
                <w:rFonts w:cs="Arial"/>
              </w:rPr>
            </w:pPr>
            <w:r w:rsidRPr="00021DD2">
              <w:rPr>
                <w:rFonts w:cs="Arial"/>
              </w:rPr>
              <w:t>15.03.2017</w:t>
            </w:r>
          </w:p>
        </w:tc>
        <w:tc>
          <w:tcPr>
            <w:tcW w:w="5485" w:type="dxa"/>
          </w:tcPr>
          <w:p w:rsidR="001024BD" w:rsidRPr="00021DD2" w:rsidRDefault="001024BD" w:rsidP="001024BD">
            <w:pPr>
              <w:rPr>
                <w:rFonts w:cs="Arial"/>
              </w:rPr>
            </w:pPr>
            <w:r w:rsidRPr="00021DD2">
              <w:rPr>
                <w:rFonts w:cs="Arial"/>
              </w:rPr>
              <w:t>Julie Inman Grant, eSafety Commissioner</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17.03.2017</w:t>
            </w:r>
          </w:p>
        </w:tc>
        <w:tc>
          <w:tcPr>
            <w:tcW w:w="5485" w:type="dxa"/>
          </w:tcPr>
          <w:p w:rsidR="001024BD" w:rsidRPr="00021DD2" w:rsidRDefault="001024BD" w:rsidP="001024BD">
            <w:pPr>
              <w:rPr>
                <w:rFonts w:cs="Arial"/>
              </w:rPr>
            </w:pPr>
            <w:r w:rsidRPr="00021DD2">
              <w:rPr>
                <w:rFonts w:cs="Arial"/>
              </w:rPr>
              <w:t xml:space="preserve">Colin Pettit, Commissioner for Children and Young People Western Australia and Mark Morrissey, Commissioner for Children Tasmania </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17.03.2017</w:t>
            </w:r>
          </w:p>
        </w:tc>
        <w:tc>
          <w:tcPr>
            <w:tcW w:w="5485" w:type="dxa"/>
          </w:tcPr>
          <w:p w:rsidR="001024BD" w:rsidRPr="00021DD2" w:rsidRDefault="001024BD" w:rsidP="001024BD">
            <w:pPr>
              <w:rPr>
                <w:rFonts w:cs="Arial"/>
              </w:rPr>
            </w:pPr>
            <w:r w:rsidRPr="00021DD2">
              <w:rPr>
                <w:rFonts w:cs="Arial"/>
              </w:rPr>
              <w:t>Australian Council of Human Rights Agencies (ACHRA)</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20.03.2017</w:t>
            </w:r>
          </w:p>
        </w:tc>
        <w:tc>
          <w:tcPr>
            <w:tcW w:w="5485" w:type="dxa"/>
          </w:tcPr>
          <w:p w:rsidR="001024BD" w:rsidRPr="00021DD2" w:rsidRDefault="001024BD" w:rsidP="006936CC">
            <w:pPr>
              <w:rPr>
                <w:rFonts w:cs="Arial"/>
              </w:rPr>
            </w:pPr>
            <w:r w:rsidRPr="00021DD2">
              <w:rPr>
                <w:rFonts w:cs="Arial"/>
              </w:rPr>
              <w:t>MacKillop College Port Ma</w:t>
            </w:r>
            <w:r w:rsidR="00C576DD">
              <w:rPr>
                <w:rFonts w:cs="Arial"/>
              </w:rPr>
              <w:t>c</w:t>
            </w:r>
            <w:r w:rsidRPr="00021DD2">
              <w:rPr>
                <w:rFonts w:cs="Arial"/>
              </w:rPr>
              <w:t xml:space="preserve">quarie </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23.03.2017</w:t>
            </w:r>
          </w:p>
        </w:tc>
        <w:tc>
          <w:tcPr>
            <w:tcW w:w="5485" w:type="dxa"/>
          </w:tcPr>
          <w:p w:rsidR="001024BD" w:rsidRPr="00021DD2" w:rsidRDefault="001024BD" w:rsidP="001024BD">
            <w:pPr>
              <w:rPr>
                <w:rFonts w:cs="Arial"/>
              </w:rPr>
            </w:pPr>
            <w:r w:rsidRPr="00021DD2">
              <w:rPr>
                <w:rFonts w:cs="Arial"/>
              </w:rPr>
              <w:t>Richard Glenn, Acting Ombudsman, Doris Gibb, Acting Deputy Ombudsman, Commonwealth Ombudsman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23.03.2017</w:t>
            </w:r>
          </w:p>
        </w:tc>
        <w:tc>
          <w:tcPr>
            <w:tcW w:w="5485" w:type="dxa"/>
          </w:tcPr>
          <w:p w:rsidR="001024BD" w:rsidRPr="00021DD2" w:rsidRDefault="001024BD" w:rsidP="001024BD">
            <w:pPr>
              <w:rPr>
                <w:rFonts w:cs="Arial"/>
              </w:rPr>
            </w:pPr>
            <w:r w:rsidRPr="00021DD2">
              <w:rPr>
                <w:rFonts w:cs="Arial"/>
              </w:rPr>
              <w:t>Judy Slatyer, CEO and Kerry McGrath, Director of Community Programs, Australian Red Cross</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27.03.2017</w:t>
            </w:r>
          </w:p>
        </w:tc>
        <w:tc>
          <w:tcPr>
            <w:tcW w:w="5485" w:type="dxa"/>
          </w:tcPr>
          <w:p w:rsidR="001024BD" w:rsidRPr="00021DD2" w:rsidRDefault="001024BD" w:rsidP="001024BD">
            <w:pPr>
              <w:rPr>
                <w:rFonts w:cs="Arial"/>
              </w:rPr>
            </w:pPr>
            <w:r w:rsidRPr="00021DD2">
              <w:rPr>
                <w:rFonts w:cs="Arial"/>
              </w:rPr>
              <w:t>Tony Pietropiccolo, Director, Valuing Children Initiative</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28.03.2017</w:t>
            </w:r>
          </w:p>
        </w:tc>
        <w:tc>
          <w:tcPr>
            <w:tcW w:w="5485" w:type="dxa"/>
          </w:tcPr>
          <w:p w:rsidR="001024BD" w:rsidRPr="00021DD2" w:rsidRDefault="001024BD" w:rsidP="001024BD">
            <w:pPr>
              <w:rPr>
                <w:rFonts w:cs="Arial"/>
              </w:rPr>
            </w:pPr>
            <w:r w:rsidRPr="00021DD2">
              <w:rPr>
                <w:rFonts w:cs="Arial"/>
              </w:rPr>
              <w:t>Geeta D’Cruz, Director, and David Norris, Acting Assistant Secretary, Child Wellbeing Branch, Australian Border Force, Department of Immigration and Border Protection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04.04.2017</w:t>
            </w:r>
          </w:p>
        </w:tc>
        <w:tc>
          <w:tcPr>
            <w:tcW w:w="5485" w:type="dxa"/>
          </w:tcPr>
          <w:p w:rsidR="001024BD" w:rsidRPr="00021DD2" w:rsidRDefault="001024BD" w:rsidP="001024BD">
            <w:pPr>
              <w:rPr>
                <w:rFonts w:cs="Arial"/>
              </w:rPr>
            </w:pPr>
            <w:r w:rsidRPr="00021DD2">
              <w:rPr>
                <w:rFonts w:cs="Arial"/>
              </w:rPr>
              <w:t>eSafety Expert Panel Meeting for Royal Commission into</w:t>
            </w:r>
            <w:r w:rsidR="00B45A53" w:rsidRPr="00021DD2">
              <w:rPr>
                <w:rFonts w:cs="Arial"/>
              </w:rPr>
              <w:t xml:space="preserve"> Institutional Responses to</w:t>
            </w:r>
            <w:r w:rsidRPr="00021DD2">
              <w:rPr>
                <w:rFonts w:cs="Arial"/>
              </w:rPr>
              <w:t xml:space="preserve"> Child Sexual Abuse</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04.04.2017</w:t>
            </w:r>
          </w:p>
        </w:tc>
        <w:tc>
          <w:tcPr>
            <w:tcW w:w="5485" w:type="dxa"/>
          </w:tcPr>
          <w:p w:rsidR="001024BD" w:rsidRPr="00021DD2" w:rsidRDefault="001024BD" w:rsidP="001024BD">
            <w:pPr>
              <w:rPr>
                <w:rFonts w:cs="Arial"/>
              </w:rPr>
            </w:pPr>
            <w:r w:rsidRPr="00021DD2">
              <w:rPr>
                <w:rFonts w:cs="Arial"/>
              </w:rPr>
              <w:t>Royal Commission eSafety Youth Consultation</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jc w:val="center"/>
              <w:rPr>
                <w:rFonts w:cs="Arial"/>
              </w:rPr>
            </w:pPr>
            <w:r w:rsidRPr="00021DD2">
              <w:rPr>
                <w:rFonts w:cs="Arial"/>
              </w:rPr>
              <w:t>06.04.2017</w:t>
            </w:r>
          </w:p>
        </w:tc>
        <w:tc>
          <w:tcPr>
            <w:tcW w:w="5485" w:type="dxa"/>
          </w:tcPr>
          <w:p w:rsidR="001024BD" w:rsidRPr="00021DD2" w:rsidRDefault="001024BD" w:rsidP="001024BD">
            <w:pPr>
              <w:rPr>
                <w:rFonts w:cs="Arial"/>
              </w:rPr>
            </w:pPr>
            <w:r w:rsidRPr="00021DD2">
              <w:rPr>
                <w:rFonts w:cs="Arial"/>
              </w:rPr>
              <w:t>Helen Connolly, Commissioner for Children and Young People, South Australia</w:t>
            </w:r>
          </w:p>
        </w:tc>
        <w:tc>
          <w:tcPr>
            <w:tcW w:w="2024" w:type="dxa"/>
          </w:tcPr>
          <w:p w:rsidR="001024BD" w:rsidRPr="00021DD2" w:rsidRDefault="001024BD" w:rsidP="001024BD">
            <w:pPr>
              <w:rPr>
                <w:rFonts w:cs="Arial"/>
              </w:rPr>
            </w:pPr>
            <w:r w:rsidRPr="00021DD2">
              <w:rPr>
                <w:rFonts w:cs="Arial"/>
              </w:rPr>
              <w:t>Adelaide, SA</w:t>
            </w:r>
          </w:p>
        </w:tc>
      </w:tr>
      <w:tr w:rsidR="001024BD" w:rsidRPr="00021DD2" w:rsidTr="00E34166">
        <w:tc>
          <w:tcPr>
            <w:tcW w:w="1551" w:type="dxa"/>
          </w:tcPr>
          <w:p w:rsidR="001024BD" w:rsidRPr="00021DD2" w:rsidRDefault="001024BD" w:rsidP="001024BD">
            <w:pPr>
              <w:rPr>
                <w:rFonts w:cs="Arial"/>
              </w:rPr>
            </w:pPr>
            <w:r w:rsidRPr="00021DD2">
              <w:rPr>
                <w:rFonts w:cs="Arial"/>
              </w:rPr>
              <w:t>06.04.2017</w:t>
            </w:r>
          </w:p>
        </w:tc>
        <w:tc>
          <w:tcPr>
            <w:tcW w:w="5485" w:type="dxa"/>
          </w:tcPr>
          <w:p w:rsidR="001024BD" w:rsidRPr="00021DD2" w:rsidRDefault="001024BD" w:rsidP="001024BD">
            <w:pPr>
              <w:rPr>
                <w:rFonts w:cs="Arial"/>
              </w:rPr>
            </w:pPr>
            <w:r w:rsidRPr="00021DD2">
              <w:rPr>
                <w:rFonts w:cs="Arial"/>
              </w:rPr>
              <w:t>Australian and New Zealand Child Death Review and Prevention Group (ANZCDR</w:t>
            </w:r>
            <w:r w:rsidR="006936CC">
              <w:rPr>
                <w:rFonts w:cs="Arial"/>
              </w:rPr>
              <w:t>&amp;</w:t>
            </w:r>
            <w:r w:rsidRPr="00021DD2">
              <w:rPr>
                <w:rFonts w:cs="Arial"/>
              </w:rPr>
              <w:t>PG)</w:t>
            </w:r>
          </w:p>
        </w:tc>
        <w:tc>
          <w:tcPr>
            <w:tcW w:w="2024" w:type="dxa"/>
          </w:tcPr>
          <w:p w:rsidR="001024BD" w:rsidRPr="00021DD2" w:rsidRDefault="001024BD" w:rsidP="001024BD">
            <w:pPr>
              <w:rPr>
                <w:rFonts w:cs="Arial"/>
              </w:rPr>
            </w:pPr>
            <w:r w:rsidRPr="00021DD2">
              <w:rPr>
                <w:rFonts w:cs="Arial"/>
              </w:rPr>
              <w:t>Adelaide, SA</w:t>
            </w:r>
          </w:p>
        </w:tc>
      </w:tr>
      <w:tr w:rsidR="001024BD" w:rsidRPr="00021DD2" w:rsidTr="00E34166">
        <w:tc>
          <w:tcPr>
            <w:tcW w:w="1551" w:type="dxa"/>
          </w:tcPr>
          <w:p w:rsidR="001024BD" w:rsidRPr="00021DD2" w:rsidRDefault="001024BD" w:rsidP="001024BD">
            <w:pPr>
              <w:rPr>
                <w:rFonts w:cs="Arial"/>
              </w:rPr>
            </w:pPr>
            <w:r w:rsidRPr="00021DD2">
              <w:rPr>
                <w:rFonts w:cs="Arial"/>
              </w:rPr>
              <w:t>10.04.2017</w:t>
            </w:r>
          </w:p>
        </w:tc>
        <w:tc>
          <w:tcPr>
            <w:tcW w:w="5485" w:type="dxa"/>
          </w:tcPr>
          <w:p w:rsidR="001024BD" w:rsidRPr="00021DD2" w:rsidRDefault="001024BD" w:rsidP="001024BD">
            <w:pPr>
              <w:rPr>
                <w:rFonts w:cs="Arial"/>
              </w:rPr>
            </w:pPr>
            <w:r w:rsidRPr="00021DD2">
              <w:rPr>
                <w:rFonts w:cs="Arial"/>
              </w:rPr>
              <w:t>Online Safety Consultative Working Group</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13.04.2017</w:t>
            </w:r>
          </w:p>
        </w:tc>
        <w:tc>
          <w:tcPr>
            <w:tcW w:w="5485" w:type="dxa"/>
          </w:tcPr>
          <w:p w:rsidR="001024BD" w:rsidRPr="00021DD2" w:rsidRDefault="001024BD" w:rsidP="006936CC">
            <w:pPr>
              <w:rPr>
                <w:rFonts w:cs="Arial"/>
              </w:rPr>
            </w:pPr>
            <w:r w:rsidRPr="00021DD2">
              <w:rPr>
                <w:rFonts w:cs="Arial"/>
              </w:rPr>
              <w:t xml:space="preserve">Kris Cala, Branch Manager, Deborah Tkalcevic, Assistant Director, Melek Byrne, Director, Children’s Policy Branch, Department of Social Services, Johanne Gow, Manager, Child, Youth and Families and Karen James, Senior Policy Office, Department of Family and Community Services </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19.04.2017</w:t>
            </w:r>
          </w:p>
        </w:tc>
        <w:tc>
          <w:tcPr>
            <w:tcW w:w="5485" w:type="dxa"/>
          </w:tcPr>
          <w:p w:rsidR="001024BD" w:rsidRPr="00021DD2" w:rsidRDefault="001024BD" w:rsidP="001024BD">
            <w:pPr>
              <w:rPr>
                <w:rFonts w:cs="Arial"/>
              </w:rPr>
            </w:pPr>
            <w:r w:rsidRPr="00021DD2">
              <w:rPr>
                <w:rFonts w:cs="Arial"/>
              </w:rPr>
              <w:t>Fiona Rafters, Inspector of Custodial Services and Kate Smithers, Senior Inspections and Research Officer, NSW Department of Justice</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20.04.2017</w:t>
            </w:r>
          </w:p>
        </w:tc>
        <w:tc>
          <w:tcPr>
            <w:tcW w:w="5485" w:type="dxa"/>
          </w:tcPr>
          <w:p w:rsidR="001024BD" w:rsidRPr="00021DD2" w:rsidRDefault="001024BD" w:rsidP="001024BD">
            <w:pPr>
              <w:rPr>
                <w:rFonts w:cs="Arial"/>
              </w:rPr>
            </w:pPr>
            <w:r w:rsidRPr="00021DD2">
              <w:rPr>
                <w:rFonts w:cs="Arial"/>
              </w:rPr>
              <w:t>Kris Cala, Branch Manager, Deborah Tkalcevic, Assistant Director, Melek Byrne, Director, Children’s Policy Branch, Department of Social Services, Johanne Gow, Manager, Child, Youth and Families and Karen James, Senior Policy Officer, Department of Family and Community Services</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21.04.2017</w:t>
            </w:r>
          </w:p>
        </w:tc>
        <w:tc>
          <w:tcPr>
            <w:tcW w:w="5485" w:type="dxa"/>
          </w:tcPr>
          <w:p w:rsidR="001024BD" w:rsidRPr="00021DD2" w:rsidRDefault="001024BD" w:rsidP="001024BD">
            <w:pPr>
              <w:rPr>
                <w:rFonts w:cs="Arial"/>
              </w:rPr>
            </w:pPr>
            <w:r w:rsidRPr="00021DD2">
              <w:rPr>
                <w:rFonts w:cs="Arial"/>
              </w:rPr>
              <w:t>Melanie Hawyes, Executive Director, Juvenile Justice NSW</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21.04.2017</w:t>
            </w:r>
          </w:p>
        </w:tc>
        <w:tc>
          <w:tcPr>
            <w:tcW w:w="5485" w:type="dxa"/>
          </w:tcPr>
          <w:p w:rsidR="001024BD" w:rsidRPr="00021DD2" w:rsidRDefault="001024BD" w:rsidP="001024BD">
            <w:pPr>
              <w:rPr>
                <w:rFonts w:cs="Arial"/>
              </w:rPr>
            </w:pPr>
            <w:r w:rsidRPr="00021DD2">
              <w:rPr>
                <w:rFonts w:cs="Arial"/>
              </w:rPr>
              <w:t>Youth consultation, Nikki Norris</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26.04.2017</w:t>
            </w:r>
          </w:p>
        </w:tc>
        <w:tc>
          <w:tcPr>
            <w:tcW w:w="5485" w:type="dxa"/>
          </w:tcPr>
          <w:p w:rsidR="001024BD" w:rsidRPr="00021DD2" w:rsidRDefault="001024BD" w:rsidP="001024BD">
            <w:pPr>
              <w:rPr>
                <w:rFonts w:cs="Arial"/>
              </w:rPr>
            </w:pPr>
            <w:r w:rsidRPr="00021DD2">
              <w:rPr>
                <w:rFonts w:cs="Arial"/>
              </w:rPr>
              <w:t xml:space="preserve">Aboriginal and Torres Strait Islander </w:t>
            </w:r>
            <w:r w:rsidR="006936CC">
              <w:rPr>
                <w:rFonts w:cs="Arial"/>
              </w:rPr>
              <w:t>C</w:t>
            </w:r>
            <w:r w:rsidRPr="00021DD2">
              <w:rPr>
                <w:rFonts w:cs="Arial"/>
              </w:rPr>
              <w:t xml:space="preserve">hild </w:t>
            </w:r>
            <w:r w:rsidR="006936CC">
              <w:rPr>
                <w:rFonts w:cs="Arial"/>
              </w:rPr>
              <w:t>S</w:t>
            </w:r>
            <w:r w:rsidRPr="00021DD2">
              <w:rPr>
                <w:rFonts w:cs="Arial"/>
              </w:rPr>
              <w:t xml:space="preserve">afety and </w:t>
            </w:r>
            <w:r w:rsidR="006936CC">
              <w:rPr>
                <w:rFonts w:cs="Arial"/>
              </w:rPr>
              <w:t>W</w:t>
            </w:r>
            <w:r w:rsidRPr="00021DD2">
              <w:rPr>
                <w:rFonts w:cs="Arial"/>
              </w:rPr>
              <w:t xml:space="preserve">ellbeing </w:t>
            </w:r>
            <w:r w:rsidR="006936CC">
              <w:rPr>
                <w:rFonts w:cs="Arial"/>
              </w:rPr>
              <w:t>I</w:t>
            </w:r>
            <w:r w:rsidRPr="00021DD2">
              <w:rPr>
                <w:rFonts w:cs="Arial"/>
              </w:rPr>
              <w:t xml:space="preserve">ndicators </w:t>
            </w:r>
            <w:r w:rsidR="00FE2608">
              <w:rPr>
                <w:rFonts w:cs="Arial"/>
              </w:rPr>
              <w:t>W</w:t>
            </w:r>
            <w:r w:rsidRPr="00021DD2">
              <w:rPr>
                <w:rFonts w:cs="Arial"/>
              </w:rPr>
              <w:t>orkshop, SNAICC</w:t>
            </w:r>
          </w:p>
        </w:tc>
        <w:tc>
          <w:tcPr>
            <w:tcW w:w="2024" w:type="dxa"/>
          </w:tcPr>
          <w:p w:rsidR="001024BD" w:rsidRPr="00021DD2" w:rsidRDefault="001024BD" w:rsidP="001024BD">
            <w:pPr>
              <w:rPr>
                <w:rFonts w:cs="Arial"/>
              </w:rPr>
            </w:pPr>
            <w:r w:rsidRPr="00021DD2">
              <w:rPr>
                <w:rFonts w:cs="Arial"/>
              </w:rPr>
              <w:t>Melbourne, V</w:t>
            </w:r>
            <w:r w:rsidR="00CA6A29">
              <w:rPr>
                <w:rFonts w:cs="Arial"/>
              </w:rPr>
              <w:t>ic</w:t>
            </w:r>
          </w:p>
        </w:tc>
      </w:tr>
      <w:tr w:rsidR="001024BD" w:rsidRPr="00021DD2" w:rsidTr="00E34166">
        <w:tc>
          <w:tcPr>
            <w:tcW w:w="1551" w:type="dxa"/>
          </w:tcPr>
          <w:p w:rsidR="001024BD" w:rsidRPr="00021DD2" w:rsidRDefault="001024BD" w:rsidP="001024BD">
            <w:pPr>
              <w:rPr>
                <w:rFonts w:cs="Arial"/>
              </w:rPr>
            </w:pPr>
            <w:r w:rsidRPr="00021DD2">
              <w:rPr>
                <w:rFonts w:cs="Arial"/>
              </w:rPr>
              <w:t>27.04.2017</w:t>
            </w:r>
          </w:p>
        </w:tc>
        <w:tc>
          <w:tcPr>
            <w:tcW w:w="5485" w:type="dxa"/>
          </w:tcPr>
          <w:p w:rsidR="001024BD" w:rsidRPr="00021DD2" w:rsidRDefault="001024BD" w:rsidP="001024BD">
            <w:pPr>
              <w:rPr>
                <w:rFonts w:cs="Arial"/>
              </w:rPr>
            </w:pPr>
            <w:r w:rsidRPr="00021DD2">
              <w:rPr>
                <w:rFonts w:cs="Arial"/>
              </w:rPr>
              <w:t>Australian Council of Human Rights Agencies (ACHRA)</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02.05.2017</w:t>
            </w:r>
          </w:p>
        </w:tc>
        <w:tc>
          <w:tcPr>
            <w:tcW w:w="5485" w:type="dxa"/>
          </w:tcPr>
          <w:p w:rsidR="001024BD" w:rsidRPr="00021DD2" w:rsidRDefault="001024BD" w:rsidP="001024BD">
            <w:pPr>
              <w:rPr>
                <w:rFonts w:cs="Arial"/>
              </w:rPr>
            </w:pPr>
            <w:r w:rsidRPr="00021DD2">
              <w:rPr>
                <w:rFonts w:cs="Arial"/>
              </w:rPr>
              <w:t>Roundtables on Draft National Statement of Principles for Child Safe Organisations</w:t>
            </w:r>
          </w:p>
        </w:tc>
        <w:tc>
          <w:tcPr>
            <w:tcW w:w="2024" w:type="dxa"/>
          </w:tcPr>
          <w:p w:rsidR="001024BD" w:rsidRPr="00021DD2" w:rsidRDefault="001024BD" w:rsidP="001024BD">
            <w:pPr>
              <w:rPr>
                <w:rFonts w:cs="Arial"/>
              </w:rPr>
            </w:pPr>
            <w:r w:rsidRPr="00021DD2">
              <w:rPr>
                <w:rFonts w:cs="Arial"/>
              </w:rPr>
              <w:t>Melbourne, V</w:t>
            </w:r>
            <w:r w:rsidR="00CA6A29">
              <w:rPr>
                <w:rFonts w:cs="Arial"/>
              </w:rPr>
              <w:t>ic</w:t>
            </w:r>
          </w:p>
        </w:tc>
      </w:tr>
      <w:tr w:rsidR="001024BD" w:rsidRPr="00021DD2" w:rsidTr="00E34166">
        <w:tc>
          <w:tcPr>
            <w:tcW w:w="1551" w:type="dxa"/>
          </w:tcPr>
          <w:p w:rsidR="001024BD" w:rsidRPr="00021DD2" w:rsidRDefault="001024BD" w:rsidP="001024BD">
            <w:pPr>
              <w:rPr>
                <w:rFonts w:cs="Arial"/>
              </w:rPr>
            </w:pPr>
            <w:r w:rsidRPr="00021DD2">
              <w:rPr>
                <w:rFonts w:cs="Arial"/>
              </w:rPr>
              <w:t>03.05.2017</w:t>
            </w:r>
          </w:p>
        </w:tc>
        <w:tc>
          <w:tcPr>
            <w:tcW w:w="5485" w:type="dxa"/>
          </w:tcPr>
          <w:p w:rsidR="001024BD" w:rsidRPr="00021DD2" w:rsidRDefault="001024BD" w:rsidP="001024BD">
            <w:pPr>
              <w:rPr>
                <w:rFonts w:cs="Arial"/>
              </w:rPr>
            </w:pPr>
            <w:r w:rsidRPr="00021DD2">
              <w:rPr>
                <w:rFonts w:cs="Arial"/>
              </w:rPr>
              <w:t>Roundtable on Draft National Statement of Principles for Child Safe Organisations</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03.05.2017</w:t>
            </w:r>
          </w:p>
        </w:tc>
        <w:tc>
          <w:tcPr>
            <w:tcW w:w="5485" w:type="dxa"/>
          </w:tcPr>
          <w:p w:rsidR="001024BD" w:rsidRPr="00021DD2" w:rsidRDefault="001024BD" w:rsidP="001024BD">
            <w:pPr>
              <w:rPr>
                <w:rFonts w:cs="Arial"/>
              </w:rPr>
            </w:pPr>
            <w:r w:rsidRPr="00021DD2">
              <w:rPr>
                <w:rFonts w:cs="Arial"/>
              </w:rPr>
              <w:t>Identity Document Working Group</w:t>
            </w:r>
            <w:r w:rsidR="00B45A53" w:rsidRPr="00021DD2">
              <w:rPr>
                <w:rFonts w:cs="Arial"/>
              </w:rPr>
              <w:t>, National Forum for Protecting Australia’s Children Third Action Plan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04.05.2017</w:t>
            </w:r>
          </w:p>
        </w:tc>
        <w:tc>
          <w:tcPr>
            <w:tcW w:w="5485" w:type="dxa"/>
          </w:tcPr>
          <w:p w:rsidR="001024BD" w:rsidRPr="00021DD2" w:rsidRDefault="001024BD" w:rsidP="001024BD">
            <w:pPr>
              <w:rPr>
                <w:rFonts w:cs="Arial"/>
              </w:rPr>
            </w:pPr>
            <w:r w:rsidRPr="00021DD2">
              <w:rPr>
                <w:rFonts w:cs="Arial"/>
              </w:rPr>
              <w:t>Dr Noam Peleg, Lecturer, UNSW Law</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05.05.2017</w:t>
            </w:r>
          </w:p>
        </w:tc>
        <w:tc>
          <w:tcPr>
            <w:tcW w:w="5485" w:type="dxa"/>
          </w:tcPr>
          <w:p w:rsidR="001024BD" w:rsidRPr="00021DD2" w:rsidRDefault="001024BD" w:rsidP="001024BD">
            <w:pPr>
              <w:rPr>
                <w:rFonts w:cs="Arial"/>
              </w:rPr>
            </w:pPr>
            <w:r w:rsidRPr="00021DD2">
              <w:rPr>
                <w:rFonts w:cs="Arial"/>
              </w:rPr>
              <w:t>Kris Cala, Branch Manager, Children’s Policy Branch, Department of Social Services, Johanne Gow, Manager, Child, Youth and Families Department of Family and Community Services, Lara Scott, Principal Policy Officer, Royal Commission into Institutional Responses to Child Sexual Abuse</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15.05.2017</w:t>
            </w:r>
          </w:p>
        </w:tc>
        <w:tc>
          <w:tcPr>
            <w:tcW w:w="5485" w:type="dxa"/>
          </w:tcPr>
          <w:p w:rsidR="001024BD" w:rsidRPr="00021DD2" w:rsidRDefault="001024BD" w:rsidP="001024BD">
            <w:pPr>
              <w:rPr>
                <w:rFonts w:cs="Arial"/>
              </w:rPr>
            </w:pPr>
            <w:r w:rsidRPr="00021DD2">
              <w:rPr>
                <w:rFonts w:cs="Arial"/>
              </w:rPr>
              <w:t>Claudia Giudici, CEO President, Reggio Children, Carla Rinaldi, President Loris Malaguzzi Centre, Barbara Donnici, Activities Director, Emanuela Vercalli, International Relations, Reggio Children Foundation</w:t>
            </w:r>
          </w:p>
        </w:tc>
        <w:tc>
          <w:tcPr>
            <w:tcW w:w="2024" w:type="dxa"/>
          </w:tcPr>
          <w:p w:rsidR="001024BD" w:rsidRPr="00021DD2" w:rsidRDefault="001024BD" w:rsidP="001024BD">
            <w:pPr>
              <w:rPr>
                <w:rFonts w:cs="Arial"/>
              </w:rPr>
            </w:pPr>
            <w:r w:rsidRPr="00021DD2">
              <w:rPr>
                <w:rFonts w:cs="Arial"/>
              </w:rPr>
              <w:t>Reggio Emilia, Italy</w:t>
            </w:r>
          </w:p>
        </w:tc>
      </w:tr>
      <w:tr w:rsidR="001024BD" w:rsidRPr="00021DD2" w:rsidTr="00E34166">
        <w:tc>
          <w:tcPr>
            <w:tcW w:w="1551" w:type="dxa"/>
          </w:tcPr>
          <w:p w:rsidR="001024BD" w:rsidRPr="00021DD2" w:rsidRDefault="001024BD" w:rsidP="001024BD">
            <w:pPr>
              <w:rPr>
                <w:rFonts w:cs="Arial"/>
              </w:rPr>
            </w:pPr>
            <w:r w:rsidRPr="00021DD2">
              <w:rPr>
                <w:rFonts w:cs="Arial"/>
              </w:rPr>
              <w:t>18.05.2017</w:t>
            </w:r>
          </w:p>
        </w:tc>
        <w:tc>
          <w:tcPr>
            <w:tcW w:w="5485" w:type="dxa"/>
          </w:tcPr>
          <w:p w:rsidR="001024BD" w:rsidRPr="00021DD2" w:rsidRDefault="001024BD" w:rsidP="001024BD">
            <w:pPr>
              <w:rPr>
                <w:rFonts w:cs="Arial"/>
              </w:rPr>
            </w:pPr>
            <w:r w:rsidRPr="00021DD2">
              <w:rPr>
                <w:rFonts w:cs="Arial"/>
              </w:rPr>
              <w:t>Professor Alexis Jay, Chair, Independent Inquiry into Child Sexual Abuse</w:t>
            </w:r>
          </w:p>
        </w:tc>
        <w:tc>
          <w:tcPr>
            <w:tcW w:w="2024" w:type="dxa"/>
          </w:tcPr>
          <w:p w:rsidR="001024BD" w:rsidRPr="00021DD2" w:rsidRDefault="001024BD" w:rsidP="001024BD">
            <w:pPr>
              <w:rPr>
                <w:rFonts w:cs="Arial"/>
              </w:rPr>
            </w:pPr>
            <w:r w:rsidRPr="00021DD2">
              <w:rPr>
                <w:rFonts w:cs="Arial"/>
              </w:rPr>
              <w:t>London, UK</w:t>
            </w:r>
          </w:p>
        </w:tc>
      </w:tr>
      <w:tr w:rsidR="001024BD" w:rsidRPr="00021DD2" w:rsidTr="00E34166">
        <w:tc>
          <w:tcPr>
            <w:tcW w:w="1551" w:type="dxa"/>
          </w:tcPr>
          <w:p w:rsidR="001024BD" w:rsidRPr="00021DD2" w:rsidRDefault="001024BD" w:rsidP="001024BD">
            <w:pPr>
              <w:rPr>
                <w:rFonts w:cs="Arial"/>
              </w:rPr>
            </w:pPr>
            <w:r w:rsidRPr="00021DD2">
              <w:rPr>
                <w:rFonts w:cs="Arial"/>
              </w:rPr>
              <w:t>18.05.2017</w:t>
            </w:r>
          </w:p>
        </w:tc>
        <w:tc>
          <w:tcPr>
            <w:tcW w:w="5485" w:type="dxa"/>
          </w:tcPr>
          <w:p w:rsidR="001024BD" w:rsidRPr="00021DD2" w:rsidRDefault="001024BD" w:rsidP="001024BD">
            <w:pPr>
              <w:rPr>
                <w:rFonts w:cs="Arial"/>
              </w:rPr>
            </w:pPr>
            <w:r w:rsidRPr="00021DD2">
              <w:rPr>
                <w:rFonts w:cs="Arial"/>
              </w:rPr>
              <w:t>Anne Longfield, Children’s Commissioner</w:t>
            </w:r>
          </w:p>
        </w:tc>
        <w:tc>
          <w:tcPr>
            <w:tcW w:w="2024" w:type="dxa"/>
          </w:tcPr>
          <w:p w:rsidR="001024BD" w:rsidRPr="00021DD2" w:rsidRDefault="001024BD" w:rsidP="001024BD">
            <w:pPr>
              <w:rPr>
                <w:rFonts w:cs="Arial"/>
              </w:rPr>
            </w:pPr>
            <w:r w:rsidRPr="00021DD2">
              <w:rPr>
                <w:rFonts w:cs="Arial"/>
              </w:rPr>
              <w:t>London, UK</w:t>
            </w:r>
          </w:p>
        </w:tc>
      </w:tr>
      <w:tr w:rsidR="001024BD" w:rsidRPr="00021DD2" w:rsidTr="00E34166">
        <w:tc>
          <w:tcPr>
            <w:tcW w:w="1551" w:type="dxa"/>
          </w:tcPr>
          <w:p w:rsidR="001024BD" w:rsidRPr="00021DD2" w:rsidRDefault="001024BD" w:rsidP="001024BD">
            <w:pPr>
              <w:rPr>
                <w:rFonts w:cs="Arial"/>
              </w:rPr>
            </w:pPr>
            <w:r w:rsidRPr="00021DD2">
              <w:rPr>
                <w:rFonts w:cs="Arial"/>
              </w:rPr>
              <w:t>19.05.2017</w:t>
            </w:r>
          </w:p>
        </w:tc>
        <w:tc>
          <w:tcPr>
            <w:tcW w:w="5485" w:type="dxa"/>
          </w:tcPr>
          <w:p w:rsidR="001024BD" w:rsidRPr="00021DD2" w:rsidRDefault="001024BD" w:rsidP="001024BD">
            <w:pPr>
              <w:rPr>
                <w:rFonts w:cs="Arial"/>
              </w:rPr>
            </w:pPr>
            <w:r w:rsidRPr="00021DD2">
              <w:rPr>
                <w:rFonts w:cs="Arial"/>
              </w:rPr>
              <w:t>David Isaac, Chair, Equality and Human Rights Commission</w:t>
            </w:r>
          </w:p>
        </w:tc>
        <w:tc>
          <w:tcPr>
            <w:tcW w:w="2024" w:type="dxa"/>
          </w:tcPr>
          <w:p w:rsidR="001024BD" w:rsidRPr="00021DD2" w:rsidRDefault="001024BD" w:rsidP="001024BD">
            <w:pPr>
              <w:rPr>
                <w:rFonts w:cs="Arial"/>
              </w:rPr>
            </w:pPr>
            <w:r w:rsidRPr="00021DD2">
              <w:rPr>
                <w:rFonts w:cs="Arial"/>
              </w:rPr>
              <w:t>London, UK</w:t>
            </w:r>
          </w:p>
        </w:tc>
      </w:tr>
      <w:tr w:rsidR="001024BD" w:rsidRPr="00021DD2" w:rsidTr="00E34166">
        <w:tc>
          <w:tcPr>
            <w:tcW w:w="1551" w:type="dxa"/>
          </w:tcPr>
          <w:p w:rsidR="001024BD" w:rsidRPr="00021DD2" w:rsidRDefault="001024BD" w:rsidP="001024BD">
            <w:pPr>
              <w:rPr>
                <w:rFonts w:cs="Arial"/>
              </w:rPr>
            </w:pPr>
            <w:r w:rsidRPr="00021DD2">
              <w:rPr>
                <w:rFonts w:cs="Arial"/>
              </w:rPr>
              <w:t>29.05.2017</w:t>
            </w:r>
          </w:p>
        </w:tc>
        <w:tc>
          <w:tcPr>
            <w:tcW w:w="5485" w:type="dxa"/>
          </w:tcPr>
          <w:p w:rsidR="001024BD" w:rsidRPr="00021DD2" w:rsidRDefault="001024BD" w:rsidP="001024BD">
            <w:pPr>
              <w:rPr>
                <w:rFonts w:cs="Arial"/>
              </w:rPr>
            </w:pPr>
            <w:r w:rsidRPr="00021DD2">
              <w:rPr>
                <w:rFonts w:cs="Arial"/>
              </w:rPr>
              <w:t>Bruce Adamson, Children and Young People’s Commissioner Scotland</w:t>
            </w:r>
          </w:p>
        </w:tc>
        <w:tc>
          <w:tcPr>
            <w:tcW w:w="2024" w:type="dxa"/>
          </w:tcPr>
          <w:p w:rsidR="001024BD" w:rsidRPr="00021DD2" w:rsidRDefault="001024BD" w:rsidP="001024BD">
            <w:pPr>
              <w:rPr>
                <w:rFonts w:cs="Arial"/>
              </w:rPr>
            </w:pPr>
            <w:r w:rsidRPr="00021DD2">
              <w:rPr>
                <w:rFonts w:cs="Arial"/>
              </w:rPr>
              <w:t>Edinburgh, Scotland</w:t>
            </w:r>
          </w:p>
        </w:tc>
      </w:tr>
      <w:tr w:rsidR="001024BD" w:rsidRPr="00021DD2" w:rsidTr="00E34166">
        <w:tc>
          <w:tcPr>
            <w:tcW w:w="1551" w:type="dxa"/>
          </w:tcPr>
          <w:p w:rsidR="001024BD" w:rsidRPr="00021DD2" w:rsidRDefault="001024BD" w:rsidP="001024BD">
            <w:pPr>
              <w:rPr>
                <w:rFonts w:cs="Arial"/>
              </w:rPr>
            </w:pPr>
            <w:r w:rsidRPr="00021DD2">
              <w:rPr>
                <w:rFonts w:cs="Arial"/>
              </w:rPr>
              <w:t>05.06.2017</w:t>
            </w:r>
          </w:p>
        </w:tc>
        <w:tc>
          <w:tcPr>
            <w:tcW w:w="5485" w:type="dxa"/>
          </w:tcPr>
          <w:p w:rsidR="001024BD" w:rsidRPr="00021DD2" w:rsidRDefault="001024BD" w:rsidP="001024BD">
            <w:pPr>
              <w:rPr>
                <w:rFonts w:cs="Arial"/>
              </w:rPr>
            </w:pPr>
            <w:r w:rsidRPr="00021DD2">
              <w:rPr>
                <w:rFonts w:cs="Arial"/>
              </w:rPr>
              <w:t>World Congress on Family Law and Children’s Rights</w:t>
            </w:r>
          </w:p>
        </w:tc>
        <w:tc>
          <w:tcPr>
            <w:tcW w:w="2024" w:type="dxa"/>
          </w:tcPr>
          <w:p w:rsidR="001024BD" w:rsidRPr="00021DD2" w:rsidRDefault="001024BD" w:rsidP="001024BD">
            <w:pPr>
              <w:rPr>
                <w:rFonts w:cs="Arial"/>
              </w:rPr>
            </w:pPr>
            <w:r w:rsidRPr="00021DD2">
              <w:rPr>
                <w:rFonts w:cs="Arial"/>
              </w:rPr>
              <w:t>Dublin, Ireland</w:t>
            </w:r>
          </w:p>
        </w:tc>
      </w:tr>
      <w:tr w:rsidR="001024BD" w:rsidRPr="00021DD2" w:rsidTr="00E34166">
        <w:tc>
          <w:tcPr>
            <w:tcW w:w="1551" w:type="dxa"/>
          </w:tcPr>
          <w:p w:rsidR="001024BD" w:rsidRPr="00021DD2" w:rsidRDefault="001024BD" w:rsidP="001024BD">
            <w:pPr>
              <w:rPr>
                <w:rFonts w:cs="Arial"/>
              </w:rPr>
            </w:pPr>
            <w:r w:rsidRPr="00021DD2">
              <w:rPr>
                <w:rFonts w:cs="Arial"/>
              </w:rPr>
              <w:t>07.06.2017</w:t>
            </w:r>
          </w:p>
        </w:tc>
        <w:tc>
          <w:tcPr>
            <w:tcW w:w="5485" w:type="dxa"/>
          </w:tcPr>
          <w:p w:rsidR="001024BD" w:rsidRPr="00021DD2" w:rsidRDefault="001024BD" w:rsidP="001024BD">
            <w:pPr>
              <w:rPr>
                <w:rFonts w:cs="Arial"/>
              </w:rPr>
            </w:pPr>
            <w:r w:rsidRPr="00021DD2">
              <w:rPr>
                <w:rFonts w:cs="Arial"/>
              </w:rPr>
              <w:t>Nuala Ward, Director of Investigations, Ombudsman for Children Office</w:t>
            </w:r>
          </w:p>
        </w:tc>
        <w:tc>
          <w:tcPr>
            <w:tcW w:w="2024" w:type="dxa"/>
          </w:tcPr>
          <w:p w:rsidR="001024BD" w:rsidRPr="00021DD2" w:rsidRDefault="001024BD" w:rsidP="001024BD">
            <w:pPr>
              <w:rPr>
                <w:rFonts w:cs="Arial"/>
              </w:rPr>
            </w:pPr>
            <w:r w:rsidRPr="00021DD2">
              <w:rPr>
                <w:rFonts w:cs="Arial"/>
              </w:rPr>
              <w:t>Dublin, Ireland</w:t>
            </w:r>
          </w:p>
        </w:tc>
      </w:tr>
      <w:tr w:rsidR="001024BD" w:rsidRPr="00021DD2" w:rsidTr="00E34166">
        <w:tc>
          <w:tcPr>
            <w:tcW w:w="1551" w:type="dxa"/>
          </w:tcPr>
          <w:p w:rsidR="001024BD" w:rsidRPr="00021DD2" w:rsidRDefault="001024BD" w:rsidP="001024BD">
            <w:pPr>
              <w:rPr>
                <w:rFonts w:cs="Arial"/>
              </w:rPr>
            </w:pPr>
            <w:r w:rsidRPr="00021DD2">
              <w:rPr>
                <w:rFonts w:cs="Arial"/>
              </w:rPr>
              <w:t>07.06.2017</w:t>
            </w:r>
          </w:p>
        </w:tc>
        <w:tc>
          <w:tcPr>
            <w:tcW w:w="5485" w:type="dxa"/>
          </w:tcPr>
          <w:p w:rsidR="001024BD" w:rsidRPr="00021DD2" w:rsidRDefault="001024BD" w:rsidP="001024BD">
            <w:pPr>
              <w:rPr>
                <w:rFonts w:cs="Arial"/>
              </w:rPr>
            </w:pPr>
            <w:r w:rsidRPr="00021DD2">
              <w:rPr>
                <w:rFonts w:cs="Arial"/>
              </w:rPr>
              <w:t>Katherine Zappone, Minister for Children and Youth Affairs and Family Functioning and Children’s Rights Policy Unit, Department of Children and Youth Affairs</w:t>
            </w:r>
          </w:p>
        </w:tc>
        <w:tc>
          <w:tcPr>
            <w:tcW w:w="2024" w:type="dxa"/>
          </w:tcPr>
          <w:p w:rsidR="001024BD" w:rsidRPr="00021DD2" w:rsidRDefault="001024BD" w:rsidP="001024BD">
            <w:pPr>
              <w:rPr>
                <w:rFonts w:cs="Arial"/>
              </w:rPr>
            </w:pPr>
            <w:r w:rsidRPr="00021DD2">
              <w:rPr>
                <w:rFonts w:cs="Arial"/>
              </w:rPr>
              <w:t>Dublin, Ireland</w:t>
            </w:r>
          </w:p>
        </w:tc>
      </w:tr>
      <w:tr w:rsidR="001024BD" w:rsidRPr="00021DD2" w:rsidTr="00E34166">
        <w:tc>
          <w:tcPr>
            <w:tcW w:w="1551" w:type="dxa"/>
          </w:tcPr>
          <w:p w:rsidR="001024BD" w:rsidRPr="00021DD2" w:rsidRDefault="001024BD" w:rsidP="001024BD">
            <w:pPr>
              <w:rPr>
                <w:rFonts w:cs="Arial"/>
              </w:rPr>
            </w:pPr>
            <w:r w:rsidRPr="00021DD2">
              <w:rPr>
                <w:rFonts w:cs="Arial"/>
              </w:rPr>
              <w:t>16.06.2017</w:t>
            </w:r>
          </w:p>
        </w:tc>
        <w:tc>
          <w:tcPr>
            <w:tcW w:w="5485" w:type="dxa"/>
          </w:tcPr>
          <w:p w:rsidR="001024BD" w:rsidRPr="00021DD2" w:rsidRDefault="001024BD" w:rsidP="001024BD">
            <w:pPr>
              <w:rPr>
                <w:rFonts w:cs="Arial"/>
              </w:rPr>
            </w:pPr>
            <w:r w:rsidRPr="00021DD2">
              <w:rPr>
                <w:rFonts w:cs="Arial"/>
              </w:rPr>
              <w:t>Lynne McPherson, Senior Lecturer, Social Work and Matthew Nicholson, Associate Professor, School of Arts and Social Sciences, Southern Cross University</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19.06.2017</w:t>
            </w:r>
          </w:p>
        </w:tc>
        <w:tc>
          <w:tcPr>
            <w:tcW w:w="5485" w:type="dxa"/>
          </w:tcPr>
          <w:p w:rsidR="001024BD" w:rsidRPr="00021DD2" w:rsidRDefault="001024BD" w:rsidP="001024BD">
            <w:pPr>
              <w:rPr>
                <w:rFonts w:cs="Arial"/>
              </w:rPr>
            </w:pPr>
            <w:r w:rsidRPr="00021DD2">
              <w:rPr>
                <w:rFonts w:cs="Arial"/>
              </w:rPr>
              <w:t>Kris Cala, Branch Manager, Deborah Tkalcevic, Assistant Director, Melek Byrne, Director, Children’s Policy Branch, Department of Social Services, Johanne Gow, Manager, Child, Youth and Families and Karen James, Senior Policy Officer, Department of Family and Community Services</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21.06.2017</w:t>
            </w:r>
          </w:p>
        </w:tc>
        <w:tc>
          <w:tcPr>
            <w:tcW w:w="5485" w:type="dxa"/>
          </w:tcPr>
          <w:p w:rsidR="001024BD" w:rsidRPr="00021DD2" w:rsidRDefault="001024BD" w:rsidP="001024BD">
            <w:pPr>
              <w:rPr>
                <w:rFonts w:cs="Arial"/>
              </w:rPr>
            </w:pPr>
            <w:r w:rsidRPr="00021DD2">
              <w:rPr>
                <w:rFonts w:cs="Arial"/>
              </w:rPr>
              <w:t>2168 Children’s Parliament, Liverpool City Council</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05.07.2017</w:t>
            </w:r>
          </w:p>
        </w:tc>
        <w:tc>
          <w:tcPr>
            <w:tcW w:w="5485" w:type="dxa"/>
          </w:tcPr>
          <w:p w:rsidR="001024BD" w:rsidRPr="00021DD2" w:rsidRDefault="001024BD" w:rsidP="001024BD">
            <w:pPr>
              <w:rPr>
                <w:rFonts w:cs="Arial"/>
              </w:rPr>
            </w:pPr>
            <w:r w:rsidRPr="00021DD2">
              <w:rPr>
                <w:rFonts w:cs="Arial"/>
              </w:rPr>
              <w:t>The Hon Senator Louise Pratt, Chair of Legal and Constitutional Affairs References Committee, Australian Labor Party</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12.07.2017</w:t>
            </w:r>
          </w:p>
        </w:tc>
        <w:tc>
          <w:tcPr>
            <w:tcW w:w="5485" w:type="dxa"/>
          </w:tcPr>
          <w:p w:rsidR="001024BD" w:rsidRPr="00021DD2" w:rsidRDefault="001024BD" w:rsidP="00FE2608">
            <w:pPr>
              <w:rPr>
                <w:rFonts w:cs="Arial"/>
              </w:rPr>
            </w:pPr>
            <w:r w:rsidRPr="00021DD2">
              <w:rPr>
                <w:rFonts w:cs="Arial"/>
              </w:rPr>
              <w:t>Reiby Juvenile Justice Detention Facility</w:t>
            </w:r>
          </w:p>
        </w:tc>
        <w:tc>
          <w:tcPr>
            <w:tcW w:w="2024" w:type="dxa"/>
          </w:tcPr>
          <w:p w:rsidR="001024BD" w:rsidRPr="00021DD2" w:rsidRDefault="001024BD" w:rsidP="001024BD">
            <w:pPr>
              <w:rPr>
                <w:rFonts w:cs="Arial"/>
              </w:rPr>
            </w:pPr>
            <w:r w:rsidRPr="00021DD2">
              <w:rPr>
                <w:rFonts w:cs="Arial"/>
              </w:rPr>
              <w:t>Reiby, NSW</w:t>
            </w:r>
          </w:p>
        </w:tc>
      </w:tr>
      <w:tr w:rsidR="001024BD" w:rsidRPr="00021DD2" w:rsidTr="00E34166">
        <w:tc>
          <w:tcPr>
            <w:tcW w:w="1551" w:type="dxa"/>
          </w:tcPr>
          <w:p w:rsidR="001024BD" w:rsidRPr="00021DD2" w:rsidRDefault="001024BD" w:rsidP="001024BD">
            <w:pPr>
              <w:rPr>
                <w:rFonts w:cs="Arial"/>
              </w:rPr>
            </w:pPr>
            <w:r w:rsidRPr="00021DD2">
              <w:rPr>
                <w:rFonts w:cs="Arial"/>
              </w:rPr>
              <w:t>19.07.2017</w:t>
            </w:r>
          </w:p>
        </w:tc>
        <w:tc>
          <w:tcPr>
            <w:tcW w:w="5485" w:type="dxa"/>
          </w:tcPr>
          <w:p w:rsidR="001024BD" w:rsidRPr="00021DD2" w:rsidRDefault="001024BD" w:rsidP="001024BD">
            <w:pPr>
              <w:rPr>
                <w:rFonts w:cs="Arial"/>
              </w:rPr>
            </w:pPr>
            <w:r w:rsidRPr="00021DD2">
              <w:rPr>
                <w:rFonts w:cs="Arial"/>
              </w:rPr>
              <w:t>Muriel Blambett, CEO, V</w:t>
            </w:r>
            <w:r w:rsidR="00FE2608">
              <w:rPr>
                <w:rFonts w:cs="Arial"/>
              </w:rPr>
              <w:t xml:space="preserve">ictorian </w:t>
            </w:r>
            <w:r w:rsidRPr="00021DD2">
              <w:rPr>
                <w:rFonts w:cs="Arial"/>
              </w:rPr>
              <w:t>A</w:t>
            </w:r>
            <w:r w:rsidR="00FE2608">
              <w:rPr>
                <w:rFonts w:cs="Arial"/>
              </w:rPr>
              <w:t xml:space="preserve">boriginal </w:t>
            </w:r>
            <w:r w:rsidRPr="00021DD2">
              <w:rPr>
                <w:rFonts w:cs="Arial"/>
              </w:rPr>
              <w:t>C</w:t>
            </w:r>
            <w:r w:rsidR="00FE2608">
              <w:rPr>
                <w:rFonts w:cs="Arial"/>
              </w:rPr>
              <w:t xml:space="preserve">hild </w:t>
            </w:r>
            <w:r w:rsidRPr="00021DD2">
              <w:rPr>
                <w:rFonts w:cs="Arial"/>
              </w:rPr>
              <w:t>C</w:t>
            </w:r>
            <w:r w:rsidR="00FE2608">
              <w:rPr>
                <w:rFonts w:cs="Arial"/>
              </w:rPr>
              <w:t>are Agency</w:t>
            </w:r>
          </w:p>
        </w:tc>
        <w:tc>
          <w:tcPr>
            <w:tcW w:w="2024" w:type="dxa"/>
          </w:tcPr>
          <w:p w:rsidR="001024BD" w:rsidRPr="00021DD2" w:rsidRDefault="001024BD" w:rsidP="001024BD">
            <w:pPr>
              <w:rPr>
                <w:rFonts w:cs="Arial"/>
              </w:rPr>
            </w:pPr>
            <w:r w:rsidRPr="00021DD2">
              <w:rPr>
                <w:rFonts w:cs="Arial"/>
              </w:rPr>
              <w:t>Melbourne, V</w:t>
            </w:r>
            <w:r w:rsidR="00D71D08">
              <w:rPr>
                <w:rFonts w:cs="Arial"/>
              </w:rPr>
              <w:t>ic</w:t>
            </w:r>
          </w:p>
        </w:tc>
      </w:tr>
      <w:tr w:rsidR="001024BD" w:rsidRPr="00021DD2" w:rsidTr="00E34166">
        <w:tc>
          <w:tcPr>
            <w:tcW w:w="1551" w:type="dxa"/>
          </w:tcPr>
          <w:p w:rsidR="001024BD" w:rsidRPr="00021DD2" w:rsidRDefault="001024BD" w:rsidP="001024BD">
            <w:pPr>
              <w:rPr>
                <w:rFonts w:cs="Arial"/>
              </w:rPr>
            </w:pPr>
            <w:r w:rsidRPr="00021DD2">
              <w:rPr>
                <w:rFonts w:cs="Arial"/>
              </w:rPr>
              <w:t>20.07.2017</w:t>
            </w:r>
          </w:p>
        </w:tc>
        <w:tc>
          <w:tcPr>
            <w:tcW w:w="5485" w:type="dxa"/>
          </w:tcPr>
          <w:p w:rsidR="001024BD" w:rsidRPr="00021DD2" w:rsidRDefault="001024BD" w:rsidP="001024BD">
            <w:pPr>
              <w:rPr>
                <w:rFonts w:cs="Arial"/>
              </w:rPr>
            </w:pPr>
            <w:r w:rsidRPr="00021DD2">
              <w:rPr>
                <w:rFonts w:cs="Arial"/>
              </w:rPr>
              <w:t>National Forum for Protecting Australia’s Children</w:t>
            </w:r>
            <w:r w:rsidR="00FE2608">
              <w:rPr>
                <w:rFonts w:cs="Arial"/>
              </w:rPr>
              <w:t>,</w:t>
            </w:r>
            <w:r w:rsidRPr="00021DD2">
              <w:rPr>
                <w:rFonts w:cs="Arial"/>
              </w:rPr>
              <w:t xml:space="preserve"> Third Action Plan</w:t>
            </w:r>
          </w:p>
        </w:tc>
        <w:tc>
          <w:tcPr>
            <w:tcW w:w="2024" w:type="dxa"/>
          </w:tcPr>
          <w:p w:rsidR="001024BD" w:rsidRPr="00021DD2" w:rsidRDefault="001024BD" w:rsidP="001024BD">
            <w:pPr>
              <w:rPr>
                <w:rFonts w:cs="Arial"/>
              </w:rPr>
            </w:pPr>
            <w:r w:rsidRPr="00021DD2">
              <w:rPr>
                <w:rFonts w:cs="Arial"/>
              </w:rPr>
              <w:t>Melbourne, V</w:t>
            </w:r>
            <w:r w:rsidR="00D71D08">
              <w:rPr>
                <w:rFonts w:cs="Arial"/>
              </w:rPr>
              <w:t>ic</w:t>
            </w:r>
          </w:p>
        </w:tc>
      </w:tr>
      <w:tr w:rsidR="001024BD" w:rsidRPr="00021DD2" w:rsidTr="00E34166">
        <w:tc>
          <w:tcPr>
            <w:tcW w:w="1551" w:type="dxa"/>
          </w:tcPr>
          <w:p w:rsidR="001024BD" w:rsidRPr="00021DD2" w:rsidRDefault="001024BD" w:rsidP="001024BD">
            <w:pPr>
              <w:rPr>
                <w:rFonts w:cs="Arial"/>
              </w:rPr>
            </w:pPr>
            <w:r w:rsidRPr="00021DD2">
              <w:rPr>
                <w:rFonts w:cs="Arial"/>
              </w:rPr>
              <w:t>31.07.2017</w:t>
            </w:r>
          </w:p>
        </w:tc>
        <w:tc>
          <w:tcPr>
            <w:tcW w:w="5485" w:type="dxa"/>
          </w:tcPr>
          <w:p w:rsidR="001024BD" w:rsidRPr="00021DD2" w:rsidRDefault="001024BD" w:rsidP="001024BD">
            <w:pPr>
              <w:rPr>
                <w:rFonts w:cs="Arial"/>
              </w:rPr>
            </w:pPr>
            <w:r w:rsidRPr="00021DD2">
              <w:rPr>
                <w:rFonts w:cs="Arial"/>
              </w:rPr>
              <w:t>National Collaborative Network for Child Health Informatics Steering Committee</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01.08.2017</w:t>
            </w:r>
          </w:p>
        </w:tc>
        <w:tc>
          <w:tcPr>
            <w:tcW w:w="5485" w:type="dxa"/>
          </w:tcPr>
          <w:p w:rsidR="001024BD" w:rsidRPr="00021DD2" w:rsidRDefault="001024BD" w:rsidP="001024BD">
            <w:pPr>
              <w:rPr>
                <w:rFonts w:cs="Arial"/>
              </w:rPr>
            </w:pPr>
            <w:r w:rsidRPr="00021DD2">
              <w:rPr>
                <w:rFonts w:cs="Arial"/>
              </w:rPr>
              <w:t>Identity Docume</w:t>
            </w:r>
            <w:r w:rsidR="00B45A53" w:rsidRPr="00021DD2">
              <w:rPr>
                <w:rFonts w:cs="Arial"/>
              </w:rPr>
              <w:t>nts Working Group, National Forum for Protecting Australia’s Children</w:t>
            </w:r>
            <w:r w:rsidR="00FE2608">
              <w:rPr>
                <w:rFonts w:cs="Arial"/>
              </w:rPr>
              <w:t>,</w:t>
            </w:r>
            <w:r w:rsidR="00B45A53" w:rsidRPr="00021DD2">
              <w:rPr>
                <w:rFonts w:cs="Arial"/>
              </w:rPr>
              <w:t xml:space="preserve"> Third Action Plan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04.08.2017</w:t>
            </w:r>
          </w:p>
        </w:tc>
        <w:tc>
          <w:tcPr>
            <w:tcW w:w="5485" w:type="dxa"/>
          </w:tcPr>
          <w:p w:rsidR="001024BD" w:rsidRPr="00021DD2" w:rsidRDefault="001024BD" w:rsidP="001024BD">
            <w:pPr>
              <w:rPr>
                <w:rFonts w:cs="Arial"/>
              </w:rPr>
            </w:pPr>
            <w:r w:rsidRPr="00021DD2">
              <w:rPr>
                <w:rFonts w:cs="Arial"/>
              </w:rPr>
              <w:t xml:space="preserve">Victorian Aboriginal Legal Service </w:t>
            </w:r>
          </w:p>
        </w:tc>
        <w:tc>
          <w:tcPr>
            <w:tcW w:w="2024" w:type="dxa"/>
          </w:tcPr>
          <w:p w:rsidR="001024BD" w:rsidRPr="00021DD2" w:rsidRDefault="001024BD" w:rsidP="001024BD">
            <w:pPr>
              <w:rPr>
                <w:rFonts w:cs="Arial"/>
              </w:rPr>
            </w:pPr>
            <w:r w:rsidRPr="00021DD2">
              <w:rPr>
                <w:rFonts w:cs="Arial"/>
              </w:rPr>
              <w:t>Thournbury, V</w:t>
            </w:r>
            <w:r w:rsidR="00D71D08">
              <w:rPr>
                <w:rFonts w:cs="Arial"/>
              </w:rPr>
              <w:t>ic</w:t>
            </w:r>
          </w:p>
        </w:tc>
      </w:tr>
      <w:tr w:rsidR="001024BD" w:rsidRPr="00021DD2" w:rsidTr="00E34166">
        <w:tc>
          <w:tcPr>
            <w:tcW w:w="1551" w:type="dxa"/>
          </w:tcPr>
          <w:p w:rsidR="001024BD" w:rsidRPr="00021DD2" w:rsidRDefault="001024BD" w:rsidP="001024BD">
            <w:pPr>
              <w:rPr>
                <w:rFonts w:cs="Arial"/>
              </w:rPr>
            </w:pPr>
            <w:r w:rsidRPr="00021DD2">
              <w:rPr>
                <w:rFonts w:cs="Arial"/>
              </w:rPr>
              <w:t>07.08.2017</w:t>
            </w:r>
          </w:p>
        </w:tc>
        <w:tc>
          <w:tcPr>
            <w:tcW w:w="5485" w:type="dxa"/>
          </w:tcPr>
          <w:p w:rsidR="001024BD" w:rsidRPr="00021DD2" w:rsidRDefault="001024BD" w:rsidP="001024BD">
            <w:pPr>
              <w:rPr>
                <w:rFonts w:cs="Arial"/>
              </w:rPr>
            </w:pPr>
            <w:r w:rsidRPr="00021DD2">
              <w:rPr>
                <w:rFonts w:cs="Arial"/>
              </w:rPr>
              <w:t>Deborah Tkalcevic, Assistant Director, Melek Byrne, Director, Children’s Policy Branch, Department of Social Services, Johanne Gow, Manager, Child, Youth and Families and Karen James, Senior Policy Office, Department of Family and Community Services</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12.08.2017</w:t>
            </w:r>
          </w:p>
        </w:tc>
        <w:tc>
          <w:tcPr>
            <w:tcW w:w="5485" w:type="dxa"/>
          </w:tcPr>
          <w:p w:rsidR="001024BD" w:rsidRPr="00021DD2" w:rsidRDefault="001024BD" w:rsidP="001024BD">
            <w:pPr>
              <w:rPr>
                <w:rFonts w:cs="Arial"/>
              </w:rPr>
            </w:pPr>
            <w:r w:rsidRPr="00021DD2">
              <w:rPr>
                <w:rFonts w:cs="Arial"/>
              </w:rPr>
              <w:t>The Hon Senator Zed Seselja, Assistant Minister for Social Services and Multicultural Affairs</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14.08.2017</w:t>
            </w:r>
          </w:p>
        </w:tc>
        <w:tc>
          <w:tcPr>
            <w:tcW w:w="5485" w:type="dxa"/>
          </w:tcPr>
          <w:p w:rsidR="001024BD" w:rsidRPr="00021DD2" w:rsidRDefault="001024BD" w:rsidP="001024BD">
            <w:pPr>
              <w:rPr>
                <w:rFonts w:cs="Arial"/>
              </w:rPr>
            </w:pPr>
            <w:r w:rsidRPr="00021DD2">
              <w:rPr>
                <w:rFonts w:cs="Arial"/>
              </w:rPr>
              <w:t>Cross Sectional Leadership Group Just Reinvest NSW</w:t>
            </w:r>
          </w:p>
        </w:tc>
        <w:tc>
          <w:tcPr>
            <w:tcW w:w="2024" w:type="dxa"/>
          </w:tcPr>
          <w:p w:rsidR="001024BD" w:rsidRPr="00021DD2" w:rsidRDefault="001024BD" w:rsidP="001024BD">
            <w:pPr>
              <w:rPr>
                <w:rFonts w:cs="Arial"/>
              </w:rPr>
            </w:pPr>
            <w:r w:rsidRPr="00021DD2">
              <w:rPr>
                <w:rFonts w:cs="Arial"/>
              </w:rPr>
              <w:t>Dubbo, NSW</w:t>
            </w:r>
          </w:p>
        </w:tc>
      </w:tr>
      <w:tr w:rsidR="001024BD" w:rsidRPr="00021DD2" w:rsidTr="00E34166">
        <w:tc>
          <w:tcPr>
            <w:tcW w:w="1551" w:type="dxa"/>
          </w:tcPr>
          <w:p w:rsidR="001024BD" w:rsidRPr="00021DD2" w:rsidRDefault="001024BD" w:rsidP="001024BD">
            <w:pPr>
              <w:rPr>
                <w:rFonts w:cs="Arial"/>
              </w:rPr>
            </w:pPr>
            <w:r w:rsidRPr="00021DD2">
              <w:rPr>
                <w:rFonts w:cs="Arial"/>
              </w:rPr>
              <w:t>15.08.2017</w:t>
            </w:r>
          </w:p>
        </w:tc>
        <w:tc>
          <w:tcPr>
            <w:tcW w:w="5485" w:type="dxa"/>
          </w:tcPr>
          <w:p w:rsidR="001024BD" w:rsidRPr="00021DD2" w:rsidRDefault="001024BD" w:rsidP="001024BD">
            <w:pPr>
              <w:rPr>
                <w:rFonts w:cs="Arial"/>
              </w:rPr>
            </w:pPr>
            <w:r w:rsidRPr="00021DD2">
              <w:rPr>
                <w:rFonts w:cs="Arial"/>
              </w:rPr>
              <w:t>Bourke Primary School</w:t>
            </w:r>
          </w:p>
        </w:tc>
        <w:tc>
          <w:tcPr>
            <w:tcW w:w="2024" w:type="dxa"/>
          </w:tcPr>
          <w:p w:rsidR="001024BD" w:rsidRPr="00021DD2" w:rsidRDefault="001024BD" w:rsidP="001024BD">
            <w:pPr>
              <w:rPr>
                <w:rFonts w:cs="Arial"/>
              </w:rPr>
            </w:pPr>
            <w:r w:rsidRPr="00021DD2">
              <w:rPr>
                <w:rFonts w:cs="Arial"/>
              </w:rPr>
              <w:t>Bourke, NSW</w:t>
            </w:r>
          </w:p>
        </w:tc>
      </w:tr>
      <w:tr w:rsidR="001024BD" w:rsidRPr="00021DD2" w:rsidTr="00E34166">
        <w:tc>
          <w:tcPr>
            <w:tcW w:w="1551" w:type="dxa"/>
          </w:tcPr>
          <w:p w:rsidR="001024BD" w:rsidRPr="00021DD2" w:rsidRDefault="001024BD" w:rsidP="001024BD">
            <w:pPr>
              <w:rPr>
                <w:rFonts w:cs="Arial"/>
              </w:rPr>
            </w:pPr>
            <w:r w:rsidRPr="00021DD2">
              <w:rPr>
                <w:rFonts w:cs="Arial"/>
              </w:rPr>
              <w:t>17.08.2017</w:t>
            </w:r>
          </w:p>
        </w:tc>
        <w:tc>
          <w:tcPr>
            <w:tcW w:w="5485" w:type="dxa"/>
          </w:tcPr>
          <w:p w:rsidR="001024BD" w:rsidRPr="00021DD2" w:rsidRDefault="001024BD" w:rsidP="001024BD">
            <w:pPr>
              <w:rPr>
                <w:rFonts w:cs="Arial"/>
              </w:rPr>
            </w:pPr>
            <w:r w:rsidRPr="00021DD2">
              <w:rPr>
                <w:rFonts w:cs="Arial"/>
              </w:rPr>
              <w:t>Professor Susan Sawyer, Professor George Patton, Director Centre for Adolescent Health, The Royal Children’s Hospital</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18.08.2017</w:t>
            </w:r>
          </w:p>
        </w:tc>
        <w:tc>
          <w:tcPr>
            <w:tcW w:w="5485" w:type="dxa"/>
          </w:tcPr>
          <w:p w:rsidR="001024BD" w:rsidRPr="00021DD2" w:rsidRDefault="001024BD" w:rsidP="001024BD">
            <w:pPr>
              <w:rPr>
                <w:rFonts w:cs="Arial"/>
              </w:rPr>
            </w:pPr>
            <w:r w:rsidRPr="00021DD2">
              <w:rPr>
                <w:rFonts w:cs="Arial"/>
              </w:rPr>
              <w:t>Amy Lamoin, Director of Policy and Advocacy and Alison Elliot</w:t>
            </w:r>
            <w:r w:rsidR="00B45A53" w:rsidRPr="00021DD2">
              <w:rPr>
                <w:rFonts w:cs="Arial"/>
              </w:rPr>
              <w:t>,</w:t>
            </w:r>
            <w:r w:rsidRPr="00021DD2">
              <w:rPr>
                <w:rFonts w:cs="Arial"/>
              </w:rPr>
              <w:t xml:space="preserve"> Senior Policy Advisor, UNICEF</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18.08.2017</w:t>
            </w:r>
          </w:p>
        </w:tc>
        <w:tc>
          <w:tcPr>
            <w:tcW w:w="5485" w:type="dxa"/>
          </w:tcPr>
          <w:p w:rsidR="001024BD" w:rsidRPr="00021DD2" w:rsidRDefault="001024BD" w:rsidP="001024BD">
            <w:pPr>
              <w:rPr>
                <w:rFonts w:cs="Arial"/>
              </w:rPr>
            </w:pPr>
            <w:r w:rsidRPr="00021DD2">
              <w:rPr>
                <w:rFonts w:cs="Arial"/>
              </w:rPr>
              <w:t>Joel Clark, Advocacy and Government Relations Advisor, Amnesty International</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22.08.2017</w:t>
            </w:r>
          </w:p>
        </w:tc>
        <w:tc>
          <w:tcPr>
            <w:tcW w:w="5485" w:type="dxa"/>
          </w:tcPr>
          <w:p w:rsidR="001024BD" w:rsidRPr="00021DD2" w:rsidRDefault="001024BD" w:rsidP="001024BD">
            <w:pPr>
              <w:rPr>
                <w:rFonts w:cs="Arial"/>
              </w:rPr>
            </w:pPr>
            <w:r w:rsidRPr="00021DD2">
              <w:rPr>
                <w:rFonts w:cs="Arial"/>
              </w:rPr>
              <w:t>The Hon Minister Brad Hazzard, Minister for Health and Medical Research</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22.08.2017</w:t>
            </w:r>
          </w:p>
        </w:tc>
        <w:tc>
          <w:tcPr>
            <w:tcW w:w="5485" w:type="dxa"/>
          </w:tcPr>
          <w:p w:rsidR="001024BD" w:rsidRPr="00021DD2" w:rsidRDefault="001024BD" w:rsidP="001024BD">
            <w:pPr>
              <w:rPr>
                <w:rFonts w:cs="Arial"/>
              </w:rPr>
            </w:pPr>
            <w:r w:rsidRPr="00021DD2">
              <w:rPr>
                <w:rFonts w:cs="Arial"/>
              </w:rPr>
              <w:t>Deborah Tkalcevic, Assistant Director, Melek Byrne, Director, Children’s Policy Branch, Department of Social Services, Johanne Gow, Manager, Child, Youth and Families and Karen James, Senior Policy Office, Department of Family and Community Services</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23.08.2017</w:t>
            </w:r>
          </w:p>
        </w:tc>
        <w:tc>
          <w:tcPr>
            <w:tcW w:w="5485" w:type="dxa"/>
          </w:tcPr>
          <w:p w:rsidR="001024BD" w:rsidRPr="00021DD2" w:rsidRDefault="001024BD" w:rsidP="001024BD">
            <w:pPr>
              <w:rPr>
                <w:rFonts w:cs="Arial"/>
              </w:rPr>
            </w:pPr>
            <w:r w:rsidRPr="00021DD2">
              <w:rPr>
                <w:rFonts w:cs="Arial"/>
              </w:rPr>
              <w:t>Dr Tim Reddel, Group Manager, Policy Office, Department of Social Services</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23.08.2017</w:t>
            </w:r>
          </w:p>
        </w:tc>
        <w:tc>
          <w:tcPr>
            <w:tcW w:w="5485" w:type="dxa"/>
          </w:tcPr>
          <w:p w:rsidR="001024BD" w:rsidRPr="00021DD2" w:rsidRDefault="001024BD" w:rsidP="00FE2608">
            <w:pPr>
              <w:rPr>
                <w:rFonts w:cs="Arial"/>
              </w:rPr>
            </w:pPr>
            <w:r w:rsidRPr="00021DD2">
              <w:rPr>
                <w:rFonts w:cs="Arial"/>
              </w:rPr>
              <w:t>Kate Gumley, Senior Policy and Programs Director, N</w:t>
            </w:r>
            <w:r w:rsidR="00FE2608">
              <w:rPr>
                <w:rFonts w:cs="Arial"/>
              </w:rPr>
              <w:t xml:space="preserve">ational </w:t>
            </w:r>
            <w:r w:rsidRPr="00021DD2">
              <w:rPr>
                <w:rFonts w:cs="Arial"/>
              </w:rPr>
              <w:t>A</w:t>
            </w:r>
            <w:r w:rsidR="00FE2608">
              <w:rPr>
                <w:rFonts w:cs="Arial"/>
              </w:rPr>
              <w:t xml:space="preserve">boriginal </w:t>
            </w:r>
            <w:r w:rsidRPr="00021DD2">
              <w:rPr>
                <w:rFonts w:cs="Arial"/>
              </w:rPr>
              <w:t>C</w:t>
            </w:r>
            <w:r w:rsidR="00FE2608">
              <w:rPr>
                <w:rFonts w:cs="Arial"/>
              </w:rPr>
              <w:t xml:space="preserve">ommunity Controlled </w:t>
            </w:r>
            <w:r w:rsidRPr="00021DD2">
              <w:rPr>
                <w:rFonts w:cs="Arial"/>
              </w:rPr>
              <w:t>H</w:t>
            </w:r>
            <w:r w:rsidR="00FE2608">
              <w:rPr>
                <w:rFonts w:cs="Arial"/>
              </w:rPr>
              <w:t xml:space="preserve">ealth </w:t>
            </w:r>
            <w:r w:rsidRPr="00021DD2">
              <w:rPr>
                <w:rFonts w:cs="Arial"/>
              </w:rPr>
              <w:t>O</w:t>
            </w:r>
            <w:r w:rsidR="00FE2608">
              <w:rPr>
                <w:rFonts w:cs="Arial"/>
              </w:rPr>
              <w:t>rganisation</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23.08.2017</w:t>
            </w:r>
          </w:p>
        </w:tc>
        <w:tc>
          <w:tcPr>
            <w:tcW w:w="5485" w:type="dxa"/>
          </w:tcPr>
          <w:p w:rsidR="001024BD" w:rsidRPr="00021DD2" w:rsidRDefault="001024BD" w:rsidP="001024BD">
            <w:pPr>
              <w:rPr>
                <w:rFonts w:cs="Arial"/>
              </w:rPr>
            </w:pPr>
            <w:r w:rsidRPr="00021DD2">
              <w:rPr>
                <w:rFonts w:cs="Arial"/>
              </w:rPr>
              <w:t>Dr Brian Babington, CEO, Families Australia</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23.08.2017</w:t>
            </w:r>
          </w:p>
        </w:tc>
        <w:tc>
          <w:tcPr>
            <w:tcW w:w="5485" w:type="dxa"/>
          </w:tcPr>
          <w:p w:rsidR="001024BD" w:rsidRPr="00021DD2" w:rsidRDefault="001024BD" w:rsidP="001024BD">
            <w:pPr>
              <w:rPr>
                <w:rFonts w:cs="Arial"/>
              </w:rPr>
            </w:pPr>
            <w:r w:rsidRPr="00021DD2">
              <w:rPr>
                <w:rFonts w:cs="Arial"/>
              </w:rPr>
              <w:t>Barry Sandison, CEO, A</w:t>
            </w:r>
            <w:r w:rsidR="00FE2608">
              <w:rPr>
                <w:rFonts w:cs="Arial"/>
              </w:rPr>
              <w:t>ustralian</w:t>
            </w:r>
            <w:r w:rsidR="002907E6">
              <w:rPr>
                <w:rFonts w:cs="Arial"/>
              </w:rPr>
              <w:t xml:space="preserve"> </w:t>
            </w:r>
            <w:r w:rsidRPr="00021DD2">
              <w:rPr>
                <w:rFonts w:cs="Arial"/>
              </w:rPr>
              <w:t>I</w:t>
            </w:r>
            <w:r w:rsidR="002907E6">
              <w:rPr>
                <w:rFonts w:cs="Arial"/>
              </w:rPr>
              <w:t xml:space="preserve">nstitute of </w:t>
            </w:r>
            <w:r w:rsidRPr="00021DD2">
              <w:rPr>
                <w:rFonts w:cs="Arial"/>
              </w:rPr>
              <w:t>H</w:t>
            </w:r>
            <w:r w:rsidR="002907E6">
              <w:rPr>
                <w:rFonts w:cs="Arial"/>
              </w:rPr>
              <w:t xml:space="preserve">ealth and </w:t>
            </w:r>
            <w:r w:rsidRPr="00021DD2">
              <w:rPr>
                <w:rFonts w:cs="Arial"/>
              </w:rPr>
              <w:t>W</w:t>
            </w:r>
            <w:r w:rsidR="002907E6">
              <w:rPr>
                <w:rFonts w:cs="Arial"/>
              </w:rPr>
              <w:t>elfare</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23.08.2017</w:t>
            </w:r>
          </w:p>
        </w:tc>
        <w:tc>
          <w:tcPr>
            <w:tcW w:w="5485" w:type="dxa"/>
          </w:tcPr>
          <w:p w:rsidR="001024BD" w:rsidRPr="00021DD2" w:rsidRDefault="001024BD" w:rsidP="001024BD">
            <w:pPr>
              <w:rPr>
                <w:rFonts w:cs="Arial"/>
              </w:rPr>
            </w:pPr>
            <w:r w:rsidRPr="00021DD2">
              <w:rPr>
                <w:rFonts w:cs="Arial"/>
              </w:rPr>
              <w:t>Peter Downs, CEO, Play By the Rules</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24.08.2017</w:t>
            </w:r>
          </w:p>
        </w:tc>
        <w:tc>
          <w:tcPr>
            <w:tcW w:w="5485" w:type="dxa"/>
          </w:tcPr>
          <w:p w:rsidR="001024BD" w:rsidRPr="00021DD2" w:rsidRDefault="001024BD" w:rsidP="001024BD">
            <w:pPr>
              <w:rPr>
                <w:rFonts w:cs="Arial"/>
              </w:rPr>
            </w:pPr>
            <w:r w:rsidRPr="00021DD2">
              <w:rPr>
                <w:rFonts w:cs="Arial"/>
              </w:rPr>
              <w:t>Janet Schorer, NSW Children’s Guardian</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24.08.2017</w:t>
            </w:r>
          </w:p>
        </w:tc>
        <w:tc>
          <w:tcPr>
            <w:tcW w:w="5485" w:type="dxa"/>
          </w:tcPr>
          <w:p w:rsidR="001024BD" w:rsidRPr="00021DD2" w:rsidRDefault="001024BD" w:rsidP="001024BD">
            <w:pPr>
              <w:rPr>
                <w:rFonts w:cs="Arial"/>
              </w:rPr>
            </w:pPr>
            <w:r w:rsidRPr="00021DD2">
              <w:rPr>
                <w:rFonts w:cs="Arial"/>
              </w:rPr>
              <w:t>Leonie Campbell, Executive Policy Lawyer, Law Council of Australia</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24.0</w:t>
            </w:r>
            <w:r w:rsidR="002907E6">
              <w:rPr>
                <w:rFonts w:cs="Arial"/>
              </w:rPr>
              <w:t>8</w:t>
            </w:r>
            <w:r w:rsidRPr="00021DD2">
              <w:rPr>
                <w:rFonts w:cs="Arial"/>
              </w:rPr>
              <w:t>.2017</w:t>
            </w:r>
          </w:p>
        </w:tc>
        <w:tc>
          <w:tcPr>
            <w:tcW w:w="5485" w:type="dxa"/>
          </w:tcPr>
          <w:p w:rsidR="001024BD" w:rsidRPr="00021DD2" w:rsidRDefault="001024BD" w:rsidP="001024BD">
            <w:pPr>
              <w:rPr>
                <w:rFonts w:cs="Arial"/>
              </w:rPr>
            </w:pPr>
            <w:r w:rsidRPr="00021DD2">
              <w:rPr>
                <w:rFonts w:cs="Arial"/>
              </w:rPr>
              <w:t xml:space="preserve">Autumn O’Keefe, Attorney General’s Assistant Secretary, Penelope Davie, Attorney General’s Assistant Director </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28.08.2017</w:t>
            </w:r>
          </w:p>
        </w:tc>
        <w:tc>
          <w:tcPr>
            <w:tcW w:w="5485" w:type="dxa"/>
          </w:tcPr>
          <w:p w:rsidR="001024BD" w:rsidRPr="00021DD2" w:rsidRDefault="001024BD" w:rsidP="001024BD">
            <w:pPr>
              <w:rPr>
                <w:rFonts w:cs="Arial"/>
              </w:rPr>
            </w:pPr>
            <w:r w:rsidRPr="00021DD2">
              <w:rPr>
                <w:rFonts w:cs="Arial"/>
              </w:rPr>
              <w:t>Dr Tim Moore, Senior Research Fellow, Institute of Child Protection Studies</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30.08.2017</w:t>
            </w:r>
          </w:p>
        </w:tc>
        <w:tc>
          <w:tcPr>
            <w:tcW w:w="5485" w:type="dxa"/>
          </w:tcPr>
          <w:p w:rsidR="001024BD" w:rsidRPr="00021DD2" w:rsidRDefault="001024BD" w:rsidP="001024BD">
            <w:pPr>
              <w:rPr>
                <w:rFonts w:cs="Arial"/>
              </w:rPr>
            </w:pPr>
            <w:r w:rsidRPr="00021DD2">
              <w:rPr>
                <w:rFonts w:cs="Arial"/>
              </w:rPr>
              <w:t xml:space="preserve">Penny Markham, National </w:t>
            </w:r>
            <w:r w:rsidR="002907E6">
              <w:rPr>
                <w:rFonts w:cs="Arial"/>
              </w:rPr>
              <w:t>L</w:t>
            </w:r>
            <w:r w:rsidRPr="00021DD2">
              <w:rPr>
                <w:rFonts w:cs="Arial"/>
              </w:rPr>
              <w:t>ead Social Inclusion Goodstart</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30.08.2017</w:t>
            </w:r>
          </w:p>
        </w:tc>
        <w:tc>
          <w:tcPr>
            <w:tcW w:w="5485" w:type="dxa"/>
          </w:tcPr>
          <w:p w:rsidR="001024BD" w:rsidRPr="00021DD2" w:rsidRDefault="001024BD" w:rsidP="001024BD">
            <w:pPr>
              <w:rPr>
                <w:rFonts w:cs="Arial"/>
              </w:rPr>
            </w:pPr>
            <w:r w:rsidRPr="00021DD2">
              <w:rPr>
                <w:rFonts w:cs="Arial"/>
              </w:rPr>
              <w:t>Keith Waters, EO, National Youth Commission</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06.09.2017</w:t>
            </w:r>
          </w:p>
        </w:tc>
        <w:tc>
          <w:tcPr>
            <w:tcW w:w="5485" w:type="dxa"/>
          </w:tcPr>
          <w:p w:rsidR="001024BD" w:rsidRPr="00021DD2" w:rsidRDefault="001024BD" w:rsidP="001024BD">
            <w:pPr>
              <w:rPr>
                <w:rFonts w:cs="Arial"/>
              </w:rPr>
            </w:pPr>
            <w:r w:rsidRPr="00021DD2">
              <w:rPr>
                <w:rFonts w:cs="Arial"/>
              </w:rPr>
              <w:t>Online Safety Consultative Working Group Contact and Content Sub-Committee Meeting</w:t>
            </w:r>
          </w:p>
        </w:tc>
        <w:tc>
          <w:tcPr>
            <w:tcW w:w="2024" w:type="dxa"/>
          </w:tcPr>
          <w:p w:rsidR="001024BD" w:rsidRPr="00021DD2" w:rsidRDefault="001024BD" w:rsidP="001024BD">
            <w:pPr>
              <w:rPr>
                <w:rFonts w:cs="Arial"/>
              </w:rPr>
            </w:pPr>
            <w:r w:rsidRPr="00021DD2">
              <w:rPr>
                <w:rFonts w:cs="Arial"/>
              </w:rPr>
              <w:t>Sydney, NSW</w:t>
            </w:r>
          </w:p>
        </w:tc>
      </w:tr>
      <w:tr w:rsidR="001024BD" w:rsidRPr="00021DD2" w:rsidTr="00E34166">
        <w:tc>
          <w:tcPr>
            <w:tcW w:w="1551" w:type="dxa"/>
          </w:tcPr>
          <w:p w:rsidR="001024BD" w:rsidRPr="00021DD2" w:rsidRDefault="001024BD" w:rsidP="001024BD">
            <w:pPr>
              <w:rPr>
                <w:rFonts w:cs="Arial"/>
              </w:rPr>
            </w:pPr>
            <w:r w:rsidRPr="00021DD2">
              <w:rPr>
                <w:rFonts w:cs="Arial"/>
              </w:rPr>
              <w:t>13.09.2017</w:t>
            </w:r>
          </w:p>
        </w:tc>
        <w:tc>
          <w:tcPr>
            <w:tcW w:w="5485" w:type="dxa"/>
          </w:tcPr>
          <w:p w:rsidR="001024BD" w:rsidRPr="00021DD2" w:rsidRDefault="001024BD" w:rsidP="001024BD">
            <w:pPr>
              <w:rPr>
                <w:rFonts w:cs="Arial"/>
              </w:rPr>
            </w:pPr>
            <w:r w:rsidRPr="00021DD2">
              <w:rPr>
                <w:rFonts w:cs="Arial"/>
              </w:rPr>
              <w:t>Brooke Hartigan, Children’s Policy Branch Manager, Department of Social Services</w:t>
            </w:r>
          </w:p>
        </w:tc>
        <w:tc>
          <w:tcPr>
            <w:tcW w:w="2024" w:type="dxa"/>
          </w:tcPr>
          <w:p w:rsidR="001024BD" w:rsidRPr="00021DD2" w:rsidRDefault="001024BD" w:rsidP="001024BD">
            <w:pPr>
              <w:rPr>
                <w:rFonts w:cs="Arial"/>
              </w:rPr>
            </w:pPr>
            <w:r w:rsidRPr="00021DD2">
              <w:rPr>
                <w:rFonts w:cs="Arial"/>
              </w:rPr>
              <w:t xml:space="preserve">Canberra, </w:t>
            </w:r>
            <w:r w:rsidR="00123624">
              <w:rPr>
                <w:rFonts w:cs="Arial"/>
              </w:rPr>
              <w:t>ACT</w:t>
            </w:r>
          </w:p>
        </w:tc>
      </w:tr>
      <w:tr w:rsidR="001024BD" w:rsidRPr="00021DD2" w:rsidTr="00E34166">
        <w:tc>
          <w:tcPr>
            <w:tcW w:w="1551" w:type="dxa"/>
          </w:tcPr>
          <w:p w:rsidR="001024BD" w:rsidRPr="00021DD2" w:rsidRDefault="001024BD" w:rsidP="001024BD">
            <w:pPr>
              <w:rPr>
                <w:rFonts w:cs="Arial"/>
              </w:rPr>
            </w:pPr>
            <w:r w:rsidRPr="00021DD2">
              <w:rPr>
                <w:rFonts w:cs="Arial"/>
              </w:rPr>
              <w:t>19.08.2017</w:t>
            </w:r>
          </w:p>
        </w:tc>
        <w:tc>
          <w:tcPr>
            <w:tcW w:w="5485" w:type="dxa"/>
          </w:tcPr>
          <w:p w:rsidR="001024BD" w:rsidRPr="00021DD2" w:rsidRDefault="001024BD" w:rsidP="001024BD">
            <w:pPr>
              <w:rPr>
                <w:rFonts w:cs="Arial"/>
              </w:rPr>
            </w:pPr>
            <w:r w:rsidRPr="00021DD2">
              <w:rPr>
                <w:rFonts w:cs="Arial"/>
              </w:rPr>
              <w:t>National Respectful Relationships Education Expert Group</w:t>
            </w:r>
          </w:p>
        </w:tc>
        <w:tc>
          <w:tcPr>
            <w:tcW w:w="2024" w:type="dxa"/>
          </w:tcPr>
          <w:p w:rsidR="001024BD" w:rsidRPr="00021DD2" w:rsidRDefault="001024BD" w:rsidP="001024BD">
            <w:pPr>
              <w:rPr>
                <w:rFonts w:cs="Arial"/>
              </w:rPr>
            </w:pPr>
            <w:r w:rsidRPr="00021DD2">
              <w:rPr>
                <w:rFonts w:cs="Arial"/>
              </w:rPr>
              <w:t>Canberra, ACT</w:t>
            </w:r>
          </w:p>
        </w:tc>
      </w:tr>
      <w:tr w:rsidR="001024BD" w:rsidRPr="00021DD2" w:rsidTr="00E34166">
        <w:tc>
          <w:tcPr>
            <w:tcW w:w="1551" w:type="dxa"/>
          </w:tcPr>
          <w:p w:rsidR="001024BD" w:rsidRPr="00021DD2" w:rsidRDefault="001024BD" w:rsidP="001024BD">
            <w:pPr>
              <w:rPr>
                <w:rFonts w:cs="Arial"/>
              </w:rPr>
            </w:pPr>
            <w:r w:rsidRPr="00021DD2">
              <w:rPr>
                <w:rFonts w:cs="Arial"/>
              </w:rPr>
              <w:t>21.09.2017</w:t>
            </w:r>
          </w:p>
        </w:tc>
        <w:tc>
          <w:tcPr>
            <w:tcW w:w="5485" w:type="dxa"/>
          </w:tcPr>
          <w:p w:rsidR="001024BD" w:rsidRPr="00021DD2" w:rsidRDefault="001024BD" w:rsidP="001024BD">
            <w:pPr>
              <w:rPr>
                <w:rFonts w:cs="Arial"/>
              </w:rPr>
            </w:pPr>
            <w:r w:rsidRPr="00021DD2">
              <w:rPr>
                <w:rFonts w:cs="Arial"/>
              </w:rPr>
              <w:t>Professor Keith Kaufman, Portland State University</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28.09.2017</w:t>
            </w:r>
          </w:p>
        </w:tc>
        <w:tc>
          <w:tcPr>
            <w:tcW w:w="5485" w:type="dxa"/>
          </w:tcPr>
          <w:p w:rsidR="001024BD" w:rsidRPr="00021DD2" w:rsidRDefault="001024BD" w:rsidP="001024BD">
            <w:pPr>
              <w:rPr>
                <w:rFonts w:cs="Arial"/>
              </w:rPr>
            </w:pPr>
            <w:r w:rsidRPr="00021DD2">
              <w:rPr>
                <w:rFonts w:cs="Arial"/>
              </w:rPr>
              <w:t>Meredith Kiraly, Research Fellow, Department of Social Work, The University of Melbourne</w:t>
            </w:r>
          </w:p>
        </w:tc>
        <w:tc>
          <w:tcPr>
            <w:tcW w:w="2024" w:type="dxa"/>
          </w:tcPr>
          <w:p w:rsidR="001024BD" w:rsidRPr="00021DD2" w:rsidRDefault="001024BD" w:rsidP="001024BD">
            <w:pPr>
              <w:rPr>
                <w:rFonts w:cs="Arial"/>
              </w:rPr>
            </w:pPr>
            <w:r w:rsidRPr="00021DD2">
              <w:rPr>
                <w:rFonts w:cs="Arial"/>
              </w:rPr>
              <w:t>AHRC, NSW</w:t>
            </w:r>
          </w:p>
        </w:tc>
      </w:tr>
      <w:tr w:rsidR="001024BD" w:rsidRPr="00021DD2" w:rsidTr="00E34166">
        <w:tc>
          <w:tcPr>
            <w:tcW w:w="1551" w:type="dxa"/>
          </w:tcPr>
          <w:p w:rsidR="001024BD" w:rsidRPr="00021DD2" w:rsidRDefault="001024BD" w:rsidP="001024BD">
            <w:pPr>
              <w:rPr>
                <w:rFonts w:cs="Arial"/>
              </w:rPr>
            </w:pPr>
            <w:r w:rsidRPr="00021DD2">
              <w:rPr>
                <w:rFonts w:cs="Arial"/>
              </w:rPr>
              <w:t>28.09.2017</w:t>
            </w:r>
          </w:p>
        </w:tc>
        <w:tc>
          <w:tcPr>
            <w:tcW w:w="5485" w:type="dxa"/>
          </w:tcPr>
          <w:p w:rsidR="001024BD" w:rsidRPr="00021DD2" w:rsidRDefault="001024BD" w:rsidP="002907E6">
            <w:pPr>
              <w:rPr>
                <w:rFonts w:cs="Arial"/>
              </w:rPr>
            </w:pPr>
            <w:r w:rsidRPr="00021DD2">
              <w:rPr>
                <w:rFonts w:cs="Arial"/>
              </w:rPr>
              <w:t>National Forum and N</w:t>
            </w:r>
            <w:r w:rsidR="00B45A53" w:rsidRPr="00021DD2">
              <w:rPr>
                <w:rFonts w:cs="Arial"/>
              </w:rPr>
              <w:t xml:space="preserve">ational </w:t>
            </w:r>
            <w:r w:rsidRPr="00021DD2">
              <w:rPr>
                <w:rFonts w:cs="Arial"/>
              </w:rPr>
              <w:t>D</w:t>
            </w:r>
            <w:r w:rsidR="00B45A53" w:rsidRPr="00021DD2">
              <w:rPr>
                <w:rFonts w:cs="Arial"/>
              </w:rPr>
              <w:t xml:space="preserve">isability Insurance </w:t>
            </w:r>
            <w:r w:rsidRPr="00021DD2">
              <w:rPr>
                <w:rFonts w:cs="Arial"/>
              </w:rPr>
              <w:t>A</w:t>
            </w:r>
            <w:r w:rsidR="00B45A53" w:rsidRPr="00021DD2">
              <w:rPr>
                <w:rFonts w:cs="Arial"/>
              </w:rPr>
              <w:t>gency</w:t>
            </w:r>
            <w:r w:rsidRPr="00021DD2">
              <w:rPr>
                <w:rFonts w:cs="Arial"/>
              </w:rPr>
              <w:t xml:space="preserve"> </w:t>
            </w:r>
          </w:p>
        </w:tc>
        <w:tc>
          <w:tcPr>
            <w:tcW w:w="2024" w:type="dxa"/>
          </w:tcPr>
          <w:p w:rsidR="001024BD" w:rsidRPr="00021DD2" w:rsidRDefault="001024BD" w:rsidP="001024BD">
            <w:pPr>
              <w:rPr>
                <w:rFonts w:cs="Arial"/>
              </w:rPr>
            </w:pPr>
            <w:r w:rsidRPr="00021DD2">
              <w:rPr>
                <w:rFonts w:cs="Arial"/>
              </w:rPr>
              <w:t>AHRC, NSW</w:t>
            </w:r>
          </w:p>
        </w:tc>
      </w:tr>
    </w:tbl>
    <w:p w:rsidR="001024BD" w:rsidRPr="00021DD2" w:rsidRDefault="001024BD" w:rsidP="00D96AD0">
      <w:pPr>
        <w:rPr>
          <w:rFonts w:cs="Arial"/>
        </w:rPr>
      </w:pPr>
    </w:p>
    <w:p w:rsidR="00222517" w:rsidRDefault="00222517">
      <w:pPr>
        <w:keepLines w:val="0"/>
        <w:spacing w:before="0" w:after="0"/>
        <w:rPr>
          <w:rFonts w:cs="Arial"/>
        </w:rPr>
      </w:pPr>
      <w:r>
        <w:rPr>
          <w:rFonts w:cs="Arial"/>
        </w:rPr>
        <w:br w:type="page"/>
      </w:r>
    </w:p>
    <w:p w:rsidR="00A35E2A" w:rsidRPr="00021DD2" w:rsidRDefault="00A35E2A" w:rsidP="00222517">
      <w:pPr>
        <w:pStyle w:val="Titolo6"/>
      </w:pPr>
      <w:bookmarkStart w:id="159" w:name="_Toc500308849"/>
      <w:r w:rsidRPr="00021DD2">
        <w:t>Membership of advisory groups and ambassadorships</w:t>
      </w:r>
      <w:bookmarkEnd w:id="159"/>
    </w:p>
    <w:p w:rsidR="00A35E2A" w:rsidRPr="00021DD2" w:rsidRDefault="00A35E2A" w:rsidP="00B934D7">
      <w:pPr>
        <w:pStyle w:val="Paragrafoelenco"/>
        <w:numPr>
          <w:ilvl w:val="0"/>
          <w:numId w:val="45"/>
        </w:numPr>
        <w:spacing w:before="0" w:after="0"/>
        <w:jc w:val="left"/>
      </w:pPr>
      <w:r w:rsidRPr="00021DD2">
        <w:t>National Forum for Protecting Australia’s Children</w:t>
      </w:r>
    </w:p>
    <w:p w:rsidR="00A35E2A" w:rsidRPr="00021DD2" w:rsidRDefault="00A35E2A" w:rsidP="00B934D7">
      <w:pPr>
        <w:pStyle w:val="Paragrafoelenco"/>
        <w:numPr>
          <w:ilvl w:val="0"/>
          <w:numId w:val="45"/>
        </w:numPr>
        <w:spacing w:before="0" w:after="0"/>
        <w:jc w:val="left"/>
      </w:pPr>
      <w:r w:rsidRPr="00021DD2">
        <w:t>Children’s Week National Ambassador, 2017 and member of Children’s Week Committee</w:t>
      </w:r>
    </w:p>
    <w:p w:rsidR="00A35E2A" w:rsidRPr="00021DD2" w:rsidRDefault="00A35E2A" w:rsidP="00B934D7">
      <w:pPr>
        <w:pStyle w:val="Paragrafoelenco"/>
        <w:numPr>
          <w:ilvl w:val="0"/>
          <w:numId w:val="45"/>
        </w:numPr>
        <w:spacing w:before="0" w:after="0"/>
        <w:jc w:val="left"/>
      </w:pPr>
      <w:r w:rsidRPr="00021DD2">
        <w:t>Bourke Maranguka Cross-Sector Leadership Group, Just Reinvest NSW</w:t>
      </w:r>
    </w:p>
    <w:p w:rsidR="00A35E2A" w:rsidRPr="00021DD2" w:rsidRDefault="00A35E2A" w:rsidP="00B934D7">
      <w:pPr>
        <w:pStyle w:val="Paragrafoelenco"/>
        <w:numPr>
          <w:ilvl w:val="0"/>
          <w:numId w:val="45"/>
        </w:numPr>
        <w:spacing w:before="0" w:after="0"/>
        <w:jc w:val="left"/>
      </w:pPr>
      <w:r w:rsidRPr="00021DD2">
        <w:t xml:space="preserve">Justice Reinvestment Champion </w:t>
      </w:r>
    </w:p>
    <w:p w:rsidR="00A35E2A" w:rsidRPr="00021DD2" w:rsidRDefault="00A35E2A" w:rsidP="00B934D7">
      <w:pPr>
        <w:pStyle w:val="Paragrafoelenco"/>
        <w:numPr>
          <w:ilvl w:val="0"/>
          <w:numId w:val="45"/>
        </w:numPr>
        <w:spacing w:before="0" w:after="0"/>
        <w:jc w:val="left"/>
      </w:pPr>
      <w:r w:rsidRPr="00021DD2">
        <w:t>Australian Children’s Commissioners and Guardians</w:t>
      </w:r>
    </w:p>
    <w:p w:rsidR="00A35E2A" w:rsidRPr="00021DD2" w:rsidRDefault="00A35E2A" w:rsidP="00B934D7">
      <w:pPr>
        <w:pStyle w:val="Paragrafoelenco"/>
        <w:numPr>
          <w:ilvl w:val="0"/>
          <w:numId w:val="45"/>
        </w:numPr>
        <w:spacing w:before="0" w:after="0"/>
        <w:jc w:val="left"/>
      </w:pPr>
      <w:r w:rsidRPr="00021DD2">
        <w:t>Australian Council of Human Rights Agencies</w:t>
      </w:r>
    </w:p>
    <w:p w:rsidR="00A35E2A" w:rsidRPr="00021DD2" w:rsidRDefault="00A35E2A" w:rsidP="00B934D7">
      <w:pPr>
        <w:pStyle w:val="Paragrafoelenco"/>
        <w:numPr>
          <w:ilvl w:val="0"/>
          <w:numId w:val="45"/>
        </w:numPr>
        <w:spacing w:before="0" w:after="0"/>
        <w:jc w:val="left"/>
      </w:pPr>
      <w:r w:rsidRPr="00021DD2">
        <w:t>Aboriginal and Torres Strait Islander Suicide Prevention Evaluation Project</w:t>
      </w:r>
    </w:p>
    <w:p w:rsidR="00A35E2A" w:rsidRPr="00021DD2" w:rsidRDefault="00A35E2A" w:rsidP="00B934D7">
      <w:pPr>
        <w:pStyle w:val="Paragrafoelenco"/>
        <w:numPr>
          <w:ilvl w:val="0"/>
          <w:numId w:val="45"/>
        </w:numPr>
        <w:spacing w:before="0" w:after="0"/>
        <w:jc w:val="left"/>
      </w:pPr>
      <w:r w:rsidRPr="00021DD2">
        <w:t>Australian and New Zealand Child Death Review and Prevention Group</w:t>
      </w:r>
    </w:p>
    <w:p w:rsidR="00A35E2A" w:rsidRPr="00021DD2" w:rsidRDefault="00A35E2A" w:rsidP="00B934D7">
      <w:pPr>
        <w:pStyle w:val="Paragrafoelenco"/>
        <w:numPr>
          <w:ilvl w:val="0"/>
          <w:numId w:val="45"/>
        </w:numPr>
        <w:spacing w:before="0" w:after="0"/>
        <w:jc w:val="left"/>
      </w:pPr>
      <w:r w:rsidRPr="00021DD2">
        <w:t>Australian Child Rights Taskforce</w:t>
      </w:r>
    </w:p>
    <w:p w:rsidR="00A35E2A" w:rsidRPr="00021DD2" w:rsidRDefault="00A35E2A" w:rsidP="00B934D7">
      <w:pPr>
        <w:pStyle w:val="Paragrafoelenco"/>
        <w:numPr>
          <w:ilvl w:val="0"/>
          <w:numId w:val="45"/>
        </w:numPr>
        <w:spacing w:before="0" w:after="0"/>
        <w:jc w:val="left"/>
      </w:pPr>
      <w:r w:rsidRPr="00021DD2">
        <w:t>Berry Street Childhood Alliance</w:t>
      </w:r>
    </w:p>
    <w:p w:rsidR="00A35E2A" w:rsidRPr="00021DD2" w:rsidRDefault="00A35E2A" w:rsidP="00B934D7">
      <w:pPr>
        <w:pStyle w:val="Paragrafoelenco"/>
        <w:numPr>
          <w:ilvl w:val="0"/>
          <w:numId w:val="45"/>
        </w:numPr>
        <w:spacing w:before="0" w:after="0"/>
        <w:jc w:val="left"/>
      </w:pPr>
      <w:r w:rsidRPr="00021DD2">
        <w:t>Centre for Excellence of Indigenous Thriving Futures Advisory Board</w:t>
      </w:r>
    </w:p>
    <w:p w:rsidR="00A35E2A" w:rsidRPr="00021DD2" w:rsidRDefault="00A35E2A" w:rsidP="00B934D7">
      <w:pPr>
        <w:pStyle w:val="Paragrafoelenco"/>
        <w:numPr>
          <w:ilvl w:val="0"/>
          <w:numId w:val="45"/>
        </w:numPr>
        <w:spacing w:before="0" w:after="0"/>
        <w:jc w:val="left"/>
      </w:pPr>
      <w:r w:rsidRPr="00021DD2">
        <w:t>Child Cybersex Crime Research Project Advisory Board, Behind the Screen, Anti-Slavery Australia</w:t>
      </w:r>
    </w:p>
    <w:p w:rsidR="00A35E2A" w:rsidRPr="00021DD2" w:rsidRDefault="00A35E2A" w:rsidP="00B934D7">
      <w:pPr>
        <w:pStyle w:val="Paragrafoelenco"/>
        <w:numPr>
          <w:ilvl w:val="0"/>
          <w:numId w:val="45"/>
        </w:numPr>
        <w:spacing w:before="0" w:after="0"/>
        <w:jc w:val="left"/>
      </w:pPr>
      <w:r w:rsidRPr="00021DD2">
        <w:t>Children’s Book Council of Australia</w:t>
      </w:r>
      <w:r w:rsidR="00A21393">
        <w:t>,</w:t>
      </w:r>
      <w:r w:rsidR="009300E5">
        <w:t xml:space="preserve"> </w:t>
      </w:r>
      <w:r w:rsidRPr="00021DD2">
        <w:t>Patron, NSW Branch</w:t>
      </w:r>
    </w:p>
    <w:p w:rsidR="00A35E2A" w:rsidRPr="00021DD2" w:rsidRDefault="00A35E2A" w:rsidP="00B934D7">
      <w:pPr>
        <w:pStyle w:val="Paragrafoelenco"/>
        <w:numPr>
          <w:ilvl w:val="0"/>
          <w:numId w:val="45"/>
        </w:numPr>
        <w:spacing w:before="0" w:after="0"/>
        <w:jc w:val="left"/>
      </w:pPr>
      <w:r w:rsidRPr="00021DD2">
        <w:t>Children’s Parliament 2168, Liverpool City Council, Ambassador’s Panel</w:t>
      </w:r>
    </w:p>
    <w:p w:rsidR="00A35E2A" w:rsidRPr="00021DD2" w:rsidRDefault="00A35E2A" w:rsidP="00B934D7">
      <w:pPr>
        <w:pStyle w:val="Paragrafoelenco"/>
        <w:numPr>
          <w:ilvl w:val="0"/>
          <w:numId w:val="45"/>
        </w:numPr>
        <w:spacing w:before="0" w:after="0"/>
        <w:jc w:val="left"/>
      </w:pPr>
      <w:r w:rsidRPr="00021DD2">
        <w:t>National Identity Documents Working Group co-Chair</w:t>
      </w:r>
    </w:p>
    <w:p w:rsidR="00A35E2A" w:rsidRPr="00021DD2" w:rsidRDefault="00A35E2A" w:rsidP="00B934D7">
      <w:pPr>
        <w:pStyle w:val="Paragrafoelenco"/>
        <w:numPr>
          <w:ilvl w:val="0"/>
          <w:numId w:val="45"/>
        </w:numPr>
        <w:spacing w:before="0" w:after="0"/>
        <w:jc w:val="left"/>
      </w:pPr>
      <w:r w:rsidRPr="00021DD2">
        <w:t>NSW Juvenile Justice Advisory Committee</w:t>
      </w:r>
    </w:p>
    <w:p w:rsidR="00A35E2A" w:rsidRPr="00021DD2" w:rsidRDefault="00A35E2A" w:rsidP="00B934D7">
      <w:pPr>
        <w:pStyle w:val="Paragrafoelenco"/>
        <w:numPr>
          <w:ilvl w:val="0"/>
          <w:numId w:val="45"/>
        </w:numPr>
        <w:spacing w:before="0" w:after="0"/>
        <w:jc w:val="left"/>
      </w:pPr>
      <w:r w:rsidRPr="00021DD2">
        <w:t>National Collaborative Network for Child Health Informatics Advisory Group</w:t>
      </w:r>
    </w:p>
    <w:p w:rsidR="00A35E2A" w:rsidRPr="00021DD2" w:rsidRDefault="00A35E2A" w:rsidP="00B934D7">
      <w:pPr>
        <w:pStyle w:val="Paragrafoelenco"/>
        <w:numPr>
          <w:ilvl w:val="0"/>
          <w:numId w:val="45"/>
        </w:numPr>
        <w:spacing w:before="0" w:after="0"/>
        <w:jc w:val="left"/>
      </w:pPr>
      <w:r w:rsidRPr="00021DD2">
        <w:t>National Online Safety Consultative Working Group</w:t>
      </w:r>
    </w:p>
    <w:p w:rsidR="00A35E2A" w:rsidRPr="00021DD2" w:rsidRDefault="00A35E2A" w:rsidP="00B934D7">
      <w:pPr>
        <w:pStyle w:val="Paragrafoelenco"/>
        <w:numPr>
          <w:ilvl w:val="0"/>
          <w:numId w:val="45"/>
        </w:numPr>
        <w:spacing w:before="0" w:after="0"/>
        <w:jc w:val="left"/>
      </w:pPr>
      <w:r w:rsidRPr="00021DD2">
        <w:t>National Respectful Relationships Education Expert Group</w:t>
      </w:r>
    </w:p>
    <w:p w:rsidR="00A35E2A" w:rsidRPr="00021DD2" w:rsidRDefault="00A35E2A" w:rsidP="00B934D7">
      <w:pPr>
        <w:pStyle w:val="Paragrafoelenco"/>
        <w:numPr>
          <w:ilvl w:val="0"/>
          <w:numId w:val="45"/>
        </w:numPr>
        <w:spacing w:before="0" w:after="0"/>
        <w:jc w:val="left"/>
      </w:pPr>
      <w:r w:rsidRPr="00021DD2">
        <w:t>Advisory Committee, Child Protection Policy in China, S</w:t>
      </w:r>
      <w:r w:rsidR="00B45A53" w:rsidRPr="00021DD2">
        <w:t xml:space="preserve">ocial </w:t>
      </w:r>
      <w:r w:rsidRPr="00021DD2">
        <w:t>P</w:t>
      </w:r>
      <w:r w:rsidR="00B45A53" w:rsidRPr="00021DD2">
        <w:t xml:space="preserve">olicy </w:t>
      </w:r>
      <w:r w:rsidRPr="00021DD2">
        <w:t>R</w:t>
      </w:r>
      <w:r w:rsidR="00B45A53" w:rsidRPr="00021DD2">
        <w:t xml:space="preserve">esearch </w:t>
      </w:r>
      <w:r w:rsidRPr="00021DD2">
        <w:t>C</w:t>
      </w:r>
      <w:r w:rsidR="00B45A53" w:rsidRPr="00021DD2">
        <w:t>entre</w:t>
      </w:r>
      <w:r w:rsidRPr="00021DD2">
        <w:t xml:space="preserve">, UNSW </w:t>
      </w:r>
    </w:p>
    <w:p w:rsidR="00A35E2A" w:rsidRPr="00021DD2" w:rsidRDefault="00A35E2A" w:rsidP="00B934D7">
      <w:pPr>
        <w:pStyle w:val="Paragrafoelenco"/>
        <w:numPr>
          <w:ilvl w:val="0"/>
          <w:numId w:val="45"/>
        </w:numPr>
        <w:spacing w:before="0" w:after="0"/>
        <w:jc w:val="left"/>
      </w:pPr>
      <w:r w:rsidRPr="00021DD2">
        <w:t>Preventing Anxiety and Victimisation through Education Advisory Board</w:t>
      </w:r>
      <w:r w:rsidR="00A21393">
        <w:t xml:space="preserve">. </w:t>
      </w:r>
    </w:p>
    <w:p w:rsidR="00A35E2A" w:rsidRPr="00021DD2" w:rsidRDefault="00A35E2A" w:rsidP="00B63D24">
      <w:pPr>
        <w:rPr>
          <w:rFonts w:cs="Arial"/>
        </w:rPr>
        <w:sectPr w:rsidR="00A35E2A" w:rsidRPr="00021DD2" w:rsidSect="003716C0">
          <w:endnotePr>
            <w:numFmt w:val="decimal"/>
            <w:numRestart w:val="eachSect"/>
          </w:endnotePr>
          <w:pgSz w:w="11906" w:h="16838" w:code="9"/>
          <w:pgMar w:top="1134" w:right="1418" w:bottom="1134" w:left="1418" w:header="709" w:footer="709" w:gutter="0"/>
          <w:cols w:space="708"/>
          <w:docGrid w:linePitch="360"/>
        </w:sectPr>
      </w:pPr>
    </w:p>
    <w:p w:rsidR="00A35E2A" w:rsidRPr="00021DD2" w:rsidRDefault="00A35E2A" w:rsidP="00222517">
      <w:pPr>
        <w:pStyle w:val="Titolo6"/>
      </w:pPr>
      <w:bookmarkStart w:id="160" w:name="_Toc490051868"/>
      <w:bookmarkStart w:id="161" w:name="_Toc500308850"/>
      <w:r w:rsidRPr="00021DD2">
        <w:t>Recent and current reviews of youth justice in Australia</w:t>
      </w:r>
      <w:bookmarkEnd w:id="160"/>
      <w:r w:rsidRPr="000D39B7">
        <w:rPr>
          <w:rStyle w:val="Rimandonotadichiusura"/>
          <w:b w:val="0"/>
        </w:rPr>
        <w:endnoteReference w:id="809"/>
      </w:r>
      <w:bookmarkEnd w:id="161"/>
    </w:p>
    <w:tbl>
      <w:tblPr>
        <w:tblStyle w:val="Grigliatabella"/>
        <w:tblW w:w="9611" w:type="dxa"/>
        <w:tblInd w:w="-147" w:type="dxa"/>
        <w:tblCellMar>
          <w:top w:w="113" w:type="dxa"/>
          <w:bottom w:w="113" w:type="dxa"/>
        </w:tblCellMar>
        <w:tblLook w:val="04A0" w:firstRow="1" w:lastRow="0" w:firstColumn="1" w:lastColumn="0" w:noHBand="0" w:noVBand="1"/>
      </w:tblPr>
      <w:tblGrid>
        <w:gridCol w:w="2523"/>
        <w:gridCol w:w="7088"/>
      </w:tblGrid>
      <w:tr w:rsidR="00A35E2A" w:rsidRPr="00021DD2" w:rsidTr="00A35E2A">
        <w:tc>
          <w:tcPr>
            <w:tcW w:w="2523" w:type="dxa"/>
            <w:tcBorders>
              <w:top w:val="single" w:sz="4" w:space="0" w:color="auto"/>
              <w:left w:val="single" w:sz="4" w:space="0" w:color="auto"/>
              <w:bottom w:val="single" w:sz="4" w:space="0" w:color="auto"/>
              <w:right w:val="single" w:sz="4" w:space="0" w:color="auto"/>
            </w:tcBorders>
          </w:tcPr>
          <w:p w:rsidR="00A35E2A" w:rsidRPr="00BB3258" w:rsidRDefault="00A35E2A" w:rsidP="005A1507">
            <w:pPr>
              <w:rPr>
                <w:b/>
                <w:color w:val="0083D0"/>
                <w:lang w:val="en-US"/>
              </w:rPr>
            </w:pPr>
            <w:r w:rsidRPr="00BB3258">
              <w:rPr>
                <w:b/>
                <w:color w:val="0083D0"/>
                <w:lang w:val="en-US"/>
              </w:rPr>
              <w:t>Commonwealt</w:t>
            </w:r>
            <w:r w:rsidR="005A1507" w:rsidRPr="00BB3258">
              <w:rPr>
                <w:b/>
                <w:color w:val="0083D0"/>
                <w:lang w:val="en-US"/>
              </w:rPr>
              <w:t>h</w:t>
            </w:r>
          </w:p>
          <w:p w:rsidR="00A35E2A" w:rsidRPr="00BB3258" w:rsidRDefault="00A35E2A" w:rsidP="005A1507">
            <w:pPr>
              <w:rPr>
                <w:b/>
                <w:lang w:val="en-US"/>
              </w:rPr>
            </w:pPr>
            <w:r w:rsidRPr="00BB3258">
              <w:rPr>
                <w:b/>
                <w:lang w:val="en-US"/>
              </w:rPr>
              <w:t>National Children’s Commissioner’s review of the oversight of youth justice in Australia: implementing OPCAT</w:t>
            </w:r>
          </w:p>
        </w:tc>
        <w:tc>
          <w:tcPr>
            <w:tcW w:w="7088" w:type="dxa"/>
            <w:tcBorders>
              <w:top w:val="single" w:sz="4" w:space="0" w:color="auto"/>
              <w:left w:val="single" w:sz="4" w:space="0" w:color="auto"/>
              <w:bottom w:val="single" w:sz="4" w:space="0" w:color="auto"/>
              <w:right w:val="single" w:sz="4" w:space="0" w:color="auto"/>
            </w:tcBorders>
          </w:tcPr>
          <w:p w:rsidR="00A35E2A" w:rsidRPr="00021DD2" w:rsidRDefault="00A35E2A" w:rsidP="005A1507">
            <w:pPr>
              <w:rPr>
                <w:lang w:val="en-US"/>
              </w:rPr>
            </w:pPr>
            <w:r w:rsidRPr="00021DD2">
              <w:rPr>
                <w:lang w:val="en-US"/>
              </w:rPr>
              <w:t xml:space="preserve">In 2016, the National Children’s Commissioner conducted an investigation into the oversight of youth justice in Australia and the readiness of youth justice processes for the implementation of OPCAT. </w:t>
            </w:r>
          </w:p>
          <w:p w:rsidR="00A35E2A" w:rsidRPr="00021DD2" w:rsidRDefault="00A35E2A" w:rsidP="005A1507">
            <w:pPr>
              <w:rPr>
                <w:lang w:val="en-US"/>
              </w:rPr>
            </w:pPr>
            <w:r w:rsidRPr="00021DD2">
              <w:rPr>
                <w:lang w:val="en-US"/>
              </w:rPr>
              <w:t xml:space="preserve">The findings of that investigation were presented in the National Children’s Commissioner’s </w:t>
            </w:r>
            <w:r w:rsidRPr="00021DD2">
              <w:rPr>
                <w:i/>
                <w:lang w:val="en-US"/>
              </w:rPr>
              <w:t>Children’s Rights Report 2016</w:t>
            </w:r>
            <w:r w:rsidRPr="00021DD2">
              <w:rPr>
                <w:lang w:val="en-US"/>
              </w:rPr>
              <w:t>. The National Children’s Commissioner made several recommendations, including that all jurisdictions commence stocktakes of how their existing systems of monitoring and inspection meet the criteria laid out in OPCAT, and amend their legislative frameworks accordingly.</w:t>
            </w:r>
          </w:p>
        </w:tc>
      </w:tr>
      <w:tr w:rsidR="00A35E2A" w:rsidRPr="00021DD2" w:rsidTr="00A35E2A">
        <w:tc>
          <w:tcPr>
            <w:tcW w:w="2523" w:type="dxa"/>
            <w:tcBorders>
              <w:top w:val="single" w:sz="4" w:space="0" w:color="auto"/>
              <w:left w:val="single" w:sz="4" w:space="0" w:color="auto"/>
              <w:bottom w:val="single" w:sz="4" w:space="0" w:color="auto"/>
              <w:right w:val="single" w:sz="4" w:space="0" w:color="auto"/>
            </w:tcBorders>
          </w:tcPr>
          <w:p w:rsidR="00A35E2A" w:rsidRPr="00BB3258" w:rsidRDefault="00A35E2A" w:rsidP="005A1507">
            <w:pPr>
              <w:rPr>
                <w:b/>
                <w:color w:val="0083D0"/>
                <w:lang w:val="en-US"/>
              </w:rPr>
            </w:pPr>
            <w:r w:rsidRPr="00BB3258">
              <w:rPr>
                <w:b/>
                <w:color w:val="0083D0"/>
                <w:lang w:val="en-US"/>
              </w:rPr>
              <w:t>Northern Territory</w:t>
            </w:r>
          </w:p>
          <w:p w:rsidR="00A35E2A" w:rsidRPr="00BB3258" w:rsidRDefault="00A35E2A" w:rsidP="005A1507">
            <w:pPr>
              <w:rPr>
                <w:b/>
                <w:lang w:val="en-US"/>
              </w:rPr>
            </w:pPr>
            <w:r w:rsidRPr="00BB3258">
              <w:rPr>
                <w:b/>
                <w:lang w:val="en-US"/>
              </w:rPr>
              <w:t>Royal Commission into the protection and detention of children in the Northern Territory</w:t>
            </w:r>
          </w:p>
        </w:tc>
        <w:tc>
          <w:tcPr>
            <w:tcW w:w="7088" w:type="dxa"/>
            <w:tcBorders>
              <w:top w:val="single" w:sz="4" w:space="0" w:color="auto"/>
              <w:left w:val="single" w:sz="4" w:space="0" w:color="auto"/>
              <w:bottom w:val="single" w:sz="4" w:space="0" w:color="auto"/>
              <w:right w:val="single" w:sz="4" w:space="0" w:color="auto"/>
            </w:tcBorders>
            <w:hideMark/>
          </w:tcPr>
          <w:p w:rsidR="001C7EB4" w:rsidRPr="00021DD2" w:rsidRDefault="00A35E2A" w:rsidP="005A1507">
            <w:pPr>
              <w:rPr>
                <w:lang w:val="en-US"/>
              </w:rPr>
            </w:pPr>
            <w:r w:rsidRPr="00021DD2">
              <w:rPr>
                <w:lang w:val="en-US"/>
              </w:rPr>
              <w:t>In July 2016, in response to media reporting about the mistreatment of a number of young people detained in youth justice detention centres in the Northern Territory,</w:t>
            </w:r>
            <w:r w:rsidRPr="00021DD2">
              <w:rPr>
                <w:rStyle w:val="Rimandonotadichiusura"/>
                <w:rFonts w:cs="Arial"/>
                <w:lang w:val="en-US"/>
              </w:rPr>
              <w:endnoteReference w:id="810"/>
            </w:r>
            <w:r w:rsidRPr="00021DD2">
              <w:rPr>
                <w:lang w:val="en-US"/>
              </w:rPr>
              <w:t xml:space="preserve"> the Australian Government established the Royal Commission into the Protection and Detention of Children in the Northern Territory. </w:t>
            </w:r>
          </w:p>
          <w:p w:rsidR="00A35E2A" w:rsidRPr="00021DD2" w:rsidRDefault="00A35E2A" w:rsidP="005A1507">
            <w:pPr>
              <w:rPr>
                <w:lang w:val="en-US"/>
              </w:rPr>
            </w:pPr>
            <w:r w:rsidRPr="00021DD2">
              <w:rPr>
                <w:lang w:val="en-US"/>
              </w:rPr>
              <w:t xml:space="preserve">The Royal Commission began on 1 August 2016, delivered its interim report on 31 March 2017 and is due to deliver its final report in </w:t>
            </w:r>
            <w:r w:rsidR="00A21393">
              <w:rPr>
                <w:lang w:val="en-US"/>
              </w:rPr>
              <w:t>November</w:t>
            </w:r>
            <w:r w:rsidR="00A21393" w:rsidRPr="00021DD2">
              <w:rPr>
                <w:lang w:val="en-US"/>
              </w:rPr>
              <w:t xml:space="preserve"> </w:t>
            </w:r>
            <w:r w:rsidRPr="00021DD2">
              <w:rPr>
                <w:lang w:val="en-US"/>
              </w:rPr>
              <w:t>2017.</w:t>
            </w:r>
            <w:r w:rsidRPr="00021DD2">
              <w:rPr>
                <w:rStyle w:val="Rimandonotadichiusura"/>
                <w:rFonts w:cs="Arial"/>
                <w:lang w:val="en-US"/>
              </w:rPr>
              <w:endnoteReference w:id="811"/>
            </w:r>
            <w:r w:rsidRPr="00021DD2">
              <w:rPr>
                <w:lang w:val="en-US"/>
              </w:rPr>
              <w:t xml:space="preserve"> The interim report makes a number of observations about youth detention, including that the evidence raises serious concerns about inappropriate and unlawful practices in detention and inappropriate methods of dealing with detainees in youth detention centres.</w:t>
            </w:r>
            <w:r w:rsidRPr="00021DD2">
              <w:rPr>
                <w:rStyle w:val="Rimandonotadichiusura"/>
                <w:rFonts w:cs="Arial"/>
                <w:lang w:val="en-US"/>
              </w:rPr>
              <w:endnoteReference w:id="812"/>
            </w:r>
          </w:p>
        </w:tc>
      </w:tr>
      <w:tr w:rsidR="00A35E2A" w:rsidRPr="00021DD2" w:rsidTr="00A35E2A">
        <w:tc>
          <w:tcPr>
            <w:tcW w:w="2523" w:type="dxa"/>
            <w:tcBorders>
              <w:top w:val="single" w:sz="4" w:space="0" w:color="auto"/>
              <w:left w:val="single" w:sz="4" w:space="0" w:color="auto"/>
              <w:bottom w:val="single" w:sz="4" w:space="0" w:color="auto"/>
              <w:right w:val="single" w:sz="4" w:space="0" w:color="auto"/>
            </w:tcBorders>
          </w:tcPr>
          <w:p w:rsidR="00A35E2A" w:rsidRPr="00BB3258" w:rsidRDefault="00A35E2A" w:rsidP="00CD7F1F">
            <w:pPr>
              <w:rPr>
                <w:b/>
                <w:color w:val="0083D0"/>
                <w:lang w:val="en-US"/>
              </w:rPr>
            </w:pPr>
            <w:r w:rsidRPr="00BB3258">
              <w:rPr>
                <w:b/>
                <w:color w:val="0083D0"/>
                <w:lang w:val="en-US"/>
              </w:rPr>
              <w:t>Queensland</w:t>
            </w:r>
          </w:p>
          <w:p w:rsidR="00A35E2A" w:rsidRPr="00BB3258" w:rsidRDefault="00A35E2A" w:rsidP="00CD7F1F">
            <w:pPr>
              <w:rPr>
                <w:b/>
                <w:lang w:val="en-US"/>
              </w:rPr>
            </w:pPr>
            <w:r w:rsidRPr="00BB3258">
              <w:rPr>
                <w:b/>
                <w:lang w:val="en-US"/>
              </w:rPr>
              <w:t>Independent review of youth detention</w:t>
            </w:r>
          </w:p>
        </w:tc>
        <w:tc>
          <w:tcPr>
            <w:tcW w:w="7088" w:type="dxa"/>
            <w:tcBorders>
              <w:top w:val="single" w:sz="4" w:space="0" w:color="auto"/>
              <w:left w:val="single" w:sz="4" w:space="0" w:color="auto"/>
              <w:bottom w:val="single" w:sz="4" w:space="0" w:color="auto"/>
              <w:right w:val="single" w:sz="4" w:space="0" w:color="auto"/>
            </w:tcBorders>
            <w:hideMark/>
          </w:tcPr>
          <w:p w:rsidR="001C7EB4" w:rsidRPr="00021DD2" w:rsidRDefault="00A35E2A" w:rsidP="000D39B7">
            <w:pPr>
              <w:rPr>
                <w:lang w:val="en-US"/>
              </w:rPr>
            </w:pPr>
            <w:r w:rsidRPr="00021DD2">
              <w:rPr>
                <w:lang w:val="en-US"/>
              </w:rPr>
              <w:t>In August 2016, Queensland’s Attorney-General and Minister for Justice announced an independent review into Queensland’s youth detention centres.</w:t>
            </w:r>
            <w:r w:rsidRPr="00021DD2">
              <w:rPr>
                <w:rStyle w:val="Rimandonotadichiusura"/>
                <w:rFonts w:cs="Arial"/>
                <w:lang w:val="en-US"/>
              </w:rPr>
              <w:endnoteReference w:id="813"/>
            </w:r>
            <w:r w:rsidRPr="00021DD2">
              <w:rPr>
                <w:lang w:val="en-US"/>
              </w:rPr>
              <w:t xml:space="preserve"> The review delivered its report on 14 December 2016.</w:t>
            </w:r>
            <w:r w:rsidRPr="00021DD2">
              <w:rPr>
                <w:rStyle w:val="Rimandonotadichiusura"/>
                <w:rFonts w:cs="Arial"/>
                <w:lang w:val="en-US"/>
              </w:rPr>
              <w:endnoteReference w:id="814"/>
            </w:r>
          </w:p>
          <w:p w:rsidR="00A35E2A" w:rsidRPr="00021DD2" w:rsidRDefault="00A35E2A" w:rsidP="000D39B7">
            <w:pPr>
              <w:rPr>
                <w:b/>
                <w:lang w:val="en-US"/>
              </w:rPr>
            </w:pPr>
            <w:r w:rsidRPr="00021DD2">
              <w:rPr>
                <w:lang w:val="en-US"/>
              </w:rPr>
              <w:t>The report made 83 recommendations, including about improving the availability of mental health services and education programs, t</w:t>
            </w:r>
            <w:r w:rsidR="009802CA" w:rsidRPr="00021DD2">
              <w:rPr>
                <w:lang w:val="en-US"/>
              </w:rPr>
              <w:t xml:space="preserve">he management of incidents and </w:t>
            </w:r>
            <w:r w:rsidRPr="00021DD2">
              <w:rPr>
                <w:lang w:val="en-US"/>
              </w:rPr>
              <w:t>de-escalation techniques, the use of force and restraints, the use of isolation and separation, the process for managing complaints, and the need for an independent inspector of custodial services.</w:t>
            </w:r>
          </w:p>
        </w:tc>
      </w:tr>
      <w:tr w:rsidR="00A35E2A" w:rsidRPr="00021DD2" w:rsidTr="00A35E2A">
        <w:tc>
          <w:tcPr>
            <w:tcW w:w="2523" w:type="dxa"/>
            <w:tcBorders>
              <w:top w:val="single" w:sz="4" w:space="0" w:color="auto"/>
              <w:left w:val="single" w:sz="4" w:space="0" w:color="auto"/>
              <w:bottom w:val="nil"/>
              <w:right w:val="single" w:sz="4" w:space="0" w:color="auto"/>
            </w:tcBorders>
          </w:tcPr>
          <w:p w:rsidR="00A35E2A" w:rsidRPr="00BB3258" w:rsidRDefault="00CD7F1F" w:rsidP="000D39B7">
            <w:pPr>
              <w:rPr>
                <w:b/>
                <w:color w:val="0083D0"/>
                <w:lang w:val="en-US"/>
              </w:rPr>
            </w:pPr>
            <w:r w:rsidRPr="00BB3258">
              <w:rPr>
                <w:b/>
                <w:color w:val="0083D0"/>
                <w:lang w:val="en-US"/>
              </w:rPr>
              <w:t>New South Wales</w:t>
            </w:r>
          </w:p>
          <w:p w:rsidR="00A35E2A" w:rsidRPr="00BB3258" w:rsidRDefault="00A35E2A" w:rsidP="000D39B7">
            <w:pPr>
              <w:rPr>
                <w:b/>
                <w:lang w:val="en-US"/>
              </w:rPr>
            </w:pPr>
            <w:r w:rsidRPr="00BB3258">
              <w:rPr>
                <w:b/>
                <w:lang w:val="en-US"/>
              </w:rPr>
              <w:t>Inquiry into behaviour management in youth detention centres</w:t>
            </w:r>
          </w:p>
        </w:tc>
        <w:tc>
          <w:tcPr>
            <w:tcW w:w="7088" w:type="dxa"/>
            <w:tcBorders>
              <w:top w:val="single" w:sz="4" w:space="0" w:color="auto"/>
              <w:left w:val="single" w:sz="4" w:space="0" w:color="auto"/>
              <w:bottom w:val="nil"/>
              <w:right w:val="single" w:sz="4" w:space="0" w:color="auto"/>
            </w:tcBorders>
            <w:hideMark/>
          </w:tcPr>
          <w:p w:rsidR="00A35E2A" w:rsidRPr="00021DD2" w:rsidRDefault="00A35E2A" w:rsidP="000D39B7">
            <w:pPr>
              <w:rPr>
                <w:lang w:val="en-US"/>
              </w:rPr>
            </w:pPr>
            <w:r w:rsidRPr="00021DD2">
              <w:rPr>
                <w:lang w:val="en-US"/>
              </w:rPr>
              <w:t>In October 2016, the New South Wales Government announced a review into behaviour management practices in New South Wales youth justice detention centres.</w:t>
            </w:r>
            <w:r w:rsidRPr="00021DD2">
              <w:rPr>
                <w:rStyle w:val="Rimandonotadichiusura"/>
                <w:rFonts w:cs="Arial"/>
                <w:lang w:val="en-US"/>
              </w:rPr>
              <w:endnoteReference w:id="815"/>
            </w:r>
          </w:p>
        </w:tc>
      </w:tr>
      <w:tr w:rsidR="00A35E2A" w:rsidRPr="00021DD2" w:rsidTr="00A35E2A">
        <w:tc>
          <w:tcPr>
            <w:tcW w:w="2523" w:type="dxa"/>
            <w:tcBorders>
              <w:top w:val="nil"/>
              <w:left w:val="single" w:sz="4" w:space="0" w:color="auto"/>
              <w:bottom w:val="single" w:sz="4" w:space="0" w:color="auto"/>
              <w:right w:val="single" w:sz="4" w:space="0" w:color="auto"/>
            </w:tcBorders>
          </w:tcPr>
          <w:p w:rsidR="00A35E2A" w:rsidRPr="00BB3258" w:rsidRDefault="00A35E2A" w:rsidP="000D39B7">
            <w:pPr>
              <w:rPr>
                <w:rFonts w:cs="Arial"/>
                <w:b/>
                <w:lang w:val="en-US"/>
              </w:rPr>
            </w:pPr>
            <w:r w:rsidRPr="00BB3258">
              <w:rPr>
                <w:rFonts w:cs="Arial"/>
                <w:b/>
                <w:lang w:val="en-US"/>
              </w:rPr>
              <w:t>How use of force against detainees in juvenile ju</w:t>
            </w:r>
            <w:r w:rsidR="000D39B7" w:rsidRPr="00BB3258">
              <w:rPr>
                <w:rFonts w:cs="Arial"/>
                <w:b/>
                <w:lang w:val="en-US"/>
              </w:rPr>
              <w:t>stice centres in NSW is managed</w:t>
            </w:r>
          </w:p>
        </w:tc>
        <w:tc>
          <w:tcPr>
            <w:tcW w:w="7088" w:type="dxa"/>
            <w:tcBorders>
              <w:top w:val="nil"/>
              <w:left w:val="single" w:sz="4" w:space="0" w:color="auto"/>
              <w:bottom w:val="single" w:sz="4" w:space="0" w:color="auto"/>
              <w:right w:val="single" w:sz="4" w:space="0" w:color="auto"/>
            </w:tcBorders>
            <w:hideMark/>
          </w:tcPr>
          <w:p w:rsidR="00A35E2A" w:rsidRPr="00021DD2" w:rsidRDefault="00A35E2A" w:rsidP="000D39B7">
            <w:pPr>
              <w:rPr>
                <w:lang w:val="en-US"/>
              </w:rPr>
            </w:pPr>
            <w:r w:rsidRPr="00021DD2">
              <w:rPr>
                <w:lang w:val="en-US"/>
              </w:rPr>
              <w:t>In June 2016, the New South Wales Inspector of Custodial Services published terms of reference for a review of how the use of force against detainees in juvenile justice centres is managed. In November 2016, the terms of reference were amended to include issues of separation, segregation and confinement.</w:t>
            </w:r>
            <w:r w:rsidRPr="00021DD2">
              <w:rPr>
                <w:rStyle w:val="Rimandonotadichiusura"/>
                <w:rFonts w:cs="Arial"/>
                <w:lang w:val="en-US"/>
              </w:rPr>
              <w:endnoteReference w:id="816"/>
            </w:r>
          </w:p>
        </w:tc>
      </w:tr>
      <w:tr w:rsidR="00A35E2A" w:rsidRPr="00021DD2" w:rsidTr="00A35E2A">
        <w:tc>
          <w:tcPr>
            <w:tcW w:w="2523" w:type="dxa"/>
            <w:tcBorders>
              <w:top w:val="single" w:sz="4" w:space="0" w:color="auto"/>
              <w:left w:val="single" w:sz="4" w:space="0" w:color="auto"/>
              <w:bottom w:val="single" w:sz="4" w:space="0" w:color="auto"/>
              <w:right w:val="single" w:sz="4" w:space="0" w:color="auto"/>
            </w:tcBorders>
          </w:tcPr>
          <w:p w:rsidR="00A35E2A" w:rsidRPr="00BB3258" w:rsidRDefault="00BB3258" w:rsidP="00BB3258">
            <w:pPr>
              <w:rPr>
                <w:b/>
                <w:color w:val="0083D0"/>
                <w:lang w:val="en-US"/>
              </w:rPr>
            </w:pPr>
            <w:r w:rsidRPr="00BB3258">
              <w:rPr>
                <w:b/>
                <w:color w:val="0083D0"/>
                <w:lang w:val="en-US"/>
              </w:rPr>
              <w:t>South Australia</w:t>
            </w:r>
          </w:p>
          <w:p w:rsidR="00A35E2A" w:rsidRPr="00BB3258" w:rsidRDefault="00A35E2A" w:rsidP="00BB3258">
            <w:pPr>
              <w:rPr>
                <w:b/>
                <w:lang w:val="en-US"/>
              </w:rPr>
            </w:pPr>
            <w:r w:rsidRPr="00BB3258">
              <w:rPr>
                <w:b/>
                <w:lang w:val="en-US"/>
              </w:rPr>
              <w:t>Go to your room! The use of seclusion in youth detention</w:t>
            </w:r>
          </w:p>
        </w:tc>
        <w:tc>
          <w:tcPr>
            <w:tcW w:w="7088" w:type="dxa"/>
            <w:tcBorders>
              <w:top w:val="single" w:sz="4" w:space="0" w:color="auto"/>
              <w:left w:val="single" w:sz="4" w:space="0" w:color="auto"/>
              <w:bottom w:val="single" w:sz="4" w:space="0" w:color="auto"/>
              <w:right w:val="single" w:sz="4" w:space="0" w:color="auto"/>
            </w:tcBorders>
            <w:hideMark/>
          </w:tcPr>
          <w:p w:rsidR="00A35E2A" w:rsidRPr="00021DD2" w:rsidRDefault="00A35E2A" w:rsidP="00BB3258">
            <w:pPr>
              <w:rPr>
                <w:lang w:val="en-US"/>
              </w:rPr>
            </w:pPr>
            <w:r w:rsidRPr="00021DD2">
              <w:rPr>
                <w:lang w:val="en-US"/>
              </w:rPr>
              <w:t>In April 2016, the South Australian Guardian for Children and Young People</w:t>
            </w:r>
            <w:r w:rsidRPr="00021DD2">
              <w:rPr>
                <w:i/>
                <w:lang w:val="en-US"/>
              </w:rPr>
              <w:t xml:space="preserve"> </w:t>
            </w:r>
            <w:r w:rsidRPr="00021DD2">
              <w:rPr>
                <w:lang w:val="en-US"/>
              </w:rPr>
              <w:t>commented on</w:t>
            </w:r>
            <w:r w:rsidRPr="00021DD2">
              <w:rPr>
                <w:i/>
                <w:lang w:val="en-US"/>
              </w:rPr>
              <w:t xml:space="preserve"> </w:t>
            </w:r>
            <w:r w:rsidRPr="00021DD2">
              <w:rPr>
                <w:lang w:val="en-US"/>
              </w:rPr>
              <w:t>the use of seclusion in youth detention.</w:t>
            </w:r>
            <w:r w:rsidRPr="00021DD2">
              <w:rPr>
                <w:rStyle w:val="Rimandonotadichiusura"/>
                <w:rFonts w:cs="Arial"/>
                <w:lang w:val="en-US"/>
              </w:rPr>
              <w:endnoteReference w:id="817"/>
            </w:r>
            <w:r w:rsidRPr="00021DD2">
              <w:rPr>
                <w:lang w:val="en-US"/>
              </w:rPr>
              <w:t xml:space="preserve"> The brief paper explored the potential impacts of seclusion on a child’s rehabilitation and called for strict protocols, diligent monitoring and careful recording. </w:t>
            </w:r>
          </w:p>
        </w:tc>
      </w:tr>
      <w:tr w:rsidR="00A35E2A" w:rsidRPr="00021DD2" w:rsidTr="00A35E2A">
        <w:tc>
          <w:tcPr>
            <w:tcW w:w="2523" w:type="dxa"/>
            <w:tcBorders>
              <w:top w:val="single" w:sz="4" w:space="0" w:color="auto"/>
              <w:left w:val="single" w:sz="4" w:space="0" w:color="auto"/>
              <w:bottom w:val="single" w:sz="4" w:space="0" w:color="auto"/>
              <w:right w:val="single" w:sz="4" w:space="0" w:color="auto"/>
            </w:tcBorders>
          </w:tcPr>
          <w:p w:rsidR="00A35E2A" w:rsidRPr="00BB3258" w:rsidRDefault="00A35E2A" w:rsidP="00BB3258">
            <w:pPr>
              <w:rPr>
                <w:b/>
                <w:color w:val="0083D0"/>
                <w:lang w:val="en-US"/>
              </w:rPr>
            </w:pPr>
            <w:r w:rsidRPr="00BB3258">
              <w:rPr>
                <w:b/>
                <w:color w:val="0083D0"/>
                <w:lang w:val="en-US"/>
              </w:rPr>
              <w:t>Western Australia</w:t>
            </w:r>
          </w:p>
          <w:p w:rsidR="00A35E2A" w:rsidRPr="00BB3258" w:rsidRDefault="00A35E2A" w:rsidP="00BB3258">
            <w:pPr>
              <w:rPr>
                <w:b/>
                <w:i/>
                <w:lang w:val="en-US"/>
              </w:rPr>
            </w:pPr>
            <w:r w:rsidRPr="00BB3258">
              <w:rPr>
                <w:b/>
                <w:lang w:val="en-US"/>
              </w:rPr>
              <w:t>Young people in the justice system: A review of the Young Offenders Act 1994</w:t>
            </w:r>
          </w:p>
        </w:tc>
        <w:tc>
          <w:tcPr>
            <w:tcW w:w="7088" w:type="dxa"/>
            <w:tcBorders>
              <w:top w:val="single" w:sz="4" w:space="0" w:color="auto"/>
              <w:left w:val="single" w:sz="4" w:space="0" w:color="auto"/>
              <w:bottom w:val="single" w:sz="4" w:space="0" w:color="auto"/>
              <w:right w:val="single" w:sz="4" w:space="0" w:color="auto"/>
            </w:tcBorders>
          </w:tcPr>
          <w:p w:rsidR="00A35E2A" w:rsidRPr="00BB3258" w:rsidRDefault="00A35E2A" w:rsidP="00BB3258">
            <w:pPr>
              <w:rPr>
                <w:iCs/>
                <w:lang w:val="en-US" w:eastAsia="en-US"/>
              </w:rPr>
            </w:pPr>
            <w:r w:rsidRPr="00021DD2">
              <w:rPr>
                <w:iCs/>
                <w:lang w:val="en-US" w:eastAsia="en-US"/>
              </w:rPr>
              <w:t xml:space="preserve">In December 2016, the Western Australian Government announced a review of the </w:t>
            </w:r>
            <w:r w:rsidRPr="00021DD2">
              <w:rPr>
                <w:i/>
                <w:iCs/>
                <w:lang w:val="en-US" w:eastAsia="en-US"/>
              </w:rPr>
              <w:t xml:space="preserve">Young Offenders Act 1994 </w:t>
            </w:r>
            <w:r w:rsidRPr="00021DD2">
              <w:rPr>
                <w:iCs/>
                <w:lang w:val="en-US" w:eastAsia="en-US"/>
              </w:rPr>
              <w:t>(WA).</w:t>
            </w:r>
            <w:r w:rsidRPr="00021DD2">
              <w:rPr>
                <w:rStyle w:val="Rimandonotadichiusura"/>
                <w:rFonts w:cs="Arial"/>
                <w:lang w:val="en" w:eastAsia="en-US"/>
              </w:rPr>
              <w:endnoteReference w:id="818"/>
            </w:r>
            <w:r w:rsidRPr="00021DD2">
              <w:rPr>
                <w:iCs/>
                <w:lang w:val="en-US" w:eastAsia="en-US"/>
              </w:rPr>
              <w:t xml:space="preserve"> The review will consider whether the legislation is achieving its objectives. It will also examine issues associated with the overrepresentation of Aboriginal and Torres Strait Islander children and young people in the youth justice system, rates of recidivism, and the high levels of children and young people in detention on remand.</w:t>
            </w:r>
            <w:r w:rsidRPr="00021DD2">
              <w:rPr>
                <w:rStyle w:val="Rimandonotadichiusura"/>
                <w:rFonts w:cs="Arial"/>
                <w:iCs/>
                <w:lang w:val="en-US" w:eastAsia="en-US"/>
              </w:rPr>
              <w:endnoteReference w:id="819"/>
            </w:r>
          </w:p>
        </w:tc>
      </w:tr>
      <w:tr w:rsidR="00A35E2A" w:rsidRPr="00021DD2" w:rsidTr="00A35E2A">
        <w:trPr>
          <w:trHeight w:val="175"/>
        </w:trPr>
        <w:tc>
          <w:tcPr>
            <w:tcW w:w="2523"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A35E2A" w:rsidRPr="00BB3258" w:rsidRDefault="00A35E2A" w:rsidP="00BB3258">
            <w:pPr>
              <w:rPr>
                <w:b/>
                <w:color w:val="0083D0"/>
                <w:lang w:val="en-US"/>
              </w:rPr>
            </w:pPr>
            <w:r w:rsidRPr="00BB3258">
              <w:rPr>
                <w:b/>
                <w:color w:val="0083D0"/>
                <w:lang w:val="en-US"/>
              </w:rPr>
              <w:t>Victoria</w:t>
            </w:r>
          </w:p>
          <w:p w:rsidR="00A35E2A" w:rsidRPr="00BB3258" w:rsidRDefault="00A35E2A" w:rsidP="00BB3258">
            <w:pPr>
              <w:rPr>
                <w:b/>
                <w:lang w:val="en-US"/>
              </w:rPr>
            </w:pPr>
            <w:r w:rsidRPr="00BB3258">
              <w:rPr>
                <w:b/>
                <w:lang w:val="en-US"/>
              </w:rPr>
              <w:t>The same four walls: Inquiry into the use of isolation, separation and lockdowns in the Victorian youth justice system</w:t>
            </w:r>
          </w:p>
        </w:tc>
        <w:tc>
          <w:tcPr>
            <w:tcW w:w="7088"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A35E2A" w:rsidRPr="00021DD2" w:rsidRDefault="00A35E2A" w:rsidP="00BB3258">
            <w:pPr>
              <w:rPr>
                <w:lang w:val="en-US" w:eastAsia="en-US"/>
              </w:rPr>
            </w:pPr>
            <w:r w:rsidRPr="00021DD2">
              <w:rPr>
                <w:lang w:val="en-US" w:eastAsia="en-US"/>
              </w:rPr>
              <w:t>In February 2017, the Victorian Commission for Children and Young People tabled the report of its inquiry into the use of isolation, separation and lockdowns in the Victorian youth justice system.</w:t>
            </w:r>
            <w:r w:rsidRPr="00021DD2">
              <w:rPr>
                <w:rStyle w:val="Rimandonotadichiusura"/>
                <w:rFonts w:cs="Arial"/>
                <w:lang w:val="en-US" w:eastAsia="en-US"/>
              </w:rPr>
              <w:endnoteReference w:id="820"/>
            </w:r>
            <w:r w:rsidRPr="00021DD2">
              <w:rPr>
                <w:lang w:val="en-US" w:eastAsia="en-US"/>
              </w:rPr>
              <w:t xml:space="preserve"> The Inquiry made 21 recommendations aimed at ensuring that isolation, separations and lockdowns are used minimally, are appropriately targeted, and promote the safety, wellbeing and rehabilitation of children and young people in youth justice detention. </w:t>
            </w:r>
          </w:p>
        </w:tc>
      </w:tr>
      <w:tr w:rsidR="00A35E2A" w:rsidRPr="00021DD2" w:rsidTr="00A35E2A">
        <w:trPr>
          <w:trHeight w:val="175"/>
        </w:trPr>
        <w:tc>
          <w:tcPr>
            <w:tcW w:w="2523" w:type="dxa"/>
            <w:tcBorders>
              <w:top w:val="nil"/>
              <w:left w:val="single" w:sz="4" w:space="0" w:color="auto"/>
              <w:bottom w:val="nil"/>
              <w:right w:val="single" w:sz="4" w:space="0" w:color="auto"/>
            </w:tcBorders>
            <w:tcMar>
              <w:top w:w="0" w:type="dxa"/>
              <w:left w:w="108" w:type="dxa"/>
              <w:bottom w:w="0" w:type="dxa"/>
              <w:right w:w="108" w:type="dxa"/>
            </w:tcMar>
            <w:hideMark/>
          </w:tcPr>
          <w:p w:rsidR="00A35E2A" w:rsidRPr="00BB3258" w:rsidRDefault="00A35E2A" w:rsidP="00BB3258">
            <w:pPr>
              <w:rPr>
                <w:b/>
                <w:lang w:val="en-US"/>
              </w:rPr>
            </w:pPr>
            <w:r w:rsidRPr="00BB3258">
              <w:rPr>
                <w:b/>
                <w:lang w:val="en-US"/>
              </w:rPr>
              <w:t>D</w:t>
            </w:r>
            <w:r w:rsidR="00322AB5" w:rsidRPr="00BB3258">
              <w:rPr>
                <w:b/>
                <w:lang w:val="en-US"/>
              </w:rPr>
              <w:t xml:space="preserve">epartment of </w:t>
            </w:r>
            <w:r w:rsidRPr="00BB3258">
              <w:rPr>
                <w:b/>
                <w:lang w:val="en-US"/>
              </w:rPr>
              <w:t>H</w:t>
            </w:r>
            <w:r w:rsidR="00322AB5" w:rsidRPr="00BB3258">
              <w:rPr>
                <w:b/>
                <w:lang w:val="en-US"/>
              </w:rPr>
              <w:t xml:space="preserve">ealth and </w:t>
            </w:r>
            <w:r w:rsidRPr="00BB3258">
              <w:rPr>
                <w:b/>
                <w:lang w:val="en-US"/>
              </w:rPr>
              <w:t>H</w:t>
            </w:r>
            <w:r w:rsidR="00322AB5" w:rsidRPr="00BB3258">
              <w:rPr>
                <w:b/>
                <w:lang w:val="en-US"/>
              </w:rPr>
              <w:t xml:space="preserve">uman </w:t>
            </w:r>
            <w:r w:rsidRPr="00BB3258">
              <w:rPr>
                <w:b/>
                <w:lang w:val="en-US"/>
              </w:rPr>
              <w:t>S</w:t>
            </w:r>
            <w:r w:rsidR="00322AB5" w:rsidRPr="00BB3258">
              <w:rPr>
                <w:b/>
                <w:lang w:val="en-US"/>
              </w:rPr>
              <w:t>ervices</w:t>
            </w:r>
            <w:r w:rsidRPr="00BB3258">
              <w:rPr>
                <w:b/>
                <w:lang w:val="en-US"/>
              </w:rPr>
              <w:t xml:space="preserve"> review of youth support, youth diversion and youth justice services</w:t>
            </w:r>
          </w:p>
        </w:tc>
        <w:tc>
          <w:tcPr>
            <w:tcW w:w="7088" w:type="dxa"/>
            <w:tcBorders>
              <w:top w:val="nil"/>
              <w:left w:val="single" w:sz="4" w:space="0" w:color="auto"/>
              <w:bottom w:val="nil"/>
              <w:right w:val="single" w:sz="4" w:space="0" w:color="auto"/>
            </w:tcBorders>
            <w:tcMar>
              <w:top w:w="0" w:type="dxa"/>
              <w:left w:w="108" w:type="dxa"/>
              <w:bottom w:w="0" w:type="dxa"/>
              <w:right w:w="108" w:type="dxa"/>
            </w:tcMar>
            <w:hideMark/>
          </w:tcPr>
          <w:p w:rsidR="001C7EB4" w:rsidRPr="00BB3258" w:rsidRDefault="00A35E2A" w:rsidP="00BB3258">
            <w:pPr>
              <w:rPr>
                <w:iCs/>
                <w:lang w:val="en-US" w:eastAsia="en-US"/>
              </w:rPr>
            </w:pPr>
            <w:r w:rsidRPr="00021DD2">
              <w:rPr>
                <w:iCs/>
                <w:lang w:val="en-US" w:eastAsia="en-US"/>
              </w:rPr>
              <w:t>In October 2016, the Victorian Department of Health and Human Services (DHHS) commissioned a review of youth support, diversion and youth justice services. The primary objective of the review is to create an overarching policy framework for the development of a contemporary youth justice program and accompanying service delivery mode.</w:t>
            </w:r>
            <w:r w:rsidRPr="00021DD2">
              <w:rPr>
                <w:rStyle w:val="Rimandonotadichiusura"/>
                <w:rFonts w:cs="Arial"/>
                <w:iCs/>
                <w:lang w:val="en-US" w:eastAsia="en-US"/>
              </w:rPr>
              <w:endnoteReference w:id="821"/>
            </w:r>
          </w:p>
        </w:tc>
      </w:tr>
      <w:tr w:rsidR="00A35E2A" w:rsidRPr="00021DD2" w:rsidTr="00A35E2A">
        <w:trPr>
          <w:trHeight w:val="175"/>
        </w:trPr>
        <w:tc>
          <w:tcPr>
            <w:tcW w:w="2523" w:type="dxa"/>
            <w:tcBorders>
              <w:top w:val="nil"/>
              <w:left w:val="single" w:sz="4" w:space="0" w:color="auto"/>
              <w:bottom w:val="nil"/>
              <w:right w:val="single" w:sz="4" w:space="0" w:color="auto"/>
            </w:tcBorders>
            <w:tcMar>
              <w:top w:w="0" w:type="dxa"/>
              <w:left w:w="108" w:type="dxa"/>
              <w:bottom w:w="0" w:type="dxa"/>
              <w:right w:w="108" w:type="dxa"/>
            </w:tcMar>
            <w:hideMark/>
          </w:tcPr>
          <w:p w:rsidR="00A35E2A" w:rsidRPr="00BB3258" w:rsidRDefault="00A35E2A" w:rsidP="00BB3258">
            <w:pPr>
              <w:rPr>
                <w:b/>
                <w:lang w:val="en-US"/>
              </w:rPr>
            </w:pPr>
            <w:r w:rsidRPr="00BB3258">
              <w:rPr>
                <w:b/>
                <w:lang w:val="en-US"/>
              </w:rPr>
              <w:t>Parliamentary inquiry into youth justice centres in Victoria</w:t>
            </w:r>
          </w:p>
        </w:tc>
        <w:tc>
          <w:tcPr>
            <w:tcW w:w="7088" w:type="dxa"/>
            <w:tcBorders>
              <w:top w:val="nil"/>
              <w:left w:val="single" w:sz="4" w:space="0" w:color="auto"/>
              <w:bottom w:val="nil"/>
              <w:right w:val="single" w:sz="4" w:space="0" w:color="auto"/>
            </w:tcBorders>
            <w:tcMar>
              <w:top w:w="0" w:type="dxa"/>
              <w:left w:w="108" w:type="dxa"/>
              <w:bottom w:w="0" w:type="dxa"/>
              <w:right w:w="108" w:type="dxa"/>
            </w:tcMar>
            <w:hideMark/>
          </w:tcPr>
          <w:p w:rsidR="00A35E2A" w:rsidRPr="00021DD2" w:rsidRDefault="00A35E2A" w:rsidP="00BB3258">
            <w:pPr>
              <w:rPr>
                <w:lang w:val="en-US"/>
              </w:rPr>
            </w:pPr>
            <w:r w:rsidRPr="00021DD2">
              <w:rPr>
                <w:lang w:val="en-US"/>
              </w:rPr>
              <w:t>In November 2016, the Victorian Parliament announced a wide-ranging inquiry into the youth justice system in Victoria</w:t>
            </w:r>
            <w:r w:rsidR="00322AB5">
              <w:rPr>
                <w:lang w:val="en-US"/>
              </w:rPr>
              <w:t>.</w:t>
            </w:r>
            <w:r w:rsidRPr="00021DD2">
              <w:rPr>
                <w:lang w:val="en-US"/>
              </w:rPr>
              <w:t xml:space="preserve"> The terms of reference direct examination of incidents in security and safety of detainees and staff, remand numbers, the implications of incarcerating young people with specific vulnerabilities, and the culture, policies, practices and reporting of management at the centres. It will also examine the role of DHHS in overseeing practices at youth justice centres.</w:t>
            </w:r>
            <w:r w:rsidR="00322AB5">
              <w:rPr>
                <w:lang w:val="en-US"/>
              </w:rPr>
              <w:t xml:space="preserve"> The reporting date for this inquiry is 27 February 2018.</w:t>
            </w:r>
          </w:p>
        </w:tc>
      </w:tr>
      <w:tr w:rsidR="00A35E2A" w:rsidRPr="00021DD2" w:rsidTr="00FC2539">
        <w:trPr>
          <w:trHeight w:val="1710"/>
        </w:trPr>
        <w:tc>
          <w:tcPr>
            <w:tcW w:w="2523" w:type="dxa"/>
            <w:tcBorders>
              <w:top w:val="nil"/>
              <w:left w:val="single" w:sz="4" w:space="0" w:color="auto"/>
              <w:bottom w:val="single" w:sz="4" w:space="0" w:color="auto"/>
              <w:right w:val="single" w:sz="4" w:space="0" w:color="auto"/>
            </w:tcBorders>
            <w:hideMark/>
          </w:tcPr>
          <w:p w:rsidR="00A35E2A" w:rsidRPr="00BB3258" w:rsidRDefault="00A35E2A" w:rsidP="00BB3258">
            <w:pPr>
              <w:rPr>
                <w:b/>
                <w:lang w:val="en-US"/>
              </w:rPr>
            </w:pPr>
            <w:r w:rsidRPr="00BB3258">
              <w:rPr>
                <w:b/>
                <w:lang w:val="en-US"/>
              </w:rPr>
              <w:t>Inquiry into allegations of assault at Grevillea Youth Justice Precinct</w:t>
            </w:r>
          </w:p>
        </w:tc>
        <w:tc>
          <w:tcPr>
            <w:tcW w:w="7088" w:type="dxa"/>
            <w:tcBorders>
              <w:top w:val="nil"/>
              <w:left w:val="single" w:sz="4" w:space="0" w:color="auto"/>
              <w:bottom w:val="single" w:sz="4" w:space="0" w:color="auto"/>
              <w:right w:val="single" w:sz="4" w:space="0" w:color="auto"/>
            </w:tcBorders>
            <w:hideMark/>
          </w:tcPr>
          <w:p w:rsidR="00A35E2A" w:rsidRPr="00021DD2" w:rsidRDefault="00A35E2A" w:rsidP="00BB3258">
            <w:pPr>
              <w:rPr>
                <w:lang w:val="en-US"/>
              </w:rPr>
            </w:pPr>
            <w:r w:rsidRPr="00021DD2">
              <w:rPr>
                <w:lang w:val="en-US"/>
              </w:rPr>
              <w:t>In February 2017, the Victorian Commission for Children and Young People commenced an inquiry into allegations that staff had assaulted children and young people detained in the Grevillea Youth Justice Precinct of Barwon Prison.</w:t>
            </w:r>
          </w:p>
        </w:tc>
      </w:tr>
      <w:tr w:rsidR="00A35E2A" w:rsidRPr="00021DD2" w:rsidTr="00FC2539">
        <w:trPr>
          <w:trHeight w:val="175"/>
        </w:trPr>
        <w:tc>
          <w:tcPr>
            <w:tcW w:w="2523" w:type="dxa"/>
            <w:tcBorders>
              <w:top w:val="single" w:sz="4" w:space="0" w:color="auto"/>
              <w:left w:val="single" w:sz="4" w:space="0" w:color="auto"/>
              <w:bottom w:val="nil"/>
              <w:right w:val="single" w:sz="4" w:space="0" w:color="auto"/>
            </w:tcBorders>
            <w:hideMark/>
          </w:tcPr>
          <w:p w:rsidR="00A35E2A" w:rsidRPr="00BB3258" w:rsidRDefault="00A35E2A" w:rsidP="00BB3258">
            <w:pPr>
              <w:rPr>
                <w:b/>
                <w:color w:val="0083D0"/>
                <w:lang w:val="en-US"/>
              </w:rPr>
            </w:pPr>
            <w:r w:rsidRPr="00BB3258">
              <w:rPr>
                <w:b/>
                <w:color w:val="0083D0"/>
                <w:lang w:val="en-US"/>
              </w:rPr>
              <w:t>Tasmania</w:t>
            </w:r>
          </w:p>
          <w:p w:rsidR="00A35E2A" w:rsidRPr="00BB3258" w:rsidRDefault="00A35E2A" w:rsidP="00BB3258">
            <w:pPr>
              <w:rPr>
                <w:b/>
                <w:lang w:val="en-US"/>
              </w:rPr>
            </w:pPr>
            <w:r w:rsidRPr="00BB3258">
              <w:rPr>
                <w:b/>
                <w:lang w:val="en-US"/>
              </w:rPr>
              <w:t>Options paper on custodial youth justice models</w:t>
            </w:r>
          </w:p>
        </w:tc>
        <w:tc>
          <w:tcPr>
            <w:tcW w:w="7088" w:type="dxa"/>
            <w:tcBorders>
              <w:top w:val="single" w:sz="4" w:space="0" w:color="auto"/>
              <w:left w:val="single" w:sz="4" w:space="0" w:color="auto"/>
              <w:bottom w:val="nil"/>
              <w:right w:val="single" w:sz="4" w:space="0" w:color="auto"/>
            </w:tcBorders>
            <w:hideMark/>
          </w:tcPr>
          <w:p w:rsidR="00A35E2A" w:rsidRPr="00021DD2" w:rsidRDefault="00A35E2A" w:rsidP="00BB3258">
            <w:pPr>
              <w:rPr>
                <w:lang w:val="en-US"/>
              </w:rPr>
            </w:pPr>
            <w:r w:rsidRPr="00021DD2">
              <w:rPr>
                <w:lang w:val="en-US"/>
              </w:rPr>
              <w:t>In 2016, the Tasmanian Department of Health and Human Services commissioned Noetic Solutions Pty Ltd to prepare an options paper on custodial youth justice models. The options paper was provided to the Tasmanian Government in mid-2017, but has not been released publicly.</w:t>
            </w:r>
            <w:r w:rsidRPr="00021DD2">
              <w:rPr>
                <w:rStyle w:val="Rimandonotadichiusura"/>
                <w:rFonts w:cs="Arial"/>
                <w:lang w:val="en-US"/>
              </w:rPr>
              <w:endnoteReference w:id="822"/>
            </w:r>
            <w:r w:rsidRPr="00021DD2">
              <w:rPr>
                <w:lang w:val="en-US"/>
              </w:rPr>
              <w:t xml:space="preserve"> </w:t>
            </w:r>
          </w:p>
        </w:tc>
      </w:tr>
      <w:tr w:rsidR="00A35E2A" w:rsidRPr="00021DD2" w:rsidTr="00A35E2A">
        <w:trPr>
          <w:trHeight w:val="175"/>
        </w:trPr>
        <w:tc>
          <w:tcPr>
            <w:tcW w:w="252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A35E2A" w:rsidRPr="00BB3258" w:rsidRDefault="00A35E2A" w:rsidP="00BB3258">
            <w:pPr>
              <w:rPr>
                <w:b/>
                <w:lang w:val="en-US"/>
              </w:rPr>
            </w:pPr>
            <w:r w:rsidRPr="00BB3258">
              <w:rPr>
                <w:b/>
                <w:lang w:val="en-US"/>
              </w:rPr>
              <w:t>Independent Review of Ash</w:t>
            </w:r>
            <w:r w:rsidR="00322AB5" w:rsidRPr="00BB3258">
              <w:rPr>
                <w:b/>
                <w:lang w:val="en-US"/>
              </w:rPr>
              <w:t>le</w:t>
            </w:r>
            <w:r w:rsidRPr="00BB3258">
              <w:rPr>
                <w:b/>
                <w:lang w:val="en-US"/>
              </w:rPr>
              <w:t>y Youth Detention Centre (‘Harker Report’)</w:t>
            </w:r>
          </w:p>
        </w:tc>
        <w:tc>
          <w:tcPr>
            <w:tcW w:w="708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A35E2A" w:rsidRPr="00021DD2" w:rsidRDefault="00A35E2A" w:rsidP="00BB3258">
            <w:pPr>
              <w:rPr>
                <w:lang w:val="en-US"/>
              </w:rPr>
            </w:pPr>
            <w:r w:rsidRPr="00021DD2">
              <w:rPr>
                <w:lang w:val="en-US"/>
              </w:rPr>
              <w:t>In 2015, the ‘Harker Report’ was commissioned by the Tasmanian Department of Health and Human Services, primarily to review aspects of the administrative management and operation of the Ashley Youth Detention Centre (AYDC).</w:t>
            </w:r>
            <w:r w:rsidRPr="00021DD2">
              <w:rPr>
                <w:rStyle w:val="Rimandonotadichiusura"/>
                <w:rFonts w:cs="Arial"/>
                <w:lang w:val="en-US"/>
              </w:rPr>
              <w:endnoteReference w:id="823"/>
            </w:r>
            <w:r w:rsidRPr="00021DD2">
              <w:rPr>
                <w:lang w:val="en-US"/>
              </w:rPr>
              <w:t xml:space="preserve"> The Harker Report was presented to the Department of Health and Human Services in June 2015, and resulted in a number of changes, including the establishment of a dedicated ‘youth’ portfolio and a move towards a more therapeutic environment in AYDC. The Harker Report also resulted in the commissioning of the options paper prepared by Noetic (described above). </w:t>
            </w:r>
          </w:p>
        </w:tc>
      </w:tr>
    </w:tbl>
    <w:p w:rsidR="001C7EB4" w:rsidRPr="00021DD2" w:rsidRDefault="001C7EB4" w:rsidP="00B63D24">
      <w:pPr>
        <w:rPr>
          <w:rFonts w:cs="Arial"/>
        </w:rPr>
      </w:pPr>
    </w:p>
    <w:p w:rsidR="000F7E19" w:rsidRPr="00021DD2" w:rsidRDefault="00222517" w:rsidP="00222517">
      <w:pPr>
        <w:keepLines w:val="0"/>
        <w:spacing w:before="0" w:after="0"/>
        <w:rPr>
          <w:rFonts w:cs="Arial"/>
        </w:rPr>
      </w:pPr>
      <w:r>
        <w:rPr>
          <w:rFonts w:cs="Arial"/>
        </w:rPr>
        <w:br w:type="page"/>
      </w:r>
    </w:p>
    <w:p w:rsidR="000F7E19" w:rsidRPr="00021DD2" w:rsidRDefault="000F7E19" w:rsidP="00B63D24">
      <w:pPr>
        <w:rPr>
          <w:rFonts w:cs="Arial"/>
        </w:rPr>
      </w:pPr>
    </w:p>
    <w:p w:rsidR="000F7E19" w:rsidRPr="00021DD2" w:rsidRDefault="000F7E19" w:rsidP="00B63D24">
      <w:pPr>
        <w:rPr>
          <w:rFonts w:cs="Arial"/>
        </w:rPr>
        <w:sectPr w:rsidR="000F7E19" w:rsidRPr="00021DD2" w:rsidSect="003716C0">
          <w:endnotePr>
            <w:numFmt w:val="decimal"/>
            <w:numRestart w:val="eachSect"/>
          </w:endnotePr>
          <w:pgSz w:w="11906" w:h="16838" w:code="9"/>
          <w:pgMar w:top="1134" w:right="1418" w:bottom="1134" w:left="1418" w:header="709" w:footer="709" w:gutter="0"/>
          <w:cols w:space="708"/>
          <w:docGrid w:linePitch="360"/>
        </w:sectPr>
      </w:pPr>
    </w:p>
    <w:p w:rsidR="001C7EB4" w:rsidRPr="001E2654" w:rsidRDefault="001C7EB4" w:rsidP="00222517">
      <w:pPr>
        <w:pStyle w:val="Titolo6"/>
      </w:pPr>
      <w:bookmarkStart w:id="162" w:name="_Toc500308851"/>
      <w:r w:rsidRPr="001E2654">
        <w:t>Submissions by the Australian Human Rights Commission to government and other inquiries which included consideration of children’s rights</w:t>
      </w:r>
      <w:bookmarkEnd w:id="162"/>
    </w:p>
    <w:p w:rsidR="001C7EB4" w:rsidRPr="00021DD2" w:rsidRDefault="001C7EB4" w:rsidP="00BB3258">
      <w:pPr>
        <w:pStyle w:val="Paragrafoelenco"/>
        <w:numPr>
          <w:ilvl w:val="0"/>
          <w:numId w:val="47"/>
        </w:numPr>
        <w:spacing w:before="0" w:after="0"/>
        <w:jc w:val="left"/>
      </w:pPr>
      <w:r w:rsidRPr="00021DD2">
        <w:rPr>
          <w:bCs/>
          <w:i/>
        </w:rPr>
        <w:t xml:space="preserve">Adoption of Universal Periodic Review outcome of Australia, </w:t>
      </w:r>
      <w:r w:rsidRPr="00021DD2">
        <w:rPr>
          <w:bCs/>
        </w:rPr>
        <w:t xml:space="preserve">Submission to </w:t>
      </w:r>
      <w:r w:rsidRPr="00021DD2">
        <w:t>United Nations Human Rights Council, Youth and Human Rights Panel (25 August 2016)</w:t>
      </w:r>
      <w:r w:rsidRPr="00021DD2">
        <w:rPr>
          <w:rStyle w:val="Rimandonotadichiusura"/>
        </w:rPr>
        <w:endnoteReference w:id="824"/>
      </w:r>
    </w:p>
    <w:p w:rsidR="001C7EB4" w:rsidRPr="00021DD2" w:rsidRDefault="001C7EB4" w:rsidP="00BB3258">
      <w:pPr>
        <w:pStyle w:val="Paragrafoelenco"/>
        <w:numPr>
          <w:ilvl w:val="0"/>
          <w:numId w:val="47"/>
        </w:numPr>
        <w:spacing w:before="0" w:after="0"/>
        <w:jc w:val="left"/>
      </w:pPr>
      <w:r w:rsidRPr="00021DD2">
        <w:rPr>
          <w:i/>
        </w:rPr>
        <w:t>Royal Commission into the Protection and Detention of Children in the Northern Territory,</w:t>
      </w:r>
      <w:r w:rsidRPr="00021DD2">
        <w:t xml:space="preserve"> National Children’s Commissioner’s statement (9 October 2016)</w:t>
      </w:r>
      <w:r w:rsidRPr="00021DD2">
        <w:rPr>
          <w:rStyle w:val="Rimandonotadichiusura"/>
        </w:rPr>
        <w:endnoteReference w:id="825"/>
      </w:r>
      <w:r w:rsidRPr="00021DD2">
        <w:t xml:space="preserve"> and oral submissions (11 October 2016)</w:t>
      </w:r>
      <w:r w:rsidRPr="00021DD2">
        <w:rPr>
          <w:rStyle w:val="Rimandonotadichiusura"/>
        </w:rPr>
        <w:endnoteReference w:id="826"/>
      </w:r>
    </w:p>
    <w:p w:rsidR="001C7EB4" w:rsidRPr="00021DD2" w:rsidRDefault="001C7EB4" w:rsidP="00BB3258">
      <w:pPr>
        <w:pStyle w:val="Paragrafoelenco"/>
        <w:numPr>
          <w:ilvl w:val="0"/>
          <w:numId w:val="47"/>
        </w:numPr>
        <w:spacing w:before="0" w:after="0"/>
        <w:jc w:val="left"/>
      </w:pPr>
      <w:r w:rsidRPr="00021DD2">
        <w:rPr>
          <w:i/>
        </w:rPr>
        <w:t>Family Law Amendment (Family Violence and Other Measures) Bill 2017</w:t>
      </w:r>
      <w:r w:rsidRPr="00021DD2">
        <w:t>, Submission to the Attorney-General’s Department, Family Law Branch (19 January 2017)</w:t>
      </w:r>
      <w:r w:rsidRPr="00021DD2">
        <w:rPr>
          <w:rStyle w:val="Rimandonotadichiusura"/>
        </w:rPr>
        <w:endnoteReference w:id="827"/>
      </w:r>
      <w:r w:rsidRPr="00021DD2">
        <w:t xml:space="preserve"> </w:t>
      </w:r>
    </w:p>
    <w:p w:rsidR="001C7EB4" w:rsidRPr="00021DD2" w:rsidRDefault="001C7EB4" w:rsidP="00BB3258">
      <w:pPr>
        <w:pStyle w:val="Paragrafoelenco"/>
        <w:numPr>
          <w:ilvl w:val="0"/>
          <w:numId w:val="47"/>
        </w:numPr>
        <w:spacing w:before="0" w:after="0"/>
        <w:jc w:val="left"/>
      </w:pPr>
      <w:r w:rsidRPr="00021DD2">
        <w:rPr>
          <w:i/>
        </w:rPr>
        <w:t>Violence against women in Australia</w:t>
      </w:r>
      <w:r w:rsidRPr="00021DD2">
        <w:t>, Submission to the</w:t>
      </w:r>
      <w:r w:rsidR="002822DA">
        <w:t xml:space="preserve"> United Nations</w:t>
      </w:r>
      <w:r w:rsidRPr="00021DD2">
        <w:t xml:space="preserve"> Special Rapporteur on Violence Against Women (23 January 2017)</w:t>
      </w:r>
      <w:r w:rsidRPr="00021DD2">
        <w:rPr>
          <w:rStyle w:val="Rimandonotadichiusura"/>
        </w:rPr>
        <w:endnoteReference w:id="828"/>
      </w:r>
    </w:p>
    <w:p w:rsidR="001C7EB4" w:rsidRPr="00021DD2" w:rsidRDefault="001C7EB4" w:rsidP="00BB3258">
      <w:pPr>
        <w:pStyle w:val="Paragrafoelenco"/>
        <w:numPr>
          <w:ilvl w:val="0"/>
          <w:numId w:val="47"/>
        </w:numPr>
        <w:spacing w:before="0" w:after="0"/>
        <w:jc w:val="left"/>
      </w:pPr>
      <w:r w:rsidRPr="00021DD2">
        <w:rPr>
          <w:i/>
        </w:rPr>
        <w:t>Family Assistance Legislation Amendment (Jobs for Families Child Care Package) Bill 2016</w:t>
      </w:r>
      <w:r w:rsidRPr="00021DD2">
        <w:t>, Submission to Senate Education and Employment Legislation Committee (23 September 2016)</w:t>
      </w:r>
      <w:r w:rsidRPr="00021DD2">
        <w:rPr>
          <w:rStyle w:val="Rimandonotadichiusura"/>
        </w:rPr>
        <w:endnoteReference w:id="829"/>
      </w:r>
    </w:p>
    <w:p w:rsidR="001C7EB4" w:rsidRPr="00021DD2" w:rsidRDefault="001C7EB4" w:rsidP="00BB3258">
      <w:pPr>
        <w:pStyle w:val="Paragrafoelenco"/>
        <w:numPr>
          <w:ilvl w:val="0"/>
          <w:numId w:val="47"/>
        </w:numPr>
        <w:spacing w:before="0" w:after="0"/>
        <w:jc w:val="left"/>
      </w:pPr>
      <w:r w:rsidRPr="00021DD2">
        <w:rPr>
          <w:i/>
          <w:lang w:val="en"/>
        </w:rPr>
        <w:t>Inquiry into the Fairer Paid Parental Leave Bill 2016,</w:t>
      </w:r>
      <w:r w:rsidRPr="00021DD2">
        <w:t xml:space="preserve"> Submission to Senate Community Affairs Legislation Committee (25 January 2017)</w:t>
      </w:r>
      <w:r w:rsidRPr="00021DD2">
        <w:rPr>
          <w:rStyle w:val="Rimandonotadichiusura"/>
        </w:rPr>
        <w:endnoteReference w:id="830"/>
      </w:r>
    </w:p>
    <w:p w:rsidR="001C7EB4" w:rsidRPr="00021DD2" w:rsidRDefault="001C7EB4" w:rsidP="00BB3258">
      <w:pPr>
        <w:pStyle w:val="Paragrafoelenco"/>
        <w:numPr>
          <w:ilvl w:val="0"/>
          <w:numId w:val="47"/>
        </w:numPr>
        <w:spacing w:before="0" w:after="0"/>
        <w:jc w:val="left"/>
      </w:pPr>
      <w:r w:rsidRPr="00021DD2">
        <w:rPr>
          <w:i/>
        </w:rPr>
        <w:t>Inquiry into the Commonwealth Government’s exposure draft of the Marriage Amendment (Same-Sex Marriage) Bill,</w:t>
      </w:r>
      <w:r w:rsidRPr="00021DD2">
        <w:t xml:space="preserve"> Submission to Select Committee on Exposure draft of the Marriage Amendment (Same-Sex Marriage) Bill (18 January 2017)</w:t>
      </w:r>
      <w:r w:rsidRPr="00021DD2">
        <w:rPr>
          <w:rStyle w:val="Rimandonotadichiusura"/>
        </w:rPr>
        <w:endnoteReference w:id="831"/>
      </w:r>
    </w:p>
    <w:p w:rsidR="001C7EB4" w:rsidRPr="00021DD2" w:rsidRDefault="001C7EB4" w:rsidP="00BB3258">
      <w:pPr>
        <w:pStyle w:val="Paragrafoelenco"/>
        <w:numPr>
          <w:ilvl w:val="0"/>
          <w:numId w:val="47"/>
        </w:numPr>
        <w:spacing w:before="0" w:after="0"/>
        <w:jc w:val="left"/>
      </w:pPr>
      <w:r w:rsidRPr="00021DD2">
        <w:rPr>
          <w:i/>
        </w:rPr>
        <w:t xml:space="preserve">Inquiry into migrant settlement outcomes, </w:t>
      </w:r>
      <w:r w:rsidRPr="00021DD2">
        <w:t>Submission to the Joint Standing Committee on Migration (31 January 2017)</w:t>
      </w:r>
      <w:r w:rsidRPr="00021DD2">
        <w:rPr>
          <w:rStyle w:val="Rimandonotadichiusura"/>
        </w:rPr>
        <w:endnoteReference w:id="832"/>
      </w:r>
    </w:p>
    <w:p w:rsidR="001C7EB4" w:rsidRPr="00021DD2" w:rsidRDefault="001C7EB4" w:rsidP="00BB3258">
      <w:pPr>
        <w:pStyle w:val="Paragrafoelenco"/>
        <w:numPr>
          <w:ilvl w:val="0"/>
          <w:numId w:val="47"/>
        </w:numPr>
        <w:spacing w:before="0" w:after="0"/>
        <w:jc w:val="left"/>
      </w:pPr>
      <w:r w:rsidRPr="00021DD2">
        <w:rPr>
          <w:i/>
        </w:rPr>
        <w:t>Information concerning Australia’s compliance with the International Covenant on Economic, Social and Cultural Rights</w:t>
      </w:r>
      <w:r w:rsidRPr="00021DD2">
        <w:t xml:space="preserve">, Submission to the </w:t>
      </w:r>
      <w:r w:rsidR="002822DA">
        <w:t xml:space="preserve">United Nations </w:t>
      </w:r>
      <w:r w:rsidRPr="00021DD2">
        <w:t>Committee on Economic, Social and Cultural Rights (8 May 2017)</w:t>
      </w:r>
      <w:r w:rsidRPr="00021DD2">
        <w:rPr>
          <w:rStyle w:val="Rimandonotadichiusura"/>
        </w:rPr>
        <w:endnoteReference w:id="833"/>
      </w:r>
      <w:r w:rsidRPr="00021DD2">
        <w:t xml:space="preserve"> </w:t>
      </w:r>
    </w:p>
    <w:p w:rsidR="001C7EB4" w:rsidRPr="00021DD2" w:rsidRDefault="001C7EB4" w:rsidP="00BB3258">
      <w:pPr>
        <w:pStyle w:val="Paragrafoelenco"/>
        <w:numPr>
          <w:ilvl w:val="0"/>
          <w:numId w:val="47"/>
        </w:numPr>
        <w:spacing w:before="0" w:after="0"/>
        <w:jc w:val="left"/>
      </w:pPr>
      <w:r w:rsidRPr="00021DD2">
        <w:rPr>
          <w:i/>
        </w:rPr>
        <w:t>NSW Juvenile Justice: Human rights and the use of force</w:t>
      </w:r>
      <w:r w:rsidRPr="00021DD2">
        <w:t>, Submission to the NSW Inspector of Custodial Services (31 May 2017)</w:t>
      </w:r>
      <w:r w:rsidRPr="00021DD2">
        <w:rPr>
          <w:rStyle w:val="Rimandonotadichiusura"/>
        </w:rPr>
        <w:endnoteReference w:id="834"/>
      </w:r>
    </w:p>
    <w:p w:rsidR="001C7EB4" w:rsidRPr="00021DD2" w:rsidRDefault="001C7EB4" w:rsidP="00BB3258">
      <w:pPr>
        <w:pStyle w:val="Paragrafoelenco"/>
        <w:numPr>
          <w:ilvl w:val="0"/>
          <w:numId w:val="47"/>
        </w:numPr>
        <w:spacing w:before="0" w:after="0"/>
        <w:jc w:val="left"/>
      </w:pPr>
      <w:r w:rsidRPr="00021DD2">
        <w:rPr>
          <w:i/>
          <w:lang w:val="en-US"/>
        </w:rPr>
        <w:t>Information for list of issues prior to reporting – Australia</w:t>
      </w:r>
      <w:r w:rsidRPr="00021DD2">
        <w:rPr>
          <w:lang w:val="en-US"/>
        </w:rPr>
        <w:t xml:space="preserve">, Submission to the </w:t>
      </w:r>
      <w:r w:rsidR="002822DA">
        <w:rPr>
          <w:lang w:val="en-US"/>
        </w:rPr>
        <w:t xml:space="preserve">United Nations </w:t>
      </w:r>
      <w:r w:rsidRPr="00021DD2">
        <w:rPr>
          <w:lang w:val="en-US"/>
        </w:rPr>
        <w:t>Committee on the Rights of Persons with Disabilities (29 June 2017)</w:t>
      </w:r>
      <w:r w:rsidRPr="00021DD2">
        <w:rPr>
          <w:rStyle w:val="Rimandonotadichiusura"/>
          <w:lang w:val="en-US"/>
        </w:rPr>
        <w:endnoteReference w:id="835"/>
      </w:r>
      <w:r w:rsidRPr="00021DD2">
        <w:rPr>
          <w:lang w:val="en-US"/>
        </w:rPr>
        <w:t xml:space="preserve">  </w:t>
      </w:r>
    </w:p>
    <w:p w:rsidR="001C7EB4" w:rsidRPr="00021DD2" w:rsidRDefault="001C7EB4" w:rsidP="00BB3258">
      <w:pPr>
        <w:pStyle w:val="Paragrafoelenco"/>
        <w:numPr>
          <w:ilvl w:val="0"/>
          <w:numId w:val="47"/>
        </w:numPr>
        <w:spacing w:before="0" w:after="0"/>
        <w:jc w:val="left"/>
      </w:pPr>
      <w:r w:rsidRPr="00021DD2">
        <w:rPr>
          <w:i/>
        </w:rPr>
        <w:t>Australian Citizenship Legislation (Strengthening the Requirements for Australian Citizenship and Other Measures) Bill 2017</w:t>
      </w:r>
      <w:r w:rsidRPr="00021DD2">
        <w:t>, Submission to Senate Legal and Constitutional Affairs Legislation Committee (21 July 2017)</w:t>
      </w:r>
      <w:r w:rsidRPr="00021DD2">
        <w:rPr>
          <w:rStyle w:val="Rimandonotadichiusura"/>
        </w:rPr>
        <w:endnoteReference w:id="836"/>
      </w:r>
    </w:p>
    <w:p w:rsidR="001C7EB4" w:rsidRPr="00021DD2" w:rsidRDefault="001C7EB4" w:rsidP="00BB3258">
      <w:pPr>
        <w:pStyle w:val="Paragrafoelenco"/>
        <w:numPr>
          <w:ilvl w:val="0"/>
          <w:numId w:val="47"/>
        </w:numPr>
        <w:spacing w:before="0" w:after="0"/>
        <w:jc w:val="left"/>
      </w:pPr>
      <w:r w:rsidRPr="00021DD2">
        <w:rPr>
          <w:i/>
        </w:rPr>
        <w:t>Proposed amendments to the Family Law Act 1975 (Cth) to address direct cross-examination of parties in family law proceedings involving family violence</w:t>
      </w:r>
      <w:r w:rsidRPr="00021DD2">
        <w:t>, Submission to Attorney-General’s Department (July 2017)</w:t>
      </w:r>
      <w:r w:rsidRPr="00021DD2">
        <w:rPr>
          <w:rStyle w:val="Rimandonotadichiusura"/>
        </w:rPr>
        <w:endnoteReference w:id="837"/>
      </w:r>
    </w:p>
    <w:p w:rsidR="001C7EB4" w:rsidRPr="00021DD2" w:rsidRDefault="001C7EB4" w:rsidP="00BB3258">
      <w:pPr>
        <w:pStyle w:val="Paragrafoelenco"/>
        <w:numPr>
          <w:ilvl w:val="0"/>
          <w:numId w:val="47"/>
        </w:numPr>
        <w:spacing w:before="0" w:after="0"/>
        <w:jc w:val="left"/>
      </w:pPr>
      <w:r w:rsidRPr="00021DD2">
        <w:rPr>
          <w:i/>
        </w:rPr>
        <w:t xml:space="preserve">Inquiry </w:t>
      </w:r>
      <w:r w:rsidRPr="00021DD2">
        <w:rPr>
          <w:i/>
          <w:lang w:val="en-US"/>
        </w:rPr>
        <w:t>into a better family law system to support and protect those affected by family violence</w:t>
      </w:r>
      <w:r w:rsidRPr="00021DD2">
        <w:rPr>
          <w:lang w:val="en-US"/>
        </w:rPr>
        <w:t xml:space="preserve">, </w:t>
      </w:r>
      <w:r w:rsidRPr="00021DD2">
        <w:t xml:space="preserve">Submission to the House Standing Committee on Social Policy and Legal Affairs </w:t>
      </w:r>
      <w:r w:rsidRPr="00021DD2">
        <w:rPr>
          <w:lang w:val="en-US"/>
        </w:rPr>
        <w:t>(23 August 2017)</w:t>
      </w:r>
      <w:r w:rsidRPr="00021DD2">
        <w:rPr>
          <w:rStyle w:val="Rimandonotadichiusura"/>
          <w:lang w:val="en-US"/>
        </w:rPr>
        <w:endnoteReference w:id="838"/>
      </w:r>
    </w:p>
    <w:p w:rsidR="001C7EB4" w:rsidRPr="00021DD2" w:rsidRDefault="001C7EB4" w:rsidP="00BB3258">
      <w:pPr>
        <w:pStyle w:val="Paragrafoelenco"/>
        <w:numPr>
          <w:ilvl w:val="0"/>
          <w:numId w:val="47"/>
        </w:numPr>
        <w:spacing w:before="0" w:after="0"/>
        <w:jc w:val="left"/>
      </w:pPr>
      <w:r w:rsidRPr="00021DD2">
        <w:rPr>
          <w:i/>
        </w:rPr>
        <w:t>Information concerning Australia’s compliance with the International Covenant on Civil and Political Rights</w:t>
      </w:r>
      <w:r w:rsidRPr="00021DD2">
        <w:t>, Submission to the U</w:t>
      </w:r>
      <w:r w:rsidR="002822DA">
        <w:t xml:space="preserve">nited </w:t>
      </w:r>
      <w:r w:rsidRPr="00021DD2">
        <w:t>N</w:t>
      </w:r>
      <w:r w:rsidR="002822DA">
        <w:t>ations</w:t>
      </w:r>
      <w:r w:rsidRPr="00021DD2">
        <w:t xml:space="preserve"> Human Rights Committee </w:t>
      </w:r>
      <w:r w:rsidRPr="00021DD2">
        <w:rPr>
          <w:bCs/>
        </w:rPr>
        <w:t>(18 September 2017)</w:t>
      </w:r>
      <w:r w:rsidRPr="00021DD2">
        <w:rPr>
          <w:rStyle w:val="Rimandonotadichiusura"/>
          <w:bCs/>
        </w:rPr>
        <w:endnoteReference w:id="839"/>
      </w:r>
    </w:p>
    <w:p w:rsidR="001C7EB4" w:rsidRPr="00021DD2" w:rsidRDefault="001C7EB4" w:rsidP="00BB3258">
      <w:pPr>
        <w:spacing w:before="0" w:after="0"/>
        <w:rPr>
          <w:rFonts w:cs="Arial"/>
          <w:b/>
        </w:rPr>
      </w:pPr>
    </w:p>
    <w:p w:rsidR="001C7EB4" w:rsidRPr="00021DD2" w:rsidRDefault="001C7EB4" w:rsidP="00BB3258">
      <w:pPr>
        <w:spacing w:before="0" w:after="0"/>
        <w:rPr>
          <w:rFonts w:cs="Arial"/>
          <w:b/>
        </w:rPr>
      </w:pPr>
    </w:p>
    <w:p w:rsidR="001C7EB4" w:rsidRPr="00021DD2" w:rsidRDefault="001C7EB4" w:rsidP="00BB3258">
      <w:pPr>
        <w:spacing w:before="0" w:after="0"/>
        <w:rPr>
          <w:rFonts w:cs="Arial"/>
        </w:rPr>
      </w:pPr>
    </w:p>
    <w:p w:rsidR="001C7EB4" w:rsidRPr="00021DD2" w:rsidRDefault="001C7EB4" w:rsidP="001C7EB4">
      <w:pPr>
        <w:spacing w:before="0" w:after="0"/>
        <w:rPr>
          <w:rFonts w:cs="Arial"/>
          <w:b/>
        </w:rPr>
      </w:pPr>
    </w:p>
    <w:p w:rsidR="001C7EB4" w:rsidRPr="00021DD2" w:rsidRDefault="001C7EB4" w:rsidP="001C7EB4">
      <w:pPr>
        <w:rPr>
          <w:rFonts w:cs="Arial"/>
          <w:b/>
        </w:rPr>
      </w:pPr>
    </w:p>
    <w:p w:rsidR="001C7EB4" w:rsidRPr="00021DD2" w:rsidRDefault="001C7EB4" w:rsidP="001C7EB4">
      <w:pPr>
        <w:rPr>
          <w:rFonts w:cs="Arial"/>
          <w:b/>
        </w:rPr>
        <w:sectPr w:rsidR="001C7EB4" w:rsidRPr="00021DD2" w:rsidSect="003716C0">
          <w:endnotePr>
            <w:numFmt w:val="decimal"/>
            <w:numRestart w:val="eachSect"/>
          </w:endnotePr>
          <w:pgSz w:w="11906" w:h="16838" w:code="9"/>
          <w:pgMar w:top="1134" w:right="1418" w:bottom="1134" w:left="1418" w:header="709" w:footer="709" w:gutter="0"/>
          <w:cols w:space="708"/>
          <w:docGrid w:linePitch="360"/>
        </w:sectPr>
      </w:pPr>
    </w:p>
    <w:p w:rsidR="001C7EB4" w:rsidRPr="00BB3258" w:rsidRDefault="001C7EB4" w:rsidP="00BB3258">
      <w:pPr>
        <w:pStyle w:val="Titolo6"/>
      </w:pPr>
      <w:bookmarkStart w:id="163" w:name="_Toc500308852"/>
      <w:r w:rsidRPr="001E2654">
        <w:t>List of responses on progress of recommendations in</w:t>
      </w:r>
      <w:r w:rsidR="001C20CB" w:rsidRPr="001E2654">
        <w:t xml:space="preserve"> Children’s Rights Reports 2013–</w:t>
      </w:r>
      <w:r w:rsidRPr="001E2654">
        <w:t>2016</w:t>
      </w:r>
      <w:bookmarkEnd w:id="163"/>
    </w:p>
    <w:tbl>
      <w:tblPr>
        <w:tblStyle w:val="Grigliatabella"/>
        <w:tblW w:w="0" w:type="auto"/>
        <w:tblLook w:val="04A0" w:firstRow="1" w:lastRow="0" w:firstColumn="1" w:lastColumn="0" w:noHBand="0" w:noVBand="1"/>
      </w:tblPr>
      <w:tblGrid>
        <w:gridCol w:w="2122"/>
        <w:gridCol w:w="4308"/>
        <w:gridCol w:w="2630"/>
      </w:tblGrid>
      <w:tr w:rsidR="001C7EB4" w:rsidRPr="00222517" w:rsidTr="00346A9E">
        <w:trPr>
          <w:tblHeader/>
        </w:trPr>
        <w:tc>
          <w:tcPr>
            <w:tcW w:w="2122" w:type="dxa"/>
          </w:tcPr>
          <w:p w:rsidR="001C7EB4" w:rsidRPr="00222517" w:rsidRDefault="001C7EB4" w:rsidP="00222517">
            <w:pPr>
              <w:rPr>
                <w:b/>
              </w:rPr>
            </w:pPr>
            <w:r w:rsidRPr="00222517">
              <w:rPr>
                <w:b/>
              </w:rPr>
              <w:t>Date</w:t>
            </w:r>
          </w:p>
        </w:tc>
        <w:tc>
          <w:tcPr>
            <w:tcW w:w="4308" w:type="dxa"/>
          </w:tcPr>
          <w:p w:rsidR="001C7EB4" w:rsidRPr="00222517" w:rsidRDefault="001C7EB4" w:rsidP="00222517">
            <w:pPr>
              <w:rPr>
                <w:b/>
              </w:rPr>
            </w:pPr>
            <w:r w:rsidRPr="00222517">
              <w:rPr>
                <w:b/>
              </w:rPr>
              <w:t>Respondent</w:t>
            </w:r>
          </w:p>
        </w:tc>
        <w:tc>
          <w:tcPr>
            <w:tcW w:w="2630" w:type="dxa"/>
          </w:tcPr>
          <w:p w:rsidR="001C7EB4" w:rsidRPr="00222517" w:rsidRDefault="001C7EB4" w:rsidP="00222517">
            <w:pPr>
              <w:rPr>
                <w:b/>
              </w:rPr>
            </w:pPr>
            <w:r w:rsidRPr="00222517">
              <w:rPr>
                <w:b/>
              </w:rPr>
              <w:t>Agency/Organisation</w:t>
            </w:r>
          </w:p>
        </w:tc>
      </w:tr>
      <w:tr w:rsidR="001C7EB4" w:rsidRPr="00021DD2" w:rsidTr="001C7EB4">
        <w:tc>
          <w:tcPr>
            <w:tcW w:w="2122" w:type="dxa"/>
          </w:tcPr>
          <w:p w:rsidR="001C7EB4" w:rsidRPr="00021DD2" w:rsidRDefault="001C7EB4" w:rsidP="00346A9E">
            <w:r w:rsidRPr="00021DD2">
              <w:t>10.08.2017</w:t>
            </w:r>
          </w:p>
        </w:tc>
        <w:tc>
          <w:tcPr>
            <w:tcW w:w="4308" w:type="dxa"/>
          </w:tcPr>
          <w:p w:rsidR="001C7EB4" w:rsidRPr="00021DD2" w:rsidRDefault="001C7EB4" w:rsidP="00346A9E">
            <w:r w:rsidRPr="00021DD2">
              <w:t>Natalie Johnson, Manager</w:t>
            </w:r>
          </w:p>
        </w:tc>
        <w:tc>
          <w:tcPr>
            <w:tcW w:w="2630" w:type="dxa"/>
          </w:tcPr>
          <w:p w:rsidR="001C7EB4" w:rsidRPr="00021DD2" w:rsidRDefault="001C7EB4" w:rsidP="00346A9E">
            <w:r w:rsidRPr="00021DD2">
              <w:t>National Coronial Information System, Department of Justice and Regulation</w:t>
            </w:r>
          </w:p>
        </w:tc>
      </w:tr>
      <w:tr w:rsidR="001C7EB4" w:rsidRPr="00021DD2" w:rsidTr="001C7EB4">
        <w:tc>
          <w:tcPr>
            <w:tcW w:w="2122" w:type="dxa"/>
          </w:tcPr>
          <w:p w:rsidR="001C7EB4" w:rsidRPr="00021DD2" w:rsidRDefault="001C7EB4" w:rsidP="00346A9E">
            <w:r w:rsidRPr="00021DD2">
              <w:t>17.08.2017</w:t>
            </w:r>
          </w:p>
        </w:tc>
        <w:tc>
          <w:tcPr>
            <w:tcW w:w="4308" w:type="dxa"/>
          </w:tcPr>
          <w:p w:rsidR="001C7EB4" w:rsidRPr="00021DD2" w:rsidRDefault="001C7EB4" w:rsidP="00346A9E">
            <w:r w:rsidRPr="00021DD2">
              <w:t>The Hon Ken Wyatt AM, MP</w:t>
            </w:r>
            <w:r w:rsidR="00346A9E">
              <w:t xml:space="preserve">, </w:t>
            </w:r>
            <w:r w:rsidRPr="00021DD2">
              <w:t>Minister for Aged Care</w:t>
            </w:r>
            <w:r w:rsidR="00346A9E">
              <w:t xml:space="preserve">, </w:t>
            </w:r>
            <w:r w:rsidRPr="00021DD2">
              <w:t>Minister for Indigenous Health</w:t>
            </w:r>
          </w:p>
        </w:tc>
        <w:tc>
          <w:tcPr>
            <w:tcW w:w="2630" w:type="dxa"/>
          </w:tcPr>
          <w:p w:rsidR="001C7EB4" w:rsidRPr="00021DD2" w:rsidRDefault="001C7EB4" w:rsidP="00346A9E">
            <w:r w:rsidRPr="00021DD2">
              <w:t xml:space="preserve">Australian Government </w:t>
            </w:r>
          </w:p>
        </w:tc>
      </w:tr>
      <w:tr w:rsidR="001C7EB4" w:rsidRPr="00021DD2" w:rsidTr="001C7EB4">
        <w:tc>
          <w:tcPr>
            <w:tcW w:w="2122" w:type="dxa"/>
          </w:tcPr>
          <w:p w:rsidR="001C7EB4" w:rsidRPr="00021DD2" w:rsidRDefault="001C7EB4" w:rsidP="00346A9E">
            <w:r w:rsidRPr="00021DD2">
              <w:t>22.08.2017</w:t>
            </w:r>
          </w:p>
        </w:tc>
        <w:tc>
          <w:tcPr>
            <w:tcW w:w="4308" w:type="dxa"/>
          </w:tcPr>
          <w:p w:rsidR="001C7EB4" w:rsidRPr="00021DD2" w:rsidRDefault="001C7EB4" w:rsidP="00346A9E">
            <w:r w:rsidRPr="00021DD2">
              <w:t xml:space="preserve">Sue Murray, Chief Executive </w:t>
            </w:r>
          </w:p>
        </w:tc>
        <w:tc>
          <w:tcPr>
            <w:tcW w:w="2630" w:type="dxa"/>
          </w:tcPr>
          <w:p w:rsidR="001C7EB4" w:rsidRPr="00021DD2" w:rsidRDefault="001C7EB4" w:rsidP="00346A9E">
            <w:r w:rsidRPr="00021DD2">
              <w:t>Suicide Prevention Australia</w:t>
            </w:r>
          </w:p>
        </w:tc>
      </w:tr>
      <w:tr w:rsidR="001C7EB4" w:rsidRPr="00021DD2" w:rsidTr="001C7EB4">
        <w:tc>
          <w:tcPr>
            <w:tcW w:w="2122" w:type="dxa"/>
          </w:tcPr>
          <w:p w:rsidR="001C7EB4" w:rsidRPr="00021DD2" w:rsidRDefault="001C7EB4" w:rsidP="00346A9E">
            <w:r w:rsidRPr="00021DD2">
              <w:t>25.08.2017</w:t>
            </w:r>
          </w:p>
        </w:tc>
        <w:tc>
          <w:tcPr>
            <w:tcW w:w="4308" w:type="dxa"/>
          </w:tcPr>
          <w:p w:rsidR="001C7EB4" w:rsidRPr="00021DD2" w:rsidRDefault="001C7EB4" w:rsidP="00346A9E">
            <w:r w:rsidRPr="00021DD2">
              <w:t xml:space="preserve">David Kalisch, </w:t>
            </w:r>
            <w:r w:rsidR="002822DA">
              <w:t>Australian Statistician</w:t>
            </w:r>
          </w:p>
        </w:tc>
        <w:tc>
          <w:tcPr>
            <w:tcW w:w="2630" w:type="dxa"/>
          </w:tcPr>
          <w:p w:rsidR="001C7EB4" w:rsidRPr="00021DD2" w:rsidRDefault="001C7EB4" w:rsidP="00346A9E">
            <w:r w:rsidRPr="00021DD2">
              <w:t>Australian Bureau of Statistics</w:t>
            </w:r>
          </w:p>
        </w:tc>
      </w:tr>
      <w:tr w:rsidR="001C7EB4" w:rsidRPr="00021DD2" w:rsidTr="001C7EB4">
        <w:tc>
          <w:tcPr>
            <w:tcW w:w="2122" w:type="dxa"/>
          </w:tcPr>
          <w:p w:rsidR="001C7EB4" w:rsidRPr="00021DD2" w:rsidRDefault="001C7EB4" w:rsidP="00346A9E">
            <w:r w:rsidRPr="00021DD2">
              <w:t>25.08.2017</w:t>
            </w:r>
          </w:p>
        </w:tc>
        <w:tc>
          <w:tcPr>
            <w:tcW w:w="4308" w:type="dxa"/>
          </w:tcPr>
          <w:p w:rsidR="001C7EB4" w:rsidRPr="00021DD2" w:rsidRDefault="001C7EB4" w:rsidP="00346A9E">
            <w:r w:rsidRPr="00021DD2">
              <w:t xml:space="preserve">Barry Sandison, CEO </w:t>
            </w:r>
          </w:p>
        </w:tc>
        <w:tc>
          <w:tcPr>
            <w:tcW w:w="2630" w:type="dxa"/>
          </w:tcPr>
          <w:p w:rsidR="001C7EB4" w:rsidRPr="00021DD2" w:rsidRDefault="001C7EB4" w:rsidP="00346A9E">
            <w:r w:rsidRPr="00021DD2">
              <w:t>Australian Institute of Health and Welfare</w:t>
            </w:r>
          </w:p>
        </w:tc>
      </w:tr>
      <w:tr w:rsidR="001C7EB4" w:rsidRPr="00021DD2" w:rsidTr="001C7EB4">
        <w:tc>
          <w:tcPr>
            <w:tcW w:w="2122" w:type="dxa"/>
          </w:tcPr>
          <w:p w:rsidR="001C7EB4" w:rsidRPr="00021DD2" w:rsidRDefault="001C7EB4" w:rsidP="00346A9E">
            <w:r w:rsidRPr="00021DD2">
              <w:t>17.08.2017</w:t>
            </w:r>
          </w:p>
        </w:tc>
        <w:tc>
          <w:tcPr>
            <w:tcW w:w="4308" w:type="dxa"/>
          </w:tcPr>
          <w:p w:rsidR="001C7EB4" w:rsidRPr="00021DD2" w:rsidRDefault="00346A9E" w:rsidP="00346A9E">
            <w:r>
              <w:t xml:space="preserve">The Hon David Elliott MP, </w:t>
            </w:r>
            <w:r w:rsidR="001C7EB4" w:rsidRPr="00021DD2">
              <w:t>Minister for Counter Terrorism, Minister for Corrections, Minister for Veterans Affairs</w:t>
            </w:r>
          </w:p>
        </w:tc>
        <w:tc>
          <w:tcPr>
            <w:tcW w:w="2630" w:type="dxa"/>
          </w:tcPr>
          <w:p w:rsidR="001C7EB4" w:rsidRPr="00021DD2" w:rsidRDefault="001C7EB4" w:rsidP="00346A9E">
            <w:r w:rsidRPr="00021DD2">
              <w:t>NSW Government</w:t>
            </w:r>
          </w:p>
        </w:tc>
      </w:tr>
      <w:tr w:rsidR="001C7EB4" w:rsidRPr="00021DD2" w:rsidTr="001C7EB4">
        <w:tc>
          <w:tcPr>
            <w:tcW w:w="2122" w:type="dxa"/>
          </w:tcPr>
          <w:p w:rsidR="001C7EB4" w:rsidRPr="00021DD2" w:rsidRDefault="001C7EB4" w:rsidP="00346A9E">
            <w:r w:rsidRPr="00021DD2">
              <w:t>18.08.2017</w:t>
            </w:r>
          </w:p>
        </w:tc>
        <w:tc>
          <w:tcPr>
            <w:tcW w:w="4308" w:type="dxa"/>
          </w:tcPr>
          <w:p w:rsidR="001C7EB4" w:rsidRPr="00021DD2" w:rsidRDefault="001C7EB4" w:rsidP="00346A9E">
            <w:r w:rsidRPr="00021DD2">
              <w:t xml:space="preserve">The Hon Jay Weatherill MP, Premier of South Australia </w:t>
            </w:r>
          </w:p>
        </w:tc>
        <w:tc>
          <w:tcPr>
            <w:tcW w:w="2630" w:type="dxa"/>
          </w:tcPr>
          <w:p w:rsidR="001C7EB4" w:rsidRPr="00021DD2" w:rsidRDefault="001C7EB4" w:rsidP="00346A9E">
            <w:r w:rsidRPr="00021DD2">
              <w:t>Office of the Premier, South Australia</w:t>
            </w:r>
          </w:p>
        </w:tc>
      </w:tr>
      <w:tr w:rsidR="001C7EB4" w:rsidRPr="00021DD2" w:rsidTr="001C7EB4">
        <w:tc>
          <w:tcPr>
            <w:tcW w:w="2122" w:type="dxa"/>
          </w:tcPr>
          <w:p w:rsidR="001C7EB4" w:rsidRPr="00021DD2" w:rsidRDefault="001C7EB4" w:rsidP="00346A9E">
            <w:r w:rsidRPr="00021DD2">
              <w:t>22.08.2017</w:t>
            </w:r>
          </w:p>
        </w:tc>
        <w:tc>
          <w:tcPr>
            <w:tcW w:w="4308" w:type="dxa"/>
          </w:tcPr>
          <w:p w:rsidR="001C7EB4" w:rsidRPr="00021DD2" w:rsidRDefault="001C7EB4" w:rsidP="00346A9E">
            <w:r w:rsidRPr="00021DD2">
              <w:t>Julia Griffith, Chair</w:t>
            </w:r>
          </w:p>
        </w:tc>
        <w:tc>
          <w:tcPr>
            <w:tcW w:w="2630" w:type="dxa"/>
          </w:tcPr>
          <w:p w:rsidR="001C7EB4" w:rsidRPr="00021DD2" w:rsidRDefault="001C7EB4" w:rsidP="00346A9E">
            <w:r w:rsidRPr="00021DD2">
              <w:t>Australasian Juvenile Justice Administrators</w:t>
            </w:r>
          </w:p>
        </w:tc>
      </w:tr>
      <w:tr w:rsidR="001C7EB4" w:rsidRPr="00021DD2" w:rsidTr="001C7EB4">
        <w:tc>
          <w:tcPr>
            <w:tcW w:w="2122" w:type="dxa"/>
          </w:tcPr>
          <w:p w:rsidR="001C7EB4" w:rsidRPr="00021DD2" w:rsidRDefault="001C7EB4" w:rsidP="00346A9E">
            <w:r w:rsidRPr="00021DD2">
              <w:t>24.08.2017</w:t>
            </w:r>
          </w:p>
        </w:tc>
        <w:tc>
          <w:tcPr>
            <w:tcW w:w="4308" w:type="dxa"/>
          </w:tcPr>
          <w:p w:rsidR="001C7EB4" w:rsidRPr="00021DD2" w:rsidRDefault="001C7EB4" w:rsidP="00346A9E">
            <w:r w:rsidRPr="00021DD2">
              <w:t>Michael Gunner, Chief Minister</w:t>
            </w:r>
          </w:p>
        </w:tc>
        <w:tc>
          <w:tcPr>
            <w:tcW w:w="2630" w:type="dxa"/>
          </w:tcPr>
          <w:p w:rsidR="001C7EB4" w:rsidRPr="00021DD2" w:rsidRDefault="001C7EB4" w:rsidP="00346A9E">
            <w:r w:rsidRPr="00021DD2">
              <w:t>Northern Territory Government</w:t>
            </w:r>
          </w:p>
        </w:tc>
      </w:tr>
      <w:tr w:rsidR="001C7EB4" w:rsidRPr="00021DD2" w:rsidTr="001C7EB4">
        <w:tc>
          <w:tcPr>
            <w:tcW w:w="2122" w:type="dxa"/>
          </w:tcPr>
          <w:p w:rsidR="001C7EB4" w:rsidRPr="00021DD2" w:rsidRDefault="001C7EB4" w:rsidP="00346A9E">
            <w:r w:rsidRPr="00021DD2">
              <w:t>30.08.2017</w:t>
            </w:r>
          </w:p>
        </w:tc>
        <w:tc>
          <w:tcPr>
            <w:tcW w:w="4308" w:type="dxa"/>
          </w:tcPr>
          <w:p w:rsidR="001C7EB4" w:rsidRPr="00021DD2" w:rsidRDefault="001C7EB4" w:rsidP="00346A9E">
            <w:r w:rsidRPr="00021DD2">
              <w:t xml:space="preserve">Mark Cormack, Deputy Secretary, Strategic Policy and Innovation </w:t>
            </w:r>
          </w:p>
        </w:tc>
        <w:tc>
          <w:tcPr>
            <w:tcW w:w="2630" w:type="dxa"/>
          </w:tcPr>
          <w:p w:rsidR="001C7EB4" w:rsidRPr="00021DD2" w:rsidRDefault="001C7EB4" w:rsidP="00346A9E">
            <w:r w:rsidRPr="00021DD2">
              <w:t>Department of Health, Australian Government</w:t>
            </w:r>
          </w:p>
        </w:tc>
      </w:tr>
      <w:tr w:rsidR="001C7EB4" w:rsidRPr="00021DD2" w:rsidTr="001C7EB4">
        <w:tc>
          <w:tcPr>
            <w:tcW w:w="2122" w:type="dxa"/>
          </w:tcPr>
          <w:p w:rsidR="001C7EB4" w:rsidRPr="00021DD2" w:rsidRDefault="001C7EB4" w:rsidP="00346A9E">
            <w:r w:rsidRPr="00021DD2">
              <w:t>31.08.2017</w:t>
            </w:r>
          </w:p>
        </w:tc>
        <w:tc>
          <w:tcPr>
            <w:tcW w:w="4308" w:type="dxa"/>
          </w:tcPr>
          <w:p w:rsidR="001C7EB4" w:rsidRPr="00021DD2" w:rsidRDefault="001C7EB4" w:rsidP="00346A9E">
            <w:r w:rsidRPr="00021DD2">
              <w:t>The Hon Will Hodgman MP, Premier of Tasmania</w:t>
            </w:r>
          </w:p>
        </w:tc>
        <w:tc>
          <w:tcPr>
            <w:tcW w:w="2630" w:type="dxa"/>
          </w:tcPr>
          <w:p w:rsidR="001C7EB4" w:rsidRPr="00021DD2" w:rsidRDefault="001C7EB4" w:rsidP="00346A9E">
            <w:r w:rsidRPr="00021DD2">
              <w:t>Tasmania State Government</w:t>
            </w:r>
          </w:p>
        </w:tc>
      </w:tr>
      <w:tr w:rsidR="001C7EB4" w:rsidRPr="00021DD2" w:rsidTr="001C7EB4">
        <w:tc>
          <w:tcPr>
            <w:tcW w:w="2122" w:type="dxa"/>
          </w:tcPr>
          <w:p w:rsidR="001C7EB4" w:rsidRPr="00021DD2" w:rsidRDefault="001C7EB4" w:rsidP="00346A9E">
            <w:r w:rsidRPr="00021DD2">
              <w:t>01.09.2017</w:t>
            </w:r>
          </w:p>
        </w:tc>
        <w:tc>
          <w:tcPr>
            <w:tcW w:w="4308" w:type="dxa"/>
          </w:tcPr>
          <w:p w:rsidR="001C7EB4" w:rsidRPr="00021DD2" w:rsidRDefault="001C7EB4" w:rsidP="00346A9E">
            <w:r w:rsidRPr="00021DD2">
              <w:t>The Hon Daniel Andrews MP, Premier of Victoria</w:t>
            </w:r>
          </w:p>
        </w:tc>
        <w:tc>
          <w:tcPr>
            <w:tcW w:w="2630" w:type="dxa"/>
          </w:tcPr>
          <w:p w:rsidR="001C7EB4" w:rsidRPr="00021DD2" w:rsidRDefault="001C7EB4" w:rsidP="00346A9E">
            <w:r w:rsidRPr="00021DD2">
              <w:t>Victoria State Government</w:t>
            </w:r>
          </w:p>
        </w:tc>
      </w:tr>
      <w:tr w:rsidR="001C7EB4" w:rsidRPr="00021DD2" w:rsidTr="001C7EB4">
        <w:tc>
          <w:tcPr>
            <w:tcW w:w="2122" w:type="dxa"/>
          </w:tcPr>
          <w:p w:rsidR="001C7EB4" w:rsidRPr="00021DD2" w:rsidRDefault="001C7EB4" w:rsidP="00346A9E">
            <w:r w:rsidRPr="00021DD2">
              <w:t>04.09.2017</w:t>
            </w:r>
          </w:p>
        </w:tc>
        <w:tc>
          <w:tcPr>
            <w:tcW w:w="4308" w:type="dxa"/>
          </w:tcPr>
          <w:p w:rsidR="001C7EB4" w:rsidRPr="00021DD2" w:rsidRDefault="001C7EB4" w:rsidP="00346A9E">
            <w:r w:rsidRPr="00021DD2">
              <w:t>Senator The Hon Nigel Scullion, Minister for Indigenous Affairs</w:t>
            </w:r>
          </w:p>
        </w:tc>
        <w:tc>
          <w:tcPr>
            <w:tcW w:w="2630" w:type="dxa"/>
          </w:tcPr>
          <w:p w:rsidR="001C7EB4" w:rsidRPr="00021DD2" w:rsidRDefault="001C7EB4" w:rsidP="00346A9E">
            <w:r w:rsidRPr="00021DD2">
              <w:t>Australian Government</w:t>
            </w:r>
          </w:p>
        </w:tc>
      </w:tr>
      <w:tr w:rsidR="001C7EB4" w:rsidRPr="00021DD2" w:rsidTr="001C7EB4">
        <w:tc>
          <w:tcPr>
            <w:tcW w:w="2122" w:type="dxa"/>
          </w:tcPr>
          <w:p w:rsidR="001C7EB4" w:rsidRPr="00021DD2" w:rsidRDefault="001C7EB4" w:rsidP="00346A9E">
            <w:r w:rsidRPr="00021DD2">
              <w:t>07.09.2017</w:t>
            </w:r>
          </w:p>
        </w:tc>
        <w:tc>
          <w:tcPr>
            <w:tcW w:w="4308" w:type="dxa"/>
          </w:tcPr>
          <w:p w:rsidR="001C7EB4" w:rsidRPr="00021DD2" w:rsidRDefault="001C7EB4" w:rsidP="00346A9E">
            <w:r w:rsidRPr="00021DD2">
              <w:t>Deej Eszenyi</w:t>
            </w:r>
            <w:r w:rsidR="002822DA">
              <w:t>, Chair</w:t>
            </w:r>
            <w:r w:rsidRPr="00021DD2">
              <w:t xml:space="preserve"> </w:t>
            </w:r>
          </w:p>
        </w:tc>
        <w:tc>
          <w:tcPr>
            <w:tcW w:w="2630" w:type="dxa"/>
          </w:tcPr>
          <w:p w:rsidR="001C7EB4" w:rsidRPr="00021DD2" w:rsidRDefault="001C7EB4" w:rsidP="00346A9E">
            <w:r w:rsidRPr="00021DD2">
              <w:t>Australian and New Zealand Child Death Review and Prevention Group</w:t>
            </w:r>
          </w:p>
        </w:tc>
      </w:tr>
      <w:tr w:rsidR="001C7EB4" w:rsidRPr="00021DD2" w:rsidTr="001C7EB4">
        <w:tc>
          <w:tcPr>
            <w:tcW w:w="2122" w:type="dxa"/>
          </w:tcPr>
          <w:p w:rsidR="001C7EB4" w:rsidRPr="00021DD2" w:rsidRDefault="001C7EB4" w:rsidP="00346A9E">
            <w:r w:rsidRPr="00021DD2">
              <w:t>11.09.2017</w:t>
            </w:r>
          </w:p>
        </w:tc>
        <w:tc>
          <w:tcPr>
            <w:tcW w:w="4308" w:type="dxa"/>
          </w:tcPr>
          <w:p w:rsidR="001C7EB4" w:rsidRPr="00021DD2" w:rsidRDefault="001C7EB4" w:rsidP="00346A9E">
            <w:r w:rsidRPr="00021DD2">
              <w:t>The Hon Annastacia Palaszcz</w:t>
            </w:r>
            <w:r w:rsidR="009E2A3C" w:rsidRPr="00021DD2">
              <w:t>uk MP, Premier of Queensland,</w:t>
            </w:r>
            <w:r w:rsidR="00346A9E">
              <w:t xml:space="preserve"> </w:t>
            </w:r>
            <w:r w:rsidRPr="00021DD2">
              <w:t>Minister for the Arts</w:t>
            </w:r>
          </w:p>
        </w:tc>
        <w:tc>
          <w:tcPr>
            <w:tcW w:w="2630" w:type="dxa"/>
          </w:tcPr>
          <w:p w:rsidR="001C7EB4" w:rsidRPr="00021DD2" w:rsidRDefault="001C7EB4" w:rsidP="00346A9E">
            <w:r w:rsidRPr="00021DD2">
              <w:t>Queensland State Government</w:t>
            </w:r>
          </w:p>
        </w:tc>
      </w:tr>
      <w:tr w:rsidR="001C7EB4" w:rsidRPr="00021DD2" w:rsidTr="001C7EB4">
        <w:tc>
          <w:tcPr>
            <w:tcW w:w="2122" w:type="dxa"/>
          </w:tcPr>
          <w:p w:rsidR="001C7EB4" w:rsidRPr="00021DD2" w:rsidRDefault="001C7EB4" w:rsidP="00346A9E">
            <w:r w:rsidRPr="00021DD2">
              <w:t>26.09.2017</w:t>
            </w:r>
          </w:p>
        </w:tc>
        <w:tc>
          <w:tcPr>
            <w:tcW w:w="4308" w:type="dxa"/>
          </w:tcPr>
          <w:p w:rsidR="001C7EB4" w:rsidRPr="00021DD2" w:rsidRDefault="001C7EB4" w:rsidP="00346A9E">
            <w:pPr>
              <w:rPr>
                <w:b/>
                <w:bCs/>
              </w:rPr>
            </w:pPr>
            <w:r w:rsidRPr="00021DD2">
              <w:rPr>
                <w:bCs/>
              </w:rPr>
              <w:t>The Hon Christian Porter MP,</w:t>
            </w:r>
            <w:r w:rsidRPr="00021DD2">
              <w:rPr>
                <w:b/>
                <w:bCs/>
              </w:rPr>
              <w:t xml:space="preserve"> </w:t>
            </w:r>
            <w:r w:rsidRPr="00021DD2">
              <w:t>Minister for Social Services</w:t>
            </w:r>
          </w:p>
        </w:tc>
        <w:tc>
          <w:tcPr>
            <w:tcW w:w="2630" w:type="dxa"/>
          </w:tcPr>
          <w:p w:rsidR="001C7EB4" w:rsidRPr="00021DD2" w:rsidRDefault="001C7EB4" w:rsidP="00346A9E">
            <w:r w:rsidRPr="00021DD2">
              <w:t>Australian Government</w:t>
            </w:r>
          </w:p>
        </w:tc>
      </w:tr>
      <w:tr w:rsidR="001C7EB4" w:rsidRPr="00021DD2" w:rsidTr="001C7EB4">
        <w:tc>
          <w:tcPr>
            <w:tcW w:w="2122" w:type="dxa"/>
          </w:tcPr>
          <w:p w:rsidR="001C7EB4" w:rsidRPr="00021DD2" w:rsidRDefault="001C7EB4" w:rsidP="00346A9E">
            <w:r w:rsidRPr="00021DD2">
              <w:t>04.10.2017</w:t>
            </w:r>
          </w:p>
        </w:tc>
        <w:tc>
          <w:tcPr>
            <w:tcW w:w="4308" w:type="dxa"/>
          </w:tcPr>
          <w:p w:rsidR="001C7EB4" w:rsidRPr="00021DD2" w:rsidRDefault="001C7EB4" w:rsidP="00346A9E">
            <w:pPr>
              <w:rPr>
                <w:bCs/>
              </w:rPr>
            </w:pPr>
            <w:r w:rsidRPr="00021DD2">
              <w:rPr>
                <w:bCs/>
              </w:rPr>
              <w:t>The Hon Martin Pakula MP, Attorney-General, and The Hon Jenny Mikakos MP, Minister for Families and Children</w:t>
            </w:r>
          </w:p>
        </w:tc>
        <w:tc>
          <w:tcPr>
            <w:tcW w:w="2630" w:type="dxa"/>
          </w:tcPr>
          <w:p w:rsidR="001C7EB4" w:rsidRPr="00021DD2" w:rsidRDefault="001C7EB4" w:rsidP="00346A9E">
            <w:r w:rsidRPr="00021DD2">
              <w:t>Victoria State Government</w:t>
            </w:r>
          </w:p>
        </w:tc>
      </w:tr>
      <w:tr w:rsidR="001C7EB4" w:rsidRPr="00021DD2" w:rsidTr="001C7EB4">
        <w:tc>
          <w:tcPr>
            <w:tcW w:w="2122" w:type="dxa"/>
          </w:tcPr>
          <w:p w:rsidR="001C7EB4" w:rsidRPr="00021DD2" w:rsidRDefault="001C7EB4" w:rsidP="00346A9E">
            <w:r w:rsidRPr="00021DD2">
              <w:t>06.10.2017</w:t>
            </w:r>
          </w:p>
        </w:tc>
        <w:tc>
          <w:tcPr>
            <w:tcW w:w="4308" w:type="dxa"/>
          </w:tcPr>
          <w:p w:rsidR="001C7EB4" w:rsidRPr="00021DD2" w:rsidRDefault="001C7EB4" w:rsidP="00346A9E">
            <w:pPr>
              <w:rPr>
                <w:bCs/>
              </w:rPr>
            </w:pPr>
            <w:r w:rsidRPr="00021DD2">
              <w:rPr>
                <w:bCs/>
              </w:rPr>
              <w:t>Andrew Barr MLA, Chief Minister</w:t>
            </w:r>
          </w:p>
        </w:tc>
        <w:tc>
          <w:tcPr>
            <w:tcW w:w="2630" w:type="dxa"/>
          </w:tcPr>
          <w:p w:rsidR="001C7EB4" w:rsidRPr="00021DD2" w:rsidRDefault="001C7EB4" w:rsidP="00346A9E">
            <w:r w:rsidRPr="00021DD2">
              <w:t>ACT Government</w:t>
            </w:r>
            <w:r w:rsidR="003716C0" w:rsidRPr="00021DD2">
              <w:tab/>
            </w:r>
          </w:p>
        </w:tc>
      </w:tr>
    </w:tbl>
    <w:p w:rsidR="00346A9E" w:rsidRDefault="00346A9E" w:rsidP="00346A9E"/>
    <w:p w:rsidR="00346A9E" w:rsidRDefault="00346A9E">
      <w:pPr>
        <w:keepLines w:val="0"/>
        <w:spacing w:before="0" w:after="0"/>
      </w:pPr>
      <w:r>
        <w:br w:type="page"/>
      </w:r>
    </w:p>
    <w:p w:rsidR="00153F1C" w:rsidRPr="00BB3258" w:rsidRDefault="00153F1C" w:rsidP="00BB3258">
      <w:pPr>
        <w:pStyle w:val="Titolo6"/>
      </w:pPr>
      <w:bookmarkStart w:id="164" w:name="_Toc500308853"/>
      <w:r w:rsidRPr="001E2654">
        <w:t>Submissions made to the National Children’s Commissioner about young parents and their children</w:t>
      </w:r>
      <w:bookmarkEnd w:id="164"/>
    </w:p>
    <w:tbl>
      <w:tblPr>
        <w:tblStyle w:val="Grigliatabella"/>
        <w:tblW w:w="8960" w:type="dxa"/>
        <w:jc w:val="center"/>
        <w:tblLook w:val="04A0" w:firstRow="1" w:lastRow="0" w:firstColumn="1" w:lastColumn="0" w:noHBand="0" w:noVBand="1"/>
      </w:tblPr>
      <w:tblGrid>
        <w:gridCol w:w="1838"/>
        <w:gridCol w:w="2146"/>
        <w:gridCol w:w="4976"/>
      </w:tblGrid>
      <w:tr w:rsidR="00153F1C" w:rsidRPr="00346A9E" w:rsidTr="007F12D5">
        <w:trPr>
          <w:trHeight w:val="271"/>
          <w:tblHeader/>
          <w:jc w:val="center"/>
        </w:trPr>
        <w:tc>
          <w:tcPr>
            <w:tcW w:w="1838" w:type="dxa"/>
          </w:tcPr>
          <w:p w:rsidR="00153F1C" w:rsidRPr="00346A9E" w:rsidRDefault="00153F1C" w:rsidP="007F12D5">
            <w:pPr>
              <w:jc w:val="center"/>
              <w:rPr>
                <w:b/>
              </w:rPr>
            </w:pPr>
            <w:r w:rsidRPr="00346A9E">
              <w:rPr>
                <w:b/>
              </w:rPr>
              <w:t>Submission #</w:t>
            </w:r>
          </w:p>
        </w:tc>
        <w:tc>
          <w:tcPr>
            <w:tcW w:w="2146" w:type="dxa"/>
          </w:tcPr>
          <w:p w:rsidR="00153F1C" w:rsidRPr="00346A9E" w:rsidRDefault="00153F1C" w:rsidP="00346A9E">
            <w:pPr>
              <w:rPr>
                <w:b/>
              </w:rPr>
            </w:pPr>
            <w:r w:rsidRPr="00346A9E">
              <w:rPr>
                <w:b/>
              </w:rPr>
              <w:t>Date</w:t>
            </w:r>
          </w:p>
        </w:tc>
        <w:tc>
          <w:tcPr>
            <w:tcW w:w="4976" w:type="dxa"/>
          </w:tcPr>
          <w:p w:rsidR="00153F1C" w:rsidRPr="00346A9E" w:rsidRDefault="00153F1C" w:rsidP="00346A9E">
            <w:pPr>
              <w:rPr>
                <w:b/>
              </w:rPr>
            </w:pPr>
            <w:r w:rsidRPr="00346A9E">
              <w:rPr>
                <w:b/>
              </w:rPr>
              <w:t>Location</w:t>
            </w:r>
          </w:p>
        </w:tc>
      </w:tr>
      <w:tr w:rsidR="00153F1C" w:rsidRPr="00021DD2" w:rsidTr="00346A9E">
        <w:trPr>
          <w:trHeight w:val="798"/>
          <w:jc w:val="center"/>
        </w:trPr>
        <w:tc>
          <w:tcPr>
            <w:tcW w:w="1838" w:type="dxa"/>
          </w:tcPr>
          <w:p w:rsidR="00153F1C" w:rsidRPr="00021DD2" w:rsidRDefault="00153F1C" w:rsidP="007F12D5">
            <w:pPr>
              <w:jc w:val="center"/>
            </w:pPr>
            <w:r w:rsidRPr="00021DD2">
              <w:t>1</w:t>
            </w:r>
          </w:p>
        </w:tc>
        <w:tc>
          <w:tcPr>
            <w:tcW w:w="2146" w:type="dxa"/>
          </w:tcPr>
          <w:p w:rsidR="00153F1C" w:rsidRPr="00021DD2" w:rsidRDefault="00153F1C" w:rsidP="00346A9E">
            <w:r w:rsidRPr="00021DD2">
              <w:t>03.05.2017</w:t>
            </w:r>
          </w:p>
        </w:tc>
        <w:tc>
          <w:tcPr>
            <w:tcW w:w="4976" w:type="dxa"/>
          </w:tcPr>
          <w:p w:rsidR="00153F1C" w:rsidRPr="00021DD2" w:rsidRDefault="00153F1C" w:rsidP="00346A9E">
            <w:r w:rsidRPr="00021DD2">
              <w:t>Ella Kuskoff, Institute of Social Science Research, The University of Queensland</w:t>
            </w:r>
          </w:p>
        </w:tc>
      </w:tr>
      <w:tr w:rsidR="00153F1C" w:rsidRPr="00021DD2" w:rsidTr="009E2A3C">
        <w:trPr>
          <w:trHeight w:val="543"/>
          <w:jc w:val="center"/>
        </w:trPr>
        <w:tc>
          <w:tcPr>
            <w:tcW w:w="1838" w:type="dxa"/>
          </w:tcPr>
          <w:p w:rsidR="00153F1C" w:rsidRPr="00021DD2" w:rsidRDefault="00153F1C" w:rsidP="007F12D5">
            <w:pPr>
              <w:jc w:val="center"/>
            </w:pPr>
            <w:r w:rsidRPr="00021DD2">
              <w:t>2</w:t>
            </w:r>
          </w:p>
        </w:tc>
        <w:tc>
          <w:tcPr>
            <w:tcW w:w="2146" w:type="dxa"/>
          </w:tcPr>
          <w:p w:rsidR="00153F1C" w:rsidRPr="00021DD2" w:rsidRDefault="00153F1C" w:rsidP="00346A9E">
            <w:r w:rsidRPr="00021DD2">
              <w:t>10.05.2017</w:t>
            </w:r>
          </w:p>
        </w:tc>
        <w:tc>
          <w:tcPr>
            <w:tcW w:w="4976" w:type="dxa"/>
          </w:tcPr>
          <w:p w:rsidR="00153F1C" w:rsidRPr="00021DD2" w:rsidRDefault="00153F1C" w:rsidP="00346A9E">
            <w:r w:rsidRPr="00021DD2">
              <w:t>Bernadette Black, Brave Foundation</w:t>
            </w:r>
          </w:p>
        </w:tc>
      </w:tr>
      <w:tr w:rsidR="00153F1C" w:rsidRPr="00021DD2" w:rsidTr="009E2A3C">
        <w:trPr>
          <w:trHeight w:val="456"/>
          <w:jc w:val="center"/>
        </w:trPr>
        <w:tc>
          <w:tcPr>
            <w:tcW w:w="1838" w:type="dxa"/>
          </w:tcPr>
          <w:p w:rsidR="00153F1C" w:rsidRPr="00021DD2" w:rsidRDefault="00153F1C" w:rsidP="007F12D5">
            <w:pPr>
              <w:jc w:val="center"/>
            </w:pPr>
            <w:r w:rsidRPr="00021DD2">
              <w:t>3</w:t>
            </w:r>
          </w:p>
        </w:tc>
        <w:tc>
          <w:tcPr>
            <w:tcW w:w="2146" w:type="dxa"/>
          </w:tcPr>
          <w:p w:rsidR="00153F1C" w:rsidRPr="00021DD2" w:rsidRDefault="00153F1C" w:rsidP="00346A9E">
            <w:r w:rsidRPr="00021DD2">
              <w:t>10.05.2017</w:t>
            </w:r>
          </w:p>
        </w:tc>
        <w:tc>
          <w:tcPr>
            <w:tcW w:w="4976" w:type="dxa"/>
          </w:tcPr>
          <w:p w:rsidR="00153F1C" w:rsidRPr="00021DD2" w:rsidRDefault="00153F1C" w:rsidP="00346A9E">
            <w:r w:rsidRPr="00021DD2">
              <w:t>Bernadette Black, Brave Foundation</w:t>
            </w:r>
          </w:p>
        </w:tc>
      </w:tr>
      <w:tr w:rsidR="00153F1C" w:rsidRPr="00021DD2" w:rsidTr="00346A9E">
        <w:trPr>
          <w:trHeight w:val="673"/>
          <w:jc w:val="center"/>
        </w:trPr>
        <w:tc>
          <w:tcPr>
            <w:tcW w:w="1838" w:type="dxa"/>
          </w:tcPr>
          <w:p w:rsidR="00153F1C" w:rsidRPr="00021DD2" w:rsidRDefault="00153F1C" w:rsidP="007F12D5">
            <w:pPr>
              <w:jc w:val="center"/>
            </w:pPr>
            <w:r w:rsidRPr="00021DD2">
              <w:t>4</w:t>
            </w:r>
          </w:p>
        </w:tc>
        <w:tc>
          <w:tcPr>
            <w:tcW w:w="2146" w:type="dxa"/>
          </w:tcPr>
          <w:p w:rsidR="00153F1C" w:rsidRPr="00021DD2" w:rsidRDefault="00153F1C" w:rsidP="00346A9E">
            <w:r w:rsidRPr="00021DD2">
              <w:t>12.05.2017</w:t>
            </w:r>
          </w:p>
        </w:tc>
        <w:tc>
          <w:tcPr>
            <w:tcW w:w="4976" w:type="dxa"/>
          </w:tcPr>
          <w:p w:rsidR="00153F1C" w:rsidRPr="00021DD2" w:rsidRDefault="00153F1C" w:rsidP="00346A9E">
            <w:r w:rsidRPr="00021DD2">
              <w:t>Phillip Mendes and Jade Purtell, Department of Social Work, Monash University</w:t>
            </w:r>
          </w:p>
        </w:tc>
      </w:tr>
      <w:tr w:rsidR="00153F1C" w:rsidRPr="00021DD2" w:rsidTr="009E2A3C">
        <w:trPr>
          <w:trHeight w:val="558"/>
          <w:jc w:val="center"/>
        </w:trPr>
        <w:tc>
          <w:tcPr>
            <w:tcW w:w="1838" w:type="dxa"/>
          </w:tcPr>
          <w:p w:rsidR="00153F1C" w:rsidRPr="00021DD2" w:rsidRDefault="00153F1C" w:rsidP="007F12D5">
            <w:pPr>
              <w:jc w:val="center"/>
            </w:pPr>
            <w:r w:rsidRPr="00021DD2">
              <w:t>5</w:t>
            </w:r>
          </w:p>
        </w:tc>
        <w:tc>
          <w:tcPr>
            <w:tcW w:w="2146" w:type="dxa"/>
          </w:tcPr>
          <w:p w:rsidR="00153F1C" w:rsidRPr="00021DD2" w:rsidRDefault="00153F1C" w:rsidP="00346A9E">
            <w:r w:rsidRPr="00021DD2">
              <w:t>30.06.2017</w:t>
            </w:r>
          </w:p>
        </w:tc>
        <w:tc>
          <w:tcPr>
            <w:tcW w:w="4976" w:type="dxa"/>
          </w:tcPr>
          <w:p w:rsidR="00153F1C" w:rsidRPr="00021DD2" w:rsidRDefault="00153F1C" w:rsidP="00346A9E">
            <w:r w:rsidRPr="00021DD2">
              <w:t>Anne Webster, Zoe Support Australia</w:t>
            </w:r>
          </w:p>
        </w:tc>
      </w:tr>
      <w:tr w:rsidR="00153F1C" w:rsidRPr="00021DD2" w:rsidTr="00346A9E">
        <w:trPr>
          <w:trHeight w:val="812"/>
          <w:jc w:val="center"/>
        </w:trPr>
        <w:tc>
          <w:tcPr>
            <w:tcW w:w="1838" w:type="dxa"/>
          </w:tcPr>
          <w:p w:rsidR="00153F1C" w:rsidRPr="00021DD2" w:rsidRDefault="00153F1C" w:rsidP="007F12D5">
            <w:pPr>
              <w:jc w:val="center"/>
            </w:pPr>
            <w:r w:rsidRPr="00021DD2">
              <w:t>6</w:t>
            </w:r>
          </w:p>
        </w:tc>
        <w:tc>
          <w:tcPr>
            <w:tcW w:w="2146" w:type="dxa"/>
          </w:tcPr>
          <w:p w:rsidR="00153F1C" w:rsidRPr="00021DD2" w:rsidRDefault="00153F1C" w:rsidP="00346A9E">
            <w:r w:rsidRPr="00021DD2">
              <w:t>19.05.2017</w:t>
            </w:r>
          </w:p>
        </w:tc>
        <w:tc>
          <w:tcPr>
            <w:tcW w:w="4976" w:type="dxa"/>
          </w:tcPr>
          <w:p w:rsidR="00153F1C" w:rsidRPr="00021DD2" w:rsidRDefault="00153F1C" w:rsidP="00346A9E">
            <w:r w:rsidRPr="00021DD2">
              <w:t>Commissioner for Children and Young People, Western Australia</w:t>
            </w:r>
          </w:p>
        </w:tc>
      </w:tr>
      <w:tr w:rsidR="00153F1C" w:rsidRPr="00021DD2" w:rsidTr="009E2A3C">
        <w:trPr>
          <w:trHeight w:val="543"/>
          <w:jc w:val="center"/>
        </w:trPr>
        <w:tc>
          <w:tcPr>
            <w:tcW w:w="1838" w:type="dxa"/>
          </w:tcPr>
          <w:p w:rsidR="00153F1C" w:rsidRPr="00021DD2" w:rsidRDefault="00153F1C" w:rsidP="007F12D5">
            <w:pPr>
              <w:jc w:val="center"/>
            </w:pPr>
            <w:r w:rsidRPr="00021DD2">
              <w:t>7</w:t>
            </w:r>
          </w:p>
        </w:tc>
        <w:tc>
          <w:tcPr>
            <w:tcW w:w="2146" w:type="dxa"/>
          </w:tcPr>
          <w:p w:rsidR="00153F1C" w:rsidRPr="00021DD2" w:rsidRDefault="00153F1C" w:rsidP="00346A9E">
            <w:r w:rsidRPr="00021DD2">
              <w:t>23.05.2017</w:t>
            </w:r>
          </w:p>
        </w:tc>
        <w:tc>
          <w:tcPr>
            <w:tcW w:w="4976" w:type="dxa"/>
          </w:tcPr>
          <w:p w:rsidR="00153F1C" w:rsidRPr="00021DD2" w:rsidRDefault="00153F1C" w:rsidP="00346A9E">
            <w:r w:rsidRPr="00021DD2">
              <w:t>CCCares at Canberra College</w:t>
            </w:r>
          </w:p>
        </w:tc>
      </w:tr>
      <w:tr w:rsidR="00153F1C" w:rsidRPr="00021DD2" w:rsidTr="009E2A3C">
        <w:trPr>
          <w:trHeight w:val="558"/>
          <w:jc w:val="center"/>
        </w:trPr>
        <w:tc>
          <w:tcPr>
            <w:tcW w:w="1838" w:type="dxa"/>
          </w:tcPr>
          <w:p w:rsidR="00153F1C" w:rsidRPr="00021DD2" w:rsidRDefault="00153F1C" w:rsidP="007F12D5">
            <w:pPr>
              <w:jc w:val="center"/>
            </w:pPr>
            <w:r w:rsidRPr="00021DD2">
              <w:t>8</w:t>
            </w:r>
          </w:p>
        </w:tc>
        <w:tc>
          <w:tcPr>
            <w:tcW w:w="2146" w:type="dxa"/>
          </w:tcPr>
          <w:p w:rsidR="00153F1C" w:rsidRPr="00021DD2" w:rsidRDefault="00153F1C" w:rsidP="00346A9E">
            <w:r w:rsidRPr="00021DD2">
              <w:t>23.05.2017</w:t>
            </w:r>
          </w:p>
        </w:tc>
        <w:tc>
          <w:tcPr>
            <w:tcW w:w="4976" w:type="dxa"/>
          </w:tcPr>
          <w:p w:rsidR="00153F1C" w:rsidRPr="00021DD2" w:rsidRDefault="00153F1C" w:rsidP="00346A9E">
            <w:r w:rsidRPr="00021DD2">
              <w:t>CCCares at Canberra College</w:t>
            </w:r>
          </w:p>
        </w:tc>
      </w:tr>
      <w:tr w:rsidR="00153F1C" w:rsidRPr="00021DD2" w:rsidTr="009E2A3C">
        <w:trPr>
          <w:trHeight w:val="543"/>
          <w:jc w:val="center"/>
        </w:trPr>
        <w:tc>
          <w:tcPr>
            <w:tcW w:w="1838" w:type="dxa"/>
          </w:tcPr>
          <w:p w:rsidR="00153F1C" w:rsidRPr="00021DD2" w:rsidRDefault="00153F1C" w:rsidP="007F12D5">
            <w:pPr>
              <w:jc w:val="center"/>
            </w:pPr>
            <w:r w:rsidRPr="00021DD2">
              <w:t>9</w:t>
            </w:r>
          </w:p>
        </w:tc>
        <w:tc>
          <w:tcPr>
            <w:tcW w:w="2146" w:type="dxa"/>
          </w:tcPr>
          <w:p w:rsidR="00153F1C" w:rsidRPr="00021DD2" w:rsidRDefault="00153F1C" w:rsidP="00346A9E">
            <w:r w:rsidRPr="00021DD2">
              <w:t>16.05.2017</w:t>
            </w:r>
          </w:p>
        </w:tc>
        <w:tc>
          <w:tcPr>
            <w:tcW w:w="4976" w:type="dxa"/>
          </w:tcPr>
          <w:p w:rsidR="00153F1C" w:rsidRPr="00021DD2" w:rsidRDefault="00153F1C" w:rsidP="00346A9E">
            <w:r w:rsidRPr="00021DD2">
              <w:t>Genesis Pregnancy Support</w:t>
            </w:r>
          </w:p>
        </w:tc>
      </w:tr>
      <w:tr w:rsidR="00153F1C" w:rsidRPr="00021DD2" w:rsidTr="007F12D5">
        <w:trPr>
          <w:trHeight w:val="785"/>
          <w:jc w:val="center"/>
        </w:trPr>
        <w:tc>
          <w:tcPr>
            <w:tcW w:w="1838" w:type="dxa"/>
          </w:tcPr>
          <w:p w:rsidR="00153F1C" w:rsidRPr="00021DD2" w:rsidRDefault="00153F1C" w:rsidP="007F12D5">
            <w:pPr>
              <w:jc w:val="center"/>
            </w:pPr>
            <w:r w:rsidRPr="00021DD2">
              <w:t>10</w:t>
            </w:r>
          </w:p>
        </w:tc>
        <w:tc>
          <w:tcPr>
            <w:tcW w:w="2146" w:type="dxa"/>
          </w:tcPr>
          <w:p w:rsidR="00153F1C" w:rsidRPr="00021DD2" w:rsidRDefault="00153F1C" w:rsidP="00346A9E">
            <w:r w:rsidRPr="00021DD2">
              <w:t>29.05.2017</w:t>
            </w:r>
          </w:p>
        </w:tc>
        <w:tc>
          <w:tcPr>
            <w:tcW w:w="4976" w:type="dxa"/>
          </w:tcPr>
          <w:p w:rsidR="00153F1C" w:rsidRPr="00021DD2" w:rsidRDefault="00153F1C" w:rsidP="00346A9E">
            <w:r w:rsidRPr="00021DD2">
              <w:t xml:space="preserve">Supporting </w:t>
            </w:r>
            <w:r w:rsidR="009E2A3C" w:rsidRPr="00021DD2">
              <w:t>Teenagers with Education, M</w:t>
            </w:r>
            <w:r w:rsidRPr="00021DD2">
              <w:t>othering and Mentoring (STEMM)</w:t>
            </w:r>
          </w:p>
        </w:tc>
      </w:tr>
      <w:tr w:rsidR="00153F1C" w:rsidRPr="00021DD2" w:rsidTr="009E2A3C">
        <w:trPr>
          <w:trHeight w:val="558"/>
          <w:jc w:val="center"/>
        </w:trPr>
        <w:tc>
          <w:tcPr>
            <w:tcW w:w="1838" w:type="dxa"/>
          </w:tcPr>
          <w:p w:rsidR="00153F1C" w:rsidRPr="00021DD2" w:rsidRDefault="00153F1C" w:rsidP="007F12D5">
            <w:pPr>
              <w:jc w:val="center"/>
            </w:pPr>
            <w:r w:rsidRPr="00021DD2">
              <w:t>11</w:t>
            </w:r>
          </w:p>
        </w:tc>
        <w:tc>
          <w:tcPr>
            <w:tcW w:w="2146" w:type="dxa"/>
          </w:tcPr>
          <w:p w:rsidR="00153F1C" w:rsidRPr="00021DD2" w:rsidRDefault="00153F1C" w:rsidP="00346A9E">
            <w:r w:rsidRPr="00021DD2">
              <w:t>30.05.2017</w:t>
            </w:r>
          </w:p>
        </w:tc>
        <w:tc>
          <w:tcPr>
            <w:tcW w:w="4976" w:type="dxa"/>
          </w:tcPr>
          <w:p w:rsidR="00153F1C" w:rsidRPr="00021DD2" w:rsidRDefault="00153F1C" w:rsidP="00346A9E">
            <w:r w:rsidRPr="00021DD2">
              <w:t>ACT Government Submission</w:t>
            </w:r>
          </w:p>
        </w:tc>
      </w:tr>
      <w:tr w:rsidR="00153F1C" w:rsidRPr="00021DD2" w:rsidTr="009E2A3C">
        <w:trPr>
          <w:trHeight w:val="1661"/>
          <w:jc w:val="center"/>
        </w:trPr>
        <w:tc>
          <w:tcPr>
            <w:tcW w:w="1838" w:type="dxa"/>
          </w:tcPr>
          <w:p w:rsidR="00153F1C" w:rsidRPr="00021DD2" w:rsidRDefault="00153F1C" w:rsidP="007F12D5">
            <w:pPr>
              <w:jc w:val="center"/>
            </w:pPr>
            <w:r w:rsidRPr="00021DD2">
              <w:t>12</w:t>
            </w:r>
          </w:p>
        </w:tc>
        <w:tc>
          <w:tcPr>
            <w:tcW w:w="2146" w:type="dxa"/>
          </w:tcPr>
          <w:p w:rsidR="00153F1C" w:rsidRPr="00021DD2" w:rsidRDefault="00153F1C" w:rsidP="00346A9E">
            <w:r w:rsidRPr="00021DD2">
              <w:t>30.05.2017</w:t>
            </w:r>
          </w:p>
        </w:tc>
        <w:tc>
          <w:tcPr>
            <w:tcW w:w="4976" w:type="dxa"/>
          </w:tcPr>
          <w:p w:rsidR="00153F1C" w:rsidRPr="00021DD2" w:rsidRDefault="00153F1C" w:rsidP="00346A9E">
            <w:r w:rsidRPr="00021DD2">
              <w:t>Dr Gail Winkworth and Professor Morag McArthur, Institute of Child Protection Studies, Australian Catholic University</w:t>
            </w:r>
          </w:p>
        </w:tc>
      </w:tr>
      <w:tr w:rsidR="00153F1C" w:rsidRPr="00021DD2" w:rsidTr="007F12D5">
        <w:trPr>
          <w:trHeight w:val="869"/>
          <w:jc w:val="center"/>
        </w:trPr>
        <w:tc>
          <w:tcPr>
            <w:tcW w:w="1838" w:type="dxa"/>
          </w:tcPr>
          <w:p w:rsidR="00153F1C" w:rsidRPr="00021DD2" w:rsidRDefault="00153F1C" w:rsidP="007F12D5">
            <w:pPr>
              <w:jc w:val="center"/>
            </w:pPr>
            <w:r w:rsidRPr="00021DD2">
              <w:t>13</w:t>
            </w:r>
          </w:p>
        </w:tc>
        <w:tc>
          <w:tcPr>
            <w:tcW w:w="2146" w:type="dxa"/>
          </w:tcPr>
          <w:p w:rsidR="00153F1C" w:rsidRPr="00021DD2" w:rsidRDefault="00153F1C" w:rsidP="00346A9E">
            <w:r w:rsidRPr="00021DD2">
              <w:t>30.05.2017</w:t>
            </w:r>
          </w:p>
        </w:tc>
        <w:tc>
          <w:tcPr>
            <w:tcW w:w="4976" w:type="dxa"/>
          </w:tcPr>
          <w:p w:rsidR="00153F1C" w:rsidRPr="00021DD2" w:rsidRDefault="00153F1C" w:rsidP="00346A9E">
            <w:r w:rsidRPr="00021DD2">
              <w:t>Julie Green, Parenting Research Centre, Murdoch Children’s Research Institute</w:t>
            </w:r>
          </w:p>
        </w:tc>
      </w:tr>
      <w:tr w:rsidR="00153F1C" w:rsidRPr="00021DD2" w:rsidTr="009E2A3C">
        <w:trPr>
          <w:trHeight w:val="543"/>
          <w:jc w:val="center"/>
        </w:trPr>
        <w:tc>
          <w:tcPr>
            <w:tcW w:w="1838" w:type="dxa"/>
          </w:tcPr>
          <w:p w:rsidR="00153F1C" w:rsidRPr="00021DD2" w:rsidRDefault="00153F1C" w:rsidP="007F12D5">
            <w:pPr>
              <w:jc w:val="center"/>
            </w:pPr>
            <w:r w:rsidRPr="00021DD2">
              <w:t>14</w:t>
            </w:r>
          </w:p>
        </w:tc>
        <w:tc>
          <w:tcPr>
            <w:tcW w:w="2146" w:type="dxa"/>
          </w:tcPr>
          <w:p w:rsidR="00153F1C" w:rsidRPr="00021DD2" w:rsidRDefault="00153F1C" w:rsidP="00346A9E">
            <w:r w:rsidRPr="00021DD2">
              <w:t>30.05.2017</w:t>
            </w:r>
          </w:p>
        </w:tc>
        <w:tc>
          <w:tcPr>
            <w:tcW w:w="4976" w:type="dxa"/>
          </w:tcPr>
          <w:p w:rsidR="00153F1C" w:rsidRPr="00021DD2" w:rsidRDefault="00153F1C" w:rsidP="00346A9E">
            <w:r w:rsidRPr="00021DD2">
              <w:t>Karinya Young Women’s Service</w:t>
            </w:r>
          </w:p>
        </w:tc>
      </w:tr>
      <w:tr w:rsidR="00153F1C" w:rsidRPr="00021DD2" w:rsidTr="009E2A3C">
        <w:trPr>
          <w:trHeight w:val="830"/>
          <w:jc w:val="center"/>
        </w:trPr>
        <w:tc>
          <w:tcPr>
            <w:tcW w:w="1838" w:type="dxa"/>
          </w:tcPr>
          <w:p w:rsidR="00153F1C" w:rsidRPr="00021DD2" w:rsidRDefault="00153F1C" w:rsidP="007F12D5">
            <w:pPr>
              <w:jc w:val="center"/>
            </w:pPr>
            <w:r w:rsidRPr="00021DD2">
              <w:t>15</w:t>
            </w:r>
          </w:p>
        </w:tc>
        <w:tc>
          <w:tcPr>
            <w:tcW w:w="2146" w:type="dxa"/>
          </w:tcPr>
          <w:p w:rsidR="00153F1C" w:rsidRPr="00021DD2" w:rsidRDefault="00153F1C" w:rsidP="00346A9E">
            <w:r w:rsidRPr="00021DD2">
              <w:t>30.05.2017</w:t>
            </w:r>
          </w:p>
        </w:tc>
        <w:tc>
          <w:tcPr>
            <w:tcW w:w="4976" w:type="dxa"/>
          </w:tcPr>
          <w:p w:rsidR="00153F1C" w:rsidRPr="00021DD2" w:rsidRDefault="00153F1C" w:rsidP="00346A9E">
            <w:r w:rsidRPr="00021DD2">
              <w:t>Helen Foord, Diversitat Youth Education</w:t>
            </w:r>
          </w:p>
        </w:tc>
      </w:tr>
      <w:tr w:rsidR="00153F1C" w:rsidRPr="00021DD2" w:rsidTr="009E2A3C">
        <w:trPr>
          <w:trHeight w:val="543"/>
          <w:jc w:val="center"/>
        </w:trPr>
        <w:tc>
          <w:tcPr>
            <w:tcW w:w="1838" w:type="dxa"/>
          </w:tcPr>
          <w:p w:rsidR="00153F1C" w:rsidRPr="00021DD2" w:rsidRDefault="00153F1C" w:rsidP="007F12D5">
            <w:pPr>
              <w:jc w:val="center"/>
            </w:pPr>
            <w:r w:rsidRPr="00021DD2">
              <w:t>16</w:t>
            </w:r>
          </w:p>
        </w:tc>
        <w:tc>
          <w:tcPr>
            <w:tcW w:w="2146" w:type="dxa"/>
          </w:tcPr>
          <w:p w:rsidR="00153F1C" w:rsidRPr="00021DD2" w:rsidRDefault="00153F1C" w:rsidP="00346A9E">
            <w:r w:rsidRPr="00021DD2">
              <w:t>30.05.2017</w:t>
            </w:r>
          </w:p>
        </w:tc>
        <w:tc>
          <w:tcPr>
            <w:tcW w:w="4976" w:type="dxa"/>
          </w:tcPr>
          <w:p w:rsidR="00153F1C" w:rsidRPr="00021DD2" w:rsidRDefault="00153F1C" w:rsidP="00346A9E">
            <w:r w:rsidRPr="00021DD2">
              <w:t xml:space="preserve">Tracey Adams, </w:t>
            </w:r>
            <w:r w:rsidR="002822DA">
              <w:t>y</w:t>
            </w:r>
            <w:r w:rsidRPr="00021DD2">
              <w:t>ourtown</w:t>
            </w:r>
          </w:p>
        </w:tc>
      </w:tr>
      <w:tr w:rsidR="00153F1C" w:rsidRPr="00021DD2" w:rsidTr="009E2A3C">
        <w:trPr>
          <w:trHeight w:val="1389"/>
          <w:jc w:val="center"/>
        </w:trPr>
        <w:tc>
          <w:tcPr>
            <w:tcW w:w="1838" w:type="dxa"/>
          </w:tcPr>
          <w:p w:rsidR="00153F1C" w:rsidRPr="00021DD2" w:rsidRDefault="00153F1C" w:rsidP="007F12D5">
            <w:pPr>
              <w:jc w:val="center"/>
            </w:pPr>
            <w:r w:rsidRPr="00021DD2">
              <w:t>17</w:t>
            </w:r>
          </w:p>
        </w:tc>
        <w:tc>
          <w:tcPr>
            <w:tcW w:w="2146" w:type="dxa"/>
          </w:tcPr>
          <w:p w:rsidR="00153F1C" w:rsidRPr="00021DD2" w:rsidRDefault="00153F1C" w:rsidP="00346A9E">
            <w:r w:rsidRPr="00021DD2">
              <w:t>29.05.2017</w:t>
            </w:r>
          </w:p>
        </w:tc>
        <w:tc>
          <w:tcPr>
            <w:tcW w:w="4976" w:type="dxa"/>
          </w:tcPr>
          <w:p w:rsidR="00153F1C" w:rsidRPr="00021DD2" w:rsidRDefault="00153F1C" w:rsidP="00346A9E">
            <w:r w:rsidRPr="00021DD2">
              <w:t>Andrew Jackomos and Liana Buchanan, V</w:t>
            </w:r>
            <w:r w:rsidR="002822DA">
              <w:t>ictorian</w:t>
            </w:r>
            <w:r w:rsidRPr="00021DD2">
              <w:t xml:space="preserve"> Commission for Children and Young People</w:t>
            </w:r>
          </w:p>
        </w:tc>
      </w:tr>
      <w:tr w:rsidR="00153F1C" w:rsidRPr="00021DD2" w:rsidTr="009E2A3C">
        <w:trPr>
          <w:trHeight w:val="830"/>
          <w:jc w:val="center"/>
        </w:trPr>
        <w:tc>
          <w:tcPr>
            <w:tcW w:w="1838" w:type="dxa"/>
          </w:tcPr>
          <w:p w:rsidR="00153F1C" w:rsidRPr="00021DD2" w:rsidRDefault="00153F1C" w:rsidP="007F12D5">
            <w:pPr>
              <w:jc w:val="center"/>
            </w:pPr>
            <w:r w:rsidRPr="00021DD2">
              <w:t>18</w:t>
            </w:r>
          </w:p>
        </w:tc>
        <w:tc>
          <w:tcPr>
            <w:tcW w:w="2146" w:type="dxa"/>
          </w:tcPr>
          <w:p w:rsidR="00153F1C" w:rsidRPr="00021DD2" w:rsidRDefault="00153F1C" w:rsidP="00346A9E">
            <w:r w:rsidRPr="00021DD2">
              <w:t>30.05.2017</w:t>
            </w:r>
          </w:p>
        </w:tc>
        <w:tc>
          <w:tcPr>
            <w:tcW w:w="4976" w:type="dxa"/>
          </w:tcPr>
          <w:p w:rsidR="00153F1C" w:rsidRPr="00021DD2" w:rsidRDefault="00153F1C" w:rsidP="00346A9E">
            <w:r w:rsidRPr="00021DD2">
              <w:t>Minister for Territory Families, Northern Territory Government</w:t>
            </w:r>
          </w:p>
        </w:tc>
      </w:tr>
      <w:tr w:rsidR="00153F1C" w:rsidRPr="00021DD2" w:rsidTr="007F12D5">
        <w:trPr>
          <w:trHeight w:val="883"/>
          <w:jc w:val="center"/>
        </w:trPr>
        <w:tc>
          <w:tcPr>
            <w:tcW w:w="1838" w:type="dxa"/>
          </w:tcPr>
          <w:p w:rsidR="00153F1C" w:rsidRPr="00021DD2" w:rsidRDefault="00153F1C" w:rsidP="007F12D5">
            <w:pPr>
              <w:jc w:val="center"/>
            </w:pPr>
            <w:r w:rsidRPr="00021DD2">
              <w:t>19</w:t>
            </w:r>
          </w:p>
        </w:tc>
        <w:tc>
          <w:tcPr>
            <w:tcW w:w="2146" w:type="dxa"/>
          </w:tcPr>
          <w:p w:rsidR="00153F1C" w:rsidRPr="00021DD2" w:rsidRDefault="00153F1C" w:rsidP="00346A9E">
            <w:r w:rsidRPr="00021DD2">
              <w:t>31.05.2017</w:t>
            </w:r>
          </w:p>
        </w:tc>
        <w:tc>
          <w:tcPr>
            <w:tcW w:w="4976" w:type="dxa"/>
          </w:tcPr>
          <w:p w:rsidR="00153F1C" w:rsidRPr="00021DD2" w:rsidRDefault="00153F1C" w:rsidP="00346A9E">
            <w:r w:rsidRPr="00021DD2">
              <w:t xml:space="preserve">Department of Education and Child Development Initiatives, South Australia </w:t>
            </w:r>
          </w:p>
        </w:tc>
      </w:tr>
      <w:tr w:rsidR="00153F1C" w:rsidRPr="00021DD2" w:rsidTr="009E2A3C">
        <w:trPr>
          <w:trHeight w:val="1102"/>
          <w:jc w:val="center"/>
        </w:trPr>
        <w:tc>
          <w:tcPr>
            <w:tcW w:w="1838" w:type="dxa"/>
          </w:tcPr>
          <w:p w:rsidR="00153F1C" w:rsidRPr="00021DD2" w:rsidRDefault="00153F1C" w:rsidP="007F12D5">
            <w:pPr>
              <w:jc w:val="center"/>
            </w:pPr>
            <w:r w:rsidRPr="00021DD2">
              <w:t>20</w:t>
            </w:r>
          </w:p>
        </w:tc>
        <w:tc>
          <w:tcPr>
            <w:tcW w:w="2146" w:type="dxa"/>
          </w:tcPr>
          <w:p w:rsidR="00153F1C" w:rsidRPr="00021DD2" w:rsidRDefault="00153F1C" w:rsidP="00346A9E">
            <w:r w:rsidRPr="00021DD2">
              <w:t>31.05.2017</w:t>
            </w:r>
          </w:p>
        </w:tc>
        <w:tc>
          <w:tcPr>
            <w:tcW w:w="4976" w:type="dxa"/>
          </w:tcPr>
          <w:p w:rsidR="00153F1C" w:rsidRPr="00021DD2" w:rsidRDefault="00153F1C" w:rsidP="00346A9E">
            <w:r w:rsidRPr="00021DD2">
              <w:t>Women and Children’s Health Network, South Australia Health</w:t>
            </w:r>
          </w:p>
        </w:tc>
      </w:tr>
      <w:tr w:rsidR="00153F1C" w:rsidRPr="00021DD2" w:rsidTr="009E2A3C">
        <w:trPr>
          <w:trHeight w:val="543"/>
          <w:jc w:val="center"/>
        </w:trPr>
        <w:tc>
          <w:tcPr>
            <w:tcW w:w="1838" w:type="dxa"/>
          </w:tcPr>
          <w:p w:rsidR="00153F1C" w:rsidRPr="00021DD2" w:rsidRDefault="00153F1C" w:rsidP="007F12D5">
            <w:pPr>
              <w:jc w:val="center"/>
            </w:pPr>
            <w:r w:rsidRPr="00021DD2">
              <w:t>21</w:t>
            </w:r>
          </w:p>
        </w:tc>
        <w:tc>
          <w:tcPr>
            <w:tcW w:w="2146" w:type="dxa"/>
          </w:tcPr>
          <w:p w:rsidR="00153F1C" w:rsidRPr="00021DD2" w:rsidRDefault="00153F1C" w:rsidP="00346A9E">
            <w:r w:rsidRPr="00021DD2">
              <w:t>31.05.2017</w:t>
            </w:r>
          </w:p>
        </w:tc>
        <w:tc>
          <w:tcPr>
            <w:tcW w:w="4976" w:type="dxa"/>
          </w:tcPr>
          <w:p w:rsidR="00153F1C" w:rsidRPr="00021DD2" w:rsidRDefault="00153F1C" w:rsidP="00346A9E">
            <w:r w:rsidRPr="00021DD2">
              <w:t>Office for Women, South Australia</w:t>
            </w:r>
          </w:p>
        </w:tc>
      </w:tr>
      <w:tr w:rsidR="00153F1C" w:rsidRPr="00021DD2" w:rsidTr="009E2A3C">
        <w:trPr>
          <w:trHeight w:val="830"/>
          <w:jc w:val="center"/>
        </w:trPr>
        <w:tc>
          <w:tcPr>
            <w:tcW w:w="1838" w:type="dxa"/>
          </w:tcPr>
          <w:p w:rsidR="00153F1C" w:rsidRPr="00021DD2" w:rsidRDefault="00153F1C" w:rsidP="007F12D5">
            <w:pPr>
              <w:jc w:val="center"/>
            </w:pPr>
            <w:r w:rsidRPr="00021DD2">
              <w:t>22</w:t>
            </w:r>
          </w:p>
        </w:tc>
        <w:tc>
          <w:tcPr>
            <w:tcW w:w="2146" w:type="dxa"/>
          </w:tcPr>
          <w:p w:rsidR="00153F1C" w:rsidRPr="00021DD2" w:rsidRDefault="00153F1C" w:rsidP="00346A9E">
            <w:r w:rsidRPr="00021DD2">
              <w:t>31.05.2017</w:t>
            </w:r>
          </w:p>
        </w:tc>
        <w:tc>
          <w:tcPr>
            <w:tcW w:w="4976" w:type="dxa"/>
          </w:tcPr>
          <w:p w:rsidR="00153F1C" w:rsidRPr="00021DD2" w:rsidRDefault="00153F1C" w:rsidP="00346A9E">
            <w:r w:rsidRPr="00021DD2">
              <w:t>Department for Child Protection, South Australia</w:t>
            </w:r>
          </w:p>
        </w:tc>
      </w:tr>
      <w:tr w:rsidR="00153F1C" w:rsidRPr="00021DD2" w:rsidTr="009E2A3C">
        <w:trPr>
          <w:trHeight w:val="558"/>
          <w:jc w:val="center"/>
        </w:trPr>
        <w:tc>
          <w:tcPr>
            <w:tcW w:w="1838" w:type="dxa"/>
          </w:tcPr>
          <w:p w:rsidR="00153F1C" w:rsidRPr="00021DD2" w:rsidRDefault="00153F1C" w:rsidP="007F12D5">
            <w:pPr>
              <w:jc w:val="center"/>
            </w:pPr>
            <w:r w:rsidRPr="00021DD2">
              <w:t>23</w:t>
            </w:r>
          </w:p>
        </w:tc>
        <w:tc>
          <w:tcPr>
            <w:tcW w:w="2146" w:type="dxa"/>
          </w:tcPr>
          <w:p w:rsidR="00153F1C" w:rsidRPr="00021DD2" w:rsidRDefault="00153F1C" w:rsidP="00346A9E">
            <w:r w:rsidRPr="00021DD2">
              <w:t>31.05.2017</w:t>
            </w:r>
          </w:p>
        </w:tc>
        <w:tc>
          <w:tcPr>
            <w:tcW w:w="4976" w:type="dxa"/>
          </w:tcPr>
          <w:p w:rsidR="00153F1C" w:rsidRPr="00021DD2" w:rsidRDefault="00153F1C" w:rsidP="00346A9E">
            <w:r w:rsidRPr="00021DD2">
              <w:t>Family Planning NSW</w:t>
            </w:r>
          </w:p>
        </w:tc>
      </w:tr>
      <w:tr w:rsidR="00153F1C" w:rsidRPr="00021DD2" w:rsidTr="009E2A3C">
        <w:trPr>
          <w:trHeight w:val="543"/>
          <w:jc w:val="center"/>
        </w:trPr>
        <w:tc>
          <w:tcPr>
            <w:tcW w:w="1838" w:type="dxa"/>
          </w:tcPr>
          <w:p w:rsidR="00153F1C" w:rsidRPr="00021DD2" w:rsidRDefault="00153F1C" w:rsidP="007F12D5">
            <w:pPr>
              <w:jc w:val="center"/>
            </w:pPr>
            <w:r w:rsidRPr="00021DD2">
              <w:t>24</w:t>
            </w:r>
          </w:p>
        </w:tc>
        <w:tc>
          <w:tcPr>
            <w:tcW w:w="2146" w:type="dxa"/>
          </w:tcPr>
          <w:p w:rsidR="00153F1C" w:rsidRPr="00021DD2" w:rsidRDefault="00153F1C" w:rsidP="00346A9E">
            <w:r w:rsidRPr="00021DD2">
              <w:t>30.05.2017</w:t>
            </w:r>
          </w:p>
        </w:tc>
        <w:tc>
          <w:tcPr>
            <w:tcW w:w="4976" w:type="dxa"/>
          </w:tcPr>
          <w:p w:rsidR="00153F1C" w:rsidRPr="00021DD2" w:rsidRDefault="00153F1C" w:rsidP="00346A9E">
            <w:r w:rsidRPr="00021DD2">
              <w:t>Noelle Hudson, CREATE Foundation</w:t>
            </w:r>
          </w:p>
        </w:tc>
      </w:tr>
      <w:tr w:rsidR="00153F1C" w:rsidRPr="00021DD2" w:rsidTr="009E2A3C">
        <w:trPr>
          <w:trHeight w:val="830"/>
          <w:jc w:val="center"/>
        </w:trPr>
        <w:tc>
          <w:tcPr>
            <w:tcW w:w="1838" w:type="dxa"/>
          </w:tcPr>
          <w:p w:rsidR="00153F1C" w:rsidRPr="00021DD2" w:rsidRDefault="00153F1C" w:rsidP="007F12D5">
            <w:pPr>
              <w:jc w:val="center"/>
            </w:pPr>
            <w:r w:rsidRPr="00021DD2">
              <w:t>25</w:t>
            </w:r>
          </w:p>
        </w:tc>
        <w:tc>
          <w:tcPr>
            <w:tcW w:w="2146" w:type="dxa"/>
          </w:tcPr>
          <w:p w:rsidR="00153F1C" w:rsidRPr="00021DD2" w:rsidRDefault="00153F1C" w:rsidP="00346A9E">
            <w:r w:rsidRPr="00021DD2">
              <w:t>31.05.2017</w:t>
            </w:r>
          </w:p>
        </w:tc>
        <w:tc>
          <w:tcPr>
            <w:tcW w:w="4976" w:type="dxa"/>
          </w:tcPr>
          <w:p w:rsidR="00153F1C" w:rsidRPr="00021DD2" w:rsidRDefault="00153F1C" w:rsidP="00346A9E">
            <w:r w:rsidRPr="00021DD2">
              <w:t>Carol Gannon and Natalie Greenland, Uniting Communities</w:t>
            </w:r>
          </w:p>
        </w:tc>
      </w:tr>
      <w:tr w:rsidR="00153F1C" w:rsidRPr="00021DD2" w:rsidTr="007F12D5">
        <w:trPr>
          <w:trHeight w:val="1204"/>
          <w:jc w:val="center"/>
        </w:trPr>
        <w:tc>
          <w:tcPr>
            <w:tcW w:w="1838" w:type="dxa"/>
          </w:tcPr>
          <w:p w:rsidR="00153F1C" w:rsidRPr="00021DD2" w:rsidRDefault="00153F1C" w:rsidP="007F12D5">
            <w:pPr>
              <w:jc w:val="center"/>
            </w:pPr>
            <w:r w:rsidRPr="00021DD2">
              <w:t>26</w:t>
            </w:r>
          </w:p>
        </w:tc>
        <w:tc>
          <w:tcPr>
            <w:tcW w:w="2146" w:type="dxa"/>
          </w:tcPr>
          <w:p w:rsidR="00153F1C" w:rsidRPr="00021DD2" w:rsidRDefault="00153F1C" w:rsidP="00346A9E">
            <w:r w:rsidRPr="00021DD2">
              <w:t>31.05.2017</w:t>
            </w:r>
          </w:p>
        </w:tc>
        <w:tc>
          <w:tcPr>
            <w:tcW w:w="4976" w:type="dxa"/>
          </w:tcPr>
          <w:p w:rsidR="00153F1C" w:rsidRPr="00021DD2" w:rsidRDefault="00153F1C" w:rsidP="00346A9E">
            <w:r w:rsidRPr="00021DD2">
              <w:t>Gabrielle Brand, University of Western Australia, Paul Morrison, Murdoch University and Be Westbrook, Peel Youth Service</w:t>
            </w:r>
          </w:p>
        </w:tc>
      </w:tr>
      <w:tr w:rsidR="00153F1C" w:rsidRPr="00021DD2" w:rsidTr="009E2A3C">
        <w:trPr>
          <w:trHeight w:val="944"/>
          <w:jc w:val="center"/>
        </w:trPr>
        <w:tc>
          <w:tcPr>
            <w:tcW w:w="1838" w:type="dxa"/>
          </w:tcPr>
          <w:p w:rsidR="00153F1C" w:rsidRPr="00021DD2" w:rsidRDefault="00153F1C" w:rsidP="007F12D5">
            <w:pPr>
              <w:jc w:val="center"/>
            </w:pPr>
            <w:r w:rsidRPr="00021DD2">
              <w:t>27</w:t>
            </w:r>
          </w:p>
        </w:tc>
        <w:tc>
          <w:tcPr>
            <w:tcW w:w="2146" w:type="dxa"/>
          </w:tcPr>
          <w:p w:rsidR="00153F1C" w:rsidRPr="00021DD2" w:rsidRDefault="00153F1C" w:rsidP="00346A9E">
            <w:r w:rsidRPr="00021DD2">
              <w:t>31.05.2017</w:t>
            </w:r>
          </w:p>
        </w:tc>
        <w:tc>
          <w:tcPr>
            <w:tcW w:w="4976" w:type="dxa"/>
          </w:tcPr>
          <w:p w:rsidR="00153F1C" w:rsidRPr="00021DD2" w:rsidRDefault="00153F1C" w:rsidP="00346A9E">
            <w:r w:rsidRPr="00021DD2">
              <w:t>Tamara Stewart-Jones, Multicultural Youth South Australia (MYSA)</w:t>
            </w:r>
          </w:p>
        </w:tc>
      </w:tr>
      <w:tr w:rsidR="00153F1C" w:rsidRPr="00021DD2" w:rsidTr="007F12D5">
        <w:trPr>
          <w:trHeight w:val="994"/>
          <w:jc w:val="center"/>
        </w:trPr>
        <w:tc>
          <w:tcPr>
            <w:tcW w:w="1838" w:type="dxa"/>
          </w:tcPr>
          <w:p w:rsidR="00153F1C" w:rsidRPr="00021DD2" w:rsidRDefault="00153F1C" w:rsidP="007F12D5">
            <w:pPr>
              <w:jc w:val="center"/>
            </w:pPr>
            <w:r w:rsidRPr="00021DD2">
              <w:t>28</w:t>
            </w:r>
          </w:p>
        </w:tc>
        <w:tc>
          <w:tcPr>
            <w:tcW w:w="2146" w:type="dxa"/>
          </w:tcPr>
          <w:p w:rsidR="00153F1C" w:rsidRPr="00021DD2" w:rsidRDefault="00153F1C" w:rsidP="00346A9E">
            <w:r w:rsidRPr="00021DD2">
              <w:t>02.06.2017</w:t>
            </w:r>
          </w:p>
        </w:tc>
        <w:tc>
          <w:tcPr>
            <w:tcW w:w="4976" w:type="dxa"/>
          </w:tcPr>
          <w:p w:rsidR="00153F1C" w:rsidRPr="00021DD2" w:rsidRDefault="00153F1C" w:rsidP="00346A9E">
            <w:r w:rsidRPr="00021DD2">
              <w:t>Patricia Turner, National Aboriginal Community Controlled Health Organisation (NACCHO)</w:t>
            </w:r>
          </w:p>
        </w:tc>
      </w:tr>
      <w:tr w:rsidR="00153F1C" w:rsidRPr="00021DD2" w:rsidTr="009E2A3C">
        <w:trPr>
          <w:trHeight w:val="271"/>
          <w:jc w:val="center"/>
        </w:trPr>
        <w:tc>
          <w:tcPr>
            <w:tcW w:w="1838" w:type="dxa"/>
          </w:tcPr>
          <w:p w:rsidR="00153F1C" w:rsidRPr="00021DD2" w:rsidRDefault="00153F1C" w:rsidP="007F12D5">
            <w:pPr>
              <w:jc w:val="center"/>
            </w:pPr>
            <w:r w:rsidRPr="00021DD2">
              <w:t>29</w:t>
            </w:r>
          </w:p>
        </w:tc>
        <w:tc>
          <w:tcPr>
            <w:tcW w:w="2146" w:type="dxa"/>
          </w:tcPr>
          <w:p w:rsidR="00153F1C" w:rsidRPr="00021DD2" w:rsidRDefault="00153F1C" w:rsidP="00346A9E">
            <w:r w:rsidRPr="00021DD2">
              <w:t>02.06.2017</w:t>
            </w:r>
          </w:p>
        </w:tc>
        <w:tc>
          <w:tcPr>
            <w:tcW w:w="4976" w:type="dxa"/>
          </w:tcPr>
          <w:p w:rsidR="00153F1C" w:rsidRPr="00021DD2" w:rsidRDefault="00153F1C" w:rsidP="00346A9E">
            <w:r w:rsidRPr="00021DD2">
              <w:t>YWCA Darwin</w:t>
            </w:r>
          </w:p>
        </w:tc>
      </w:tr>
      <w:tr w:rsidR="00153F1C" w:rsidRPr="00021DD2" w:rsidTr="007F12D5">
        <w:trPr>
          <w:trHeight w:val="687"/>
          <w:jc w:val="center"/>
        </w:trPr>
        <w:tc>
          <w:tcPr>
            <w:tcW w:w="1838" w:type="dxa"/>
          </w:tcPr>
          <w:p w:rsidR="00153F1C" w:rsidRPr="00021DD2" w:rsidRDefault="00153F1C" w:rsidP="007F12D5">
            <w:pPr>
              <w:jc w:val="center"/>
            </w:pPr>
            <w:r w:rsidRPr="00021DD2">
              <w:t>30</w:t>
            </w:r>
          </w:p>
        </w:tc>
        <w:tc>
          <w:tcPr>
            <w:tcW w:w="2146" w:type="dxa"/>
          </w:tcPr>
          <w:p w:rsidR="00153F1C" w:rsidRPr="00021DD2" w:rsidRDefault="00153F1C" w:rsidP="00346A9E">
            <w:r w:rsidRPr="00021DD2">
              <w:t>02.06.2017</w:t>
            </w:r>
          </w:p>
        </w:tc>
        <w:tc>
          <w:tcPr>
            <w:tcW w:w="4976" w:type="dxa"/>
          </w:tcPr>
          <w:p w:rsidR="00153F1C" w:rsidRPr="00021DD2" w:rsidRDefault="00153F1C" w:rsidP="00346A9E">
            <w:r w:rsidRPr="00021DD2">
              <w:t>Richard Fletcher and Jennifer StGeorge, University of Newcastle</w:t>
            </w:r>
          </w:p>
        </w:tc>
      </w:tr>
      <w:tr w:rsidR="00153F1C" w:rsidRPr="00021DD2" w:rsidTr="009E2A3C">
        <w:trPr>
          <w:trHeight w:val="558"/>
          <w:jc w:val="center"/>
        </w:trPr>
        <w:tc>
          <w:tcPr>
            <w:tcW w:w="1838" w:type="dxa"/>
          </w:tcPr>
          <w:p w:rsidR="00153F1C" w:rsidRPr="00021DD2" w:rsidRDefault="00153F1C" w:rsidP="007F12D5">
            <w:pPr>
              <w:jc w:val="center"/>
            </w:pPr>
            <w:r w:rsidRPr="00021DD2">
              <w:t>31</w:t>
            </w:r>
          </w:p>
        </w:tc>
        <w:tc>
          <w:tcPr>
            <w:tcW w:w="2146" w:type="dxa"/>
          </w:tcPr>
          <w:p w:rsidR="00153F1C" w:rsidRPr="00021DD2" w:rsidRDefault="00153F1C" w:rsidP="00346A9E">
            <w:r w:rsidRPr="00021DD2">
              <w:t>02.06.2017</w:t>
            </w:r>
          </w:p>
        </w:tc>
        <w:tc>
          <w:tcPr>
            <w:tcW w:w="4976" w:type="dxa"/>
          </w:tcPr>
          <w:p w:rsidR="00153F1C" w:rsidRPr="00021DD2" w:rsidRDefault="00153F1C" w:rsidP="00346A9E">
            <w:r w:rsidRPr="00021DD2">
              <w:t>Janice Hoad, SYC Limited</w:t>
            </w:r>
          </w:p>
        </w:tc>
      </w:tr>
      <w:tr w:rsidR="00153F1C" w:rsidRPr="00021DD2" w:rsidTr="007F12D5">
        <w:trPr>
          <w:trHeight w:val="1372"/>
          <w:jc w:val="center"/>
        </w:trPr>
        <w:tc>
          <w:tcPr>
            <w:tcW w:w="1838" w:type="dxa"/>
          </w:tcPr>
          <w:p w:rsidR="00153F1C" w:rsidRPr="00021DD2" w:rsidRDefault="00153F1C" w:rsidP="007F12D5">
            <w:pPr>
              <w:jc w:val="center"/>
            </w:pPr>
            <w:r w:rsidRPr="00021DD2">
              <w:t>32</w:t>
            </w:r>
          </w:p>
        </w:tc>
        <w:tc>
          <w:tcPr>
            <w:tcW w:w="2146" w:type="dxa"/>
          </w:tcPr>
          <w:p w:rsidR="00153F1C" w:rsidRPr="00021DD2" w:rsidRDefault="00153F1C" w:rsidP="00346A9E">
            <w:r w:rsidRPr="00021DD2">
              <w:t>05.06.2017</w:t>
            </w:r>
          </w:p>
        </w:tc>
        <w:tc>
          <w:tcPr>
            <w:tcW w:w="4976" w:type="dxa"/>
          </w:tcPr>
          <w:p w:rsidR="00153F1C" w:rsidRPr="00021DD2" w:rsidRDefault="00153F1C" w:rsidP="00346A9E">
            <w:r w:rsidRPr="00021DD2">
              <w:t>Rachel Skinner, University of Sydney; Jennifer Marino, University of Melbourne; Martha Hickey, University of Melbourne; Deborah Bateson, Family Planning NSW; Lucy Lewis, Curtin University</w:t>
            </w:r>
          </w:p>
        </w:tc>
      </w:tr>
      <w:tr w:rsidR="00153F1C" w:rsidRPr="00021DD2" w:rsidTr="007F12D5">
        <w:trPr>
          <w:trHeight w:val="1036"/>
          <w:jc w:val="center"/>
        </w:trPr>
        <w:tc>
          <w:tcPr>
            <w:tcW w:w="1838" w:type="dxa"/>
          </w:tcPr>
          <w:p w:rsidR="00153F1C" w:rsidRPr="00021DD2" w:rsidRDefault="00153F1C" w:rsidP="007F12D5">
            <w:pPr>
              <w:jc w:val="center"/>
            </w:pPr>
            <w:r w:rsidRPr="00021DD2">
              <w:t>33</w:t>
            </w:r>
          </w:p>
        </w:tc>
        <w:tc>
          <w:tcPr>
            <w:tcW w:w="2146" w:type="dxa"/>
          </w:tcPr>
          <w:p w:rsidR="00153F1C" w:rsidRPr="00021DD2" w:rsidRDefault="00153F1C" w:rsidP="00346A9E">
            <w:r w:rsidRPr="00021DD2">
              <w:t>05.06.2017</w:t>
            </w:r>
          </w:p>
        </w:tc>
        <w:tc>
          <w:tcPr>
            <w:tcW w:w="4976" w:type="dxa"/>
          </w:tcPr>
          <w:p w:rsidR="00153F1C" w:rsidRPr="00021DD2" w:rsidRDefault="00153F1C" w:rsidP="00346A9E">
            <w:r w:rsidRPr="00021DD2">
              <w:t>Public Advocate and Children and Young People Commissioner, ACT Human Rights Commission</w:t>
            </w:r>
          </w:p>
        </w:tc>
      </w:tr>
      <w:tr w:rsidR="00153F1C" w:rsidRPr="00021DD2" w:rsidTr="009E2A3C">
        <w:trPr>
          <w:trHeight w:val="286"/>
          <w:jc w:val="center"/>
        </w:trPr>
        <w:tc>
          <w:tcPr>
            <w:tcW w:w="1838" w:type="dxa"/>
          </w:tcPr>
          <w:p w:rsidR="00153F1C" w:rsidRPr="00021DD2" w:rsidRDefault="00153F1C" w:rsidP="007F12D5">
            <w:pPr>
              <w:jc w:val="center"/>
            </w:pPr>
            <w:r w:rsidRPr="00021DD2">
              <w:t>34</w:t>
            </w:r>
          </w:p>
        </w:tc>
        <w:tc>
          <w:tcPr>
            <w:tcW w:w="2146" w:type="dxa"/>
          </w:tcPr>
          <w:p w:rsidR="00153F1C" w:rsidRPr="00021DD2" w:rsidRDefault="00153F1C" w:rsidP="00346A9E">
            <w:r w:rsidRPr="00021DD2">
              <w:t>07.06.2017</w:t>
            </w:r>
          </w:p>
        </w:tc>
        <w:tc>
          <w:tcPr>
            <w:tcW w:w="4976" w:type="dxa"/>
          </w:tcPr>
          <w:p w:rsidR="00153F1C" w:rsidRPr="00021DD2" w:rsidRDefault="00153F1C" w:rsidP="00346A9E">
            <w:r w:rsidRPr="00021DD2">
              <w:t>Confidential</w:t>
            </w:r>
          </w:p>
        </w:tc>
      </w:tr>
      <w:tr w:rsidR="00153F1C" w:rsidRPr="00021DD2" w:rsidTr="009E2A3C">
        <w:trPr>
          <w:trHeight w:val="815"/>
          <w:jc w:val="center"/>
        </w:trPr>
        <w:tc>
          <w:tcPr>
            <w:tcW w:w="1838" w:type="dxa"/>
          </w:tcPr>
          <w:p w:rsidR="00153F1C" w:rsidRPr="00021DD2" w:rsidRDefault="00153F1C" w:rsidP="007F12D5">
            <w:pPr>
              <w:jc w:val="center"/>
            </w:pPr>
            <w:r w:rsidRPr="00021DD2">
              <w:t>35</w:t>
            </w:r>
          </w:p>
        </w:tc>
        <w:tc>
          <w:tcPr>
            <w:tcW w:w="2146" w:type="dxa"/>
          </w:tcPr>
          <w:p w:rsidR="00153F1C" w:rsidRPr="00021DD2" w:rsidRDefault="00153F1C" w:rsidP="00346A9E">
            <w:r w:rsidRPr="00021DD2">
              <w:t>07.06.2017</w:t>
            </w:r>
          </w:p>
        </w:tc>
        <w:tc>
          <w:tcPr>
            <w:tcW w:w="4976" w:type="dxa"/>
          </w:tcPr>
          <w:p w:rsidR="00153F1C" w:rsidRPr="00021DD2" w:rsidRDefault="00153F1C" w:rsidP="00346A9E">
            <w:r w:rsidRPr="00021DD2">
              <w:t>NSW Advocate for Children and Young People</w:t>
            </w:r>
          </w:p>
        </w:tc>
      </w:tr>
      <w:tr w:rsidR="00153F1C" w:rsidRPr="00021DD2" w:rsidTr="009E2A3C">
        <w:trPr>
          <w:trHeight w:val="830"/>
          <w:jc w:val="center"/>
        </w:trPr>
        <w:tc>
          <w:tcPr>
            <w:tcW w:w="1838" w:type="dxa"/>
          </w:tcPr>
          <w:p w:rsidR="00153F1C" w:rsidRPr="00021DD2" w:rsidRDefault="00153F1C" w:rsidP="007F12D5">
            <w:pPr>
              <w:jc w:val="center"/>
            </w:pPr>
            <w:r w:rsidRPr="00021DD2">
              <w:t>36</w:t>
            </w:r>
          </w:p>
        </w:tc>
        <w:tc>
          <w:tcPr>
            <w:tcW w:w="2146" w:type="dxa"/>
          </w:tcPr>
          <w:p w:rsidR="00153F1C" w:rsidRPr="00021DD2" w:rsidRDefault="00153F1C" w:rsidP="00346A9E">
            <w:r w:rsidRPr="00021DD2">
              <w:t>08.06.2017</w:t>
            </w:r>
          </w:p>
        </w:tc>
        <w:tc>
          <w:tcPr>
            <w:tcW w:w="4976" w:type="dxa"/>
          </w:tcPr>
          <w:p w:rsidR="00153F1C" w:rsidRPr="00021DD2" w:rsidRDefault="00153F1C" w:rsidP="00346A9E">
            <w:r w:rsidRPr="00021DD2">
              <w:t>Sue Matthews, The Royal Women’s Hospital, Victoria</w:t>
            </w:r>
          </w:p>
        </w:tc>
      </w:tr>
      <w:tr w:rsidR="00153F1C" w:rsidRPr="00021DD2" w:rsidTr="009E2A3C">
        <w:trPr>
          <w:trHeight w:val="830"/>
          <w:jc w:val="center"/>
        </w:trPr>
        <w:tc>
          <w:tcPr>
            <w:tcW w:w="1838" w:type="dxa"/>
          </w:tcPr>
          <w:p w:rsidR="00153F1C" w:rsidRPr="00021DD2" w:rsidRDefault="00153F1C" w:rsidP="007F12D5">
            <w:pPr>
              <w:jc w:val="center"/>
            </w:pPr>
            <w:r w:rsidRPr="00021DD2">
              <w:t>37</w:t>
            </w:r>
          </w:p>
        </w:tc>
        <w:tc>
          <w:tcPr>
            <w:tcW w:w="2146" w:type="dxa"/>
          </w:tcPr>
          <w:p w:rsidR="00153F1C" w:rsidRPr="00021DD2" w:rsidRDefault="00153F1C" w:rsidP="00346A9E">
            <w:r w:rsidRPr="00021DD2">
              <w:t>09.06.2017</w:t>
            </w:r>
          </w:p>
        </w:tc>
        <w:tc>
          <w:tcPr>
            <w:tcW w:w="4976" w:type="dxa"/>
          </w:tcPr>
          <w:p w:rsidR="00153F1C" w:rsidRPr="00021DD2" w:rsidRDefault="00153F1C" w:rsidP="00346A9E">
            <w:r w:rsidRPr="00021DD2">
              <w:t>Association of Women Educators Inc.</w:t>
            </w:r>
          </w:p>
        </w:tc>
      </w:tr>
      <w:tr w:rsidR="00153F1C" w:rsidRPr="00021DD2" w:rsidTr="009E2A3C">
        <w:trPr>
          <w:trHeight w:val="830"/>
          <w:jc w:val="center"/>
        </w:trPr>
        <w:tc>
          <w:tcPr>
            <w:tcW w:w="1838" w:type="dxa"/>
          </w:tcPr>
          <w:p w:rsidR="00153F1C" w:rsidRPr="00021DD2" w:rsidRDefault="00153F1C" w:rsidP="007F12D5">
            <w:pPr>
              <w:jc w:val="center"/>
            </w:pPr>
            <w:r w:rsidRPr="00021DD2">
              <w:t>38</w:t>
            </w:r>
          </w:p>
        </w:tc>
        <w:tc>
          <w:tcPr>
            <w:tcW w:w="2146" w:type="dxa"/>
          </w:tcPr>
          <w:p w:rsidR="00153F1C" w:rsidRPr="00021DD2" w:rsidRDefault="00153F1C" w:rsidP="00346A9E">
            <w:r w:rsidRPr="00021DD2">
              <w:t>27.06.2017</w:t>
            </w:r>
          </w:p>
        </w:tc>
        <w:tc>
          <w:tcPr>
            <w:tcW w:w="4976" w:type="dxa"/>
          </w:tcPr>
          <w:p w:rsidR="00153F1C" w:rsidRPr="00021DD2" w:rsidRDefault="00153F1C" w:rsidP="00346A9E">
            <w:r w:rsidRPr="00021DD2">
              <w:t>Tracey Hawker, SMYL Community Services</w:t>
            </w:r>
          </w:p>
        </w:tc>
      </w:tr>
      <w:tr w:rsidR="00153F1C" w:rsidRPr="00021DD2" w:rsidTr="009E2A3C">
        <w:trPr>
          <w:trHeight w:val="543"/>
          <w:jc w:val="center"/>
        </w:trPr>
        <w:tc>
          <w:tcPr>
            <w:tcW w:w="1838" w:type="dxa"/>
          </w:tcPr>
          <w:p w:rsidR="00153F1C" w:rsidRPr="00021DD2" w:rsidRDefault="00153F1C" w:rsidP="007F12D5">
            <w:pPr>
              <w:jc w:val="center"/>
            </w:pPr>
            <w:r w:rsidRPr="00021DD2">
              <w:t>39</w:t>
            </w:r>
          </w:p>
        </w:tc>
        <w:tc>
          <w:tcPr>
            <w:tcW w:w="2146" w:type="dxa"/>
          </w:tcPr>
          <w:p w:rsidR="00153F1C" w:rsidRPr="00021DD2" w:rsidRDefault="00153F1C" w:rsidP="00346A9E">
            <w:r w:rsidRPr="00021DD2">
              <w:t>28.06.2017</w:t>
            </w:r>
          </w:p>
        </w:tc>
        <w:tc>
          <w:tcPr>
            <w:tcW w:w="4976" w:type="dxa"/>
          </w:tcPr>
          <w:p w:rsidR="00153F1C" w:rsidRPr="00021DD2" w:rsidRDefault="00153F1C" w:rsidP="00346A9E">
            <w:r w:rsidRPr="00021DD2">
              <w:t>NSW Family and Community Services</w:t>
            </w:r>
          </w:p>
        </w:tc>
      </w:tr>
      <w:tr w:rsidR="00153F1C" w:rsidRPr="00A207DC" w:rsidTr="009E2A3C">
        <w:trPr>
          <w:trHeight w:val="558"/>
          <w:jc w:val="center"/>
        </w:trPr>
        <w:tc>
          <w:tcPr>
            <w:tcW w:w="1838" w:type="dxa"/>
          </w:tcPr>
          <w:p w:rsidR="00153F1C" w:rsidRPr="00021DD2" w:rsidRDefault="00153F1C" w:rsidP="007F12D5">
            <w:pPr>
              <w:jc w:val="center"/>
            </w:pPr>
            <w:r w:rsidRPr="00021DD2">
              <w:t>40</w:t>
            </w:r>
          </w:p>
        </w:tc>
        <w:tc>
          <w:tcPr>
            <w:tcW w:w="2146" w:type="dxa"/>
          </w:tcPr>
          <w:p w:rsidR="00153F1C" w:rsidRPr="00021DD2" w:rsidRDefault="00153F1C" w:rsidP="00346A9E">
            <w:r w:rsidRPr="00021DD2">
              <w:t>04.07.2017</w:t>
            </w:r>
          </w:p>
        </w:tc>
        <w:tc>
          <w:tcPr>
            <w:tcW w:w="4976" w:type="dxa"/>
          </w:tcPr>
          <w:p w:rsidR="00153F1C" w:rsidRPr="00E34166" w:rsidRDefault="00153F1C" w:rsidP="00346A9E">
            <w:pPr>
              <w:rPr>
                <w:lang w:val="it-IT"/>
              </w:rPr>
            </w:pPr>
            <w:r w:rsidRPr="00E34166">
              <w:rPr>
                <w:lang w:val="it-IT"/>
              </w:rPr>
              <w:t>Farah Sulaiman, Metro Assist, NSW</w:t>
            </w:r>
          </w:p>
        </w:tc>
      </w:tr>
      <w:tr w:rsidR="00153F1C" w:rsidRPr="00021DD2" w:rsidTr="009E2A3C">
        <w:trPr>
          <w:trHeight w:val="830"/>
          <w:jc w:val="center"/>
        </w:trPr>
        <w:tc>
          <w:tcPr>
            <w:tcW w:w="1838" w:type="dxa"/>
          </w:tcPr>
          <w:p w:rsidR="00153F1C" w:rsidRPr="00021DD2" w:rsidRDefault="00153F1C" w:rsidP="007F12D5">
            <w:pPr>
              <w:jc w:val="center"/>
            </w:pPr>
            <w:r w:rsidRPr="00021DD2">
              <w:t>41</w:t>
            </w:r>
          </w:p>
        </w:tc>
        <w:tc>
          <w:tcPr>
            <w:tcW w:w="2146" w:type="dxa"/>
          </w:tcPr>
          <w:p w:rsidR="00153F1C" w:rsidRPr="00021DD2" w:rsidRDefault="00153F1C" w:rsidP="00346A9E">
            <w:r w:rsidRPr="00021DD2">
              <w:t>17.08.2017</w:t>
            </w:r>
          </w:p>
        </w:tc>
        <w:tc>
          <w:tcPr>
            <w:tcW w:w="4976" w:type="dxa"/>
          </w:tcPr>
          <w:p w:rsidR="00153F1C" w:rsidRPr="00021DD2" w:rsidRDefault="00153F1C" w:rsidP="00346A9E">
            <w:r w:rsidRPr="00021DD2">
              <w:t xml:space="preserve">Corinne Harper and Simon Riley, Ipswich State High School </w:t>
            </w:r>
          </w:p>
        </w:tc>
      </w:tr>
      <w:tr w:rsidR="00153F1C" w:rsidRPr="00021DD2" w:rsidTr="009E2A3C">
        <w:trPr>
          <w:trHeight w:val="815"/>
          <w:jc w:val="center"/>
        </w:trPr>
        <w:tc>
          <w:tcPr>
            <w:tcW w:w="1838" w:type="dxa"/>
          </w:tcPr>
          <w:p w:rsidR="00153F1C" w:rsidRPr="00021DD2" w:rsidRDefault="00153F1C" w:rsidP="007F12D5">
            <w:pPr>
              <w:jc w:val="center"/>
            </w:pPr>
            <w:r w:rsidRPr="00021DD2">
              <w:t>42</w:t>
            </w:r>
          </w:p>
        </w:tc>
        <w:tc>
          <w:tcPr>
            <w:tcW w:w="2146" w:type="dxa"/>
          </w:tcPr>
          <w:p w:rsidR="00153F1C" w:rsidRPr="00021DD2" w:rsidRDefault="00153F1C" w:rsidP="00346A9E">
            <w:r w:rsidRPr="00021DD2">
              <w:t>01.09.2017</w:t>
            </w:r>
          </w:p>
        </w:tc>
        <w:tc>
          <w:tcPr>
            <w:tcW w:w="4976" w:type="dxa"/>
          </w:tcPr>
          <w:p w:rsidR="00153F1C" w:rsidRPr="00021DD2" w:rsidRDefault="00153F1C" w:rsidP="00346A9E">
            <w:r w:rsidRPr="00021DD2">
              <w:t>Victorian Aboriginal Child Care Agency (VACCA)</w:t>
            </w:r>
          </w:p>
        </w:tc>
      </w:tr>
      <w:tr w:rsidR="00153F1C" w:rsidRPr="00021DD2" w:rsidTr="009E2A3C">
        <w:trPr>
          <w:trHeight w:val="543"/>
          <w:jc w:val="center"/>
        </w:trPr>
        <w:tc>
          <w:tcPr>
            <w:tcW w:w="1838" w:type="dxa"/>
          </w:tcPr>
          <w:p w:rsidR="00153F1C" w:rsidRPr="00021DD2" w:rsidRDefault="00153F1C" w:rsidP="007F12D5">
            <w:pPr>
              <w:jc w:val="center"/>
            </w:pPr>
            <w:r w:rsidRPr="00021DD2">
              <w:t>43</w:t>
            </w:r>
          </w:p>
        </w:tc>
        <w:tc>
          <w:tcPr>
            <w:tcW w:w="2146" w:type="dxa"/>
          </w:tcPr>
          <w:p w:rsidR="00153F1C" w:rsidRPr="00021DD2" w:rsidRDefault="00153F1C" w:rsidP="00346A9E">
            <w:r w:rsidRPr="00021DD2">
              <w:t>29.03.2017</w:t>
            </w:r>
          </w:p>
        </w:tc>
        <w:tc>
          <w:tcPr>
            <w:tcW w:w="4976" w:type="dxa"/>
          </w:tcPr>
          <w:p w:rsidR="00153F1C" w:rsidRPr="00021DD2" w:rsidRDefault="00153F1C" w:rsidP="00346A9E">
            <w:r w:rsidRPr="00021DD2">
              <w:t>Australian Institute of Family Studies</w:t>
            </w:r>
          </w:p>
        </w:tc>
      </w:tr>
      <w:tr w:rsidR="00153F1C" w:rsidRPr="00021DD2" w:rsidTr="009E2A3C">
        <w:trPr>
          <w:trHeight w:val="558"/>
          <w:jc w:val="center"/>
        </w:trPr>
        <w:tc>
          <w:tcPr>
            <w:tcW w:w="1838" w:type="dxa"/>
          </w:tcPr>
          <w:p w:rsidR="00153F1C" w:rsidRPr="00021DD2" w:rsidRDefault="00153F1C" w:rsidP="007F12D5">
            <w:pPr>
              <w:jc w:val="center"/>
            </w:pPr>
            <w:r w:rsidRPr="00021DD2">
              <w:t>44</w:t>
            </w:r>
          </w:p>
        </w:tc>
        <w:tc>
          <w:tcPr>
            <w:tcW w:w="2146" w:type="dxa"/>
          </w:tcPr>
          <w:p w:rsidR="00153F1C" w:rsidRPr="00021DD2" w:rsidRDefault="00153F1C" w:rsidP="00346A9E">
            <w:r w:rsidRPr="00021DD2">
              <w:t>15.06.2017</w:t>
            </w:r>
          </w:p>
        </w:tc>
        <w:tc>
          <w:tcPr>
            <w:tcW w:w="4976" w:type="dxa"/>
          </w:tcPr>
          <w:p w:rsidR="00153F1C" w:rsidRPr="00021DD2" w:rsidRDefault="00153F1C" w:rsidP="00346A9E">
            <w:r w:rsidRPr="00021DD2">
              <w:t>Australian Institute of Health and Welfare</w:t>
            </w:r>
          </w:p>
        </w:tc>
      </w:tr>
      <w:tr w:rsidR="00153F1C" w:rsidRPr="00021DD2" w:rsidTr="009E2A3C">
        <w:trPr>
          <w:trHeight w:val="1102"/>
          <w:jc w:val="center"/>
        </w:trPr>
        <w:tc>
          <w:tcPr>
            <w:tcW w:w="1838" w:type="dxa"/>
          </w:tcPr>
          <w:p w:rsidR="00153F1C" w:rsidRPr="00021DD2" w:rsidRDefault="00153F1C" w:rsidP="007F12D5">
            <w:pPr>
              <w:jc w:val="center"/>
            </w:pPr>
            <w:r w:rsidRPr="00021DD2">
              <w:t>45</w:t>
            </w:r>
          </w:p>
        </w:tc>
        <w:tc>
          <w:tcPr>
            <w:tcW w:w="2146" w:type="dxa"/>
          </w:tcPr>
          <w:p w:rsidR="00153F1C" w:rsidRPr="00021DD2" w:rsidRDefault="00153F1C" w:rsidP="00346A9E">
            <w:r w:rsidRPr="00021DD2">
              <w:t>10.07.2017</w:t>
            </w:r>
          </w:p>
        </w:tc>
        <w:tc>
          <w:tcPr>
            <w:tcW w:w="4976" w:type="dxa"/>
          </w:tcPr>
          <w:p w:rsidR="00153F1C" w:rsidRPr="00021DD2" w:rsidRDefault="00153F1C" w:rsidP="00346A9E">
            <w:r w:rsidRPr="00021DD2">
              <w:t>Australian and New Zealand Child Death Review and Prevention Group</w:t>
            </w:r>
          </w:p>
        </w:tc>
      </w:tr>
      <w:tr w:rsidR="00153F1C" w:rsidRPr="00021DD2" w:rsidTr="007F12D5">
        <w:trPr>
          <w:trHeight w:val="1287"/>
          <w:jc w:val="center"/>
        </w:trPr>
        <w:tc>
          <w:tcPr>
            <w:tcW w:w="1838" w:type="dxa"/>
          </w:tcPr>
          <w:p w:rsidR="00153F1C" w:rsidRPr="00021DD2" w:rsidRDefault="00153F1C" w:rsidP="007F12D5">
            <w:pPr>
              <w:jc w:val="center"/>
            </w:pPr>
            <w:r w:rsidRPr="00021DD2">
              <w:t>46</w:t>
            </w:r>
          </w:p>
        </w:tc>
        <w:tc>
          <w:tcPr>
            <w:tcW w:w="2146" w:type="dxa"/>
          </w:tcPr>
          <w:p w:rsidR="00153F1C" w:rsidRPr="00021DD2" w:rsidRDefault="00153F1C" w:rsidP="00346A9E">
            <w:r w:rsidRPr="00021DD2">
              <w:t>25.02.2017</w:t>
            </w:r>
          </w:p>
        </w:tc>
        <w:tc>
          <w:tcPr>
            <w:tcW w:w="4976" w:type="dxa"/>
          </w:tcPr>
          <w:p w:rsidR="00153F1C" w:rsidRPr="00021DD2" w:rsidRDefault="00153F1C" w:rsidP="00346A9E">
            <w:r w:rsidRPr="00021DD2">
              <w:t>Longitudinal Study of Indigenous Children (LSIC); Longitudinal Study of Australian Children (LSAC), Department of Social Services</w:t>
            </w:r>
          </w:p>
        </w:tc>
      </w:tr>
      <w:tr w:rsidR="00153F1C" w:rsidRPr="00021DD2" w:rsidTr="009E2A3C">
        <w:trPr>
          <w:trHeight w:val="543"/>
          <w:jc w:val="center"/>
        </w:trPr>
        <w:tc>
          <w:tcPr>
            <w:tcW w:w="1838" w:type="dxa"/>
          </w:tcPr>
          <w:p w:rsidR="00153F1C" w:rsidRPr="00021DD2" w:rsidRDefault="00153F1C" w:rsidP="007F12D5">
            <w:pPr>
              <w:jc w:val="center"/>
            </w:pPr>
            <w:r w:rsidRPr="00021DD2">
              <w:t>47</w:t>
            </w:r>
          </w:p>
        </w:tc>
        <w:tc>
          <w:tcPr>
            <w:tcW w:w="2146" w:type="dxa"/>
          </w:tcPr>
          <w:p w:rsidR="00153F1C" w:rsidRPr="00021DD2" w:rsidRDefault="00153F1C" w:rsidP="00346A9E">
            <w:r w:rsidRPr="00021DD2">
              <w:t>07.03.2017</w:t>
            </w:r>
          </w:p>
        </w:tc>
        <w:tc>
          <w:tcPr>
            <w:tcW w:w="4976" w:type="dxa"/>
          </w:tcPr>
          <w:p w:rsidR="00153F1C" w:rsidRPr="00021DD2" w:rsidRDefault="00153F1C" w:rsidP="00346A9E">
            <w:r w:rsidRPr="00021DD2">
              <w:t>Productivity Commission</w:t>
            </w:r>
          </w:p>
        </w:tc>
      </w:tr>
      <w:tr w:rsidR="00153F1C" w:rsidRPr="00021DD2" w:rsidTr="007F12D5">
        <w:trPr>
          <w:trHeight w:val="897"/>
          <w:jc w:val="center"/>
        </w:trPr>
        <w:tc>
          <w:tcPr>
            <w:tcW w:w="1838" w:type="dxa"/>
          </w:tcPr>
          <w:p w:rsidR="00153F1C" w:rsidRPr="00021DD2" w:rsidRDefault="00153F1C" w:rsidP="007F12D5">
            <w:pPr>
              <w:jc w:val="center"/>
            </w:pPr>
            <w:r w:rsidRPr="00021DD2">
              <w:t>48</w:t>
            </w:r>
          </w:p>
        </w:tc>
        <w:tc>
          <w:tcPr>
            <w:tcW w:w="2146" w:type="dxa"/>
          </w:tcPr>
          <w:p w:rsidR="00153F1C" w:rsidRPr="00021DD2" w:rsidRDefault="00153F1C" w:rsidP="00346A9E">
            <w:r w:rsidRPr="00021DD2">
              <w:t>25.07.2017</w:t>
            </w:r>
          </w:p>
        </w:tc>
        <w:tc>
          <w:tcPr>
            <w:tcW w:w="4976" w:type="dxa"/>
          </w:tcPr>
          <w:p w:rsidR="00153F1C" w:rsidRPr="00021DD2" w:rsidRDefault="00153F1C" w:rsidP="00346A9E">
            <w:r w:rsidRPr="00021DD2">
              <w:t>Household, Income and Labour Dynamics in Australia Survey (HILDA)</w:t>
            </w:r>
          </w:p>
        </w:tc>
      </w:tr>
      <w:tr w:rsidR="00153F1C" w:rsidRPr="00021DD2" w:rsidTr="009E2A3C">
        <w:trPr>
          <w:trHeight w:val="543"/>
          <w:jc w:val="center"/>
        </w:trPr>
        <w:tc>
          <w:tcPr>
            <w:tcW w:w="1838" w:type="dxa"/>
          </w:tcPr>
          <w:p w:rsidR="00153F1C" w:rsidRPr="00021DD2" w:rsidRDefault="00153F1C" w:rsidP="007F12D5">
            <w:pPr>
              <w:jc w:val="center"/>
            </w:pPr>
            <w:r w:rsidRPr="00021DD2">
              <w:t>49</w:t>
            </w:r>
          </w:p>
        </w:tc>
        <w:tc>
          <w:tcPr>
            <w:tcW w:w="2146" w:type="dxa"/>
          </w:tcPr>
          <w:p w:rsidR="00153F1C" w:rsidRPr="00021DD2" w:rsidRDefault="00153F1C" w:rsidP="00346A9E">
            <w:r w:rsidRPr="00021DD2">
              <w:t>04.09.2017</w:t>
            </w:r>
          </w:p>
        </w:tc>
        <w:tc>
          <w:tcPr>
            <w:tcW w:w="4976" w:type="dxa"/>
          </w:tcPr>
          <w:p w:rsidR="00153F1C" w:rsidRPr="00021DD2" w:rsidRDefault="00153F1C" w:rsidP="00346A9E">
            <w:r w:rsidRPr="00021DD2">
              <w:t>Department of Social Services</w:t>
            </w:r>
          </w:p>
        </w:tc>
      </w:tr>
      <w:tr w:rsidR="00153F1C" w:rsidRPr="00021DD2" w:rsidTr="009E2A3C">
        <w:trPr>
          <w:trHeight w:val="830"/>
          <w:jc w:val="center"/>
        </w:trPr>
        <w:tc>
          <w:tcPr>
            <w:tcW w:w="1838" w:type="dxa"/>
          </w:tcPr>
          <w:p w:rsidR="00153F1C" w:rsidRPr="00021DD2" w:rsidRDefault="00153F1C" w:rsidP="007F12D5">
            <w:pPr>
              <w:jc w:val="center"/>
            </w:pPr>
            <w:r w:rsidRPr="00021DD2">
              <w:t>50</w:t>
            </w:r>
          </w:p>
        </w:tc>
        <w:tc>
          <w:tcPr>
            <w:tcW w:w="2146" w:type="dxa"/>
          </w:tcPr>
          <w:p w:rsidR="00153F1C" w:rsidRPr="00021DD2" w:rsidRDefault="00153F1C" w:rsidP="00346A9E">
            <w:r w:rsidRPr="00021DD2">
              <w:t>24.08.2017</w:t>
            </w:r>
          </w:p>
        </w:tc>
        <w:tc>
          <w:tcPr>
            <w:tcW w:w="4976" w:type="dxa"/>
          </w:tcPr>
          <w:p w:rsidR="00153F1C" w:rsidRPr="00021DD2" w:rsidRDefault="00153F1C" w:rsidP="00346A9E">
            <w:r w:rsidRPr="00021DD2">
              <w:t>Department of Education, Western Australia</w:t>
            </w:r>
          </w:p>
        </w:tc>
      </w:tr>
      <w:tr w:rsidR="00153F1C" w:rsidRPr="00021DD2" w:rsidTr="009E2A3C">
        <w:trPr>
          <w:trHeight w:val="830"/>
          <w:jc w:val="center"/>
        </w:trPr>
        <w:tc>
          <w:tcPr>
            <w:tcW w:w="1838" w:type="dxa"/>
          </w:tcPr>
          <w:p w:rsidR="00153F1C" w:rsidRPr="00021DD2" w:rsidRDefault="00153F1C" w:rsidP="007F12D5">
            <w:pPr>
              <w:jc w:val="center"/>
            </w:pPr>
            <w:r w:rsidRPr="00021DD2">
              <w:t>51</w:t>
            </w:r>
          </w:p>
        </w:tc>
        <w:tc>
          <w:tcPr>
            <w:tcW w:w="2146" w:type="dxa"/>
          </w:tcPr>
          <w:p w:rsidR="00153F1C" w:rsidRPr="00021DD2" w:rsidRDefault="00153F1C" w:rsidP="00346A9E">
            <w:r w:rsidRPr="00021DD2">
              <w:t>31.08.2017</w:t>
            </w:r>
          </w:p>
        </w:tc>
        <w:tc>
          <w:tcPr>
            <w:tcW w:w="4976" w:type="dxa"/>
          </w:tcPr>
          <w:p w:rsidR="00153F1C" w:rsidRPr="00021DD2" w:rsidRDefault="00153F1C" w:rsidP="00346A9E">
            <w:r w:rsidRPr="00021DD2">
              <w:t>Department of Education and Training, Victoria</w:t>
            </w:r>
          </w:p>
        </w:tc>
      </w:tr>
      <w:tr w:rsidR="00153F1C" w:rsidRPr="00021DD2" w:rsidTr="009E2A3C">
        <w:trPr>
          <w:trHeight w:val="1102"/>
          <w:jc w:val="center"/>
        </w:trPr>
        <w:tc>
          <w:tcPr>
            <w:tcW w:w="1838" w:type="dxa"/>
          </w:tcPr>
          <w:p w:rsidR="00153F1C" w:rsidRPr="00021DD2" w:rsidRDefault="00153F1C" w:rsidP="007F12D5">
            <w:pPr>
              <w:jc w:val="center"/>
            </w:pPr>
            <w:r w:rsidRPr="00021DD2">
              <w:t>52</w:t>
            </w:r>
          </w:p>
        </w:tc>
        <w:tc>
          <w:tcPr>
            <w:tcW w:w="2146" w:type="dxa"/>
          </w:tcPr>
          <w:p w:rsidR="00153F1C" w:rsidRPr="00021DD2" w:rsidRDefault="00153F1C" w:rsidP="00346A9E">
            <w:r w:rsidRPr="00021DD2">
              <w:t>04.09.2017</w:t>
            </w:r>
          </w:p>
        </w:tc>
        <w:tc>
          <w:tcPr>
            <w:tcW w:w="4976" w:type="dxa"/>
          </w:tcPr>
          <w:p w:rsidR="00153F1C" w:rsidRPr="00021DD2" w:rsidRDefault="00153F1C" w:rsidP="00346A9E">
            <w:r w:rsidRPr="00021DD2">
              <w:t>Department of Education and Training, Queensland</w:t>
            </w:r>
          </w:p>
        </w:tc>
      </w:tr>
      <w:tr w:rsidR="00153F1C" w:rsidRPr="00021DD2" w:rsidTr="009E2A3C">
        <w:trPr>
          <w:trHeight w:val="558"/>
          <w:jc w:val="center"/>
        </w:trPr>
        <w:tc>
          <w:tcPr>
            <w:tcW w:w="1838" w:type="dxa"/>
          </w:tcPr>
          <w:p w:rsidR="00153F1C" w:rsidRPr="00021DD2" w:rsidRDefault="00153F1C" w:rsidP="007F12D5">
            <w:pPr>
              <w:jc w:val="center"/>
            </w:pPr>
            <w:r w:rsidRPr="00021DD2">
              <w:t>53</w:t>
            </w:r>
          </w:p>
        </w:tc>
        <w:tc>
          <w:tcPr>
            <w:tcW w:w="2146" w:type="dxa"/>
          </w:tcPr>
          <w:p w:rsidR="00153F1C" w:rsidRPr="00021DD2" w:rsidRDefault="00153F1C" w:rsidP="00346A9E">
            <w:r w:rsidRPr="00021DD2">
              <w:t>06.09.2017</w:t>
            </w:r>
          </w:p>
        </w:tc>
        <w:tc>
          <w:tcPr>
            <w:tcW w:w="4976" w:type="dxa"/>
          </w:tcPr>
          <w:p w:rsidR="00153F1C" w:rsidRPr="00021DD2" w:rsidRDefault="00153F1C" w:rsidP="00346A9E">
            <w:r w:rsidRPr="00021DD2">
              <w:t>NSW Department of Education</w:t>
            </w:r>
          </w:p>
        </w:tc>
      </w:tr>
      <w:tr w:rsidR="00153F1C" w:rsidRPr="00021DD2" w:rsidTr="009E2A3C">
        <w:trPr>
          <w:trHeight w:val="543"/>
          <w:jc w:val="center"/>
        </w:trPr>
        <w:tc>
          <w:tcPr>
            <w:tcW w:w="1838" w:type="dxa"/>
          </w:tcPr>
          <w:p w:rsidR="00153F1C" w:rsidRPr="00021DD2" w:rsidRDefault="00153F1C" w:rsidP="007F12D5">
            <w:pPr>
              <w:jc w:val="center"/>
            </w:pPr>
            <w:r w:rsidRPr="00021DD2">
              <w:t>54</w:t>
            </w:r>
          </w:p>
        </w:tc>
        <w:tc>
          <w:tcPr>
            <w:tcW w:w="2146" w:type="dxa"/>
          </w:tcPr>
          <w:p w:rsidR="00153F1C" w:rsidRPr="00021DD2" w:rsidRDefault="00153F1C" w:rsidP="00346A9E">
            <w:r w:rsidRPr="00021DD2">
              <w:t>12.09.2017</w:t>
            </w:r>
          </w:p>
        </w:tc>
        <w:tc>
          <w:tcPr>
            <w:tcW w:w="4976" w:type="dxa"/>
          </w:tcPr>
          <w:p w:rsidR="00153F1C" w:rsidRPr="00021DD2" w:rsidRDefault="00153F1C" w:rsidP="00346A9E">
            <w:r w:rsidRPr="00021DD2">
              <w:t>Department of Education, Tasmania</w:t>
            </w:r>
          </w:p>
        </w:tc>
      </w:tr>
      <w:tr w:rsidR="00153F1C" w:rsidRPr="00021DD2" w:rsidTr="009E2A3C">
        <w:trPr>
          <w:trHeight w:val="558"/>
          <w:jc w:val="center"/>
        </w:trPr>
        <w:tc>
          <w:tcPr>
            <w:tcW w:w="1838" w:type="dxa"/>
          </w:tcPr>
          <w:p w:rsidR="00153F1C" w:rsidRPr="00021DD2" w:rsidRDefault="00153F1C" w:rsidP="007F12D5">
            <w:pPr>
              <w:jc w:val="center"/>
            </w:pPr>
            <w:r w:rsidRPr="00021DD2">
              <w:t>55</w:t>
            </w:r>
          </w:p>
        </w:tc>
        <w:tc>
          <w:tcPr>
            <w:tcW w:w="2146" w:type="dxa"/>
          </w:tcPr>
          <w:p w:rsidR="00153F1C" w:rsidRPr="00021DD2" w:rsidRDefault="00153F1C" w:rsidP="00346A9E">
            <w:r w:rsidRPr="00021DD2">
              <w:t>25.08.2017</w:t>
            </w:r>
          </w:p>
        </w:tc>
        <w:tc>
          <w:tcPr>
            <w:tcW w:w="4976" w:type="dxa"/>
          </w:tcPr>
          <w:p w:rsidR="00153F1C" w:rsidRPr="00021DD2" w:rsidRDefault="00153F1C" w:rsidP="00346A9E">
            <w:r w:rsidRPr="00021DD2">
              <w:t>ACT Community Services</w:t>
            </w:r>
          </w:p>
        </w:tc>
      </w:tr>
      <w:tr w:rsidR="00153F1C" w:rsidRPr="00021DD2" w:rsidTr="009E2A3C">
        <w:trPr>
          <w:trHeight w:val="815"/>
          <w:jc w:val="center"/>
        </w:trPr>
        <w:tc>
          <w:tcPr>
            <w:tcW w:w="1838" w:type="dxa"/>
          </w:tcPr>
          <w:p w:rsidR="00153F1C" w:rsidRPr="00021DD2" w:rsidRDefault="00153F1C" w:rsidP="007F12D5">
            <w:pPr>
              <w:jc w:val="center"/>
            </w:pPr>
            <w:r w:rsidRPr="00021DD2">
              <w:t>56</w:t>
            </w:r>
          </w:p>
        </w:tc>
        <w:tc>
          <w:tcPr>
            <w:tcW w:w="2146" w:type="dxa"/>
          </w:tcPr>
          <w:p w:rsidR="00153F1C" w:rsidRPr="00021DD2" w:rsidRDefault="00153F1C" w:rsidP="00346A9E">
            <w:r w:rsidRPr="00021DD2">
              <w:t>29.08.2017</w:t>
            </w:r>
          </w:p>
        </w:tc>
        <w:tc>
          <w:tcPr>
            <w:tcW w:w="4976" w:type="dxa"/>
          </w:tcPr>
          <w:p w:rsidR="00153F1C" w:rsidRPr="00021DD2" w:rsidRDefault="00153F1C" w:rsidP="00346A9E">
            <w:r w:rsidRPr="00021DD2">
              <w:t>Department of Child Protection, South Australia</w:t>
            </w:r>
          </w:p>
        </w:tc>
      </w:tr>
      <w:tr w:rsidR="00153F1C" w:rsidRPr="00021DD2" w:rsidTr="009E2A3C">
        <w:trPr>
          <w:trHeight w:val="830"/>
          <w:jc w:val="center"/>
        </w:trPr>
        <w:tc>
          <w:tcPr>
            <w:tcW w:w="1838" w:type="dxa"/>
          </w:tcPr>
          <w:p w:rsidR="00153F1C" w:rsidRPr="00021DD2" w:rsidRDefault="00153F1C" w:rsidP="007F12D5">
            <w:pPr>
              <w:jc w:val="center"/>
            </w:pPr>
            <w:r w:rsidRPr="00021DD2">
              <w:t>57</w:t>
            </w:r>
          </w:p>
        </w:tc>
        <w:tc>
          <w:tcPr>
            <w:tcW w:w="2146" w:type="dxa"/>
          </w:tcPr>
          <w:p w:rsidR="00153F1C" w:rsidRPr="00021DD2" w:rsidRDefault="00153F1C" w:rsidP="00346A9E">
            <w:r w:rsidRPr="00021DD2">
              <w:t>01.09.2017</w:t>
            </w:r>
          </w:p>
        </w:tc>
        <w:tc>
          <w:tcPr>
            <w:tcW w:w="4976" w:type="dxa"/>
          </w:tcPr>
          <w:p w:rsidR="00153F1C" w:rsidRPr="00021DD2" w:rsidRDefault="00153F1C" w:rsidP="00346A9E">
            <w:r w:rsidRPr="00021DD2">
              <w:t>Department of Communities, Western Australia</w:t>
            </w:r>
          </w:p>
        </w:tc>
      </w:tr>
      <w:tr w:rsidR="00153F1C" w:rsidRPr="00021DD2" w:rsidTr="007F12D5">
        <w:trPr>
          <w:trHeight w:val="687"/>
          <w:jc w:val="center"/>
        </w:trPr>
        <w:tc>
          <w:tcPr>
            <w:tcW w:w="1838" w:type="dxa"/>
          </w:tcPr>
          <w:p w:rsidR="00153F1C" w:rsidRPr="00021DD2" w:rsidRDefault="00153F1C" w:rsidP="007F12D5">
            <w:pPr>
              <w:jc w:val="center"/>
            </w:pPr>
            <w:r w:rsidRPr="00021DD2">
              <w:t>58</w:t>
            </w:r>
          </w:p>
        </w:tc>
        <w:tc>
          <w:tcPr>
            <w:tcW w:w="2146" w:type="dxa"/>
          </w:tcPr>
          <w:p w:rsidR="00153F1C" w:rsidRPr="00021DD2" w:rsidRDefault="00153F1C" w:rsidP="00346A9E">
            <w:r w:rsidRPr="00021DD2">
              <w:t>01.09.2017</w:t>
            </w:r>
          </w:p>
        </w:tc>
        <w:tc>
          <w:tcPr>
            <w:tcW w:w="4976" w:type="dxa"/>
          </w:tcPr>
          <w:p w:rsidR="00153F1C" w:rsidRPr="00021DD2" w:rsidRDefault="00153F1C" w:rsidP="00346A9E">
            <w:r w:rsidRPr="00021DD2">
              <w:t>Department of Communities, Child Safety and Disability Services, Queensland</w:t>
            </w:r>
          </w:p>
        </w:tc>
      </w:tr>
      <w:tr w:rsidR="00153F1C" w:rsidRPr="00021DD2" w:rsidTr="009E2A3C">
        <w:trPr>
          <w:trHeight w:val="830"/>
          <w:jc w:val="center"/>
        </w:trPr>
        <w:tc>
          <w:tcPr>
            <w:tcW w:w="1838" w:type="dxa"/>
          </w:tcPr>
          <w:p w:rsidR="00153F1C" w:rsidRPr="00021DD2" w:rsidRDefault="00153F1C" w:rsidP="007F12D5">
            <w:pPr>
              <w:jc w:val="center"/>
            </w:pPr>
            <w:r w:rsidRPr="00021DD2">
              <w:t>59</w:t>
            </w:r>
          </w:p>
        </w:tc>
        <w:tc>
          <w:tcPr>
            <w:tcW w:w="2146" w:type="dxa"/>
          </w:tcPr>
          <w:p w:rsidR="00153F1C" w:rsidRPr="00021DD2" w:rsidRDefault="00153F1C" w:rsidP="00346A9E">
            <w:r w:rsidRPr="00021DD2">
              <w:t>07.09.2017</w:t>
            </w:r>
          </w:p>
        </w:tc>
        <w:tc>
          <w:tcPr>
            <w:tcW w:w="4976" w:type="dxa"/>
          </w:tcPr>
          <w:p w:rsidR="00153F1C" w:rsidRPr="00021DD2" w:rsidRDefault="00153F1C" w:rsidP="00346A9E">
            <w:r w:rsidRPr="00021DD2">
              <w:t>Territory Families, Northern Territory Government</w:t>
            </w:r>
          </w:p>
        </w:tc>
      </w:tr>
      <w:tr w:rsidR="00153F1C" w:rsidRPr="00021DD2" w:rsidTr="007F12D5">
        <w:trPr>
          <w:trHeight w:val="770"/>
          <w:jc w:val="center"/>
        </w:trPr>
        <w:tc>
          <w:tcPr>
            <w:tcW w:w="1838" w:type="dxa"/>
          </w:tcPr>
          <w:p w:rsidR="00153F1C" w:rsidRPr="00021DD2" w:rsidRDefault="00153F1C" w:rsidP="007F12D5">
            <w:pPr>
              <w:jc w:val="center"/>
            </w:pPr>
            <w:r w:rsidRPr="00021DD2">
              <w:t>60</w:t>
            </w:r>
          </w:p>
        </w:tc>
        <w:tc>
          <w:tcPr>
            <w:tcW w:w="2146" w:type="dxa"/>
          </w:tcPr>
          <w:p w:rsidR="00153F1C" w:rsidRPr="00021DD2" w:rsidRDefault="00153F1C" w:rsidP="00346A9E">
            <w:r w:rsidRPr="00021DD2">
              <w:t>07.09.2017</w:t>
            </w:r>
          </w:p>
        </w:tc>
        <w:tc>
          <w:tcPr>
            <w:tcW w:w="4976" w:type="dxa"/>
          </w:tcPr>
          <w:p w:rsidR="00153F1C" w:rsidRPr="00021DD2" w:rsidRDefault="00153F1C" w:rsidP="00346A9E">
            <w:r w:rsidRPr="00021DD2">
              <w:t>Children and Youth Services, Department of Health and Human Services, Tasmania</w:t>
            </w:r>
          </w:p>
        </w:tc>
      </w:tr>
      <w:tr w:rsidR="00153F1C" w:rsidRPr="00021DD2" w:rsidTr="009E2A3C">
        <w:trPr>
          <w:trHeight w:val="815"/>
          <w:jc w:val="center"/>
        </w:trPr>
        <w:tc>
          <w:tcPr>
            <w:tcW w:w="1838" w:type="dxa"/>
          </w:tcPr>
          <w:p w:rsidR="00153F1C" w:rsidRPr="00021DD2" w:rsidRDefault="00153F1C" w:rsidP="007F12D5">
            <w:pPr>
              <w:jc w:val="center"/>
            </w:pPr>
            <w:r w:rsidRPr="00021DD2">
              <w:t>61</w:t>
            </w:r>
          </w:p>
        </w:tc>
        <w:tc>
          <w:tcPr>
            <w:tcW w:w="2146" w:type="dxa"/>
          </w:tcPr>
          <w:p w:rsidR="00153F1C" w:rsidRPr="00021DD2" w:rsidRDefault="00153F1C" w:rsidP="00346A9E">
            <w:r w:rsidRPr="00021DD2">
              <w:t>26.04.2017</w:t>
            </w:r>
          </w:p>
        </w:tc>
        <w:tc>
          <w:tcPr>
            <w:tcW w:w="4976" w:type="dxa"/>
          </w:tcPr>
          <w:p w:rsidR="00153F1C" w:rsidRPr="00021DD2" w:rsidRDefault="00153F1C" w:rsidP="00346A9E">
            <w:r w:rsidRPr="00021DD2">
              <w:t>Department of Premier and Cabinet, Victoria</w:t>
            </w:r>
          </w:p>
        </w:tc>
      </w:tr>
      <w:tr w:rsidR="00153F1C" w:rsidRPr="00021DD2" w:rsidTr="009E2A3C">
        <w:trPr>
          <w:trHeight w:val="830"/>
          <w:jc w:val="center"/>
        </w:trPr>
        <w:tc>
          <w:tcPr>
            <w:tcW w:w="1838" w:type="dxa"/>
          </w:tcPr>
          <w:p w:rsidR="00153F1C" w:rsidRPr="00021DD2" w:rsidRDefault="00153F1C" w:rsidP="007F12D5">
            <w:pPr>
              <w:jc w:val="center"/>
            </w:pPr>
            <w:r w:rsidRPr="00021DD2">
              <w:t>62</w:t>
            </w:r>
          </w:p>
        </w:tc>
        <w:tc>
          <w:tcPr>
            <w:tcW w:w="2146" w:type="dxa"/>
          </w:tcPr>
          <w:p w:rsidR="00153F1C" w:rsidRPr="00021DD2" w:rsidRDefault="00153F1C" w:rsidP="00346A9E">
            <w:r w:rsidRPr="00021DD2">
              <w:t>19.04.2017</w:t>
            </w:r>
          </w:p>
        </w:tc>
        <w:tc>
          <w:tcPr>
            <w:tcW w:w="4976" w:type="dxa"/>
          </w:tcPr>
          <w:p w:rsidR="00153F1C" w:rsidRPr="00021DD2" w:rsidRDefault="00153F1C" w:rsidP="00346A9E">
            <w:r w:rsidRPr="00021DD2">
              <w:t xml:space="preserve">Department of the Premier and Cabinet, South Australia </w:t>
            </w:r>
          </w:p>
        </w:tc>
      </w:tr>
      <w:tr w:rsidR="00153F1C" w:rsidRPr="00021DD2" w:rsidTr="009E2A3C">
        <w:trPr>
          <w:trHeight w:val="830"/>
          <w:jc w:val="center"/>
        </w:trPr>
        <w:tc>
          <w:tcPr>
            <w:tcW w:w="1838" w:type="dxa"/>
          </w:tcPr>
          <w:p w:rsidR="00153F1C" w:rsidRPr="00021DD2" w:rsidRDefault="00153F1C" w:rsidP="007F12D5">
            <w:pPr>
              <w:jc w:val="center"/>
            </w:pPr>
            <w:r w:rsidRPr="00021DD2">
              <w:t>63</w:t>
            </w:r>
          </w:p>
        </w:tc>
        <w:tc>
          <w:tcPr>
            <w:tcW w:w="2146" w:type="dxa"/>
          </w:tcPr>
          <w:p w:rsidR="00153F1C" w:rsidRPr="00021DD2" w:rsidRDefault="00153F1C" w:rsidP="00346A9E">
            <w:r w:rsidRPr="00021DD2">
              <w:t>12.05.2017</w:t>
            </w:r>
          </w:p>
        </w:tc>
        <w:tc>
          <w:tcPr>
            <w:tcW w:w="4976" w:type="dxa"/>
          </w:tcPr>
          <w:p w:rsidR="00153F1C" w:rsidRPr="00021DD2" w:rsidRDefault="00153F1C" w:rsidP="00346A9E">
            <w:r w:rsidRPr="00021DD2">
              <w:t>Commissioner for Children and young People, Tasmania</w:t>
            </w:r>
          </w:p>
        </w:tc>
      </w:tr>
      <w:tr w:rsidR="00153F1C" w:rsidRPr="00021DD2" w:rsidTr="009E2A3C">
        <w:trPr>
          <w:trHeight w:val="558"/>
          <w:jc w:val="center"/>
        </w:trPr>
        <w:tc>
          <w:tcPr>
            <w:tcW w:w="1838" w:type="dxa"/>
          </w:tcPr>
          <w:p w:rsidR="00153F1C" w:rsidRPr="00021DD2" w:rsidRDefault="00153F1C" w:rsidP="007F12D5">
            <w:pPr>
              <w:jc w:val="center"/>
            </w:pPr>
            <w:r w:rsidRPr="00021DD2">
              <w:t>64</w:t>
            </w:r>
          </w:p>
        </w:tc>
        <w:tc>
          <w:tcPr>
            <w:tcW w:w="2146" w:type="dxa"/>
          </w:tcPr>
          <w:p w:rsidR="00153F1C" w:rsidRPr="00021DD2" w:rsidRDefault="00153F1C" w:rsidP="00346A9E">
            <w:r w:rsidRPr="00021DD2">
              <w:t>29.05.2017</w:t>
            </w:r>
          </w:p>
        </w:tc>
        <w:tc>
          <w:tcPr>
            <w:tcW w:w="4976" w:type="dxa"/>
          </w:tcPr>
          <w:p w:rsidR="00153F1C" w:rsidRPr="00021DD2" w:rsidRDefault="00153F1C" w:rsidP="00346A9E">
            <w:r w:rsidRPr="00021DD2">
              <w:t>Office of the Premier, South Australia</w:t>
            </w:r>
          </w:p>
        </w:tc>
      </w:tr>
      <w:tr w:rsidR="00153F1C" w:rsidRPr="00021DD2" w:rsidTr="009E2A3C">
        <w:trPr>
          <w:trHeight w:val="815"/>
          <w:jc w:val="center"/>
        </w:trPr>
        <w:tc>
          <w:tcPr>
            <w:tcW w:w="1838" w:type="dxa"/>
          </w:tcPr>
          <w:p w:rsidR="00153F1C" w:rsidRPr="00021DD2" w:rsidRDefault="00153F1C" w:rsidP="007F12D5">
            <w:pPr>
              <w:jc w:val="center"/>
            </w:pPr>
            <w:r w:rsidRPr="00021DD2">
              <w:t>65</w:t>
            </w:r>
          </w:p>
        </w:tc>
        <w:tc>
          <w:tcPr>
            <w:tcW w:w="2146" w:type="dxa"/>
          </w:tcPr>
          <w:p w:rsidR="00153F1C" w:rsidRPr="00021DD2" w:rsidRDefault="00153F1C" w:rsidP="00346A9E">
            <w:r w:rsidRPr="00021DD2">
              <w:t>29.05.2017</w:t>
            </w:r>
          </w:p>
        </w:tc>
        <w:tc>
          <w:tcPr>
            <w:tcW w:w="4976" w:type="dxa"/>
          </w:tcPr>
          <w:p w:rsidR="00153F1C" w:rsidRPr="00021DD2" w:rsidRDefault="00153F1C" w:rsidP="00346A9E">
            <w:r w:rsidRPr="00021DD2">
              <w:t>Queensland Family and Child Commission</w:t>
            </w:r>
          </w:p>
        </w:tc>
      </w:tr>
      <w:tr w:rsidR="00153F1C" w:rsidRPr="00021DD2" w:rsidTr="009E2A3C">
        <w:trPr>
          <w:trHeight w:val="558"/>
          <w:jc w:val="center"/>
        </w:trPr>
        <w:tc>
          <w:tcPr>
            <w:tcW w:w="1838" w:type="dxa"/>
          </w:tcPr>
          <w:p w:rsidR="00153F1C" w:rsidRPr="00021DD2" w:rsidRDefault="00153F1C" w:rsidP="007F12D5">
            <w:pPr>
              <w:jc w:val="center"/>
            </w:pPr>
            <w:r w:rsidRPr="00021DD2">
              <w:t>66</w:t>
            </w:r>
          </w:p>
        </w:tc>
        <w:tc>
          <w:tcPr>
            <w:tcW w:w="2146" w:type="dxa"/>
          </w:tcPr>
          <w:p w:rsidR="00153F1C" w:rsidRPr="00021DD2" w:rsidRDefault="00153F1C" w:rsidP="00346A9E">
            <w:r w:rsidRPr="00021DD2">
              <w:t>30.06.2017</w:t>
            </w:r>
          </w:p>
        </w:tc>
        <w:tc>
          <w:tcPr>
            <w:tcW w:w="4976" w:type="dxa"/>
          </w:tcPr>
          <w:p w:rsidR="00153F1C" w:rsidRPr="00021DD2" w:rsidRDefault="00153F1C" w:rsidP="00346A9E">
            <w:r w:rsidRPr="00021DD2">
              <w:t xml:space="preserve">Premier of Western Australia </w:t>
            </w:r>
          </w:p>
        </w:tc>
      </w:tr>
      <w:tr w:rsidR="00153F1C" w:rsidRPr="00021DD2" w:rsidTr="009E2A3C">
        <w:trPr>
          <w:trHeight w:val="271"/>
          <w:jc w:val="center"/>
        </w:trPr>
        <w:tc>
          <w:tcPr>
            <w:tcW w:w="1838" w:type="dxa"/>
          </w:tcPr>
          <w:p w:rsidR="00153F1C" w:rsidRPr="00021DD2" w:rsidRDefault="00153F1C" w:rsidP="007F12D5">
            <w:pPr>
              <w:jc w:val="center"/>
            </w:pPr>
            <w:r w:rsidRPr="00021DD2">
              <w:t>67</w:t>
            </w:r>
          </w:p>
        </w:tc>
        <w:tc>
          <w:tcPr>
            <w:tcW w:w="2146" w:type="dxa"/>
          </w:tcPr>
          <w:p w:rsidR="00153F1C" w:rsidRPr="00021DD2" w:rsidRDefault="00153F1C" w:rsidP="00346A9E">
            <w:r w:rsidRPr="00021DD2">
              <w:t>21.06.2017</w:t>
            </w:r>
          </w:p>
        </w:tc>
        <w:tc>
          <w:tcPr>
            <w:tcW w:w="4976" w:type="dxa"/>
          </w:tcPr>
          <w:p w:rsidR="00153F1C" w:rsidRPr="00021DD2" w:rsidRDefault="00153F1C" w:rsidP="00346A9E">
            <w:r w:rsidRPr="00021DD2">
              <w:t>Premier of Tasmania</w:t>
            </w:r>
          </w:p>
        </w:tc>
      </w:tr>
      <w:tr w:rsidR="00153F1C" w:rsidRPr="00021DD2" w:rsidTr="009E2A3C">
        <w:trPr>
          <w:trHeight w:val="830"/>
          <w:jc w:val="center"/>
        </w:trPr>
        <w:tc>
          <w:tcPr>
            <w:tcW w:w="1838" w:type="dxa"/>
          </w:tcPr>
          <w:p w:rsidR="00153F1C" w:rsidRPr="00021DD2" w:rsidRDefault="00153F1C" w:rsidP="007F12D5">
            <w:pPr>
              <w:jc w:val="center"/>
            </w:pPr>
            <w:r w:rsidRPr="00021DD2">
              <w:t>68</w:t>
            </w:r>
          </w:p>
        </w:tc>
        <w:tc>
          <w:tcPr>
            <w:tcW w:w="2146" w:type="dxa"/>
          </w:tcPr>
          <w:p w:rsidR="00153F1C" w:rsidRPr="00021DD2" w:rsidRDefault="00153F1C" w:rsidP="00346A9E">
            <w:r w:rsidRPr="00021DD2">
              <w:t>02.06.2017</w:t>
            </w:r>
          </w:p>
        </w:tc>
        <w:tc>
          <w:tcPr>
            <w:tcW w:w="4976" w:type="dxa"/>
          </w:tcPr>
          <w:p w:rsidR="00153F1C" w:rsidRPr="00021DD2" w:rsidRDefault="00153F1C" w:rsidP="00346A9E">
            <w:r w:rsidRPr="00021DD2">
              <w:t>Premier of Queensland, Minister for the Arts</w:t>
            </w:r>
          </w:p>
        </w:tc>
      </w:tr>
      <w:tr w:rsidR="00153F1C" w:rsidRPr="00021DD2" w:rsidTr="009E2A3C">
        <w:trPr>
          <w:trHeight w:val="543"/>
          <w:jc w:val="center"/>
        </w:trPr>
        <w:tc>
          <w:tcPr>
            <w:tcW w:w="1838" w:type="dxa"/>
          </w:tcPr>
          <w:p w:rsidR="00153F1C" w:rsidRPr="00021DD2" w:rsidRDefault="00153F1C" w:rsidP="007F12D5">
            <w:pPr>
              <w:jc w:val="center"/>
            </w:pPr>
            <w:r w:rsidRPr="00021DD2">
              <w:t>69</w:t>
            </w:r>
          </w:p>
        </w:tc>
        <w:tc>
          <w:tcPr>
            <w:tcW w:w="2146" w:type="dxa"/>
          </w:tcPr>
          <w:p w:rsidR="00153F1C" w:rsidRPr="00021DD2" w:rsidRDefault="00153F1C" w:rsidP="00346A9E">
            <w:r w:rsidRPr="00021DD2">
              <w:t>03.04.2017</w:t>
            </w:r>
          </w:p>
        </w:tc>
        <w:tc>
          <w:tcPr>
            <w:tcW w:w="4976" w:type="dxa"/>
          </w:tcPr>
          <w:p w:rsidR="00153F1C" w:rsidRPr="00021DD2" w:rsidRDefault="00153F1C" w:rsidP="00346A9E">
            <w:r w:rsidRPr="00021DD2">
              <w:t>Australian Bureau of Statistics</w:t>
            </w:r>
          </w:p>
        </w:tc>
      </w:tr>
    </w:tbl>
    <w:p w:rsidR="00153F1C" w:rsidRPr="00021DD2" w:rsidRDefault="00153F1C" w:rsidP="00153F1C">
      <w:pPr>
        <w:spacing w:before="0" w:after="0"/>
        <w:rPr>
          <w:rFonts w:cs="Arial"/>
          <w:b/>
        </w:rPr>
      </w:pPr>
    </w:p>
    <w:p w:rsidR="00153F1C" w:rsidRPr="00021DD2" w:rsidRDefault="00153F1C" w:rsidP="001C7EB4">
      <w:pPr>
        <w:rPr>
          <w:rFonts w:cs="Arial"/>
          <w:b/>
        </w:rPr>
        <w:sectPr w:rsidR="00153F1C" w:rsidRPr="00021DD2" w:rsidSect="003716C0">
          <w:endnotePr>
            <w:numFmt w:val="decimal"/>
            <w:numRestart w:val="eachSect"/>
          </w:endnotePr>
          <w:pgSz w:w="11906" w:h="16838" w:code="9"/>
          <w:pgMar w:top="1134" w:right="1418" w:bottom="1134" w:left="1418" w:header="709" w:footer="709" w:gutter="0"/>
          <w:cols w:space="708"/>
          <w:docGrid w:linePitch="360"/>
        </w:sectPr>
      </w:pPr>
    </w:p>
    <w:p w:rsidR="00153F1C" w:rsidRPr="001E2654" w:rsidRDefault="00153F1C" w:rsidP="007F12D5">
      <w:pPr>
        <w:pStyle w:val="Titolo6"/>
      </w:pPr>
      <w:bookmarkStart w:id="165" w:name="_Toc500308854"/>
      <w:r w:rsidRPr="001E2654">
        <w:t>National roundtables with experts on the challenges facing young parents and their children</w:t>
      </w:r>
      <w:bookmarkEnd w:id="165"/>
      <w:r w:rsidRPr="001E2654">
        <w:t xml:space="preserve"> </w:t>
      </w:r>
    </w:p>
    <w:tbl>
      <w:tblPr>
        <w:tblStyle w:val="Grigliatabella"/>
        <w:tblpPr w:leftFromText="180" w:rightFromText="180" w:vertAnchor="page" w:horzAnchor="margin" w:tblpXSpec="center" w:tblpY="2566"/>
        <w:tblW w:w="8944" w:type="dxa"/>
        <w:tblLook w:val="04A0" w:firstRow="1" w:lastRow="0" w:firstColumn="1" w:lastColumn="0" w:noHBand="0" w:noVBand="1"/>
      </w:tblPr>
      <w:tblGrid>
        <w:gridCol w:w="1418"/>
        <w:gridCol w:w="6109"/>
        <w:gridCol w:w="1417"/>
      </w:tblGrid>
      <w:tr w:rsidR="00153F1C" w:rsidRPr="00021DD2" w:rsidTr="000A5502">
        <w:trPr>
          <w:trHeight w:val="280"/>
        </w:trPr>
        <w:tc>
          <w:tcPr>
            <w:tcW w:w="1418" w:type="dxa"/>
          </w:tcPr>
          <w:p w:rsidR="00153F1C" w:rsidRPr="00021DD2" w:rsidRDefault="00153F1C" w:rsidP="00153F1C">
            <w:pPr>
              <w:spacing w:before="0" w:after="0"/>
              <w:rPr>
                <w:rFonts w:cs="Arial"/>
                <w:b/>
              </w:rPr>
            </w:pPr>
            <w:r w:rsidRPr="00021DD2">
              <w:rPr>
                <w:rFonts w:cs="Arial"/>
                <w:b/>
              </w:rPr>
              <w:t>Date</w:t>
            </w:r>
          </w:p>
        </w:tc>
        <w:tc>
          <w:tcPr>
            <w:tcW w:w="6232" w:type="dxa"/>
          </w:tcPr>
          <w:p w:rsidR="00153F1C" w:rsidRPr="00021DD2" w:rsidRDefault="00153F1C" w:rsidP="00153F1C">
            <w:pPr>
              <w:spacing w:before="0" w:after="0"/>
              <w:rPr>
                <w:rFonts w:cs="Arial"/>
                <w:b/>
              </w:rPr>
            </w:pPr>
            <w:r w:rsidRPr="00021DD2">
              <w:rPr>
                <w:rFonts w:cs="Arial"/>
                <w:b/>
              </w:rPr>
              <w:t>Roundtable</w:t>
            </w:r>
          </w:p>
        </w:tc>
        <w:tc>
          <w:tcPr>
            <w:tcW w:w="1294" w:type="dxa"/>
          </w:tcPr>
          <w:p w:rsidR="00153F1C" w:rsidRPr="00021DD2" w:rsidRDefault="00153F1C" w:rsidP="00153F1C">
            <w:pPr>
              <w:spacing w:before="0" w:after="0"/>
              <w:rPr>
                <w:rFonts w:cs="Arial"/>
                <w:b/>
              </w:rPr>
            </w:pPr>
            <w:r w:rsidRPr="00021DD2">
              <w:rPr>
                <w:rFonts w:cs="Arial"/>
                <w:b/>
              </w:rPr>
              <w:t>Location</w:t>
            </w:r>
          </w:p>
        </w:tc>
      </w:tr>
      <w:tr w:rsidR="00153F1C" w:rsidRPr="00021DD2" w:rsidTr="000A5502">
        <w:trPr>
          <w:trHeight w:val="4202"/>
        </w:trPr>
        <w:tc>
          <w:tcPr>
            <w:tcW w:w="1418" w:type="dxa"/>
          </w:tcPr>
          <w:p w:rsidR="00153F1C" w:rsidRPr="00021DD2" w:rsidRDefault="00153F1C" w:rsidP="00153F1C">
            <w:pPr>
              <w:spacing w:before="0" w:after="0"/>
              <w:rPr>
                <w:rFonts w:cs="Arial"/>
              </w:rPr>
            </w:pPr>
            <w:r w:rsidRPr="00021DD2">
              <w:rPr>
                <w:rFonts w:cs="Arial"/>
              </w:rPr>
              <w:t>12.06.2017</w:t>
            </w:r>
          </w:p>
        </w:tc>
        <w:tc>
          <w:tcPr>
            <w:tcW w:w="6232" w:type="dxa"/>
          </w:tcPr>
          <w:p w:rsidR="00153F1C" w:rsidRPr="00021DD2" w:rsidRDefault="00153F1C" w:rsidP="00153F1C">
            <w:pPr>
              <w:spacing w:before="0" w:after="0"/>
              <w:rPr>
                <w:rFonts w:cs="Arial"/>
                <w:b/>
              </w:rPr>
            </w:pPr>
            <w:r w:rsidRPr="00021DD2">
              <w:rPr>
                <w:rFonts w:cs="Arial"/>
                <w:b/>
              </w:rPr>
              <w:t xml:space="preserve">Brisbane </w:t>
            </w:r>
            <w:r w:rsidRPr="00021DD2">
              <w:rPr>
                <w:rFonts w:cs="Arial"/>
              </w:rPr>
              <w:t xml:space="preserve">roundtable participants: </w:t>
            </w:r>
          </w:p>
          <w:p w:rsidR="00153F1C" w:rsidRPr="00021DD2" w:rsidRDefault="00153F1C" w:rsidP="00B934D7">
            <w:pPr>
              <w:pStyle w:val="Paragrafoelenco"/>
              <w:numPr>
                <w:ilvl w:val="0"/>
                <w:numId w:val="49"/>
              </w:numPr>
              <w:spacing w:before="0" w:after="0"/>
              <w:jc w:val="left"/>
            </w:pPr>
            <w:r w:rsidRPr="00021DD2">
              <w:t xml:space="preserve">John Dalgleish, Head Strategy and Research, </w:t>
            </w:r>
            <w:r w:rsidR="00550432">
              <w:t>y</w:t>
            </w:r>
            <w:r w:rsidRPr="00021DD2">
              <w:t>ourtown</w:t>
            </w:r>
          </w:p>
          <w:p w:rsidR="00153F1C" w:rsidRPr="00021DD2" w:rsidRDefault="00153F1C" w:rsidP="00B934D7">
            <w:pPr>
              <w:pStyle w:val="Paragrafoelenco"/>
              <w:numPr>
                <w:ilvl w:val="0"/>
                <w:numId w:val="49"/>
              </w:numPr>
              <w:spacing w:before="0" w:after="0"/>
              <w:jc w:val="left"/>
            </w:pPr>
            <w:r w:rsidRPr="00021DD2">
              <w:t xml:space="preserve">Tracy Adams, CEO, </w:t>
            </w:r>
            <w:r w:rsidR="00550432">
              <w:t>y</w:t>
            </w:r>
            <w:r w:rsidRPr="00021DD2">
              <w:t>ourtown</w:t>
            </w:r>
          </w:p>
          <w:p w:rsidR="00153F1C" w:rsidRPr="00021DD2" w:rsidRDefault="00153F1C" w:rsidP="00B934D7">
            <w:pPr>
              <w:pStyle w:val="Paragrafoelenco"/>
              <w:numPr>
                <w:ilvl w:val="0"/>
                <w:numId w:val="49"/>
              </w:numPr>
              <w:spacing w:before="0" w:after="0"/>
              <w:jc w:val="left"/>
            </w:pPr>
            <w:r w:rsidRPr="00021DD2">
              <w:t xml:space="preserve">Mihi Waihape, Team Leader ParentsNext, Workways </w:t>
            </w:r>
          </w:p>
          <w:p w:rsidR="00153F1C" w:rsidRPr="00021DD2" w:rsidRDefault="00153F1C" w:rsidP="00B934D7">
            <w:pPr>
              <w:pStyle w:val="Paragrafoelenco"/>
              <w:numPr>
                <w:ilvl w:val="0"/>
                <w:numId w:val="49"/>
              </w:numPr>
              <w:spacing w:before="0" w:after="0"/>
              <w:jc w:val="left"/>
            </w:pPr>
            <w:r w:rsidRPr="00021DD2">
              <w:t>Rachel Smith, Program Manager, YFS</w:t>
            </w:r>
          </w:p>
          <w:p w:rsidR="00153F1C" w:rsidRPr="00021DD2" w:rsidRDefault="00153F1C" w:rsidP="00B934D7">
            <w:pPr>
              <w:pStyle w:val="Paragrafoelenco"/>
              <w:numPr>
                <w:ilvl w:val="0"/>
                <w:numId w:val="49"/>
              </w:numPr>
              <w:spacing w:before="0" w:after="0"/>
              <w:jc w:val="left"/>
            </w:pPr>
            <w:r w:rsidRPr="00021DD2">
              <w:t>Judith Hunter, Strategic Development Manager, YFS</w:t>
            </w:r>
          </w:p>
          <w:p w:rsidR="00153F1C" w:rsidRPr="00021DD2" w:rsidRDefault="00153F1C" w:rsidP="00B934D7">
            <w:pPr>
              <w:pStyle w:val="Paragrafoelenco"/>
              <w:numPr>
                <w:ilvl w:val="0"/>
                <w:numId w:val="49"/>
              </w:numPr>
              <w:spacing w:before="0" w:after="0"/>
              <w:jc w:val="left"/>
            </w:pPr>
            <w:r w:rsidRPr="00021DD2">
              <w:t>Jacqui Deane, Coordinator, Supporting Teenagers with Education, Mothering and Mentoring (STEMM)</w:t>
            </w:r>
          </w:p>
          <w:p w:rsidR="00153F1C" w:rsidRPr="00021DD2" w:rsidRDefault="00153F1C" w:rsidP="00B934D7">
            <w:pPr>
              <w:pStyle w:val="Paragrafoelenco"/>
              <w:numPr>
                <w:ilvl w:val="0"/>
                <w:numId w:val="49"/>
              </w:numPr>
              <w:spacing w:before="0" w:after="0"/>
              <w:jc w:val="left"/>
            </w:pPr>
            <w:r w:rsidRPr="00021DD2">
              <w:t>Janelle Logan, Coordinator,  Supporting Teenagers with Education, Mothering and Mentoring (STEMM)</w:t>
            </w:r>
          </w:p>
          <w:p w:rsidR="00153F1C" w:rsidRPr="00021DD2" w:rsidRDefault="00153F1C" w:rsidP="00B934D7">
            <w:pPr>
              <w:pStyle w:val="Paragrafoelenco"/>
              <w:numPr>
                <w:ilvl w:val="0"/>
                <w:numId w:val="49"/>
              </w:numPr>
              <w:spacing w:before="0" w:after="0"/>
              <w:jc w:val="left"/>
            </w:pPr>
            <w:r w:rsidRPr="00021DD2">
              <w:t>Kate Fenton, Team Leader, Micah Projects</w:t>
            </w:r>
          </w:p>
          <w:p w:rsidR="00153F1C" w:rsidRPr="00021DD2" w:rsidRDefault="00153F1C" w:rsidP="00B934D7">
            <w:pPr>
              <w:pStyle w:val="Paragrafoelenco"/>
              <w:numPr>
                <w:ilvl w:val="0"/>
                <w:numId w:val="49"/>
              </w:numPr>
              <w:spacing w:before="0" w:after="0"/>
              <w:jc w:val="left"/>
            </w:pPr>
            <w:r w:rsidRPr="00021DD2">
              <w:t>Peter Melrose, Policy Officer, CREATE Foundation</w:t>
            </w:r>
          </w:p>
          <w:p w:rsidR="00153F1C" w:rsidRPr="00021DD2" w:rsidRDefault="00153F1C" w:rsidP="00B934D7">
            <w:pPr>
              <w:pStyle w:val="Paragrafoelenco"/>
              <w:numPr>
                <w:ilvl w:val="0"/>
                <w:numId w:val="49"/>
              </w:numPr>
              <w:spacing w:before="0" w:after="0"/>
              <w:jc w:val="left"/>
            </w:pPr>
            <w:r w:rsidRPr="00021DD2">
              <w:t>Sue Gleed, Assistant Commissioner, QLD Family and Child Commission</w:t>
            </w:r>
          </w:p>
          <w:p w:rsidR="00153F1C" w:rsidRPr="00021DD2" w:rsidRDefault="00153F1C" w:rsidP="00B934D7">
            <w:pPr>
              <w:pStyle w:val="Paragrafoelenco"/>
              <w:numPr>
                <w:ilvl w:val="0"/>
                <w:numId w:val="49"/>
              </w:numPr>
              <w:spacing w:before="0" w:after="0"/>
              <w:jc w:val="left"/>
            </w:pPr>
            <w:r w:rsidRPr="00021DD2">
              <w:t>Zara Berkovitz, Manager, QLD Family and Child Commission</w:t>
            </w:r>
          </w:p>
          <w:p w:rsidR="00153F1C" w:rsidRPr="00021DD2" w:rsidRDefault="00153F1C" w:rsidP="00B934D7">
            <w:pPr>
              <w:pStyle w:val="Paragrafoelenco"/>
              <w:numPr>
                <w:ilvl w:val="0"/>
                <w:numId w:val="49"/>
              </w:numPr>
              <w:spacing w:before="0" w:after="0"/>
              <w:jc w:val="left"/>
            </w:pPr>
            <w:r w:rsidRPr="00021DD2">
              <w:t>Tessa Neil, Program Coordinator, Wesley Mission</w:t>
            </w:r>
          </w:p>
        </w:tc>
        <w:tc>
          <w:tcPr>
            <w:tcW w:w="1294" w:type="dxa"/>
          </w:tcPr>
          <w:p w:rsidR="00153F1C" w:rsidRPr="00021DD2" w:rsidRDefault="00153F1C" w:rsidP="00153F1C">
            <w:pPr>
              <w:spacing w:before="0" w:after="0"/>
              <w:rPr>
                <w:rFonts w:cs="Arial"/>
              </w:rPr>
            </w:pPr>
            <w:r w:rsidRPr="00021DD2">
              <w:rPr>
                <w:rFonts w:cs="Arial"/>
              </w:rPr>
              <w:t>Brisbane, QLD</w:t>
            </w:r>
          </w:p>
        </w:tc>
      </w:tr>
      <w:tr w:rsidR="00153F1C" w:rsidRPr="00021DD2" w:rsidTr="000A5502">
        <w:trPr>
          <w:trHeight w:val="8273"/>
        </w:trPr>
        <w:tc>
          <w:tcPr>
            <w:tcW w:w="1418" w:type="dxa"/>
          </w:tcPr>
          <w:p w:rsidR="00153F1C" w:rsidRPr="00021DD2" w:rsidRDefault="00153F1C" w:rsidP="00153F1C">
            <w:pPr>
              <w:spacing w:before="0" w:after="0"/>
              <w:rPr>
                <w:rFonts w:cs="Arial"/>
              </w:rPr>
            </w:pPr>
            <w:r w:rsidRPr="00021DD2">
              <w:rPr>
                <w:rFonts w:cs="Arial"/>
              </w:rPr>
              <w:t>14.06.2017</w:t>
            </w:r>
          </w:p>
        </w:tc>
        <w:tc>
          <w:tcPr>
            <w:tcW w:w="6232" w:type="dxa"/>
          </w:tcPr>
          <w:p w:rsidR="00153F1C" w:rsidRPr="00021DD2" w:rsidRDefault="00153F1C" w:rsidP="00153F1C">
            <w:pPr>
              <w:spacing w:before="0" w:after="0"/>
              <w:rPr>
                <w:rFonts w:cs="Arial"/>
              </w:rPr>
            </w:pPr>
            <w:r w:rsidRPr="00021DD2">
              <w:rPr>
                <w:rFonts w:cs="Arial"/>
                <w:b/>
              </w:rPr>
              <w:t>Sydney</w:t>
            </w:r>
            <w:r w:rsidRPr="00021DD2">
              <w:rPr>
                <w:rFonts w:cs="Arial"/>
              </w:rPr>
              <w:t xml:space="preserve"> roundtable participants:</w:t>
            </w:r>
          </w:p>
          <w:p w:rsidR="00153F1C" w:rsidRPr="00021DD2" w:rsidRDefault="00153F1C" w:rsidP="00B934D7">
            <w:pPr>
              <w:pStyle w:val="Paragrafoelenco"/>
              <w:numPr>
                <w:ilvl w:val="0"/>
                <w:numId w:val="48"/>
              </w:numPr>
              <w:spacing w:before="0" w:after="0"/>
              <w:jc w:val="left"/>
            </w:pPr>
            <w:r w:rsidRPr="00021DD2">
              <w:t>Professor Rachel Skinner, Paediatrics and Child Health, University of Sydney</w:t>
            </w:r>
          </w:p>
          <w:p w:rsidR="00153F1C" w:rsidRPr="00021DD2" w:rsidRDefault="00153F1C" w:rsidP="00B934D7">
            <w:pPr>
              <w:pStyle w:val="Paragrafoelenco"/>
              <w:numPr>
                <w:ilvl w:val="0"/>
                <w:numId w:val="48"/>
              </w:numPr>
              <w:spacing w:before="0" w:after="0"/>
              <w:jc w:val="left"/>
            </w:pPr>
            <w:r w:rsidRPr="00021DD2">
              <w:t>Tamara Stewart-Jones, CEO, Multicultural Youth South Australia</w:t>
            </w:r>
          </w:p>
          <w:p w:rsidR="00153F1C" w:rsidRPr="00021DD2" w:rsidRDefault="00153F1C" w:rsidP="00B934D7">
            <w:pPr>
              <w:pStyle w:val="Paragrafoelenco"/>
              <w:numPr>
                <w:ilvl w:val="0"/>
                <w:numId w:val="48"/>
              </w:numPr>
              <w:spacing w:before="0" w:after="0"/>
              <w:jc w:val="left"/>
            </w:pPr>
            <w:r w:rsidRPr="00021DD2">
              <w:t xml:space="preserve">Suzie Wilkie, Research and Policy Officer, Multicultural Youth South Australia </w:t>
            </w:r>
          </w:p>
          <w:p w:rsidR="00153F1C" w:rsidRPr="00021DD2" w:rsidRDefault="00153F1C" w:rsidP="00B934D7">
            <w:pPr>
              <w:pStyle w:val="Paragrafoelenco"/>
              <w:numPr>
                <w:ilvl w:val="0"/>
                <w:numId w:val="48"/>
              </w:numPr>
              <w:spacing w:before="0" w:after="0"/>
              <w:jc w:val="left"/>
            </w:pPr>
            <w:r w:rsidRPr="00021DD2">
              <w:t>Jennifer Marino, Research Fellow, Department of Obstetrics Gynaecology</w:t>
            </w:r>
            <w:r w:rsidR="00550432">
              <w:t>,</w:t>
            </w:r>
            <w:r w:rsidRPr="00021DD2">
              <w:t xml:space="preserve"> University of Melbourne</w:t>
            </w:r>
          </w:p>
          <w:p w:rsidR="00153F1C" w:rsidRPr="00021DD2" w:rsidRDefault="00153F1C" w:rsidP="00B934D7">
            <w:pPr>
              <w:pStyle w:val="Paragrafoelenco"/>
              <w:numPr>
                <w:ilvl w:val="0"/>
                <w:numId w:val="48"/>
              </w:numPr>
              <w:spacing w:before="0" w:after="0"/>
              <w:jc w:val="left"/>
            </w:pPr>
            <w:r w:rsidRPr="00021DD2">
              <w:t>Professor Bruce Bradbury, Social Policy Research Centre</w:t>
            </w:r>
            <w:r w:rsidR="009E2A3C" w:rsidRPr="00021DD2">
              <w:t>,</w:t>
            </w:r>
            <w:r w:rsidRPr="00021DD2">
              <w:t xml:space="preserve"> University of New South Wales</w:t>
            </w:r>
          </w:p>
          <w:p w:rsidR="00153F1C" w:rsidRPr="00021DD2" w:rsidRDefault="00153F1C" w:rsidP="00B934D7">
            <w:pPr>
              <w:pStyle w:val="Paragrafoelenco"/>
              <w:numPr>
                <w:ilvl w:val="0"/>
                <w:numId w:val="48"/>
              </w:numPr>
              <w:spacing w:before="0" w:after="0"/>
              <w:jc w:val="left"/>
            </w:pPr>
            <w:r w:rsidRPr="00021DD2">
              <w:t>Associate Professor Stephanie Taplin, Institute of Child Protection Studies, Australian Catholic University</w:t>
            </w:r>
          </w:p>
          <w:p w:rsidR="00153F1C" w:rsidRPr="00021DD2" w:rsidRDefault="00153F1C" w:rsidP="00B934D7">
            <w:pPr>
              <w:pStyle w:val="Paragrafoelenco"/>
              <w:numPr>
                <w:ilvl w:val="0"/>
                <w:numId w:val="48"/>
              </w:numPr>
              <w:spacing w:before="0" w:after="0"/>
              <w:jc w:val="left"/>
            </w:pPr>
            <w:r w:rsidRPr="00021DD2">
              <w:t>Kelly Tallon, Senior Policy Advisor, NSW Advocate for Children and Young People</w:t>
            </w:r>
          </w:p>
          <w:p w:rsidR="00153F1C" w:rsidRPr="00021DD2" w:rsidRDefault="00153F1C" w:rsidP="00B934D7">
            <w:pPr>
              <w:pStyle w:val="Paragrafoelenco"/>
              <w:numPr>
                <w:ilvl w:val="0"/>
                <w:numId w:val="48"/>
              </w:numPr>
              <w:spacing w:before="0" w:after="0"/>
              <w:jc w:val="left"/>
            </w:pPr>
            <w:r w:rsidRPr="00021DD2">
              <w:t>Liana Porihis, Program Coordinator, Settlement Services International LTD</w:t>
            </w:r>
          </w:p>
          <w:p w:rsidR="00153F1C" w:rsidRPr="00021DD2" w:rsidRDefault="00153F1C" w:rsidP="00B934D7">
            <w:pPr>
              <w:pStyle w:val="Paragrafoelenco"/>
              <w:numPr>
                <w:ilvl w:val="0"/>
                <w:numId w:val="48"/>
              </w:numPr>
              <w:spacing w:before="0" w:after="0"/>
              <w:jc w:val="left"/>
            </w:pPr>
            <w:r w:rsidRPr="00021DD2">
              <w:t>Farah Sulaiman, Parents Next Coordinator, Settlement Services International LTD</w:t>
            </w:r>
          </w:p>
          <w:p w:rsidR="00153F1C" w:rsidRPr="00021DD2" w:rsidRDefault="00153F1C" w:rsidP="00B934D7">
            <w:pPr>
              <w:pStyle w:val="Paragrafoelenco"/>
              <w:numPr>
                <w:ilvl w:val="0"/>
                <w:numId w:val="48"/>
              </w:numPr>
              <w:spacing w:before="0" w:after="0"/>
              <w:jc w:val="left"/>
            </w:pPr>
            <w:r w:rsidRPr="00021DD2">
              <w:t>Kim Huckerby, Program Director, Raise</w:t>
            </w:r>
          </w:p>
          <w:p w:rsidR="00153F1C" w:rsidRPr="00021DD2" w:rsidRDefault="00153F1C" w:rsidP="00B934D7">
            <w:pPr>
              <w:pStyle w:val="Paragrafoelenco"/>
              <w:numPr>
                <w:ilvl w:val="0"/>
                <w:numId w:val="48"/>
              </w:numPr>
              <w:spacing w:before="0" w:after="0"/>
              <w:jc w:val="left"/>
            </w:pPr>
            <w:r w:rsidRPr="00021DD2">
              <w:t>Sophie Mackey, Acting Community Services Manager, Australian Red Cross</w:t>
            </w:r>
          </w:p>
          <w:p w:rsidR="00153F1C" w:rsidRPr="00021DD2" w:rsidRDefault="00153F1C" w:rsidP="00B934D7">
            <w:pPr>
              <w:pStyle w:val="Paragrafoelenco"/>
              <w:numPr>
                <w:ilvl w:val="0"/>
                <w:numId w:val="48"/>
              </w:numPr>
              <w:spacing w:before="0" w:after="0"/>
              <w:jc w:val="left"/>
            </w:pPr>
            <w:r w:rsidRPr="00021DD2">
              <w:t>Kelly Raines, Aftercare Team Leader, Australian Red Cross</w:t>
            </w:r>
          </w:p>
          <w:p w:rsidR="00153F1C" w:rsidRPr="00021DD2" w:rsidRDefault="00153F1C" w:rsidP="00B934D7">
            <w:pPr>
              <w:pStyle w:val="Paragrafoelenco"/>
              <w:numPr>
                <w:ilvl w:val="0"/>
                <w:numId w:val="48"/>
              </w:numPr>
              <w:spacing w:before="0" w:after="0"/>
              <w:jc w:val="left"/>
            </w:pPr>
            <w:r w:rsidRPr="00021DD2">
              <w:t>Dr Jennifer St George, Senior Lecturer, Family Action Centre, University of Newcastle</w:t>
            </w:r>
          </w:p>
          <w:p w:rsidR="00153F1C" w:rsidRPr="00021DD2" w:rsidRDefault="00153F1C" w:rsidP="00B934D7">
            <w:pPr>
              <w:pStyle w:val="Paragrafoelenco"/>
              <w:numPr>
                <w:ilvl w:val="0"/>
                <w:numId w:val="48"/>
              </w:numPr>
              <w:spacing w:before="0" w:after="0"/>
              <w:jc w:val="left"/>
            </w:pPr>
            <w:r w:rsidRPr="00021DD2">
              <w:t>Andrew McCallum, CEO, Association of Children’s Welfare Agencies</w:t>
            </w:r>
          </w:p>
          <w:p w:rsidR="00153F1C" w:rsidRPr="00021DD2" w:rsidRDefault="00153F1C" w:rsidP="00B934D7">
            <w:pPr>
              <w:pStyle w:val="Paragrafoelenco"/>
              <w:numPr>
                <w:ilvl w:val="0"/>
                <w:numId w:val="48"/>
              </w:numPr>
              <w:spacing w:before="0" w:after="0"/>
              <w:jc w:val="left"/>
            </w:pPr>
            <w:r w:rsidRPr="00021DD2">
              <w:t>Dr Mary Stewart, Senior Medical Officer, Family Planning NSW</w:t>
            </w:r>
          </w:p>
        </w:tc>
        <w:tc>
          <w:tcPr>
            <w:tcW w:w="1294" w:type="dxa"/>
          </w:tcPr>
          <w:p w:rsidR="00153F1C" w:rsidRPr="00021DD2" w:rsidRDefault="00153F1C" w:rsidP="00153F1C">
            <w:pPr>
              <w:spacing w:before="0" w:after="0"/>
              <w:rPr>
                <w:rFonts w:cs="Arial"/>
              </w:rPr>
            </w:pPr>
            <w:r w:rsidRPr="00021DD2">
              <w:rPr>
                <w:rFonts w:cs="Arial"/>
              </w:rPr>
              <w:t>Sydney, NSW</w:t>
            </w:r>
          </w:p>
        </w:tc>
      </w:tr>
      <w:tr w:rsidR="00153F1C" w:rsidRPr="00021DD2" w:rsidTr="000A5502">
        <w:trPr>
          <w:trHeight w:val="1465"/>
        </w:trPr>
        <w:tc>
          <w:tcPr>
            <w:tcW w:w="1418" w:type="dxa"/>
          </w:tcPr>
          <w:p w:rsidR="00153F1C" w:rsidRPr="00021DD2" w:rsidRDefault="00153F1C" w:rsidP="00153F1C">
            <w:pPr>
              <w:spacing w:before="0" w:after="0"/>
              <w:rPr>
                <w:rFonts w:cs="Arial"/>
              </w:rPr>
            </w:pPr>
            <w:r w:rsidRPr="00021DD2">
              <w:rPr>
                <w:rFonts w:cs="Arial"/>
              </w:rPr>
              <w:t>20.06.2017</w:t>
            </w:r>
          </w:p>
        </w:tc>
        <w:tc>
          <w:tcPr>
            <w:tcW w:w="6232" w:type="dxa"/>
          </w:tcPr>
          <w:p w:rsidR="00153F1C" w:rsidRPr="00021DD2" w:rsidRDefault="00153F1C" w:rsidP="00153F1C">
            <w:pPr>
              <w:spacing w:before="0" w:after="0"/>
              <w:rPr>
                <w:rFonts w:cs="Arial"/>
              </w:rPr>
            </w:pPr>
            <w:r w:rsidRPr="00021DD2">
              <w:rPr>
                <w:rFonts w:cs="Arial"/>
                <w:b/>
              </w:rPr>
              <w:t>Perth</w:t>
            </w:r>
            <w:r w:rsidRPr="00021DD2">
              <w:rPr>
                <w:rFonts w:cs="Arial"/>
              </w:rPr>
              <w:t xml:space="preserve"> roundtable participants: </w:t>
            </w:r>
          </w:p>
          <w:p w:rsidR="00153F1C" w:rsidRPr="00021DD2" w:rsidRDefault="00153F1C" w:rsidP="00B934D7">
            <w:pPr>
              <w:pStyle w:val="Paragrafoelenco"/>
              <w:numPr>
                <w:ilvl w:val="0"/>
                <w:numId w:val="50"/>
              </w:numPr>
              <w:spacing w:before="0" w:after="0"/>
              <w:jc w:val="left"/>
            </w:pPr>
            <w:r w:rsidRPr="00021DD2">
              <w:t>Tracey Hawker, Program Manager, South Metropolitan Youth Link</w:t>
            </w:r>
          </w:p>
          <w:p w:rsidR="00153F1C" w:rsidRPr="00021DD2" w:rsidRDefault="00153F1C" w:rsidP="00B934D7">
            <w:pPr>
              <w:pStyle w:val="Paragrafoelenco"/>
              <w:numPr>
                <w:ilvl w:val="0"/>
                <w:numId w:val="50"/>
              </w:numPr>
              <w:spacing w:before="0" w:after="0"/>
              <w:jc w:val="left"/>
            </w:pPr>
            <w:r w:rsidRPr="00021DD2">
              <w:t>Tamika Cope, Eyes Wide Open</w:t>
            </w:r>
          </w:p>
          <w:p w:rsidR="00153F1C" w:rsidRPr="00021DD2" w:rsidRDefault="00153F1C" w:rsidP="00B934D7">
            <w:pPr>
              <w:pStyle w:val="Paragrafoelenco"/>
              <w:numPr>
                <w:ilvl w:val="0"/>
                <w:numId w:val="50"/>
              </w:numPr>
              <w:spacing w:before="0" w:after="0"/>
              <w:jc w:val="left"/>
            </w:pPr>
            <w:r w:rsidRPr="00021DD2">
              <w:t>Amy McDonald, Eyes Wide Open</w:t>
            </w:r>
          </w:p>
          <w:p w:rsidR="00153F1C" w:rsidRPr="00021DD2" w:rsidRDefault="00153F1C" w:rsidP="00B934D7">
            <w:pPr>
              <w:pStyle w:val="Paragrafoelenco"/>
              <w:numPr>
                <w:ilvl w:val="0"/>
                <w:numId w:val="50"/>
              </w:numPr>
              <w:spacing w:before="0" w:after="0"/>
              <w:jc w:val="left"/>
            </w:pPr>
            <w:r w:rsidRPr="00021DD2">
              <w:t>Be Westbrook, Executive Officer, Peel Youth Services</w:t>
            </w:r>
          </w:p>
          <w:p w:rsidR="00153F1C" w:rsidRPr="00021DD2" w:rsidRDefault="00153F1C" w:rsidP="00B934D7">
            <w:pPr>
              <w:pStyle w:val="Paragrafoelenco"/>
              <w:numPr>
                <w:ilvl w:val="0"/>
                <w:numId w:val="50"/>
              </w:numPr>
              <w:spacing w:before="0" w:after="0"/>
              <w:jc w:val="left"/>
            </w:pPr>
            <w:r w:rsidRPr="00021DD2">
              <w:t xml:space="preserve">Associate Professor Gabrielle Brand, Faculty of Health and Medical Sciences, University of Western Australia </w:t>
            </w:r>
          </w:p>
          <w:p w:rsidR="00153F1C" w:rsidRPr="00021DD2" w:rsidRDefault="00153F1C" w:rsidP="00B934D7">
            <w:pPr>
              <w:pStyle w:val="Paragrafoelenco"/>
              <w:numPr>
                <w:ilvl w:val="0"/>
                <w:numId w:val="50"/>
              </w:numPr>
              <w:spacing w:before="0" w:after="0"/>
              <w:jc w:val="left"/>
            </w:pPr>
            <w:r w:rsidRPr="00021DD2">
              <w:t>Fiona Mort, Director, Office for Women</w:t>
            </w:r>
          </w:p>
          <w:p w:rsidR="00153F1C" w:rsidRPr="00021DD2" w:rsidRDefault="00153F1C" w:rsidP="00B934D7">
            <w:pPr>
              <w:pStyle w:val="Paragrafoelenco"/>
              <w:numPr>
                <w:ilvl w:val="0"/>
                <w:numId w:val="50"/>
              </w:numPr>
              <w:spacing w:before="0" w:after="0"/>
              <w:jc w:val="left"/>
            </w:pPr>
            <w:r w:rsidRPr="00021DD2">
              <w:t>Michelle Every Evans, Young Parent Support Coordinator, Anglicare WA</w:t>
            </w:r>
          </w:p>
          <w:p w:rsidR="00153F1C" w:rsidRPr="00021DD2" w:rsidRDefault="00153F1C" w:rsidP="00B934D7">
            <w:pPr>
              <w:pStyle w:val="Paragrafoelenco"/>
              <w:numPr>
                <w:ilvl w:val="0"/>
                <w:numId w:val="50"/>
              </w:numPr>
              <w:spacing w:before="0" w:after="0"/>
              <w:jc w:val="left"/>
            </w:pPr>
            <w:r w:rsidRPr="00021DD2">
              <w:t>Katherine Brown, Principal Policy Officer, Commission for Children and Young People WA</w:t>
            </w:r>
          </w:p>
          <w:p w:rsidR="00153F1C" w:rsidRPr="00021DD2" w:rsidRDefault="00231B71" w:rsidP="00B934D7">
            <w:pPr>
              <w:pStyle w:val="Paragrafoelenco"/>
              <w:numPr>
                <w:ilvl w:val="0"/>
                <w:numId w:val="50"/>
              </w:numPr>
              <w:spacing w:before="0" w:after="0"/>
              <w:jc w:val="left"/>
            </w:pPr>
            <w:r w:rsidRPr="00021DD2">
              <w:t>Ranil Ratnayeke, Senior Policy and Conciliation Officer</w:t>
            </w:r>
            <w:r w:rsidR="00153F1C" w:rsidRPr="00021DD2">
              <w:t xml:space="preserve">, Equal Opportunity </w:t>
            </w:r>
            <w:r w:rsidRPr="00021DD2">
              <w:t>Commission</w:t>
            </w:r>
            <w:r w:rsidR="00153F1C" w:rsidRPr="00021DD2">
              <w:t xml:space="preserve"> </w:t>
            </w:r>
          </w:p>
          <w:p w:rsidR="00153F1C" w:rsidRPr="00021DD2" w:rsidRDefault="00153F1C" w:rsidP="00B934D7">
            <w:pPr>
              <w:pStyle w:val="Paragrafoelenco"/>
              <w:numPr>
                <w:ilvl w:val="0"/>
                <w:numId w:val="50"/>
              </w:numPr>
              <w:spacing w:before="0" w:after="0"/>
              <w:jc w:val="left"/>
            </w:pPr>
            <w:r w:rsidRPr="00021DD2">
              <w:t>Professor Cate Taylor, Senior Principal Research Fellow/Co-Head, Telethon KIDS Institute</w:t>
            </w:r>
          </w:p>
          <w:p w:rsidR="00153F1C" w:rsidRPr="00021DD2" w:rsidRDefault="00153F1C" w:rsidP="00B934D7">
            <w:pPr>
              <w:pStyle w:val="Paragrafoelenco"/>
              <w:numPr>
                <w:ilvl w:val="0"/>
                <w:numId w:val="50"/>
              </w:numPr>
              <w:spacing w:before="0" w:after="0"/>
              <w:jc w:val="left"/>
            </w:pPr>
            <w:r w:rsidRPr="00021DD2">
              <w:t>Shannon, young mother</w:t>
            </w:r>
            <w:r w:rsidRPr="00021DD2">
              <w:br/>
            </w:r>
          </w:p>
        </w:tc>
        <w:tc>
          <w:tcPr>
            <w:tcW w:w="1294" w:type="dxa"/>
          </w:tcPr>
          <w:p w:rsidR="00153F1C" w:rsidRPr="00021DD2" w:rsidRDefault="00153F1C" w:rsidP="00153F1C">
            <w:pPr>
              <w:spacing w:before="0" w:after="0"/>
              <w:rPr>
                <w:rFonts w:cs="Arial"/>
              </w:rPr>
            </w:pPr>
            <w:r w:rsidRPr="00021DD2">
              <w:rPr>
                <w:rFonts w:cs="Arial"/>
              </w:rPr>
              <w:t>Perth, WA</w:t>
            </w:r>
          </w:p>
        </w:tc>
      </w:tr>
      <w:tr w:rsidR="00153F1C" w:rsidRPr="00021DD2" w:rsidTr="000A5502">
        <w:trPr>
          <w:trHeight w:val="1691"/>
        </w:trPr>
        <w:tc>
          <w:tcPr>
            <w:tcW w:w="1418" w:type="dxa"/>
          </w:tcPr>
          <w:p w:rsidR="00153F1C" w:rsidRPr="00021DD2" w:rsidRDefault="00153F1C" w:rsidP="00153F1C">
            <w:pPr>
              <w:spacing w:before="0" w:after="0"/>
              <w:rPr>
                <w:rFonts w:cs="Arial"/>
              </w:rPr>
            </w:pPr>
            <w:r w:rsidRPr="00021DD2">
              <w:rPr>
                <w:rFonts w:cs="Arial"/>
              </w:rPr>
              <w:t>30.06.2017</w:t>
            </w:r>
          </w:p>
        </w:tc>
        <w:tc>
          <w:tcPr>
            <w:tcW w:w="6232" w:type="dxa"/>
          </w:tcPr>
          <w:p w:rsidR="00153F1C" w:rsidRPr="00021DD2" w:rsidRDefault="00153F1C" w:rsidP="00153F1C">
            <w:pPr>
              <w:spacing w:before="0" w:after="0"/>
              <w:rPr>
                <w:rFonts w:cs="Arial"/>
              </w:rPr>
            </w:pPr>
            <w:r w:rsidRPr="00021DD2">
              <w:rPr>
                <w:rFonts w:cs="Arial"/>
                <w:b/>
              </w:rPr>
              <w:t>Melbourne</w:t>
            </w:r>
            <w:r w:rsidRPr="00021DD2">
              <w:rPr>
                <w:rFonts w:cs="Arial"/>
              </w:rPr>
              <w:t xml:space="preserve"> roundtable participants: </w:t>
            </w:r>
          </w:p>
          <w:p w:rsidR="00153F1C" w:rsidRPr="00021DD2" w:rsidRDefault="00153F1C" w:rsidP="00B934D7">
            <w:pPr>
              <w:pStyle w:val="Paragrafoelenco"/>
              <w:numPr>
                <w:ilvl w:val="0"/>
                <w:numId w:val="51"/>
              </w:numPr>
              <w:spacing w:before="0" w:after="0"/>
              <w:jc w:val="left"/>
            </w:pPr>
            <w:r w:rsidRPr="00021DD2">
              <w:t>Anne Webster, Executive Director, Zoe Support</w:t>
            </w:r>
          </w:p>
          <w:p w:rsidR="00153F1C" w:rsidRPr="00021DD2" w:rsidRDefault="00153F1C" w:rsidP="00B934D7">
            <w:pPr>
              <w:pStyle w:val="Paragrafoelenco"/>
              <w:numPr>
                <w:ilvl w:val="0"/>
                <w:numId w:val="51"/>
              </w:numPr>
              <w:spacing w:before="0" w:after="0"/>
              <w:jc w:val="left"/>
            </w:pPr>
            <w:r w:rsidRPr="00021DD2">
              <w:t>Professor Danielle Mazza, Head of Department of General Practice, Monash University</w:t>
            </w:r>
          </w:p>
          <w:p w:rsidR="00153F1C" w:rsidRPr="00021DD2" w:rsidRDefault="00153F1C" w:rsidP="00B934D7">
            <w:pPr>
              <w:pStyle w:val="Paragrafoelenco"/>
              <w:numPr>
                <w:ilvl w:val="0"/>
                <w:numId w:val="51"/>
              </w:numPr>
              <w:spacing w:before="0" w:after="0"/>
              <w:jc w:val="left"/>
            </w:pPr>
            <w:r w:rsidRPr="00021DD2">
              <w:t>Dr Ha Vu, Senior Fellow, Department of Economics, Deakin University</w:t>
            </w:r>
          </w:p>
          <w:p w:rsidR="00153F1C" w:rsidRPr="00021DD2" w:rsidRDefault="00153F1C" w:rsidP="00B934D7">
            <w:pPr>
              <w:pStyle w:val="Paragrafoelenco"/>
              <w:numPr>
                <w:ilvl w:val="0"/>
                <w:numId w:val="51"/>
              </w:numPr>
              <w:spacing w:before="0" w:after="0"/>
              <w:jc w:val="left"/>
            </w:pPr>
            <w:r w:rsidRPr="00021DD2">
              <w:t>Daryl Higgins, Director, Institute of Child Protection Studies</w:t>
            </w:r>
          </w:p>
          <w:p w:rsidR="00153F1C" w:rsidRPr="00021DD2" w:rsidRDefault="00153F1C" w:rsidP="00B934D7">
            <w:pPr>
              <w:pStyle w:val="Paragrafoelenco"/>
              <w:numPr>
                <w:ilvl w:val="0"/>
                <w:numId w:val="51"/>
              </w:numPr>
              <w:spacing w:before="0" w:after="0"/>
              <w:jc w:val="left"/>
            </w:pPr>
            <w:r w:rsidRPr="00021DD2">
              <w:t>Professor Guyonne Kalb, Melbourne Institute of Applied Economic and Social Research, University of Melbourne</w:t>
            </w:r>
          </w:p>
          <w:p w:rsidR="00153F1C" w:rsidRPr="00021DD2" w:rsidRDefault="00153F1C" w:rsidP="00B934D7">
            <w:pPr>
              <w:pStyle w:val="Paragrafoelenco"/>
              <w:numPr>
                <w:ilvl w:val="0"/>
                <w:numId w:val="51"/>
              </w:numPr>
              <w:spacing w:before="0" w:after="0"/>
              <w:jc w:val="left"/>
            </w:pPr>
            <w:r w:rsidRPr="00021DD2">
              <w:t>Allison Levinson, Brave Foundation</w:t>
            </w:r>
          </w:p>
          <w:p w:rsidR="00153F1C" w:rsidRPr="00021DD2" w:rsidRDefault="00153F1C" w:rsidP="00B934D7">
            <w:pPr>
              <w:pStyle w:val="Paragrafoelenco"/>
              <w:numPr>
                <w:ilvl w:val="0"/>
                <w:numId w:val="51"/>
              </w:numPr>
              <w:spacing w:before="0" w:after="0"/>
              <w:jc w:val="left"/>
            </w:pPr>
            <w:r w:rsidRPr="00021DD2">
              <w:t>Jan Marshall, Manager, Canberra College Cares Program</w:t>
            </w:r>
          </w:p>
          <w:p w:rsidR="00153F1C" w:rsidRPr="00021DD2" w:rsidRDefault="00153F1C" w:rsidP="00B934D7">
            <w:pPr>
              <w:pStyle w:val="Paragrafoelenco"/>
              <w:numPr>
                <w:ilvl w:val="0"/>
                <w:numId w:val="51"/>
              </w:numPr>
              <w:spacing w:before="0" w:after="0"/>
              <w:jc w:val="left"/>
            </w:pPr>
            <w:r w:rsidRPr="00021DD2">
              <w:t>Trish McClusky, Berry Street</w:t>
            </w:r>
          </w:p>
          <w:p w:rsidR="00153F1C" w:rsidRPr="00021DD2" w:rsidRDefault="00153F1C" w:rsidP="00B934D7">
            <w:pPr>
              <w:pStyle w:val="Paragrafoelenco"/>
              <w:numPr>
                <w:ilvl w:val="0"/>
                <w:numId w:val="51"/>
              </w:numPr>
              <w:spacing w:before="0" w:after="0"/>
              <w:jc w:val="left"/>
            </w:pPr>
            <w:r w:rsidRPr="00021DD2">
              <w:t>Dr Susan Nicolson, Senior Medical Staff, Royal Women’s Hospital</w:t>
            </w:r>
          </w:p>
          <w:p w:rsidR="00153F1C" w:rsidRPr="00021DD2" w:rsidRDefault="00153F1C" w:rsidP="00B934D7">
            <w:pPr>
              <w:pStyle w:val="Paragrafoelenco"/>
              <w:numPr>
                <w:ilvl w:val="0"/>
                <w:numId w:val="51"/>
              </w:numPr>
              <w:spacing w:before="0" w:after="0"/>
              <w:jc w:val="left"/>
            </w:pPr>
            <w:r w:rsidRPr="00021DD2">
              <w:t>Tracey Kamp, Manager for Homelessness Services, HYPA</w:t>
            </w:r>
          </w:p>
          <w:p w:rsidR="00153F1C" w:rsidRPr="00021DD2" w:rsidRDefault="00153F1C" w:rsidP="00B934D7">
            <w:pPr>
              <w:pStyle w:val="Paragrafoelenco"/>
              <w:numPr>
                <w:ilvl w:val="0"/>
                <w:numId w:val="51"/>
              </w:numPr>
              <w:spacing w:before="0" w:after="0"/>
              <w:jc w:val="left"/>
            </w:pPr>
            <w:r w:rsidRPr="00021DD2">
              <w:t>Liz O’Connell, Director for Young People and Practice, HYPA</w:t>
            </w:r>
          </w:p>
          <w:p w:rsidR="00153F1C" w:rsidRPr="00021DD2" w:rsidRDefault="00153F1C" w:rsidP="00B934D7">
            <w:pPr>
              <w:pStyle w:val="Paragrafoelenco"/>
              <w:numPr>
                <w:ilvl w:val="0"/>
                <w:numId w:val="51"/>
              </w:numPr>
              <w:spacing w:before="0" w:after="0"/>
              <w:jc w:val="left"/>
            </w:pPr>
            <w:r w:rsidRPr="00021DD2">
              <w:t>Helen Foord, Young Parents Program Coordinator, Diversitat Youth</w:t>
            </w:r>
          </w:p>
          <w:p w:rsidR="00153F1C" w:rsidRPr="00021DD2" w:rsidRDefault="00153F1C" w:rsidP="00B934D7">
            <w:pPr>
              <w:pStyle w:val="Paragrafoelenco"/>
              <w:numPr>
                <w:ilvl w:val="0"/>
                <w:numId w:val="51"/>
              </w:numPr>
              <w:spacing w:before="0" w:after="0"/>
              <w:jc w:val="left"/>
            </w:pPr>
            <w:r w:rsidRPr="00021DD2">
              <w:t>Jade Purtell, Monash University</w:t>
            </w:r>
          </w:p>
          <w:p w:rsidR="00153F1C" w:rsidRPr="00021DD2" w:rsidRDefault="00153F1C" w:rsidP="00B934D7">
            <w:pPr>
              <w:pStyle w:val="Paragrafoelenco"/>
              <w:numPr>
                <w:ilvl w:val="0"/>
                <w:numId w:val="51"/>
              </w:numPr>
              <w:spacing w:before="0" w:after="0"/>
              <w:jc w:val="left"/>
            </w:pPr>
            <w:r w:rsidRPr="00021DD2">
              <w:t>Jo Norton, Executive Committee Member, Genesis Pregnancy Support</w:t>
            </w:r>
          </w:p>
          <w:p w:rsidR="00153F1C" w:rsidRPr="00021DD2" w:rsidRDefault="00153F1C" w:rsidP="00B934D7">
            <w:pPr>
              <w:pStyle w:val="Paragrafoelenco"/>
              <w:numPr>
                <w:ilvl w:val="0"/>
                <w:numId w:val="51"/>
              </w:numPr>
              <w:spacing w:before="0" w:after="0"/>
              <w:jc w:val="left"/>
            </w:pPr>
            <w:r w:rsidRPr="00021DD2">
              <w:t>Claire Vissenga, CEO, Family Planning Victoria</w:t>
            </w:r>
          </w:p>
          <w:p w:rsidR="00153F1C" w:rsidRPr="00021DD2" w:rsidRDefault="00153F1C" w:rsidP="00B934D7">
            <w:pPr>
              <w:pStyle w:val="Paragrafoelenco"/>
              <w:numPr>
                <w:ilvl w:val="0"/>
                <w:numId w:val="51"/>
              </w:numPr>
              <w:spacing w:before="0" w:after="0"/>
              <w:jc w:val="left"/>
            </w:pPr>
            <w:r w:rsidRPr="00021DD2">
              <w:t>Dr Julie Green, Executive Director, Raising Children Network</w:t>
            </w:r>
          </w:p>
          <w:p w:rsidR="00153F1C" w:rsidRPr="00021DD2" w:rsidRDefault="00153F1C" w:rsidP="00B934D7">
            <w:pPr>
              <w:pStyle w:val="Paragrafoelenco"/>
              <w:numPr>
                <w:ilvl w:val="0"/>
                <w:numId w:val="51"/>
              </w:numPr>
              <w:spacing w:before="0" w:after="0"/>
              <w:jc w:val="left"/>
            </w:pPr>
            <w:r w:rsidRPr="00021DD2">
              <w:t>Shandelle Elmer, Chairperson, Karinya Young Women’s Service</w:t>
            </w:r>
          </w:p>
          <w:p w:rsidR="00153F1C" w:rsidRPr="00021DD2" w:rsidRDefault="00153F1C" w:rsidP="00B934D7">
            <w:pPr>
              <w:pStyle w:val="Paragrafoelenco"/>
              <w:numPr>
                <w:ilvl w:val="0"/>
                <w:numId w:val="51"/>
              </w:numPr>
              <w:spacing w:before="0" w:after="0"/>
              <w:jc w:val="left"/>
            </w:pPr>
            <w:r w:rsidRPr="00021DD2">
              <w:t>Kylie Warren, Case Manager, Karinya Young Women’s Service</w:t>
            </w:r>
          </w:p>
          <w:p w:rsidR="00153F1C" w:rsidRPr="00021DD2" w:rsidRDefault="00153F1C" w:rsidP="00B934D7">
            <w:pPr>
              <w:pStyle w:val="Paragrafoelenco"/>
              <w:numPr>
                <w:ilvl w:val="0"/>
                <w:numId w:val="51"/>
              </w:numPr>
              <w:spacing w:before="0" w:after="0"/>
              <w:jc w:val="left"/>
            </w:pPr>
            <w:r w:rsidRPr="00021DD2">
              <w:t>Heidi Woodland, Case Manager, Karinya Young Women’s Service</w:t>
            </w:r>
          </w:p>
          <w:p w:rsidR="00153F1C" w:rsidRPr="00021DD2" w:rsidRDefault="00153F1C" w:rsidP="00B934D7">
            <w:pPr>
              <w:pStyle w:val="Paragrafoelenco"/>
              <w:numPr>
                <w:ilvl w:val="0"/>
                <w:numId w:val="51"/>
              </w:numPr>
              <w:spacing w:before="0" w:after="0"/>
              <w:jc w:val="left"/>
            </w:pPr>
            <w:r w:rsidRPr="00021DD2">
              <w:t>Sue West, Associate Director, Centre for Community Child Health, The Royal Children’s Hospital</w:t>
            </w:r>
          </w:p>
          <w:p w:rsidR="00153F1C" w:rsidRPr="00021DD2" w:rsidRDefault="00153F1C" w:rsidP="00B934D7">
            <w:pPr>
              <w:pStyle w:val="Paragrafoelenco"/>
              <w:numPr>
                <w:ilvl w:val="0"/>
                <w:numId w:val="51"/>
              </w:numPr>
              <w:spacing w:before="0" w:after="0"/>
              <w:jc w:val="left"/>
            </w:pPr>
            <w:r w:rsidRPr="00021DD2">
              <w:t>Sarah Kanai, Deputy Programs Director, Healing Foundation</w:t>
            </w:r>
          </w:p>
          <w:p w:rsidR="00153F1C" w:rsidRPr="00021DD2" w:rsidRDefault="00153F1C" w:rsidP="00B934D7">
            <w:pPr>
              <w:pStyle w:val="Paragrafoelenco"/>
              <w:numPr>
                <w:ilvl w:val="0"/>
                <w:numId w:val="51"/>
              </w:numPr>
              <w:spacing w:before="0" w:after="0"/>
              <w:jc w:val="left"/>
            </w:pPr>
            <w:r w:rsidRPr="00021DD2">
              <w:t>Lisa Hillan, Program Director, Healing Foundation</w:t>
            </w:r>
          </w:p>
          <w:p w:rsidR="00153F1C" w:rsidRPr="00021DD2" w:rsidRDefault="00153F1C" w:rsidP="00B934D7">
            <w:pPr>
              <w:pStyle w:val="Paragrafoelenco"/>
              <w:numPr>
                <w:ilvl w:val="0"/>
                <w:numId w:val="51"/>
              </w:numPr>
              <w:spacing w:before="0" w:after="0"/>
              <w:jc w:val="left"/>
            </w:pPr>
            <w:r w:rsidRPr="00021DD2">
              <w:t>Kelly Hand, Acting Deputy Director, Australian Institute of Family Studies</w:t>
            </w:r>
          </w:p>
        </w:tc>
        <w:tc>
          <w:tcPr>
            <w:tcW w:w="1294" w:type="dxa"/>
          </w:tcPr>
          <w:p w:rsidR="00153F1C" w:rsidRPr="00021DD2" w:rsidRDefault="00153F1C" w:rsidP="00153F1C">
            <w:pPr>
              <w:spacing w:before="0" w:after="0"/>
              <w:rPr>
                <w:rFonts w:cs="Arial"/>
              </w:rPr>
            </w:pPr>
            <w:r w:rsidRPr="00021DD2">
              <w:rPr>
                <w:rFonts w:cs="Arial"/>
              </w:rPr>
              <w:t>Melbourne, VIC</w:t>
            </w:r>
          </w:p>
        </w:tc>
      </w:tr>
    </w:tbl>
    <w:p w:rsidR="00B97718" w:rsidRPr="00021DD2" w:rsidRDefault="00B97718" w:rsidP="00B63D24">
      <w:pPr>
        <w:rPr>
          <w:rFonts w:cs="Arial"/>
        </w:rPr>
        <w:sectPr w:rsidR="00B97718" w:rsidRPr="00021DD2" w:rsidSect="003716C0">
          <w:endnotePr>
            <w:numFmt w:val="decimal"/>
            <w:numRestart w:val="eachSect"/>
          </w:endnotePr>
          <w:pgSz w:w="11906" w:h="16838" w:code="9"/>
          <w:pgMar w:top="1134" w:right="1418" w:bottom="1134" w:left="1418" w:header="709" w:footer="709" w:gutter="0"/>
          <w:cols w:space="708"/>
          <w:docGrid w:linePitch="360"/>
        </w:sectPr>
      </w:pPr>
    </w:p>
    <w:p w:rsidR="00B97718" w:rsidRPr="00021DD2" w:rsidRDefault="00B97718" w:rsidP="00A35E93">
      <w:pPr>
        <w:pStyle w:val="Titolo6"/>
      </w:pPr>
      <w:bookmarkStart w:id="166" w:name="_Toc500308855"/>
      <w:r w:rsidRPr="00021DD2">
        <w:t xml:space="preserve">Workshop </w:t>
      </w:r>
      <w:r w:rsidRPr="001E2654">
        <w:t>consultations</w:t>
      </w:r>
      <w:r w:rsidRPr="00021DD2">
        <w:t xml:space="preserve"> with young parents</w:t>
      </w:r>
      <w:bookmarkEnd w:id="166"/>
    </w:p>
    <w:p w:rsidR="00B97718" w:rsidRPr="00021DD2" w:rsidRDefault="00B97718" w:rsidP="00B97718">
      <w:pPr>
        <w:spacing w:before="0" w:after="0"/>
        <w:rPr>
          <w:rFonts w:cs="Arial"/>
        </w:rPr>
      </w:pPr>
    </w:p>
    <w:tbl>
      <w:tblPr>
        <w:tblStyle w:val="Grigliatabella"/>
        <w:tblpPr w:leftFromText="180" w:rightFromText="180" w:vertAnchor="page" w:horzAnchor="margin" w:tblpY="2176"/>
        <w:tblW w:w="0" w:type="auto"/>
        <w:tblLook w:val="04A0" w:firstRow="1" w:lastRow="0" w:firstColumn="1" w:lastColumn="0" w:noHBand="0" w:noVBand="1"/>
      </w:tblPr>
      <w:tblGrid>
        <w:gridCol w:w="1696"/>
        <w:gridCol w:w="4820"/>
        <w:gridCol w:w="2544"/>
      </w:tblGrid>
      <w:tr w:rsidR="00B97718" w:rsidRPr="00021DD2" w:rsidTr="00B97718">
        <w:tc>
          <w:tcPr>
            <w:tcW w:w="1696" w:type="dxa"/>
          </w:tcPr>
          <w:p w:rsidR="00B97718" w:rsidRPr="00465FED" w:rsidRDefault="00B97718" w:rsidP="00465FED">
            <w:pPr>
              <w:rPr>
                <w:b/>
              </w:rPr>
            </w:pPr>
            <w:r w:rsidRPr="00465FED">
              <w:rPr>
                <w:b/>
              </w:rPr>
              <w:t>Date</w:t>
            </w:r>
          </w:p>
        </w:tc>
        <w:tc>
          <w:tcPr>
            <w:tcW w:w="4820" w:type="dxa"/>
          </w:tcPr>
          <w:p w:rsidR="00B97718" w:rsidRPr="00465FED" w:rsidRDefault="00B97718" w:rsidP="00465FED">
            <w:pPr>
              <w:rPr>
                <w:b/>
              </w:rPr>
            </w:pPr>
            <w:r w:rsidRPr="00465FED">
              <w:rPr>
                <w:b/>
              </w:rPr>
              <w:t>Consultation</w:t>
            </w:r>
          </w:p>
        </w:tc>
        <w:tc>
          <w:tcPr>
            <w:tcW w:w="2544" w:type="dxa"/>
          </w:tcPr>
          <w:p w:rsidR="00B97718" w:rsidRPr="00465FED" w:rsidRDefault="00B97718" w:rsidP="00465FED">
            <w:pPr>
              <w:rPr>
                <w:b/>
              </w:rPr>
            </w:pPr>
            <w:r w:rsidRPr="00465FED">
              <w:rPr>
                <w:b/>
              </w:rPr>
              <w:t>Location</w:t>
            </w:r>
          </w:p>
        </w:tc>
      </w:tr>
      <w:tr w:rsidR="00B97718" w:rsidRPr="00021DD2" w:rsidTr="00B97718">
        <w:tc>
          <w:tcPr>
            <w:tcW w:w="1696" w:type="dxa"/>
          </w:tcPr>
          <w:p w:rsidR="00B97718" w:rsidRPr="00021DD2" w:rsidRDefault="00B97718" w:rsidP="00B97718">
            <w:pPr>
              <w:spacing w:before="0" w:after="0"/>
              <w:rPr>
                <w:rFonts w:cs="Arial"/>
              </w:rPr>
            </w:pPr>
            <w:r w:rsidRPr="00021DD2">
              <w:rPr>
                <w:rFonts w:cs="Arial"/>
              </w:rPr>
              <w:t>17.03.</w:t>
            </w:r>
            <w:r w:rsidR="00550432">
              <w:rPr>
                <w:rFonts w:cs="Arial"/>
              </w:rPr>
              <w:t>20</w:t>
            </w:r>
            <w:r w:rsidRPr="00021DD2">
              <w:rPr>
                <w:rFonts w:cs="Arial"/>
              </w:rPr>
              <w:t>17</w:t>
            </w:r>
          </w:p>
        </w:tc>
        <w:tc>
          <w:tcPr>
            <w:tcW w:w="4820" w:type="dxa"/>
          </w:tcPr>
          <w:p w:rsidR="00B97718" w:rsidRPr="00021DD2" w:rsidRDefault="00B97718" w:rsidP="00B97718">
            <w:pPr>
              <w:spacing w:before="0" w:after="0"/>
              <w:rPr>
                <w:rFonts w:cs="Arial"/>
              </w:rPr>
            </w:pPr>
            <w:r w:rsidRPr="00021DD2">
              <w:rPr>
                <w:rFonts w:cs="Arial"/>
              </w:rPr>
              <w:t>Australian Red Cross Young Parents Program</w:t>
            </w:r>
          </w:p>
        </w:tc>
        <w:tc>
          <w:tcPr>
            <w:tcW w:w="2544" w:type="dxa"/>
          </w:tcPr>
          <w:p w:rsidR="00B97718" w:rsidRPr="00021DD2" w:rsidRDefault="00B97718" w:rsidP="00B97718">
            <w:pPr>
              <w:spacing w:before="0" w:after="0"/>
              <w:rPr>
                <w:rFonts w:cs="Arial"/>
              </w:rPr>
            </w:pPr>
            <w:r w:rsidRPr="00021DD2">
              <w:rPr>
                <w:rFonts w:cs="Arial"/>
              </w:rPr>
              <w:t>Randwick, NSW</w:t>
            </w:r>
          </w:p>
        </w:tc>
      </w:tr>
      <w:tr w:rsidR="00B97718" w:rsidRPr="00021DD2" w:rsidTr="00B97718">
        <w:trPr>
          <w:trHeight w:val="547"/>
        </w:trPr>
        <w:tc>
          <w:tcPr>
            <w:tcW w:w="1696" w:type="dxa"/>
          </w:tcPr>
          <w:p w:rsidR="00B97718" w:rsidRPr="00021DD2" w:rsidRDefault="00B97718" w:rsidP="00B97718">
            <w:pPr>
              <w:spacing w:before="0" w:after="0"/>
              <w:rPr>
                <w:rFonts w:cs="Arial"/>
              </w:rPr>
            </w:pPr>
            <w:r w:rsidRPr="00021DD2">
              <w:rPr>
                <w:rFonts w:cs="Arial"/>
              </w:rPr>
              <w:t>22.03.</w:t>
            </w:r>
            <w:r w:rsidR="00550432">
              <w:rPr>
                <w:rFonts w:cs="Arial"/>
              </w:rPr>
              <w:t>20</w:t>
            </w:r>
            <w:r w:rsidRPr="00021DD2">
              <w:rPr>
                <w:rFonts w:cs="Arial"/>
              </w:rPr>
              <w:t>17</w:t>
            </w:r>
          </w:p>
        </w:tc>
        <w:tc>
          <w:tcPr>
            <w:tcW w:w="4820" w:type="dxa"/>
          </w:tcPr>
          <w:p w:rsidR="00B97718" w:rsidRPr="00021DD2" w:rsidRDefault="00B97718" w:rsidP="00B97718">
            <w:pPr>
              <w:spacing w:before="0" w:after="0"/>
              <w:rPr>
                <w:rFonts w:cs="Arial"/>
              </w:rPr>
            </w:pPr>
            <w:r w:rsidRPr="00021DD2">
              <w:rPr>
                <w:rFonts w:cs="Arial"/>
              </w:rPr>
              <w:t>Nobody’s Fool Theatre</w:t>
            </w:r>
          </w:p>
        </w:tc>
        <w:tc>
          <w:tcPr>
            <w:tcW w:w="2544" w:type="dxa"/>
          </w:tcPr>
          <w:p w:rsidR="00B97718" w:rsidRPr="00021DD2" w:rsidRDefault="00B97718" w:rsidP="00B97718">
            <w:pPr>
              <w:spacing w:before="0" w:after="0"/>
              <w:rPr>
                <w:rFonts w:cs="Arial"/>
              </w:rPr>
            </w:pPr>
            <w:r w:rsidRPr="00021DD2">
              <w:rPr>
                <w:rFonts w:cs="Arial"/>
              </w:rPr>
              <w:t>Geelong, VIC</w:t>
            </w:r>
          </w:p>
        </w:tc>
      </w:tr>
      <w:tr w:rsidR="00B97718" w:rsidRPr="00021DD2" w:rsidTr="00B97718">
        <w:trPr>
          <w:trHeight w:val="569"/>
        </w:trPr>
        <w:tc>
          <w:tcPr>
            <w:tcW w:w="1696" w:type="dxa"/>
          </w:tcPr>
          <w:p w:rsidR="00B97718" w:rsidRPr="00021DD2" w:rsidRDefault="00B97718" w:rsidP="00B97718">
            <w:pPr>
              <w:spacing w:before="0" w:after="0"/>
              <w:rPr>
                <w:rFonts w:cs="Arial"/>
              </w:rPr>
            </w:pPr>
            <w:r w:rsidRPr="00021DD2">
              <w:rPr>
                <w:rFonts w:cs="Arial"/>
              </w:rPr>
              <w:t>28.03.</w:t>
            </w:r>
            <w:r w:rsidR="00550432">
              <w:rPr>
                <w:rFonts w:cs="Arial"/>
              </w:rPr>
              <w:t>20</w:t>
            </w:r>
            <w:r w:rsidRPr="00021DD2">
              <w:rPr>
                <w:rFonts w:cs="Arial"/>
              </w:rPr>
              <w:t>17</w:t>
            </w:r>
          </w:p>
        </w:tc>
        <w:tc>
          <w:tcPr>
            <w:tcW w:w="4820" w:type="dxa"/>
          </w:tcPr>
          <w:p w:rsidR="00B97718" w:rsidRPr="00021DD2" w:rsidRDefault="00B97718" w:rsidP="00B97718">
            <w:pPr>
              <w:spacing w:before="0" w:after="0"/>
              <w:rPr>
                <w:rFonts w:cs="Arial"/>
              </w:rPr>
            </w:pPr>
            <w:r w:rsidRPr="00021DD2">
              <w:rPr>
                <w:rFonts w:cs="Arial"/>
              </w:rPr>
              <w:t>Australian Red Cross Young Parents Program</w:t>
            </w:r>
          </w:p>
        </w:tc>
        <w:tc>
          <w:tcPr>
            <w:tcW w:w="2544" w:type="dxa"/>
          </w:tcPr>
          <w:p w:rsidR="00B97718" w:rsidRPr="00021DD2" w:rsidRDefault="00B97718" w:rsidP="00B97718">
            <w:pPr>
              <w:spacing w:before="0" w:after="0"/>
              <w:rPr>
                <w:rFonts w:cs="Arial"/>
              </w:rPr>
            </w:pPr>
            <w:r w:rsidRPr="00021DD2">
              <w:rPr>
                <w:rFonts w:cs="Arial"/>
              </w:rPr>
              <w:t>Parramatta, NSW</w:t>
            </w:r>
          </w:p>
        </w:tc>
      </w:tr>
      <w:tr w:rsidR="00B97718" w:rsidRPr="00021DD2" w:rsidTr="00B97718">
        <w:trPr>
          <w:trHeight w:val="563"/>
        </w:trPr>
        <w:tc>
          <w:tcPr>
            <w:tcW w:w="1696" w:type="dxa"/>
          </w:tcPr>
          <w:p w:rsidR="00B97718" w:rsidRPr="00021DD2" w:rsidRDefault="00B97718" w:rsidP="00B97718">
            <w:pPr>
              <w:spacing w:before="0" w:after="0"/>
              <w:rPr>
                <w:rFonts w:cs="Arial"/>
              </w:rPr>
            </w:pPr>
            <w:r w:rsidRPr="00021DD2">
              <w:rPr>
                <w:rFonts w:cs="Arial"/>
              </w:rPr>
              <w:t>12.07.</w:t>
            </w:r>
            <w:r w:rsidR="00550432">
              <w:rPr>
                <w:rFonts w:cs="Arial"/>
              </w:rPr>
              <w:t>20</w:t>
            </w:r>
            <w:r w:rsidRPr="00021DD2">
              <w:rPr>
                <w:rFonts w:cs="Arial"/>
              </w:rPr>
              <w:t>17</w:t>
            </w:r>
          </w:p>
        </w:tc>
        <w:tc>
          <w:tcPr>
            <w:tcW w:w="4820" w:type="dxa"/>
          </w:tcPr>
          <w:p w:rsidR="00B97718" w:rsidRPr="00021DD2" w:rsidRDefault="00B97718" w:rsidP="00550432">
            <w:pPr>
              <w:spacing w:before="0" w:after="0"/>
              <w:rPr>
                <w:rFonts w:cs="Arial"/>
              </w:rPr>
            </w:pPr>
            <w:r w:rsidRPr="00021DD2">
              <w:rPr>
                <w:rFonts w:cs="Arial"/>
              </w:rPr>
              <w:t xml:space="preserve">Reiby Juvenile Justice </w:t>
            </w:r>
            <w:r w:rsidR="00550432">
              <w:rPr>
                <w:rFonts w:cs="Arial"/>
              </w:rPr>
              <w:t>Detention Facility</w:t>
            </w:r>
          </w:p>
        </w:tc>
        <w:tc>
          <w:tcPr>
            <w:tcW w:w="2544" w:type="dxa"/>
          </w:tcPr>
          <w:p w:rsidR="00B97718" w:rsidRPr="00021DD2" w:rsidRDefault="00B97718" w:rsidP="00B97718">
            <w:pPr>
              <w:spacing w:before="0" w:after="0"/>
              <w:rPr>
                <w:rFonts w:cs="Arial"/>
              </w:rPr>
            </w:pPr>
            <w:r w:rsidRPr="00021DD2">
              <w:rPr>
                <w:rFonts w:cs="Arial"/>
              </w:rPr>
              <w:t>Airds, NSW</w:t>
            </w:r>
          </w:p>
        </w:tc>
      </w:tr>
      <w:tr w:rsidR="00B97718" w:rsidRPr="00021DD2" w:rsidTr="00B97718">
        <w:tc>
          <w:tcPr>
            <w:tcW w:w="1696" w:type="dxa"/>
          </w:tcPr>
          <w:p w:rsidR="00B97718" w:rsidRPr="00021DD2" w:rsidRDefault="00B97718" w:rsidP="00B97718">
            <w:pPr>
              <w:spacing w:before="0" w:after="0"/>
              <w:rPr>
                <w:rFonts w:cs="Arial"/>
              </w:rPr>
            </w:pPr>
            <w:r w:rsidRPr="00021DD2">
              <w:rPr>
                <w:rFonts w:cs="Arial"/>
              </w:rPr>
              <w:t>25.07.</w:t>
            </w:r>
            <w:r w:rsidR="00550432">
              <w:rPr>
                <w:rFonts w:cs="Arial"/>
              </w:rPr>
              <w:t>20</w:t>
            </w:r>
            <w:r w:rsidRPr="00021DD2">
              <w:rPr>
                <w:rFonts w:cs="Arial"/>
              </w:rPr>
              <w:t>17</w:t>
            </w:r>
          </w:p>
        </w:tc>
        <w:tc>
          <w:tcPr>
            <w:tcW w:w="4820" w:type="dxa"/>
          </w:tcPr>
          <w:p w:rsidR="00B97718" w:rsidRPr="00021DD2" w:rsidRDefault="00B97718" w:rsidP="00B97718">
            <w:pPr>
              <w:spacing w:before="0" w:after="0"/>
              <w:rPr>
                <w:rFonts w:cs="Arial"/>
              </w:rPr>
            </w:pPr>
            <w:r w:rsidRPr="00021DD2">
              <w:rPr>
                <w:rFonts w:cs="Arial"/>
              </w:rPr>
              <w:t>Australian Red Cross Young Parents Program</w:t>
            </w:r>
          </w:p>
        </w:tc>
        <w:tc>
          <w:tcPr>
            <w:tcW w:w="2544" w:type="dxa"/>
          </w:tcPr>
          <w:p w:rsidR="00B97718" w:rsidRPr="00021DD2" w:rsidRDefault="00B97718" w:rsidP="00B97718">
            <w:pPr>
              <w:spacing w:before="0" w:after="0"/>
              <w:rPr>
                <w:rFonts w:cs="Arial"/>
              </w:rPr>
            </w:pPr>
            <w:r w:rsidRPr="00021DD2">
              <w:rPr>
                <w:rFonts w:cs="Arial"/>
              </w:rPr>
              <w:t>Nowra, NSW</w:t>
            </w:r>
          </w:p>
        </w:tc>
      </w:tr>
      <w:tr w:rsidR="00B97718" w:rsidRPr="00021DD2" w:rsidTr="00B97718">
        <w:tc>
          <w:tcPr>
            <w:tcW w:w="1696" w:type="dxa"/>
          </w:tcPr>
          <w:p w:rsidR="00B97718" w:rsidRPr="00021DD2" w:rsidRDefault="00B97718" w:rsidP="00B97718">
            <w:pPr>
              <w:spacing w:before="0" w:after="0"/>
              <w:rPr>
                <w:rFonts w:cs="Arial"/>
              </w:rPr>
            </w:pPr>
            <w:r w:rsidRPr="00021DD2">
              <w:rPr>
                <w:rFonts w:cs="Arial"/>
              </w:rPr>
              <w:t>27.07.</w:t>
            </w:r>
            <w:r w:rsidR="00550432">
              <w:rPr>
                <w:rFonts w:cs="Arial"/>
              </w:rPr>
              <w:t>20</w:t>
            </w:r>
            <w:r w:rsidRPr="00021DD2">
              <w:rPr>
                <w:rFonts w:cs="Arial"/>
              </w:rPr>
              <w:t>17</w:t>
            </w:r>
          </w:p>
        </w:tc>
        <w:tc>
          <w:tcPr>
            <w:tcW w:w="4820" w:type="dxa"/>
          </w:tcPr>
          <w:p w:rsidR="00B97718" w:rsidRPr="00021DD2" w:rsidRDefault="00B97718" w:rsidP="00B97718">
            <w:pPr>
              <w:spacing w:before="0" w:after="0"/>
              <w:rPr>
                <w:rFonts w:cs="Arial"/>
              </w:rPr>
            </w:pPr>
            <w:r w:rsidRPr="00021DD2">
              <w:rPr>
                <w:rFonts w:cs="Arial"/>
              </w:rPr>
              <w:t>Supporting Teenagers with Education, Mothering and Mentoring (STEMM)</w:t>
            </w:r>
          </w:p>
        </w:tc>
        <w:tc>
          <w:tcPr>
            <w:tcW w:w="2544" w:type="dxa"/>
          </w:tcPr>
          <w:p w:rsidR="00B97718" w:rsidRPr="00021DD2" w:rsidRDefault="00B97718" w:rsidP="00B97718">
            <w:pPr>
              <w:spacing w:before="0" w:after="0"/>
              <w:rPr>
                <w:rFonts w:cs="Arial"/>
              </w:rPr>
            </w:pPr>
            <w:r w:rsidRPr="00021DD2">
              <w:rPr>
                <w:rFonts w:cs="Arial"/>
              </w:rPr>
              <w:t>Sunshine Coast, QLD</w:t>
            </w:r>
          </w:p>
        </w:tc>
      </w:tr>
      <w:tr w:rsidR="00B97718" w:rsidRPr="00021DD2" w:rsidTr="00B97718">
        <w:trPr>
          <w:trHeight w:val="572"/>
        </w:trPr>
        <w:tc>
          <w:tcPr>
            <w:tcW w:w="1696" w:type="dxa"/>
          </w:tcPr>
          <w:p w:rsidR="00B97718" w:rsidRPr="00021DD2" w:rsidRDefault="00B97718" w:rsidP="00B97718">
            <w:pPr>
              <w:spacing w:before="0" w:after="0"/>
              <w:rPr>
                <w:rFonts w:cs="Arial"/>
              </w:rPr>
            </w:pPr>
            <w:r w:rsidRPr="00021DD2">
              <w:rPr>
                <w:rFonts w:cs="Arial"/>
              </w:rPr>
              <w:t>27.07.</w:t>
            </w:r>
            <w:r w:rsidR="00550432">
              <w:rPr>
                <w:rFonts w:cs="Arial"/>
              </w:rPr>
              <w:t>20</w:t>
            </w:r>
            <w:r w:rsidRPr="00021DD2">
              <w:rPr>
                <w:rFonts w:cs="Arial"/>
              </w:rPr>
              <w:t>17</w:t>
            </w:r>
          </w:p>
        </w:tc>
        <w:tc>
          <w:tcPr>
            <w:tcW w:w="4820" w:type="dxa"/>
          </w:tcPr>
          <w:p w:rsidR="00B97718" w:rsidRPr="00021DD2" w:rsidRDefault="00B97718" w:rsidP="00B97718">
            <w:pPr>
              <w:spacing w:before="0" w:after="0"/>
              <w:rPr>
                <w:rFonts w:cs="Arial"/>
              </w:rPr>
            </w:pPr>
            <w:r w:rsidRPr="00021DD2">
              <w:rPr>
                <w:rFonts w:cs="Arial"/>
              </w:rPr>
              <w:t>yourtown, Deception Bay</w:t>
            </w:r>
          </w:p>
        </w:tc>
        <w:tc>
          <w:tcPr>
            <w:tcW w:w="2544" w:type="dxa"/>
          </w:tcPr>
          <w:p w:rsidR="00B97718" w:rsidRPr="00021DD2" w:rsidRDefault="00B97718" w:rsidP="00B97718">
            <w:pPr>
              <w:spacing w:before="0" w:after="0"/>
              <w:rPr>
                <w:rFonts w:cs="Arial"/>
              </w:rPr>
            </w:pPr>
            <w:r w:rsidRPr="00021DD2">
              <w:rPr>
                <w:rFonts w:cs="Arial"/>
              </w:rPr>
              <w:t>Deception Bay, QLD</w:t>
            </w:r>
          </w:p>
        </w:tc>
      </w:tr>
      <w:tr w:rsidR="00B97718" w:rsidRPr="00021DD2" w:rsidTr="00B97718">
        <w:trPr>
          <w:trHeight w:val="552"/>
        </w:trPr>
        <w:tc>
          <w:tcPr>
            <w:tcW w:w="1696" w:type="dxa"/>
          </w:tcPr>
          <w:p w:rsidR="00B97718" w:rsidRPr="00021DD2" w:rsidRDefault="00B97718" w:rsidP="00B97718">
            <w:pPr>
              <w:spacing w:before="0" w:after="0"/>
              <w:rPr>
                <w:rFonts w:cs="Arial"/>
              </w:rPr>
            </w:pPr>
            <w:r w:rsidRPr="00021DD2">
              <w:rPr>
                <w:rFonts w:cs="Arial"/>
              </w:rPr>
              <w:t>2.08.</w:t>
            </w:r>
            <w:r w:rsidR="00550432">
              <w:rPr>
                <w:rFonts w:cs="Arial"/>
              </w:rPr>
              <w:t>20</w:t>
            </w:r>
            <w:r w:rsidRPr="00021DD2">
              <w:rPr>
                <w:rFonts w:cs="Arial"/>
              </w:rPr>
              <w:t>17</w:t>
            </w:r>
          </w:p>
        </w:tc>
        <w:tc>
          <w:tcPr>
            <w:tcW w:w="4820" w:type="dxa"/>
          </w:tcPr>
          <w:p w:rsidR="00B97718" w:rsidRPr="00021DD2" w:rsidRDefault="00B97718" w:rsidP="00B97718">
            <w:pPr>
              <w:spacing w:before="0" w:after="0"/>
              <w:rPr>
                <w:rFonts w:cs="Arial"/>
              </w:rPr>
            </w:pPr>
            <w:r w:rsidRPr="00021DD2">
              <w:rPr>
                <w:rFonts w:cs="Arial"/>
              </w:rPr>
              <w:t>Multicultural Youth South Australia (MYSA)</w:t>
            </w:r>
          </w:p>
        </w:tc>
        <w:tc>
          <w:tcPr>
            <w:tcW w:w="2544" w:type="dxa"/>
          </w:tcPr>
          <w:p w:rsidR="00B97718" w:rsidRPr="00021DD2" w:rsidRDefault="00B97718" w:rsidP="00B97718">
            <w:pPr>
              <w:spacing w:before="0" w:after="0"/>
              <w:rPr>
                <w:rFonts w:cs="Arial"/>
              </w:rPr>
            </w:pPr>
            <w:r w:rsidRPr="00021DD2">
              <w:rPr>
                <w:rFonts w:cs="Arial"/>
              </w:rPr>
              <w:t>Adelaide, SA</w:t>
            </w:r>
          </w:p>
        </w:tc>
      </w:tr>
      <w:tr w:rsidR="00B97718" w:rsidRPr="00021DD2" w:rsidTr="00B97718">
        <w:trPr>
          <w:trHeight w:val="546"/>
        </w:trPr>
        <w:tc>
          <w:tcPr>
            <w:tcW w:w="1696" w:type="dxa"/>
          </w:tcPr>
          <w:p w:rsidR="00B97718" w:rsidRPr="00021DD2" w:rsidRDefault="00B97718" w:rsidP="00B97718">
            <w:pPr>
              <w:spacing w:before="0" w:after="0"/>
              <w:rPr>
                <w:rFonts w:cs="Arial"/>
              </w:rPr>
            </w:pPr>
            <w:r w:rsidRPr="00021DD2">
              <w:rPr>
                <w:rFonts w:cs="Arial"/>
              </w:rPr>
              <w:t>3.08.</w:t>
            </w:r>
            <w:r w:rsidR="00550432">
              <w:rPr>
                <w:rFonts w:cs="Arial"/>
              </w:rPr>
              <w:t>20</w:t>
            </w:r>
            <w:r w:rsidRPr="00021DD2">
              <w:rPr>
                <w:rFonts w:cs="Arial"/>
              </w:rPr>
              <w:t>17</w:t>
            </w:r>
          </w:p>
        </w:tc>
        <w:tc>
          <w:tcPr>
            <w:tcW w:w="4820" w:type="dxa"/>
          </w:tcPr>
          <w:p w:rsidR="00B97718" w:rsidRPr="00021DD2" w:rsidRDefault="00B97718" w:rsidP="00B97718">
            <w:pPr>
              <w:spacing w:before="0" w:after="0"/>
              <w:rPr>
                <w:rFonts w:cs="Arial"/>
              </w:rPr>
            </w:pPr>
            <w:r w:rsidRPr="00021DD2">
              <w:rPr>
                <w:rFonts w:cs="Arial"/>
              </w:rPr>
              <w:t>Anglicare NT</w:t>
            </w:r>
          </w:p>
        </w:tc>
        <w:tc>
          <w:tcPr>
            <w:tcW w:w="2544" w:type="dxa"/>
          </w:tcPr>
          <w:p w:rsidR="00B97718" w:rsidRPr="00021DD2" w:rsidRDefault="00B97718" w:rsidP="00B97718">
            <w:pPr>
              <w:spacing w:before="0" w:after="0"/>
              <w:rPr>
                <w:rFonts w:cs="Arial"/>
              </w:rPr>
            </w:pPr>
            <w:r w:rsidRPr="00021DD2">
              <w:rPr>
                <w:rFonts w:cs="Arial"/>
              </w:rPr>
              <w:t>Darwin, NT</w:t>
            </w:r>
          </w:p>
        </w:tc>
      </w:tr>
      <w:tr w:rsidR="00B97718" w:rsidRPr="00021DD2" w:rsidTr="00B97718">
        <w:trPr>
          <w:trHeight w:val="554"/>
        </w:trPr>
        <w:tc>
          <w:tcPr>
            <w:tcW w:w="1696" w:type="dxa"/>
          </w:tcPr>
          <w:p w:rsidR="00B97718" w:rsidRPr="00021DD2" w:rsidRDefault="00B97718" w:rsidP="00B97718">
            <w:pPr>
              <w:spacing w:before="0" w:after="0"/>
              <w:rPr>
                <w:rFonts w:cs="Arial"/>
              </w:rPr>
            </w:pPr>
            <w:r w:rsidRPr="00021DD2">
              <w:rPr>
                <w:rFonts w:cs="Arial"/>
              </w:rPr>
              <w:t>9.08.</w:t>
            </w:r>
            <w:r w:rsidR="00550432">
              <w:rPr>
                <w:rFonts w:cs="Arial"/>
              </w:rPr>
              <w:t>20</w:t>
            </w:r>
            <w:r w:rsidRPr="00021DD2">
              <w:rPr>
                <w:rFonts w:cs="Arial"/>
              </w:rPr>
              <w:t>17</w:t>
            </w:r>
          </w:p>
        </w:tc>
        <w:tc>
          <w:tcPr>
            <w:tcW w:w="4820" w:type="dxa"/>
          </w:tcPr>
          <w:p w:rsidR="00B97718" w:rsidRPr="00021DD2" w:rsidRDefault="00B97718" w:rsidP="00B97718">
            <w:pPr>
              <w:spacing w:before="0" w:after="0"/>
              <w:rPr>
                <w:rFonts w:cs="Arial"/>
              </w:rPr>
            </w:pPr>
            <w:r w:rsidRPr="00021DD2">
              <w:rPr>
                <w:rFonts w:cs="Arial"/>
              </w:rPr>
              <w:t>Cobham Juvenile Justice Centre</w:t>
            </w:r>
          </w:p>
        </w:tc>
        <w:tc>
          <w:tcPr>
            <w:tcW w:w="2544" w:type="dxa"/>
          </w:tcPr>
          <w:p w:rsidR="00B97718" w:rsidRPr="00021DD2" w:rsidRDefault="00B97718" w:rsidP="00B97718">
            <w:pPr>
              <w:spacing w:before="0" w:after="0"/>
              <w:rPr>
                <w:rFonts w:cs="Arial"/>
              </w:rPr>
            </w:pPr>
            <w:r w:rsidRPr="00021DD2">
              <w:rPr>
                <w:rFonts w:cs="Arial"/>
              </w:rPr>
              <w:t>St Marys, NSW</w:t>
            </w:r>
          </w:p>
        </w:tc>
      </w:tr>
      <w:tr w:rsidR="00B97718" w:rsidRPr="00021DD2" w:rsidTr="00B97718">
        <w:tc>
          <w:tcPr>
            <w:tcW w:w="1696" w:type="dxa"/>
          </w:tcPr>
          <w:p w:rsidR="00B97718" w:rsidRPr="00021DD2" w:rsidRDefault="00B97718" w:rsidP="00B97718">
            <w:pPr>
              <w:spacing w:before="0" w:after="0"/>
              <w:rPr>
                <w:rFonts w:cs="Arial"/>
              </w:rPr>
            </w:pPr>
            <w:r w:rsidRPr="00021DD2">
              <w:rPr>
                <w:rFonts w:cs="Arial"/>
              </w:rPr>
              <w:t>21.08.</w:t>
            </w:r>
            <w:r w:rsidR="00550432">
              <w:rPr>
                <w:rFonts w:cs="Arial"/>
              </w:rPr>
              <w:t>20</w:t>
            </w:r>
            <w:r w:rsidRPr="00021DD2">
              <w:rPr>
                <w:rFonts w:cs="Arial"/>
              </w:rPr>
              <w:t>17</w:t>
            </w:r>
          </w:p>
        </w:tc>
        <w:tc>
          <w:tcPr>
            <w:tcW w:w="4820" w:type="dxa"/>
          </w:tcPr>
          <w:p w:rsidR="00B97718" w:rsidRPr="00021DD2" w:rsidRDefault="00B97718" w:rsidP="00B97718">
            <w:pPr>
              <w:spacing w:before="0" w:after="0"/>
              <w:rPr>
                <w:rFonts w:cs="Arial"/>
              </w:rPr>
            </w:pPr>
            <w:r w:rsidRPr="00021DD2">
              <w:rPr>
                <w:rFonts w:cs="Arial"/>
              </w:rPr>
              <w:t>yourtown, San Miguel</w:t>
            </w:r>
          </w:p>
        </w:tc>
        <w:tc>
          <w:tcPr>
            <w:tcW w:w="2544" w:type="dxa"/>
          </w:tcPr>
          <w:p w:rsidR="00B97718" w:rsidRPr="00021DD2" w:rsidRDefault="00B97718" w:rsidP="00B97718">
            <w:pPr>
              <w:spacing w:before="0" w:after="0"/>
              <w:rPr>
                <w:rFonts w:cs="Arial"/>
              </w:rPr>
            </w:pPr>
            <w:r w:rsidRPr="00021DD2">
              <w:rPr>
                <w:rFonts w:cs="Arial"/>
              </w:rPr>
              <w:t>North Richmond, NSW</w:t>
            </w:r>
          </w:p>
        </w:tc>
      </w:tr>
      <w:tr w:rsidR="00B97718" w:rsidRPr="00021DD2" w:rsidTr="00B97718">
        <w:trPr>
          <w:trHeight w:val="570"/>
        </w:trPr>
        <w:tc>
          <w:tcPr>
            <w:tcW w:w="1696" w:type="dxa"/>
          </w:tcPr>
          <w:p w:rsidR="00B97718" w:rsidRPr="00021DD2" w:rsidRDefault="00B97718" w:rsidP="00B97718">
            <w:pPr>
              <w:spacing w:before="0" w:after="0"/>
              <w:rPr>
                <w:rFonts w:cs="Arial"/>
              </w:rPr>
            </w:pPr>
            <w:r w:rsidRPr="00021DD2">
              <w:rPr>
                <w:rFonts w:cs="Arial"/>
              </w:rPr>
              <w:t>7.09.</w:t>
            </w:r>
            <w:r w:rsidR="00550432">
              <w:rPr>
                <w:rFonts w:cs="Arial"/>
              </w:rPr>
              <w:t>20</w:t>
            </w:r>
            <w:r w:rsidRPr="00021DD2">
              <w:rPr>
                <w:rFonts w:cs="Arial"/>
              </w:rPr>
              <w:t>17</w:t>
            </w:r>
          </w:p>
        </w:tc>
        <w:tc>
          <w:tcPr>
            <w:tcW w:w="4820" w:type="dxa"/>
          </w:tcPr>
          <w:p w:rsidR="00B97718" w:rsidRPr="00021DD2" w:rsidRDefault="00B97718" w:rsidP="00B97718">
            <w:pPr>
              <w:spacing w:before="0" w:after="0"/>
              <w:rPr>
                <w:rFonts w:cs="Arial"/>
              </w:rPr>
            </w:pPr>
            <w:r w:rsidRPr="00021DD2">
              <w:rPr>
                <w:rFonts w:cs="Arial"/>
              </w:rPr>
              <w:t>The Sydney Children’s Hospital Network</w:t>
            </w:r>
          </w:p>
        </w:tc>
        <w:tc>
          <w:tcPr>
            <w:tcW w:w="2544" w:type="dxa"/>
          </w:tcPr>
          <w:p w:rsidR="00B97718" w:rsidRPr="00021DD2" w:rsidRDefault="00550432" w:rsidP="00B97718">
            <w:pPr>
              <w:spacing w:before="0" w:after="0"/>
              <w:rPr>
                <w:rFonts w:cs="Arial"/>
              </w:rPr>
            </w:pPr>
            <w:r>
              <w:rPr>
                <w:rFonts w:cs="Arial"/>
              </w:rPr>
              <w:t xml:space="preserve">Sydney, </w:t>
            </w:r>
            <w:r w:rsidR="00B97718" w:rsidRPr="00021DD2">
              <w:rPr>
                <w:rFonts w:cs="Arial"/>
              </w:rPr>
              <w:t>NSW</w:t>
            </w:r>
          </w:p>
        </w:tc>
      </w:tr>
      <w:tr w:rsidR="00B97718" w:rsidRPr="00021DD2" w:rsidTr="00B97718">
        <w:tc>
          <w:tcPr>
            <w:tcW w:w="1696" w:type="dxa"/>
          </w:tcPr>
          <w:p w:rsidR="00B97718" w:rsidRPr="00021DD2" w:rsidRDefault="00B97718" w:rsidP="00B97718">
            <w:pPr>
              <w:spacing w:before="0" w:after="0"/>
              <w:rPr>
                <w:rFonts w:cs="Arial"/>
              </w:rPr>
            </w:pPr>
            <w:r w:rsidRPr="00021DD2">
              <w:rPr>
                <w:rFonts w:cs="Arial"/>
              </w:rPr>
              <w:t>8.09.</w:t>
            </w:r>
            <w:r w:rsidR="00550432">
              <w:rPr>
                <w:rFonts w:cs="Arial"/>
              </w:rPr>
              <w:t>20</w:t>
            </w:r>
            <w:r w:rsidRPr="00021DD2">
              <w:rPr>
                <w:rFonts w:cs="Arial"/>
              </w:rPr>
              <w:t>17</w:t>
            </w:r>
          </w:p>
        </w:tc>
        <w:tc>
          <w:tcPr>
            <w:tcW w:w="4820" w:type="dxa"/>
          </w:tcPr>
          <w:p w:rsidR="00B97718" w:rsidRPr="00021DD2" w:rsidRDefault="00B97718" w:rsidP="00B97718">
            <w:pPr>
              <w:spacing w:before="0" w:after="0"/>
              <w:rPr>
                <w:rFonts w:cs="Arial"/>
              </w:rPr>
            </w:pPr>
            <w:r w:rsidRPr="00021DD2">
              <w:rPr>
                <w:rFonts w:cs="Arial"/>
              </w:rPr>
              <w:t>Emu Plains Correctional Centre</w:t>
            </w:r>
            <w:r w:rsidR="00550432">
              <w:rPr>
                <w:rFonts w:cs="Arial"/>
              </w:rPr>
              <w:t xml:space="preserve"> </w:t>
            </w:r>
            <w:r w:rsidRPr="00021DD2">
              <w:rPr>
                <w:rFonts w:cs="Arial"/>
              </w:rPr>
              <w:t xml:space="preserve">- Mother and Child Program </w:t>
            </w:r>
          </w:p>
        </w:tc>
        <w:tc>
          <w:tcPr>
            <w:tcW w:w="2544" w:type="dxa"/>
          </w:tcPr>
          <w:p w:rsidR="00B97718" w:rsidRPr="00021DD2" w:rsidRDefault="00B97718" w:rsidP="00B97718">
            <w:pPr>
              <w:spacing w:before="0" w:after="0"/>
              <w:rPr>
                <w:rFonts w:cs="Arial"/>
              </w:rPr>
            </w:pPr>
            <w:r w:rsidRPr="00021DD2">
              <w:rPr>
                <w:rFonts w:cs="Arial"/>
              </w:rPr>
              <w:t>Emu Plains, NSW</w:t>
            </w:r>
          </w:p>
        </w:tc>
      </w:tr>
    </w:tbl>
    <w:p w:rsidR="00B97718" w:rsidRPr="00021DD2" w:rsidRDefault="00B97718" w:rsidP="00B63D24">
      <w:pPr>
        <w:rPr>
          <w:rFonts w:cs="Arial"/>
        </w:rPr>
        <w:sectPr w:rsidR="00B97718" w:rsidRPr="00021DD2" w:rsidSect="003716C0">
          <w:endnotePr>
            <w:numFmt w:val="decimal"/>
            <w:numRestart w:val="eachSect"/>
          </w:endnotePr>
          <w:pgSz w:w="11906" w:h="16838" w:code="9"/>
          <w:pgMar w:top="1134" w:right="1418" w:bottom="1134" w:left="1418" w:header="709" w:footer="709" w:gutter="0"/>
          <w:cols w:space="708"/>
          <w:docGrid w:linePitch="360"/>
        </w:sectPr>
      </w:pPr>
    </w:p>
    <w:p w:rsidR="00B97718" w:rsidRPr="001E2654" w:rsidRDefault="00B97718" w:rsidP="00465FED">
      <w:pPr>
        <w:pStyle w:val="Titolo6"/>
      </w:pPr>
      <w:bookmarkStart w:id="167" w:name="_Toc500308856"/>
      <w:r w:rsidRPr="001E2654">
        <w:t>State and territory education policies to support young parents</w:t>
      </w:r>
      <w:bookmarkEnd w:id="167"/>
      <w:r w:rsidRPr="001E2654">
        <w:t xml:space="preserve"> </w:t>
      </w:r>
    </w:p>
    <w:p w:rsidR="00B97718" w:rsidRPr="00021DD2" w:rsidRDefault="007027C4" w:rsidP="00E41308">
      <w:pPr>
        <w:rPr>
          <w:rFonts w:cs="Arial"/>
        </w:rPr>
      </w:pPr>
      <w:r w:rsidRPr="00021DD2">
        <w:rPr>
          <w:rFonts w:cs="Arial"/>
        </w:rPr>
        <w:t>The following table presents information received from state and territory education departments:</w:t>
      </w:r>
    </w:p>
    <w:tbl>
      <w:tblPr>
        <w:tblStyle w:val="Grigliatabella"/>
        <w:tblW w:w="9181" w:type="dxa"/>
        <w:jc w:val="center"/>
        <w:tblLook w:val="04A0" w:firstRow="1" w:lastRow="0" w:firstColumn="1" w:lastColumn="0" w:noHBand="0" w:noVBand="1"/>
      </w:tblPr>
      <w:tblGrid>
        <w:gridCol w:w="2405"/>
        <w:gridCol w:w="2552"/>
        <w:gridCol w:w="4224"/>
      </w:tblGrid>
      <w:tr w:rsidR="00B97718" w:rsidRPr="00021DD2" w:rsidTr="00F16E3D">
        <w:trPr>
          <w:trHeight w:val="1274"/>
          <w:tblHeader/>
          <w:jc w:val="center"/>
        </w:trPr>
        <w:tc>
          <w:tcPr>
            <w:tcW w:w="2405" w:type="dxa"/>
            <w:shd w:val="clear" w:color="auto" w:fill="auto"/>
          </w:tcPr>
          <w:p w:rsidR="00B97718" w:rsidRPr="00E34166" w:rsidRDefault="00550432" w:rsidP="00AF4D46">
            <w:pPr>
              <w:rPr>
                <w:rFonts w:cs="Arial"/>
                <w:b/>
              </w:rPr>
            </w:pPr>
            <w:r w:rsidRPr="00E34166">
              <w:rPr>
                <w:rFonts w:cs="Arial"/>
                <w:b/>
              </w:rPr>
              <w:t>Jurisdiction</w:t>
            </w:r>
          </w:p>
        </w:tc>
        <w:tc>
          <w:tcPr>
            <w:tcW w:w="2552" w:type="dxa"/>
          </w:tcPr>
          <w:p w:rsidR="00B97718" w:rsidRPr="00021DD2" w:rsidRDefault="00B97718" w:rsidP="00AF4D46">
            <w:pPr>
              <w:rPr>
                <w:rFonts w:cs="Arial"/>
                <w:b/>
              </w:rPr>
            </w:pPr>
            <w:r w:rsidRPr="00021DD2">
              <w:rPr>
                <w:rFonts w:cs="Arial"/>
                <w:b/>
              </w:rPr>
              <w:t>Specific policy for young parents/pregnant teenagers</w:t>
            </w:r>
          </w:p>
        </w:tc>
        <w:tc>
          <w:tcPr>
            <w:tcW w:w="4224" w:type="dxa"/>
          </w:tcPr>
          <w:p w:rsidR="00B97718" w:rsidRPr="00021DD2" w:rsidRDefault="00B97718" w:rsidP="00AF4D46">
            <w:pPr>
              <w:rPr>
                <w:rFonts w:cs="Arial"/>
                <w:b/>
              </w:rPr>
            </w:pPr>
            <w:r w:rsidRPr="00021DD2">
              <w:rPr>
                <w:rFonts w:cs="Arial"/>
                <w:b/>
              </w:rPr>
              <w:t>Other support provided by schools, on an ‘as needs’ basis</w:t>
            </w:r>
          </w:p>
        </w:tc>
      </w:tr>
      <w:tr w:rsidR="00B97718" w:rsidRPr="00021DD2" w:rsidTr="00AF4D46">
        <w:trPr>
          <w:trHeight w:val="1358"/>
          <w:jc w:val="center"/>
        </w:trPr>
        <w:tc>
          <w:tcPr>
            <w:tcW w:w="2405" w:type="dxa"/>
          </w:tcPr>
          <w:p w:rsidR="00B97718" w:rsidRPr="00021DD2" w:rsidRDefault="00B97718" w:rsidP="00AF4D46">
            <w:pPr>
              <w:rPr>
                <w:rFonts w:cs="Arial"/>
                <w:b/>
              </w:rPr>
            </w:pPr>
            <w:r w:rsidRPr="00021DD2">
              <w:rPr>
                <w:rFonts w:cs="Arial"/>
                <w:b/>
              </w:rPr>
              <w:t>Western Australia</w:t>
            </w:r>
          </w:p>
        </w:tc>
        <w:tc>
          <w:tcPr>
            <w:tcW w:w="2552" w:type="dxa"/>
          </w:tcPr>
          <w:p w:rsidR="00B97718" w:rsidRPr="00021DD2" w:rsidRDefault="00B97718" w:rsidP="00AF4D46">
            <w:pPr>
              <w:rPr>
                <w:rFonts w:cs="Arial"/>
              </w:rPr>
            </w:pPr>
            <w:r w:rsidRPr="00021DD2">
              <w:rPr>
                <w:rFonts w:cs="Arial"/>
              </w:rPr>
              <w:t>No</w:t>
            </w:r>
          </w:p>
        </w:tc>
        <w:tc>
          <w:tcPr>
            <w:tcW w:w="4224" w:type="dxa"/>
          </w:tcPr>
          <w:p w:rsidR="00B97718" w:rsidRPr="00021DD2" w:rsidRDefault="00B97718" w:rsidP="00AF4D46">
            <w:pPr>
              <w:rPr>
                <w:rFonts w:cs="Arial"/>
              </w:rPr>
            </w:pPr>
            <w:r w:rsidRPr="00021DD2">
              <w:rPr>
                <w:rFonts w:cs="Arial"/>
              </w:rPr>
              <w:t>Schools can collect information about students’ specific health care needs and respond to needs of services with support of specialist services.</w:t>
            </w:r>
          </w:p>
        </w:tc>
      </w:tr>
      <w:tr w:rsidR="00B97718" w:rsidRPr="00021DD2" w:rsidTr="00AF4D46">
        <w:trPr>
          <w:trHeight w:val="1319"/>
          <w:jc w:val="center"/>
        </w:trPr>
        <w:tc>
          <w:tcPr>
            <w:tcW w:w="2405" w:type="dxa"/>
          </w:tcPr>
          <w:p w:rsidR="00B97718" w:rsidRPr="00021DD2" w:rsidRDefault="00B97718" w:rsidP="00AF4D46">
            <w:pPr>
              <w:rPr>
                <w:rFonts w:cs="Arial"/>
                <w:b/>
              </w:rPr>
            </w:pPr>
            <w:r w:rsidRPr="00021DD2">
              <w:rPr>
                <w:rFonts w:cs="Arial"/>
                <w:b/>
              </w:rPr>
              <w:t>Victoria</w:t>
            </w:r>
          </w:p>
        </w:tc>
        <w:tc>
          <w:tcPr>
            <w:tcW w:w="2552" w:type="dxa"/>
          </w:tcPr>
          <w:p w:rsidR="00B97718" w:rsidRPr="00021DD2" w:rsidRDefault="00B97718" w:rsidP="00AF4D46">
            <w:pPr>
              <w:rPr>
                <w:rFonts w:cs="Arial"/>
              </w:rPr>
            </w:pPr>
            <w:r w:rsidRPr="00021DD2">
              <w:rPr>
                <w:rFonts w:cs="Arial"/>
                <w:i/>
              </w:rPr>
              <w:t>Student Pregnancy and Parenting Policy (The Policy)</w:t>
            </w:r>
            <w:r w:rsidRPr="00021DD2">
              <w:rPr>
                <w:rFonts w:cs="Arial"/>
              </w:rPr>
              <w:t xml:space="preserve">. The policy enables ‘schools and principals [to] make local decisions to support pregnant and parenting students to continue their schooling’. </w:t>
            </w:r>
          </w:p>
          <w:p w:rsidR="00B97718" w:rsidRPr="00021DD2" w:rsidRDefault="00B97718" w:rsidP="00AF4D46">
            <w:pPr>
              <w:rPr>
                <w:rFonts w:cs="Arial"/>
              </w:rPr>
            </w:pPr>
            <w:r w:rsidRPr="00021DD2">
              <w:rPr>
                <w:rFonts w:cs="Arial"/>
              </w:rPr>
              <w:t xml:space="preserve">Three examples of current school-based programs in three different regions of Victoria were provided to me. </w:t>
            </w:r>
            <w:r w:rsidRPr="00021DD2">
              <w:rPr>
                <w:rFonts w:cs="Arial"/>
                <w:i/>
              </w:rPr>
              <w:t xml:space="preserve"> </w:t>
            </w:r>
          </w:p>
        </w:tc>
        <w:tc>
          <w:tcPr>
            <w:tcW w:w="4224" w:type="dxa"/>
          </w:tcPr>
          <w:p w:rsidR="00B97718" w:rsidRPr="00021DD2" w:rsidRDefault="00B97718" w:rsidP="00AF4D46">
            <w:pPr>
              <w:rPr>
                <w:rFonts w:cs="Arial"/>
              </w:rPr>
            </w:pPr>
            <w:r w:rsidRPr="00021DD2">
              <w:rPr>
                <w:rFonts w:cs="Arial"/>
              </w:rPr>
              <w:t xml:space="preserve">Under </w:t>
            </w:r>
            <w:r w:rsidRPr="00021DD2">
              <w:rPr>
                <w:rFonts w:cs="Arial"/>
                <w:i/>
              </w:rPr>
              <w:t>The Policy</w:t>
            </w:r>
            <w:r w:rsidRPr="00021DD2">
              <w:rPr>
                <w:rFonts w:cs="Arial"/>
              </w:rPr>
              <w:t xml:space="preserve">, strategies and flexible options to assist pregnant and parenting students to continue education include: </w:t>
            </w:r>
          </w:p>
          <w:p w:rsidR="00B97718" w:rsidRPr="00021DD2" w:rsidRDefault="00B97718" w:rsidP="00FE54C7">
            <w:pPr>
              <w:numPr>
                <w:ilvl w:val="0"/>
                <w:numId w:val="52"/>
              </w:numPr>
              <w:spacing w:after="0"/>
              <w:ind w:left="714" w:hanging="357"/>
              <w:rPr>
                <w:rFonts w:cs="Arial"/>
              </w:rPr>
            </w:pPr>
            <w:r w:rsidRPr="00021DD2">
              <w:rPr>
                <w:rFonts w:cs="Arial"/>
              </w:rPr>
              <w:t xml:space="preserve">modifying curriculum to support student and balance workload </w:t>
            </w:r>
          </w:p>
          <w:p w:rsidR="00B97718" w:rsidRPr="00021DD2" w:rsidRDefault="00B97718" w:rsidP="00FE54C7">
            <w:pPr>
              <w:numPr>
                <w:ilvl w:val="0"/>
                <w:numId w:val="52"/>
              </w:numPr>
              <w:spacing w:before="100" w:after="0"/>
              <w:ind w:left="714" w:hanging="357"/>
              <w:rPr>
                <w:rFonts w:cs="Arial"/>
              </w:rPr>
            </w:pPr>
            <w:r w:rsidRPr="00021DD2">
              <w:rPr>
                <w:rFonts w:cs="Arial"/>
              </w:rPr>
              <w:t>tailor programs using Managed Individual Pathways</w:t>
            </w:r>
          </w:p>
          <w:p w:rsidR="00B97718" w:rsidRPr="00021DD2" w:rsidRDefault="00B97718" w:rsidP="00FE54C7">
            <w:pPr>
              <w:numPr>
                <w:ilvl w:val="0"/>
                <w:numId w:val="52"/>
              </w:numPr>
              <w:spacing w:before="100" w:after="0"/>
              <w:ind w:left="714" w:hanging="357"/>
              <w:rPr>
                <w:rFonts w:cs="Arial"/>
              </w:rPr>
            </w:pPr>
            <w:r w:rsidRPr="00021DD2">
              <w:rPr>
                <w:rFonts w:cs="Arial"/>
              </w:rPr>
              <w:t>Distance Education Centre Victoria</w:t>
            </w:r>
          </w:p>
          <w:p w:rsidR="00B97718" w:rsidRPr="00021DD2" w:rsidRDefault="00B97718" w:rsidP="00FE54C7">
            <w:pPr>
              <w:numPr>
                <w:ilvl w:val="0"/>
                <w:numId w:val="52"/>
              </w:numPr>
              <w:spacing w:before="100" w:after="0"/>
              <w:ind w:left="714" w:hanging="357"/>
              <w:rPr>
                <w:rFonts w:cs="Arial"/>
              </w:rPr>
            </w:pPr>
            <w:r w:rsidRPr="00021DD2">
              <w:rPr>
                <w:rFonts w:cs="Arial"/>
              </w:rPr>
              <w:t>Victorian Certificate of Education (VCE can be studied over three years)</w:t>
            </w:r>
          </w:p>
          <w:p w:rsidR="00B97718" w:rsidRPr="00021DD2" w:rsidRDefault="00B97718" w:rsidP="00FE54C7">
            <w:pPr>
              <w:numPr>
                <w:ilvl w:val="0"/>
                <w:numId w:val="52"/>
              </w:numPr>
              <w:spacing w:before="100" w:after="0"/>
              <w:ind w:left="714" w:hanging="357"/>
              <w:rPr>
                <w:rFonts w:cs="Arial"/>
              </w:rPr>
            </w:pPr>
            <w:r w:rsidRPr="00021DD2">
              <w:rPr>
                <w:rFonts w:cs="Arial"/>
              </w:rPr>
              <w:t xml:space="preserve">Victorian Certificate of Applied Learning </w:t>
            </w:r>
          </w:p>
          <w:p w:rsidR="00B97718" w:rsidRPr="00021DD2" w:rsidRDefault="00B97718" w:rsidP="00FE54C7">
            <w:pPr>
              <w:numPr>
                <w:ilvl w:val="0"/>
                <w:numId w:val="52"/>
              </w:numPr>
              <w:spacing w:before="100" w:after="0"/>
              <w:ind w:left="714" w:hanging="357"/>
              <w:rPr>
                <w:rFonts w:cs="Arial"/>
              </w:rPr>
            </w:pPr>
            <w:r w:rsidRPr="00021DD2">
              <w:rPr>
                <w:rFonts w:cs="Arial"/>
              </w:rPr>
              <w:t>Vocational Education and Training (in VCE)</w:t>
            </w:r>
          </w:p>
          <w:p w:rsidR="00B97718" w:rsidRPr="00021DD2" w:rsidRDefault="00B97718" w:rsidP="00FE54C7">
            <w:pPr>
              <w:numPr>
                <w:ilvl w:val="0"/>
                <w:numId w:val="52"/>
              </w:numPr>
              <w:spacing w:before="100" w:after="0"/>
              <w:ind w:left="714" w:hanging="357"/>
              <w:rPr>
                <w:rFonts w:cs="Arial"/>
              </w:rPr>
            </w:pPr>
            <w:r w:rsidRPr="00021DD2">
              <w:rPr>
                <w:rFonts w:cs="Arial"/>
              </w:rPr>
              <w:t>part-time apprenticeships</w:t>
            </w:r>
          </w:p>
          <w:p w:rsidR="003716C0" w:rsidRPr="00021DD2" w:rsidRDefault="00B97718" w:rsidP="00FE54C7">
            <w:pPr>
              <w:numPr>
                <w:ilvl w:val="0"/>
                <w:numId w:val="52"/>
              </w:numPr>
              <w:spacing w:before="100" w:after="0"/>
              <w:ind w:left="714" w:hanging="357"/>
              <w:rPr>
                <w:rFonts w:cs="Arial"/>
              </w:rPr>
            </w:pPr>
            <w:r w:rsidRPr="00021DD2">
              <w:rPr>
                <w:rFonts w:cs="Arial"/>
              </w:rPr>
              <w:t>traineeships</w:t>
            </w:r>
          </w:p>
          <w:p w:rsidR="00B97718" w:rsidRPr="00021DD2" w:rsidRDefault="00B97718" w:rsidP="003716C0">
            <w:pPr>
              <w:jc w:val="right"/>
              <w:rPr>
                <w:rFonts w:cs="Arial"/>
              </w:rPr>
            </w:pPr>
          </w:p>
        </w:tc>
      </w:tr>
      <w:tr w:rsidR="00B97718" w:rsidRPr="00021DD2" w:rsidTr="00AF4D46">
        <w:trPr>
          <w:trHeight w:val="774"/>
          <w:jc w:val="center"/>
        </w:trPr>
        <w:tc>
          <w:tcPr>
            <w:tcW w:w="2405" w:type="dxa"/>
          </w:tcPr>
          <w:p w:rsidR="00B97718" w:rsidRPr="00021DD2" w:rsidRDefault="00B97718" w:rsidP="00AF4D46">
            <w:pPr>
              <w:rPr>
                <w:rFonts w:cs="Arial"/>
                <w:b/>
              </w:rPr>
            </w:pPr>
            <w:r w:rsidRPr="00021DD2">
              <w:rPr>
                <w:rFonts w:cs="Arial"/>
                <w:b/>
              </w:rPr>
              <w:t>Tasmania</w:t>
            </w:r>
          </w:p>
        </w:tc>
        <w:tc>
          <w:tcPr>
            <w:tcW w:w="2552" w:type="dxa"/>
          </w:tcPr>
          <w:p w:rsidR="00B97718" w:rsidRPr="00021DD2" w:rsidRDefault="00B97718" w:rsidP="00AF4D46">
            <w:pPr>
              <w:rPr>
                <w:rFonts w:cs="Arial"/>
              </w:rPr>
            </w:pPr>
            <w:r w:rsidRPr="00021DD2">
              <w:rPr>
                <w:rFonts w:cs="Arial"/>
              </w:rPr>
              <w:t xml:space="preserve">No </w:t>
            </w:r>
          </w:p>
        </w:tc>
        <w:tc>
          <w:tcPr>
            <w:tcW w:w="4224" w:type="dxa"/>
          </w:tcPr>
          <w:p w:rsidR="00B97718" w:rsidRPr="00021DD2" w:rsidRDefault="00B97718" w:rsidP="00AF4D46">
            <w:pPr>
              <w:rPr>
                <w:rFonts w:cs="Arial"/>
              </w:rPr>
            </w:pPr>
            <w:r w:rsidRPr="00021DD2">
              <w:rPr>
                <w:rFonts w:cs="Arial"/>
              </w:rPr>
              <w:t xml:space="preserve">Young parents are able to engage in mainstream and alternative education settings such as with </w:t>
            </w:r>
            <w:r w:rsidRPr="00021DD2">
              <w:rPr>
                <w:rFonts w:cs="Arial"/>
                <w:i/>
              </w:rPr>
              <w:t>Tasmanian eSchool.</w:t>
            </w:r>
            <w:r w:rsidRPr="00021DD2">
              <w:rPr>
                <w:rFonts w:cs="Arial"/>
              </w:rPr>
              <w:t xml:space="preserve"> There are currently </w:t>
            </w:r>
            <w:r w:rsidR="00103DEB">
              <w:rPr>
                <w:rFonts w:cs="Arial"/>
              </w:rPr>
              <w:t>seven</w:t>
            </w:r>
            <w:r w:rsidRPr="00021DD2">
              <w:rPr>
                <w:rFonts w:cs="Arial"/>
              </w:rPr>
              <w:t xml:space="preserve"> young mothers engaged through this program in Tasmania. </w:t>
            </w:r>
          </w:p>
        </w:tc>
      </w:tr>
      <w:tr w:rsidR="00B97718" w:rsidRPr="00021DD2" w:rsidTr="00AF4D46">
        <w:trPr>
          <w:trHeight w:val="761"/>
          <w:jc w:val="center"/>
        </w:trPr>
        <w:tc>
          <w:tcPr>
            <w:tcW w:w="2405" w:type="dxa"/>
          </w:tcPr>
          <w:p w:rsidR="00B97718" w:rsidRPr="00021DD2" w:rsidRDefault="00B97718" w:rsidP="00AF4D46">
            <w:pPr>
              <w:rPr>
                <w:rFonts w:cs="Arial"/>
                <w:b/>
              </w:rPr>
            </w:pPr>
            <w:r w:rsidRPr="00021DD2">
              <w:rPr>
                <w:rFonts w:cs="Arial"/>
                <w:b/>
              </w:rPr>
              <w:t>New South Wales</w:t>
            </w:r>
          </w:p>
        </w:tc>
        <w:tc>
          <w:tcPr>
            <w:tcW w:w="2552" w:type="dxa"/>
          </w:tcPr>
          <w:p w:rsidR="00B97718" w:rsidRPr="00021DD2" w:rsidRDefault="00B97718" w:rsidP="00AF4D46">
            <w:pPr>
              <w:rPr>
                <w:rFonts w:cs="Arial"/>
              </w:rPr>
            </w:pPr>
            <w:r w:rsidRPr="00021DD2">
              <w:rPr>
                <w:rFonts w:cs="Arial"/>
              </w:rPr>
              <w:t xml:space="preserve">No </w:t>
            </w:r>
          </w:p>
        </w:tc>
        <w:tc>
          <w:tcPr>
            <w:tcW w:w="4224" w:type="dxa"/>
          </w:tcPr>
          <w:p w:rsidR="00B97718" w:rsidRPr="00021DD2" w:rsidRDefault="00B97718" w:rsidP="00AF4D46">
            <w:pPr>
              <w:rPr>
                <w:rFonts w:cs="Arial"/>
              </w:rPr>
            </w:pPr>
            <w:r w:rsidRPr="00021DD2">
              <w:rPr>
                <w:rFonts w:cs="Arial"/>
              </w:rPr>
              <w:t xml:space="preserve">NSW public schools and staff work to develop local solutions to support the needs of students as required. </w:t>
            </w:r>
          </w:p>
          <w:p w:rsidR="00B97718" w:rsidRPr="00021DD2" w:rsidRDefault="00B97718" w:rsidP="00AF4D46">
            <w:pPr>
              <w:rPr>
                <w:rFonts w:cs="Arial"/>
              </w:rPr>
            </w:pPr>
            <w:r w:rsidRPr="00021DD2">
              <w:rPr>
                <w:rFonts w:cs="Arial"/>
              </w:rPr>
              <w:t xml:space="preserve">Examples of adjustments to support pregnant and/or parenting students in schools include: </w:t>
            </w:r>
          </w:p>
          <w:p w:rsidR="00B97718" w:rsidRPr="00021DD2" w:rsidRDefault="00B97718" w:rsidP="00FE54C7">
            <w:pPr>
              <w:numPr>
                <w:ilvl w:val="0"/>
                <w:numId w:val="53"/>
              </w:numPr>
              <w:spacing w:before="0" w:after="100"/>
              <w:ind w:left="714" w:hanging="357"/>
              <w:rPr>
                <w:rFonts w:cs="Arial"/>
              </w:rPr>
            </w:pPr>
            <w:r w:rsidRPr="00021DD2">
              <w:rPr>
                <w:rFonts w:cs="Arial"/>
              </w:rPr>
              <w:t>leave from attendance before and/or after birth of baby</w:t>
            </w:r>
          </w:p>
          <w:p w:rsidR="00B97718" w:rsidRPr="00021DD2" w:rsidRDefault="00B97718" w:rsidP="00FE54C7">
            <w:pPr>
              <w:numPr>
                <w:ilvl w:val="0"/>
                <w:numId w:val="53"/>
              </w:numPr>
              <w:spacing w:before="100" w:after="100"/>
              <w:ind w:left="714" w:hanging="357"/>
              <w:rPr>
                <w:rFonts w:cs="Arial"/>
              </w:rPr>
            </w:pPr>
            <w:r w:rsidRPr="00021DD2">
              <w:rPr>
                <w:rFonts w:cs="Arial"/>
              </w:rPr>
              <w:t>flexible lesson timetables (ie starting or finishing later)</w:t>
            </w:r>
          </w:p>
          <w:p w:rsidR="00B97718" w:rsidRPr="00021DD2" w:rsidRDefault="00B97718" w:rsidP="00FE54C7">
            <w:pPr>
              <w:numPr>
                <w:ilvl w:val="0"/>
                <w:numId w:val="53"/>
              </w:numPr>
              <w:spacing w:before="100" w:after="100"/>
              <w:ind w:left="714" w:hanging="357"/>
              <w:rPr>
                <w:rFonts w:cs="Arial"/>
              </w:rPr>
            </w:pPr>
            <w:r w:rsidRPr="00021DD2">
              <w:rPr>
                <w:rFonts w:cs="Arial"/>
              </w:rPr>
              <w:t xml:space="preserve">option to complete year 11 or 12 over a period of up to five years </w:t>
            </w:r>
          </w:p>
          <w:p w:rsidR="00B97718" w:rsidRPr="00021DD2" w:rsidRDefault="00B97718" w:rsidP="00FE54C7">
            <w:pPr>
              <w:numPr>
                <w:ilvl w:val="0"/>
                <w:numId w:val="53"/>
              </w:numPr>
              <w:spacing w:before="100"/>
              <w:rPr>
                <w:rFonts w:cs="Arial"/>
              </w:rPr>
            </w:pPr>
            <w:r w:rsidRPr="00021DD2">
              <w:rPr>
                <w:rFonts w:cs="Arial"/>
              </w:rPr>
              <w:t>distance education</w:t>
            </w:r>
            <w:r w:rsidR="00103DEB">
              <w:rPr>
                <w:rFonts w:cs="Arial"/>
              </w:rPr>
              <w:t>.</w:t>
            </w:r>
            <w:r w:rsidRPr="00021DD2">
              <w:rPr>
                <w:rFonts w:cs="Arial"/>
              </w:rPr>
              <w:t xml:space="preserve"> </w:t>
            </w:r>
          </w:p>
        </w:tc>
      </w:tr>
      <w:tr w:rsidR="00B97718" w:rsidRPr="00021DD2" w:rsidTr="00AF4D46">
        <w:trPr>
          <w:trHeight w:val="761"/>
          <w:jc w:val="center"/>
        </w:trPr>
        <w:tc>
          <w:tcPr>
            <w:tcW w:w="2405" w:type="dxa"/>
          </w:tcPr>
          <w:p w:rsidR="00B97718" w:rsidRPr="00021DD2" w:rsidRDefault="00B97718" w:rsidP="00AF4D46">
            <w:pPr>
              <w:rPr>
                <w:rFonts w:cs="Arial"/>
                <w:b/>
              </w:rPr>
            </w:pPr>
            <w:r w:rsidRPr="00021DD2">
              <w:rPr>
                <w:rFonts w:cs="Arial"/>
                <w:b/>
              </w:rPr>
              <w:t>Queensland</w:t>
            </w:r>
          </w:p>
        </w:tc>
        <w:tc>
          <w:tcPr>
            <w:tcW w:w="2552" w:type="dxa"/>
          </w:tcPr>
          <w:p w:rsidR="00B97718" w:rsidRPr="00021DD2" w:rsidRDefault="00B97718" w:rsidP="00AF4D46">
            <w:pPr>
              <w:rPr>
                <w:rFonts w:cs="Arial"/>
              </w:rPr>
            </w:pPr>
            <w:r w:rsidRPr="00021DD2">
              <w:rPr>
                <w:rFonts w:cs="Arial"/>
              </w:rPr>
              <w:t xml:space="preserve">Inclusive Education Policy statement – to ensure that schools are inclusive to all students, including pregnant and parenting women. </w:t>
            </w:r>
          </w:p>
        </w:tc>
        <w:tc>
          <w:tcPr>
            <w:tcW w:w="4224" w:type="dxa"/>
          </w:tcPr>
          <w:p w:rsidR="00B97718" w:rsidRPr="00021DD2" w:rsidRDefault="00B97718" w:rsidP="00AF4D46">
            <w:pPr>
              <w:rPr>
                <w:rFonts w:cs="Arial"/>
              </w:rPr>
            </w:pPr>
            <w:r w:rsidRPr="00021DD2">
              <w:rPr>
                <w:rFonts w:cs="Arial"/>
              </w:rPr>
              <w:t xml:space="preserve">Queensland Department of Education and Training also has </w:t>
            </w:r>
            <w:r w:rsidRPr="00021DD2">
              <w:rPr>
                <w:rFonts w:cs="Arial"/>
                <w:i/>
              </w:rPr>
              <w:t>Guidelines to retain and support pregnant and parenting young people in education.</w:t>
            </w:r>
            <w:r w:rsidRPr="00021DD2">
              <w:rPr>
                <w:rFonts w:cs="Arial"/>
              </w:rPr>
              <w:t xml:space="preserve"> Three key strategies are promoted within the Guidelines: </w:t>
            </w:r>
          </w:p>
          <w:p w:rsidR="00B97718" w:rsidRPr="00021DD2" w:rsidRDefault="00B97718" w:rsidP="00FE54C7">
            <w:pPr>
              <w:numPr>
                <w:ilvl w:val="0"/>
                <w:numId w:val="54"/>
              </w:numPr>
              <w:ind w:left="714" w:hanging="357"/>
              <w:rPr>
                <w:rFonts w:cs="Arial"/>
              </w:rPr>
            </w:pPr>
            <w:r w:rsidRPr="00021DD2">
              <w:rPr>
                <w:rFonts w:cs="Arial"/>
              </w:rPr>
              <w:t>track and maintain contact with pregnant and parenting young people</w:t>
            </w:r>
          </w:p>
          <w:p w:rsidR="00B97718" w:rsidRPr="00021DD2" w:rsidRDefault="00B97718" w:rsidP="00FE54C7">
            <w:pPr>
              <w:numPr>
                <w:ilvl w:val="0"/>
                <w:numId w:val="54"/>
              </w:numPr>
              <w:spacing w:before="100"/>
              <w:ind w:left="714" w:hanging="357"/>
              <w:rPr>
                <w:rFonts w:cs="Arial"/>
              </w:rPr>
            </w:pPr>
            <w:r w:rsidRPr="00021DD2">
              <w:rPr>
                <w:rFonts w:cs="Arial"/>
              </w:rPr>
              <w:t xml:space="preserve">promote awareness of the range of education pathways available to pregnant and parenting young people </w:t>
            </w:r>
          </w:p>
          <w:p w:rsidR="00B97718" w:rsidRPr="00021DD2" w:rsidRDefault="00B97718" w:rsidP="00B934D7">
            <w:pPr>
              <w:numPr>
                <w:ilvl w:val="0"/>
                <w:numId w:val="54"/>
              </w:numPr>
              <w:rPr>
                <w:rFonts w:cs="Arial"/>
              </w:rPr>
            </w:pPr>
            <w:r w:rsidRPr="00021DD2">
              <w:rPr>
                <w:rFonts w:cs="Arial"/>
              </w:rPr>
              <w:t>establish a network of support services for pregnant and parenting young people.</w:t>
            </w:r>
          </w:p>
          <w:p w:rsidR="00B97718" w:rsidRPr="00021DD2" w:rsidRDefault="00B97718" w:rsidP="00AF4D46">
            <w:pPr>
              <w:rPr>
                <w:rFonts w:cs="Arial"/>
              </w:rPr>
            </w:pPr>
            <w:r w:rsidRPr="00021DD2">
              <w:rPr>
                <w:rFonts w:cs="Arial"/>
              </w:rPr>
              <w:t xml:space="preserve">Other strategies to support young parents include flexibility with: </w:t>
            </w:r>
          </w:p>
          <w:p w:rsidR="00B97718" w:rsidRPr="00021DD2" w:rsidRDefault="00103DEB" w:rsidP="00FE54C7">
            <w:pPr>
              <w:numPr>
                <w:ilvl w:val="0"/>
                <w:numId w:val="55"/>
              </w:numPr>
              <w:spacing w:after="0"/>
              <w:rPr>
                <w:rFonts w:cs="Arial"/>
              </w:rPr>
            </w:pPr>
            <w:r>
              <w:rPr>
                <w:rFonts w:cs="Arial"/>
              </w:rPr>
              <w:t>u</w:t>
            </w:r>
            <w:r w:rsidR="00B97718" w:rsidRPr="00021DD2">
              <w:rPr>
                <w:rFonts w:cs="Arial"/>
              </w:rPr>
              <w:t>niforms</w:t>
            </w:r>
          </w:p>
          <w:p w:rsidR="00B97718" w:rsidRPr="00021DD2" w:rsidRDefault="00103DEB" w:rsidP="00FE54C7">
            <w:pPr>
              <w:numPr>
                <w:ilvl w:val="0"/>
                <w:numId w:val="55"/>
              </w:numPr>
              <w:spacing w:before="0" w:after="0"/>
              <w:ind w:left="714" w:hanging="357"/>
              <w:rPr>
                <w:rFonts w:cs="Arial"/>
              </w:rPr>
            </w:pPr>
            <w:r>
              <w:rPr>
                <w:rFonts w:cs="Arial"/>
              </w:rPr>
              <w:t>a</w:t>
            </w:r>
            <w:r w:rsidR="00B97718" w:rsidRPr="00021DD2">
              <w:rPr>
                <w:rFonts w:cs="Arial"/>
              </w:rPr>
              <w:t>ttendance</w:t>
            </w:r>
          </w:p>
          <w:p w:rsidR="00B97718" w:rsidRPr="00021DD2" w:rsidRDefault="00103DEB" w:rsidP="00FE54C7">
            <w:pPr>
              <w:numPr>
                <w:ilvl w:val="0"/>
                <w:numId w:val="55"/>
              </w:numPr>
              <w:spacing w:before="0" w:after="0"/>
              <w:ind w:left="714" w:hanging="357"/>
              <w:rPr>
                <w:rFonts w:cs="Arial"/>
              </w:rPr>
            </w:pPr>
            <w:r>
              <w:rPr>
                <w:rFonts w:cs="Arial"/>
              </w:rPr>
              <w:t>c</w:t>
            </w:r>
            <w:r w:rsidR="00B97718" w:rsidRPr="00021DD2">
              <w:rPr>
                <w:rFonts w:cs="Arial"/>
              </w:rPr>
              <w:t>urriculum design</w:t>
            </w:r>
          </w:p>
          <w:p w:rsidR="00B97718" w:rsidRPr="00021DD2" w:rsidRDefault="00103DEB" w:rsidP="00FE54C7">
            <w:pPr>
              <w:numPr>
                <w:ilvl w:val="0"/>
                <w:numId w:val="55"/>
              </w:numPr>
              <w:spacing w:before="0"/>
              <w:ind w:left="714" w:hanging="357"/>
              <w:rPr>
                <w:rFonts w:cs="Arial"/>
              </w:rPr>
            </w:pPr>
            <w:r>
              <w:rPr>
                <w:rFonts w:cs="Arial"/>
              </w:rPr>
              <w:t>s</w:t>
            </w:r>
            <w:r w:rsidR="00B97718" w:rsidRPr="00021DD2">
              <w:rPr>
                <w:rFonts w:cs="Arial"/>
              </w:rPr>
              <w:t>chool management</w:t>
            </w:r>
          </w:p>
          <w:p w:rsidR="00B97718" w:rsidRPr="00021DD2" w:rsidRDefault="00B97718" w:rsidP="00AF4D46">
            <w:pPr>
              <w:rPr>
                <w:rFonts w:cs="Arial"/>
              </w:rPr>
            </w:pPr>
            <w:r w:rsidRPr="00021DD2">
              <w:rPr>
                <w:rFonts w:cs="Arial"/>
              </w:rPr>
              <w:t xml:space="preserve">As at 15 August 2017, six state schools in Queensland provide specific programs to support pregnant and parenting students. </w:t>
            </w:r>
          </w:p>
        </w:tc>
      </w:tr>
    </w:tbl>
    <w:p w:rsidR="00AF4D46" w:rsidRPr="00021DD2" w:rsidRDefault="00AF4D46" w:rsidP="00B63D24">
      <w:pPr>
        <w:rPr>
          <w:rFonts w:cs="Arial"/>
        </w:rPr>
        <w:sectPr w:rsidR="00AF4D46" w:rsidRPr="00021DD2" w:rsidSect="003716C0">
          <w:endnotePr>
            <w:numFmt w:val="decimal"/>
            <w:numRestart w:val="eachSect"/>
          </w:endnotePr>
          <w:pgSz w:w="11906" w:h="16838" w:code="9"/>
          <w:pgMar w:top="1134" w:right="1418" w:bottom="1134" w:left="1418" w:header="709" w:footer="709" w:gutter="0"/>
          <w:cols w:space="708"/>
          <w:docGrid w:linePitch="360"/>
        </w:sectPr>
      </w:pPr>
    </w:p>
    <w:p w:rsidR="00A35E2A" w:rsidRPr="00021DD2" w:rsidRDefault="00AF4D46" w:rsidP="00F16E3D">
      <w:pPr>
        <w:pStyle w:val="Titolo6"/>
      </w:pPr>
      <w:bookmarkStart w:id="168" w:name="_Toc500308857"/>
      <w:r w:rsidRPr="00021DD2">
        <w:t>State and territory government programs for young parents</w:t>
      </w:r>
      <w:bookmarkEnd w:id="168"/>
    </w:p>
    <w:tbl>
      <w:tblPr>
        <w:tblStyle w:val="Grigliatabella"/>
        <w:tblW w:w="15052" w:type="dxa"/>
        <w:tblInd w:w="-459" w:type="dxa"/>
        <w:tblLook w:val="04A0" w:firstRow="1" w:lastRow="0" w:firstColumn="1" w:lastColumn="0" w:noHBand="0" w:noVBand="1"/>
      </w:tblPr>
      <w:tblGrid>
        <w:gridCol w:w="1586"/>
        <w:gridCol w:w="4677"/>
        <w:gridCol w:w="4622"/>
        <w:gridCol w:w="4167"/>
      </w:tblGrid>
      <w:tr w:rsidR="00AF4D46" w:rsidRPr="00F16E3D" w:rsidTr="00105288">
        <w:trPr>
          <w:tblHeader/>
        </w:trPr>
        <w:tc>
          <w:tcPr>
            <w:tcW w:w="1586" w:type="dxa"/>
          </w:tcPr>
          <w:p w:rsidR="00AF4D46" w:rsidRPr="00F16E3D" w:rsidRDefault="00AF4D46" w:rsidP="00F16E3D">
            <w:pPr>
              <w:rPr>
                <w:b/>
              </w:rPr>
            </w:pPr>
            <w:r w:rsidRPr="00F16E3D">
              <w:rPr>
                <w:b/>
              </w:rPr>
              <w:t>Jurisdiction</w:t>
            </w:r>
          </w:p>
        </w:tc>
        <w:tc>
          <w:tcPr>
            <w:tcW w:w="4677" w:type="dxa"/>
          </w:tcPr>
          <w:p w:rsidR="00AF4D46" w:rsidRPr="00F16E3D" w:rsidRDefault="00AF4D46" w:rsidP="00F16E3D">
            <w:pPr>
              <w:rPr>
                <w:b/>
              </w:rPr>
            </w:pPr>
            <w:r w:rsidRPr="00F16E3D">
              <w:rPr>
                <w:b/>
              </w:rPr>
              <w:t xml:space="preserve">General programs (parents and family support) </w:t>
            </w:r>
          </w:p>
        </w:tc>
        <w:tc>
          <w:tcPr>
            <w:tcW w:w="4622" w:type="dxa"/>
          </w:tcPr>
          <w:p w:rsidR="00AF4D46" w:rsidRPr="00F16E3D" w:rsidRDefault="00AF4D46" w:rsidP="0055328D">
            <w:pPr>
              <w:rPr>
                <w:b/>
              </w:rPr>
            </w:pPr>
            <w:r w:rsidRPr="00F16E3D">
              <w:rPr>
                <w:b/>
              </w:rPr>
              <w:t>Programs specifically targeted at young parents</w:t>
            </w:r>
          </w:p>
        </w:tc>
        <w:tc>
          <w:tcPr>
            <w:tcW w:w="4167" w:type="dxa"/>
          </w:tcPr>
          <w:p w:rsidR="00AF4D46" w:rsidRPr="00F16E3D" w:rsidRDefault="00AF4D46" w:rsidP="00F16E3D">
            <w:pPr>
              <w:rPr>
                <w:b/>
              </w:rPr>
            </w:pPr>
            <w:r w:rsidRPr="00F16E3D">
              <w:rPr>
                <w:b/>
              </w:rPr>
              <w:t xml:space="preserve">Programs targeted at youth/children </w:t>
            </w:r>
          </w:p>
        </w:tc>
      </w:tr>
      <w:tr w:rsidR="00AF4D46" w:rsidRPr="00021DD2" w:rsidTr="00105288">
        <w:trPr>
          <w:trHeight w:val="6334"/>
        </w:trPr>
        <w:tc>
          <w:tcPr>
            <w:tcW w:w="1586" w:type="dxa"/>
          </w:tcPr>
          <w:p w:rsidR="00AF4D46" w:rsidRPr="00021DD2" w:rsidRDefault="00AF4D46" w:rsidP="00C86EEE">
            <w:pPr>
              <w:spacing w:before="0" w:after="0"/>
              <w:rPr>
                <w:rFonts w:cs="Arial"/>
                <w:b/>
                <w:sz w:val="22"/>
                <w:szCs w:val="22"/>
              </w:rPr>
            </w:pPr>
            <w:r w:rsidRPr="00021DD2">
              <w:rPr>
                <w:rFonts w:cs="Arial"/>
                <w:b/>
                <w:sz w:val="22"/>
                <w:szCs w:val="22"/>
              </w:rPr>
              <w:t>Western Australia</w:t>
            </w:r>
          </w:p>
        </w:tc>
        <w:tc>
          <w:tcPr>
            <w:tcW w:w="4677" w:type="dxa"/>
          </w:tcPr>
          <w:p w:rsidR="00AF4D46" w:rsidRPr="00021DD2" w:rsidRDefault="00AF4D46" w:rsidP="00C86EEE">
            <w:pPr>
              <w:pStyle w:val="Paragrafoelenco"/>
              <w:numPr>
                <w:ilvl w:val="0"/>
                <w:numId w:val="56"/>
              </w:numPr>
              <w:jc w:val="left"/>
              <w:rPr>
                <w:sz w:val="22"/>
                <w:szCs w:val="22"/>
              </w:rPr>
            </w:pPr>
            <w:r w:rsidRPr="00021DD2">
              <w:rPr>
                <w:sz w:val="22"/>
                <w:szCs w:val="22"/>
              </w:rPr>
              <w:t>Mother Baby Unit (Women and Newborn Health Service/King Edward Memorial Hospital)</w:t>
            </w:r>
          </w:p>
          <w:p w:rsidR="00AF4D46" w:rsidRPr="00021DD2" w:rsidRDefault="00AF4D46" w:rsidP="00C86EEE">
            <w:pPr>
              <w:pStyle w:val="Paragrafoelenco"/>
              <w:numPr>
                <w:ilvl w:val="0"/>
                <w:numId w:val="56"/>
              </w:numPr>
              <w:jc w:val="left"/>
              <w:rPr>
                <w:sz w:val="22"/>
                <w:szCs w:val="22"/>
              </w:rPr>
            </w:pPr>
            <w:r w:rsidRPr="00021DD2">
              <w:rPr>
                <w:sz w:val="22"/>
                <w:szCs w:val="22"/>
              </w:rPr>
              <w:t>Complex Care Group</w:t>
            </w:r>
          </w:p>
          <w:p w:rsidR="00AF4D46" w:rsidRPr="00021DD2" w:rsidRDefault="00AF4D46" w:rsidP="00C86EEE">
            <w:pPr>
              <w:pStyle w:val="Paragrafoelenco"/>
              <w:numPr>
                <w:ilvl w:val="0"/>
                <w:numId w:val="56"/>
              </w:numPr>
              <w:jc w:val="left"/>
              <w:rPr>
                <w:sz w:val="22"/>
                <w:szCs w:val="22"/>
              </w:rPr>
            </w:pPr>
            <w:r w:rsidRPr="00021DD2">
              <w:rPr>
                <w:sz w:val="22"/>
                <w:szCs w:val="22"/>
              </w:rPr>
              <w:t>Mother and Baby Unit (Fiona Stanley Hospital Women, Children and Newborn Service)</w:t>
            </w:r>
          </w:p>
          <w:p w:rsidR="00AF4D46" w:rsidRPr="00021DD2" w:rsidRDefault="00AF4D46" w:rsidP="00C86EEE">
            <w:pPr>
              <w:pStyle w:val="Paragrafoelenco"/>
              <w:numPr>
                <w:ilvl w:val="0"/>
                <w:numId w:val="56"/>
              </w:numPr>
              <w:jc w:val="left"/>
              <w:rPr>
                <w:sz w:val="22"/>
                <w:szCs w:val="22"/>
              </w:rPr>
            </w:pPr>
            <w:r w:rsidRPr="00021DD2">
              <w:rPr>
                <w:sz w:val="22"/>
                <w:szCs w:val="22"/>
              </w:rPr>
              <w:t>Midwifery Group Practice (Armadale Health Service)</w:t>
            </w:r>
          </w:p>
          <w:p w:rsidR="00AF4D46" w:rsidRPr="00021DD2" w:rsidRDefault="00AF4D46" w:rsidP="00C86EEE">
            <w:pPr>
              <w:pStyle w:val="Paragrafoelenco"/>
              <w:numPr>
                <w:ilvl w:val="0"/>
                <w:numId w:val="56"/>
              </w:numPr>
              <w:jc w:val="left"/>
              <w:rPr>
                <w:sz w:val="22"/>
                <w:szCs w:val="22"/>
              </w:rPr>
            </w:pPr>
            <w:r w:rsidRPr="00021DD2">
              <w:rPr>
                <w:sz w:val="22"/>
                <w:szCs w:val="22"/>
              </w:rPr>
              <w:t>Registered midwife referral to Bentley Health Service Social Work (Bentley Health Service)</w:t>
            </w:r>
          </w:p>
          <w:p w:rsidR="00AF4D46" w:rsidRPr="00021DD2" w:rsidRDefault="00AF4D46" w:rsidP="00C86EEE">
            <w:pPr>
              <w:pStyle w:val="Paragrafoelenco"/>
              <w:numPr>
                <w:ilvl w:val="0"/>
                <w:numId w:val="56"/>
              </w:numPr>
              <w:jc w:val="left"/>
              <w:rPr>
                <w:sz w:val="22"/>
                <w:szCs w:val="22"/>
              </w:rPr>
            </w:pPr>
            <w:r w:rsidRPr="00021DD2">
              <w:rPr>
                <w:sz w:val="22"/>
                <w:szCs w:val="22"/>
              </w:rPr>
              <w:t>Infant Mental Health Programme (Children and Adolescent Mental Health Service)</w:t>
            </w:r>
          </w:p>
          <w:p w:rsidR="00AF4D46" w:rsidRPr="00021DD2" w:rsidRDefault="00AF4D46" w:rsidP="00C86EEE">
            <w:pPr>
              <w:pStyle w:val="Paragrafoelenco"/>
              <w:numPr>
                <w:ilvl w:val="0"/>
                <w:numId w:val="56"/>
              </w:numPr>
              <w:jc w:val="left"/>
              <w:rPr>
                <w:sz w:val="22"/>
                <w:szCs w:val="22"/>
              </w:rPr>
            </w:pPr>
            <w:r w:rsidRPr="00021DD2">
              <w:rPr>
                <w:sz w:val="22"/>
                <w:szCs w:val="22"/>
              </w:rPr>
              <w:t>Circle of Security Groups (Children and Adolescent Mental Health Service)</w:t>
            </w:r>
          </w:p>
          <w:p w:rsidR="00AF4D46" w:rsidRPr="00021DD2" w:rsidRDefault="00AF4D46" w:rsidP="00C86EEE">
            <w:pPr>
              <w:pStyle w:val="Paragrafoelenco"/>
              <w:numPr>
                <w:ilvl w:val="0"/>
                <w:numId w:val="56"/>
              </w:numPr>
              <w:jc w:val="left"/>
              <w:rPr>
                <w:sz w:val="22"/>
                <w:szCs w:val="22"/>
              </w:rPr>
            </w:pPr>
            <w:r w:rsidRPr="00021DD2">
              <w:rPr>
                <w:sz w:val="22"/>
                <w:szCs w:val="22"/>
              </w:rPr>
              <w:t>Enhanced Aboriginal Child Health Schedule (EACHS) (Child and Adolescent Health Service)</w:t>
            </w:r>
          </w:p>
          <w:p w:rsidR="00AF4D46" w:rsidRPr="00021DD2" w:rsidRDefault="00AF4D46" w:rsidP="00C86EEE">
            <w:pPr>
              <w:pStyle w:val="Paragrafoelenco"/>
              <w:numPr>
                <w:ilvl w:val="0"/>
                <w:numId w:val="56"/>
              </w:numPr>
              <w:jc w:val="left"/>
              <w:rPr>
                <w:sz w:val="22"/>
                <w:szCs w:val="22"/>
              </w:rPr>
            </w:pPr>
            <w:r w:rsidRPr="00021DD2">
              <w:rPr>
                <w:sz w:val="22"/>
                <w:szCs w:val="22"/>
              </w:rPr>
              <w:t>Enhanced Home Visiting (EHV) Child and Adolescent Health Service</w:t>
            </w:r>
          </w:p>
          <w:p w:rsidR="00AF4D46" w:rsidRPr="00021DD2" w:rsidRDefault="00AF4D46" w:rsidP="00C86EEE">
            <w:pPr>
              <w:pStyle w:val="Paragrafoelenco"/>
              <w:numPr>
                <w:ilvl w:val="0"/>
                <w:numId w:val="56"/>
              </w:numPr>
              <w:jc w:val="left"/>
              <w:rPr>
                <w:sz w:val="22"/>
                <w:szCs w:val="22"/>
              </w:rPr>
            </w:pPr>
            <w:r w:rsidRPr="00021DD2">
              <w:rPr>
                <w:sz w:val="22"/>
                <w:szCs w:val="22"/>
              </w:rPr>
              <w:t>Women and Newborn Drug and Alcohol Service (WANDAS) (King Edward Memorial Hospital)</w:t>
            </w:r>
          </w:p>
          <w:p w:rsidR="00AF4D46" w:rsidRPr="00021DD2" w:rsidRDefault="00AF4D46" w:rsidP="00C86EEE">
            <w:pPr>
              <w:pStyle w:val="Paragrafoelenco"/>
              <w:numPr>
                <w:ilvl w:val="0"/>
                <w:numId w:val="56"/>
              </w:numPr>
              <w:jc w:val="left"/>
              <w:rPr>
                <w:sz w:val="22"/>
                <w:szCs w:val="22"/>
              </w:rPr>
            </w:pPr>
            <w:r w:rsidRPr="00021DD2">
              <w:rPr>
                <w:sz w:val="22"/>
                <w:szCs w:val="22"/>
              </w:rPr>
              <w:t>Attach Drug and Alc</w:t>
            </w:r>
            <w:r w:rsidR="004C4032" w:rsidRPr="00021DD2">
              <w:rPr>
                <w:sz w:val="22"/>
                <w:szCs w:val="22"/>
              </w:rPr>
              <w:t xml:space="preserve">ohol Service (UnitingCare West). </w:t>
            </w:r>
          </w:p>
          <w:p w:rsidR="00AF4D46" w:rsidRPr="00021DD2" w:rsidRDefault="00AF4D46" w:rsidP="00C86EEE">
            <w:pPr>
              <w:pStyle w:val="Paragrafoelenco"/>
              <w:numPr>
                <w:ilvl w:val="0"/>
                <w:numId w:val="56"/>
              </w:numPr>
              <w:spacing w:before="0" w:after="200" w:line="276" w:lineRule="auto"/>
              <w:jc w:val="left"/>
              <w:rPr>
                <w:sz w:val="22"/>
                <w:szCs w:val="22"/>
              </w:rPr>
            </w:pPr>
            <w:r w:rsidRPr="00021DD2">
              <w:rPr>
                <w:sz w:val="22"/>
                <w:szCs w:val="22"/>
              </w:rPr>
              <w:t xml:space="preserve">Women’s Health and Family Services (WHFS) </w:t>
            </w:r>
            <w:r w:rsidR="005854CD">
              <w:rPr>
                <w:sz w:val="22"/>
                <w:szCs w:val="22"/>
              </w:rPr>
              <w:t>–</w:t>
            </w:r>
            <w:r w:rsidR="005854CD" w:rsidRPr="00021DD2">
              <w:rPr>
                <w:sz w:val="22"/>
                <w:szCs w:val="22"/>
              </w:rPr>
              <w:t xml:space="preserve"> </w:t>
            </w:r>
            <w:r w:rsidRPr="00021DD2">
              <w:rPr>
                <w:sz w:val="22"/>
                <w:szCs w:val="22"/>
              </w:rPr>
              <w:t>Outreach and Perinatal Mental Health (Women’s Healthcare Association)</w:t>
            </w:r>
          </w:p>
          <w:p w:rsidR="00AF4D46" w:rsidRPr="00021DD2" w:rsidRDefault="00AF4D46" w:rsidP="00C86EEE">
            <w:pPr>
              <w:pStyle w:val="Paragrafoelenco"/>
              <w:numPr>
                <w:ilvl w:val="0"/>
                <w:numId w:val="56"/>
              </w:numPr>
              <w:jc w:val="left"/>
              <w:rPr>
                <w:sz w:val="22"/>
                <w:szCs w:val="22"/>
              </w:rPr>
            </w:pPr>
            <w:r w:rsidRPr="00021DD2">
              <w:rPr>
                <w:sz w:val="22"/>
                <w:szCs w:val="22"/>
              </w:rPr>
              <w:t>Specialist Alcohol and Other Drug Treatment (Women’s Health and Family Services)</w:t>
            </w:r>
          </w:p>
          <w:p w:rsidR="00AF4D46" w:rsidRPr="00021DD2" w:rsidRDefault="00AF4D46" w:rsidP="00C86EEE">
            <w:pPr>
              <w:pStyle w:val="Paragrafoelenco"/>
              <w:numPr>
                <w:ilvl w:val="0"/>
                <w:numId w:val="56"/>
              </w:numPr>
              <w:spacing w:before="0" w:after="200" w:line="276" w:lineRule="auto"/>
              <w:jc w:val="left"/>
              <w:rPr>
                <w:sz w:val="22"/>
                <w:szCs w:val="22"/>
              </w:rPr>
            </w:pPr>
            <w:r w:rsidRPr="00021DD2">
              <w:rPr>
                <w:sz w:val="22"/>
                <w:szCs w:val="22"/>
              </w:rPr>
              <w:t xml:space="preserve">The Fremantle Women’s Health Centre </w:t>
            </w:r>
          </w:p>
          <w:p w:rsidR="00AF4D46" w:rsidRPr="00021DD2" w:rsidRDefault="00AF4D46" w:rsidP="00C86EEE">
            <w:pPr>
              <w:pStyle w:val="Paragrafoelenco"/>
              <w:numPr>
                <w:ilvl w:val="0"/>
                <w:numId w:val="56"/>
              </w:numPr>
              <w:jc w:val="left"/>
              <w:rPr>
                <w:sz w:val="22"/>
                <w:szCs w:val="22"/>
              </w:rPr>
            </w:pPr>
            <w:r w:rsidRPr="00021DD2">
              <w:rPr>
                <w:sz w:val="22"/>
                <w:szCs w:val="22"/>
              </w:rPr>
              <w:t>South Coastal Health and Community Services</w:t>
            </w:r>
          </w:p>
          <w:p w:rsidR="00AF4D46" w:rsidRPr="00021DD2" w:rsidRDefault="00AF4D46" w:rsidP="00C86EEE">
            <w:pPr>
              <w:pStyle w:val="Paragrafoelenco"/>
              <w:numPr>
                <w:ilvl w:val="0"/>
                <w:numId w:val="56"/>
              </w:numPr>
              <w:jc w:val="left"/>
              <w:rPr>
                <w:sz w:val="22"/>
                <w:szCs w:val="22"/>
              </w:rPr>
            </w:pPr>
            <w:r w:rsidRPr="00021DD2">
              <w:rPr>
                <w:sz w:val="22"/>
                <w:szCs w:val="22"/>
              </w:rPr>
              <w:t>AOD residential treatment and support (Cyrenian House – Rick Hammersley Centre)</w:t>
            </w:r>
          </w:p>
          <w:p w:rsidR="00AF4D46" w:rsidRPr="00021DD2" w:rsidRDefault="00AF4D46" w:rsidP="00C86EEE">
            <w:pPr>
              <w:pStyle w:val="Paragrafoelenco"/>
              <w:numPr>
                <w:ilvl w:val="0"/>
                <w:numId w:val="56"/>
              </w:numPr>
              <w:jc w:val="left"/>
              <w:rPr>
                <w:sz w:val="22"/>
                <w:szCs w:val="22"/>
              </w:rPr>
            </w:pPr>
            <w:r w:rsidRPr="00021DD2">
              <w:rPr>
                <w:sz w:val="22"/>
                <w:szCs w:val="22"/>
              </w:rPr>
              <w:t>Parent Peer Support Program (M</w:t>
            </w:r>
            <w:r w:rsidR="00E85A5B" w:rsidRPr="00021DD2">
              <w:rPr>
                <w:sz w:val="22"/>
                <w:szCs w:val="22"/>
              </w:rPr>
              <w:t>ental Illness Fellowship of WA</w:t>
            </w:r>
            <w:r w:rsidR="009C448E" w:rsidRPr="00021DD2">
              <w:rPr>
                <w:sz w:val="22"/>
                <w:szCs w:val="22"/>
              </w:rPr>
              <w:t>)</w:t>
            </w:r>
            <w:r w:rsidR="00E85A5B" w:rsidRPr="00021DD2">
              <w:rPr>
                <w:sz w:val="22"/>
                <w:szCs w:val="22"/>
              </w:rPr>
              <w:t xml:space="preserve"> (</w:t>
            </w:r>
            <w:r w:rsidRPr="00021DD2">
              <w:rPr>
                <w:sz w:val="22"/>
                <w:szCs w:val="22"/>
              </w:rPr>
              <w:t>MIFWA</w:t>
            </w:r>
            <w:r w:rsidR="00E85A5B" w:rsidRPr="00021DD2">
              <w:rPr>
                <w:sz w:val="22"/>
                <w:szCs w:val="22"/>
              </w:rPr>
              <w:t>).</w:t>
            </w:r>
          </w:p>
          <w:p w:rsidR="00AF4D46" w:rsidRPr="00021DD2" w:rsidRDefault="00AF4D46" w:rsidP="00C86EEE">
            <w:pPr>
              <w:pStyle w:val="Paragrafoelenco"/>
              <w:numPr>
                <w:ilvl w:val="0"/>
                <w:numId w:val="56"/>
              </w:numPr>
              <w:jc w:val="left"/>
              <w:rPr>
                <w:sz w:val="22"/>
                <w:szCs w:val="22"/>
              </w:rPr>
            </w:pPr>
            <w:r w:rsidRPr="00021DD2">
              <w:rPr>
                <w:sz w:val="22"/>
                <w:szCs w:val="22"/>
              </w:rPr>
              <w:t>Best Beginnings Plus (BB Plus) (Department for Child Protection and Family Support).</w:t>
            </w:r>
          </w:p>
          <w:p w:rsidR="00AF4D46" w:rsidRPr="00021DD2" w:rsidRDefault="00AF4D46" w:rsidP="00C86EEE">
            <w:pPr>
              <w:pStyle w:val="Paragrafoelenco"/>
              <w:numPr>
                <w:ilvl w:val="0"/>
                <w:numId w:val="56"/>
              </w:numPr>
              <w:autoSpaceDE w:val="0"/>
              <w:autoSpaceDN w:val="0"/>
              <w:adjustRightInd w:val="0"/>
              <w:jc w:val="left"/>
              <w:rPr>
                <w:sz w:val="22"/>
                <w:szCs w:val="22"/>
              </w:rPr>
            </w:pPr>
            <w:r w:rsidRPr="00021DD2">
              <w:rPr>
                <w:sz w:val="22"/>
                <w:szCs w:val="22"/>
              </w:rPr>
              <w:t>Getting Ready for Pre-Birth Planning Project</w:t>
            </w:r>
          </w:p>
          <w:p w:rsidR="00AF4D46" w:rsidRPr="00021DD2" w:rsidRDefault="00AF4D46" w:rsidP="00C86EEE">
            <w:pPr>
              <w:pStyle w:val="Paragrafoelenco"/>
              <w:numPr>
                <w:ilvl w:val="0"/>
                <w:numId w:val="56"/>
              </w:numPr>
              <w:jc w:val="left"/>
              <w:rPr>
                <w:sz w:val="22"/>
                <w:szCs w:val="22"/>
              </w:rPr>
            </w:pPr>
            <w:r w:rsidRPr="00021DD2">
              <w:rPr>
                <w:sz w:val="22"/>
                <w:szCs w:val="22"/>
              </w:rPr>
              <w:t>Ngala Overnight Stay (ONS) Service</w:t>
            </w:r>
          </w:p>
          <w:p w:rsidR="00AF4D46" w:rsidRPr="00021DD2" w:rsidRDefault="00AF4D46" w:rsidP="00C86EEE">
            <w:pPr>
              <w:pStyle w:val="Paragrafoelenco"/>
              <w:numPr>
                <w:ilvl w:val="0"/>
                <w:numId w:val="56"/>
              </w:numPr>
              <w:jc w:val="left"/>
              <w:rPr>
                <w:sz w:val="22"/>
                <w:szCs w:val="22"/>
              </w:rPr>
            </w:pPr>
            <w:r w:rsidRPr="00021DD2">
              <w:rPr>
                <w:sz w:val="22"/>
                <w:szCs w:val="22"/>
              </w:rPr>
              <w:t>Kwinana Early Years Services (KEYS)</w:t>
            </w:r>
          </w:p>
          <w:p w:rsidR="00AF4D46" w:rsidRPr="00021DD2" w:rsidRDefault="00AF4D46" w:rsidP="00C86EEE">
            <w:pPr>
              <w:pStyle w:val="Paragrafoelenco"/>
              <w:numPr>
                <w:ilvl w:val="0"/>
                <w:numId w:val="56"/>
              </w:numPr>
              <w:autoSpaceDE w:val="0"/>
              <w:autoSpaceDN w:val="0"/>
              <w:adjustRightInd w:val="0"/>
              <w:jc w:val="left"/>
              <w:rPr>
                <w:sz w:val="22"/>
                <w:szCs w:val="22"/>
              </w:rPr>
            </w:pPr>
            <w:r w:rsidRPr="00021DD2">
              <w:rPr>
                <w:sz w:val="22"/>
                <w:szCs w:val="22"/>
              </w:rPr>
              <w:t xml:space="preserve">Parent and Baby Support Service </w:t>
            </w:r>
            <w:r w:rsidRPr="00021DD2">
              <w:rPr>
                <w:i/>
                <w:sz w:val="22"/>
                <w:szCs w:val="22"/>
              </w:rPr>
              <w:t>(This is a new service currently in the d</w:t>
            </w:r>
            <w:r w:rsidR="00C86EEE">
              <w:rPr>
                <w:i/>
                <w:sz w:val="22"/>
                <w:szCs w:val="22"/>
              </w:rPr>
              <w:t xml:space="preserve">esign phase under the suite of </w:t>
            </w:r>
            <w:r w:rsidRPr="00021DD2">
              <w:rPr>
                <w:i/>
                <w:sz w:val="22"/>
                <w:szCs w:val="22"/>
              </w:rPr>
              <w:t xml:space="preserve">OOHC </w:t>
            </w:r>
            <w:r w:rsidR="0036250D">
              <w:rPr>
                <w:i/>
                <w:sz w:val="22"/>
                <w:szCs w:val="22"/>
              </w:rPr>
              <w:t>r</w:t>
            </w:r>
            <w:r w:rsidRPr="00021DD2">
              <w:rPr>
                <w:i/>
                <w:sz w:val="22"/>
                <w:szCs w:val="22"/>
              </w:rPr>
              <w:t>eforms)</w:t>
            </w:r>
          </w:p>
          <w:p w:rsidR="00AF4D46" w:rsidRPr="00021DD2" w:rsidRDefault="00AF4D46" w:rsidP="00C86EEE">
            <w:pPr>
              <w:pStyle w:val="Paragrafoelenco"/>
              <w:numPr>
                <w:ilvl w:val="0"/>
                <w:numId w:val="56"/>
              </w:numPr>
              <w:jc w:val="left"/>
              <w:rPr>
                <w:sz w:val="22"/>
                <w:szCs w:val="22"/>
              </w:rPr>
            </w:pPr>
            <w:r w:rsidRPr="00021DD2">
              <w:rPr>
                <w:sz w:val="22"/>
                <w:szCs w:val="22"/>
              </w:rPr>
              <w:t>Youth Justice Services</w:t>
            </w:r>
          </w:p>
        </w:tc>
        <w:tc>
          <w:tcPr>
            <w:tcW w:w="4622" w:type="dxa"/>
          </w:tcPr>
          <w:p w:rsidR="00AF4D46" w:rsidRPr="00021DD2" w:rsidRDefault="00AF4D46" w:rsidP="00C86EEE">
            <w:pPr>
              <w:pStyle w:val="Paragrafoelenco"/>
              <w:tabs>
                <w:tab w:val="left" w:pos="3364"/>
              </w:tabs>
              <w:spacing w:before="0" w:after="0"/>
              <w:ind w:left="360"/>
              <w:jc w:val="left"/>
              <w:rPr>
                <w:sz w:val="22"/>
                <w:szCs w:val="22"/>
              </w:rPr>
            </w:pPr>
          </w:p>
          <w:p w:rsidR="00AF4D46" w:rsidRPr="00021DD2" w:rsidRDefault="00AF4D46" w:rsidP="00C86EEE">
            <w:pPr>
              <w:pStyle w:val="Paragrafoelenco"/>
              <w:numPr>
                <w:ilvl w:val="0"/>
                <w:numId w:val="56"/>
              </w:numPr>
              <w:tabs>
                <w:tab w:val="left" w:pos="3364"/>
              </w:tabs>
              <w:spacing w:before="0" w:after="0"/>
              <w:jc w:val="left"/>
              <w:rPr>
                <w:sz w:val="22"/>
                <w:szCs w:val="22"/>
              </w:rPr>
            </w:pPr>
            <w:r w:rsidRPr="00021DD2">
              <w:rPr>
                <w:sz w:val="22"/>
                <w:szCs w:val="22"/>
              </w:rPr>
              <w:t>Adolescent Clinic Services (King Edward Memorial Hospital)</w:t>
            </w:r>
          </w:p>
          <w:p w:rsidR="00AF4D46" w:rsidRPr="00021DD2" w:rsidRDefault="00AF4D46" w:rsidP="00C86EEE">
            <w:pPr>
              <w:pStyle w:val="Paragrafoelenco"/>
              <w:numPr>
                <w:ilvl w:val="0"/>
                <w:numId w:val="56"/>
              </w:numPr>
              <w:tabs>
                <w:tab w:val="left" w:pos="3364"/>
              </w:tabs>
              <w:spacing w:before="0" w:after="0"/>
              <w:jc w:val="left"/>
              <w:rPr>
                <w:sz w:val="22"/>
                <w:szCs w:val="22"/>
              </w:rPr>
            </w:pPr>
            <w:r w:rsidRPr="00021DD2">
              <w:rPr>
                <w:sz w:val="22"/>
                <w:szCs w:val="22"/>
              </w:rPr>
              <w:t>Adolescent Antenatal Clinic (King Edward Memorial Hospital)</w:t>
            </w:r>
          </w:p>
          <w:p w:rsidR="00AF4D46" w:rsidRPr="00021DD2" w:rsidRDefault="00AF4D46" w:rsidP="00C86EEE">
            <w:pPr>
              <w:pStyle w:val="Paragrafoelenco"/>
              <w:numPr>
                <w:ilvl w:val="0"/>
                <w:numId w:val="56"/>
              </w:numPr>
              <w:jc w:val="left"/>
              <w:rPr>
                <w:sz w:val="22"/>
                <w:szCs w:val="22"/>
              </w:rPr>
            </w:pPr>
            <w:r w:rsidRPr="00021DD2">
              <w:rPr>
                <w:sz w:val="22"/>
                <w:szCs w:val="22"/>
              </w:rPr>
              <w:t>Adolescent Health Service</w:t>
            </w:r>
            <w:r w:rsidR="001D4738">
              <w:rPr>
                <w:sz w:val="22"/>
                <w:szCs w:val="22"/>
              </w:rPr>
              <w:t xml:space="preserve"> (King Edward Memorial Hospital/</w:t>
            </w:r>
            <w:r w:rsidR="00A5753E">
              <w:rPr>
                <w:sz w:val="22"/>
                <w:szCs w:val="22"/>
              </w:rPr>
              <w:t>State-wide referrals</w:t>
            </w:r>
          </w:p>
          <w:p w:rsidR="00AF4D46" w:rsidRPr="00021DD2" w:rsidRDefault="00AF4D46" w:rsidP="00C86EEE">
            <w:pPr>
              <w:pStyle w:val="Paragrafoelenco"/>
              <w:numPr>
                <w:ilvl w:val="0"/>
                <w:numId w:val="56"/>
              </w:numPr>
              <w:jc w:val="left"/>
              <w:rPr>
                <w:sz w:val="22"/>
                <w:szCs w:val="22"/>
              </w:rPr>
            </w:pPr>
            <w:r w:rsidRPr="00021DD2">
              <w:rPr>
                <w:sz w:val="22"/>
                <w:szCs w:val="22"/>
              </w:rPr>
              <w:t>Young Parents Group (Ngala)</w:t>
            </w:r>
          </w:p>
          <w:p w:rsidR="00AF4D46" w:rsidRPr="00021DD2" w:rsidRDefault="00AF4D46" w:rsidP="00C86EEE">
            <w:pPr>
              <w:pStyle w:val="Paragrafoelenco"/>
              <w:numPr>
                <w:ilvl w:val="0"/>
                <w:numId w:val="56"/>
              </w:numPr>
              <w:jc w:val="left"/>
              <w:rPr>
                <w:sz w:val="22"/>
                <w:szCs w:val="22"/>
              </w:rPr>
            </w:pPr>
            <w:r w:rsidRPr="00021DD2">
              <w:rPr>
                <w:sz w:val="22"/>
                <w:szCs w:val="22"/>
              </w:rPr>
              <w:t>Supporting Those at Risk (STAR) Antenatal Clinic (Armadale Health Service)</w:t>
            </w:r>
          </w:p>
          <w:p w:rsidR="00AF4D46" w:rsidRPr="00021DD2" w:rsidRDefault="00AF4D46" w:rsidP="00C86EEE">
            <w:pPr>
              <w:pStyle w:val="Paragrafoelenco"/>
              <w:numPr>
                <w:ilvl w:val="0"/>
                <w:numId w:val="56"/>
              </w:numPr>
              <w:jc w:val="left"/>
              <w:rPr>
                <w:sz w:val="22"/>
                <w:szCs w:val="22"/>
              </w:rPr>
            </w:pPr>
            <w:r w:rsidRPr="00021DD2">
              <w:rPr>
                <w:sz w:val="22"/>
                <w:szCs w:val="22"/>
              </w:rPr>
              <w:t>St John of God Horizon House Young Mother and Baby Program (St John of God Social Outreach/Community Youth Se</w:t>
            </w:r>
            <w:r w:rsidR="00955DD8">
              <w:rPr>
                <w:sz w:val="22"/>
                <w:szCs w:val="22"/>
              </w:rPr>
              <w:t>rvices/Mother and Baby Program</w:t>
            </w:r>
            <w:r w:rsidRPr="00021DD2">
              <w:rPr>
                <w:sz w:val="22"/>
                <w:szCs w:val="22"/>
              </w:rPr>
              <w:t>)</w:t>
            </w:r>
          </w:p>
          <w:p w:rsidR="00AF4D46" w:rsidRPr="00021DD2" w:rsidRDefault="00AF4D46" w:rsidP="00C86EEE">
            <w:pPr>
              <w:pStyle w:val="Paragrafoelenco"/>
              <w:numPr>
                <w:ilvl w:val="0"/>
                <w:numId w:val="56"/>
              </w:numPr>
              <w:jc w:val="left"/>
              <w:rPr>
                <w:sz w:val="22"/>
                <w:szCs w:val="22"/>
              </w:rPr>
            </w:pPr>
            <w:r w:rsidRPr="00021DD2">
              <w:rPr>
                <w:sz w:val="22"/>
                <w:szCs w:val="22"/>
              </w:rPr>
              <w:t>Schools providing classes for pregnant and parenting young people and onsite child care</w:t>
            </w:r>
          </w:p>
          <w:p w:rsidR="00AF4D46" w:rsidRPr="00021DD2" w:rsidRDefault="00AF4D46" w:rsidP="00C86EEE">
            <w:pPr>
              <w:pStyle w:val="Paragrafoelenco"/>
              <w:numPr>
                <w:ilvl w:val="1"/>
                <w:numId w:val="56"/>
              </w:numPr>
              <w:spacing w:before="0" w:after="200"/>
              <w:ind w:left="891" w:hanging="284"/>
              <w:jc w:val="left"/>
              <w:rPr>
                <w:sz w:val="22"/>
                <w:szCs w:val="22"/>
              </w:rPr>
            </w:pPr>
            <w:r w:rsidRPr="00021DD2">
              <w:rPr>
                <w:bCs/>
                <w:sz w:val="22"/>
                <w:szCs w:val="22"/>
              </w:rPr>
              <w:t>Balga Senior High School, Child Care Centre and Young Parents Program</w:t>
            </w:r>
          </w:p>
          <w:p w:rsidR="00AF4D46" w:rsidRPr="00021DD2" w:rsidRDefault="00AF4D46" w:rsidP="00C86EEE">
            <w:pPr>
              <w:pStyle w:val="Paragrafoelenco"/>
              <w:numPr>
                <w:ilvl w:val="1"/>
                <w:numId w:val="56"/>
              </w:numPr>
              <w:spacing w:before="0" w:after="200"/>
              <w:ind w:left="891" w:hanging="284"/>
              <w:jc w:val="left"/>
              <w:rPr>
                <w:sz w:val="22"/>
                <w:szCs w:val="22"/>
              </w:rPr>
            </w:pPr>
            <w:r w:rsidRPr="00021DD2">
              <w:rPr>
                <w:bCs/>
                <w:sz w:val="22"/>
                <w:szCs w:val="22"/>
              </w:rPr>
              <w:t>Challenger Institute, Young, Pregnant and Very Excited</w:t>
            </w:r>
          </w:p>
          <w:p w:rsidR="00AF4D46" w:rsidRPr="00021DD2" w:rsidRDefault="00AF4D46" w:rsidP="00C86EEE">
            <w:pPr>
              <w:pStyle w:val="Paragrafoelenco"/>
              <w:numPr>
                <w:ilvl w:val="1"/>
                <w:numId w:val="56"/>
              </w:numPr>
              <w:spacing w:before="0" w:after="200"/>
              <w:ind w:left="891" w:hanging="284"/>
              <w:jc w:val="left"/>
              <w:rPr>
                <w:sz w:val="22"/>
                <w:szCs w:val="22"/>
              </w:rPr>
            </w:pPr>
            <w:r w:rsidRPr="00021DD2">
              <w:rPr>
                <w:bCs/>
                <w:sz w:val="22"/>
                <w:szCs w:val="22"/>
              </w:rPr>
              <w:t>Cyril Jackson Senior Campus</w:t>
            </w:r>
          </w:p>
          <w:p w:rsidR="00AF4D46" w:rsidRPr="00021DD2" w:rsidRDefault="00AF4D46" w:rsidP="00C86EEE">
            <w:pPr>
              <w:pStyle w:val="Paragrafoelenco"/>
              <w:numPr>
                <w:ilvl w:val="1"/>
                <w:numId w:val="56"/>
              </w:numPr>
              <w:spacing w:before="0" w:after="200"/>
              <w:ind w:left="891" w:hanging="284"/>
              <w:jc w:val="left"/>
              <w:rPr>
                <w:bCs/>
                <w:sz w:val="22"/>
                <w:szCs w:val="22"/>
              </w:rPr>
            </w:pPr>
            <w:r w:rsidRPr="00021DD2">
              <w:rPr>
                <w:bCs/>
                <w:sz w:val="22"/>
                <w:szCs w:val="22"/>
              </w:rPr>
              <w:t xml:space="preserve">Fremantle Fast Track </w:t>
            </w:r>
          </w:p>
          <w:p w:rsidR="00AF4D46" w:rsidRPr="00021DD2" w:rsidRDefault="00AF4D46" w:rsidP="00C86EEE">
            <w:pPr>
              <w:pStyle w:val="Paragrafoelenco"/>
              <w:numPr>
                <w:ilvl w:val="1"/>
                <w:numId w:val="56"/>
              </w:numPr>
              <w:spacing w:before="0" w:after="200"/>
              <w:ind w:left="891" w:hanging="284"/>
              <w:jc w:val="left"/>
              <w:rPr>
                <w:bCs/>
                <w:sz w:val="22"/>
                <w:szCs w:val="22"/>
              </w:rPr>
            </w:pPr>
            <w:r w:rsidRPr="00021DD2">
              <w:rPr>
                <w:sz w:val="22"/>
                <w:szCs w:val="22"/>
              </w:rPr>
              <w:t>Mum’s the Word</w:t>
            </w:r>
          </w:p>
          <w:p w:rsidR="00AF4D46" w:rsidRPr="00021DD2" w:rsidRDefault="00AF4D46" w:rsidP="00C86EEE">
            <w:pPr>
              <w:pStyle w:val="Paragrafoelenco"/>
              <w:numPr>
                <w:ilvl w:val="1"/>
                <w:numId w:val="56"/>
              </w:numPr>
              <w:spacing w:before="0" w:after="200"/>
              <w:ind w:left="891" w:hanging="284"/>
              <w:jc w:val="left"/>
              <w:rPr>
                <w:bCs/>
                <w:sz w:val="22"/>
                <w:szCs w:val="22"/>
              </w:rPr>
            </w:pPr>
            <w:r w:rsidRPr="00021DD2">
              <w:rPr>
                <w:sz w:val="22"/>
                <w:szCs w:val="22"/>
              </w:rPr>
              <w:t>Port School</w:t>
            </w:r>
          </w:p>
          <w:p w:rsidR="00AF4D46" w:rsidRPr="0055328D" w:rsidRDefault="00AF4D46" w:rsidP="00C86EEE">
            <w:pPr>
              <w:pStyle w:val="Paragrafoelenco"/>
              <w:numPr>
                <w:ilvl w:val="1"/>
                <w:numId w:val="56"/>
              </w:numPr>
              <w:spacing w:before="0" w:after="200" w:line="276" w:lineRule="auto"/>
              <w:ind w:left="891" w:hanging="284"/>
              <w:jc w:val="left"/>
            </w:pPr>
            <w:r w:rsidRPr="00021DD2">
              <w:rPr>
                <w:sz w:val="22"/>
                <w:szCs w:val="22"/>
              </w:rPr>
              <w:t>Trinity Learning Centre (Uniting Care West)</w:t>
            </w:r>
          </w:p>
        </w:tc>
        <w:tc>
          <w:tcPr>
            <w:tcW w:w="4167" w:type="dxa"/>
          </w:tcPr>
          <w:p w:rsidR="00AF4D46" w:rsidRPr="00021DD2" w:rsidRDefault="00AF4D46" w:rsidP="00C86EEE">
            <w:pPr>
              <w:pStyle w:val="Paragrafoelenco"/>
              <w:tabs>
                <w:tab w:val="left" w:pos="3364"/>
              </w:tabs>
              <w:spacing w:before="0" w:after="0"/>
              <w:ind w:left="360"/>
              <w:jc w:val="left"/>
              <w:rPr>
                <w:sz w:val="22"/>
                <w:szCs w:val="22"/>
              </w:rPr>
            </w:pPr>
          </w:p>
        </w:tc>
      </w:tr>
      <w:tr w:rsidR="00AF4D46" w:rsidRPr="00021DD2" w:rsidTr="00105288">
        <w:trPr>
          <w:trHeight w:val="3489"/>
        </w:trPr>
        <w:tc>
          <w:tcPr>
            <w:tcW w:w="1586" w:type="dxa"/>
          </w:tcPr>
          <w:p w:rsidR="00AF4D46" w:rsidRPr="00021DD2" w:rsidRDefault="00AF4D46" w:rsidP="00AF4D46">
            <w:pPr>
              <w:spacing w:before="0" w:after="0"/>
              <w:rPr>
                <w:rFonts w:cs="Arial"/>
                <w:sz w:val="22"/>
                <w:szCs w:val="22"/>
              </w:rPr>
            </w:pPr>
            <w:r w:rsidRPr="00021DD2">
              <w:rPr>
                <w:rFonts w:cs="Arial"/>
                <w:b/>
                <w:sz w:val="22"/>
                <w:szCs w:val="22"/>
              </w:rPr>
              <w:t>Queensland</w:t>
            </w:r>
          </w:p>
        </w:tc>
        <w:tc>
          <w:tcPr>
            <w:tcW w:w="4677" w:type="dxa"/>
          </w:tcPr>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Child Health Services (Child and Youth Community Health Service)</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Ellen Barron Family Centre</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 xml:space="preserve">Centre for Children’s Health and Wellbeing </w:t>
            </w:r>
            <w:r w:rsidR="0036250D">
              <w:rPr>
                <w:sz w:val="22"/>
                <w:szCs w:val="22"/>
              </w:rPr>
              <w:t>(</w:t>
            </w:r>
            <w:r w:rsidRPr="00021DD2">
              <w:rPr>
                <w:sz w:val="22"/>
                <w:szCs w:val="22"/>
              </w:rPr>
              <w:t>CCHW</w:t>
            </w:r>
            <w:r w:rsidR="0036250D">
              <w:rPr>
                <w:sz w:val="22"/>
                <w:szCs w:val="22"/>
              </w:rPr>
              <w:t>)</w:t>
            </w:r>
            <w:r w:rsidRPr="00021DD2">
              <w:rPr>
                <w:sz w:val="22"/>
                <w:szCs w:val="22"/>
              </w:rPr>
              <w:t xml:space="preserve"> (Programs include: Promoting Optimal Maternal and Infant Nutrition Project; Connecting2U project; Healthy Kids Project)</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 xml:space="preserve">Queensland Centre for Perinatal and Infant Mental Health </w:t>
            </w:r>
            <w:r w:rsidR="0036250D">
              <w:rPr>
                <w:sz w:val="22"/>
                <w:szCs w:val="22"/>
              </w:rPr>
              <w:t>(</w:t>
            </w:r>
            <w:r w:rsidRPr="00021DD2">
              <w:rPr>
                <w:sz w:val="22"/>
                <w:szCs w:val="22"/>
              </w:rPr>
              <w:t>QCPIMH</w:t>
            </w:r>
            <w:r w:rsidR="0036250D">
              <w:rPr>
                <w:sz w:val="22"/>
                <w:szCs w:val="22"/>
              </w:rPr>
              <w:t>)</w:t>
            </w:r>
            <w:r w:rsidRPr="00021DD2">
              <w:rPr>
                <w:sz w:val="22"/>
                <w:szCs w:val="22"/>
              </w:rPr>
              <w:t xml:space="preserve"> (programs include: Zero to Four Child and Youth Mental Health Services </w:t>
            </w:r>
            <w:r w:rsidR="00DC407F">
              <w:rPr>
                <w:sz w:val="22"/>
                <w:szCs w:val="22"/>
              </w:rPr>
              <w:t>(</w:t>
            </w:r>
            <w:r w:rsidRPr="00021DD2">
              <w:rPr>
                <w:sz w:val="22"/>
                <w:szCs w:val="22"/>
              </w:rPr>
              <w:t>CYMHS</w:t>
            </w:r>
            <w:r w:rsidR="00DC407F">
              <w:rPr>
                <w:sz w:val="22"/>
                <w:szCs w:val="22"/>
              </w:rPr>
              <w:t>)</w:t>
            </w:r>
            <w:r w:rsidRPr="00021DD2">
              <w:rPr>
                <w:sz w:val="22"/>
                <w:szCs w:val="22"/>
              </w:rPr>
              <w:t>; Zero to Four Family Support Service; Perinatal and Infant Mental Health Day Program)</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Rural and Remote Strategy and the ePIMH Project</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Perinatal Mental Health and Wellness Project</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Disaster Resources</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SMS4Perinatal Parents Queensland</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 xml:space="preserve">Programs and policies targeted at Aboriginal and Torres Strait Islander peoples: </w:t>
            </w:r>
          </w:p>
          <w:p w:rsidR="00AF4D46" w:rsidRPr="00021DD2" w:rsidRDefault="00AF4D46" w:rsidP="00222517">
            <w:pPr>
              <w:pStyle w:val="Paragrafoelenco"/>
              <w:numPr>
                <w:ilvl w:val="0"/>
                <w:numId w:val="187"/>
              </w:numPr>
              <w:spacing w:before="0" w:after="0"/>
              <w:jc w:val="left"/>
              <w:rPr>
                <w:sz w:val="22"/>
                <w:szCs w:val="22"/>
              </w:rPr>
            </w:pPr>
            <w:r w:rsidRPr="00021DD2">
              <w:rPr>
                <w:sz w:val="22"/>
                <w:szCs w:val="22"/>
              </w:rPr>
              <w:t>Making Tracks (Policy) for closing the gap in health outcomes for Indigenous Queenslanders</w:t>
            </w:r>
          </w:p>
          <w:p w:rsidR="00AF4D46" w:rsidRPr="00021DD2" w:rsidRDefault="00AF4D46" w:rsidP="00222517">
            <w:pPr>
              <w:pStyle w:val="Paragrafoelenco"/>
              <w:numPr>
                <w:ilvl w:val="0"/>
                <w:numId w:val="187"/>
              </w:numPr>
              <w:spacing w:before="0" w:after="0"/>
              <w:jc w:val="left"/>
              <w:rPr>
                <w:sz w:val="22"/>
                <w:szCs w:val="22"/>
              </w:rPr>
            </w:pPr>
            <w:r w:rsidRPr="00021DD2">
              <w:rPr>
                <w:sz w:val="22"/>
                <w:szCs w:val="22"/>
              </w:rPr>
              <w:t>Birthing in our community Program</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C</w:t>
            </w:r>
            <w:r w:rsidR="001C20CB">
              <w:rPr>
                <w:sz w:val="22"/>
                <w:szCs w:val="22"/>
              </w:rPr>
              <w:t>onnecting Care to Recovery 2016–</w:t>
            </w:r>
            <w:r w:rsidRPr="00021DD2">
              <w:rPr>
                <w:sz w:val="22"/>
                <w:szCs w:val="22"/>
              </w:rPr>
              <w:t>2021 (mental health, alcohol and other drugs)</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Pepi-pod Program (sleep safety)</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Domestic Violence Screening Programs for Midwives</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Integrated early years services</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Intensive Early Childhood Development (IECD) pilot program</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The Early Years Count Campaign</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Triple P – Positive Parenting Program</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Queensland Government’s family and social support website</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Response Reform initiative</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Early Childhood Education in Care</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Family and Child connect services</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Intensive family support services</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First 1000 Days</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Collaborative Family Decision Making Practices</w:t>
            </w:r>
          </w:p>
          <w:p w:rsidR="00AF4D46" w:rsidRPr="00021DD2" w:rsidRDefault="00AF4D46" w:rsidP="00B934D7">
            <w:pPr>
              <w:pStyle w:val="Paragrafoelenco"/>
              <w:numPr>
                <w:ilvl w:val="0"/>
                <w:numId w:val="58"/>
              </w:numPr>
              <w:spacing w:before="0" w:after="0"/>
              <w:jc w:val="left"/>
              <w:rPr>
                <w:sz w:val="22"/>
                <w:szCs w:val="22"/>
              </w:rPr>
            </w:pPr>
            <w:r w:rsidRPr="00021DD2">
              <w:rPr>
                <w:sz w:val="22"/>
                <w:szCs w:val="22"/>
              </w:rPr>
              <w:t>Parenting programs for women with children in prison</w:t>
            </w:r>
          </w:p>
          <w:p w:rsidR="00AF4D46" w:rsidRPr="00021DD2" w:rsidRDefault="00AF4D46" w:rsidP="00AF4D46">
            <w:pPr>
              <w:spacing w:before="0" w:after="0"/>
              <w:rPr>
                <w:rFonts w:cs="Arial"/>
                <w:sz w:val="22"/>
                <w:szCs w:val="22"/>
              </w:rPr>
            </w:pPr>
          </w:p>
        </w:tc>
        <w:tc>
          <w:tcPr>
            <w:tcW w:w="4622" w:type="dxa"/>
          </w:tcPr>
          <w:p w:rsidR="00AF4D46" w:rsidRPr="00021DD2" w:rsidRDefault="00AF4D46" w:rsidP="0055328D">
            <w:pPr>
              <w:pStyle w:val="Paragrafoelenco"/>
              <w:numPr>
                <w:ilvl w:val="0"/>
                <w:numId w:val="57"/>
              </w:numPr>
              <w:spacing w:before="0" w:after="0"/>
              <w:jc w:val="left"/>
              <w:rPr>
                <w:sz w:val="22"/>
                <w:szCs w:val="22"/>
              </w:rPr>
            </w:pPr>
            <w:r w:rsidRPr="00021DD2">
              <w:rPr>
                <w:sz w:val="22"/>
                <w:szCs w:val="22"/>
              </w:rPr>
              <w:t>Encircle Program (formerly known as the Young Parents Program)</w:t>
            </w:r>
          </w:p>
          <w:p w:rsidR="00AF4D46" w:rsidRPr="00021DD2" w:rsidRDefault="00AF4D46" w:rsidP="0055328D">
            <w:pPr>
              <w:pStyle w:val="Paragrafoelenco"/>
              <w:numPr>
                <w:ilvl w:val="0"/>
                <w:numId w:val="57"/>
              </w:numPr>
              <w:spacing w:before="0" w:after="0"/>
              <w:jc w:val="left"/>
              <w:rPr>
                <w:sz w:val="22"/>
                <w:szCs w:val="22"/>
              </w:rPr>
            </w:pPr>
            <w:r w:rsidRPr="00021DD2">
              <w:rPr>
                <w:sz w:val="22"/>
                <w:szCs w:val="22"/>
              </w:rPr>
              <w:t>Young Women’s Program</w:t>
            </w:r>
          </w:p>
          <w:p w:rsidR="00AF4D46" w:rsidRPr="00021DD2" w:rsidRDefault="00AF4D46" w:rsidP="0055328D">
            <w:pPr>
              <w:pStyle w:val="Paragrafoelenco"/>
              <w:numPr>
                <w:ilvl w:val="0"/>
                <w:numId w:val="57"/>
              </w:numPr>
              <w:spacing w:before="0" w:after="0"/>
              <w:jc w:val="left"/>
              <w:rPr>
                <w:sz w:val="22"/>
                <w:szCs w:val="22"/>
              </w:rPr>
            </w:pPr>
            <w:r w:rsidRPr="00021DD2">
              <w:rPr>
                <w:sz w:val="22"/>
                <w:szCs w:val="22"/>
              </w:rPr>
              <w:t>Redlands Young Women’s Program</w:t>
            </w:r>
          </w:p>
          <w:p w:rsidR="00AF4D46" w:rsidRPr="00021DD2" w:rsidRDefault="00AF4D46" w:rsidP="0055328D">
            <w:pPr>
              <w:pStyle w:val="Paragrafoelenco"/>
              <w:numPr>
                <w:ilvl w:val="0"/>
                <w:numId w:val="57"/>
              </w:numPr>
              <w:spacing w:before="0" w:after="0"/>
              <w:jc w:val="left"/>
              <w:rPr>
                <w:sz w:val="22"/>
                <w:szCs w:val="22"/>
              </w:rPr>
            </w:pPr>
            <w:r w:rsidRPr="00021DD2">
              <w:rPr>
                <w:sz w:val="22"/>
                <w:szCs w:val="22"/>
              </w:rPr>
              <w:t>Aspire Program at Deception Bay High School</w:t>
            </w:r>
          </w:p>
          <w:p w:rsidR="00AF4D46" w:rsidRPr="00021DD2" w:rsidRDefault="00AF4D46" w:rsidP="0055328D">
            <w:pPr>
              <w:pStyle w:val="Paragrafoelenco"/>
              <w:numPr>
                <w:ilvl w:val="0"/>
                <w:numId w:val="57"/>
              </w:numPr>
              <w:spacing w:before="0" w:after="0"/>
              <w:jc w:val="left"/>
              <w:rPr>
                <w:sz w:val="22"/>
                <w:szCs w:val="22"/>
              </w:rPr>
            </w:pPr>
            <w:r w:rsidRPr="00021DD2">
              <w:rPr>
                <w:sz w:val="22"/>
                <w:szCs w:val="22"/>
              </w:rPr>
              <w:t>Young Women’s Program, Caboolture Hospital</w:t>
            </w:r>
          </w:p>
          <w:p w:rsidR="00AF4D46" w:rsidRPr="00021DD2" w:rsidRDefault="00AF4D46" w:rsidP="0055328D">
            <w:pPr>
              <w:pStyle w:val="Paragrafoelenco"/>
              <w:numPr>
                <w:ilvl w:val="0"/>
                <w:numId w:val="57"/>
              </w:numPr>
              <w:spacing w:before="0" w:after="0"/>
              <w:jc w:val="left"/>
              <w:rPr>
                <w:sz w:val="22"/>
                <w:szCs w:val="22"/>
              </w:rPr>
            </w:pPr>
            <w:r w:rsidRPr="00021DD2">
              <w:rPr>
                <w:sz w:val="22"/>
                <w:szCs w:val="22"/>
              </w:rPr>
              <w:t>CCHW’s Schools Based Youth Health</w:t>
            </w:r>
          </w:p>
          <w:p w:rsidR="00AF4D46" w:rsidRPr="00021DD2" w:rsidRDefault="00AF4D46" w:rsidP="0055328D">
            <w:pPr>
              <w:pStyle w:val="Paragrafoelenco"/>
              <w:numPr>
                <w:ilvl w:val="0"/>
                <w:numId w:val="57"/>
              </w:numPr>
              <w:spacing w:before="0" w:after="0"/>
              <w:jc w:val="left"/>
              <w:rPr>
                <w:sz w:val="22"/>
                <w:szCs w:val="22"/>
              </w:rPr>
            </w:pPr>
            <w:r w:rsidRPr="00021DD2">
              <w:rPr>
                <w:sz w:val="22"/>
                <w:szCs w:val="22"/>
              </w:rPr>
              <w:t xml:space="preserve">Queensland Centre for Perinatal and Infant Mental Health </w:t>
            </w:r>
            <w:r w:rsidR="00DC407F">
              <w:rPr>
                <w:sz w:val="22"/>
                <w:szCs w:val="22"/>
              </w:rPr>
              <w:t>(</w:t>
            </w:r>
            <w:r w:rsidRPr="00021DD2">
              <w:rPr>
                <w:sz w:val="22"/>
                <w:szCs w:val="22"/>
              </w:rPr>
              <w:t>QCPIMH</w:t>
            </w:r>
            <w:r w:rsidR="00DC407F">
              <w:rPr>
                <w:sz w:val="22"/>
                <w:szCs w:val="22"/>
              </w:rPr>
              <w:t>)</w:t>
            </w:r>
            <w:r w:rsidRPr="00021DD2">
              <w:rPr>
                <w:sz w:val="22"/>
                <w:szCs w:val="22"/>
              </w:rPr>
              <w:t xml:space="preserve"> (programs include Zero to Four Child and Youth Mental Health Services </w:t>
            </w:r>
            <w:r w:rsidR="00DC407F">
              <w:rPr>
                <w:sz w:val="22"/>
                <w:szCs w:val="22"/>
              </w:rPr>
              <w:t>(</w:t>
            </w:r>
            <w:r w:rsidRPr="00021DD2">
              <w:rPr>
                <w:sz w:val="22"/>
                <w:szCs w:val="22"/>
              </w:rPr>
              <w:t>CYMHS</w:t>
            </w:r>
            <w:r w:rsidR="00DC407F">
              <w:rPr>
                <w:sz w:val="22"/>
                <w:szCs w:val="22"/>
              </w:rPr>
              <w:t>)</w:t>
            </w:r>
            <w:r w:rsidRPr="00021DD2">
              <w:rPr>
                <w:sz w:val="22"/>
                <w:szCs w:val="22"/>
              </w:rPr>
              <w:t xml:space="preserve">; Family Support Teams; Encircle </w:t>
            </w:r>
            <w:r w:rsidR="00DC407F">
              <w:rPr>
                <w:sz w:val="22"/>
                <w:szCs w:val="22"/>
              </w:rPr>
              <w:t>(</w:t>
            </w:r>
            <w:r w:rsidRPr="00021DD2">
              <w:rPr>
                <w:sz w:val="22"/>
                <w:szCs w:val="22"/>
              </w:rPr>
              <w:t>infant program</w:t>
            </w:r>
            <w:r w:rsidR="00DC407F">
              <w:rPr>
                <w:sz w:val="22"/>
                <w:szCs w:val="22"/>
              </w:rPr>
              <w:t>)</w:t>
            </w:r>
            <w:r w:rsidRPr="00021DD2">
              <w:rPr>
                <w:sz w:val="22"/>
                <w:szCs w:val="22"/>
              </w:rPr>
              <w:t>; Young Parents Program pregnancy group)</w:t>
            </w:r>
          </w:p>
          <w:p w:rsidR="00AF4D46" w:rsidRPr="00021DD2" w:rsidRDefault="00AF4D46" w:rsidP="0055328D">
            <w:pPr>
              <w:pStyle w:val="Paragrafoelenco"/>
              <w:numPr>
                <w:ilvl w:val="0"/>
                <w:numId w:val="57"/>
              </w:numPr>
              <w:spacing w:before="0" w:after="0"/>
              <w:jc w:val="left"/>
              <w:rPr>
                <w:sz w:val="22"/>
                <w:szCs w:val="22"/>
              </w:rPr>
            </w:pPr>
            <w:r w:rsidRPr="00021DD2">
              <w:rPr>
                <w:sz w:val="22"/>
                <w:szCs w:val="22"/>
              </w:rPr>
              <w:t>State secondary school support programs (eg Burnside State High School - Supporting Teenagers with Education Mothering and Mentoring (STEMM) Program; Deception Bay State High School – Actively Supporting Parents with Infants to Re-engage in Education (ASPIRE) Program; Mabel Park State High School – Parents Overcoming Work and Education Restrictions (POWER) program</w:t>
            </w:r>
          </w:p>
          <w:p w:rsidR="00AF4D46" w:rsidRPr="00021DD2" w:rsidRDefault="00AF4D46" w:rsidP="0055328D">
            <w:pPr>
              <w:pStyle w:val="Paragrafoelenco"/>
              <w:numPr>
                <w:ilvl w:val="0"/>
                <w:numId w:val="57"/>
              </w:numPr>
              <w:spacing w:before="0" w:after="0"/>
              <w:jc w:val="left"/>
              <w:rPr>
                <w:sz w:val="22"/>
                <w:szCs w:val="22"/>
              </w:rPr>
            </w:pPr>
            <w:r w:rsidRPr="00021DD2">
              <w:rPr>
                <w:sz w:val="22"/>
                <w:szCs w:val="22"/>
              </w:rPr>
              <w:t>Homelessness Hotline</w:t>
            </w:r>
          </w:p>
          <w:p w:rsidR="00AF4D46" w:rsidRPr="00021DD2" w:rsidRDefault="00AF4D46" w:rsidP="0055328D">
            <w:pPr>
              <w:pStyle w:val="Paragrafoelenco"/>
              <w:numPr>
                <w:ilvl w:val="0"/>
                <w:numId w:val="57"/>
              </w:numPr>
              <w:spacing w:before="0" w:after="0"/>
              <w:jc w:val="left"/>
              <w:rPr>
                <w:sz w:val="22"/>
                <w:szCs w:val="22"/>
              </w:rPr>
            </w:pPr>
            <w:r w:rsidRPr="00021DD2">
              <w:rPr>
                <w:sz w:val="22"/>
                <w:szCs w:val="22"/>
              </w:rPr>
              <w:t>Accommodating children with their parent in youth detention</w:t>
            </w:r>
          </w:p>
          <w:p w:rsidR="00AF4D46" w:rsidRPr="0055328D" w:rsidRDefault="00AF4D46" w:rsidP="0055328D">
            <w:pPr>
              <w:pStyle w:val="Paragrafoelenco"/>
              <w:numPr>
                <w:ilvl w:val="0"/>
                <w:numId w:val="57"/>
              </w:numPr>
              <w:spacing w:before="0" w:after="0"/>
              <w:jc w:val="left"/>
              <w:rPr>
                <w:sz w:val="22"/>
                <w:szCs w:val="22"/>
              </w:rPr>
            </w:pPr>
            <w:r w:rsidRPr="00021DD2">
              <w:rPr>
                <w:sz w:val="22"/>
                <w:szCs w:val="22"/>
              </w:rPr>
              <w:t xml:space="preserve">Accommodation of children in prisons with mothers – Brisbane Women’s or Townsville Women’s Correctional </w:t>
            </w:r>
            <w:r w:rsidR="0055328D">
              <w:rPr>
                <w:sz w:val="22"/>
                <w:szCs w:val="22"/>
              </w:rPr>
              <w:t>Centres and Helena Jones Centre</w:t>
            </w:r>
          </w:p>
          <w:p w:rsidR="00AF4D46" w:rsidRPr="00021DD2" w:rsidRDefault="00AF4D46" w:rsidP="0055328D">
            <w:pPr>
              <w:spacing w:before="0" w:after="0"/>
              <w:rPr>
                <w:rFonts w:cs="Arial"/>
                <w:sz w:val="22"/>
                <w:szCs w:val="22"/>
              </w:rPr>
            </w:pPr>
          </w:p>
        </w:tc>
        <w:tc>
          <w:tcPr>
            <w:tcW w:w="4167" w:type="dxa"/>
          </w:tcPr>
          <w:p w:rsidR="00AF4D46" w:rsidRPr="00021DD2" w:rsidRDefault="00AF4D46" w:rsidP="00B934D7">
            <w:pPr>
              <w:pStyle w:val="Paragrafoelenco"/>
              <w:numPr>
                <w:ilvl w:val="0"/>
                <w:numId w:val="57"/>
              </w:numPr>
              <w:spacing w:before="0" w:after="0"/>
              <w:jc w:val="left"/>
              <w:rPr>
                <w:sz w:val="22"/>
                <w:szCs w:val="22"/>
              </w:rPr>
            </w:pPr>
            <w:r w:rsidRPr="00021DD2">
              <w:rPr>
                <w:sz w:val="22"/>
                <w:szCs w:val="22"/>
              </w:rPr>
              <w:t>Care2Achieve Scholarships (targeted at women leaving care not just parents)</w:t>
            </w:r>
          </w:p>
          <w:p w:rsidR="00AF4D46" w:rsidRPr="00021DD2" w:rsidRDefault="00AF4D46" w:rsidP="00B934D7">
            <w:pPr>
              <w:pStyle w:val="Paragrafoelenco"/>
              <w:numPr>
                <w:ilvl w:val="0"/>
                <w:numId w:val="57"/>
              </w:numPr>
              <w:spacing w:before="0" w:after="0"/>
              <w:jc w:val="left"/>
              <w:rPr>
                <w:sz w:val="22"/>
                <w:szCs w:val="22"/>
              </w:rPr>
            </w:pPr>
            <w:r w:rsidRPr="00021DD2">
              <w:rPr>
                <w:sz w:val="22"/>
                <w:szCs w:val="22"/>
              </w:rPr>
              <w:t>Next Step After Care Services</w:t>
            </w:r>
          </w:p>
          <w:p w:rsidR="00AF4D46" w:rsidRPr="00021DD2" w:rsidRDefault="00AF4D46" w:rsidP="00B934D7">
            <w:pPr>
              <w:pStyle w:val="Paragrafoelenco"/>
              <w:numPr>
                <w:ilvl w:val="0"/>
                <w:numId w:val="57"/>
              </w:numPr>
              <w:spacing w:before="0" w:after="0"/>
              <w:jc w:val="left"/>
              <w:rPr>
                <w:sz w:val="22"/>
                <w:szCs w:val="22"/>
              </w:rPr>
            </w:pPr>
            <w:r w:rsidRPr="00021DD2">
              <w:rPr>
                <w:sz w:val="22"/>
                <w:szCs w:val="22"/>
              </w:rPr>
              <w:t>Sortli (short for: sort out your life)</w:t>
            </w:r>
          </w:p>
          <w:p w:rsidR="00AF4D46" w:rsidRPr="00021DD2" w:rsidRDefault="00AF4D46" w:rsidP="00B934D7">
            <w:pPr>
              <w:pStyle w:val="Paragrafoelenco"/>
              <w:numPr>
                <w:ilvl w:val="0"/>
                <w:numId w:val="57"/>
              </w:numPr>
              <w:spacing w:before="0" w:after="0"/>
              <w:jc w:val="left"/>
              <w:rPr>
                <w:sz w:val="22"/>
                <w:szCs w:val="22"/>
              </w:rPr>
            </w:pPr>
            <w:r w:rsidRPr="00021DD2">
              <w:rPr>
                <w:sz w:val="22"/>
                <w:szCs w:val="22"/>
              </w:rPr>
              <w:t>Specialist Homelessness Services</w:t>
            </w:r>
          </w:p>
          <w:p w:rsidR="00AF4D46" w:rsidRPr="00021DD2" w:rsidRDefault="00AF4D46" w:rsidP="00B934D7">
            <w:pPr>
              <w:pStyle w:val="Paragrafoelenco"/>
              <w:numPr>
                <w:ilvl w:val="0"/>
                <w:numId w:val="57"/>
              </w:numPr>
              <w:spacing w:before="0" w:after="0"/>
              <w:jc w:val="left"/>
              <w:rPr>
                <w:sz w:val="22"/>
                <w:szCs w:val="22"/>
              </w:rPr>
            </w:pPr>
            <w:r w:rsidRPr="00021DD2">
              <w:rPr>
                <w:sz w:val="22"/>
                <w:szCs w:val="22"/>
              </w:rPr>
              <w:t>Homelessness Program (also has programs to meet the needs of young parents experiencing homelessness)</w:t>
            </w:r>
          </w:p>
          <w:p w:rsidR="00AF4D46" w:rsidRPr="00021DD2" w:rsidRDefault="00AF4D46" w:rsidP="00B934D7">
            <w:pPr>
              <w:pStyle w:val="Paragrafoelenco"/>
              <w:numPr>
                <w:ilvl w:val="0"/>
                <w:numId w:val="57"/>
              </w:numPr>
              <w:spacing w:before="0" w:after="0"/>
              <w:jc w:val="left"/>
              <w:rPr>
                <w:sz w:val="22"/>
                <w:szCs w:val="22"/>
              </w:rPr>
            </w:pPr>
            <w:r w:rsidRPr="00021DD2">
              <w:rPr>
                <w:sz w:val="22"/>
                <w:szCs w:val="22"/>
              </w:rPr>
              <w:t>Brisbane Youth Service (homelessness program)</w:t>
            </w:r>
          </w:p>
          <w:p w:rsidR="00AF4D46" w:rsidRPr="00021DD2" w:rsidRDefault="00AF4D46" w:rsidP="00B934D7">
            <w:pPr>
              <w:pStyle w:val="Paragrafoelenco"/>
              <w:numPr>
                <w:ilvl w:val="0"/>
                <w:numId w:val="57"/>
              </w:numPr>
              <w:spacing w:before="0" w:after="0"/>
              <w:jc w:val="left"/>
              <w:rPr>
                <w:sz w:val="22"/>
                <w:szCs w:val="22"/>
              </w:rPr>
            </w:pPr>
            <w:r w:rsidRPr="00021DD2">
              <w:rPr>
                <w:sz w:val="22"/>
                <w:szCs w:val="22"/>
              </w:rPr>
              <w:t>Individualised case management (Youth Justice)</w:t>
            </w:r>
          </w:p>
          <w:p w:rsidR="00AF4D46" w:rsidRPr="00021DD2" w:rsidRDefault="00AF4D46" w:rsidP="00B934D7">
            <w:pPr>
              <w:pStyle w:val="Paragrafoelenco"/>
              <w:numPr>
                <w:ilvl w:val="0"/>
                <w:numId w:val="57"/>
              </w:numPr>
              <w:spacing w:before="0" w:after="0"/>
              <w:jc w:val="left"/>
              <w:rPr>
                <w:sz w:val="22"/>
                <w:szCs w:val="22"/>
              </w:rPr>
            </w:pPr>
            <w:r w:rsidRPr="00021DD2">
              <w:rPr>
                <w:sz w:val="22"/>
                <w:szCs w:val="22"/>
              </w:rPr>
              <w:t>Support services for young parents in custody (include connecting them with community based services and facilitating contact where the child does not reside with the young person</w:t>
            </w:r>
            <w:r w:rsidR="00DC407F">
              <w:rPr>
                <w:sz w:val="22"/>
                <w:szCs w:val="22"/>
              </w:rPr>
              <w:t>)</w:t>
            </w:r>
          </w:p>
        </w:tc>
      </w:tr>
      <w:tr w:rsidR="00AF4D46" w:rsidRPr="00021DD2" w:rsidTr="00105288">
        <w:tc>
          <w:tcPr>
            <w:tcW w:w="1586" w:type="dxa"/>
          </w:tcPr>
          <w:p w:rsidR="00AF4D46" w:rsidRPr="00021DD2" w:rsidRDefault="00AF4D46" w:rsidP="00AF4D46">
            <w:pPr>
              <w:spacing w:before="0" w:after="0"/>
              <w:rPr>
                <w:rFonts w:cs="Arial"/>
                <w:b/>
                <w:sz w:val="22"/>
                <w:szCs w:val="22"/>
              </w:rPr>
            </w:pPr>
            <w:r w:rsidRPr="00021DD2">
              <w:rPr>
                <w:rFonts w:cs="Arial"/>
                <w:b/>
                <w:sz w:val="22"/>
                <w:szCs w:val="22"/>
              </w:rPr>
              <w:t>Northern Territory</w:t>
            </w:r>
          </w:p>
        </w:tc>
        <w:tc>
          <w:tcPr>
            <w:tcW w:w="4677" w:type="dxa"/>
          </w:tcPr>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 xml:space="preserve">Healthy Under 5 Kids Program (HU5K) </w:t>
            </w:r>
          </w:p>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 xml:space="preserve">Australian Nurse Family Partnership Program </w:t>
            </w:r>
          </w:p>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No Germs On Me Social Marketing Campaign</w:t>
            </w:r>
          </w:p>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Oral Health Territory Parents Sessions</w:t>
            </w:r>
          </w:p>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Healthy Smiles Program</w:t>
            </w:r>
          </w:p>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Nhulunbuy Neighbourhood Centre Mothers’ Group</w:t>
            </w:r>
          </w:p>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 xml:space="preserve">Hearing Health Program (HHP) – </w:t>
            </w:r>
            <w:r w:rsidRPr="00021DD2">
              <w:rPr>
                <w:i/>
                <w:sz w:val="22"/>
                <w:szCs w:val="22"/>
              </w:rPr>
              <w:t>Strong Little Ears, Strong life</w:t>
            </w:r>
          </w:p>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Newborn Hearing Program</w:t>
            </w:r>
          </w:p>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Territory Parents Support (TPS)</w:t>
            </w:r>
          </w:p>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Early Birds</w:t>
            </w:r>
          </w:p>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Community Paediatrics Program</w:t>
            </w:r>
          </w:p>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Community physician</w:t>
            </w:r>
          </w:p>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Trachoma</w:t>
            </w:r>
          </w:p>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Rheumatic Heart Disease</w:t>
            </w:r>
          </w:p>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Immunisation</w:t>
            </w:r>
          </w:p>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Sexual Health</w:t>
            </w:r>
          </w:p>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Families as First Teachers (FaFT)</w:t>
            </w:r>
          </w:p>
          <w:p w:rsidR="00AF4D46" w:rsidRPr="00021DD2" w:rsidRDefault="00AF4D46" w:rsidP="00AF4D46">
            <w:pPr>
              <w:spacing w:before="0" w:after="0"/>
              <w:rPr>
                <w:rFonts w:cs="Arial"/>
                <w:sz w:val="22"/>
                <w:szCs w:val="22"/>
              </w:rPr>
            </w:pPr>
          </w:p>
        </w:tc>
        <w:tc>
          <w:tcPr>
            <w:tcW w:w="4622" w:type="dxa"/>
          </w:tcPr>
          <w:p w:rsidR="00AF4D46" w:rsidRPr="00021DD2" w:rsidRDefault="00AF4D46" w:rsidP="0055328D">
            <w:pPr>
              <w:pStyle w:val="Paragrafoelenco"/>
              <w:numPr>
                <w:ilvl w:val="0"/>
                <w:numId w:val="59"/>
              </w:numPr>
              <w:spacing w:before="0" w:after="0"/>
              <w:jc w:val="left"/>
              <w:rPr>
                <w:sz w:val="22"/>
                <w:szCs w:val="22"/>
              </w:rPr>
            </w:pPr>
            <w:r w:rsidRPr="00021DD2">
              <w:rPr>
                <w:sz w:val="22"/>
                <w:szCs w:val="22"/>
              </w:rPr>
              <w:t xml:space="preserve">Young Mothers Strong Mothers (YMSM) </w:t>
            </w:r>
          </w:p>
          <w:p w:rsidR="00AF4D46" w:rsidRPr="00021DD2" w:rsidRDefault="00AF4D46" w:rsidP="0055328D">
            <w:pPr>
              <w:pStyle w:val="Paragrafoelenco"/>
              <w:numPr>
                <w:ilvl w:val="0"/>
                <w:numId w:val="59"/>
              </w:numPr>
              <w:spacing w:before="0" w:after="0"/>
              <w:jc w:val="left"/>
              <w:rPr>
                <w:sz w:val="22"/>
                <w:szCs w:val="22"/>
              </w:rPr>
            </w:pPr>
            <w:r w:rsidRPr="00021DD2">
              <w:rPr>
                <w:sz w:val="22"/>
                <w:szCs w:val="22"/>
              </w:rPr>
              <w:t>Pandanus Childbirth Education and Perinatal Support by Anglicare NT</w:t>
            </w:r>
          </w:p>
          <w:p w:rsidR="00AF4D46" w:rsidRPr="00021DD2" w:rsidRDefault="00AF4D46" w:rsidP="0055328D">
            <w:pPr>
              <w:pStyle w:val="Paragrafoelenco"/>
              <w:numPr>
                <w:ilvl w:val="0"/>
                <w:numId w:val="59"/>
              </w:numPr>
              <w:spacing w:before="0" w:after="0"/>
              <w:jc w:val="left"/>
              <w:rPr>
                <w:sz w:val="22"/>
                <w:szCs w:val="22"/>
              </w:rPr>
            </w:pPr>
            <w:r w:rsidRPr="00021DD2">
              <w:rPr>
                <w:sz w:val="22"/>
                <w:szCs w:val="22"/>
              </w:rPr>
              <w:t>Pregnancy and Parenting Education Support Program</w:t>
            </w:r>
          </w:p>
          <w:p w:rsidR="00AF4D46" w:rsidRPr="00021DD2" w:rsidRDefault="00AF4D46" w:rsidP="0055328D">
            <w:pPr>
              <w:pStyle w:val="Paragrafoelenco"/>
              <w:numPr>
                <w:ilvl w:val="0"/>
                <w:numId w:val="59"/>
              </w:numPr>
              <w:spacing w:before="0" w:after="0"/>
              <w:jc w:val="left"/>
              <w:rPr>
                <w:sz w:val="22"/>
                <w:szCs w:val="22"/>
              </w:rPr>
            </w:pPr>
            <w:r w:rsidRPr="00021DD2">
              <w:rPr>
                <w:sz w:val="22"/>
                <w:szCs w:val="22"/>
              </w:rPr>
              <w:t>BabyFAST NT (Families and Schools Together NT)</w:t>
            </w:r>
          </w:p>
          <w:p w:rsidR="00AF4D46" w:rsidRPr="00021DD2" w:rsidRDefault="00AF4D46" w:rsidP="0055328D">
            <w:pPr>
              <w:pStyle w:val="Paragrafoelenco"/>
              <w:numPr>
                <w:ilvl w:val="0"/>
                <w:numId w:val="59"/>
              </w:numPr>
              <w:spacing w:before="0" w:after="0"/>
              <w:jc w:val="left"/>
              <w:rPr>
                <w:sz w:val="22"/>
                <w:szCs w:val="22"/>
              </w:rPr>
            </w:pPr>
            <w:r w:rsidRPr="00021DD2">
              <w:rPr>
                <w:sz w:val="22"/>
                <w:szCs w:val="22"/>
              </w:rPr>
              <w:t>Darwin Parenting Support Program (YWCA)</w:t>
            </w:r>
          </w:p>
        </w:tc>
        <w:tc>
          <w:tcPr>
            <w:tcW w:w="4167" w:type="dxa"/>
          </w:tcPr>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Growing a Smoke free Generation</w:t>
            </w:r>
          </w:p>
          <w:p w:rsidR="00AF4D46" w:rsidRPr="00021DD2" w:rsidRDefault="001C20CB" w:rsidP="00B934D7">
            <w:pPr>
              <w:pStyle w:val="Paragrafoelenco"/>
              <w:numPr>
                <w:ilvl w:val="0"/>
                <w:numId w:val="59"/>
              </w:numPr>
              <w:spacing w:before="0" w:after="0"/>
              <w:jc w:val="left"/>
              <w:rPr>
                <w:sz w:val="22"/>
                <w:szCs w:val="22"/>
              </w:rPr>
            </w:pPr>
            <w:r>
              <w:rPr>
                <w:sz w:val="22"/>
                <w:szCs w:val="22"/>
              </w:rPr>
              <w:t>Regional Youth Services 2014–</w:t>
            </w:r>
            <w:r w:rsidR="00AF4D46" w:rsidRPr="00021DD2">
              <w:rPr>
                <w:sz w:val="22"/>
                <w:szCs w:val="22"/>
              </w:rPr>
              <w:t>2018</w:t>
            </w:r>
          </w:p>
          <w:p w:rsidR="00AF4D46" w:rsidRPr="00021DD2" w:rsidRDefault="00AF4D46" w:rsidP="00B934D7">
            <w:pPr>
              <w:pStyle w:val="Paragrafoelenco"/>
              <w:numPr>
                <w:ilvl w:val="0"/>
                <w:numId w:val="59"/>
              </w:numPr>
              <w:spacing w:before="0" w:after="0"/>
              <w:jc w:val="left"/>
              <w:rPr>
                <w:sz w:val="22"/>
                <w:szCs w:val="22"/>
              </w:rPr>
            </w:pPr>
            <w:r w:rsidRPr="00021DD2">
              <w:rPr>
                <w:sz w:val="22"/>
                <w:szCs w:val="22"/>
              </w:rPr>
              <w:t>Leaving and After Care Support – ‘Moving on’</w:t>
            </w:r>
          </w:p>
        </w:tc>
      </w:tr>
      <w:tr w:rsidR="00AF4D46" w:rsidRPr="00021DD2" w:rsidTr="00105288">
        <w:tc>
          <w:tcPr>
            <w:tcW w:w="1586" w:type="dxa"/>
          </w:tcPr>
          <w:p w:rsidR="00AF4D46" w:rsidRPr="00C86EEE" w:rsidRDefault="00AF4D46" w:rsidP="00AF4D46">
            <w:pPr>
              <w:spacing w:before="0" w:after="0"/>
              <w:rPr>
                <w:rFonts w:cs="Arial"/>
                <w:b/>
                <w:sz w:val="22"/>
                <w:szCs w:val="22"/>
              </w:rPr>
            </w:pPr>
            <w:r w:rsidRPr="00021DD2">
              <w:rPr>
                <w:rFonts w:cs="Arial"/>
                <w:b/>
                <w:sz w:val="22"/>
                <w:szCs w:val="22"/>
              </w:rPr>
              <w:t>Australian Capital Territory</w:t>
            </w:r>
          </w:p>
        </w:tc>
        <w:tc>
          <w:tcPr>
            <w:tcW w:w="4677" w:type="dxa"/>
          </w:tcPr>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Maternal and Child Health (MACH) Universal Services</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MACH Parenting Enhancement Program (PEP)</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 xml:space="preserve">Women Youth and Children Community Health Program </w:t>
            </w:r>
            <w:r w:rsidR="00DC407F">
              <w:rPr>
                <w:sz w:val="22"/>
                <w:szCs w:val="22"/>
              </w:rPr>
              <w:t>(</w:t>
            </w:r>
            <w:r w:rsidRPr="00021DD2">
              <w:rPr>
                <w:sz w:val="22"/>
                <w:szCs w:val="22"/>
              </w:rPr>
              <w:t>WYCCHP) Early Parenting Counselling Service</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The Aboriginal Midwifery Access Program (AMAP) (Winnunga Nimmityjah Aboriginal Health Service)</w:t>
            </w:r>
          </w:p>
        </w:tc>
        <w:tc>
          <w:tcPr>
            <w:tcW w:w="4622" w:type="dxa"/>
          </w:tcPr>
          <w:p w:rsidR="00AF4D46" w:rsidRPr="00021DD2" w:rsidRDefault="00AF4D46" w:rsidP="0055328D">
            <w:pPr>
              <w:pStyle w:val="Paragrafoelenco"/>
              <w:numPr>
                <w:ilvl w:val="0"/>
                <w:numId w:val="61"/>
              </w:numPr>
              <w:spacing w:before="0" w:after="0"/>
              <w:jc w:val="left"/>
              <w:rPr>
                <w:sz w:val="22"/>
                <w:szCs w:val="22"/>
              </w:rPr>
            </w:pPr>
            <w:r w:rsidRPr="00021DD2">
              <w:rPr>
                <w:sz w:val="22"/>
                <w:szCs w:val="22"/>
              </w:rPr>
              <w:t>MACH Outreach Services to Canberra College</w:t>
            </w:r>
          </w:p>
          <w:p w:rsidR="00AF4D46" w:rsidRPr="00021DD2" w:rsidRDefault="00AF4D46" w:rsidP="0055328D">
            <w:pPr>
              <w:pStyle w:val="Paragrafoelenco"/>
              <w:numPr>
                <w:ilvl w:val="0"/>
                <w:numId w:val="61"/>
              </w:numPr>
              <w:spacing w:before="0" w:after="0"/>
              <w:jc w:val="left"/>
              <w:rPr>
                <w:sz w:val="22"/>
                <w:szCs w:val="22"/>
              </w:rPr>
            </w:pPr>
            <w:r w:rsidRPr="00021DD2">
              <w:rPr>
                <w:sz w:val="22"/>
                <w:szCs w:val="22"/>
              </w:rPr>
              <w:t>Food Baby (The Junction Youth Health Services)</w:t>
            </w:r>
          </w:p>
          <w:p w:rsidR="00AF4D46" w:rsidRPr="00021DD2" w:rsidRDefault="00AF4D46" w:rsidP="0055328D">
            <w:pPr>
              <w:pStyle w:val="Paragrafoelenco"/>
              <w:numPr>
                <w:ilvl w:val="0"/>
                <w:numId w:val="61"/>
              </w:numPr>
              <w:spacing w:before="0" w:after="0"/>
              <w:jc w:val="left"/>
              <w:rPr>
                <w:sz w:val="22"/>
                <w:szCs w:val="22"/>
              </w:rPr>
            </w:pPr>
            <w:r w:rsidRPr="00021DD2">
              <w:rPr>
                <w:sz w:val="22"/>
                <w:szCs w:val="22"/>
              </w:rPr>
              <w:t>Young Parents Playgroup (Gugan Gulwan Youth Aboriginal Corporation)</w:t>
            </w:r>
          </w:p>
          <w:p w:rsidR="00AF4D46" w:rsidRPr="00021DD2" w:rsidRDefault="00AF4D46" w:rsidP="0055328D">
            <w:pPr>
              <w:pStyle w:val="Paragrafoelenco"/>
              <w:numPr>
                <w:ilvl w:val="0"/>
                <w:numId w:val="61"/>
              </w:numPr>
              <w:spacing w:before="0" w:after="0"/>
              <w:jc w:val="left"/>
              <w:rPr>
                <w:sz w:val="22"/>
                <w:szCs w:val="22"/>
              </w:rPr>
            </w:pPr>
            <w:r w:rsidRPr="00021DD2">
              <w:rPr>
                <w:sz w:val="22"/>
                <w:szCs w:val="22"/>
              </w:rPr>
              <w:t xml:space="preserve">Karinya House (part of the </w:t>
            </w:r>
            <w:r w:rsidRPr="00021DD2">
              <w:rPr>
                <w:i/>
                <w:iCs/>
                <w:sz w:val="22"/>
                <w:szCs w:val="22"/>
              </w:rPr>
              <w:t xml:space="preserve">A Step Up for Our Kids </w:t>
            </w:r>
            <w:r w:rsidRPr="00021DD2">
              <w:rPr>
                <w:iCs/>
                <w:sz w:val="22"/>
                <w:szCs w:val="22"/>
              </w:rPr>
              <w:t>program’s suite of services)</w:t>
            </w:r>
          </w:p>
          <w:p w:rsidR="00AF4D46" w:rsidRPr="00021DD2" w:rsidRDefault="00AF4D46" w:rsidP="0055328D">
            <w:pPr>
              <w:pStyle w:val="Paragrafoelenco"/>
              <w:numPr>
                <w:ilvl w:val="0"/>
                <w:numId w:val="61"/>
              </w:numPr>
              <w:spacing w:before="0" w:after="0"/>
              <w:jc w:val="left"/>
              <w:rPr>
                <w:sz w:val="22"/>
                <w:szCs w:val="22"/>
              </w:rPr>
            </w:pPr>
            <w:r w:rsidRPr="00021DD2">
              <w:rPr>
                <w:sz w:val="22"/>
                <w:szCs w:val="22"/>
              </w:rPr>
              <w:t>ACT CCCares Program (</w:t>
            </w:r>
            <w:r w:rsidR="00DC407F">
              <w:rPr>
                <w:sz w:val="22"/>
                <w:szCs w:val="22"/>
              </w:rPr>
              <w:t>d</w:t>
            </w:r>
            <w:r w:rsidRPr="00021DD2">
              <w:rPr>
                <w:sz w:val="22"/>
                <w:szCs w:val="22"/>
              </w:rPr>
              <w:t>elivered through Canberra College)</w:t>
            </w:r>
          </w:p>
          <w:p w:rsidR="00AF4D46" w:rsidRPr="00021DD2" w:rsidRDefault="00AF4D46" w:rsidP="0055328D">
            <w:pPr>
              <w:pStyle w:val="Paragrafoelenco"/>
              <w:numPr>
                <w:ilvl w:val="0"/>
                <w:numId w:val="61"/>
              </w:numPr>
              <w:spacing w:before="0" w:after="0"/>
              <w:jc w:val="left"/>
              <w:rPr>
                <w:sz w:val="22"/>
                <w:szCs w:val="22"/>
              </w:rPr>
            </w:pPr>
            <w:r w:rsidRPr="00021DD2">
              <w:rPr>
                <w:sz w:val="22"/>
                <w:szCs w:val="22"/>
              </w:rPr>
              <w:t xml:space="preserve">Growing Healthy Families (ACT Community Services Directorate) for young Aboriginal and Torres Strait Islander parents </w:t>
            </w:r>
          </w:p>
          <w:p w:rsidR="00AF4D46" w:rsidRPr="0055328D" w:rsidRDefault="00AF4D46" w:rsidP="0055328D">
            <w:pPr>
              <w:pStyle w:val="Paragrafoelenco"/>
              <w:numPr>
                <w:ilvl w:val="0"/>
                <w:numId w:val="61"/>
              </w:numPr>
              <w:spacing w:before="0" w:after="0"/>
              <w:jc w:val="left"/>
              <w:rPr>
                <w:sz w:val="22"/>
                <w:szCs w:val="22"/>
              </w:rPr>
            </w:pPr>
            <w:r w:rsidRPr="00021DD2">
              <w:rPr>
                <w:sz w:val="22"/>
                <w:szCs w:val="22"/>
              </w:rPr>
              <w:t>Young Parents Accommodation support Program (St Vincent de Paul Society)</w:t>
            </w:r>
          </w:p>
        </w:tc>
        <w:tc>
          <w:tcPr>
            <w:tcW w:w="4167" w:type="dxa"/>
          </w:tcPr>
          <w:p w:rsidR="00AF4D46" w:rsidRPr="00021DD2" w:rsidRDefault="00AF4D46" w:rsidP="00B934D7">
            <w:pPr>
              <w:pStyle w:val="Paragrafoelenco"/>
              <w:numPr>
                <w:ilvl w:val="0"/>
                <w:numId w:val="60"/>
              </w:numPr>
              <w:spacing w:before="0" w:after="0"/>
              <w:jc w:val="left"/>
              <w:rPr>
                <w:sz w:val="22"/>
                <w:szCs w:val="22"/>
              </w:rPr>
            </w:pPr>
            <w:r w:rsidRPr="00021DD2">
              <w:rPr>
                <w:sz w:val="22"/>
                <w:szCs w:val="22"/>
              </w:rPr>
              <w:t>School Youth Health Nurse Program</w:t>
            </w:r>
          </w:p>
          <w:p w:rsidR="00AF4D46" w:rsidRPr="00021DD2" w:rsidRDefault="00AF4D46" w:rsidP="00B934D7">
            <w:pPr>
              <w:pStyle w:val="Paragrafoelenco"/>
              <w:numPr>
                <w:ilvl w:val="0"/>
                <w:numId w:val="60"/>
              </w:numPr>
              <w:spacing w:before="0" w:after="0"/>
              <w:jc w:val="left"/>
              <w:rPr>
                <w:sz w:val="22"/>
                <w:szCs w:val="22"/>
              </w:rPr>
            </w:pPr>
            <w:r w:rsidRPr="00021DD2">
              <w:rPr>
                <w:sz w:val="22"/>
                <w:szCs w:val="22"/>
              </w:rPr>
              <w:t>The Youth InterACT strategy on youth engagement and participation</w:t>
            </w:r>
          </w:p>
          <w:p w:rsidR="00AF4D46" w:rsidRPr="00021DD2" w:rsidRDefault="00AF4D46" w:rsidP="00B934D7">
            <w:pPr>
              <w:pStyle w:val="Paragrafoelenco"/>
              <w:numPr>
                <w:ilvl w:val="0"/>
                <w:numId w:val="60"/>
              </w:numPr>
              <w:spacing w:before="0" w:after="0"/>
              <w:jc w:val="left"/>
              <w:rPr>
                <w:sz w:val="22"/>
                <w:szCs w:val="22"/>
              </w:rPr>
            </w:pPr>
            <w:r w:rsidRPr="00021DD2">
              <w:rPr>
                <w:sz w:val="22"/>
                <w:szCs w:val="22"/>
              </w:rPr>
              <w:t>Social Housing and Homelessness Services (</w:t>
            </w:r>
            <w:r w:rsidR="001C20CB">
              <w:rPr>
                <w:sz w:val="22"/>
                <w:szCs w:val="22"/>
              </w:rPr>
              <w:t>targeting young people, aged 16–</w:t>
            </w:r>
            <w:r w:rsidRPr="00021DD2">
              <w:rPr>
                <w:sz w:val="22"/>
                <w:szCs w:val="22"/>
              </w:rPr>
              <w:t>25, experiencing homelessness or at risk of becoming homeless, delivered by the Community Services Directorate)</w:t>
            </w:r>
          </w:p>
        </w:tc>
      </w:tr>
      <w:tr w:rsidR="00AF4D46" w:rsidRPr="00021DD2" w:rsidTr="00105288">
        <w:tc>
          <w:tcPr>
            <w:tcW w:w="1586" w:type="dxa"/>
          </w:tcPr>
          <w:p w:rsidR="00AF4D46" w:rsidRPr="00021DD2" w:rsidRDefault="00AF4D46" w:rsidP="00AF4D46">
            <w:pPr>
              <w:spacing w:before="0" w:after="0"/>
              <w:rPr>
                <w:rFonts w:cs="Arial"/>
                <w:b/>
                <w:sz w:val="22"/>
                <w:szCs w:val="22"/>
              </w:rPr>
            </w:pPr>
            <w:r w:rsidRPr="00021DD2">
              <w:rPr>
                <w:rFonts w:cs="Arial"/>
                <w:b/>
                <w:sz w:val="22"/>
                <w:szCs w:val="22"/>
              </w:rPr>
              <w:t>Victoria</w:t>
            </w:r>
          </w:p>
        </w:tc>
        <w:tc>
          <w:tcPr>
            <w:tcW w:w="4677" w:type="dxa"/>
          </w:tcPr>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Child FIRST and Family Services</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Enhanced Maternal and Child Health Service</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 xml:space="preserve">Nursery Equipment Program </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Healthy Mothers, Healthy Babies program</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right@home</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Early Parenting Centres</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Parenting advice and education services (PAES)</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The Family Learning Support Program</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Family Learning Partnerships Program</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Aboriginal and Torres Strait Islander women: Koori Maternity Services</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Mother Baby Withdrawal Unit</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Mother Baby Units</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State-wide Paediatric Integrated Cancer Service</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Perinatal Emotional Health Program</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Immunisation p</w:t>
            </w:r>
            <w:r w:rsidR="0055328D">
              <w:rPr>
                <w:sz w:val="22"/>
                <w:szCs w:val="22"/>
              </w:rPr>
              <w:t>rograms for vulnerable cohorts</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Families where a parent has a Mental Illness</w:t>
            </w:r>
          </w:p>
          <w:p w:rsidR="00AF4D46" w:rsidRPr="00021DD2" w:rsidRDefault="00AF4D46" w:rsidP="00AF4D46">
            <w:pPr>
              <w:pStyle w:val="Paragrafoelenco"/>
              <w:spacing w:before="0" w:after="0"/>
              <w:ind w:left="360"/>
              <w:rPr>
                <w:sz w:val="22"/>
                <w:szCs w:val="22"/>
              </w:rPr>
            </w:pPr>
          </w:p>
        </w:tc>
        <w:tc>
          <w:tcPr>
            <w:tcW w:w="4622" w:type="dxa"/>
          </w:tcPr>
          <w:p w:rsidR="00AF4D46" w:rsidRPr="00021DD2" w:rsidRDefault="00AF4D46" w:rsidP="0055328D">
            <w:pPr>
              <w:pStyle w:val="Paragrafoelenco"/>
              <w:numPr>
                <w:ilvl w:val="0"/>
                <w:numId w:val="61"/>
              </w:numPr>
              <w:spacing w:before="0" w:after="0"/>
              <w:jc w:val="left"/>
              <w:rPr>
                <w:sz w:val="22"/>
                <w:szCs w:val="22"/>
              </w:rPr>
            </w:pPr>
            <w:r w:rsidRPr="00021DD2">
              <w:rPr>
                <w:sz w:val="22"/>
                <w:szCs w:val="22"/>
              </w:rPr>
              <w:t xml:space="preserve">Cradle to Kinder (ante and post-natal support to vulnerable young parents) </w:t>
            </w:r>
          </w:p>
          <w:p w:rsidR="00AF4D46" w:rsidRPr="00021DD2" w:rsidRDefault="00AF4D46" w:rsidP="0055328D">
            <w:pPr>
              <w:pStyle w:val="Paragrafoelenco"/>
              <w:numPr>
                <w:ilvl w:val="0"/>
                <w:numId w:val="61"/>
              </w:numPr>
              <w:spacing w:before="0" w:after="0"/>
              <w:jc w:val="left"/>
              <w:rPr>
                <w:sz w:val="22"/>
                <w:szCs w:val="22"/>
              </w:rPr>
            </w:pPr>
            <w:r w:rsidRPr="00021DD2">
              <w:rPr>
                <w:sz w:val="22"/>
                <w:szCs w:val="22"/>
              </w:rPr>
              <w:t>Therapeutic Residential Care (two programs state-wide which target yo</w:t>
            </w:r>
            <w:r w:rsidR="00955DD8">
              <w:rPr>
                <w:sz w:val="22"/>
                <w:szCs w:val="22"/>
              </w:rPr>
              <w:t>ung mothers in out-of-home care</w:t>
            </w:r>
          </w:p>
        </w:tc>
        <w:tc>
          <w:tcPr>
            <w:tcW w:w="4167" w:type="dxa"/>
          </w:tcPr>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Parent Assessment and Skill Development Services</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Supported Playgroups</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Early Start Kindergarten</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Access to Early Learning</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Therapeutic Residential Care (TRC)</w:t>
            </w:r>
          </w:p>
          <w:p w:rsidR="00AF4D46" w:rsidRPr="0055328D" w:rsidRDefault="00AF4D46" w:rsidP="0055328D">
            <w:pPr>
              <w:pStyle w:val="Paragrafoelenco"/>
              <w:numPr>
                <w:ilvl w:val="0"/>
                <w:numId w:val="61"/>
              </w:numPr>
              <w:spacing w:before="0" w:after="0"/>
              <w:jc w:val="left"/>
              <w:rPr>
                <w:sz w:val="22"/>
                <w:szCs w:val="22"/>
              </w:rPr>
            </w:pPr>
            <w:r w:rsidRPr="00021DD2">
              <w:rPr>
                <w:sz w:val="22"/>
                <w:szCs w:val="22"/>
              </w:rPr>
              <w:t>Community Health Services child health teams</w:t>
            </w:r>
          </w:p>
        </w:tc>
      </w:tr>
      <w:tr w:rsidR="00AF4D46" w:rsidRPr="00021DD2" w:rsidTr="00105288">
        <w:tc>
          <w:tcPr>
            <w:tcW w:w="1586" w:type="dxa"/>
          </w:tcPr>
          <w:p w:rsidR="00AF4D46" w:rsidRPr="00C86EEE" w:rsidRDefault="00AF4D46" w:rsidP="00AF4D46">
            <w:pPr>
              <w:spacing w:before="0" w:after="0"/>
              <w:rPr>
                <w:rFonts w:cs="Arial"/>
                <w:b/>
                <w:sz w:val="22"/>
                <w:szCs w:val="22"/>
              </w:rPr>
            </w:pPr>
            <w:r w:rsidRPr="00021DD2">
              <w:rPr>
                <w:rFonts w:cs="Arial"/>
                <w:b/>
                <w:sz w:val="22"/>
                <w:szCs w:val="22"/>
              </w:rPr>
              <w:t>New South Wales</w:t>
            </w:r>
          </w:p>
        </w:tc>
        <w:tc>
          <w:tcPr>
            <w:tcW w:w="4677" w:type="dxa"/>
          </w:tcPr>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Brighter Futures program</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Start Strong Family Preservation and Restoration</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Intensive home-based family preservation and restoration</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Targeted Earlier Intervention program reform</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Aboriginal Maternal and Infant Health Services (AMIHS)</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Specialist Perinatal and Infant Mental Health Services (PIMHS)</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Act Now Stay Strong – Family F</w:t>
            </w:r>
            <w:r w:rsidR="00105C91">
              <w:rPr>
                <w:sz w:val="22"/>
                <w:szCs w:val="22"/>
              </w:rPr>
              <w:t>unctioning Intervention model</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 xml:space="preserve">Sustaining NSW Families program (SNF) – part of </w:t>
            </w:r>
            <w:r w:rsidRPr="00021DD2">
              <w:rPr>
                <w:i/>
                <w:sz w:val="22"/>
                <w:szCs w:val="22"/>
              </w:rPr>
              <w:t>Future Directions for Social Housing</w:t>
            </w:r>
          </w:p>
          <w:p w:rsidR="00AF4D46" w:rsidRPr="00955DD8" w:rsidRDefault="00AF4D46" w:rsidP="00955DD8">
            <w:pPr>
              <w:pStyle w:val="Paragrafoelenco"/>
              <w:numPr>
                <w:ilvl w:val="0"/>
                <w:numId w:val="61"/>
              </w:numPr>
              <w:spacing w:before="0" w:after="0"/>
              <w:jc w:val="left"/>
              <w:rPr>
                <w:sz w:val="22"/>
                <w:szCs w:val="22"/>
              </w:rPr>
            </w:pPr>
            <w:r w:rsidRPr="00021DD2">
              <w:rPr>
                <w:sz w:val="22"/>
                <w:szCs w:val="22"/>
              </w:rPr>
              <w:t>Building Strong Foundations for Aboriginal Chil</w:t>
            </w:r>
            <w:r w:rsidR="00955DD8">
              <w:rPr>
                <w:sz w:val="22"/>
                <w:szCs w:val="22"/>
              </w:rPr>
              <w:t>dren, Families and Communities</w:t>
            </w:r>
          </w:p>
        </w:tc>
        <w:tc>
          <w:tcPr>
            <w:tcW w:w="4622" w:type="dxa"/>
          </w:tcPr>
          <w:p w:rsidR="00AF4D46" w:rsidRPr="00021DD2" w:rsidRDefault="00AF4D46" w:rsidP="0055328D">
            <w:pPr>
              <w:pStyle w:val="Paragrafoelenco"/>
              <w:numPr>
                <w:ilvl w:val="0"/>
                <w:numId w:val="61"/>
              </w:numPr>
              <w:spacing w:before="0" w:after="0"/>
              <w:jc w:val="left"/>
              <w:rPr>
                <w:sz w:val="22"/>
                <w:szCs w:val="22"/>
              </w:rPr>
            </w:pPr>
            <w:r w:rsidRPr="00021DD2">
              <w:rPr>
                <w:sz w:val="22"/>
                <w:szCs w:val="22"/>
              </w:rPr>
              <w:t>The Australian Red Cross Young Parents Program (funded under Brighter Futures)</w:t>
            </w:r>
          </w:p>
          <w:p w:rsidR="00AF4D46" w:rsidRPr="00021DD2" w:rsidRDefault="00AF4D46" w:rsidP="0055328D">
            <w:pPr>
              <w:pStyle w:val="Paragrafoelenco"/>
              <w:numPr>
                <w:ilvl w:val="0"/>
                <w:numId w:val="61"/>
              </w:numPr>
              <w:spacing w:before="0" w:after="0"/>
              <w:jc w:val="left"/>
              <w:rPr>
                <w:sz w:val="22"/>
                <w:szCs w:val="22"/>
              </w:rPr>
            </w:pPr>
            <w:r w:rsidRPr="00021DD2">
              <w:rPr>
                <w:sz w:val="22"/>
                <w:szCs w:val="22"/>
              </w:rPr>
              <w:t xml:space="preserve">Early Childhood Education and Care program (part of </w:t>
            </w:r>
            <w:r w:rsidRPr="00021DD2">
              <w:rPr>
                <w:i/>
                <w:sz w:val="22"/>
                <w:szCs w:val="22"/>
              </w:rPr>
              <w:t>Future Directions for Social Housing</w:t>
            </w:r>
            <w:r w:rsidRPr="00021DD2">
              <w:rPr>
                <w:sz w:val="22"/>
                <w:szCs w:val="22"/>
              </w:rPr>
              <w:t xml:space="preserve"> reform  </w:t>
            </w:r>
          </w:p>
          <w:p w:rsidR="00AF4D46" w:rsidRPr="00021DD2" w:rsidRDefault="00AF4D46" w:rsidP="0055328D">
            <w:pPr>
              <w:pStyle w:val="Paragrafoelenco"/>
              <w:numPr>
                <w:ilvl w:val="0"/>
                <w:numId w:val="61"/>
              </w:numPr>
              <w:spacing w:before="0" w:after="0"/>
              <w:jc w:val="left"/>
              <w:rPr>
                <w:sz w:val="22"/>
                <w:szCs w:val="22"/>
              </w:rPr>
            </w:pPr>
            <w:r w:rsidRPr="00021DD2">
              <w:rPr>
                <w:sz w:val="22"/>
                <w:szCs w:val="22"/>
              </w:rPr>
              <w:t>Aboriginal Young Parenting Support project</w:t>
            </w:r>
          </w:p>
          <w:p w:rsidR="00AF4D46" w:rsidRPr="00021DD2" w:rsidRDefault="00AF4D46" w:rsidP="0055328D">
            <w:pPr>
              <w:pStyle w:val="Paragrafoelenco"/>
              <w:numPr>
                <w:ilvl w:val="0"/>
                <w:numId w:val="61"/>
              </w:numPr>
              <w:spacing w:before="0" w:after="0"/>
              <w:jc w:val="left"/>
              <w:rPr>
                <w:sz w:val="22"/>
                <w:szCs w:val="22"/>
              </w:rPr>
            </w:pPr>
            <w:r w:rsidRPr="00021DD2">
              <w:rPr>
                <w:sz w:val="22"/>
                <w:szCs w:val="22"/>
              </w:rPr>
              <w:t>Young Parent Support Worker program (Hunter New England Local Health District)</w:t>
            </w:r>
          </w:p>
          <w:p w:rsidR="00AF4D46" w:rsidRPr="00021DD2" w:rsidRDefault="00AF4D46" w:rsidP="0055328D">
            <w:pPr>
              <w:pStyle w:val="Paragrafoelenco"/>
              <w:numPr>
                <w:ilvl w:val="0"/>
                <w:numId w:val="61"/>
              </w:numPr>
              <w:spacing w:before="0" w:after="0"/>
              <w:jc w:val="left"/>
              <w:rPr>
                <w:sz w:val="22"/>
                <w:szCs w:val="22"/>
              </w:rPr>
            </w:pPr>
            <w:r w:rsidRPr="00021DD2">
              <w:rPr>
                <w:sz w:val="22"/>
                <w:szCs w:val="22"/>
              </w:rPr>
              <w:t>Regional Youth Support Services</w:t>
            </w:r>
          </w:p>
          <w:p w:rsidR="00AF4D46" w:rsidRPr="00021DD2" w:rsidRDefault="00AF4D46" w:rsidP="0055328D">
            <w:pPr>
              <w:pStyle w:val="Paragrafoelenco"/>
              <w:numPr>
                <w:ilvl w:val="0"/>
                <w:numId w:val="61"/>
              </w:numPr>
              <w:spacing w:before="0" w:after="0"/>
              <w:jc w:val="left"/>
              <w:rPr>
                <w:sz w:val="22"/>
                <w:szCs w:val="22"/>
              </w:rPr>
            </w:pPr>
            <w:r w:rsidRPr="00021DD2">
              <w:rPr>
                <w:sz w:val="22"/>
                <w:szCs w:val="22"/>
              </w:rPr>
              <w:t>Young Parents Family Worker Project</w:t>
            </w:r>
          </w:p>
          <w:p w:rsidR="00AF4D46" w:rsidRPr="00021DD2" w:rsidRDefault="00AF4D46" w:rsidP="0055328D">
            <w:pPr>
              <w:pStyle w:val="Paragrafoelenco"/>
              <w:numPr>
                <w:ilvl w:val="0"/>
                <w:numId w:val="61"/>
              </w:numPr>
              <w:spacing w:before="0" w:after="0"/>
              <w:jc w:val="left"/>
              <w:rPr>
                <w:sz w:val="22"/>
                <w:szCs w:val="22"/>
              </w:rPr>
            </w:pPr>
            <w:r w:rsidRPr="00021DD2">
              <w:rPr>
                <w:sz w:val="22"/>
                <w:szCs w:val="22"/>
              </w:rPr>
              <w:t xml:space="preserve">Central Coast Homelessness Accommodation Service for Young Parent Families </w:t>
            </w:r>
          </w:p>
          <w:p w:rsidR="00AF4D46" w:rsidRPr="00C86EEE" w:rsidRDefault="00AF4D46" w:rsidP="00C86EEE">
            <w:pPr>
              <w:pStyle w:val="Paragrafoelenco"/>
              <w:numPr>
                <w:ilvl w:val="0"/>
                <w:numId w:val="61"/>
              </w:numPr>
              <w:spacing w:before="0" w:after="0"/>
              <w:jc w:val="left"/>
              <w:rPr>
                <w:sz w:val="22"/>
                <w:szCs w:val="22"/>
              </w:rPr>
            </w:pPr>
            <w:r w:rsidRPr="00021DD2">
              <w:rPr>
                <w:sz w:val="22"/>
                <w:szCs w:val="22"/>
              </w:rPr>
              <w:t xml:space="preserve">Parenting Programs in Custody (Reiby Juvenile Justice Centre partnership with Karitane). Other programs at </w:t>
            </w:r>
            <w:r w:rsidR="00DC407F">
              <w:rPr>
                <w:sz w:val="22"/>
                <w:szCs w:val="22"/>
              </w:rPr>
              <w:t>j</w:t>
            </w:r>
            <w:r w:rsidRPr="00021DD2">
              <w:rPr>
                <w:sz w:val="22"/>
                <w:szCs w:val="22"/>
              </w:rPr>
              <w:t xml:space="preserve">uvenile </w:t>
            </w:r>
            <w:r w:rsidR="00DC407F">
              <w:rPr>
                <w:sz w:val="22"/>
                <w:szCs w:val="22"/>
              </w:rPr>
              <w:t>j</w:t>
            </w:r>
            <w:r w:rsidRPr="00021DD2">
              <w:rPr>
                <w:sz w:val="22"/>
                <w:szCs w:val="22"/>
              </w:rPr>
              <w:t>ustice centres include Becoming a Father and antenatal workshops.</w:t>
            </w:r>
          </w:p>
          <w:p w:rsidR="00AF4D46" w:rsidRPr="00021DD2" w:rsidRDefault="00AF4D46" w:rsidP="0055328D">
            <w:pPr>
              <w:spacing w:before="0" w:after="0"/>
              <w:rPr>
                <w:rFonts w:cs="Arial"/>
                <w:sz w:val="22"/>
                <w:szCs w:val="22"/>
              </w:rPr>
            </w:pPr>
          </w:p>
        </w:tc>
        <w:tc>
          <w:tcPr>
            <w:tcW w:w="4167" w:type="dxa"/>
          </w:tcPr>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The Out of Home Care Health Pathway Program (OOHC HPP)</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NSW School-Link - School based mental health initiatives</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Getting on Track in Time – Got it! – specialist school-based clinical early intervention program</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Youth on Track – fo</w:t>
            </w:r>
            <w:r w:rsidR="009C448E" w:rsidRPr="00021DD2">
              <w:rPr>
                <w:sz w:val="22"/>
                <w:szCs w:val="22"/>
              </w:rPr>
              <w:t>r youth at risk of re-offending</w:t>
            </w:r>
            <w:r w:rsidRPr="00021DD2">
              <w:rPr>
                <w:sz w:val="22"/>
                <w:szCs w:val="22"/>
              </w:rPr>
              <w:t xml:space="preserve"> </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 xml:space="preserve">Housing and Support Program – for young women at risk of re-offending upon release from the </w:t>
            </w:r>
            <w:r w:rsidR="00DC407F">
              <w:rPr>
                <w:sz w:val="22"/>
                <w:szCs w:val="22"/>
              </w:rPr>
              <w:t>j</w:t>
            </w:r>
            <w:r w:rsidRPr="00021DD2">
              <w:rPr>
                <w:sz w:val="22"/>
                <w:szCs w:val="22"/>
              </w:rPr>
              <w:t xml:space="preserve">uvenile </w:t>
            </w:r>
            <w:r w:rsidR="00DC407F">
              <w:rPr>
                <w:sz w:val="22"/>
                <w:szCs w:val="22"/>
              </w:rPr>
              <w:t>j</w:t>
            </w:r>
            <w:r w:rsidRPr="00021DD2">
              <w:rPr>
                <w:sz w:val="22"/>
                <w:szCs w:val="22"/>
              </w:rPr>
              <w:t>ustice system due to homelessness o</w:t>
            </w:r>
            <w:r w:rsidR="009C448E" w:rsidRPr="00021DD2">
              <w:rPr>
                <w:sz w:val="22"/>
                <w:szCs w:val="22"/>
              </w:rPr>
              <w:t>r being at risk of homelessness</w:t>
            </w:r>
            <w:r w:rsidRPr="00021DD2">
              <w:rPr>
                <w:sz w:val="22"/>
                <w:szCs w:val="22"/>
              </w:rPr>
              <w:t xml:space="preserve"> </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Premier’s Youth Initiative – to support young people leaving out-of-home care and at risk of homelessne</w:t>
            </w:r>
            <w:r w:rsidR="00955DD8">
              <w:rPr>
                <w:sz w:val="22"/>
                <w:szCs w:val="22"/>
              </w:rPr>
              <w:t>ss</w:t>
            </w:r>
            <w:r w:rsidRPr="00021DD2">
              <w:rPr>
                <w:sz w:val="22"/>
                <w:szCs w:val="22"/>
              </w:rPr>
              <w:t xml:space="preserve"> </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Start Strong reform – early childhood</w:t>
            </w:r>
          </w:p>
        </w:tc>
      </w:tr>
      <w:tr w:rsidR="00AF4D46" w:rsidRPr="00021DD2" w:rsidTr="00105288">
        <w:tc>
          <w:tcPr>
            <w:tcW w:w="1586" w:type="dxa"/>
          </w:tcPr>
          <w:p w:rsidR="00AF4D46" w:rsidRPr="00C86EEE" w:rsidRDefault="00AF4D46" w:rsidP="00AF4D46">
            <w:pPr>
              <w:spacing w:before="0" w:after="0"/>
              <w:rPr>
                <w:rFonts w:cs="Arial"/>
                <w:b/>
                <w:sz w:val="22"/>
                <w:szCs w:val="22"/>
              </w:rPr>
            </w:pPr>
            <w:r w:rsidRPr="00021DD2">
              <w:rPr>
                <w:rFonts w:cs="Arial"/>
                <w:b/>
                <w:sz w:val="22"/>
                <w:szCs w:val="22"/>
              </w:rPr>
              <w:t>Tasmania</w:t>
            </w:r>
          </w:p>
        </w:tc>
        <w:tc>
          <w:tcPr>
            <w:tcW w:w="4677" w:type="dxa"/>
          </w:tcPr>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Learning in Families Together (LIFT)</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Establishment of 12 Child and Family Centres (CFCs) across Tasmania</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Child Health and Parenting Services</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Healthy Smiles for Two project</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Child Health and Parenting Service (ChaPS) Universal Program</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Safe Choices (a new state-wide family violence service, delivered by Catholic Care)</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Rapid Rehousing (to support people affected by family violence)</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Aboriginal Family Safety Initiative</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The Joined Up Human Services Project</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Strong Families, Safe Kids (2016</w:t>
            </w:r>
            <w:r w:rsidR="001C20CB">
              <w:rPr>
                <w:sz w:val="22"/>
                <w:szCs w:val="22"/>
              </w:rPr>
              <w:t>–</w:t>
            </w:r>
            <w:r w:rsidRPr="00021DD2">
              <w:rPr>
                <w:sz w:val="22"/>
                <w:szCs w:val="22"/>
              </w:rPr>
              <w:t>2020 – child protection reform)</w:t>
            </w:r>
          </w:p>
        </w:tc>
        <w:tc>
          <w:tcPr>
            <w:tcW w:w="4622" w:type="dxa"/>
          </w:tcPr>
          <w:p w:rsidR="00AF4D46" w:rsidRPr="00021DD2" w:rsidRDefault="00AF4D46" w:rsidP="0055328D">
            <w:pPr>
              <w:pStyle w:val="Paragrafoelenco"/>
              <w:numPr>
                <w:ilvl w:val="0"/>
                <w:numId w:val="61"/>
              </w:numPr>
              <w:spacing w:before="0" w:after="0"/>
              <w:jc w:val="left"/>
              <w:rPr>
                <w:sz w:val="22"/>
                <w:szCs w:val="22"/>
              </w:rPr>
            </w:pPr>
            <w:r w:rsidRPr="00021DD2">
              <w:rPr>
                <w:i/>
                <w:sz w:val="22"/>
                <w:szCs w:val="22"/>
              </w:rPr>
              <w:t>Retaining and Supporting Pregnant and Parenting Students</w:t>
            </w:r>
            <w:r w:rsidRPr="00021DD2">
              <w:rPr>
                <w:sz w:val="22"/>
                <w:szCs w:val="22"/>
              </w:rPr>
              <w:t xml:space="preserve"> policy in schools</w:t>
            </w:r>
          </w:p>
          <w:p w:rsidR="00AF4D46" w:rsidRPr="00021DD2" w:rsidRDefault="00AF4D46" w:rsidP="0055328D">
            <w:pPr>
              <w:pStyle w:val="Paragrafoelenco"/>
              <w:numPr>
                <w:ilvl w:val="0"/>
                <w:numId w:val="61"/>
              </w:numPr>
              <w:spacing w:before="0" w:after="0"/>
              <w:jc w:val="left"/>
              <w:rPr>
                <w:sz w:val="22"/>
                <w:szCs w:val="22"/>
              </w:rPr>
            </w:pPr>
            <w:r w:rsidRPr="00021DD2">
              <w:rPr>
                <w:sz w:val="22"/>
                <w:szCs w:val="22"/>
              </w:rPr>
              <w:t xml:space="preserve">Claremont College </w:t>
            </w:r>
            <w:r w:rsidRPr="00021DD2">
              <w:rPr>
                <w:i/>
                <w:sz w:val="22"/>
                <w:szCs w:val="22"/>
              </w:rPr>
              <w:t>Young Mums Program</w:t>
            </w:r>
            <w:r w:rsidRPr="00021DD2">
              <w:rPr>
                <w:sz w:val="22"/>
                <w:szCs w:val="22"/>
              </w:rPr>
              <w:t xml:space="preserve"> </w:t>
            </w:r>
          </w:p>
          <w:p w:rsidR="00AF4D46" w:rsidRPr="00021DD2" w:rsidRDefault="00DC407F" w:rsidP="0055328D">
            <w:pPr>
              <w:pStyle w:val="Paragrafoelenco"/>
              <w:numPr>
                <w:ilvl w:val="0"/>
                <w:numId w:val="61"/>
              </w:numPr>
              <w:spacing w:before="0" w:after="0"/>
              <w:jc w:val="left"/>
              <w:rPr>
                <w:sz w:val="22"/>
                <w:szCs w:val="22"/>
              </w:rPr>
            </w:pPr>
            <w:r>
              <w:rPr>
                <w:sz w:val="22"/>
                <w:szCs w:val="22"/>
              </w:rPr>
              <w:t>C</w:t>
            </w:r>
            <w:r w:rsidR="00AF4D46" w:rsidRPr="00021DD2">
              <w:rPr>
                <w:sz w:val="22"/>
                <w:szCs w:val="22"/>
              </w:rPr>
              <w:t>lasses at the Royal Hobart Hospital</w:t>
            </w:r>
          </w:p>
          <w:p w:rsidR="00AF4D46" w:rsidRPr="00021DD2" w:rsidRDefault="00AF4D46" w:rsidP="0055328D">
            <w:pPr>
              <w:pStyle w:val="Paragrafoelenco"/>
              <w:numPr>
                <w:ilvl w:val="0"/>
                <w:numId w:val="61"/>
              </w:numPr>
              <w:spacing w:before="0" w:after="0"/>
              <w:jc w:val="left"/>
              <w:rPr>
                <w:sz w:val="22"/>
                <w:szCs w:val="22"/>
              </w:rPr>
            </w:pPr>
            <w:r w:rsidRPr="00021DD2">
              <w:rPr>
                <w:sz w:val="22"/>
                <w:szCs w:val="22"/>
              </w:rPr>
              <w:t xml:space="preserve">cu@home Program – nurse home-visiting campaign for young parents </w:t>
            </w:r>
          </w:p>
          <w:p w:rsidR="00AF4D46" w:rsidRPr="00021DD2" w:rsidRDefault="00AF4D46" w:rsidP="0055328D">
            <w:pPr>
              <w:pStyle w:val="Paragrafoelenco"/>
              <w:spacing w:before="0" w:after="0"/>
              <w:ind w:left="360"/>
              <w:jc w:val="left"/>
              <w:rPr>
                <w:sz w:val="22"/>
                <w:szCs w:val="22"/>
              </w:rPr>
            </w:pPr>
          </w:p>
        </w:tc>
        <w:tc>
          <w:tcPr>
            <w:tcW w:w="4167" w:type="dxa"/>
          </w:tcPr>
          <w:p w:rsidR="00AF4D46" w:rsidRPr="00021DD2" w:rsidRDefault="00AF4D46" w:rsidP="00B934D7">
            <w:pPr>
              <w:pStyle w:val="Paragrafoelenco"/>
              <w:numPr>
                <w:ilvl w:val="0"/>
                <w:numId w:val="60"/>
              </w:numPr>
              <w:spacing w:before="0" w:after="0"/>
              <w:jc w:val="left"/>
              <w:rPr>
                <w:sz w:val="22"/>
                <w:szCs w:val="22"/>
              </w:rPr>
            </w:pPr>
            <w:r w:rsidRPr="00021DD2">
              <w:rPr>
                <w:sz w:val="22"/>
                <w:szCs w:val="22"/>
              </w:rPr>
              <w:t>Launching into Learning (LiL)</w:t>
            </w:r>
          </w:p>
          <w:p w:rsidR="00AF4D46" w:rsidRPr="00021DD2" w:rsidRDefault="00AF4D46" w:rsidP="00B934D7">
            <w:pPr>
              <w:pStyle w:val="Paragrafoelenco"/>
              <w:numPr>
                <w:ilvl w:val="0"/>
                <w:numId w:val="60"/>
              </w:numPr>
              <w:spacing w:before="0" w:after="0"/>
              <w:jc w:val="left"/>
              <w:rPr>
                <w:sz w:val="22"/>
                <w:szCs w:val="22"/>
              </w:rPr>
            </w:pPr>
            <w:r w:rsidRPr="00021DD2">
              <w:rPr>
                <w:sz w:val="22"/>
                <w:szCs w:val="22"/>
              </w:rPr>
              <w:t>My Education initiative</w:t>
            </w:r>
          </w:p>
          <w:p w:rsidR="00AF4D46" w:rsidRPr="00021DD2" w:rsidRDefault="00AF4D46" w:rsidP="00B934D7">
            <w:pPr>
              <w:pStyle w:val="Paragrafoelenco"/>
              <w:numPr>
                <w:ilvl w:val="0"/>
                <w:numId w:val="60"/>
              </w:numPr>
              <w:spacing w:before="0" w:after="0"/>
              <w:jc w:val="left"/>
              <w:rPr>
                <w:sz w:val="22"/>
                <w:szCs w:val="22"/>
              </w:rPr>
            </w:pPr>
            <w:r w:rsidRPr="00021DD2">
              <w:rPr>
                <w:sz w:val="22"/>
                <w:szCs w:val="22"/>
              </w:rPr>
              <w:t>Community Empowered Schools initiative</w:t>
            </w:r>
          </w:p>
          <w:p w:rsidR="00AF4D46" w:rsidRPr="00021DD2" w:rsidRDefault="00AF4D46" w:rsidP="00B934D7">
            <w:pPr>
              <w:pStyle w:val="Paragrafoelenco"/>
              <w:numPr>
                <w:ilvl w:val="0"/>
                <w:numId w:val="60"/>
              </w:numPr>
              <w:spacing w:before="0" w:after="0"/>
              <w:jc w:val="left"/>
              <w:rPr>
                <w:sz w:val="22"/>
                <w:szCs w:val="22"/>
              </w:rPr>
            </w:pPr>
            <w:r w:rsidRPr="00021DD2">
              <w:rPr>
                <w:sz w:val="22"/>
                <w:szCs w:val="22"/>
              </w:rPr>
              <w:t>Tasmanian Carers Action Plan 2013</w:t>
            </w:r>
            <w:r w:rsidR="001C20CB">
              <w:rPr>
                <w:sz w:val="22"/>
                <w:szCs w:val="22"/>
              </w:rPr>
              <w:t>–</w:t>
            </w:r>
            <w:r w:rsidRPr="00021DD2">
              <w:rPr>
                <w:sz w:val="22"/>
                <w:szCs w:val="22"/>
              </w:rPr>
              <w:t>2018 (the Plan acknowledges that young people can have carer responsibilities)</w:t>
            </w:r>
          </w:p>
          <w:p w:rsidR="00AF4D46" w:rsidRPr="00021DD2" w:rsidRDefault="00AF4D46" w:rsidP="00B934D7">
            <w:pPr>
              <w:pStyle w:val="Paragrafoelenco"/>
              <w:numPr>
                <w:ilvl w:val="0"/>
                <w:numId w:val="60"/>
              </w:numPr>
              <w:spacing w:before="0" w:after="0"/>
              <w:jc w:val="left"/>
              <w:rPr>
                <w:sz w:val="22"/>
                <w:szCs w:val="22"/>
              </w:rPr>
            </w:pPr>
            <w:r w:rsidRPr="00021DD2">
              <w:rPr>
                <w:sz w:val="22"/>
                <w:szCs w:val="22"/>
              </w:rPr>
              <w:t>Respectful Relationships Education Package (Government schools)</w:t>
            </w:r>
          </w:p>
          <w:p w:rsidR="00AF4D46" w:rsidRPr="00021DD2" w:rsidRDefault="00AF4D46" w:rsidP="00B934D7">
            <w:pPr>
              <w:pStyle w:val="Paragrafoelenco"/>
              <w:numPr>
                <w:ilvl w:val="0"/>
                <w:numId w:val="60"/>
              </w:numPr>
              <w:spacing w:before="0" w:after="0"/>
              <w:jc w:val="left"/>
              <w:rPr>
                <w:sz w:val="22"/>
                <w:szCs w:val="22"/>
              </w:rPr>
            </w:pPr>
            <w:r w:rsidRPr="00021DD2">
              <w:rPr>
                <w:sz w:val="22"/>
                <w:szCs w:val="22"/>
              </w:rPr>
              <w:t>Healthy Tasmania Five Year Strategic Plan – to improve health and well</w:t>
            </w:r>
            <w:r w:rsidR="009C448E" w:rsidRPr="00021DD2">
              <w:rPr>
                <w:sz w:val="22"/>
                <w:szCs w:val="22"/>
              </w:rPr>
              <w:t>being of young people at school</w:t>
            </w:r>
            <w:r w:rsidRPr="00021DD2">
              <w:rPr>
                <w:sz w:val="22"/>
                <w:szCs w:val="22"/>
              </w:rPr>
              <w:t xml:space="preserve"> </w:t>
            </w:r>
          </w:p>
          <w:p w:rsidR="00AF4D46" w:rsidRPr="00021DD2" w:rsidRDefault="00AF4D46" w:rsidP="00B934D7">
            <w:pPr>
              <w:pStyle w:val="Paragrafoelenco"/>
              <w:numPr>
                <w:ilvl w:val="0"/>
                <w:numId w:val="60"/>
              </w:numPr>
              <w:spacing w:before="0" w:after="0"/>
              <w:jc w:val="left"/>
              <w:rPr>
                <w:sz w:val="22"/>
                <w:szCs w:val="22"/>
              </w:rPr>
            </w:pPr>
            <w:r w:rsidRPr="00021DD2">
              <w:rPr>
                <w:sz w:val="22"/>
                <w:szCs w:val="22"/>
              </w:rPr>
              <w:t xml:space="preserve">Support for students affected by family violence in non-government schools </w:t>
            </w:r>
          </w:p>
          <w:p w:rsidR="00AF4D46" w:rsidRPr="00021DD2" w:rsidRDefault="00AF4D46" w:rsidP="00B934D7">
            <w:pPr>
              <w:pStyle w:val="Paragrafoelenco"/>
              <w:numPr>
                <w:ilvl w:val="0"/>
                <w:numId w:val="60"/>
              </w:numPr>
              <w:spacing w:before="0" w:after="0"/>
              <w:jc w:val="left"/>
              <w:rPr>
                <w:sz w:val="22"/>
                <w:szCs w:val="22"/>
              </w:rPr>
            </w:pPr>
            <w:r w:rsidRPr="00021DD2">
              <w:rPr>
                <w:sz w:val="22"/>
                <w:szCs w:val="22"/>
              </w:rPr>
              <w:t>Australian Childhood Foundation’s additional counselling for children and young people affected by family violence</w:t>
            </w:r>
          </w:p>
          <w:p w:rsidR="00AF4D46" w:rsidRPr="00021DD2" w:rsidRDefault="00AF4D46" w:rsidP="00B934D7">
            <w:pPr>
              <w:pStyle w:val="Paragrafoelenco"/>
              <w:numPr>
                <w:ilvl w:val="0"/>
                <w:numId w:val="60"/>
              </w:numPr>
              <w:spacing w:before="0" w:after="0"/>
              <w:jc w:val="left"/>
              <w:rPr>
                <w:sz w:val="22"/>
                <w:szCs w:val="22"/>
              </w:rPr>
            </w:pPr>
            <w:r w:rsidRPr="00021DD2">
              <w:rPr>
                <w:sz w:val="22"/>
                <w:szCs w:val="22"/>
              </w:rPr>
              <w:t>Tasmania Affordable Housing Strategy 2015</w:t>
            </w:r>
            <w:r w:rsidR="001C20CB">
              <w:rPr>
                <w:sz w:val="22"/>
                <w:szCs w:val="22"/>
              </w:rPr>
              <w:t>–</w:t>
            </w:r>
            <w:r w:rsidRPr="00021DD2">
              <w:rPr>
                <w:sz w:val="22"/>
                <w:szCs w:val="22"/>
              </w:rPr>
              <w:t xml:space="preserve">2025 (including initiatives to specifically support young </w:t>
            </w:r>
            <w:r w:rsidR="009C448E" w:rsidRPr="00021DD2">
              <w:rPr>
                <w:sz w:val="22"/>
                <w:szCs w:val="22"/>
              </w:rPr>
              <w:t>people at risk of homelessness)</w:t>
            </w:r>
            <w:r w:rsidRPr="00021DD2">
              <w:rPr>
                <w:sz w:val="22"/>
                <w:szCs w:val="22"/>
              </w:rPr>
              <w:t xml:space="preserve"> </w:t>
            </w:r>
          </w:p>
          <w:p w:rsidR="00AF4D46" w:rsidRPr="00021DD2" w:rsidRDefault="00AF4D46" w:rsidP="00B934D7">
            <w:pPr>
              <w:pStyle w:val="Paragrafoelenco"/>
              <w:numPr>
                <w:ilvl w:val="0"/>
                <w:numId w:val="60"/>
              </w:numPr>
              <w:spacing w:before="0" w:after="0"/>
              <w:jc w:val="left"/>
              <w:rPr>
                <w:sz w:val="22"/>
                <w:szCs w:val="22"/>
              </w:rPr>
            </w:pPr>
            <w:r w:rsidRPr="00021DD2">
              <w:rPr>
                <w:sz w:val="22"/>
                <w:szCs w:val="22"/>
              </w:rPr>
              <w:t>Youth At Risk Strategy</w:t>
            </w:r>
          </w:p>
          <w:p w:rsidR="00AF4D46" w:rsidRPr="00021DD2" w:rsidRDefault="00AF4D46" w:rsidP="00B934D7">
            <w:pPr>
              <w:pStyle w:val="Paragrafoelenco"/>
              <w:numPr>
                <w:ilvl w:val="0"/>
                <w:numId w:val="60"/>
              </w:numPr>
              <w:spacing w:before="0" w:after="0"/>
              <w:jc w:val="left"/>
              <w:rPr>
                <w:sz w:val="22"/>
                <w:szCs w:val="22"/>
              </w:rPr>
            </w:pPr>
            <w:r w:rsidRPr="00021DD2">
              <w:rPr>
                <w:sz w:val="22"/>
                <w:szCs w:val="22"/>
              </w:rPr>
              <w:t>Youth Employment strategy</w:t>
            </w:r>
          </w:p>
          <w:p w:rsidR="00AF4D46" w:rsidRPr="00021DD2" w:rsidRDefault="00AF4D46" w:rsidP="00AF4D46">
            <w:pPr>
              <w:spacing w:before="0" w:after="0"/>
              <w:rPr>
                <w:rFonts w:cs="Arial"/>
                <w:sz w:val="22"/>
                <w:szCs w:val="22"/>
              </w:rPr>
            </w:pPr>
          </w:p>
        </w:tc>
      </w:tr>
      <w:tr w:rsidR="00AF4D46" w:rsidRPr="00021DD2" w:rsidTr="00105288">
        <w:trPr>
          <w:trHeight w:val="2076"/>
        </w:trPr>
        <w:tc>
          <w:tcPr>
            <w:tcW w:w="1586" w:type="dxa"/>
          </w:tcPr>
          <w:p w:rsidR="00AF4D46" w:rsidRPr="00021DD2" w:rsidRDefault="00AF4D46" w:rsidP="00AF4D46">
            <w:pPr>
              <w:spacing w:before="0" w:after="0"/>
              <w:rPr>
                <w:rFonts w:cs="Arial"/>
                <w:sz w:val="22"/>
                <w:szCs w:val="22"/>
              </w:rPr>
            </w:pPr>
          </w:p>
          <w:p w:rsidR="00AF4D46" w:rsidRPr="00021DD2" w:rsidRDefault="00AF4D46" w:rsidP="00AF4D46">
            <w:pPr>
              <w:spacing w:before="0" w:after="0"/>
              <w:rPr>
                <w:rFonts w:cs="Arial"/>
                <w:sz w:val="22"/>
                <w:szCs w:val="22"/>
              </w:rPr>
            </w:pPr>
          </w:p>
          <w:p w:rsidR="00AF4D46" w:rsidRPr="00021DD2" w:rsidRDefault="00AF4D46" w:rsidP="00AF4D46">
            <w:pPr>
              <w:spacing w:before="0" w:after="0"/>
              <w:rPr>
                <w:rFonts w:cs="Arial"/>
                <w:sz w:val="22"/>
                <w:szCs w:val="22"/>
              </w:rPr>
            </w:pPr>
          </w:p>
          <w:p w:rsidR="00AF4D46" w:rsidRPr="00021DD2" w:rsidRDefault="00AF4D46" w:rsidP="00AF4D46">
            <w:pPr>
              <w:spacing w:before="0" w:after="0"/>
              <w:rPr>
                <w:rFonts w:cs="Arial"/>
                <w:sz w:val="22"/>
                <w:szCs w:val="22"/>
              </w:rPr>
            </w:pPr>
          </w:p>
          <w:p w:rsidR="00AF4D46" w:rsidRPr="00021DD2" w:rsidRDefault="00AF4D46" w:rsidP="00AF4D46">
            <w:pPr>
              <w:spacing w:before="0" w:after="0"/>
              <w:rPr>
                <w:rFonts w:cs="Arial"/>
                <w:sz w:val="22"/>
                <w:szCs w:val="22"/>
              </w:rPr>
            </w:pPr>
          </w:p>
          <w:p w:rsidR="00AF4D46" w:rsidRPr="00021DD2" w:rsidRDefault="00AF4D46" w:rsidP="00AF4D46">
            <w:pPr>
              <w:spacing w:before="0" w:after="0"/>
              <w:rPr>
                <w:rFonts w:cs="Arial"/>
                <w:sz w:val="22"/>
                <w:szCs w:val="22"/>
              </w:rPr>
            </w:pPr>
          </w:p>
          <w:p w:rsidR="00AF4D46" w:rsidRPr="00021DD2" w:rsidRDefault="00AF4D46" w:rsidP="00AF4D46">
            <w:pPr>
              <w:spacing w:before="0" w:after="0"/>
              <w:rPr>
                <w:rFonts w:cs="Arial"/>
                <w:b/>
                <w:sz w:val="22"/>
                <w:szCs w:val="22"/>
              </w:rPr>
            </w:pPr>
          </w:p>
          <w:p w:rsidR="00AF4D46" w:rsidRPr="00021DD2" w:rsidRDefault="00AF4D46" w:rsidP="00AF4D46">
            <w:pPr>
              <w:spacing w:before="0" w:after="0"/>
              <w:rPr>
                <w:rFonts w:cs="Arial"/>
                <w:b/>
                <w:sz w:val="22"/>
                <w:szCs w:val="22"/>
              </w:rPr>
            </w:pPr>
            <w:r w:rsidRPr="00021DD2">
              <w:rPr>
                <w:rFonts w:cs="Arial"/>
                <w:b/>
                <w:sz w:val="22"/>
                <w:szCs w:val="22"/>
              </w:rPr>
              <w:t>South Australia</w:t>
            </w:r>
          </w:p>
          <w:p w:rsidR="00AF4D46" w:rsidRPr="00021DD2" w:rsidRDefault="00AF4D46" w:rsidP="00AF4D46">
            <w:pPr>
              <w:spacing w:before="0" w:after="0"/>
              <w:rPr>
                <w:rFonts w:cs="Arial"/>
                <w:sz w:val="22"/>
                <w:szCs w:val="22"/>
              </w:rPr>
            </w:pPr>
          </w:p>
          <w:p w:rsidR="00AF4D46" w:rsidRPr="00021DD2" w:rsidRDefault="00AF4D46" w:rsidP="00AF4D46">
            <w:pPr>
              <w:spacing w:before="0" w:after="0"/>
              <w:rPr>
                <w:rFonts w:cs="Arial"/>
                <w:sz w:val="22"/>
                <w:szCs w:val="22"/>
              </w:rPr>
            </w:pPr>
          </w:p>
          <w:p w:rsidR="00AF4D46" w:rsidRPr="00021DD2" w:rsidRDefault="00AF4D46" w:rsidP="00AF4D46">
            <w:pPr>
              <w:spacing w:before="0" w:after="0"/>
              <w:rPr>
                <w:rFonts w:cs="Arial"/>
                <w:sz w:val="22"/>
                <w:szCs w:val="22"/>
              </w:rPr>
            </w:pPr>
          </w:p>
          <w:p w:rsidR="00AF4D46" w:rsidRPr="00021DD2" w:rsidRDefault="00AF4D46" w:rsidP="00AF4D46">
            <w:pPr>
              <w:spacing w:before="0" w:after="0"/>
              <w:rPr>
                <w:rFonts w:cs="Arial"/>
                <w:sz w:val="22"/>
                <w:szCs w:val="22"/>
              </w:rPr>
            </w:pPr>
          </w:p>
          <w:p w:rsidR="00AF4D46" w:rsidRPr="00021DD2" w:rsidRDefault="00AF4D46" w:rsidP="00AF4D46">
            <w:pPr>
              <w:spacing w:before="0" w:after="0"/>
              <w:rPr>
                <w:rFonts w:cs="Arial"/>
                <w:sz w:val="22"/>
                <w:szCs w:val="22"/>
              </w:rPr>
            </w:pPr>
          </w:p>
          <w:p w:rsidR="00AF4D46" w:rsidRPr="00021DD2" w:rsidRDefault="00AF4D46" w:rsidP="00AF4D46">
            <w:pPr>
              <w:spacing w:before="0" w:after="0"/>
              <w:rPr>
                <w:rFonts w:cs="Arial"/>
                <w:sz w:val="22"/>
                <w:szCs w:val="22"/>
              </w:rPr>
            </w:pPr>
          </w:p>
          <w:p w:rsidR="00AF4D46" w:rsidRPr="00021DD2" w:rsidRDefault="00AF4D46" w:rsidP="00AF4D46">
            <w:pPr>
              <w:spacing w:before="0" w:after="0"/>
              <w:rPr>
                <w:rFonts w:cs="Arial"/>
                <w:sz w:val="22"/>
                <w:szCs w:val="22"/>
              </w:rPr>
            </w:pPr>
          </w:p>
        </w:tc>
        <w:tc>
          <w:tcPr>
            <w:tcW w:w="4677" w:type="dxa"/>
          </w:tcPr>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Children’s Centres for Early Childhood Development and Parenting deliver the following programs:</w:t>
            </w:r>
          </w:p>
          <w:p w:rsidR="00AF4D46" w:rsidRPr="00021DD2" w:rsidRDefault="00DC407F" w:rsidP="00B934D7">
            <w:pPr>
              <w:pStyle w:val="Paragrafoelenco"/>
              <w:numPr>
                <w:ilvl w:val="0"/>
                <w:numId w:val="62"/>
              </w:numPr>
              <w:spacing w:before="0" w:after="0"/>
              <w:ind w:left="730" w:hanging="284"/>
              <w:jc w:val="left"/>
              <w:rPr>
                <w:sz w:val="22"/>
                <w:szCs w:val="22"/>
              </w:rPr>
            </w:pPr>
            <w:r>
              <w:rPr>
                <w:sz w:val="22"/>
                <w:szCs w:val="22"/>
              </w:rPr>
              <w:t>a</w:t>
            </w:r>
            <w:r w:rsidR="00AF4D46" w:rsidRPr="00021DD2">
              <w:rPr>
                <w:sz w:val="22"/>
                <w:szCs w:val="22"/>
              </w:rPr>
              <w:t>ntenatal services</w:t>
            </w:r>
          </w:p>
          <w:p w:rsidR="00AF4D46" w:rsidRPr="00021DD2" w:rsidRDefault="00DC407F" w:rsidP="00B934D7">
            <w:pPr>
              <w:pStyle w:val="Paragrafoelenco"/>
              <w:numPr>
                <w:ilvl w:val="0"/>
                <w:numId w:val="62"/>
              </w:numPr>
              <w:spacing w:before="0" w:after="0"/>
              <w:ind w:left="730" w:hanging="284"/>
              <w:jc w:val="left"/>
              <w:rPr>
                <w:sz w:val="22"/>
                <w:szCs w:val="22"/>
              </w:rPr>
            </w:pPr>
            <w:r>
              <w:rPr>
                <w:sz w:val="22"/>
                <w:szCs w:val="22"/>
              </w:rPr>
              <w:t>u</w:t>
            </w:r>
            <w:r w:rsidR="00AF4D46" w:rsidRPr="00021DD2">
              <w:rPr>
                <w:sz w:val="22"/>
                <w:szCs w:val="22"/>
              </w:rPr>
              <w:t>niversal community playgroups</w:t>
            </w:r>
          </w:p>
          <w:p w:rsidR="00AF4D46" w:rsidRPr="00021DD2" w:rsidRDefault="00DC407F" w:rsidP="00B934D7">
            <w:pPr>
              <w:pStyle w:val="Paragrafoelenco"/>
              <w:numPr>
                <w:ilvl w:val="0"/>
                <w:numId w:val="62"/>
              </w:numPr>
              <w:spacing w:before="0" w:after="0"/>
              <w:ind w:left="730" w:hanging="284"/>
              <w:jc w:val="left"/>
              <w:rPr>
                <w:sz w:val="22"/>
                <w:szCs w:val="22"/>
              </w:rPr>
            </w:pPr>
            <w:r>
              <w:rPr>
                <w:sz w:val="22"/>
                <w:szCs w:val="22"/>
              </w:rPr>
              <w:t>p</w:t>
            </w:r>
            <w:r w:rsidR="00AF4D46" w:rsidRPr="00021DD2">
              <w:rPr>
                <w:sz w:val="22"/>
                <w:szCs w:val="22"/>
              </w:rPr>
              <w:t>sychoeducational parenting group programs</w:t>
            </w:r>
          </w:p>
          <w:p w:rsidR="00AF4D46" w:rsidRPr="00021DD2" w:rsidRDefault="00DC407F" w:rsidP="00B934D7">
            <w:pPr>
              <w:pStyle w:val="Paragrafoelenco"/>
              <w:numPr>
                <w:ilvl w:val="0"/>
                <w:numId w:val="62"/>
              </w:numPr>
              <w:spacing w:before="0" w:after="0"/>
              <w:ind w:left="730" w:hanging="284"/>
              <w:jc w:val="left"/>
              <w:rPr>
                <w:sz w:val="22"/>
                <w:szCs w:val="22"/>
              </w:rPr>
            </w:pPr>
            <w:r>
              <w:rPr>
                <w:sz w:val="22"/>
                <w:szCs w:val="22"/>
              </w:rPr>
              <w:t>t</w:t>
            </w:r>
            <w:r w:rsidR="00AF4D46" w:rsidRPr="00021DD2">
              <w:rPr>
                <w:sz w:val="22"/>
                <w:szCs w:val="22"/>
              </w:rPr>
              <w:t>argeted playgroups</w:t>
            </w:r>
          </w:p>
          <w:p w:rsidR="00AF4D46" w:rsidRPr="00021DD2" w:rsidRDefault="00DC407F" w:rsidP="00B934D7">
            <w:pPr>
              <w:pStyle w:val="Paragrafoelenco"/>
              <w:numPr>
                <w:ilvl w:val="0"/>
                <w:numId w:val="62"/>
              </w:numPr>
              <w:spacing w:before="0" w:after="0"/>
              <w:ind w:left="730" w:hanging="284"/>
              <w:jc w:val="left"/>
              <w:rPr>
                <w:sz w:val="22"/>
                <w:szCs w:val="22"/>
              </w:rPr>
            </w:pPr>
            <w:r>
              <w:rPr>
                <w:sz w:val="22"/>
                <w:szCs w:val="22"/>
              </w:rPr>
              <w:t>f</w:t>
            </w:r>
            <w:r w:rsidR="00AF4D46" w:rsidRPr="00021DD2">
              <w:rPr>
                <w:sz w:val="22"/>
                <w:szCs w:val="22"/>
              </w:rPr>
              <w:t xml:space="preserve">amily </w:t>
            </w:r>
            <w:r>
              <w:rPr>
                <w:sz w:val="22"/>
                <w:szCs w:val="22"/>
              </w:rPr>
              <w:t>c</w:t>
            </w:r>
            <w:r w:rsidR="00AF4D46" w:rsidRPr="00021DD2">
              <w:rPr>
                <w:sz w:val="22"/>
                <w:szCs w:val="22"/>
              </w:rPr>
              <w:t xml:space="preserve">ontact </w:t>
            </w:r>
            <w:r>
              <w:rPr>
                <w:sz w:val="22"/>
                <w:szCs w:val="22"/>
              </w:rPr>
              <w:t>p</w:t>
            </w:r>
            <w:r w:rsidR="00AF4D46" w:rsidRPr="00021DD2">
              <w:rPr>
                <w:sz w:val="22"/>
                <w:szCs w:val="22"/>
              </w:rPr>
              <w:t>laygroup</w:t>
            </w:r>
          </w:p>
          <w:p w:rsidR="00AF4D46" w:rsidRPr="00021DD2" w:rsidRDefault="00DC407F" w:rsidP="00B934D7">
            <w:pPr>
              <w:pStyle w:val="Paragrafoelenco"/>
              <w:numPr>
                <w:ilvl w:val="0"/>
                <w:numId w:val="62"/>
              </w:numPr>
              <w:spacing w:before="0" w:after="0"/>
              <w:ind w:left="730" w:hanging="284"/>
              <w:jc w:val="left"/>
              <w:rPr>
                <w:sz w:val="22"/>
                <w:szCs w:val="22"/>
              </w:rPr>
            </w:pPr>
            <w:r>
              <w:rPr>
                <w:sz w:val="22"/>
                <w:szCs w:val="22"/>
              </w:rPr>
              <w:t>g</w:t>
            </w:r>
            <w:r w:rsidR="00AF4D46" w:rsidRPr="00021DD2">
              <w:rPr>
                <w:sz w:val="22"/>
                <w:szCs w:val="22"/>
              </w:rPr>
              <w:t>roups targeting specific areas of development</w:t>
            </w:r>
          </w:p>
          <w:p w:rsidR="00AF4D46" w:rsidRPr="00021DD2" w:rsidRDefault="00DC407F" w:rsidP="00B934D7">
            <w:pPr>
              <w:pStyle w:val="Paragrafoelenco"/>
              <w:numPr>
                <w:ilvl w:val="0"/>
                <w:numId w:val="62"/>
              </w:numPr>
              <w:spacing w:before="0" w:after="0"/>
              <w:ind w:left="730" w:hanging="284"/>
              <w:jc w:val="left"/>
              <w:rPr>
                <w:sz w:val="22"/>
                <w:szCs w:val="22"/>
              </w:rPr>
            </w:pPr>
            <w:r>
              <w:rPr>
                <w:sz w:val="22"/>
                <w:szCs w:val="22"/>
              </w:rPr>
              <w:t>f</w:t>
            </w:r>
            <w:r w:rsidR="00AF4D46" w:rsidRPr="00021DD2">
              <w:rPr>
                <w:sz w:val="22"/>
                <w:szCs w:val="22"/>
              </w:rPr>
              <w:t xml:space="preserve">amily </w:t>
            </w:r>
            <w:r>
              <w:rPr>
                <w:sz w:val="22"/>
                <w:szCs w:val="22"/>
              </w:rPr>
              <w:t>s</w:t>
            </w:r>
            <w:r w:rsidR="00AF4D46" w:rsidRPr="00021DD2">
              <w:rPr>
                <w:sz w:val="22"/>
                <w:szCs w:val="22"/>
              </w:rPr>
              <w:t xml:space="preserve">ervices </w:t>
            </w:r>
            <w:r>
              <w:rPr>
                <w:sz w:val="22"/>
                <w:szCs w:val="22"/>
              </w:rPr>
              <w:t>c</w:t>
            </w:r>
            <w:r w:rsidR="00AF4D46" w:rsidRPr="00021DD2">
              <w:rPr>
                <w:sz w:val="22"/>
                <w:szCs w:val="22"/>
              </w:rPr>
              <w:t>oordinators support</w:t>
            </w:r>
          </w:p>
          <w:p w:rsidR="00AF4D46" w:rsidRPr="00021DD2" w:rsidRDefault="00DC407F" w:rsidP="00B934D7">
            <w:pPr>
              <w:pStyle w:val="Paragrafoelenco"/>
              <w:numPr>
                <w:ilvl w:val="0"/>
                <w:numId w:val="62"/>
              </w:numPr>
              <w:spacing w:before="0" w:after="0"/>
              <w:ind w:left="730" w:hanging="284"/>
              <w:jc w:val="left"/>
              <w:rPr>
                <w:sz w:val="22"/>
                <w:szCs w:val="22"/>
              </w:rPr>
            </w:pPr>
            <w:r>
              <w:rPr>
                <w:sz w:val="22"/>
                <w:szCs w:val="22"/>
              </w:rPr>
              <w:t>c</w:t>
            </w:r>
            <w:r w:rsidR="00AF4D46" w:rsidRPr="00021DD2">
              <w:rPr>
                <w:sz w:val="22"/>
                <w:szCs w:val="22"/>
              </w:rPr>
              <w:t>oaching support for parents/caregivers</w:t>
            </w:r>
          </w:p>
          <w:p w:rsidR="00AF4D46" w:rsidRPr="00021DD2" w:rsidRDefault="00AF4D46" w:rsidP="00B934D7">
            <w:pPr>
              <w:pStyle w:val="Paragrafoelenco"/>
              <w:numPr>
                <w:ilvl w:val="0"/>
                <w:numId w:val="61"/>
              </w:numPr>
              <w:spacing w:before="0" w:after="0"/>
              <w:jc w:val="left"/>
              <w:rPr>
                <w:sz w:val="22"/>
                <w:szCs w:val="22"/>
              </w:rPr>
            </w:pPr>
            <w:r w:rsidRPr="00021DD2">
              <w:rPr>
                <w:sz w:val="22"/>
                <w:szCs w:val="22"/>
              </w:rPr>
              <w:t>Positive Parenting Program</w:t>
            </w:r>
          </w:p>
          <w:p w:rsidR="00AF4D46" w:rsidRPr="00021DD2" w:rsidRDefault="00AF4D46" w:rsidP="00B934D7">
            <w:pPr>
              <w:pStyle w:val="Paragrafoelenco"/>
              <w:numPr>
                <w:ilvl w:val="0"/>
                <w:numId w:val="61"/>
              </w:numPr>
              <w:spacing w:before="0" w:after="0"/>
              <w:jc w:val="left"/>
              <w:rPr>
                <w:sz w:val="22"/>
                <w:szCs w:val="22"/>
              </w:rPr>
            </w:pPr>
            <w:r w:rsidRPr="00021DD2">
              <w:rPr>
                <w:rFonts w:eastAsiaTheme="minorHAnsi"/>
                <w:sz w:val="22"/>
                <w:szCs w:val="22"/>
              </w:rPr>
              <w:t xml:space="preserve"> The Child and Family Health Service CaFHS delivers the following programs:</w:t>
            </w:r>
          </w:p>
          <w:p w:rsidR="00AF4D46" w:rsidRPr="00021DD2" w:rsidRDefault="00AF4D46" w:rsidP="00B934D7">
            <w:pPr>
              <w:pStyle w:val="Paragrafoelenco"/>
              <w:numPr>
                <w:ilvl w:val="0"/>
                <w:numId w:val="64"/>
              </w:numPr>
              <w:spacing w:before="0" w:after="0"/>
              <w:ind w:firstLine="86"/>
              <w:jc w:val="left"/>
              <w:rPr>
                <w:sz w:val="22"/>
                <w:szCs w:val="22"/>
              </w:rPr>
            </w:pPr>
            <w:r w:rsidRPr="00021DD2">
              <w:rPr>
                <w:rFonts w:eastAsiaTheme="minorHAnsi"/>
                <w:sz w:val="22"/>
                <w:szCs w:val="22"/>
              </w:rPr>
              <w:t>Universal Contact Visit</w:t>
            </w:r>
          </w:p>
          <w:p w:rsidR="00AF4D46" w:rsidRPr="00021DD2" w:rsidRDefault="00AF4D46" w:rsidP="00B934D7">
            <w:pPr>
              <w:pStyle w:val="Paragrafoelenco"/>
              <w:numPr>
                <w:ilvl w:val="0"/>
                <w:numId w:val="64"/>
              </w:numPr>
              <w:spacing w:before="0" w:after="0"/>
              <w:ind w:firstLine="86"/>
              <w:jc w:val="left"/>
              <w:rPr>
                <w:sz w:val="22"/>
                <w:szCs w:val="22"/>
              </w:rPr>
            </w:pPr>
            <w:r w:rsidRPr="00021DD2">
              <w:rPr>
                <w:sz w:val="22"/>
                <w:szCs w:val="22"/>
              </w:rPr>
              <w:t>Family home visiting</w:t>
            </w:r>
          </w:p>
          <w:p w:rsidR="00AF4D46" w:rsidRPr="00021DD2" w:rsidRDefault="00AF4D46" w:rsidP="00B934D7">
            <w:pPr>
              <w:pStyle w:val="Paragrafoelenco"/>
              <w:numPr>
                <w:ilvl w:val="0"/>
                <w:numId w:val="64"/>
              </w:numPr>
              <w:spacing w:before="0" w:after="0"/>
              <w:ind w:firstLine="86"/>
              <w:jc w:val="left"/>
              <w:rPr>
                <w:sz w:val="22"/>
                <w:szCs w:val="22"/>
              </w:rPr>
            </w:pPr>
            <w:r w:rsidRPr="00021DD2">
              <w:rPr>
                <w:sz w:val="22"/>
                <w:szCs w:val="22"/>
              </w:rPr>
              <w:t>Strong Start</w:t>
            </w:r>
          </w:p>
          <w:p w:rsidR="00AF4D46" w:rsidRPr="00021DD2" w:rsidRDefault="00AF4D46" w:rsidP="00B934D7">
            <w:pPr>
              <w:pStyle w:val="Paragrafoelenco"/>
              <w:numPr>
                <w:ilvl w:val="0"/>
                <w:numId w:val="63"/>
              </w:numPr>
              <w:spacing w:before="0" w:after="0"/>
              <w:jc w:val="left"/>
              <w:rPr>
                <w:sz w:val="22"/>
                <w:szCs w:val="22"/>
              </w:rPr>
            </w:pPr>
            <w:r w:rsidRPr="00021DD2">
              <w:rPr>
                <w:sz w:val="22"/>
                <w:szCs w:val="22"/>
              </w:rPr>
              <w:t>A Right to Safety: South Australia’s Women’s Safety Strategy</w:t>
            </w:r>
          </w:p>
          <w:p w:rsidR="00AF4D46" w:rsidRDefault="00AF4D46" w:rsidP="00955DD8">
            <w:pPr>
              <w:pStyle w:val="Paragrafoelenco"/>
              <w:numPr>
                <w:ilvl w:val="0"/>
                <w:numId w:val="63"/>
              </w:numPr>
              <w:spacing w:after="0"/>
              <w:jc w:val="left"/>
              <w:rPr>
                <w:sz w:val="22"/>
                <w:szCs w:val="22"/>
              </w:rPr>
            </w:pPr>
            <w:r w:rsidRPr="00021DD2">
              <w:rPr>
                <w:sz w:val="22"/>
                <w:szCs w:val="22"/>
              </w:rPr>
              <w:t>Ceduna Building Resilience initiatives</w:t>
            </w:r>
          </w:p>
          <w:p w:rsidR="00955DD8" w:rsidRPr="00955DD8" w:rsidRDefault="00955DD8" w:rsidP="00955DD8">
            <w:pPr>
              <w:pStyle w:val="Paragrafoelenco"/>
              <w:spacing w:after="0"/>
              <w:ind w:left="360"/>
              <w:jc w:val="left"/>
              <w:rPr>
                <w:sz w:val="22"/>
                <w:szCs w:val="22"/>
              </w:rPr>
            </w:pPr>
          </w:p>
        </w:tc>
        <w:tc>
          <w:tcPr>
            <w:tcW w:w="4622" w:type="dxa"/>
          </w:tcPr>
          <w:p w:rsidR="00AF4D46" w:rsidRPr="00021DD2" w:rsidRDefault="00AF4D46" w:rsidP="0055328D">
            <w:pPr>
              <w:pStyle w:val="Paragrafoelenco"/>
              <w:numPr>
                <w:ilvl w:val="0"/>
                <w:numId w:val="61"/>
              </w:numPr>
              <w:spacing w:before="0" w:after="0"/>
              <w:jc w:val="left"/>
              <w:rPr>
                <w:sz w:val="22"/>
                <w:szCs w:val="22"/>
              </w:rPr>
            </w:pPr>
            <w:r w:rsidRPr="00021DD2">
              <w:rPr>
                <w:sz w:val="22"/>
                <w:szCs w:val="22"/>
              </w:rPr>
              <w:t>Hannah Place – accommodation and support to pregnant young women or young parents who are also under guardianship or in custody of the Minister (provided through Centacare)</w:t>
            </w:r>
          </w:p>
          <w:p w:rsidR="00AF4D46" w:rsidRPr="00955DD8" w:rsidRDefault="00AF4D46" w:rsidP="0055328D">
            <w:pPr>
              <w:pStyle w:val="Paragrafoelenco"/>
              <w:numPr>
                <w:ilvl w:val="0"/>
                <w:numId w:val="61"/>
              </w:numPr>
              <w:spacing w:before="0" w:after="0"/>
              <w:jc w:val="left"/>
              <w:rPr>
                <w:i/>
                <w:sz w:val="22"/>
                <w:szCs w:val="22"/>
              </w:rPr>
            </w:pPr>
            <w:r w:rsidRPr="00955DD8">
              <w:rPr>
                <w:sz w:val="22"/>
                <w:szCs w:val="22"/>
              </w:rPr>
              <w:t>Young parents’ groups</w:t>
            </w:r>
          </w:p>
        </w:tc>
        <w:tc>
          <w:tcPr>
            <w:tcW w:w="4167" w:type="dxa"/>
          </w:tcPr>
          <w:p w:rsidR="00AF4D46" w:rsidRPr="00955DD8" w:rsidRDefault="00AF4D46" w:rsidP="00B934D7">
            <w:pPr>
              <w:pStyle w:val="Paragrafoelenco"/>
              <w:numPr>
                <w:ilvl w:val="0"/>
                <w:numId w:val="60"/>
              </w:numPr>
              <w:spacing w:before="0" w:after="0"/>
              <w:jc w:val="left"/>
              <w:rPr>
                <w:sz w:val="22"/>
                <w:szCs w:val="22"/>
              </w:rPr>
            </w:pPr>
            <w:r w:rsidRPr="00955DD8">
              <w:rPr>
                <w:sz w:val="22"/>
                <w:szCs w:val="22"/>
              </w:rPr>
              <w:t>Learning Together</w:t>
            </w:r>
          </w:p>
          <w:p w:rsidR="00AF4D46" w:rsidRPr="00021DD2" w:rsidRDefault="00AF4D46" w:rsidP="00B934D7">
            <w:pPr>
              <w:pStyle w:val="Paragrafoelenco"/>
              <w:numPr>
                <w:ilvl w:val="0"/>
                <w:numId w:val="60"/>
              </w:numPr>
              <w:spacing w:before="0" w:after="0"/>
              <w:jc w:val="left"/>
              <w:rPr>
                <w:sz w:val="22"/>
                <w:szCs w:val="22"/>
              </w:rPr>
            </w:pPr>
            <w:r w:rsidRPr="00021DD2">
              <w:rPr>
                <w:sz w:val="22"/>
                <w:szCs w:val="22"/>
              </w:rPr>
              <w:t>Learning Together @ Home</w:t>
            </w:r>
          </w:p>
          <w:p w:rsidR="00AF4D46" w:rsidRPr="00021DD2" w:rsidRDefault="00AF4D46" w:rsidP="00B934D7">
            <w:pPr>
              <w:pStyle w:val="Paragrafoelenco"/>
              <w:numPr>
                <w:ilvl w:val="0"/>
                <w:numId w:val="60"/>
              </w:numPr>
              <w:spacing w:before="0" w:after="0"/>
              <w:jc w:val="left"/>
              <w:rPr>
                <w:sz w:val="22"/>
                <w:szCs w:val="22"/>
              </w:rPr>
            </w:pPr>
            <w:r w:rsidRPr="00021DD2">
              <w:rPr>
                <w:sz w:val="22"/>
                <w:szCs w:val="22"/>
              </w:rPr>
              <w:t>The Families as First Teachers (FaFT)</w:t>
            </w:r>
          </w:p>
        </w:tc>
      </w:tr>
    </w:tbl>
    <w:p w:rsidR="00AF4D46" w:rsidRPr="00021DD2" w:rsidRDefault="00AF4D46" w:rsidP="00B63D24">
      <w:pPr>
        <w:rPr>
          <w:rFonts w:cs="Arial"/>
        </w:rPr>
        <w:sectPr w:rsidR="00AF4D46" w:rsidRPr="00021DD2" w:rsidSect="003716C0">
          <w:endnotePr>
            <w:numFmt w:val="decimal"/>
            <w:numRestart w:val="eachSect"/>
          </w:endnotePr>
          <w:pgSz w:w="16838" w:h="11906" w:orient="landscape" w:code="9"/>
          <w:pgMar w:top="1418" w:right="1134" w:bottom="1418" w:left="1134" w:header="709" w:footer="709" w:gutter="0"/>
          <w:cols w:space="708"/>
          <w:docGrid w:linePitch="360"/>
        </w:sectPr>
      </w:pPr>
    </w:p>
    <w:p w:rsidR="00AF4D46" w:rsidRPr="00021DD2" w:rsidRDefault="00AF4D46" w:rsidP="00105288">
      <w:pPr>
        <w:pStyle w:val="Titolo6"/>
      </w:pPr>
      <w:bookmarkStart w:id="169" w:name="_Toc500308858"/>
      <w:r w:rsidRPr="00021DD2">
        <w:t>Laws relevant to children’s access to prescribed medical forms of contraception and abortion</w:t>
      </w:r>
      <w:bookmarkEnd w:id="169"/>
    </w:p>
    <w:tbl>
      <w:tblPr>
        <w:tblStyle w:val="KWMTableCyan"/>
        <w:tblW w:w="9067" w:type="dxa"/>
        <w:tblLook w:val="0420" w:firstRow="1" w:lastRow="0" w:firstColumn="0" w:lastColumn="0" w:noHBand="0" w:noVBand="1"/>
      </w:tblPr>
      <w:tblGrid>
        <w:gridCol w:w="2410"/>
        <w:gridCol w:w="6657"/>
      </w:tblGrid>
      <w:tr w:rsidR="00AF4D46" w:rsidRPr="004E5868" w:rsidTr="00AF4D46">
        <w:trPr>
          <w:cnfStyle w:val="100000000000" w:firstRow="1" w:lastRow="0" w:firstColumn="0" w:lastColumn="0" w:oddVBand="0" w:evenVBand="0" w:oddHBand="0" w:evenHBand="0" w:firstRowFirstColumn="0" w:firstRowLastColumn="0" w:lastRowFirstColumn="0" w:lastRowLastColumn="0"/>
        </w:trPr>
        <w:tc>
          <w:tcPr>
            <w:tcW w:w="2410" w:type="dxa"/>
          </w:tcPr>
          <w:p w:rsidR="00AF4D46" w:rsidRPr="004E5868" w:rsidRDefault="00AF4D46" w:rsidP="00AF4D46">
            <w:pPr>
              <w:rPr>
                <w:rFonts w:cs="Arial"/>
              </w:rPr>
            </w:pPr>
            <w:r w:rsidRPr="004E5868">
              <w:rPr>
                <w:rFonts w:cs="Arial"/>
              </w:rPr>
              <w:t>Jurisdiction</w:t>
            </w:r>
          </w:p>
        </w:tc>
        <w:tc>
          <w:tcPr>
            <w:tcW w:w="6657" w:type="dxa"/>
          </w:tcPr>
          <w:p w:rsidR="00AF4D46" w:rsidRPr="004E5868" w:rsidRDefault="00AF4D46" w:rsidP="00AF4D46">
            <w:pPr>
              <w:rPr>
                <w:rFonts w:cs="Arial"/>
              </w:rPr>
            </w:pPr>
            <w:r w:rsidRPr="004E5868">
              <w:rPr>
                <w:rFonts w:cs="Arial"/>
              </w:rPr>
              <w:t>Relevant laws</w:t>
            </w:r>
            <w:r w:rsidRPr="004E5868">
              <w:rPr>
                <w:rStyle w:val="Rimandonotadichiusura"/>
                <w:rFonts w:cs="Arial"/>
              </w:rPr>
              <w:endnoteReference w:id="840"/>
            </w:r>
          </w:p>
        </w:tc>
      </w:tr>
      <w:tr w:rsidR="00AF4D46" w:rsidRPr="00021DD2" w:rsidTr="00AF4D46">
        <w:trPr>
          <w:cnfStyle w:val="000000100000" w:firstRow="0" w:lastRow="0" w:firstColumn="0" w:lastColumn="0" w:oddVBand="0" w:evenVBand="0" w:oddHBand="1" w:evenHBand="0" w:firstRowFirstColumn="0" w:firstRowLastColumn="0" w:lastRowFirstColumn="0" w:lastRowLastColumn="0"/>
        </w:trPr>
        <w:tc>
          <w:tcPr>
            <w:tcW w:w="9067" w:type="dxa"/>
            <w:gridSpan w:val="2"/>
          </w:tcPr>
          <w:p w:rsidR="00AF4D46" w:rsidRPr="00021DD2" w:rsidRDefault="00AF4D46" w:rsidP="00AF4D46">
            <w:pPr>
              <w:rPr>
                <w:rFonts w:cs="Arial"/>
                <w:b/>
              </w:rPr>
            </w:pPr>
            <w:r w:rsidRPr="00021DD2">
              <w:rPr>
                <w:rFonts w:cs="Arial"/>
                <w:b/>
              </w:rPr>
              <w:t>Commonwealth</w:t>
            </w:r>
          </w:p>
        </w:tc>
      </w:tr>
      <w:tr w:rsidR="00AF4D46" w:rsidRPr="00021DD2" w:rsidTr="00AF4D46">
        <w:trPr>
          <w:cnfStyle w:val="000000010000" w:firstRow="0" w:lastRow="0" w:firstColumn="0" w:lastColumn="0" w:oddVBand="0" w:evenVBand="0" w:oddHBand="0" w:evenHBand="1" w:firstRowFirstColumn="0" w:firstRowLastColumn="0" w:lastRowFirstColumn="0" w:lastRowLastColumn="0"/>
        </w:trPr>
        <w:tc>
          <w:tcPr>
            <w:tcW w:w="2410" w:type="dxa"/>
          </w:tcPr>
          <w:p w:rsidR="00AF4D46" w:rsidRPr="00021DD2" w:rsidRDefault="00AF4D46" w:rsidP="00AF4D46">
            <w:pPr>
              <w:rPr>
                <w:rFonts w:cs="Arial"/>
              </w:rPr>
            </w:pPr>
            <w:r w:rsidRPr="00021DD2">
              <w:rPr>
                <w:rFonts w:cs="Arial"/>
              </w:rPr>
              <w:t xml:space="preserve">Legislative provisions </w:t>
            </w:r>
          </w:p>
        </w:tc>
        <w:tc>
          <w:tcPr>
            <w:tcW w:w="6657" w:type="dxa"/>
          </w:tcPr>
          <w:p w:rsidR="00AF4D46" w:rsidRPr="00021DD2" w:rsidRDefault="00AF4D46" w:rsidP="00AF4D46">
            <w:pPr>
              <w:rPr>
                <w:rFonts w:cs="Arial"/>
                <w:b/>
              </w:rPr>
            </w:pPr>
            <w:r w:rsidRPr="00021DD2">
              <w:rPr>
                <w:rFonts w:cs="Arial"/>
                <w:b/>
              </w:rPr>
              <w:t>Family Law Act 1975</w:t>
            </w:r>
          </w:p>
          <w:p w:rsidR="00AF4D46" w:rsidRPr="00021DD2" w:rsidRDefault="00AF4D46" w:rsidP="00AF4D46">
            <w:pPr>
              <w:rPr>
                <w:rFonts w:cs="Arial"/>
                <w:i/>
              </w:rPr>
            </w:pPr>
            <w:r w:rsidRPr="00021DD2">
              <w:rPr>
                <w:rFonts w:cs="Arial"/>
                <w:i/>
              </w:rPr>
              <w:t>Section 61C – Each parent has parental responsibility (subject to court orders)</w:t>
            </w:r>
          </w:p>
          <w:p w:rsidR="00AF4D46" w:rsidRPr="00021DD2" w:rsidRDefault="00AF4D46" w:rsidP="00B934D7">
            <w:pPr>
              <w:pStyle w:val="Paragrafoelenco"/>
              <w:numPr>
                <w:ilvl w:val="0"/>
                <w:numId w:val="69"/>
              </w:numPr>
              <w:spacing w:before="120" w:after="120"/>
              <w:contextualSpacing w:val="0"/>
              <w:jc w:val="left"/>
              <w:rPr>
                <w:color w:val="000000"/>
                <w:szCs w:val="18"/>
              </w:rPr>
            </w:pPr>
            <w:r w:rsidRPr="00021DD2">
              <w:rPr>
                <w:color w:val="000000"/>
                <w:szCs w:val="18"/>
              </w:rPr>
              <w:t>Each of the parents of a child who is not 18 has parental responsibility for the child.</w:t>
            </w:r>
          </w:p>
          <w:p w:rsidR="00AF4D46" w:rsidRPr="00021DD2" w:rsidRDefault="00AF4D46" w:rsidP="00AF4D46">
            <w:pPr>
              <w:rPr>
                <w:rFonts w:cs="Arial"/>
                <w:szCs w:val="18"/>
              </w:rPr>
            </w:pPr>
            <w:r w:rsidRPr="00021DD2">
              <w:rPr>
                <w:rFonts w:cs="Arial"/>
                <w:i/>
                <w:szCs w:val="18"/>
              </w:rPr>
              <w:t xml:space="preserve">Section 61B </w:t>
            </w:r>
            <w:r w:rsidRPr="00021DD2">
              <w:rPr>
                <w:rFonts w:cs="Arial"/>
                <w:szCs w:val="18"/>
              </w:rPr>
              <w:t>defines parental responsibility in relation to a child to mean all duties, powers, responsibilities and authority which, by law, parents have in relation to children.</w:t>
            </w:r>
          </w:p>
          <w:p w:rsidR="00AF4D46" w:rsidRPr="00021DD2" w:rsidRDefault="00AF4D46" w:rsidP="00AF4D46">
            <w:pPr>
              <w:rPr>
                <w:rFonts w:cs="Arial"/>
                <w:i/>
              </w:rPr>
            </w:pPr>
            <w:r w:rsidRPr="00021DD2">
              <w:rPr>
                <w:rFonts w:cs="Arial"/>
                <w:i/>
              </w:rPr>
              <w:t>Section 67ZC – Orders relating to the welfare of children</w:t>
            </w:r>
          </w:p>
          <w:p w:rsidR="00AF4D46" w:rsidRPr="00021DD2" w:rsidRDefault="00AF4D46" w:rsidP="00B934D7">
            <w:pPr>
              <w:pStyle w:val="Paragrafoelenco"/>
              <w:numPr>
                <w:ilvl w:val="0"/>
                <w:numId w:val="65"/>
              </w:numPr>
              <w:spacing w:before="120" w:after="120"/>
              <w:contextualSpacing w:val="0"/>
              <w:jc w:val="left"/>
              <w:rPr>
                <w:color w:val="000000"/>
                <w:szCs w:val="18"/>
              </w:rPr>
            </w:pPr>
            <w:r w:rsidRPr="00021DD2">
              <w:rPr>
                <w:color w:val="000000"/>
                <w:szCs w:val="18"/>
              </w:rPr>
              <w:t>In addition to the jurisdiction that a court has under this Part in relation to children, the court also has jurisdiction to make orders relating to the welfare of children.</w:t>
            </w:r>
            <w:bookmarkStart w:id="170" w:name="notetext"/>
          </w:p>
          <w:p w:rsidR="00AF4D46" w:rsidRPr="00021DD2" w:rsidRDefault="00AF4D46" w:rsidP="00AF4D46">
            <w:pPr>
              <w:rPr>
                <w:rFonts w:cs="Arial"/>
              </w:rPr>
            </w:pPr>
            <w:bookmarkStart w:id="171" w:name="subsection"/>
            <w:bookmarkEnd w:id="171"/>
            <w:r w:rsidRPr="00021DD2">
              <w:rPr>
                <w:rFonts w:cs="Arial"/>
                <w:color w:val="000000"/>
                <w:szCs w:val="18"/>
              </w:rPr>
              <w:t>In deciding whether to make an order under subsection (1) in relation to a child, a court must regard the best interests of the child as the paramount consideration.</w:t>
            </w:r>
            <w:bookmarkEnd w:id="170"/>
          </w:p>
        </w:tc>
      </w:tr>
      <w:tr w:rsidR="00AF4D46" w:rsidRPr="00021DD2" w:rsidTr="00AF4D46">
        <w:trPr>
          <w:cnfStyle w:val="000000100000" w:firstRow="0" w:lastRow="0" w:firstColumn="0" w:lastColumn="0" w:oddVBand="0" w:evenVBand="0" w:oddHBand="1" w:evenHBand="0" w:firstRowFirstColumn="0" w:firstRowLastColumn="0" w:lastRowFirstColumn="0" w:lastRowLastColumn="0"/>
        </w:trPr>
        <w:tc>
          <w:tcPr>
            <w:tcW w:w="2410" w:type="dxa"/>
          </w:tcPr>
          <w:p w:rsidR="00AF4D46" w:rsidRPr="00021DD2" w:rsidRDefault="00AF4D46" w:rsidP="00AF4D46">
            <w:pPr>
              <w:rPr>
                <w:rFonts w:cs="Arial"/>
              </w:rPr>
            </w:pPr>
            <w:r w:rsidRPr="00021DD2">
              <w:rPr>
                <w:rFonts w:cs="Arial"/>
              </w:rPr>
              <w:t>Case law</w:t>
            </w:r>
          </w:p>
        </w:tc>
        <w:tc>
          <w:tcPr>
            <w:tcW w:w="6657" w:type="dxa"/>
          </w:tcPr>
          <w:p w:rsidR="00AF4D46" w:rsidRPr="00021DD2" w:rsidRDefault="00AF4D46" w:rsidP="00AF4D46">
            <w:pPr>
              <w:rPr>
                <w:rFonts w:cs="Arial"/>
                <w:b/>
                <w:i/>
              </w:rPr>
            </w:pPr>
            <w:r w:rsidRPr="00021DD2">
              <w:rPr>
                <w:rFonts w:cs="Arial"/>
                <w:b/>
                <w:i/>
              </w:rPr>
              <w:t xml:space="preserve">Secretary, Department of Health &amp; Community Services v JWB and SMB (Marion’s Case) </w:t>
            </w:r>
            <w:r w:rsidRPr="00021DD2">
              <w:rPr>
                <w:rFonts w:cs="Arial"/>
                <w:b/>
              </w:rPr>
              <w:t>(1992)</w:t>
            </w:r>
            <w:r w:rsidRPr="00021DD2">
              <w:rPr>
                <w:rFonts w:cs="Arial"/>
                <w:b/>
                <w:i/>
              </w:rPr>
              <w:t xml:space="preserve"> </w:t>
            </w:r>
            <w:r w:rsidRPr="00021DD2">
              <w:rPr>
                <w:rFonts w:cs="Arial"/>
                <w:b/>
              </w:rPr>
              <w:t>175 CLR 218</w:t>
            </w:r>
          </w:p>
          <w:p w:rsidR="00AF4D46" w:rsidRPr="00021DD2" w:rsidRDefault="00AF4D46" w:rsidP="00AF4D46">
            <w:pPr>
              <w:rPr>
                <w:rFonts w:cs="Arial"/>
              </w:rPr>
            </w:pPr>
            <w:r w:rsidRPr="00021DD2">
              <w:rPr>
                <w:rFonts w:cs="Arial"/>
              </w:rPr>
              <w:t xml:space="preserve">The High Court of Australia adopted the approach in the UK case </w:t>
            </w:r>
            <w:r w:rsidRPr="00021DD2">
              <w:rPr>
                <w:rFonts w:cs="Arial"/>
                <w:i/>
              </w:rPr>
              <w:t xml:space="preserve">Gillick v West Norfolk and Wisbech Area Health Authority </w:t>
            </w:r>
            <w:r w:rsidRPr="00021DD2">
              <w:rPr>
                <w:rFonts w:cs="Arial"/>
              </w:rPr>
              <w:t>[1985] UKHL 7; [1986] AC 112</w:t>
            </w:r>
            <w:r w:rsidRPr="00021DD2">
              <w:rPr>
                <w:rFonts w:cs="Arial"/>
                <w:i/>
              </w:rPr>
              <w:t xml:space="preserve"> </w:t>
            </w:r>
            <w:r w:rsidRPr="00021DD2">
              <w:rPr>
                <w:rFonts w:cs="Arial"/>
              </w:rPr>
              <w:t xml:space="preserve">whereby the need for parental consent to medical treatment for children will depend on whether the child has achieved </w:t>
            </w:r>
            <w:r w:rsidRPr="00E34166">
              <w:rPr>
                <w:rFonts w:cs="Arial"/>
              </w:rPr>
              <w:t>a sufficient level of understanding and intelligence to allow him or her to understand fully what is proposed</w:t>
            </w:r>
            <w:r w:rsidRPr="00331F34">
              <w:rPr>
                <w:rFonts w:cs="Arial"/>
              </w:rPr>
              <w:t xml:space="preserve">. </w:t>
            </w:r>
            <w:r w:rsidRPr="00021DD2">
              <w:rPr>
                <w:rFonts w:cs="Arial"/>
              </w:rPr>
              <w:t xml:space="preserve">This test requires the treating health practitioner to consider the individual child’s level of understanding in respect of the particular treatment or advice in question. The test does not rely on a fixed age to determine competence. Nor does a finding of competence in one situation mean that a child will then be automatically considered competent to make health care decisions generally. </w:t>
            </w:r>
          </w:p>
          <w:p w:rsidR="00AF4D46" w:rsidRPr="00021DD2" w:rsidRDefault="00AF4D46" w:rsidP="00AF4D46">
            <w:pPr>
              <w:rPr>
                <w:rFonts w:cs="Arial"/>
              </w:rPr>
            </w:pPr>
            <w:r w:rsidRPr="00021DD2">
              <w:rPr>
                <w:rFonts w:cs="Arial"/>
              </w:rPr>
              <w:t>If they satisfy this threshold test known as the ‘Gillick competency’ test, no parental consent is required to access contraception or abortion. Further, a parent’s power to consent to medical treatment on behalf of their child terminates once the child is deemed legally competent.</w:t>
            </w:r>
          </w:p>
        </w:tc>
      </w:tr>
      <w:tr w:rsidR="00AF4D46" w:rsidRPr="00021DD2" w:rsidTr="00AF4D46">
        <w:trPr>
          <w:cnfStyle w:val="000000010000" w:firstRow="0" w:lastRow="0" w:firstColumn="0" w:lastColumn="0" w:oddVBand="0" w:evenVBand="0" w:oddHBand="0" w:evenHBand="1" w:firstRowFirstColumn="0" w:firstRowLastColumn="0" w:lastRowFirstColumn="0" w:lastRowLastColumn="0"/>
        </w:trPr>
        <w:tc>
          <w:tcPr>
            <w:tcW w:w="2410" w:type="dxa"/>
          </w:tcPr>
          <w:p w:rsidR="00AF4D46" w:rsidRPr="00021DD2" w:rsidRDefault="00AF4D46" w:rsidP="00AF4D46">
            <w:pPr>
              <w:rPr>
                <w:rFonts w:cs="Arial"/>
              </w:rPr>
            </w:pPr>
            <w:r w:rsidRPr="00021DD2">
              <w:rPr>
                <w:rFonts w:cs="Arial"/>
              </w:rPr>
              <w:t>Other relevant information</w:t>
            </w:r>
          </w:p>
        </w:tc>
        <w:tc>
          <w:tcPr>
            <w:tcW w:w="6657" w:type="dxa"/>
          </w:tcPr>
          <w:p w:rsidR="00AF4D46" w:rsidRPr="00021DD2" w:rsidRDefault="00AF4D46" w:rsidP="00AF4D46">
            <w:pPr>
              <w:rPr>
                <w:rFonts w:cs="Arial"/>
              </w:rPr>
            </w:pPr>
            <w:r w:rsidRPr="00021DD2">
              <w:rPr>
                <w:rFonts w:cs="Arial"/>
              </w:rPr>
              <w:t>The Health Insurance Commission only allows people aged 15 years and over to hold their own Medicare card,</w:t>
            </w:r>
            <w:r w:rsidRPr="00021DD2">
              <w:rPr>
                <w:rStyle w:val="Rimandonotadichiusura"/>
                <w:rFonts w:cs="Arial"/>
              </w:rPr>
              <w:endnoteReference w:id="841"/>
            </w:r>
            <w:r w:rsidRPr="00021DD2">
              <w:rPr>
                <w:rFonts w:cs="Arial"/>
              </w:rPr>
              <w:t xml:space="preserve"> but Medicare will not release information about treatment for children over the age of 14 years to their parents.</w:t>
            </w:r>
            <w:r w:rsidRPr="00021DD2">
              <w:rPr>
                <w:rStyle w:val="Rimandonotadichiusura"/>
                <w:rFonts w:cs="Arial"/>
              </w:rPr>
              <w:endnoteReference w:id="842"/>
            </w:r>
          </w:p>
        </w:tc>
      </w:tr>
      <w:tr w:rsidR="00AF4D46" w:rsidRPr="00021DD2" w:rsidTr="00AF4D46">
        <w:trPr>
          <w:cnfStyle w:val="000000100000" w:firstRow="0" w:lastRow="0" w:firstColumn="0" w:lastColumn="0" w:oddVBand="0" w:evenVBand="0" w:oddHBand="1" w:evenHBand="0" w:firstRowFirstColumn="0" w:firstRowLastColumn="0" w:lastRowFirstColumn="0" w:lastRowLastColumn="0"/>
        </w:trPr>
        <w:tc>
          <w:tcPr>
            <w:tcW w:w="9067" w:type="dxa"/>
            <w:gridSpan w:val="2"/>
          </w:tcPr>
          <w:p w:rsidR="00AF4D46" w:rsidRPr="00021DD2" w:rsidRDefault="00AF4D46" w:rsidP="00AF4D46">
            <w:pPr>
              <w:rPr>
                <w:rFonts w:cs="Arial"/>
              </w:rPr>
            </w:pPr>
            <w:r w:rsidRPr="00021DD2">
              <w:rPr>
                <w:rFonts w:cs="Arial"/>
                <w:b/>
              </w:rPr>
              <w:t>New South Wales</w:t>
            </w:r>
          </w:p>
        </w:tc>
      </w:tr>
      <w:tr w:rsidR="00AF4D46" w:rsidRPr="00021DD2" w:rsidTr="00AF4D46">
        <w:trPr>
          <w:cnfStyle w:val="000000010000" w:firstRow="0" w:lastRow="0" w:firstColumn="0" w:lastColumn="0" w:oddVBand="0" w:evenVBand="0" w:oddHBand="0" w:evenHBand="1" w:firstRowFirstColumn="0" w:firstRowLastColumn="0" w:lastRowFirstColumn="0" w:lastRowLastColumn="0"/>
        </w:trPr>
        <w:tc>
          <w:tcPr>
            <w:tcW w:w="2410" w:type="dxa"/>
          </w:tcPr>
          <w:p w:rsidR="00AF4D46" w:rsidRPr="00021DD2" w:rsidRDefault="00AF4D46" w:rsidP="00AF4D46">
            <w:pPr>
              <w:rPr>
                <w:rFonts w:cs="Arial"/>
              </w:rPr>
            </w:pPr>
            <w:r w:rsidRPr="00021DD2">
              <w:rPr>
                <w:rFonts w:cs="Arial"/>
              </w:rPr>
              <w:t xml:space="preserve">Legislative provisions </w:t>
            </w:r>
          </w:p>
        </w:tc>
        <w:tc>
          <w:tcPr>
            <w:tcW w:w="6657" w:type="dxa"/>
          </w:tcPr>
          <w:p w:rsidR="00AF4D46" w:rsidRPr="00021DD2" w:rsidRDefault="00AF4D46" w:rsidP="00AF4D46">
            <w:pPr>
              <w:rPr>
                <w:rFonts w:cs="Arial"/>
                <w:b/>
              </w:rPr>
            </w:pPr>
            <w:r w:rsidRPr="00021DD2">
              <w:rPr>
                <w:rFonts w:cs="Arial"/>
                <w:b/>
                <w:i/>
              </w:rPr>
              <w:t xml:space="preserve">Minors (Property and Contracts) Act 1970 </w:t>
            </w:r>
            <w:r w:rsidRPr="00021DD2">
              <w:rPr>
                <w:rFonts w:cs="Arial"/>
                <w:b/>
              </w:rPr>
              <w:t>(NSW)</w:t>
            </w:r>
          </w:p>
          <w:p w:rsidR="00AF4D46" w:rsidRPr="00021DD2" w:rsidRDefault="00AF4D46" w:rsidP="00AF4D46">
            <w:pPr>
              <w:rPr>
                <w:rFonts w:cs="Arial"/>
                <w:i/>
              </w:rPr>
            </w:pPr>
            <w:r w:rsidRPr="00021DD2">
              <w:rPr>
                <w:rFonts w:cs="Arial"/>
                <w:i/>
              </w:rPr>
              <w:t>Section 9 – Full age generally</w:t>
            </w:r>
          </w:p>
          <w:p w:rsidR="00AF4D46" w:rsidRPr="00021DD2" w:rsidRDefault="00AF4D46" w:rsidP="00B934D7">
            <w:pPr>
              <w:pStyle w:val="Paragrafoelenco"/>
              <w:numPr>
                <w:ilvl w:val="0"/>
                <w:numId w:val="78"/>
              </w:numPr>
              <w:spacing w:before="120" w:after="120"/>
              <w:contextualSpacing w:val="0"/>
              <w:jc w:val="left"/>
            </w:pPr>
            <w:r w:rsidRPr="00021DD2">
              <w:t>After the commencement of this Act:</w:t>
            </w:r>
          </w:p>
          <w:p w:rsidR="00AF4D46" w:rsidRPr="00021DD2" w:rsidRDefault="00AF4D46" w:rsidP="00AF4D46">
            <w:pPr>
              <w:pStyle w:val="Paragrafoelenco"/>
              <w:ind w:left="360"/>
            </w:pPr>
            <w:r w:rsidRPr="00021DD2">
              <w:t>(a) for the purposes of any rule of law, and</w:t>
            </w:r>
          </w:p>
          <w:p w:rsidR="00AF4D46" w:rsidRPr="00021DD2" w:rsidRDefault="00AF4D46" w:rsidP="00442777">
            <w:pPr>
              <w:pStyle w:val="Paragrafoelenco"/>
              <w:numPr>
                <w:ilvl w:val="0"/>
                <w:numId w:val="79"/>
              </w:numPr>
              <w:spacing w:before="120" w:after="120"/>
              <w:contextualSpacing w:val="0"/>
              <w:jc w:val="left"/>
            </w:pPr>
            <w:r w:rsidRPr="00021DD2">
              <w:t>except so far as the context otherwise requires, for the purposes of:</w:t>
            </w:r>
          </w:p>
          <w:p w:rsidR="00AF4D46" w:rsidRPr="00021DD2" w:rsidRDefault="00AF4D46" w:rsidP="00442777">
            <w:pPr>
              <w:pStyle w:val="Paragrafoelenco"/>
              <w:jc w:val="left"/>
            </w:pPr>
            <w:r w:rsidRPr="00021DD2">
              <w:t>(i) any Act, whether passed before or after the commencement of this Act, and</w:t>
            </w:r>
          </w:p>
          <w:p w:rsidR="00AF4D46" w:rsidRPr="00021DD2" w:rsidRDefault="00AF4D46" w:rsidP="00442777">
            <w:pPr>
              <w:pStyle w:val="Paragrafoelenco"/>
              <w:jc w:val="left"/>
            </w:pPr>
            <w:r w:rsidRPr="00021DD2">
              <w:t>(ii) any instrument made under an Act, whether the instrument is made before or after the commencement of this Act:</w:t>
            </w:r>
          </w:p>
          <w:p w:rsidR="00AF4D46" w:rsidRPr="00021DD2" w:rsidRDefault="00AF4D46" w:rsidP="00AF4D46">
            <w:pPr>
              <w:ind w:left="360"/>
              <w:rPr>
                <w:rFonts w:cs="Arial"/>
              </w:rPr>
            </w:pPr>
            <w:r w:rsidRPr="00021DD2">
              <w:rPr>
                <w:rFonts w:cs="Arial"/>
              </w:rPr>
              <w:t>a person aged eighteen years or upwards on the commencement of this Act or who attains the age of eighteen years after the commencement of this Act:</w:t>
            </w:r>
          </w:p>
          <w:p w:rsidR="00AF4D46" w:rsidRPr="00021DD2" w:rsidRDefault="00AF4D46" w:rsidP="00AF4D46">
            <w:pPr>
              <w:ind w:left="360"/>
              <w:rPr>
                <w:rFonts w:cs="Arial"/>
              </w:rPr>
            </w:pPr>
            <w:r w:rsidRPr="00021DD2">
              <w:rPr>
                <w:rFonts w:cs="Arial"/>
              </w:rPr>
              <w:t>(c) is of full age and adult,</w:t>
            </w:r>
          </w:p>
          <w:p w:rsidR="00AF4D46" w:rsidRPr="00021DD2" w:rsidRDefault="00AF4D46" w:rsidP="00AF4D46">
            <w:pPr>
              <w:ind w:left="360"/>
              <w:rPr>
                <w:rFonts w:cs="Arial"/>
              </w:rPr>
            </w:pPr>
            <w:r w:rsidRPr="00021DD2">
              <w:rPr>
                <w:rFonts w:cs="Arial"/>
              </w:rPr>
              <w:t>(d) is sui juris, subject however to the law relating to mental illness, and</w:t>
            </w:r>
          </w:p>
          <w:p w:rsidR="00AF4D46" w:rsidRPr="00021DD2" w:rsidRDefault="00AF4D46" w:rsidP="00AF4D46">
            <w:pPr>
              <w:ind w:left="360"/>
              <w:rPr>
                <w:rFonts w:cs="Arial"/>
              </w:rPr>
            </w:pPr>
            <w:r w:rsidRPr="00021DD2">
              <w:rPr>
                <w:rFonts w:cs="Arial"/>
              </w:rPr>
              <w:t>(e) is not under any disability or incapacity of infancy.</w:t>
            </w:r>
          </w:p>
          <w:p w:rsidR="00AF4D46" w:rsidRPr="00021DD2" w:rsidRDefault="00AF4D46" w:rsidP="00AF4D46">
            <w:pPr>
              <w:rPr>
                <w:rFonts w:cs="Arial"/>
              </w:rPr>
            </w:pPr>
            <w:r w:rsidRPr="00021DD2">
              <w:rPr>
                <w:rFonts w:cs="Arial"/>
                <w:b/>
                <w:i/>
              </w:rPr>
              <w:t xml:space="preserve">Guardianship Act 1987 </w:t>
            </w:r>
            <w:r w:rsidRPr="00021DD2">
              <w:rPr>
                <w:rFonts w:cs="Arial"/>
                <w:b/>
              </w:rPr>
              <w:t>(NSW)</w:t>
            </w:r>
          </w:p>
          <w:p w:rsidR="00AF4D46" w:rsidRPr="00021DD2" w:rsidRDefault="00AF4D46" w:rsidP="00AF4D46">
            <w:pPr>
              <w:spacing w:before="0" w:after="0"/>
              <w:outlineLvl w:val="3"/>
              <w:rPr>
                <w:rFonts w:cs="Arial"/>
                <w:bCs/>
                <w:i/>
                <w:color w:val="000000"/>
                <w:szCs w:val="18"/>
              </w:rPr>
            </w:pPr>
            <w:r w:rsidRPr="00021DD2">
              <w:rPr>
                <w:rFonts w:cs="Arial"/>
                <w:bCs/>
                <w:i/>
                <w:color w:val="000000"/>
                <w:szCs w:val="18"/>
              </w:rPr>
              <w:t>Section 34 Application of Part</w:t>
            </w:r>
          </w:p>
          <w:p w:rsidR="00AF4D46" w:rsidRPr="00021DD2" w:rsidRDefault="00AF4D46" w:rsidP="00B934D7">
            <w:pPr>
              <w:pStyle w:val="Paragrafoelenco"/>
              <w:numPr>
                <w:ilvl w:val="0"/>
                <w:numId w:val="70"/>
              </w:numPr>
              <w:spacing w:before="120" w:after="120"/>
              <w:contextualSpacing w:val="0"/>
              <w:jc w:val="left"/>
              <w:outlineLvl w:val="3"/>
              <w:rPr>
                <w:bCs/>
                <w:color w:val="000000"/>
                <w:szCs w:val="18"/>
              </w:rPr>
            </w:pPr>
            <w:r w:rsidRPr="00021DD2">
              <w:rPr>
                <w:bCs/>
                <w:color w:val="000000"/>
                <w:szCs w:val="18"/>
              </w:rPr>
              <w:t>This Part applies to a patient:</w:t>
            </w:r>
          </w:p>
          <w:p w:rsidR="00AF4D46" w:rsidRPr="00021DD2" w:rsidRDefault="00AF4D46" w:rsidP="00B934D7">
            <w:pPr>
              <w:pStyle w:val="Paragrafoelenco"/>
              <w:numPr>
                <w:ilvl w:val="0"/>
                <w:numId w:val="72"/>
              </w:numPr>
              <w:spacing w:before="120" w:after="120"/>
              <w:contextualSpacing w:val="0"/>
              <w:jc w:val="left"/>
              <w:outlineLvl w:val="3"/>
              <w:rPr>
                <w:bCs/>
                <w:color w:val="000000"/>
                <w:szCs w:val="18"/>
              </w:rPr>
            </w:pPr>
            <w:r w:rsidRPr="00021DD2">
              <w:rPr>
                <w:bCs/>
                <w:color w:val="000000"/>
                <w:szCs w:val="18"/>
              </w:rPr>
              <w:t>who is of or above the age of 16 years, and</w:t>
            </w:r>
          </w:p>
          <w:p w:rsidR="00AF4D46" w:rsidRPr="00021DD2" w:rsidRDefault="00AF4D46" w:rsidP="00B934D7">
            <w:pPr>
              <w:pStyle w:val="Paragrafoelenco"/>
              <w:numPr>
                <w:ilvl w:val="0"/>
                <w:numId w:val="72"/>
              </w:numPr>
              <w:spacing w:before="120" w:after="120"/>
              <w:contextualSpacing w:val="0"/>
              <w:jc w:val="left"/>
              <w:outlineLvl w:val="3"/>
              <w:rPr>
                <w:bCs/>
                <w:color w:val="000000"/>
                <w:szCs w:val="18"/>
              </w:rPr>
            </w:pPr>
            <w:r w:rsidRPr="00021DD2">
              <w:rPr>
                <w:bCs/>
                <w:color w:val="000000"/>
                <w:szCs w:val="18"/>
              </w:rPr>
              <w:t>who is incapable of giving consent to the carrying out of medical or dental treatment.</w:t>
            </w:r>
          </w:p>
          <w:p w:rsidR="00AF4D46" w:rsidRPr="00021DD2" w:rsidRDefault="00AF4D46" w:rsidP="00AF4D46">
            <w:pPr>
              <w:spacing w:before="0" w:after="0"/>
              <w:outlineLvl w:val="3"/>
              <w:rPr>
                <w:rFonts w:cs="Arial"/>
                <w:bCs/>
                <w:i/>
                <w:color w:val="000000"/>
                <w:szCs w:val="18"/>
              </w:rPr>
            </w:pPr>
            <w:r w:rsidRPr="00021DD2">
              <w:rPr>
                <w:rFonts w:cs="Arial"/>
                <w:bCs/>
                <w:i/>
                <w:color w:val="000000"/>
                <w:szCs w:val="18"/>
              </w:rPr>
              <w:t>Section 35 Offences</w:t>
            </w:r>
          </w:p>
          <w:p w:rsidR="00AF4D46" w:rsidRPr="00021DD2" w:rsidRDefault="00AF4D46" w:rsidP="00B934D7">
            <w:pPr>
              <w:pStyle w:val="Paragrafoelenco"/>
              <w:numPr>
                <w:ilvl w:val="0"/>
                <w:numId w:val="66"/>
              </w:numPr>
              <w:spacing w:before="120" w:after="120"/>
              <w:contextualSpacing w:val="0"/>
              <w:jc w:val="left"/>
              <w:rPr>
                <w:color w:val="000000"/>
                <w:szCs w:val="18"/>
              </w:rPr>
            </w:pPr>
            <w:r w:rsidRPr="00021DD2">
              <w:rPr>
                <w:color w:val="000000"/>
                <w:szCs w:val="18"/>
              </w:rPr>
              <w:t>A person must not carry out medical or dental treatment on a patient to whom this Part applies unless:</w:t>
            </w:r>
          </w:p>
          <w:p w:rsidR="00AF4D46" w:rsidRPr="00021DD2" w:rsidRDefault="00AF4D46" w:rsidP="00B934D7">
            <w:pPr>
              <w:pStyle w:val="Paragrafoelenco"/>
              <w:numPr>
                <w:ilvl w:val="0"/>
                <w:numId w:val="67"/>
              </w:numPr>
              <w:spacing w:before="120" w:after="120"/>
              <w:contextualSpacing w:val="0"/>
              <w:jc w:val="left"/>
              <w:rPr>
                <w:color w:val="000000"/>
                <w:szCs w:val="18"/>
              </w:rPr>
            </w:pPr>
            <w:r w:rsidRPr="00021DD2">
              <w:rPr>
                <w:color w:val="000000"/>
                <w:szCs w:val="18"/>
              </w:rPr>
              <w:t>consent for the treatment has been given in accordance with this Part, or</w:t>
            </w:r>
          </w:p>
          <w:p w:rsidR="00AF4D46" w:rsidRPr="00021DD2" w:rsidRDefault="00AF4D46" w:rsidP="00B934D7">
            <w:pPr>
              <w:pStyle w:val="Paragrafoelenco"/>
              <w:numPr>
                <w:ilvl w:val="0"/>
                <w:numId w:val="67"/>
              </w:numPr>
              <w:spacing w:before="120" w:after="120"/>
              <w:contextualSpacing w:val="0"/>
              <w:jc w:val="left"/>
              <w:rPr>
                <w:color w:val="000000"/>
                <w:szCs w:val="18"/>
              </w:rPr>
            </w:pPr>
            <w:r w:rsidRPr="00021DD2">
              <w:rPr>
                <w:color w:val="000000"/>
                <w:szCs w:val="18"/>
              </w:rPr>
              <w:t>the carrying out of the treatment is authorised by this Part without any such consent, or</w:t>
            </w:r>
          </w:p>
          <w:p w:rsidR="00AF4D46" w:rsidRPr="00021DD2" w:rsidRDefault="00AF4D46" w:rsidP="00B934D7">
            <w:pPr>
              <w:pStyle w:val="Paragrafoelenco"/>
              <w:numPr>
                <w:ilvl w:val="0"/>
                <w:numId w:val="67"/>
              </w:numPr>
              <w:spacing w:before="120" w:after="120"/>
              <w:contextualSpacing w:val="0"/>
              <w:jc w:val="left"/>
              <w:rPr>
                <w:color w:val="000000"/>
                <w:szCs w:val="18"/>
              </w:rPr>
            </w:pPr>
            <w:r w:rsidRPr="00021DD2">
              <w:rPr>
                <w:color w:val="000000"/>
                <w:szCs w:val="18"/>
              </w:rPr>
              <w:t>the treatment is carried out in accordance with an order made by the Supreme Court in the exercise of its jurisdiction with respect to the guardianship of persons.</w:t>
            </w:r>
          </w:p>
          <w:p w:rsidR="00AF4D46" w:rsidRPr="00021DD2" w:rsidRDefault="00AF4D46" w:rsidP="00AF4D46">
            <w:pPr>
              <w:rPr>
                <w:rFonts w:cs="Arial"/>
                <w:i/>
                <w:color w:val="000000"/>
                <w:szCs w:val="18"/>
              </w:rPr>
            </w:pPr>
            <w:r w:rsidRPr="00021DD2">
              <w:rPr>
                <w:rFonts w:cs="Arial"/>
                <w:i/>
                <w:color w:val="000000"/>
                <w:szCs w:val="18"/>
              </w:rPr>
              <w:t>Section 37 – When treatment may be carried out without any such consent</w:t>
            </w:r>
            <w:r w:rsidRPr="00021DD2">
              <w:rPr>
                <w:rStyle w:val="Rimandonotadichiusura"/>
                <w:rFonts w:cs="Arial"/>
                <w:szCs w:val="18"/>
              </w:rPr>
              <w:endnoteReference w:id="843"/>
            </w:r>
          </w:p>
          <w:p w:rsidR="00AF4D46" w:rsidRPr="00021DD2" w:rsidRDefault="00AF4D46" w:rsidP="00B934D7">
            <w:pPr>
              <w:pStyle w:val="Paragrafoelenco"/>
              <w:numPr>
                <w:ilvl w:val="0"/>
                <w:numId w:val="68"/>
              </w:numPr>
              <w:spacing w:before="120" w:after="120"/>
              <w:contextualSpacing w:val="0"/>
              <w:jc w:val="left"/>
              <w:rPr>
                <w:color w:val="000000"/>
                <w:szCs w:val="18"/>
              </w:rPr>
            </w:pPr>
            <w:r w:rsidRPr="00021DD2">
              <w:rPr>
                <w:color w:val="000000"/>
                <w:szCs w:val="18"/>
              </w:rPr>
              <w:t>Medical or dental treatment may be carried out on a patient to whom this Part applies without consent given in accordance with this Part if the medical practitioner or dentist carrying out or supervising the treatment considers the treatment is necessary, as a matter of urgency:</w:t>
            </w:r>
          </w:p>
          <w:p w:rsidR="00AF4D46" w:rsidRPr="00021DD2" w:rsidRDefault="00AF4D46" w:rsidP="00B934D7">
            <w:pPr>
              <w:pStyle w:val="Paragrafoelenco"/>
              <w:numPr>
                <w:ilvl w:val="0"/>
                <w:numId w:val="71"/>
              </w:numPr>
              <w:spacing w:before="120" w:after="120"/>
              <w:contextualSpacing w:val="0"/>
              <w:jc w:val="left"/>
              <w:rPr>
                <w:color w:val="000000"/>
                <w:szCs w:val="18"/>
              </w:rPr>
            </w:pPr>
            <w:r w:rsidRPr="00021DD2">
              <w:rPr>
                <w:color w:val="000000"/>
                <w:szCs w:val="18"/>
              </w:rPr>
              <w:t>to save the patient’s life, or</w:t>
            </w:r>
          </w:p>
          <w:p w:rsidR="00AF4D46" w:rsidRPr="00021DD2" w:rsidRDefault="00AF4D46" w:rsidP="00B934D7">
            <w:pPr>
              <w:pStyle w:val="Paragrafoelenco"/>
              <w:numPr>
                <w:ilvl w:val="0"/>
                <w:numId w:val="71"/>
              </w:numPr>
              <w:spacing w:before="120" w:after="120"/>
              <w:contextualSpacing w:val="0"/>
              <w:jc w:val="left"/>
              <w:rPr>
                <w:color w:val="000000"/>
                <w:szCs w:val="18"/>
              </w:rPr>
            </w:pPr>
            <w:r w:rsidRPr="00021DD2">
              <w:rPr>
                <w:color w:val="000000"/>
                <w:szCs w:val="18"/>
              </w:rPr>
              <w:t>to prevent serious damage to the patient’s health, or</w:t>
            </w:r>
          </w:p>
          <w:p w:rsidR="00AF4D46" w:rsidRPr="00021DD2" w:rsidRDefault="00AF4D46" w:rsidP="00B934D7">
            <w:pPr>
              <w:pStyle w:val="Paragrafoelenco"/>
              <w:numPr>
                <w:ilvl w:val="0"/>
                <w:numId w:val="71"/>
              </w:numPr>
              <w:spacing w:before="120" w:after="120"/>
              <w:contextualSpacing w:val="0"/>
              <w:jc w:val="left"/>
              <w:rPr>
                <w:color w:val="000000"/>
                <w:szCs w:val="18"/>
              </w:rPr>
            </w:pPr>
            <w:r w:rsidRPr="00021DD2">
              <w:rPr>
                <w:color w:val="000000"/>
                <w:szCs w:val="18"/>
              </w:rPr>
              <w:t>except in the case of special treatment - to prevent the patient from suffering or continuing to suffer significant pain or distress.</w:t>
            </w:r>
          </w:p>
          <w:p w:rsidR="00AF4D46" w:rsidRPr="00021DD2" w:rsidRDefault="00AF4D46" w:rsidP="00B934D7">
            <w:pPr>
              <w:pStyle w:val="Paragrafoelenco"/>
              <w:numPr>
                <w:ilvl w:val="0"/>
                <w:numId w:val="68"/>
              </w:numPr>
              <w:spacing w:before="120" w:after="120"/>
              <w:contextualSpacing w:val="0"/>
              <w:jc w:val="left"/>
              <w:rPr>
                <w:color w:val="000000"/>
                <w:szCs w:val="18"/>
              </w:rPr>
            </w:pPr>
            <w:r w:rsidRPr="00021DD2">
              <w:rPr>
                <w:color w:val="000000"/>
                <w:szCs w:val="18"/>
              </w:rPr>
              <w:t>Minor treatment may (subject to subsection (3)) also be carried out on a patient to whom this Part applies without any consent given in accordance with this Part if:</w:t>
            </w:r>
          </w:p>
          <w:p w:rsidR="00AF4D46" w:rsidRPr="00021DD2" w:rsidRDefault="00AF4D46" w:rsidP="00B934D7">
            <w:pPr>
              <w:pStyle w:val="Paragrafoelenco"/>
              <w:numPr>
                <w:ilvl w:val="0"/>
                <w:numId w:val="73"/>
              </w:numPr>
              <w:spacing w:before="120" w:after="120"/>
              <w:contextualSpacing w:val="0"/>
              <w:jc w:val="left"/>
              <w:rPr>
                <w:color w:val="000000"/>
                <w:szCs w:val="18"/>
              </w:rPr>
            </w:pPr>
            <w:r w:rsidRPr="00021DD2">
              <w:rPr>
                <w:color w:val="000000"/>
                <w:szCs w:val="18"/>
              </w:rPr>
              <w:t>there is no person responsible for the patient, or</w:t>
            </w:r>
          </w:p>
          <w:p w:rsidR="00AF4D46" w:rsidRPr="00021DD2" w:rsidRDefault="00AF4D46" w:rsidP="00B934D7">
            <w:pPr>
              <w:pStyle w:val="Paragrafoelenco"/>
              <w:numPr>
                <w:ilvl w:val="0"/>
                <w:numId w:val="73"/>
              </w:numPr>
              <w:spacing w:before="120" w:after="120"/>
              <w:contextualSpacing w:val="0"/>
              <w:jc w:val="left"/>
              <w:rPr>
                <w:color w:val="000000"/>
                <w:szCs w:val="18"/>
              </w:rPr>
            </w:pPr>
            <w:r w:rsidRPr="00021DD2">
              <w:rPr>
                <w:color w:val="000000"/>
                <w:szCs w:val="18"/>
              </w:rPr>
              <w:t>there is such a person but that person either cannot be contacted or is unable or unwilling to make a decision concerning a request for that person’s consent to the carrying out of the treatment.</w:t>
            </w:r>
          </w:p>
          <w:p w:rsidR="00AF4D46" w:rsidRPr="00021DD2" w:rsidRDefault="00AF4D46" w:rsidP="00B934D7">
            <w:pPr>
              <w:pStyle w:val="Paragrafoelenco"/>
              <w:numPr>
                <w:ilvl w:val="0"/>
                <w:numId w:val="68"/>
              </w:numPr>
              <w:spacing w:before="120" w:after="120"/>
              <w:contextualSpacing w:val="0"/>
              <w:jc w:val="left"/>
              <w:rPr>
                <w:color w:val="000000"/>
                <w:szCs w:val="18"/>
              </w:rPr>
            </w:pPr>
            <w:r w:rsidRPr="00021DD2">
              <w:rPr>
                <w:color w:val="000000"/>
                <w:szCs w:val="18"/>
              </w:rPr>
              <w:t>The medical practitioner or dentist carrying out, or supervising the carrying out of, minor treatment in accordance with subsection (2) is required to certify in writing in the patient’s clinical record that:</w:t>
            </w:r>
          </w:p>
          <w:p w:rsidR="00AF4D46" w:rsidRPr="00021DD2" w:rsidRDefault="00AF4D46" w:rsidP="00B934D7">
            <w:pPr>
              <w:pStyle w:val="Paragrafoelenco"/>
              <w:numPr>
                <w:ilvl w:val="0"/>
                <w:numId w:val="74"/>
              </w:numPr>
              <w:spacing w:before="120" w:after="120"/>
              <w:contextualSpacing w:val="0"/>
              <w:jc w:val="left"/>
              <w:rPr>
                <w:color w:val="000000"/>
                <w:szCs w:val="18"/>
              </w:rPr>
            </w:pPr>
            <w:r w:rsidRPr="00021DD2">
              <w:rPr>
                <w:color w:val="000000"/>
                <w:szCs w:val="18"/>
              </w:rPr>
              <w:t>the treatment is necessary and is the form of treatment that will most successfully promote the patient’s health and well-being, and</w:t>
            </w:r>
          </w:p>
          <w:p w:rsidR="00AF4D46" w:rsidRPr="00021DD2" w:rsidRDefault="00AF4D46" w:rsidP="00B934D7">
            <w:pPr>
              <w:pStyle w:val="Paragrafoelenco"/>
              <w:numPr>
                <w:ilvl w:val="0"/>
                <w:numId w:val="74"/>
              </w:numPr>
              <w:spacing w:before="120" w:after="120"/>
              <w:contextualSpacing w:val="0"/>
              <w:jc w:val="left"/>
              <w:rPr>
                <w:color w:val="000000"/>
                <w:szCs w:val="18"/>
              </w:rPr>
            </w:pPr>
            <w:r w:rsidRPr="00021DD2">
              <w:rPr>
                <w:color w:val="000000"/>
                <w:szCs w:val="18"/>
              </w:rPr>
              <w:t>the patient does not object to the carrying out of the treatment.</w:t>
            </w:r>
          </w:p>
          <w:p w:rsidR="00AF4D46" w:rsidRPr="00021DD2" w:rsidRDefault="00AF4D46" w:rsidP="00AF4D46">
            <w:pPr>
              <w:rPr>
                <w:rFonts w:cs="Arial"/>
                <w:b/>
              </w:rPr>
            </w:pPr>
            <w:r w:rsidRPr="00021DD2">
              <w:rPr>
                <w:rFonts w:cs="Arial"/>
                <w:b/>
                <w:i/>
              </w:rPr>
              <w:t>Crimes Act 1900</w:t>
            </w:r>
            <w:r w:rsidRPr="00021DD2">
              <w:rPr>
                <w:rFonts w:cs="Arial"/>
                <w:b/>
              </w:rPr>
              <w:t xml:space="preserve"> (NSW)</w:t>
            </w:r>
          </w:p>
          <w:p w:rsidR="00AF4D46" w:rsidRPr="00021DD2" w:rsidRDefault="00AF4D46" w:rsidP="00AF4D46">
            <w:pPr>
              <w:rPr>
                <w:rFonts w:cs="Arial"/>
                <w:i/>
              </w:rPr>
            </w:pPr>
            <w:r w:rsidRPr="00021DD2">
              <w:rPr>
                <w:rFonts w:cs="Arial"/>
                <w:i/>
              </w:rPr>
              <w:t>Division 12 Attempts to procure abortion</w:t>
            </w:r>
          </w:p>
          <w:p w:rsidR="00AF4D46" w:rsidRPr="00021DD2" w:rsidRDefault="00AF4D46" w:rsidP="00AF4D46">
            <w:pPr>
              <w:rPr>
                <w:rFonts w:cs="Arial"/>
                <w:i/>
              </w:rPr>
            </w:pPr>
            <w:r w:rsidRPr="00021DD2">
              <w:rPr>
                <w:rFonts w:cs="Arial"/>
                <w:i/>
              </w:rPr>
              <w:t>Section 82 – Administering drugs etc to herself by woman with child</w:t>
            </w:r>
          </w:p>
          <w:p w:rsidR="00AF4D46" w:rsidRPr="00021DD2" w:rsidRDefault="00AF4D46" w:rsidP="00AF4D46">
            <w:pPr>
              <w:rPr>
                <w:rFonts w:cs="Arial"/>
              </w:rPr>
            </w:pPr>
            <w:r w:rsidRPr="00021DD2">
              <w:rPr>
                <w:rFonts w:cs="Arial"/>
              </w:rPr>
              <w:t xml:space="preserve">Whosoever, being a woman with child, </w:t>
            </w:r>
          </w:p>
          <w:p w:rsidR="00AF4D46" w:rsidRPr="00021DD2" w:rsidRDefault="00AF4D46" w:rsidP="00C86EEE">
            <w:pPr>
              <w:ind w:left="720"/>
              <w:rPr>
                <w:rFonts w:cs="Arial"/>
              </w:rPr>
            </w:pPr>
            <w:r w:rsidRPr="00021DD2">
              <w:rPr>
                <w:rFonts w:cs="Arial"/>
              </w:rPr>
              <w:t>unlawfully administers to herself any drug or noxious thing, or</w:t>
            </w:r>
          </w:p>
          <w:p w:rsidR="00AF4D46" w:rsidRPr="00021DD2" w:rsidRDefault="00AF4D46" w:rsidP="00C86EEE">
            <w:pPr>
              <w:ind w:left="720"/>
              <w:rPr>
                <w:rFonts w:cs="Arial"/>
              </w:rPr>
            </w:pPr>
            <w:r w:rsidRPr="00021DD2">
              <w:rPr>
                <w:rFonts w:cs="Arial"/>
              </w:rPr>
              <w:t xml:space="preserve">unlawfully uses any instrument or other means, </w:t>
            </w:r>
          </w:p>
          <w:p w:rsidR="00AF4D46" w:rsidRPr="00021DD2" w:rsidRDefault="00AF4D46" w:rsidP="00AF4D46">
            <w:pPr>
              <w:rPr>
                <w:rFonts w:cs="Arial"/>
              </w:rPr>
            </w:pPr>
            <w:r w:rsidRPr="00021DD2">
              <w:rPr>
                <w:rFonts w:cs="Arial"/>
              </w:rPr>
              <w:t>with intent in any case to procure her miscarriage, shall be liable to imprisonment for ten years.</w:t>
            </w:r>
          </w:p>
          <w:p w:rsidR="00AF4D46" w:rsidRPr="00021DD2" w:rsidRDefault="00AF4D46" w:rsidP="00AF4D46">
            <w:pPr>
              <w:rPr>
                <w:rFonts w:cs="Arial"/>
                <w:i/>
              </w:rPr>
            </w:pPr>
            <w:r w:rsidRPr="00021DD2">
              <w:rPr>
                <w:rFonts w:cs="Arial"/>
                <w:i/>
              </w:rPr>
              <w:t>Section 83 – Administering drugs etc to women with intent</w:t>
            </w:r>
          </w:p>
          <w:p w:rsidR="00AF4D46" w:rsidRPr="00021DD2" w:rsidRDefault="00AF4D46" w:rsidP="00AF4D46">
            <w:pPr>
              <w:rPr>
                <w:rFonts w:cs="Arial"/>
              </w:rPr>
            </w:pPr>
            <w:r w:rsidRPr="00021DD2">
              <w:rPr>
                <w:rFonts w:cs="Arial"/>
              </w:rPr>
              <w:t>Whosoever:</w:t>
            </w:r>
          </w:p>
          <w:p w:rsidR="00AF4D46" w:rsidRPr="00021DD2" w:rsidRDefault="00AF4D46" w:rsidP="00AF4D46">
            <w:pPr>
              <w:ind w:left="737"/>
              <w:rPr>
                <w:rFonts w:cs="Arial"/>
              </w:rPr>
            </w:pPr>
            <w:r w:rsidRPr="00021DD2">
              <w:rPr>
                <w:rFonts w:cs="Arial"/>
              </w:rPr>
              <w:t>unlawfully administers to, or causes to be taken by, any woman, whether with child or not, any drug or noxious thing, or</w:t>
            </w:r>
          </w:p>
          <w:p w:rsidR="00AF4D46" w:rsidRPr="00021DD2" w:rsidRDefault="00AF4D46" w:rsidP="00AF4D46">
            <w:pPr>
              <w:ind w:left="737"/>
              <w:rPr>
                <w:rFonts w:cs="Arial"/>
              </w:rPr>
            </w:pPr>
            <w:r w:rsidRPr="00021DD2">
              <w:rPr>
                <w:rFonts w:cs="Arial"/>
              </w:rPr>
              <w:t>unlawfully uses any instrument or other means,</w:t>
            </w:r>
          </w:p>
          <w:p w:rsidR="00AF4D46" w:rsidRPr="00021DD2" w:rsidRDefault="00AF4D46" w:rsidP="00AF4D46">
            <w:pPr>
              <w:rPr>
                <w:rFonts w:cs="Arial"/>
              </w:rPr>
            </w:pPr>
            <w:r w:rsidRPr="00021DD2">
              <w:rPr>
                <w:rFonts w:cs="Arial"/>
              </w:rPr>
              <w:t>with intent in any such case to procure her miscarriage, shall be liable to imprisonment for ten years.</w:t>
            </w:r>
          </w:p>
          <w:p w:rsidR="00AF4D46" w:rsidRPr="00021DD2" w:rsidRDefault="00AF4D46" w:rsidP="00AF4D46">
            <w:pPr>
              <w:rPr>
                <w:rFonts w:cs="Arial"/>
                <w:i/>
              </w:rPr>
            </w:pPr>
            <w:r w:rsidRPr="00021DD2">
              <w:rPr>
                <w:rFonts w:cs="Arial"/>
                <w:i/>
              </w:rPr>
              <w:t>[Note: this position has been amended by case law, see below.]</w:t>
            </w:r>
          </w:p>
        </w:tc>
      </w:tr>
      <w:tr w:rsidR="00AF4D46" w:rsidRPr="00021DD2" w:rsidTr="00AF4D46">
        <w:trPr>
          <w:cnfStyle w:val="000000100000" w:firstRow="0" w:lastRow="0" w:firstColumn="0" w:lastColumn="0" w:oddVBand="0" w:evenVBand="0" w:oddHBand="1" w:evenHBand="0" w:firstRowFirstColumn="0" w:firstRowLastColumn="0" w:lastRowFirstColumn="0" w:lastRowLastColumn="0"/>
        </w:trPr>
        <w:tc>
          <w:tcPr>
            <w:tcW w:w="2410" w:type="dxa"/>
          </w:tcPr>
          <w:p w:rsidR="00AF4D46" w:rsidRPr="00021DD2" w:rsidRDefault="00AF4D46" w:rsidP="00AF4D46">
            <w:pPr>
              <w:rPr>
                <w:rFonts w:cs="Arial"/>
              </w:rPr>
            </w:pPr>
            <w:r w:rsidRPr="00021DD2">
              <w:rPr>
                <w:rFonts w:cs="Arial"/>
              </w:rPr>
              <w:t>Case law</w:t>
            </w:r>
          </w:p>
        </w:tc>
        <w:tc>
          <w:tcPr>
            <w:tcW w:w="6657" w:type="dxa"/>
          </w:tcPr>
          <w:p w:rsidR="00AF4D46" w:rsidRPr="00021DD2" w:rsidRDefault="00AF4D46" w:rsidP="00AF4D46">
            <w:pPr>
              <w:rPr>
                <w:rFonts w:cs="Arial"/>
              </w:rPr>
            </w:pPr>
            <w:r w:rsidRPr="00021DD2">
              <w:rPr>
                <w:rFonts w:cs="Arial"/>
              </w:rPr>
              <w:t xml:space="preserve">The Gillick test (as approved in </w:t>
            </w:r>
            <w:r w:rsidRPr="00021DD2">
              <w:rPr>
                <w:rFonts w:cs="Arial"/>
                <w:i/>
              </w:rPr>
              <w:t>Marion</w:t>
            </w:r>
            <w:r w:rsidRPr="00021DD2">
              <w:rPr>
                <w:rFonts w:cs="Arial"/>
              </w:rPr>
              <w:t xml:space="preserve">’s </w:t>
            </w:r>
            <w:r w:rsidRPr="00021DD2">
              <w:rPr>
                <w:rFonts w:cs="Arial"/>
                <w:i/>
              </w:rPr>
              <w:t>Case</w:t>
            </w:r>
            <w:r w:rsidRPr="00021DD2">
              <w:rPr>
                <w:rFonts w:cs="Arial"/>
              </w:rPr>
              <w:t>)</w:t>
            </w:r>
            <w:r w:rsidRPr="00021DD2">
              <w:rPr>
                <w:rFonts w:cs="Arial"/>
                <w:i/>
              </w:rPr>
              <w:t xml:space="preserve"> </w:t>
            </w:r>
            <w:r w:rsidRPr="00021DD2">
              <w:rPr>
                <w:rFonts w:cs="Arial"/>
              </w:rPr>
              <w:t>discussed above is the operative test in New South Wales for determining whether a child can access contraception or abortion.</w:t>
            </w:r>
          </w:p>
          <w:p w:rsidR="00AF4D46" w:rsidRPr="00021DD2" w:rsidRDefault="00AF4D46" w:rsidP="00AF4D46">
            <w:pPr>
              <w:rPr>
                <w:rFonts w:cs="Arial"/>
                <w:b/>
              </w:rPr>
            </w:pPr>
            <w:r w:rsidRPr="00021DD2">
              <w:rPr>
                <w:rFonts w:cs="Arial"/>
                <w:b/>
                <w:i/>
              </w:rPr>
              <w:t>R v Wald</w:t>
            </w:r>
            <w:r w:rsidRPr="00021DD2">
              <w:rPr>
                <w:rFonts w:cs="Arial"/>
                <w:b/>
              </w:rPr>
              <w:t xml:space="preserve"> [1971] 3 DCR (NSW) 25</w:t>
            </w:r>
          </w:p>
          <w:p w:rsidR="00AF4D46" w:rsidRPr="00021DD2" w:rsidRDefault="00AF4D46" w:rsidP="00AF4D46">
            <w:pPr>
              <w:rPr>
                <w:rFonts w:cs="Arial"/>
              </w:rPr>
            </w:pPr>
            <w:r w:rsidRPr="00021DD2">
              <w:rPr>
                <w:rFonts w:cs="Arial"/>
              </w:rPr>
              <w:t xml:space="preserve">Abortion is lawful if the doctor believes on reasonable grounds that it is necessary to preserve the woman involved from serious danger to her life or mental health. </w:t>
            </w:r>
          </w:p>
          <w:p w:rsidR="00AF4D46" w:rsidRPr="00021DD2" w:rsidRDefault="00AF4D46" w:rsidP="00AF4D46">
            <w:pPr>
              <w:rPr>
                <w:rFonts w:cs="Arial"/>
                <w:b/>
              </w:rPr>
            </w:pPr>
            <w:r w:rsidRPr="00021DD2">
              <w:rPr>
                <w:rFonts w:cs="Arial"/>
                <w:b/>
                <w:i/>
              </w:rPr>
              <w:t>CES v Superclinics Australia Pty Ltd</w:t>
            </w:r>
            <w:r w:rsidRPr="00021DD2">
              <w:rPr>
                <w:rFonts w:cs="Arial"/>
                <w:b/>
              </w:rPr>
              <w:t xml:space="preserve"> (1995) 38 NSWLR 47</w:t>
            </w:r>
          </w:p>
          <w:p w:rsidR="00AF4D46" w:rsidRPr="00021DD2" w:rsidRDefault="00AF4D46" w:rsidP="00AF4D46">
            <w:pPr>
              <w:rPr>
                <w:rFonts w:cs="Arial"/>
              </w:rPr>
            </w:pPr>
            <w:r w:rsidRPr="00021DD2">
              <w:rPr>
                <w:rFonts w:cs="Arial"/>
              </w:rPr>
              <w:t xml:space="preserve">The mental health requirement in </w:t>
            </w:r>
            <w:r w:rsidRPr="00021DD2">
              <w:rPr>
                <w:rFonts w:cs="Arial"/>
                <w:i/>
              </w:rPr>
              <w:t>R v Wald</w:t>
            </w:r>
            <w:r w:rsidRPr="00021DD2">
              <w:rPr>
                <w:rFonts w:cs="Arial"/>
              </w:rPr>
              <w:t xml:space="preserve"> was expanded to include the effects of economic or social stress.</w:t>
            </w:r>
          </w:p>
          <w:p w:rsidR="00AF4D46" w:rsidRPr="00021DD2" w:rsidRDefault="00AF4D46" w:rsidP="00AF4D46">
            <w:pPr>
              <w:rPr>
                <w:rFonts w:cs="Arial"/>
                <w:b/>
              </w:rPr>
            </w:pPr>
            <w:r w:rsidRPr="00021DD2">
              <w:rPr>
                <w:rFonts w:cs="Arial"/>
                <w:b/>
                <w:i/>
              </w:rPr>
              <w:t>K v Minister for Youth and Community Services</w:t>
            </w:r>
            <w:r w:rsidRPr="00021DD2">
              <w:rPr>
                <w:rFonts w:cs="Arial"/>
                <w:b/>
              </w:rPr>
              <w:t xml:space="preserve"> [1982] 1 NSWLR 311 NSW </w:t>
            </w:r>
          </w:p>
          <w:p w:rsidR="00AF4D46" w:rsidRPr="00021DD2" w:rsidRDefault="00AF4D46" w:rsidP="00AF4D46">
            <w:pPr>
              <w:rPr>
                <w:rFonts w:cs="Arial"/>
              </w:rPr>
            </w:pPr>
            <w:r w:rsidRPr="00021DD2">
              <w:rPr>
                <w:rFonts w:cs="Arial"/>
              </w:rPr>
              <w:t>A 15-year-old’s guardian refused to consent to the girl’s abortion, which she and her mother wanted. The girl was a ward of the court so the consent of the Minister for Youth and Community Services was necessary. The judge allowed the abortion due to the adverse effects on the girl’s health through being forced to bear the child.</w:t>
            </w:r>
          </w:p>
        </w:tc>
      </w:tr>
      <w:tr w:rsidR="00AF4D46" w:rsidRPr="00021DD2" w:rsidTr="00AF4D46">
        <w:trPr>
          <w:cnfStyle w:val="000000010000" w:firstRow="0" w:lastRow="0" w:firstColumn="0" w:lastColumn="0" w:oddVBand="0" w:evenVBand="0" w:oddHBand="0" w:evenHBand="1" w:firstRowFirstColumn="0" w:firstRowLastColumn="0" w:lastRowFirstColumn="0" w:lastRowLastColumn="0"/>
        </w:trPr>
        <w:tc>
          <w:tcPr>
            <w:tcW w:w="2410" w:type="dxa"/>
          </w:tcPr>
          <w:p w:rsidR="00AF4D46" w:rsidRPr="00021DD2" w:rsidRDefault="00AF4D46" w:rsidP="00AF4D46">
            <w:pPr>
              <w:rPr>
                <w:rFonts w:cs="Arial"/>
              </w:rPr>
            </w:pPr>
            <w:r w:rsidRPr="00021DD2">
              <w:rPr>
                <w:rFonts w:cs="Arial"/>
              </w:rPr>
              <w:t>Other relevant information</w:t>
            </w:r>
          </w:p>
        </w:tc>
        <w:tc>
          <w:tcPr>
            <w:tcW w:w="6657" w:type="dxa"/>
          </w:tcPr>
          <w:p w:rsidR="00AF4D46" w:rsidRPr="00021DD2" w:rsidRDefault="00AF4D46" w:rsidP="00AF4D46">
            <w:pPr>
              <w:rPr>
                <w:rFonts w:cs="Arial"/>
              </w:rPr>
            </w:pPr>
            <w:r w:rsidRPr="00021DD2">
              <w:rPr>
                <w:rFonts w:cs="Arial"/>
              </w:rPr>
              <w:t>As of January 2006, the morning after pill became available from pharmacies in New South Wales without the need for a prescription.</w:t>
            </w:r>
            <w:r w:rsidRPr="00021DD2">
              <w:rPr>
                <w:rStyle w:val="Rimandonotadichiusura"/>
                <w:rFonts w:cs="Arial"/>
              </w:rPr>
              <w:endnoteReference w:id="844"/>
            </w:r>
          </w:p>
        </w:tc>
      </w:tr>
      <w:tr w:rsidR="00AF4D46" w:rsidRPr="00021DD2" w:rsidTr="00AF4D46">
        <w:trPr>
          <w:cnfStyle w:val="000000100000" w:firstRow="0" w:lastRow="0" w:firstColumn="0" w:lastColumn="0" w:oddVBand="0" w:evenVBand="0" w:oddHBand="1" w:evenHBand="0" w:firstRowFirstColumn="0" w:firstRowLastColumn="0" w:lastRowFirstColumn="0" w:lastRowLastColumn="0"/>
        </w:trPr>
        <w:tc>
          <w:tcPr>
            <w:tcW w:w="9067" w:type="dxa"/>
            <w:gridSpan w:val="2"/>
          </w:tcPr>
          <w:p w:rsidR="00AF4D46" w:rsidRPr="00021DD2" w:rsidRDefault="00AF4D46" w:rsidP="00AF4D46">
            <w:pPr>
              <w:rPr>
                <w:rFonts w:cs="Arial"/>
                <w:b/>
              </w:rPr>
            </w:pPr>
            <w:r w:rsidRPr="00021DD2">
              <w:rPr>
                <w:rFonts w:cs="Arial"/>
                <w:b/>
              </w:rPr>
              <w:t>Queensland</w:t>
            </w:r>
          </w:p>
        </w:tc>
      </w:tr>
      <w:tr w:rsidR="00AF4D46" w:rsidRPr="00021DD2" w:rsidTr="00AF4D46">
        <w:trPr>
          <w:cnfStyle w:val="000000010000" w:firstRow="0" w:lastRow="0" w:firstColumn="0" w:lastColumn="0" w:oddVBand="0" w:evenVBand="0" w:oddHBand="0" w:evenHBand="1" w:firstRowFirstColumn="0" w:firstRowLastColumn="0" w:lastRowFirstColumn="0" w:lastRowLastColumn="0"/>
        </w:trPr>
        <w:tc>
          <w:tcPr>
            <w:tcW w:w="2410" w:type="dxa"/>
          </w:tcPr>
          <w:p w:rsidR="00AF4D46" w:rsidRPr="00021DD2" w:rsidRDefault="00AF4D46" w:rsidP="00AF4D46">
            <w:pPr>
              <w:rPr>
                <w:rFonts w:cs="Arial"/>
              </w:rPr>
            </w:pPr>
            <w:r w:rsidRPr="00021DD2">
              <w:rPr>
                <w:rFonts w:cs="Arial"/>
              </w:rPr>
              <w:t xml:space="preserve">Legislative provisions </w:t>
            </w:r>
          </w:p>
        </w:tc>
        <w:tc>
          <w:tcPr>
            <w:tcW w:w="6657" w:type="dxa"/>
          </w:tcPr>
          <w:p w:rsidR="00AF4D46" w:rsidRPr="00021DD2" w:rsidRDefault="00AF4D46" w:rsidP="00AF4D46">
            <w:pPr>
              <w:rPr>
                <w:rFonts w:cs="Arial"/>
                <w:b/>
              </w:rPr>
            </w:pPr>
            <w:r w:rsidRPr="00021DD2">
              <w:rPr>
                <w:rFonts w:cs="Arial"/>
                <w:b/>
                <w:i/>
              </w:rPr>
              <w:t xml:space="preserve">Law Reform Act 1995 </w:t>
            </w:r>
            <w:r w:rsidRPr="00021DD2">
              <w:rPr>
                <w:rFonts w:cs="Arial"/>
                <w:b/>
              </w:rPr>
              <w:t>(QLD)</w:t>
            </w:r>
          </w:p>
          <w:p w:rsidR="00AF4D46" w:rsidRPr="00021DD2" w:rsidRDefault="00AF4D46" w:rsidP="00AF4D46">
            <w:pPr>
              <w:rPr>
                <w:rFonts w:cs="Arial"/>
                <w:i/>
              </w:rPr>
            </w:pPr>
            <w:r w:rsidRPr="00021DD2">
              <w:rPr>
                <w:rFonts w:cs="Arial"/>
                <w:i/>
              </w:rPr>
              <w:t>Section 17 – What is the age of majority</w:t>
            </w:r>
          </w:p>
          <w:p w:rsidR="00AF4D46" w:rsidRPr="00021DD2" w:rsidRDefault="00AF4D46" w:rsidP="00AF4D46">
            <w:pPr>
              <w:rPr>
                <w:rFonts w:cs="Arial"/>
              </w:rPr>
            </w:pPr>
            <w:r w:rsidRPr="00021DD2">
              <w:rPr>
                <w:rFonts w:cs="Arial"/>
              </w:rPr>
              <w:t>The age of majority is 18 years.</w:t>
            </w:r>
          </w:p>
          <w:p w:rsidR="00AF4D46" w:rsidRPr="00021DD2" w:rsidRDefault="00AF4D46" w:rsidP="00AF4D46">
            <w:pPr>
              <w:rPr>
                <w:rFonts w:cs="Arial"/>
                <w:b/>
              </w:rPr>
            </w:pPr>
            <w:r w:rsidRPr="00021DD2">
              <w:rPr>
                <w:rFonts w:cs="Arial"/>
                <w:b/>
                <w:i/>
              </w:rPr>
              <w:t xml:space="preserve">Criminal Code Act 1899 </w:t>
            </w:r>
            <w:r w:rsidRPr="00021DD2">
              <w:rPr>
                <w:rFonts w:cs="Arial"/>
                <w:b/>
              </w:rPr>
              <w:t>(QLD)</w:t>
            </w:r>
          </w:p>
          <w:p w:rsidR="00AF4D46" w:rsidRPr="00021DD2" w:rsidRDefault="00AF4D46" w:rsidP="00AF4D46">
            <w:pPr>
              <w:rPr>
                <w:rFonts w:cs="Arial"/>
                <w:i/>
              </w:rPr>
            </w:pPr>
            <w:r w:rsidRPr="00021DD2">
              <w:rPr>
                <w:rFonts w:cs="Arial"/>
                <w:i/>
              </w:rPr>
              <w:t>Section 225 - The like by women with child</w:t>
            </w:r>
          </w:p>
          <w:p w:rsidR="00AF4D46" w:rsidRPr="00021DD2" w:rsidRDefault="00AF4D46" w:rsidP="00AF4D46">
            <w:pPr>
              <w:rPr>
                <w:rFonts w:cs="Arial"/>
              </w:rPr>
            </w:pPr>
            <w:r w:rsidRPr="00021DD2">
              <w:rPr>
                <w:rFonts w:cs="Arial"/>
              </w:rPr>
              <w:t>Any woman who, with intent to procure her own miscarriage, whether she is or is not with child, unlawfully administers to herself any poison or other noxious thing, or uses any force of any kind, or uses any other means whatever, or permits any such thing or means to be administered or used to her, is guilty of a crime, and is liable to imprisonment for 7 years.</w:t>
            </w:r>
          </w:p>
          <w:p w:rsidR="00AF4D46" w:rsidRPr="00021DD2" w:rsidRDefault="00AF4D46" w:rsidP="00AF4D46">
            <w:pPr>
              <w:rPr>
                <w:rFonts w:cs="Arial"/>
                <w:i/>
              </w:rPr>
            </w:pPr>
            <w:r w:rsidRPr="00021DD2">
              <w:rPr>
                <w:rFonts w:cs="Arial"/>
                <w:i/>
              </w:rPr>
              <w:t xml:space="preserve">282 Surgical operations and medical treatment </w:t>
            </w:r>
          </w:p>
          <w:p w:rsidR="00AF4D46" w:rsidRPr="00021DD2" w:rsidRDefault="00AF4D46" w:rsidP="00B934D7">
            <w:pPr>
              <w:pStyle w:val="Paragrafoelenco"/>
              <w:numPr>
                <w:ilvl w:val="0"/>
                <w:numId w:val="76"/>
              </w:numPr>
              <w:spacing w:before="120" w:after="120"/>
              <w:contextualSpacing w:val="0"/>
              <w:jc w:val="left"/>
              <w:rPr>
                <w:color w:val="000000"/>
                <w:szCs w:val="18"/>
              </w:rPr>
            </w:pPr>
            <w:r w:rsidRPr="00021DD2">
              <w:rPr>
                <w:color w:val="000000"/>
                <w:szCs w:val="18"/>
              </w:rPr>
              <w:t>A person is not criminally responsible for performing or providing, in good faith and with reasonable care and skill, a surgical operation on or medical treatment of—</w:t>
            </w:r>
          </w:p>
          <w:p w:rsidR="00AF4D46" w:rsidRPr="00021DD2" w:rsidRDefault="00AF4D46" w:rsidP="00B934D7">
            <w:pPr>
              <w:pStyle w:val="Paragrafoelenco"/>
              <w:numPr>
                <w:ilvl w:val="0"/>
                <w:numId w:val="75"/>
              </w:numPr>
              <w:spacing w:before="120" w:after="120"/>
              <w:contextualSpacing w:val="0"/>
              <w:jc w:val="left"/>
              <w:rPr>
                <w:color w:val="000000"/>
                <w:szCs w:val="18"/>
              </w:rPr>
            </w:pPr>
            <w:r w:rsidRPr="00021DD2">
              <w:rPr>
                <w:color w:val="000000"/>
                <w:szCs w:val="18"/>
              </w:rPr>
              <w:t>a person or an unborn child for the patient’s benefit; or</w:t>
            </w:r>
          </w:p>
          <w:p w:rsidR="00AF4D46" w:rsidRPr="00021DD2" w:rsidRDefault="00AF4D46" w:rsidP="00B934D7">
            <w:pPr>
              <w:pStyle w:val="Paragrafoelenco"/>
              <w:numPr>
                <w:ilvl w:val="0"/>
                <w:numId w:val="75"/>
              </w:numPr>
              <w:spacing w:before="120" w:after="120"/>
              <w:contextualSpacing w:val="0"/>
              <w:jc w:val="left"/>
              <w:rPr>
                <w:color w:val="000000"/>
                <w:szCs w:val="18"/>
              </w:rPr>
            </w:pPr>
            <w:r w:rsidRPr="00021DD2">
              <w:rPr>
                <w:color w:val="000000"/>
                <w:szCs w:val="18"/>
              </w:rPr>
              <w:t xml:space="preserve">a person or an unborn child to preserve the mother’s life; </w:t>
            </w:r>
          </w:p>
          <w:p w:rsidR="00AF4D46" w:rsidRPr="00021DD2" w:rsidRDefault="00AF4D46" w:rsidP="00AF4D46">
            <w:pPr>
              <w:rPr>
                <w:rFonts w:cs="Arial"/>
              </w:rPr>
            </w:pPr>
            <w:r w:rsidRPr="00021DD2">
              <w:rPr>
                <w:rFonts w:cs="Arial"/>
              </w:rPr>
              <w:t>if performing the operation or providing the medical treatment is reasonable, having regard to the patient’s state at the time and to all the circumstances of the case.</w:t>
            </w:r>
          </w:p>
        </w:tc>
      </w:tr>
      <w:tr w:rsidR="00AF4D46" w:rsidRPr="00021DD2" w:rsidTr="00AF4D46">
        <w:trPr>
          <w:cnfStyle w:val="000000100000" w:firstRow="0" w:lastRow="0" w:firstColumn="0" w:lastColumn="0" w:oddVBand="0" w:evenVBand="0" w:oddHBand="1" w:evenHBand="0" w:firstRowFirstColumn="0" w:firstRowLastColumn="0" w:lastRowFirstColumn="0" w:lastRowLastColumn="0"/>
        </w:trPr>
        <w:tc>
          <w:tcPr>
            <w:tcW w:w="2410" w:type="dxa"/>
          </w:tcPr>
          <w:p w:rsidR="00AF4D46" w:rsidRPr="00021DD2" w:rsidRDefault="00AF4D46" w:rsidP="00AF4D46">
            <w:pPr>
              <w:rPr>
                <w:rFonts w:cs="Arial"/>
              </w:rPr>
            </w:pPr>
            <w:r w:rsidRPr="00021DD2">
              <w:rPr>
                <w:rFonts w:cs="Arial"/>
              </w:rPr>
              <w:t>Case law</w:t>
            </w:r>
          </w:p>
        </w:tc>
        <w:tc>
          <w:tcPr>
            <w:tcW w:w="6657" w:type="dxa"/>
          </w:tcPr>
          <w:p w:rsidR="00AF4D46" w:rsidRPr="00021DD2" w:rsidRDefault="00AF4D46" w:rsidP="00AF4D46">
            <w:pPr>
              <w:rPr>
                <w:rFonts w:cs="Arial"/>
              </w:rPr>
            </w:pPr>
            <w:r w:rsidRPr="00021DD2">
              <w:rPr>
                <w:rFonts w:cs="Arial"/>
              </w:rPr>
              <w:t xml:space="preserve">The Gillick test (as approved in </w:t>
            </w:r>
            <w:r w:rsidRPr="00021DD2">
              <w:rPr>
                <w:rFonts w:cs="Arial"/>
                <w:i/>
              </w:rPr>
              <w:t>Marion</w:t>
            </w:r>
            <w:r w:rsidRPr="00021DD2">
              <w:rPr>
                <w:rFonts w:cs="Arial"/>
              </w:rPr>
              <w:t xml:space="preserve">’s </w:t>
            </w:r>
            <w:r w:rsidRPr="00021DD2">
              <w:rPr>
                <w:rFonts w:cs="Arial"/>
                <w:i/>
              </w:rPr>
              <w:t>Case</w:t>
            </w:r>
            <w:r w:rsidRPr="00021DD2">
              <w:rPr>
                <w:rFonts w:cs="Arial"/>
              </w:rPr>
              <w:t>)</w:t>
            </w:r>
            <w:r w:rsidRPr="00021DD2">
              <w:rPr>
                <w:rFonts w:cs="Arial"/>
                <w:i/>
              </w:rPr>
              <w:t xml:space="preserve"> </w:t>
            </w:r>
            <w:r w:rsidRPr="00021DD2">
              <w:rPr>
                <w:rFonts w:cs="Arial"/>
              </w:rPr>
              <w:t>discussed above is the operative test in Queensland for determining whether a child can ac</w:t>
            </w:r>
            <w:r w:rsidR="0034345F">
              <w:rPr>
                <w:rFonts w:cs="Arial"/>
              </w:rPr>
              <w:t>cess contraception or abortion.</w:t>
            </w:r>
            <w:r w:rsidRPr="00021DD2">
              <w:rPr>
                <w:rFonts w:cs="Arial"/>
              </w:rPr>
              <w:t xml:space="preserve"> </w:t>
            </w:r>
          </w:p>
          <w:p w:rsidR="00AF4D46" w:rsidRPr="00021DD2" w:rsidRDefault="00AF4D46" w:rsidP="00AF4D46">
            <w:pPr>
              <w:rPr>
                <w:rFonts w:cs="Arial"/>
                <w:b/>
              </w:rPr>
            </w:pPr>
            <w:r w:rsidRPr="00021DD2">
              <w:rPr>
                <w:rFonts w:cs="Arial"/>
                <w:b/>
                <w:i/>
              </w:rPr>
              <w:t>State of Queensland v B</w:t>
            </w:r>
            <w:r w:rsidRPr="00021DD2">
              <w:rPr>
                <w:rFonts w:cs="Arial"/>
                <w:b/>
              </w:rPr>
              <w:t xml:space="preserve"> [2008] QSC 231</w:t>
            </w:r>
          </w:p>
          <w:p w:rsidR="00AF4D46" w:rsidRPr="00021DD2" w:rsidRDefault="00AF4D46" w:rsidP="00AF4D46">
            <w:pPr>
              <w:rPr>
                <w:rFonts w:cs="Arial"/>
              </w:rPr>
            </w:pPr>
            <w:r w:rsidRPr="00021DD2">
              <w:rPr>
                <w:rFonts w:cs="Arial"/>
              </w:rPr>
              <w:t xml:space="preserve">State consent was necessary for medical abortions for a non-Gillick competent child under the court’s </w:t>
            </w:r>
            <w:r w:rsidRPr="00021DD2">
              <w:rPr>
                <w:rFonts w:cs="Arial"/>
                <w:i/>
              </w:rPr>
              <w:t>parens patri</w:t>
            </w:r>
            <w:r w:rsidR="00331F34">
              <w:rPr>
                <w:rFonts w:cs="Arial"/>
                <w:i/>
              </w:rPr>
              <w:t>a</w:t>
            </w:r>
            <w:r w:rsidRPr="00021DD2">
              <w:rPr>
                <w:rFonts w:cs="Arial"/>
                <w:i/>
              </w:rPr>
              <w:t>e</w:t>
            </w:r>
            <w:r w:rsidRPr="00021DD2">
              <w:rPr>
                <w:rFonts w:cs="Arial"/>
              </w:rPr>
              <w:t xml:space="preserve"> jurisdiction (which means that the </w:t>
            </w:r>
            <w:r w:rsidR="00331F34">
              <w:rPr>
                <w:rFonts w:cs="Arial"/>
              </w:rPr>
              <w:t>c</w:t>
            </w:r>
            <w:r w:rsidRPr="00021DD2">
              <w:rPr>
                <w:rFonts w:cs="Arial"/>
              </w:rPr>
              <w:t>ourt has the power to act on behalf of a person who cannot act for themselves).</w:t>
            </w:r>
          </w:p>
          <w:p w:rsidR="00AF4D46" w:rsidRPr="00021DD2" w:rsidRDefault="00AF4D46" w:rsidP="00AF4D46">
            <w:pPr>
              <w:rPr>
                <w:rFonts w:cs="Arial"/>
                <w:b/>
                <w:i/>
              </w:rPr>
            </w:pPr>
            <w:r w:rsidRPr="00021DD2">
              <w:rPr>
                <w:rFonts w:cs="Arial"/>
                <w:b/>
                <w:i/>
              </w:rPr>
              <w:t>Central Queensland Hospital and Health Service v Q [2016] QSC 89</w:t>
            </w:r>
          </w:p>
          <w:p w:rsidR="00AF4D46" w:rsidRPr="00021DD2" w:rsidRDefault="00AF4D46" w:rsidP="00AF4D46">
            <w:pPr>
              <w:rPr>
                <w:rFonts w:cs="Arial"/>
              </w:rPr>
            </w:pPr>
            <w:r w:rsidRPr="00021DD2">
              <w:rPr>
                <w:rFonts w:cs="Arial"/>
              </w:rPr>
              <w:t xml:space="preserve">Parents cannot consent to the termination of the pregnancy of a non-Gillick competent child; the court must make that decision. This case also includes a discussion of the effect of the relevant provisions under the </w:t>
            </w:r>
            <w:r w:rsidRPr="00021DD2">
              <w:rPr>
                <w:rFonts w:cs="Arial"/>
                <w:i/>
              </w:rPr>
              <w:t xml:space="preserve">Criminal Code Act 1899 </w:t>
            </w:r>
            <w:r w:rsidRPr="00021DD2">
              <w:rPr>
                <w:rFonts w:cs="Arial"/>
              </w:rPr>
              <w:t>(QLD) discussed above.</w:t>
            </w:r>
          </w:p>
        </w:tc>
      </w:tr>
      <w:tr w:rsidR="00AF4D46" w:rsidRPr="00021DD2" w:rsidTr="00AF4D46">
        <w:trPr>
          <w:cnfStyle w:val="000000010000" w:firstRow="0" w:lastRow="0" w:firstColumn="0" w:lastColumn="0" w:oddVBand="0" w:evenVBand="0" w:oddHBand="0" w:evenHBand="1" w:firstRowFirstColumn="0" w:firstRowLastColumn="0" w:lastRowFirstColumn="0" w:lastRowLastColumn="0"/>
        </w:trPr>
        <w:tc>
          <w:tcPr>
            <w:tcW w:w="2410" w:type="dxa"/>
          </w:tcPr>
          <w:p w:rsidR="00AF4D46" w:rsidRPr="00021DD2" w:rsidRDefault="00AF4D46" w:rsidP="00AF4D46">
            <w:pPr>
              <w:rPr>
                <w:rFonts w:cs="Arial"/>
              </w:rPr>
            </w:pPr>
            <w:r w:rsidRPr="00021DD2">
              <w:rPr>
                <w:rFonts w:cs="Arial"/>
              </w:rPr>
              <w:t>Other relevant information</w:t>
            </w:r>
          </w:p>
        </w:tc>
        <w:tc>
          <w:tcPr>
            <w:tcW w:w="6657" w:type="dxa"/>
          </w:tcPr>
          <w:p w:rsidR="00AF4D46" w:rsidRPr="00021DD2" w:rsidRDefault="00AF4D46" w:rsidP="00AF4D46">
            <w:pPr>
              <w:rPr>
                <w:rFonts w:cs="Arial"/>
              </w:rPr>
            </w:pPr>
            <w:r w:rsidRPr="00021DD2">
              <w:rPr>
                <w:rFonts w:cs="Arial"/>
              </w:rPr>
              <w:t>Not applicable.</w:t>
            </w:r>
          </w:p>
        </w:tc>
      </w:tr>
      <w:tr w:rsidR="00AF4D46" w:rsidRPr="00021DD2" w:rsidTr="00AF4D46">
        <w:trPr>
          <w:cnfStyle w:val="000000100000" w:firstRow="0" w:lastRow="0" w:firstColumn="0" w:lastColumn="0" w:oddVBand="0" w:evenVBand="0" w:oddHBand="1" w:evenHBand="0" w:firstRowFirstColumn="0" w:firstRowLastColumn="0" w:lastRowFirstColumn="0" w:lastRowLastColumn="0"/>
        </w:trPr>
        <w:tc>
          <w:tcPr>
            <w:tcW w:w="9067" w:type="dxa"/>
            <w:gridSpan w:val="2"/>
          </w:tcPr>
          <w:p w:rsidR="00AF4D46" w:rsidRPr="00021DD2" w:rsidRDefault="00AF4D46" w:rsidP="00AF4D46">
            <w:pPr>
              <w:rPr>
                <w:rFonts w:cs="Arial"/>
                <w:b/>
              </w:rPr>
            </w:pPr>
            <w:r w:rsidRPr="00021DD2">
              <w:rPr>
                <w:rFonts w:cs="Arial"/>
                <w:b/>
              </w:rPr>
              <w:t>Victoria</w:t>
            </w:r>
          </w:p>
        </w:tc>
      </w:tr>
      <w:tr w:rsidR="00AF4D46" w:rsidRPr="00021DD2" w:rsidTr="00AF4D46">
        <w:trPr>
          <w:cnfStyle w:val="000000010000" w:firstRow="0" w:lastRow="0" w:firstColumn="0" w:lastColumn="0" w:oddVBand="0" w:evenVBand="0" w:oddHBand="0" w:evenHBand="1" w:firstRowFirstColumn="0" w:firstRowLastColumn="0" w:lastRowFirstColumn="0" w:lastRowLastColumn="0"/>
        </w:trPr>
        <w:tc>
          <w:tcPr>
            <w:tcW w:w="2410" w:type="dxa"/>
          </w:tcPr>
          <w:p w:rsidR="00AF4D46" w:rsidRPr="00021DD2" w:rsidRDefault="00AF4D46" w:rsidP="00AF4D46">
            <w:pPr>
              <w:rPr>
                <w:rFonts w:cs="Arial"/>
              </w:rPr>
            </w:pPr>
            <w:r w:rsidRPr="00021DD2">
              <w:rPr>
                <w:rFonts w:cs="Arial"/>
              </w:rPr>
              <w:t xml:space="preserve">Legislative provisions </w:t>
            </w:r>
          </w:p>
        </w:tc>
        <w:tc>
          <w:tcPr>
            <w:tcW w:w="6657" w:type="dxa"/>
          </w:tcPr>
          <w:p w:rsidR="00AF4D46" w:rsidRPr="00021DD2" w:rsidRDefault="00AF4D46" w:rsidP="00AF4D46">
            <w:pPr>
              <w:rPr>
                <w:rFonts w:cs="Arial"/>
                <w:b/>
              </w:rPr>
            </w:pPr>
            <w:r w:rsidRPr="00021DD2">
              <w:rPr>
                <w:rFonts w:cs="Arial"/>
                <w:b/>
                <w:i/>
              </w:rPr>
              <w:t xml:space="preserve">Age of Majority Act 1977 </w:t>
            </w:r>
            <w:r w:rsidRPr="00021DD2">
              <w:rPr>
                <w:rFonts w:cs="Arial"/>
                <w:b/>
              </w:rPr>
              <w:t>(VIC)</w:t>
            </w:r>
          </w:p>
          <w:p w:rsidR="00AF4D46" w:rsidRPr="00021DD2" w:rsidRDefault="00AF4D46" w:rsidP="00AF4D46">
            <w:pPr>
              <w:rPr>
                <w:rFonts w:cs="Arial"/>
                <w:i/>
              </w:rPr>
            </w:pPr>
            <w:r w:rsidRPr="00021DD2">
              <w:rPr>
                <w:rFonts w:cs="Arial"/>
                <w:i/>
              </w:rPr>
              <w:t>Section 3 – Persons of age of eighteen years or more to have full legal capacity</w:t>
            </w:r>
          </w:p>
          <w:p w:rsidR="00AF4D46" w:rsidRPr="00021DD2" w:rsidRDefault="00AF4D46" w:rsidP="00B934D7">
            <w:pPr>
              <w:pStyle w:val="Paragrafoelenco"/>
              <w:numPr>
                <w:ilvl w:val="0"/>
                <w:numId w:val="80"/>
              </w:numPr>
              <w:spacing w:before="120" w:after="120"/>
              <w:contextualSpacing w:val="0"/>
              <w:jc w:val="left"/>
            </w:pPr>
            <w:r w:rsidRPr="00021DD2">
              <w:t>Subject to this section for all the purposes of the laws of the State –</w:t>
            </w:r>
          </w:p>
          <w:p w:rsidR="00AF4D46" w:rsidRPr="00021DD2" w:rsidRDefault="00AF4D46" w:rsidP="00B934D7">
            <w:pPr>
              <w:pStyle w:val="Paragrafoelenco"/>
              <w:numPr>
                <w:ilvl w:val="0"/>
                <w:numId w:val="81"/>
              </w:numPr>
              <w:spacing w:before="120" w:after="120"/>
              <w:contextualSpacing w:val="0"/>
              <w:jc w:val="left"/>
            </w:pPr>
            <w:r w:rsidRPr="00021DD2">
              <w:t>a person who, on or after the day of commencement of this Act attains the age of eighteen years, attains full age and full capacity on attaining that age;</w:t>
            </w:r>
          </w:p>
          <w:p w:rsidR="00AF4D46" w:rsidRPr="00021DD2" w:rsidRDefault="00AF4D46" w:rsidP="00B934D7">
            <w:pPr>
              <w:pStyle w:val="Paragrafoelenco"/>
              <w:numPr>
                <w:ilvl w:val="0"/>
                <w:numId w:val="81"/>
              </w:numPr>
              <w:spacing w:before="120" w:after="120"/>
              <w:contextualSpacing w:val="0"/>
              <w:jc w:val="left"/>
            </w:pPr>
            <w:r w:rsidRPr="00021DD2">
              <w:t>a person, who on the day of commencement of this Act is of or over the age of eighteen years, but under the age of twenty-one years, attains full age and full capacity on that day;</w:t>
            </w:r>
          </w:p>
          <w:p w:rsidR="00AF4D46" w:rsidRPr="00021DD2" w:rsidRDefault="00AF4D46" w:rsidP="00B934D7">
            <w:pPr>
              <w:pStyle w:val="Paragrafoelenco"/>
              <w:numPr>
                <w:ilvl w:val="0"/>
                <w:numId w:val="81"/>
              </w:numPr>
              <w:spacing w:before="120" w:after="120"/>
              <w:contextualSpacing w:val="0"/>
              <w:jc w:val="left"/>
            </w:pPr>
            <w:r w:rsidRPr="00021DD2">
              <w:t xml:space="preserve">the expression </w:t>
            </w:r>
            <w:r w:rsidRPr="00021DD2">
              <w:rPr>
                <w:b/>
                <w:i/>
              </w:rPr>
              <w:t xml:space="preserve">minor </w:t>
            </w:r>
            <w:r w:rsidRPr="00021DD2">
              <w:t>means a person not of full age.</w:t>
            </w:r>
          </w:p>
          <w:p w:rsidR="00AF4D46" w:rsidRPr="00021DD2" w:rsidRDefault="00AF4D46" w:rsidP="00AF4D46">
            <w:pPr>
              <w:ind w:left="720"/>
              <w:rPr>
                <w:rFonts w:cs="Arial"/>
              </w:rPr>
            </w:pPr>
            <w:r w:rsidRPr="00021DD2">
              <w:rPr>
                <w:rFonts w:cs="Arial"/>
              </w:rPr>
              <w:t>…</w:t>
            </w:r>
          </w:p>
          <w:p w:rsidR="00AF4D46" w:rsidRPr="00021DD2" w:rsidRDefault="00AF4D46" w:rsidP="00AF4D46">
            <w:pPr>
              <w:rPr>
                <w:rFonts w:cs="Arial"/>
                <w:b/>
              </w:rPr>
            </w:pPr>
            <w:r w:rsidRPr="00021DD2">
              <w:rPr>
                <w:rFonts w:cs="Arial"/>
                <w:b/>
                <w:i/>
              </w:rPr>
              <w:t xml:space="preserve">Abortion Law Reform Act 2008 </w:t>
            </w:r>
            <w:r w:rsidRPr="00021DD2">
              <w:rPr>
                <w:rFonts w:cs="Arial"/>
                <w:b/>
              </w:rPr>
              <w:t>(VIC)</w:t>
            </w:r>
          </w:p>
          <w:p w:rsidR="00AF4D46" w:rsidRPr="00021DD2" w:rsidRDefault="00AF4D46" w:rsidP="00AF4D46">
            <w:pPr>
              <w:rPr>
                <w:rFonts w:cs="Arial"/>
                <w:i/>
              </w:rPr>
            </w:pPr>
            <w:r w:rsidRPr="00021DD2">
              <w:rPr>
                <w:rFonts w:cs="Arial"/>
                <w:i/>
              </w:rPr>
              <w:t>Section 4- Termination of pregnancy by registered medical practitioner at not more than 24 weeks</w:t>
            </w:r>
          </w:p>
          <w:p w:rsidR="00AF4D46" w:rsidRPr="00021DD2" w:rsidRDefault="00AF4D46" w:rsidP="00AF4D46">
            <w:pPr>
              <w:rPr>
                <w:rFonts w:cs="Arial"/>
              </w:rPr>
            </w:pPr>
            <w:r w:rsidRPr="00021DD2">
              <w:rPr>
                <w:rFonts w:cs="Arial"/>
              </w:rPr>
              <w:t>A registered practitioner may perform an abortion on a woman who is not more than 24 weeks pregnant.</w:t>
            </w:r>
          </w:p>
        </w:tc>
      </w:tr>
      <w:tr w:rsidR="00AF4D46" w:rsidRPr="00021DD2" w:rsidTr="00AF4D46">
        <w:trPr>
          <w:cnfStyle w:val="000000100000" w:firstRow="0" w:lastRow="0" w:firstColumn="0" w:lastColumn="0" w:oddVBand="0" w:evenVBand="0" w:oddHBand="1" w:evenHBand="0" w:firstRowFirstColumn="0" w:firstRowLastColumn="0" w:lastRowFirstColumn="0" w:lastRowLastColumn="0"/>
        </w:trPr>
        <w:tc>
          <w:tcPr>
            <w:tcW w:w="2410" w:type="dxa"/>
          </w:tcPr>
          <w:p w:rsidR="00AF4D46" w:rsidRPr="00021DD2" w:rsidRDefault="00AF4D46" w:rsidP="00AF4D46">
            <w:pPr>
              <w:rPr>
                <w:rFonts w:cs="Arial"/>
              </w:rPr>
            </w:pPr>
            <w:r w:rsidRPr="00021DD2">
              <w:rPr>
                <w:rFonts w:cs="Arial"/>
              </w:rPr>
              <w:t>Case law</w:t>
            </w:r>
          </w:p>
        </w:tc>
        <w:tc>
          <w:tcPr>
            <w:tcW w:w="6657" w:type="dxa"/>
          </w:tcPr>
          <w:p w:rsidR="00AF4D46" w:rsidRPr="00021DD2" w:rsidRDefault="00AF4D46" w:rsidP="00AF4D46">
            <w:pPr>
              <w:rPr>
                <w:rFonts w:cs="Arial"/>
              </w:rPr>
            </w:pPr>
            <w:r w:rsidRPr="00021DD2">
              <w:rPr>
                <w:rFonts w:cs="Arial"/>
              </w:rPr>
              <w:t xml:space="preserve">The Gillick test (as approved in </w:t>
            </w:r>
            <w:r w:rsidRPr="00021DD2">
              <w:rPr>
                <w:rFonts w:cs="Arial"/>
                <w:i/>
              </w:rPr>
              <w:t>Marion</w:t>
            </w:r>
            <w:r w:rsidRPr="00021DD2">
              <w:rPr>
                <w:rFonts w:cs="Arial"/>
              </w:rPr>
              <w:t xml:space="preserve">’s </w:t>
            </w:r>
            <w:r w:rsidRPr="00021DD2">
              <w:rPr>
                <w:rFonts w:cs="Arial"/>
                <w:i/>
              </w:rPr>
              <w:t>Case</w:t>
            </w:r>
            <w:r w:rsidRPr="00021DD2">
              <w:rPr>
                <w:rFonts w:cs="Arial"/>
              </w:rPr>
              <w:t>)</w:t>
            </w:r>
            <w:r w:rsidRPr="00021DD2">
              <w:rPr>
                <w:rFonts w:cs="Arial"/>
                <w:i/>
              </w:rPr>
              <w:t xml:space="preserve"> </w:t>
            </w:r>
            <w:r w:rsidRPr="00021DD2">
              <w:rPr>
                <w:rFonts w:cs="Arial"/>
              </w:rPr>
              <w:t>discussed above is the operative test in Victoria for determining whether a child can access contraception or abortion.</w:t>
            </w:r>
            <w:r w:rsidRPr="00021DD2">
              <w:rPr>
                <w:rStyle w:val="Rimandonotadichiusura"/>
                <w:rFonts w:cs="Arial"/>
              </w:rPr>
              <w:endnoteReference w:id="845"/>
            </w:r>
          </w:p>
          <w:p w:rsidR="00AF4D46" w:rsidRPr="00021DD2" w:rsidRDefault="00AF4D46" w:rsidP="00AF4D46">
            <w:pPr>
              <w:rPr>
                <w:rFonts w:cs="Arial"/>
              </w:rPr>
            </w:pPr>
            <w:r w:rsidRPr="00021DD2">
              <w:rPr>
                <w:rFonts w:cs="Arial"/>
                <w:b/>
                <w:i/>
              </w:rPr>
              <w:t xml:space="preserve">R v Davidson </w:t>
            </w:r>
            <w:r w:rsidRPr="00021DD2">
              <w:rPr>
                <w:rFonts w:cs="Arial"/>
                <w:b/>
              </w:rPr>
              <w:t>[1969] VicRP 85</w:t>
            </w:r>
          </w:p>
          <w:p w:rsidR="00AF4D46" w:rsidRPr="00021DD2" w:rsidRDefault="00AF4D46" w:rsidP="00AF4D46">
            <w:pPr>
              <w:rPr>
                <w:rFonts w:cs="Arial"/>
              </w:rPr>
            </w:pPr>
            <w:r w:rsidRPr="00021DD2">
              <w:rPr>
                <w:rFonts w:cs="Arial"/>
              </w:rPr>
              <w:t>Abortion is lawful if the practitioner honestly believes on reasonable grounds that it is necessary to preserve the woman from serious danger to her physical and mental health and is not out of proportion to the danger avoided.</w:t>
            </w:r>
          </w:p>
          <w:p w:rsidR="00AF4D46" w:rsidRPr="00021DD2" w:rsidRDefault="00AF4D46" w:rsidP="00AF4D46">
            <w:pPr>
              <w:rPr>
                <w:rFonts w:cs="Arial"/>
              </w:rPr>
            </w:pPr>
            <w:r w:rsidRPr="00021DD2">
              <w:rPr>
                <w:rFonts w:cs="Arial"/>
              </w:rPr>
              <w:t xml:space="preserve">Although overruled by the </w:t>
            </w:r>
            <w:r w:rsidRPr="00021DD2">
              <w:rPr>
                <w:rFonts w:cs="Arial"/>
                <w:i/>
              </w:rPr>
              <w:t>Abortion Law Reform Act 2008</w:t>
            </w:r>
            <w:r w:rsidRPr="00021DD2">
              <w:rPr>
                <w:rFonts w:cs="Arial"/>
              </w:rPr>
              <w:t xml:space="preserve"> (Vic), this case is still used as authority in other jurisdictions such as New South Wales and Queensland.</w:t>
            </w:r>
          </w:p>
        </w:tc>
      </w:tr>
      <w:tr w:rsidR="00AF4D46" w:rsidRPr="00021DD2" w:rsidTr="00AF4D46">
        <w:trPr>
          <w:cnfStyle w:val="000000010000" w:firstRow="0" w:lastRow="0" w:firstColumn="0" w:lastColumn="0" w:oddVBand="0" w:evenVBand="0" w:oddHBand="0" w:evenHBand="1" w:firstRowFirstColumn="0" w:firstRowLastColumn="0" w:lastRowFirstColumn="0" w:lastRowLastColumn="0"/>
        </w:trPr>
        <w:tc>
          <w:tcPr>
            <w:tcW w:w="2410" w:type="dxa"/>
          </w:tcPr>
          <w:p w:rsidR="00AF4D46" w:rsidRPr="00021DD2" w:rsidRDefault="00AF4D46" w:rsidP="00AF4D46">
            <w:pPr>
              <w:rPr>
                <w:rFonts w:cs="Arial"/>
              </w:rPr>
            </w:pPr>
            <w:r w:rsidRPr="00021DD2">
              <w:rPr>
                <w:rFonts w:cs="Arial"/>
              </w:rPr>
              <w:t>Other relevant information</w:t>
            </w:r>
          </w:p>
        </w:tc>
        <w:tc>
          <w:tcPr>
            <w:tcW w:w="6657" w:type="dxa"/>
          </w:tcPr>
          <w:p w:rsidR="00AF4D46" w:rsidRPr="00021DD2" w:rsidRDefault="00AF4D46" w:rsidP="00AF4D46">
            <w:pPr>
              <w:rPr>
                <w:rFonts w:cs="Arial"/>
              </w:rPr>
            </w:pPr>
            <w:r w:rsidRPr="00021DD2">
              <w:rPr>
                <w:rFonts w:cs="Arial"/>
              </w:rPr>
              <w:t>Not applicable.</w:t>
            </w:r>
          </w:p>
        </w:tc>
      </w:tr>
      <w:tr w:rsidR="00AF4D46" w:rsidRPr="00021DD2" w:rsidTr="00AF4D46">
        <w:trPr>
          <w:cnfStyle w:val="000000100000" w:firstRow="0" w:lastRow="0" w:firstColumn="0" w:lastColumn="0" w:oddVBand="0" w:evenVBand="0" w:oddHBand="1" w:evenHBand="0" w:firstRowFirstColumn="0" w:firstRowLastColumn="0" w:lastRowFirstColumn="0" w:lastRowLastColumn="0"/>
        </w:trPr>
        <w:tc>
          <w:tcPr>
            <w:tcW w:w="9067" w:type="dxa"/>
            <w:gridSpan w:val="2"/>
          </w:tcPr>
          <w:p w:rsidR="00AF4D46" w:rsidRPr="00021DD2" w:rsidRDefault="00AF4D46" w:rsidP="00AF4D46">
            <w:pPr>
              <w:rPr>
                <w:rFonts w:cs="Arial"/>
              </w:rPr>
            </w:pPr>
            <w:r w:rsidRPr="00021DD2">
              <w:rPr>
                <w:rFonts w:cs="Arial"/>
                <w:b/>
              </w:rPr>
              <w:t>Australian Capital Territory</w:t>
            </w:r>
          </w:p>
        </w:tc>
      </w:tr>
      <w:tr w:rsidR="00AF4D46" w:rsidRPr="00021DD2" w:rsidTr="00AF4D46">
        <w:trPr>
          <w:cnfStyle w:val="000000010000" w:firstRow="0" w:lastRow="0" w:firstColumn="0" w:lastColumn="0" w:oddVBand="0" w:evenVBand="0" w:oddHBand="0" w:evenHBand="1" w:firstRowFirstColumn="0" w:firstRowLastColumn="0" w:lastRowFirstColumn="0" w:lastRowLastColumn="0"/>
        </w:trPr>
        <w:tc>
          <w:tcPr>
            <w:tcW w:w="2410" w:type="dxa"/>
          </w:tcPr>
          <w:p w:rsidR="00AF4D46" w:rsidRPr="00021DD2" w:rsidRDefault="00AF4D46" w:rsidP="00AF4D46">
            <w:pPr>
              <w:rPr>
                <w:rFonts w:cs="Arial"/>
                <w:b/>
              </w:rPr>
            </w:pPr>
            <w:r w:rsidRPr="00021DD2">
              <w:rPr>
                <w:rFonts w:cs="Arial"/>
              </w:rPr>
              <w:t xml:space="preserve">Legislative provisions </w:t>
            </w:r>
          </w:p>
        </w:tc>
        <w:tc>
          <w:tcPr>
            <w:tcW w:w="6657" w:type="dxa"/>
          </w:tcPr>
          <w:p w:rsidR="00AF4D46" w:rsidRPr="00021DD2" w:rsidRDefault="00AF4D46" w:rsidP="00AF4D46">
            <w:pPr>
              <w:rPr>
                <w:rFonts w:cs="Arial"/>
                <w:b/>
              </w:rPr>
            </w:pPr>
            <w:r w:rsidRPr="00021DD2">
              <w:rPr>
                <w:rFonts w:cs="Arial"/>
                <w:b/>
                <w:i/>
              </w:rPr>
              <w:t xml:space="preserve">Age of Majority Act 1974 </w:t>
            </w:r>
            <w:r w:rsidRPr="00021DD2">
              <w:rPr>
                <w:rFonts w:cs="Arial"/>
                <w:b/>
              </w:rPr>
              <w:t>(ACT)</w:t>
            </w:r>
          </w:p>
          <w:p w:rsidR="00AF4D46" w:rsidRPr="00021DD2" w:rsidRDefault="00AF4D46" w:rsidP="00AF4D46">
            <w:pPr>
              <w:rPr>
                <w:rFonts w:cs="Arial"/>
                <w:i/>
              </w:rPr>
            </w:pPr>
            <w:r w:rsidRPr="00021DD2">
              <w:rPr>
                <w:rFonts w:cs="Arial"/>
                <w:i/>
              </w:rPr>
              <w:t>Section 5 – Age of majority 18 years</w:t>
            </w:r>
          </w:p>
          <w:p w:rsidR="00AF4D46" w:rsidRPr="00021DD2" w:rsidRDefault="00AF4D46" w:rsidP="00B934D7">
            <w:pPr>
              <w:pStyle w:val="Paragrafoelenco"/>
              <w:numPr>
                <w:ilvl w:val="0"/>
                <w:numId w:val="82"/>
              </w:numPr>
              <w:spacing w:before="120" w:after="120"/>
              <w:contextualSpacing w:val="0"/>
              <w:jc w:val="left"/>
            </w:pPr>
            <w:r w:rsidRPr="00021DD2">
              <w:t>Subject to this Act, a person attains full age for all purposes of the law of the Territory when the person attains the age of 18 years.</w:t>
            </w:r>
          </w:p>
          <w:p w:rsidR="00AF4D46" w:rsidRPr="00021DD2" w:rsidRDefault="00AF4D46" w:rsidP="00B934D7">
            <w:pPr>
              <w:pStyle w:val="Paragrafoelenco"/>
              <w:numPr>
                <w:ilvl w:val="0"/>
                <w:numId w:val="82"/>
              </w:numPr>
              <w:spacing w:before="120" w:after="120"/>
              <w:contextualSpacing w:val="0"/>
              <w:jc w:val="left"/>
            </w:pPr>
            <w:r w:rsidRPr="00021DD2">
              <w:t>A person who has attained the age of 18 years is not subject to any want of legal capacity only because of the person’s age.</w:t>
            </w:r>
          </w:p>
          <w:p w:rsidR="00AF4D46" w:rsidRPr="00021DD2" w:rsidRDefault="00AF4D46" w:rsidP="00AF4D46">
            <w:pPr>
              <w:pStyle w:val="Paragrafoelenco"/>
            </w:pPr>
            <w:r w:rsidRPr="00021DD2">
              <w:t>…</w:t>
            </w:r>
          </w:p>
          <w:p w:rsidR="00AF4D46" w:rsidRPr="00021DD2" w:rsidRDefault="00AF4D46" w:rsidP="00AF4D46">
            <w:pPr>
              <w:rPr>
                <w:rFonts w:cs="Arial"/>
              </w:rPr>
            </w:pPr>
            <w:r w:rsidRPr="00021DD2">
              <w:rPr>
                <w:rFonts w:cs="Arial"/>
              </w:rPr>
              <w:t>Abortions are no longer illegal in the Australian Capital Territory.</w:t>
            </w:r>
          </w:p>
        </w:tc>
      </w:tr>
      <w:tr w:rsidR="00AF4D46" w:rsidRPr="00021DD2" w:rsidTr="00AF4D46">
        <w:trPr>
          <w:cnfStyle w:val="000000100000" w:firstRow="0" w:lastRow="0" w:firstColumn="0" w:lastColumn="0" w:oddVBand="0" w:evenVBand="0" w:oddHBand="1" w:evenHBand="0" w:firstRowFirstColumn="0" w:firstRowLastColumn="0" w:lastRowFirstColumn="0" w:lastRowLastColumn="0"/>
        </w:trPr>
        <w:tc>
          <w:tcPr>
            <w:tcW w:w="2410" w:type="dxa"/>
          </w:tcPr>
          <w:p w:rsidR="00AF4D46" w:rsidRPr="00021DD2" w:rsidRDefault="00AF4D46" w:rsidP="00AF4D46">
            <w:pPr>
              <w:rPr>
                <w:rFonts w:cs="Arial"/>
                <w:b/>
              </w:rPr>
            </w:pPr>
            <w:r w:rsidRPr="00021DD2">
              <w:rPr>
                <w:rFonts w:cs="Arial"/>
              </w:rPr>
              <w:t>Case law</w:t>
            </w:r>
          </w:p>
        </w:tc>
        <w:tc>
          <w:tcPr>
            <w:tcW w:w="6657" w:type="dxa"/>
          </w:tcPr>
          <w:p w:rsidR="00AF4D46" w:rsidRPr="00021DD2" w:rsidRDefault="00AF4D46" w:rsidP="00AF4D46">
            <w:pPr>
              <w:rPr>
                <w:rFonts w:cs="Arial"/>
              </w:rPr>
            </w:pPr>
            <w:r w:rsidRPr="00021DD2">
              <w:rPr>
                <w:rFonts w:cs="Arial"/>
              </w:rPr>
              <w:t xml:space="preserve">The Gillick test (as approved in </w:t>
            </w:r>
            <w:r w:rsidRPr="00021DD2">
              <w:rPr>
                <w:rFonts w:cs="Arial"/>
                <w:i/>
              </w:rPr>
              <w:t>Marion</w:t>
            </w:r>
            <w:r w:rsidRPr="00021DD2">
              <w:rPr>
                <w:rFonts w:cs="Arial"/>
              </w:rPr>
              <w:t xml:space="preserve">’s </w:t>
            </w:r>
            <w:r w:rsidRPr="00021DD2">
              <w:rPr>
                <w:rFonts w:cs="Arial"/>
                <w:i/>
              </w:rPr>
              <w:t>Case</w:t>
            </w:r>
            <w:r w:rsidRPr="00021DD2">
              <w:rPr>
                <w:rFonts w:cs="Arial"/>
              </w:rPr>
              <w:t>)</w:t>
            </w:r>
            <w:r w:rsidRPr="00021DD2">
              <w:rPr>
                <w:rFonts w:cs="Arial"/>
                <w:i/>
              </w:rPr>
              <w:t xml:space="preserve"> </w:t>
            </w:r>
            <w:r w:rsidRPr="00021DD2">
              <w:rPr>
                <w:rFonts w:cs="Arial"/>
              </w:rPr>
              <w:t>discussed above is the operative test in Queensland for determining whether a child can access contraception or abortion.</w:t>
            </w:r>
          </w:p>
        </w:tc>
      </w:tr>
      <w:tr w:rsidR="00AF4D46" w:rsidRPr="00021DD2" w:rsidTr="00AF4D46">
        <w:trPr>
          <w:cnfStyle w:val="000000010000" w:firstRow="0" w:lastRow="0" w:firstColumn="0" w:lastColumn="0" w:oddVBand="0" w:evenVBand="0" w:oddHBand="0" w:evenHBand="1" w:firstRowFirstColumn="0" w:firstRowLastColumn="0" w:lastRowFirstColumn="0" w:lastRowLastColumn="0"/>
        </w:trPr>
        <w:tc>
          <w:tcPr>
            <w:tcW w:w="2410" w:type="dxa"/>
          </w:tcPr>
          <w:p w:rsidR="00AF4D46" w:rsidRPr="00021DD2" w:rsidRDefault="00AF4D46" w:rsidP="00AF4D46">
            <w:pPr>
              <w:rPr>
                <w:rFonts w:cs="Arial"/>
                <w:b/>
              </w:rPr>
            </w:pPr>
            <w:r w:rsidRPr="00021DD2">
              <w:rPr>
                <w:rFonts w:cs="Arial"/>
              </w:rPr>
              <w:t>Other relevant information</w:t>
            </w:r>
          </w:p>
        </w:tc>
        <w:tc>
          <w:tcPr>
            <w:tcW w:w="6657" w:type="dxa"/>
          </w:tcPr>
          <w:p w:rsidR="00AF4D46" w:rsidRPr="00021DD2" w:rsidRDefault="00AF4D46" w:rsidP="00AF4D46">
            <w:pPr>
              <w:rPr>
                <w:rFonts w:cs="Arial"/>
              </w:rPr>
            </w:pPr>
            <w:r w:rsidRPr="00021DD2">
              <w:rPr>
                <w:rFonts w:cs="Arial"/>
              </w:rPr>
              <w:t>Not applicable.</w:t>
            </w:r>
          </w:p>
        </w:tc>
      </w:tr>
      <w:tr w:rsidR="00AF4D46" w:rsidRPr="00021DD2" w:rsidTr="00AF4D46">
        <w:trPr>
          <w:cnfStyle w:val="000000100000" w:firstRow="0" w:lastRow="0" w:firstColumn="0" w:lastColumn="0" w:oddVBand="0" w:evenVBand="0" w:oddHBand="1" w:evenHBand="0" w:firstRowFirstColumn="0" w:firstRowLastColumn="0" w:lastRowFirstColumn="0" w:lastRowLastColumn="0"/>
        </w:trPr>
        <w:tc>
          <w:tcPr>
            <w:tcW w:w="9067" w:type="dxa"/>
            <w:gridSpan w:val="2"/>
          </w:tcPr>
          <w:p w:rsidR="00AF4D46" w:rsidRPr="00021DD2" w:rsidRDefault="00AF4D46" w:rsidP="00AF4D46">
            <w:pPr>
              <w:rPr>
                <w:rFonts w:cs="Arial"/>
                <w:b/>
              </w:rPr>
            </w:pPr>
            <w:r w:rsidRPr="00021DD2">
              <w:rPr>
                <w:rFonts w:cs="Arial"/>
                <w:b/>
              </w:rPr>
              <w:t>Western Australia</w:t>
            </w:r>
          </w:p>
        </w:tc>
      </w:tr>
      <w:tr w:rsidR="00AF4D46" w:rsidRPr="00021DD2" w:rsidTr="00AF4D46">
        <w:trPr>
          <w:cnfStyle w:val="000000010000" w:firstRow="0" w:lastRow="0" w:firstColumn="0" w:lastColumn="0" w:oddVBand="0" w:evenVBand="0" w:oddHBand="0" w:evenHBand="1" w:firstRowFirstColumn="0" w:firstRowLastColumn="0" w:lastRowFirstColumn="0" w:lastRowLastColumn="0"/>
        </w:trPr>
        <w:tc>
          <w:tcPr>
            <w:tcW w:w="2410" w:type="dxa"/>
          </w:tcPr>
          <w:p w:rsidR="00AF4D46" w:rsidRPr="00021DD2" w:rsidRDefault="00AF4D46" w:rsidP="00AF4D46">
            <w:pPr>
              <w:rPr>
                <w:rFonts w:cs="Arial"/>
                <w:b/>
              </w:rPr>
            </w:pPr>
            <w:r w:rsidRPr="00021DD2">
              <w:rPr>
                <w:rFonts w:cs="Arial"/>
              </w:rPr>
              <w:t xml:space="preserve">Legislative provisions </w:t>
            </w:r>
          </w:p>
        </w:tc>
        <w:tc>
          <w:tcPr>
            <w:tcW w:w="6657" w:type="dxa"/>
          </w:tcPr>
          <w:p w:rsidR="00AF4D46" w:rsidRPr="00021DD2" w:rsidRDefault="00AF4D46" w:rsidP="00AF4D46">
            <w:pPr>
              <w:rPr>
                <w:rFonts w:cs="Arial"/>
              </w:rPr>
            </w:pPr>
            <w:r w:rsidRPr="00021DD2">
              <w:rPr>
                <w:rFonts w:cs="Arial"/>
                <w:b/>
              </w:rPr>
              <w:t>Summary:</w:t>
            </w:r>
          </w:p>
          <w:p w:rsidR="00AF4D46" w:rsidRPr="00021DD2" w:rsidRDefault="00AF4D46" w:rsidP="00AF4D46">
            <w:pPr>
              <w:rPr>
                <w:rFonts w:cs="Arial"/>
              </w:rPr>
            </w:pPr>
            <w:r w:rsidRPr="00021DD2">
              <w:rPr>
                <w:rFonts w:cs="Arial"/>
              </w:rPr>
              <w:t>In Western Australia, a child may obtain an abortion at up to 20 weeks of being pregnant if:</w:t>
            </w:r>
          </w:p>
          <w:p w:rsidR="00AF4D46" w:rsidRPr="00021DD2" w:rsidRDefault="00AF4D46" w:rsidP="00B934D7">
            <w:pPr>
              <w:pStyle w:val="Paragrafoelenco"/>
              <w:numPr>
                <w:ilvl w:val="0"/>
                <w:numId w:val="89"/>
              </w:numPr>
              <w:spacing w:before="120" w:after="120"/>
              <w:ind w:left="425"/>
              <w:contextualSpacing w:val="0"/>
              <w:jc w:val="left"/>
            </w:pPr>
            <w:r w:rsidRPr="00021DD2">
              <w:t>she gives informed consent, or</w:t>
            </w:r>
          </w:p>
          <w:p w:rsidR="00AF4D46" w:rsidRPr="00021DD2" w:rsidRDefault="00AF4D46" w:rsidP="00B934D7">
            <w:pPr>
              <w:pStyle w:val="Paragrafoelenco"/>
              <w:numPr>
                <w:ilvl w:val="0"/>
                <w:numId w:val="89"/>
              </w:numPr>
              <w:spacing w:before="120" w:after="120"/>
              <w:ind w:left="425"/>
              <w:contextualSpacing w:val="0"/>
              <w:jc w:val="left"/>
            </w:pPr>
            <w:r w:rsidRPr="00021DD2">
              <w:t>she will suffer serious personal, family or social consequences if the abortion is not performed, or</w:t>
            </w:r>
          </w:p>
          <w:p w:rsidR="00AF4D46" w:rsidRPr="00021DD2" w:rsidRDefault="00AF4D46" w:rsidP="00B934D7">
            <w:pPr>
              <w:pStyle w:val="Paragrafoelenco"/>
              <w:numPr>
                <w:ilvl w:val="0"/>
                <w:numId w:val="89"/>
              </w:numPr>
              <w:spacing w:before="120" w:after="120"/>
              <w:ind w:left="425"/>
              <w:contextualSpacing w:val="0"/>
              <w:jc w:val="left"/>
            </w:pPr>
            <w:r w:rsidRPr="00021DD2">
              <w:t>there will be serious danger to her physical or mental health if the abortion is not performed, or</w:t>
            </w:r>
          </w:p>
          <w:p w:rsidR="00AF4D46" w:rsidRPr="00021DD2" w:rsidRDefault="00AF4D46" w:rsidP="00B934D7">
            <w:pPr>
              <w:pStyle w:val="Paragrafoelenco"/>
              <w:numPr>
                <w:ilvl w:val="0"/>
                <w:numId w:val="89"/>
              </w:numPr>
              <w:spacing w:before="120" w:after="120"/>
              <w:ind w:left="425"/>
              <w:contextualSpacing w:val="0"/>
              <w:jc w:val="left"/>
            </w:pPr>
            <w:r w:rsidRPr="00021DD2">
              <w:t>the pregnancy is causing serious danger to her physical or mental health.</w:t>
            </w:r>
          </w:p>
          <w:p w:rsidR="00AF4D46" w:rsidRPr="00021DD2" w:rsidRDefault="00AF4D46" w:rsidP="00AF4D46">
            <w:pPr>
              <w:rPr>
                <w:rFonts w:cs="Arial"/>
              </w:rPr>
            </w:pPr>
            <w:r w:rsidRPr="00021DD2">
              <w:rPr>
                <w:rFonts w:cs="Arial"/>
              </w:rPr>
              <w:t>If the child is under the age of 16 years and financially supported by her parents (ie a dependant minor), a parent or guardian must be informed, or the child can apply to the Children’s Court for an order that it is not suitable to involve her parents or guardian and that the abortion should proceed.</w:t>
            </w:r>
          </w:p>
          <w:p w:rsidR="00AF4D46" w:rsidRPr="00021DD2" w:rsidRDefault="00AF4D46" w:rsidP="00AF4D46">
            <w:pPr>
              <w:rPr>
                <w:rFonts w:cs="Arial"/>
                <w:b/>
                <w:i/>
              </w:rPr>
            </w:pPr>
            <w:r w:rsidRPr="00021DD2">
              <w:rPr>
                <w:rFonts w:cs="Arial"/>
              </w:rPr>
              <w:t>After 20 weeks, abortions are only lawful if at least two doctors from an appointed panel agree that the mother of the unborn child has a severe medical condition which justifies the abortion.</w:t>
            </w:r>
          </w:p>
          <w:p w:rsidR="00AF4D46" w:rsidRPr="00021DD2" w:rsidRDefault="00AF4D46" w:rsidP="00AF4D46">
            <w:pPr>
              <w:rPr>
                <w:rFonts w:cs="Arial"/>
                <w:b/>
              </w:rPr>
            </w:pPr>
            <w:r w:rsidRPr="00021DD2">
              <w:rPr>
                <w:rFonts w:cs="Arial"/>
                <w:b/>
                <w:i/>
              </w:rPr>
              <w:t xml:space="preserve">Age of Majority Act 1972 </w:t>
            </w:r>
            <w:r w:rsidRPr="00021DD2">
              <w:rPr>
                <w:rFonts w:cs="Arial"/>
                <w:b/>
              </w:rPr>
              <w:t>(WA)</w:t>
            </w:r>
          </w:p>
          <w:p w:rsidR="00AF4D46" w:rsidRPr="00021DD2" w:rsidRDefault="00AF4D46" w:rsidP="00AF4D46">
            <w:pPr>
              <w:rPr>
                <w:rFonts w:cs="Arial"/>
                <w:i/>
              </w:rPr>
            </w:pPr>
            <w:r w:rsidRPr="00021DD2">
              <w:rPr>
                <w:rFonts w:cs="Arial"/>
                <w:i/>
              </w:rPr>
              <w:t>Section 5 - Persons of age of 18 years or more to have full legal capacity</w:t>
            </w:r>
          </w:p>
          <w:p w:rsidR="00AF4D46" w:rsidRPr="00021DD2" w:rsidRDefault="00AF4D46" w:rsidP="00AF4D46">
            <w:pPr>
              <w:rPr>
                <w:rFonts w:cs="Arial"/>
                <w:color w:val="000000"/>
                <w:szCs w:val="18"/>
              </w:rPr>
            </w:pPr>
            <w:r w:rsidRPr="00021DD2">
              <w:rPr>
                <w:rFonts w:cs="Arial"/>
                <w:color w:val="000000"/>
                <w:szCs w:val="18"/>
              </w:rPr>
              <w:t xml:space="preserve">(1) Subject to the succeeding provisions of this section, for all the purposes of the laws of the State —  </w:t>
            </w:r>
          </w:p>
          <w:p w:rsidR="00AF4D46" w:rsidRPr="00021DD2" w:rsidRDefault="00AF4D46" w:rsidP="0034345F">
            <w:pPr>
              <w:pStyle w:val="Paragrafoelenco"/>
              <w:ind w:left="405"/>
              <w:jc w:val="left"/>
              <w:rPr>
                <w:color w:val="000000"/>
                <w:szCs w:val="18"/>
              </w:rPr>
            </w:pPr>
            <w:r w:rsidRPr="00021DD2">
              <w:rPr>
                <w:color w:val="000000"/>
                <w:szCs w:val="18"/>
              </w:rPr>
              <w:t xml:space="preserve">(a) a person who, on or after the commencing day, attains the age of 18 years attains full age and full capacity on attaining that age; and </w:t>
            </w:r>
          </w:p>
          <w:p w:rsidR="00AF4D46" w:rsidRPr="00021DD2" w:rsidRDefault="00AF4D46" w:rsidP="0034345F">
            <w:pPr>
              <w:pStyle w:val="Paragrafoelenco"/>
              <w:ind w:left="405"/>
              <w:jc w:val="left"/>
              <w:rPr>
                <w:color w:val="000000"/>
                <w:szCs w:val="18"/>
              </w:rPr>
            </w:pPr>
            <w:r w:rsidRPr="00021DD2">
              <w:rPr>
                <w:color w:val="000000"/>
                <w:szCs w:val="18"/>
              </w:rPr>
              <w:t>(b) a person who, on the commencing day, is of or over the age of 18 years but under the age of 21 years attains full age and full capacity on that day.</w:t>
            </w:r>
          </w:p>
          <w:p w:rsidR="00AF4D46" w:rsidRPr="00021DD2" w:rsidRDefault="00AF4D46" w:rsidP="00AF4D46">
            <w:pPr>
              <w:rPr>
                <w:rFonts w:cs="Arial"/>
                <w:b/>
              </w:rPr>
            </w:pPr>
            <w:r w:rsidRPr="00021DD2">
              <w:rPr>
                <w:rFonts w:cs="Arial"/>
                <w:b/>
                <w:i/>
              </w:rPr>
              <w:t xml:space="preserve">Health Act 1911 </w:t>
            </w:r>
            <w:r w:rsidRPr="00021DD2">
              <w:rPr>
                <w:rFonts w:cs="Arial"/>
                <w:b/>
              </w:rPr>
              <w:t>(WA)</w:t>
            </w:r>
          </w:p>
          <w:p w:rsidR="00AF4D46" w:rsidRPr="00021DD2" w:rsidRDefault="00AF4D46" w:rsidP="00AF4D46">
            <w:pPr>
              <w:rPr>
                <w:rFonts w:cs="Arial"/>
                <w:i/>
              </w:rPr>
            </w:pPr>
            <w:r w:rsidRPr="00021DD2">
              <w:rPr>
                <w:rFonts w:cs="Arial"/>
                <w:i/>
              </w:rPr>
              <w:t xml:space="preserve">Section 334 - Performance of abortions </w:t>
            </w:r>
          </w:p>
          <w:p w:rsidR="00AF4D46" w:rsidRPr="00021DD2" w:rsidRDefault="00AF4D46" w:rsidP="00AF4D46">
            <w:pPr>
              <w:ind w:left="284" w:hanging="284"/>
              <w:rPr>
                <w:rFonts w:cs="Arial"/>
              </w:rPr>
            </w:pPr>
            <w:r w:rsidRPr="00021DD2">
              <w:rPr>
                <w:rFonts w:cs="Arial"/>
              </w:rPr>
              <w:t xml:space="preserve">(1) A reference in this section to performing an abortion includes a reference to — </w:t>
            </w:r>
          </w:p>
          <w:p w:rsidR="00AF4D46" w:rsidRPr="00021DD2" w:rsidRDefault="00AF4D46" w:rsidP="00B934D7">
            <w:pPr>
              <w:pStyle w:val="Paragrafoelenco"/>
              <w:numPr>
                <w:ilvl w:val="0"/>
                <w:numId w:val="83"/>
              </w:numPr>
              <w:spacing w:before="120" w:after="120"/>
              <w:contextualSpacing w:val="0"/>
              <w:jc w:val="left"/>
            </w:pPr>
            <w:r w:rsidRPr="00021DD2">
              <w:t xml:space="preserve">attempting to perform an abortion; and </w:t>
            </w:r>
          </w:p>
          <w:p w:rsidR="00AF4D46" w:rsidRPr="00021DD2" w:rsidRDefault="00AF4D46" w:rsidP="00B934D7">
            <w:pPr>
              <w:pStyle w:val="Paragrafoelenco"/>
              <w:numPr>
                <w:ilvl w:val="0"/>
                <w:numId w:val="83"/>
              </w:numPr>
              <w:spacing w:before="120" w:after="120"/>
              <w:contextualSpacing w:val="0"/>
              <w:jc w:val="left"/>
            </w:pPr>
            <w:r w:rsidRPr="00021DD2">
              <w:t xml:space="preserve">doing any act with intent to procure an abortion, </w:t>
            </w:r>
          </w:p>
          <w:p w:rsidR="00AF4D46" w:rsidRPr="00021DD2" w:rsidRDefault="00AF4D46" w:rsidP="00AF4D46">
            <w:pPr>
              <w:ind w:left="737"/>
              <w:rPr>
                <w:rFonts w:cs="Arial"/>
              </w:rPr>
            </w:pPr>
            <w:r w:rsidRPr="00021DD2">
              <w:rPr>
                <w:rFonts w:cs="Arial"/>
              </w:rPr>
              <w:t xml:space="preserve">whether or not the woman concerned is pregnant. </w:t>
            </w:r>
          </w:p>
          <w:p w:rsidR="00AF4D46" w:rsidRPr="00021DD2" w:rsidRDefault="00AF4D46" w:rsidP="00AF4D46">
            <w:pPr>
              <w:ind w:left="284" w:hanging="284"/>
              <w:rPr>
                <w:rFonts w:cs="Arial"/>
              </w:rPr>
            </w:pPr>
            <w:r w:rsidRPr="00021DD2">
              <w:rPr>
                <w:rFonts w:cs="Arial"/>
              </w:rPr>
              <w:t xml:space="preserve">(2) No person, hospital, health institution, other institution or service is under a duty, whether by contract or by statutory or other legal requirement, to participate in the performance of any abortion. </w:t>
            </w:r>
          </w:p>
          <w:p w:rsidR="00AF4D46" w:rsidRPr="00021DD2" w:rsidRDefault="00AF4D46" w:rsidP="00AF4D46">
            <w:pPr>
              <w:ind w:left="284" w:hanging="284"/>
              <w:rPr>
                <w:rFonts w:cs="Arial"/>
              </w:rPr>
            </w:pPr>
            <w:r w:rsidRPr="00021DD2">
              <w:rPr>
                <w:rFonts w:cs="Arial"/>
              </w:rPr>
              <w:t xml:space="preserve">(3) Subject to subsections (4) </w:t>
            </w:r>
            <w:r w:rsidR="0034345F">
              <w:rPr>
                <w:rFonts w:cs="Arial"/>
              </w:rPr>
              <w:t xml:space="preserve">and (7), the performance of an </w:t>
            </w:r>
            <w:r w:rsidRPr="00021DD2">
              <w:rPr>
                <w:rFonts w:cs="Arial"/>
              </w:rPr>
              <w:t xml:space="preserve">abortion is justified for the purposes of section 199(1) of </w:t>
            </w:r>
            <w:r w:rsidRPr="00021DD2">
              <w:rPr>
                <w:rFonts w:cs="Arial"/>
                <w:i/>
              </w:rPr>
              <w:t>The Criminal Code</w:t>
            </w:r>
            <w:r w:rsidRPr="00021DD2">
              <w:rPr>
                <w:rFonts w:cs="Arial"/>
              </w:rPr>
              <w:t xml:space="preserve"> if, and only if — </w:t>
            </w:r>
          </w:p>
          <w:p w:rsidR="00AF4D46" w:rsidRPr="00021DD2" w:rsidRDefault="00AF4D46" w:rsidP="00B934D7">
            <w:pPr>
              <w:pStyle w:val="Paragrafoelenco"/>
              <w:numPr>
                <w:ilvl w:val="0"/>
                <w:numId w:val="84"/>
              </w:numPr>
              <w:spacing w:before="120" w:after="120"/>
              <w:contextualSpacing w:val="0"/>
              <w:jc w:val="left"/>
            </w:pPr>
            <w:r w:rsidRPr="00021DD2">
              <w:t xml:space="preserve">the woman concerned has given informed consent; or </w:t>
            </w:r>
          </w:p>
          <w:p w:rsidR="00AF4D46" w:rsidRPr="00021DD2" w:rsidRDefault="00AF4D46" w:rsidP="00B934D7">
            <w:pPr>
              <w:pStyle w:val="Paragrafoelenco"/>
              <w:numPr>
                <w:ilvl w:val="0"/>
                <w:numId w:val="84"/>
              </w:numPr>
              <w:spacing w:before="120" w:after="120"/>
              <w:contextualSpacing w:val="0"/>
              <w:jc w:val="left"/>
            </w:pPr>
            <w:r w:rsidRPr="00021DD2">
              <w:t>the woman concerned will suffer serious personal, famil</w:t>
            </w:r>
            <w:r w:rsidR="00442777">
              <w:t>y or social consequences if the</w:t>
            </w:r>
            <w:r w:rsidRPr="00021DD2">
              <w:t xml:space="preserve"> abortion  is not performed; or </w:t>
            </w:r>
          </w:p>
          <w:p w:rsidR="00AF4D46" w:rsidRPr="00021DD2" w:rsidRDefault="00AF4D46" w:rsidP="00B934D7">
            <w:pPr>
              <w:pStyle w:val="Paragrafoelenco"/>
              <w:numPr>
                <w:ilvl w:val="0"/>
                <w:numId w:val="84"/>
              </w:numPr>
              <w:spacing w:before="120" w:after="120"/>
              <w:contextualSpacing w:val="0"/>
              <w:jc w:val="left"/>
            </w:pPr>
            <w:r w:rsidRPr="00021DD2">
              <w:t>serious danger to the physical or mental health of the wom</w:t>
            </w:r>
            <w:r w:rsidR="00442777">
              <w:t>an concerned will result if the abortion</w:t>
            </w:r>
            <w:r w:rsidRPr="00021DD2">
              <w:t xml:space="preserve"> is not performed; or </w:t>
            </w:r>
          </w:p>
          <w:p w:rsidR="00AF4D46" w:rsidRPr="00021DD2" w:rsidRDefault="00AF4D46" w:rsidP="00B934D7">
            <w:pPr>
              <w:pStyle w:val="Paragrafoelenco"/>
              <w:numPr>
                <w:ilvl w:val="0"/>
                <w:numId w:val="84"/>
              </w:numPr>
              <w:spacing w:before="120" w:after="120"/>
              <w:contextualSpacing w:val="0"/>
              <w:jc w:val="left"/>
            </w:pPr>
            <w:r w:rsidRPr="00021DD2">
              <w:t xml:space="preserve">the pregnancy of the woman concerned is causing serious danger to her physical or mental health. </w:t>
            </w:r>
          </w:p>
          <w:p w:rsidR="00AF4D46" w:rsidRPr="00021DD2" w:rsidRDefault="00442777" w:rsidP="00AF4D46">
            <w:pPr>
              <w:ind w:left="284" w:hanging="284"/>
              <w:rPr>
                <w:rFonts w:cs="Arial"/>
              </w:rPr>
            </w:pPr>
            <w:r>
              <w:rPr>
                <w:rFonts w:cs="Arial"/>
              </w:rPr>
              <w:t xml:space="preserve">(4)  </w:t>
            </w:r>
            <w:r w:rsidR="00AF4D46" w:rsidRPr="00021DD2">
              <w:rPr>
                <w:rFonts w:cs="Arial"/>
              </w:rPr>
              <w:t xml:space="preserve">Subsection (3)(b), (c) or (d) do not apply unless the woman has given informed consent or in the case of paragraphs (c) or (d) it is impracticable for her to do so. </w:t>
            </w:r>
          </w:p>
          <w:p w:rsidR="00AF4D46" w:rsidRPr="00021DD2" w:rsidRDefault="00AF4D46" w:rsidP="00AF4D46">
            <w:pPr>
              <w:ind w:left="284" w:hanging="284"/>
              <w:rPr>
                <w:rFonts w:cs="Arial"/>
              </w:rPr>
            </w:pPr>
            <w:r w:rsidRPr="00021DD2">
              <w:rPr>
                <w:rFonts w:cs="Arial"/>
              </w:rPr>
              <w:t xml:space="preserve">(5)  In this section —  informed consent means consent freely given by the woman where — </w:t>
            </w:r>
          </w:p>
          <w:p w:rsidR="00AF4D46" w:rsidRPr="00021DD2" w:rsidRDefault="00AF4D46" w:rsidP="00B934D7">
            <w:pPr>
              <w:pStyle w:val="Paragrafoelenco"/>
              <w:numPr>
                <w:ilvl w:val="0"/>
                <w:numId w:val="85"/>
              </w:numPr>
              <w:spacing w:before="120" w:after="120"/>
              <w:contextualSpacing w:val="0"/>
              <w:jc w:val="left"/>
            </w:pPr>
            <w:r w:rsidRPr="00021DD2">
              <w:t xml:space="preserve">a medical practitioner has properly, appropriately and adequately provided her with counselling about the medical risk of termination of pregnancy and of carrying a pregnancy to term; and </w:t>
            </w:r>
          </w:p>
          <w:p w:rsidR="00AF4D46" w:rsidRPr="00021DD2" w:rsidRDefault="00AF4D46" w:rsidP="00B934D7">
            <w:pPr>
              <w:pStyle w:val="Paragrafoelenco"/>
              <w:numPr>
                <w:ilvl w:val="0"/>
                <w:numId w:val="85"/>
              </w:numPr>
              <w:spacing w:before="120" w:after="120"/>
              <w:contextualSpacing w:val="0"/>
              <w:jc w:val="left"/>
            </w:pPr>
            <w:r w:rsidRPr="00021DD2">
              <w:t xml:space="preserve">a medical practitioner has offered her the opportunity of referral to appropriate and adequate counselling about matters relating to termination of pregnancy and carrying a pregnancy to term; and </w:t>
            </w:r>
          </w:p>
          <w:p w:rsidR="00AF4D46" w:rsidRPr="00021DD2" w:rsidRDefault="00AF4D46" w:rsidP="00B934D7">
            <w:pPr>
              <w:pStyle w:val="Paragrafoelenco"/>
              <w:numPr>
                <w:ilvl w:val="0"/>
                <w:numId w:val="85"/>
              </w:numPr>
              <w:spacing w:before="120" w:after="120"/>
              <w:contextualSpacing w:val="0"/>
              <w:jc w:val="left"/>
            </w:pPr>
            <w:r w:rsidRPr="00021DD2">
              <w:t xml:space="preserve">a medical practitioner has informed her that appropriate and adequate counselling will be available to her should she wish it upon termination of pregnancy or after carrying the pregnancy to term. </w:t>
            </w:r>
          </w:p>
          <w:p w:rsidR="00AF4D46" w:rsidRPr="00021DD2" w:rsidRDefault="00AF4D46" w:rsidP="00AF4D46">
            <w:pPr>
              <w:rPr>
                <w:rFonts w:cs="Arial"/>
              </w:rPr>
            </w:pPr>
            <w:r w:rsidRPr="00021DD2">
              <w:rPr>
                <w:rFonts w:cs="Arial"/>
              </w:rPr>
              <w:t xml:space="preserve">A reference in subsection (5) to a medical practitioner does not include a reference to — </w:t>
            </w:r>
          </w:p>
          <w:p w:rsidR="00AF4D46" w:rsidRPr="00021DD2" w:rsidRDefault="00AF4D46" w:rsidP="00B934D7">
            <w:pPr>
              <w:pStyle w:val="Paragrafoelenco"/>
              <w:numPr>
                <w:ilvl w:val="0"/>
                <w:numId w:val="86"/>
              </w:numPr>
              <w:spacing w:before="120" w:after="120"/>
              <w:contextualSpacing w:val="0"/>
              <w:jc w:val="left"/>
            </w:pPr>
            <w:r w:rsidRPr="00021DD2">
              <w:t xml:space="preserve">the medical practitioner who performs the abortion; nor </w:t>
            </w:r>
          </w:p>
          <w:p w:rsidR="00AF4D46" w:rsidRPr="00021DD2" w:rsidRDefault="00AF4D46" w:rsidP="00B934D7">
            <w:pPr>
              <w:pStyle w:val="Paragrafoelenco"/>
              <w:numPr>
                <w:ilvl w:val="0"/>
                <w:numId w:val="86"/>
              </w:numPr>
              <w:spacing w:before="120" w:after="120"/>
              <w:contextualSpacing w:val="0"/>
              <w:jc w:val="left"/>
            </w:pPr>
            <w:r w:rsidRPr="00021DD2">
              <w:t xml:space="preserve">any medical practitioner who assists in the performance of the abortion. </w:t>
            </w:r>
          </w:p>
          <w:p w:rsidR="00AF4D46" w:rsidRPr="00021DD2" w:rsidRDefault="00AF4D46" w:rsidP="00AF4D46">
            <w:pPr>
              <w:ind w:left="284" w:hanging="284"/>
              <w:rPr>
                <w:rFonts w:cs="Arial"/>
              </w:rPr>
            </w:pPr>
            <w:r w:rsidRPr="00021DD2">
              <w:rPr>
                <w:rFonts w:cs="Arial"/>
              </w:rPr>
              <w:t xml:space="preserve">(7)  If at least 20 weeks of the woman’s pregnancy have been completed when the abortion is performed, the performance of the abortion is not justified unless — </w:t>
            </w:r>
          </w:p>
          <w:p w:rsidR="00AF4D46" w:rsidRPr="00021DD2" w:rsidRDefault="00AF4D46" w:rsidP="00B934D7">
            <w:pPr>
              <w:pStyle w:val="Paragrafoelenco"/>
              <w:numPr>
                <w:ilvl w:val="0"/>
                <w:numId w:val="87"/>
              </w:numPr>
              <w:spacing w:before="120" w:after="120"/>
              <w:contextualSpacing w:val="0"/>
              <w:jc w:val="left"/>
            </w:pPr>
            <w:r w:rsidRPr="00021DD2">
              <w:t xml:space="preserve">2 medical practitioners who are members of a panel of at least 6 medical practitioners appointed by the Minister for the purposes of this section have agreed that the mother, or the unborn child, has a severe medical condition that, in the clinical judgment of those 2 medical practitioners, justifies the procedure; and </w:t>
            </w:r>
          </w:p>
          <w:p w:rsidR="00AF4D46" w:rsidRPr="00021DD2" w:rsidRDefault="00AF4D46" w:rsidP="00B934D7">
            <w:pPr>
              <w:pStyle w:val="Paragrafoelenco"/>
              <w:numPr>
                <w:ilvl w:val="0"/>
                <w:numId w:val="87"/>
              </w:numPr>
              <w:spacing w:before="120" w:after="120"/>
              <w:contextualSpacing w:val="0"/>
              <w:jc w:val="left"/>
            </w:pPr>
            <w:r w:rsidRPr="00021DD2">
              <w:t xml:space="preserve">the abortion is performed in a facility approved by the Minister for the purposes of this section. </w:t>
            </w:r>
          </w:p>
          <w:p w:rsidR="00AF4D46" w:rsidRPr="00021DD2" w:rsidRDefault="00AF4D46" w:rsidP="00AF4D46">
            <w:pPr>
              <w:rPr>
                <w:rFonts w:cs="Arial"/>
              </w:rPr>
            </w:pPr>
            <w:r w:rsidRPr="00021DD2">
              <w:rPr>
                <w:rFonts w:cs="Arial"/>
              </w:rPr>
              <w:t xml:space="preserve">(8) For the purposes of this section — </w:t>
            </w:r>
          </w:p>
          <w:p w:rsidR="00AF4D46" w:rsidRPr="00021DD2" w:rsidRDefault="00AF4D46" w:rsidP="00B934D7">
            <w:pPr>
              <w:pStyle w:val="Paragrafoelenco"/>
              <w:numPr>
                <w:ilvl w:val="0"/>
                <w:numId w:val="88"/>
              </w:numPr>
              <w:spacing w:before="120" w:after="120"/>
              <w:contextualSpacing w:val="0"/>
              <w:jc w:val="left"/>
            </w:pPr>
            <w:r w:rsidRPr="00021DD2">
              <w:t xml:space="preserve">subject to subsection (11), a woman who is a dependant minor shall not be regarded as having given informed consent unless a custodial parent of the woman has been informed that the performance of an abortion is being considered and has been given the opportunity to participate in a counselling process and in consultations between the woman and her medical </w:t>
            </w:r>
            <w:r w:rsidR="0034345F">
              <w:t xml:space="preserve">practitioner as to whether the </w:t>
            </w:r>
            <w:r w:rsidRPr="00021DD2">
              <w:t xml:space="preserve">abortion is to be performed; and </w:t>
            </w:r>
          </w:p>
          <w:p w:rsidR="00AF4D46" w:rsidRPr="00021DD2" w:rsidRDefault="00AF4D46" w:rsidP="00B934D7">
            <w:pPr>
              <w:pStyle w:val="Paragrafoelenco"/>
              <w:numPr>
                <w:ilvl w:val="0"/>
                <w:numId w:val="88"/>
              </w:numPr>
              <w:spacing w:before="120" w:after="120"/>
              <w:contextualSpacing w:val="0"/>
              <w:jc w:val="left"/>
            </w:pPr>
            <w:r w:rsidRPr="00021DD2">
              <w:t xml:space="preserve">a woman is a dependant minor if she has not reached the age of 16 years and is being supported by a custodial parent or parents; and </w:t>
            </w:r>
          </w:p>
          <w:p w:rsidR="00AF4D46" w:rsidRPr="00021DD2" w:rsidRDefault="00AF4D46" w:rsidP="00B934D7">
            <w:pPr>
              <w:pStyle w:val="Paragrafoelenco"/>
              <w:numPr>
                <w:ilvl w:val="0"/>
                <w:numId w:val="88"/>
              </w:numPr>
              <w:spacing w:before="120" w:after="120"/>
              <w:contextualSpacing w:val="0"/>
              <w:jc w:val="left"/>
            </w:pPr>
            <w:r w:rsidRPr="00021DD2">
              <w:t xml:space="preserve">a reference to a parent includes a reference to a legal guardian. </w:t>
            </w:r>
          </w:p>
          <w:p w:rsidR="00AF4D46" w:rsidRPr="00021DD2" w:rsidRDefault="00AF4D46" w:rsidP="00AF4D46">
            <w:pPr>
              <w:ind w:left="284" w:hanging="284"/>
              <w:rPr>
                <w:rFonts w:cs="Arial"/>
              </w:rPr>
            </w:pPr>
            <w:r w:rsidRPr="00021DD2">
              <w:rPr>
                <w:rFonts w:cs="Arial"/>
              </w:rPr>
              <w:t xml:space="preserve">(9)  A woman who is a dependant minor may apply to the Children’s Court for an order that a person specified in the application, being a custodial parent of the woman, should not be given the information and opportunity referred to in subsection (8)(a) and the court may, on being satisfied that the application should be granted, make an order in those terms. </w:t>
            </w:r>
          </w:p>
          <w:p w:rsidR="00AF4D46" w:rsidRPr="00021DD2" w:rsidRDefault="00AF4D46" w:rsidP="00AF4D46">
            <w:pPr>
              <w:ind w:left="284" w:hanging="284"/>
              <w:rPr>
                <w:rFonts w:cs="Arial"/>
              </w:rPr>
            </w:pPr>
            <w:r w:rsidRPr="00021DD2">
              <w:rPr>
                <w:rFonts w:cs="Arial"/>
              </w:rPr>
              <w:t xml:space="preserve">(10) An order made under subsection (9) has effect according to its terms and is not liable to be challenged, appealed against, reviewed, quashed or called in question in or by any court. </w:t>
            </w:r>
          </w:p>
          <w:p w:rsidR="00AF4D46" w:rsidRPr="00021DD2" w:rsidRDefault="00AF4D46" w:rsidP="00AF4D46">
            <w:pPr>
              <w:ind w:left="284" w:hanging="284"/>
              <w:rPr>
                <w:rFonts w:cs="Arial"/>
              </w:rPr>
            </w:pPr>
            <w:r w:rsidRPr="00021DD2">
              <w:rPr>
                <w:rFonts w:cs="Arial"/>
              </w:rPr>
              <w:t>(11) If the effect of an order under subsection (9) is that no custodial parent of the woman can be given the information and opportunity referred to in subsection (8)(a), subsection (8) does not apply in relation to the woman.</w:t>
            </w:r>
          </w:p>
        </w:tc>
      </w:tr>
      <w:tr w:rsidR="00AF4D46" w:rsidRPr="00021DD2" w:rsidTr="00AF4D46">
        <w:trPr>
          <w:cnfStyle w:val="000000100000" w:firstRow="0" w:lastRow="0" w:firstColumn="0" w:lastColumn="0" w:oddVBand="0" w:evenVBand="0" w:oddHBand="1" w:evenHBand="0" w:firstRowFirstColumn="0" w:firstRowLastColumn="0" w:lastRowFirstColumn="0" w:lastRowLastColumn="0"/>
        </w:trPr>
        <w:tc>
          <w:tcPr>
            <w:tcW w:w="2410" w:type="dxa"/>
          </w:tcPr>
          <w:p w:rsidR="00AF4D46" w:rsidRPr="00021DD2" w:rsidRDefault="00AF4D46" w:rsidP="00AF4D46">
            <w:pPr>
              <w:rPr>
                <w:rFonts w:cs="Arial"/>
                <w:b/>
              </w:rPr>
            </w:pPr>
            <w:r w:rsidRPr="00021DD2">
              <w:rPr>
                <w:rFonts w:cs="Arial"/>
              </w:rPr>
              <w:t>Case law</w:t>
            </w:r>
          </w:p>
        </w:tc>
        <w:tc>
          <w:tcPr>
            <w:tcW w:w="6657" w:type="dxa"/>
          </w:tcPr>
          <w:p w:rsidR="00AF4D46" w:rsidRPr="00021DD2" w:rsidRDefault="00AF4D46" w:rsidP="00AF4D46">
            <w:pPr>
              <w:rPr>
                <w:rFonts w:cs="Arial"/>
                <w:highlight w:val="yellow"/>
              </w:rPr>
            </w:pPr>
            <w:r w:rsidRPr="00021DD2">
              <w:rPr>
                <w:rFonts w:cs="Arial"/>
              </w:rPr>
              <w:t xml:space="preserve">The Gillick test (as approved in </w:t>
            </w:r>
            <w:r w:rsidRPr="00021DD2">
              <w:rPr>
                <w:rFonts w:cs="Arial"/>
                <w:i/>
              </w:rPr>
              <w:t>Marion</w:t>
            </w:r>
            <w:r w:rsidRPr="00021DD2">
              <w:rPr>
                <w:rFonts w:cs="Arial"/>
              </w:rPr>
              <w:t xml:space="preserve">’s </w:t>
            </w:r>
            <w:r w:rsidRPr="00021DD2">
              <w:rPr>
                <w:rFonts w:cs="Arial"/>
                <w:i/>
              </w:rPr>
              <w:t>Case</w:t>
            </w:r>
            <w:r w:rsidRPr="00021DD2">
              <w:rPr>
                <w:rFonts w:cs="Arial"/>
              </w:rPr>
              <w:t>)</w:t>
            </w:r>
            <w:r w:rsidRPr="00021DD2">
              <w:rPr>
                <w:rFonts w:cs="Arial"/>
                <w:i/>
              </w:rPr>
              <w:t xml:space="preserve"> </w:t>
            </w:r>
            <w:r w:rsidRPr="00021DD2">
              <w:rPr>
                <w:rFonts w:cs="Arial"/>
              </w:rPr>
              <w:t>discussed above is the operative test in Western Australia for determining whether a child can access contraception or provide informed consent to an abortion.</w:t>
            </w:r>
          </w:p>
        </w:tc>
      </w:tr>
      <w:tr w:rsidR="00AF4D46" w:rsidRPr="00021DD2" w:rsidTr="00AF4D46">
        <w:trPr>
          <w:cnfStyle w:val="000000010000" w:firstRow="0" w:lastRow="0" w:firstColumn="0" w:lastColumn="0" w:oddVBand="0" w:evenVBand="0" w:oddHBand="0" w:evenHBand="1" w:firstRowFirstColumn="0" w:firstRowLastColumn="0" w:lastRowFirstColumn="0" w:lastRowLastColumn="0"/>
        </w:trPr>
        <w:tc>
          <w:tcPr>
            <w:tcW w:w="2410" w:type="dxa"/>
          </w:tcPr>
          <w:p w:rsidR="00AF4D46" w:rsidRPr="00021DD2" w:rsidRDefault="00AF4D46" w:rsidP="00AF4D46">
            <w:pPr>
              <w:rPr>
                <w:rFonts w:cs="Arial"/>
                <w:b/>
              </w:rPr>
            </w:pPr>
            <w:r w:rsidRPr="00021DD2">
              <w:rPr>
                <w:rFonts w:cs="Arial"/>
              </w:rPr>
              <w:t>Other relevant information</w:t>
            </w:r>
          </w:p>
        </w:tc>
        <w:tc>
          <w:tcPr>
            <w:tcW w:w="6657" w:type="dxa"/>
          </w:tcPr>
          <w:p w:rsidR="00AF4D46" w:rsidRPr="00021DD2" w:rsidRDefault="00AF4D46" w:rsidP="00AF4D46">
            <w:pPr>
              <w:rPr>
                <w:rFonts w:cs="Arial"/>
              </w:rPr>
            </w:pPr>
            <w:r w:rsidRPr="00021DD2">
              <w:rPr>
                <w:rFonts w:cs="Arial"/>
              </w:rPr>
              <w:t xml:space="preserve">Section 199 of the </w:t>
            </w:r>
            <w:r w:rsidRPr="00021DD2">
              <w:rPr>
                <w:rFonts w:cs="Arial"/>
                <w:i/>
              </w:rPr>
              <w:t xml:space="preserve">Criminal Code Act 1913 </w:t>
            </w:r>
            <w:r w:rsidRPr="00021DD2">
              <w:rPr>
                <w:rFonts w:cs="Arial"/>
              </w:rPr>
              <w:t>(WA) sets out when it would be unlawful to perform an abortion, and section 259 sets out when a person is not liable for surgical and medical treatment.</w:t>
            </w:r>
          </w:p>
        </w:tc>
      </w:tr>
      <w:tr w:rsidR="00AF4D46" w:rsidRPr="00021DD2" w:rsidTr="00AF4D46">
        <w:trPr>
          <w:cnfStyle w:val="000000100000" w:firstRow="0" w:lastRow="0" w:firstColumn="0" w:lastColumn="0" w:oddVBand="0" w:evenVBand="0" w:oddHBand="1" w:evenHBand="0" w:firstRowFirstColumn="0" w:firstRowLastColumn="0" w:lastRowFirstColumn="0" w:lastRowLastColumn="0"/>
        </w:trPr>
        <w:tc>
          <w:tcPr>
            <w:tcW w:w="9067" w:type="dxa"/>
            <w:gridSpan w:val="2"/>
          </w:tcPr>
          <w:p w:rsidR="00AF4D46" w:rsidRPr="00021DD2" w:rsidRDefault="00AF4D46" w:rsidP="00AF4D46">
            <w:pPr>
              <w:rPr>
                <w:rFonts w:cs="Arial"/>
              </w:rPr>
            </w:pPr>
            <w:r w:rsidRPr="00021DD2">
              <w:rPr>
                <w:rFonts w:cs="Arial"/>
                <w:b/>
              </w:rPr>
              <w:t>Northern Territory</w:t>
            </w:r>
          </w:p>
        </w:tc>
      </w:tr>
      <w:tr w:rsidR="00AF4D46" w:rsidRPr="00021DD2" w:rsidTr="00AF4D46">
        <w:trPr>
          <w:cnfStyle w:val="000000010000" w:firstRow="0" w:lastRow="0" w:firstColumn="0" w:lastColumn="0" w:oddVBand="0" w:evenVBand="0" w:oddHBand="0" w:evenHBand="1" w:firstRowFirstColumn="0" w:firstRowLastColumn="0" w:lastRowFirstColumn="0" w:lastRowLastColumn="0"/>
        </w:trPr>
        <w:tc>
          <w:tcPr>
            <w:tcW w:w="2410" w:type="dxa"/>
          </w:tcPr>
          <w:p w:rsidR="00AF4D46" w:rsidRPr="00021DD2" w:rsidRDefault="00AF4D46" w:rsidP="00AF4D46">
            <w:pPr>
              <w:rPr>
                <w:rFonts w:cs="Arial"/>
                <w:b/>
              </w:rPr>
            </w:pPr>
            <w:r w:rsidRPr="00021DD2">
              <w:rPr>
                <w:rFonts w:cs="Arial"/>
              </w:rPr>
              <w:t xml:space="preserve">Legislative provisions </w:t>
            </w:r>
          </w:p>
        </w:tc>
        <w:tc>
          <w:tcPr>
            <w:tcW w:w="6657" w:type="dxa"/>
          </w:tcPr>
          <w:p w:rsidR="00AF4D46" w:rsidRPr="00021DD2" w:rsidRDefault="00AF4D46" w:rsidP="00AF4D46">
            <w:pPr>
              <w:rPr>
                <w:rFonts w:cs="Arial"/>
                <w:b/>
                <w:i/>
              </w:rPr>
            </w:pPr>
            <w:r w:rsidRPr="00021DD2">
              <w:rPr>
                <w:rFonts w:cs="Arial"/>
                <w:b/>
                <w:i/>
              </w:rPr>
              <w:t xml:space="preserve">Age of Majority Act 1981 </w:t>
            </w:r>
            <w:r w:rsidRPr="00021DD2">
              <w:rPr>
                <w:rFonts w:cs="Arial"/>
                <w:b/>
              </w:rPr>
              <w:t>(NT)</w:t>
            </w:r>
          </w:p>
          <w:p w:rsidR="00AF4D46" w:rsidRPr="00021DD2" w:rsidRDefault="0034345F" w:rsidP="00AF4D46">
            <w:pPr>
              <w:rPr>
                <w:rFonts w:cs="Arial"/>
                <w:i/>
              </w:rPr>
            </w:pPr>
            <w:r>
              <w:rPr>
                <w:rFonts w:cs="Arial"/>
                <w:i/>
              </w:rPr>
              <w:t>Section 4</w:t>
            </w:r>
            <w:r w:rsidR="00AF4D46" w:rsidRPr="00021DD2">
              <w:rPr>
                <w:rFonts w:cs="Arial"/>
                <w:i/>
              </w:rPr>
              <w:t xml:space="preserve"> </w:t>
            </w:r>
            <w:r>
              <w:rPr>
                <w:rFonts w:cs="Arial"/>
                <w:i/>
              </w:rPr>
              <w:t>–</w:t>
            </w:r>
            <w:r w:rsidR="00AF4D46" w:rsidRPr="00021DD2">
              <w:rPr>
                <w:rFonts w:cs="Arial"/>
                <w:i/>
              </w:rPr>
              <w:t xml:space="preserve"> Age of majority 18 years</w:t>
            </w:r>
          </w:p>
          <w:p w:rsidR="00AF4D46" w:rsidRPr="00021DD2" w:rsidRDefault="00AF4D46" w:rsidP="00AF4D46">
            <w:pPr>
              <w:ind w:left="284" w:hanging="284"/>
              <w:rPr>
                <w:rFonts w:cs="Arial"/>
              </w:rPr>
            </w:pPr>
            <w:r w:rsidRPr="00021DD2">
              <w:rPr>
                <w:rFonts w:cs="Arial"/>
              </w:rPr>
              <w:t>(1) Subject to this Act, a person attains full age for all purposes of the law of the Territory when he attains the age of 18 years.</w:t>
            </w:r>
          </w:p>
          <w:p w:rsidR="00AF4D46" w:rsidRPr="00021DD2" w:rsidRDefault="00AF4D46" w:rsidP="00AF4D46">
            <w:pPr>
              <w:ind w:left="284" w:hanging="284"/>
              <w:rPr>
                <w:rFonts w:cs="Arial"/>
              </w:rPr>
            </w:pPr>
            <w:r w:rsidRPr="00021DD2">
              <w:rPr>
                <w:rFonts w:cs="Arial"/>
              </w:rPr>
              <w:t>(2) A person who has attained the age of 18 years is not subject to any want of legal capacity by reason only of his age.</w:t>
            </w:r>
          </w:p>
          <w:p w:rsidR="00AF4D46" w:rsidRPr="00021DD2" w:rsidRDefault="00AF4D46" w:rsidP="00AF4D46">
            <w:pPr>
              <w:rPr>
                <w:rFonts w:cs="Arial"/>
              </w:rPr>
            </w:pPr>
            <w:r w:rsidRPr="00021DD2">
              <w:rPr>
                <w:rFonts w:cs="Arial"/>
                <w:b/>
                <w:i/>
              </w:rPr>
              <w:t>Termination Of Pregnancy Law Reform Act 2017</w:t>
            </w:r>
            <w:r w:rsidRPr="00021DD2">
              <w:rPr>
                <w:rFonts w:cs="Arial"/>
              </w:rPr>
              <w:t xml:space="preserve"> </w:t>
            </w:r>
            <w:r w:rsidRPr="00021DD2">
              <w:rPr>
                <w:rFonts w:cs="Arial"/>
                <w:b/>
              </w:rPr>
              <w:t>(NT)</w:t>
            </w:r>
          </w:p>
          <w:p w:rsidR="00AF4D46" w:rsidRPr="00021DD2" w:rsidRDefault="00AF4D46" w:rsidP="00AF4D46">
            <w:pPr>
              <w:rPr>
                <w:rFonts w:cs="Arial"/>
              </w:rPr>
            </w:pPr>
            <w:r w:rsidRPr="00021DD2">
              <w:rPr>
                <w:rFonts w:cs="Arial"/>
                <w:i/>
              </w:rPr>
              <w:t xml:space="preserve">Section 4 </w:t>
            </w:r>
            <w:r w:rsidR="0034345F">
              <w:rPr>
                <w:rFonts w:cs="Arial"/>
                <w:i/>
              </w:rPr>
              <w:t>–</w:t>
            </w:r>
            <w:r w:rsidRPr="00021DD2">
              <w:rPr>
                <w:rFonts w:cs="Arial"/>
                <w:i/>
              </w:rPr>
              <w:t xml:space="preserve"> woman</w:t>
            </w:r>
            <w:r w:rsidRPr="00021DD2">
              <w:rPr>
                <w:rFonts w:cs="Arial"/>
              </w:rPr>
              <w:t xml:space="preserve"> means a female person of any age.</w:t>
            </w:r>
          </w:p>
          <w:p w:rsidR="00AF4D46" w:rsidRPr="00021DD2" w:rsidRDefault="00AF4D46" w:rsidP="00AF4D46">
            <w:pPr>
              <w:rPr>
                <w:rFonts w:cs="Arial"/>
                <w:i/>
              </w:rPr>
            </w:pPr>
            <w:r w:rsidRPr="00021DD2">
              <w:rPr>
                <w:rFonts w:cs="Arial"/>
                <w:i/>
              </w:rPr>
              <w:t xml:space="preserve">Section 7 </w:t>
            </w:r>
            <w:r w:rsidR="0034345F">
              <w:rPr>
                <w:rFonts w:cs="Arial"/>
                <w:i/>
              </w:rPr>
              <w:t>–</w:t>
            </w:r>
            <w:r w:rsidRPr="00021DD2">
              <w:rPr>
                <w:rFonts w:cs="Arial"/>
                <w:i/>
              </w:rPr>
              <w:t xml:space="preserve"> Termination of pregnancy by a suitably qualified medical practitioner at not more than 14 weeks </w:t>
            </w:r>
          </w:p>
          <w:p w:rsidR="00AF4D46" w:rsidRPr="00021DD2" w:rsidRDefault="00AF4D46" w:rsidP="00AF4D46">
            <w:pPr>
              <w:rPr>
                <w:rFonts w:cs="Arial"/>
              </w:rPr>
            </w:pPr>
            <w:r w:rsidRPr="00021DD2">
              <w:rPr>
                <w:rFonts w:cs="Arial"/>
              </w:rPr>
              <w:t>A suitably qualified medical practitione</w:t>
            </w:r>
            <w:r w:rsidR="0034345F">
              <w:rPr>
                <w:rFonts w:cs="Arial"/>
              </w:rPr>
              <w:t xml:space="preserve">r may perform a termination on a woman who is not </w:t>
            </w:r>
            <w:r w:rsidRPr="00021DD2">
              <w:rPr>
                <w:rFonts w:cs="Arial"/>
              </w:rPr>
              <w:t>mo</w:t>
            </w:r>
            <w:r w:rsidR="0034345F">
              <w:rPr>
                <w:rFonts w:cs="Arial"/>
              </w:rPr>
              <w:t>re than 14 weeks pregnant, if the medical practitioner considers the termination is appropriate in all</w:t>
            </w:r>
            <w:r w:rsidRPr="00021DD2">
              <w:rPr>
                <w:rFonts w:cs="Arial"/>
              </w:rPr>
              <w:t xml:space="preserve"> the circumstances, having regard to:</w:t>
            </w:r>
          </w:p>
          <w:p w:rsidR="00AF4D46" w:rsidRPr="00021DD2" w:rsidRDefault="00AF4D46" w:rsidP="00B934D7">
            <w:pPr>
              <w:pStyle w:val="Paragrafoelenco"/>
              <w:numPr>
                <w:ilvl w:val="0"/>
                <w:numId w:val="90"/>
              </w:numPr>
              <w:spacing w:before="120" w:after="120"/>
              <w:contextualSpacing w:val="0"/>
              <w:jc w:val="left"/>
            </w:pPr>
            <w:r w:rsidRPr="00021DD2">
              <w:t>all relevant medical circumstances; and</w:t>
            </w:r>
          </w:p>
          <w:p w:rsidR="00AF4D46" w:rsidRPr="00021DD2" w:rsidRDefault="00AF4D46" w:rsidP="00B934D7">
            <w:pPr>
              <w:pStyle w:val="Paragrafoelenco"/>
              <w:numPr>
                <w:ilvl w:val="0"/>
                <w:numId w:val="90"/>
              </w:numPr>
              <w:spacing w:before="120" w:after="120"/>
              <w:contextualSpacing w:val="0"/>
              <w:jc w:val="left"/>
            </w:pPr>
            <w:r w:rsidRPr="00021DD2">
              <w:t>the woman's current and future physical, psychological and social circumstances; and</w:t>
            </w:r>
          </w:p>
          <w:p w:rsidR="00AF4D46" w:rsidRPr="00021DD2" w:rsidRDefault="00AF4D46" w:rsidP="00B934D7">
            <w:pPr>
              <w:pStyle w:val="Paragrafoelenco"/>
              <w:numPr>
                <w:ilvl w:val="0"/>
                <w:numId w:val="90"/>
              </w:numPr>
              <w:spacing w:before="120" w:after="120"/>
              <w:contextualSpacing w:val="0"/>
              <w:jc w:val="left"/>
            </w:pPr>
            <w:r w:rsidRPr="00021DD2">
              <w:t>professional standards and guidelines.</w:t>
            </w:r>
          </w:p>
          <w:p w:rsidR="00AF4D46" w:rsidRPr="00021DD2" w:rsidRDefault="00AF4D46" w:rsidP="00AF4D46">
            <w:pPr>
              <w:rPr>
                <w:rFonts w:cs="Arial"/>
                <w:i/>
              </w:rPr>
            </w:pPr>
            <w:r w:rsidRPr="00021DD2">
              <w:rPr>
                <w:rFonts w:cs="Arial"/>
                <w:i/>
              </w:rPr>
              <w:t>Section 9 Termination of pregnancy by a suitably qualified medical practitioner at not more than 23 weeks</w:t>
            </w:r>
          </w:p>
          <w:p w:rsidR="00AF4D46" w:rsidRPr="00021DD2" w:rsidRDefault="0034345F" w:rsidP="00AF4D46">
            <w:pPr>
              <w:rPr>
                <w:rFonts w:cs="Arial"/>
              </w:rPr>
            </w:pPr>
            <w:r>
              <w:rPr>
                <w:rFonts w:cs="Arial"/>
              </w:rPr>
              <w:t>A suitably qualified medical practitioner may perform a termination on a woman who is more than 14 weeks pregnant, but not more</w:t>
            </w:r>
            <w:r w:rsidR="00AF4D46" w:rsidRPr="00021DD2">
              <w:rPr>
                <w:rFonts w:cs="Arial"/>
              </w:rPr>
              <w:t xml:space="preserve"> than 23 weeks pregnant, if:</w:t>
            </w:r>
          </w:p>
          <w:p w:rsidR="00AF4D46" w:rsidRPr="00021DD2" w:rsidRDefault="00AF4D46" w:rsidP="00B934D7">
            <w:pPr>
              <w:pStyle w:val="Paragrafoelenco"/>
              <w:numPr>
                <w:ilvl w:val="0"/>
                <w:numId w:val="91"/>
              </w:numPr>
              <w:spacing w:before="120" w:after="120"/>
              <w:contextualSpacing w:val="0"/>
              <w:jc w:val="left"/>
            </w:pPr>
            <w:r w:rsidRPr="00021DD2">
              <w:t>the medical practitioner has consulted with at least one other suitably qualified medical practitioner who has assessed the woman; and</w:t>
            </w:r>
          </w:p>
          <w:p w:rsidR="00AF4D46" w:rsidRPr="00021DD2" w:rsidRDefault="00AF4D46" w:rsidP="00B934D7">
            <w:pPr>
              <w:pStyle w:val="Paragrafoelenco"/>
              <w:numPr>
                <w:ilvl w:val="0"/>
                <w:numId w:val="91"/>
              </w:numPr>
              <w:spacing w:before="120" w:after="120"/>
              <w:contextualSpacing w:val="0"/>
              <w:jc w:val="left"/>
            </w:pPr>
            <w:r w:rsidRPr="00021DD2">
              <w:t>each medical practitioner considers the termination is appropriate in all t</w:t>
            </w:r>
            <w:r w:rsidR="0034345F">
              <w:t xml:space="preserve">he circumstances having regard </w:t>
            </w:r>
            <w:r w:rsidRPr="00021DD2">
              <w:t>to each of the matters mentioned in section 7.</w:t>
            </w:r>
          </w:p>
          <w:p w:rsidR="00AF4D46" w:rsidRPr="00021DD2" w:rsidRDefault="00AF4D46" w:rsidP="00AF4D46">
            <w:pPr>
              <w:rPr>
                <w:rFonts w:cs="Arial"/>
                <w:i/>
              </w:rPr>
            </w:pPr>
            <w:r w:rsidRPr="00021DD2">
              <w:rPr>
                <w:rFonts w:cs="Arial"/>
                <w:i/>
              </w:rPr>
              <w:t xml:space="preserve">Section 10 Termination of pregnancy where life at risk </w:t>
            </w:r>
          </w:p>
          <w:p w:rsidR="00AF4D46" w:rsidRPr="00021DD2" w:rsidRDefault="00AF4D46" w:rsidP="00AF4D46">
            <w:pPr>
              <w:rPr>
                <w:rFonts w:cs="Arial"/>
              </w:rPr>
            </w:pPr>
            <w:r w:rsidRPr="00021DD2">
              <w:rPr>
                <w:rFonts w:cs="Arial"/>
              </w:rPr>
              <w:t>A medical practitioner may perform a termination on a woman in an emergency if the medical practitioner considers the termination is necessary to preserve the life of the woman.</w:t>
            </w:r>
          </w:p>
        </w:tc>
      </w:tr>
      <w:tr w:rsidR="00AF4D46" w:rsidRPr="00021DD2" w:rsidTr="00AF4D46">
        <w:trPr>
          <w:cnfStyle w:val="000000100000" w:firstRow="0" w:lastRow="0" w:firstColumn="0" w:lastColumn="0" w:oddVBand="0" w:evenVBand="0" w:oddHBand="1" w:evenHBand="0" w:firstRowFirstColumn="0" w:firstRowLastColumn="0" w:lastRowFirstColumn="0" w:lastRowLastColumn="0"/>
        </w:trPr>
        <w:tc>
          <w:tcPr>
            <w:tcW w:w="2410" w:type="dxa"/>
          </w:tcPr>
          <w:p w:rsidR="00AF4D46" w:rsidRPr="00021DD2" w:rsidRDefault="00AF4D46" w:rsidP="00AF4D46">
            <w:pPr>
              <w:rPr>
                <w:rFonts w:cs="Arial"/>
                <w:b/>
              </w:rPr>
            </w:pPr>
            <w:r w:rsidRPr="00021DD2">
              <w:rPr>
                <w:rFonts w:cs="Arial"/>
              </w:rPr>
              <w:t>Case law</w:t>
            </w:r>
          </w:p>
        </w:tc>
        <w:tc>
          <w:tcPr>
            <w:tcW w:w="6657" w:type="dxa"/>
          </w:tcPr>
          <w:p w:rsidR="00AF4D46" w:rsidRPr="00021DD2" w:rsidRDefault="00AF4D46" w:rsidP="00AF4D46">
            <w:pPr>
              <w:rPr>
                <w:rFonts w:cs="Arial"/>
              </w:rPr>
            </w:pPr>
            <w:r w:rsidRPr="00021DD2">
              <w:rPr>
                <w:rFonts w:cs="Arial"/>
              </w:rPr>
              <w:t xml:space="preserve">The Gillick test (as approved in </w:t>
            </w:r>
            <w:r w:rsidRPr="00021DD2">
              <w:rPr>
                <w:rFonts w:cs="Arial"/>
                <w:i/>
              </w:rPr>
              <w:t>Marion</w:t>
            </w:r>
            <w:r w:rsidRPr="00021DD2">
              <w:rPr>
                <w:rFonts w:cs="Arial"/>
              </w:rPr>
              <w:t xml:space="preserve">’s </w:t>
            </w:r>
            <w:r w:rsidRPr="00021DD2">
              <w:rPr>
                <w:rFonts w:cs="Arial"/>
                <w:i/>
              </w:rPr>
              <w:t>Case</w:t>
            </w:r>
            <w:r w:rsidRPr="00021DD2">
              <w:rPr>
                <w:rFonts w:cs="Arial"/>
              </w:rPr>
              <w:t>)</w:t>
            </w:r>
            <w:r w:rsidRPr="00021DD2">
              <w:rPr>
                <w:rFonts w:cs="Arial"/>
                <w:i/>
              </w:rPr>
              <w:t xml:space="preserve"> </w:t>
            </w:r>
            <w:r w:rsidRPr="00021DD2">
              <w:rPr>
                <w:rFonts w:cs="Arial"/>
              </w:rPr>
              <w:t>discussed above is the operative test in the Northern Territory for determining whether a child can access contraception or provide informed consent to the abortion.</w:t>
            </w:r>
          </w:p>
        </w:tc>
      </w:tr>
      <w:tr w:rsidR="00AF4D46" w:rsidRPr="00021DD2" w:rsidTr="00AF4D46">
        <w:trPr>
          <w:cnfStyle w:val="000000010000" w:firstRow="0" w:lastRow="0" w:firstColumn="0" w:lastColumn="0" w:oddVBand="0" w:evenVBand="0" w:oddHBand="0" w:evenHBand="1" w:firstRowFirstColumn="0" w:firstRowLastColumn="0" w:lastRowFirstColumn="0" w:lastRowLastColumn="0"/>
        </w:trPr>
        <w:tc>
          <w:tcPr>
            <w:tcW w:w="2410" w:type="dxa"/>
          </w:tcPr>
          <w:p w:rsidR="00AF4D46" w:rsidRPr="00021DD2" w:rsidRDefault="00AF4D46" w:rsidP="00AF4D46">
            <w:pPr>
              <w:rPr>
                <w:rFonts w:cs="Arial"/>
                <w:b/>
              </w:rPr>
            </w:pPr>
            <w:r w:rsidRPr="00021DD2">
              <w:rPr>
                <w:rFonts w:cs="Arial"/>
              </w:rPr>
              <w:t>Other relevant information</w:t>
            </w:r>
          </w:p>
        </w:tc>
        <w:tc>
          <w:tcPr>
            <w:tcW w:w="6657" w:type="dxa"/>
          </w:tcPr>
          <w:p w:rsidR="00AF4D46" w:rsidRPr="00021DD2" w:rsidRDefault="00AF4D46" w:rsidP="00AF4D46">
            <w:pPr>
              <w:rPr>
                <w:rFonts w:cs="Arial"/>
              </w:rPr>
            </w:pPr>
            <w:r w:rsidRPr="00021DD2">
              <w:rPr>
                <w:rFonts w:cs="Arial"/>
              </w:rPr>
              <w:t>Prior to 2017, abortion remained an offence in the Northern Territory</w:t>
            </w:r>
            <w:r w:rsidR="000F10F4">
              <w:rPr>
                <w:rFonts w:cs="Arial"/>
              </w:rPr>
              <w:t xml:space="preserve"> </w:t>
            </w:r>
            <w:r w:rsidRPr="00021DD2">
              <w:rPr>
                <w:rFonts w:cs="Arial"/>
              </w:rPr>
              <w:t>under</w:t>
            </w:r>
            <w:r w:rsidR="000F10F4">
              <w:rPr>
                <w:rFonts w:cs="Arial"/>
              </w:rPr>
              <w:t xml:space="preserve"> </w:t>
            </w:r>
            <w:r w:rsidRPr="00021DD2">
              <w:rPr>
                <w:rFonts w:cs="Arial"/>
              </w:rPr>
              <w:t>the</w:t>
            </w:r>
            <w:r w:rsidR="000F10F4">
              <w:rPr>
                <w:rFonts w:cs="Arial"/>
              </w:rPr>
              <w:t xml:space="preserve"> </w:t>
            </w:r>
            <w:r w:rsidRPr="00021DD2">
              <w:rPr>
                <w:rFonts w:cs="Arial"/>
                <w:i/>
              </w:rPr>
              <w:t>Criminal</w:t>
            </w:r>
            <w:r w:rsidR="000F10F4">
              <w:rPr>
                <w:rFonts w:cs="Arial"/>
                <w:i/>
              </w:rPr>
              <w:t xml:space="preserve"> </w:t>
            </w:r>
            <w:r w:rsidRPr="00021DD2">
              <w:rPr>
                <w:rFonts w:cs="Arial"/>
                <w:i/>
              </w:rPr>
              <w:t>Code</w:t>
            </w:r>
            <w:r w:rsidR="00331F34">
              <w:rPr>
                <w:rFonts w:cs="Arial"/>
                <w:i/>
              </w:rPr>
              <w:t xml:space="preserve"> Act</w:t>
            </w:r>
            <w:r w:rsidRPr="00021DD2">
              <w:rPr>
                <w:rFonts w:cs="Arial"/>
                <w:i/>
              </w:rPr>
              <w:t xml:space="preserve"> </w:t>
            </w:r>
            <w:r w:rsidRPr="00021DD2">
              <w:rPr>
                <w:rFonts w:cs="Arial"/>
              </w:rPr>
              <w:t>(sections 172 and 174),</w:t>
            </w:r>
            <w:r w:rsidR="000F10F4">
              <w:rPr>
                <w:rFonts w:cs="Arial"/>
              </w:rPr>
              <w:t xml:space="preserve"> </w:t>
            </w:r>
            <w:r w:rsidRPr="00021DD2">
              <w:rPr>
                <w:rFonts w:cs="Arial"/>
              </w:rPr>
              <w:t>other</w:t>
            </w:r>
            <w:r w:rsidR="000F10F4">
              <w:rPr>
                <w:rFonts w:cs="Arial"/>
              </w:rPr>
              <w:t xml:space="preserve"> </w:t>
            </w:r>
            <w:r w:rsidRPr="00021DD2">
              <w:rPr>
                <w:rFonts w:cs="Arial"/>
              </w:rPr>
              <w:t>than</w:t>
            </w:r>
            <w:r w:rsidR="000F10F4">
              <w:rPr>
                <w:rFonts w:cs="Arial"/>
              </w:rPr>
              <w:t xml:space="preserve"> </w:t>
            </w:r>
            <w:r w:rsidRPr="00021DD2">
              <w:rPr>
                <w:rFonts w:cs="Arial"/>
              </w:rPr>
              <w:t>when</w:t>
            </w:r>
            <w:r w:rsidR="000F10F4">
              <w:rPr>
                <w:rFonts w:cs="Arial"/>
              </w:rPr>
              <w:t xml:space="preserve"> </w:t>
            </w:r>
            <w:r w:rsidRPr="00021DD2">
              <w:rPr>
                <w:rFonts w:cs="Arial"/>
              </w:rPr>
              <w:t>undertaken</w:t>
            </w:r>
            <w:r w:rsidR="000F10F4">
              <w:rPr>
                <w:rFonts w:cs="Arial"/>
              </w:rPr>
              <w:t xml:space="preserve"> </w:t>
            </w:r>
            <w:r w:rsidRPr="00021DD2">
              <w:rPr>
                <w:rFonts w:cs="Arial"/>
              </w:rPr>
              <w:t>in</w:t>
            </w:r>
            <w:r w:rsidR="000F10F4">
              <w:rPr>
                <w:rFonts w:cs="Arial"/>
              </w:rPr>
              <w:t xml:space="preserve"> </w:t>
            </w:r>
            <w:r w:rsidRPr="00021DD2">
              <w:rPr>
                <w:rFonts w:cs="Arial"/>
              </w:rPr>
              <w:t>accordance</w:t>
            </w:r>
            <w:r w:rsidR="000F10F4">
              <w:rPr>
                <w:rFonts w:cs="Arial"/>
              </w:rPr>
              <w:t xml:space="preserve"> </w:t>
            </w:r>
            <w:r w:rsidRPr="00021DD2">
              <w:rPr>
                <w:rFonts w:cs="Arial"/>
              </w:rPr>
              <w:t>with</w:t>
            </w:r>
            <w:r w:rsidR="000F10F4">
              <w:rPr>
                <w:rFonts w:cs="Arial"/>
              </w:rPr>
              <w:t xml:space="preserve"> </w:t>
            </w:r>
            <w:r w:rsidRPr="00021DD2">
              <w:rPr>
                <w:rFonts w:cs="Arial"/>
              </w:rPr>
              <w:t>section</w:t>
            </w:r>
            <w:r w:rsidR="000F10F4">
              <w:rPr>
                <w:rFonts w:cs="Arial"/>
              </w:rPr>
              <w:t xml:space="preserve"> </w:t>
            </w:r>
            <w:r w:rsidRPr="00021DD2">
              <w:rPr>
                <w:rFonts w:cs="Arial"/>
              </w:rPr>
              <w:t>11</w:t>
            </w:r>
            <w:r w:rsidR="000F10F4">
              <w:rPr>
                <w:rFonts w:cs="Arial"/>
              </w:rPr>
              <w:t xml:space="preserve"> </w:t>
            </w:r>
            <w:r w:rsidRPr="00021DD2">
              <w:rPr>
                <w:rFonts w:cs="Arial"/>
              </w:rPr>
              <w:t>of</w:t>
            </w:r>
            <w:r w:rsidR="000F10F4">
              <w:rPr>
                <w:rFonts w:cs="Arial"/>
              </w:rPr>
              <w:t xml:space="preserve"> </w:t>
            </w:r>
            <w:r w:rsidRPr="00021DD2">
              <w:rPr>
                <w:rFonts w:cs="Arial"/>
              </w:rPr>
              <w:t>the</w:t>
            </w:r>
            <w:r w:rsidR="000F10F4">
              <w:rPr>
                <w:rFonts w:cs="Arial"/>
              </w:rPr>
              <w:t xml:space="preserve"> </w:t>
            </w:r>
            <w:r w:rsidRPr="00021DD2">
              <w:rPr>
                <w:rFonts w:cs="Arial"/>
                <w:i/>
              </w:rPr>
              <w:t xml:space="preserve">Medical Services Act </w:t>
            </w:r>
            <w:r w:rsidRPr="00021DD2">
              <w:rPr>
                <w:rFonts w:cs="Arial"/>
              </w:rPr>
              <w:t xml:space="preserve">(NT). The </w:t>
            </w:r>
            <w:r w:rsidRPr="00021DD2">
              <w:rPr>
                <w:rFonts w:cs="Arial"/>
                <w:i/>
              </w:rPr>
              <w:t>Termination of Pregnancy Law Reform Act</w:t>
            </w:r>
            <w:r w:rsidRPr="00021DD2">
              <w:rPr>
                <w:rFonts w:cs="Arial"/>
              </w:rPr>
              <w:t xml:space="preserve"> </w:t>
            </w:r>
            <w:r w:rsidRPr="00E34166">
              <w:rPr>
                <w:rFonts w:cs="Arial"/>
                <w:i/>
              </w:rPr>
              <w:t>2017</w:t>
            </w:r>
            <w:r w:rsidRPr="00021DD2">
              <w:rPr>
                <w:rFonts w:cs="Arial"/>
              </w:rPr>
              <w:t xml:space="preserve"> was passed</w:t>
            </w:r>
            <w:r w:rsidR="00331F34">
              <w:rPr>
                <w:rFonts w:cs="Arial"/>
              </w:rPr>
              <w:t xml:space="preserve"> on</w:t>
            </w:r>
            <w:r w:rsidRPr="00021DD2">
              <w:rPr>
                <w:rFonts w:cs="Arial"/>
              </w:rPr>
              <w:t xml:space="preserve"> 21 March 2017 and commenced on 1 July 2017.</w:t>
            </w:r>
            <w:r w:rsidR="000F10F4">
              <w:rPr>
                <w:rFonts w:cs="Arial"/>
              </w:rPr>
              <w:t xml:space="preserve"> </w:t>
            </w:r>
            <w:r w:rsidRPr="00021DD2">
              <w:rPr>
                <w:rFonts w:cs="Arial"/>
              </w:rPr>
              <w:t>This legislation repealed and replaced section 11 of the</w:t>
            </w:r>
            <w:r w:rsidRPr="00021DD2">
              <w:rPr>
                <w:rFonts w:cs="Arial"/>
                <w:i/>
              </w:rPr>
              <w:t xml:space="preserve"> Medical Services Act</w:t>
            </w:r>
            <w:r w:rsidRPr="00021DD2">
              <w:rPr>
                <w:rFonts w:cs="Arial"/>
              </w:rPr>
              <w:t xml:space="preserve"> as well as parts of the </w:t>
            </w:r>
            <w:r w:rsidRPr="00021DD2">
              <w:rPr>
                <w:rFonts w:cs="Arial"/>
                <w:i/>
              </w:rPr>
              <w:t xml:space="preserve">Criminal Code Act </w:t>
            </w:r>
            <w:r w:rsidRPr="00021DD2">
              <w:rPr>
                <w:rFonts w:cs="Arial"/>
              </w:rPr>
              <w:t>which referred to the offences of procurement of an abortion, or the supply of drugs or instruments for the procuring of an abortion.</w:t>
            </w:r>
          </w:p>
          <w:p w:rsidR="00AF4D46" w:rsidRPr="00021DD2" w:rsidRDefault="00AF4D46" w:rsidP="00AF4D46">
            <w:pPr>
              <w:rPr>
                <w:rFonts w:cs="Arial"/>
              </w:rPr>
            </w:pPr>
            <w:r w:rsidRPr="00021DD2">
              <w:rPr>
                <w:rFonts w:cs="Arial"/>
              </w:rPr>
              <w:t>The Northern Territory Clinical Guidelines for Termination of Pregnancy are the ‘professional standards and guidelines’ referred to in the Act.</w:t>
            </w:r>
            <w:r w:rsidRPr="00021DD2">
              <w:rPr>
                <w:rStyle w:val="Rimandonotadichiusura"/>
                <w:rFonts w:cs="Arial"/>
              </w:rPr>
              <w:endnoteReference w:id="846"/>
            </w:r>
            <w:r w:rsidRPr="00021DD2">
              <w:rPr>
                <w:rFonts w:cs="Arial"/>
              </w:rPr>
              <w:t xml:space="preserve"> In relation to children providing consent, the Clinical Guidelines provide:</w:t>
            </w:r>
          </w:p>
          <w:p w:rsidR="00AF4D46" w:rsidRPr="00021DD2" w:rsidRDefault="00331F34" w:rsidP="00B934D7">
            <w:pPr>
              <w:pStyle w:val="Paragrafoelenco"/>
              <w:numPr>
                <w:ilvl w:val="0"/>
                <w:numId w:val="92"/>
              </w:numPr>
              <w:spacing w:before="120" w:after="120"/>
              <w:ind w:left="284"/>
              <w:contextualSpacing w:val="0"/>
              <w:jc w:val="left"/>
            </w:pPr>
            <w:r>
              <w:t>p</w:t>
            </w:r>
            <w:r w:rsidR="00AF4D46" w:rsidRPr="00021DD2">
              <w:t>ersons aged 18 years or over are presumed to have full lawful capacity to consent to medical treatment unless there is sufficient evidence to the contrary (see s</w:t>
            </w:r>
            <w:r>
              <w:t xml:space="preserve">ection </w:t>
            </w:r>
            <w:r w:rsidR="00AF4D46" w:rsidRPr="00021DD2">
              <w:t xml:space="preserve">5(2) of the </w:t>
            </w:r>
            <w:r w:rsidR="00AF4D46" w:rsidRPr="00021DD2">
              <w:rPr>
                <w:i/>
              </w:rPr>
              <w:t>Guardianship of Adults Act</w:t>
            </w:r>
            <w:r w:rsidR="00AF4D46" w:rsidRPr="00021DD2">
              <w:t>)</w:t>
            </w:r>
          </w:p>
          <w:p w:rsidR="00AF4D46" w:rsidRPr="00021DD2" w:rsidRDefault="00331F34" w:rsidP="00B934D7">
            <w:pPr>
              <w:pStyle w:val="Paragrafoelenco"/>
              <w:numPr>
                <w:ilvl w:val="0"/>
                <w:numId w:val="92"/>
              </w:numPr>
              <w:spacing w:before="120" w:after="120"/>
              <w:ind w:left="284"/>
              <w:contextualSpacing w:val="0"/>
              <w:jc w:val="left"/>
            </w:pPr>
            <w:r>
              <w:t>g</w:t>
            </w:r>
            <w:r w:rsidR="00AF4D46" w:rsidRPr="00021DD2">
              <w:t>enerally, children aged 16 years or over will be considered as mature enough and to have the relevant capacity to give consent to termination procedures</w:t>
            </w:r>
          </w:p>
          <w:p w:rsidR="00AF4D46" w:rsidRPr="00021DD2" w:rsidRDefault="00331F34" w:rsidP="00B934D7">
            <w:pPr>
              <w:pStyle w:val="Paragrafoelenco"/>
              <w:numPr>
                <w:ilvl w:val="0"/>
                <w:numId w:val="92"/>
              </w:numPr>
              <w:spacing w:before="120" w:after="120"/>
              <w:ind w:left="284"/>
              <w:contextualSpacing w:val="0"/>
              <w:jc w:val="left"/>
            </w:pPr>
            <w:r>
              <w:t>a</w:t>
            </w:r>
            <w:r w:rsidR="00AF4D46" w:rsidRPr="00021DD2">
              <w:t xml:space="preserve"> child under the age of 16 years may have capacity to give consent to medical treatment if it can be demonstrated that she meets the criteria of </w:t>
            </w:r>
            <w:r w:rsidR="00AF4D46" w:rsidRPr="00E34166">
              <w:t>Gillick</w:t>
            </w:r>
            <w:r w:rsidR="00AF4D46" w:rsidRPr="00021DD2">
              <w:rPr>
                <w:i/>
              </w:rPr>
              <w:t xml:space="preserve"> </w:t>
            </w:r>
            <w:r w:rsidR="00AF4D46" w:rsidRPr="00021DD2">
              <w:t>competence</w:t>
            </w:r>
          </w:p>
          <w:p w:rsidR="00AF4D46" w:rsidRPr="00021DD2" w:rsidRDefault="00331F34" w:rsidP="00B934D7">
            <w:pPr>
              <w:pStyle w:val="Paragrafoelenco"/>
              <w:numPr>
                <w:ilvl w:val="0"/>
                <w:numId w:val="92"/>
              </w:numPr>
              <w:spacing w:before="120" w:after="120"/>
              <w:ind w:left="284"/>
              <w:contextualSpacing w:val="0"/>
              <w:jc w:val="left"/>
            </w:pPr>
            <w:r>
              <w:t>a</w:t>
            </w:r>
            <w:r w:rsidR="00AF4D46" w:rsidRPr="00021DD2">
              <w:t xml:space="preserve"> child under the age of 14 years should not be presumed to have capacity to give consent to medical treatment. In the majority of cases a child under the age of 14 years would require a parent or person having parental authority to provide consent to treatment</w:t>
            </w:r>
          </w:p>
          <w:p w:rsidR="00AF4D46" w:rsidRPr="00021DD2" w:rsidRDefault="00331F34" w:rsidP="00B934D7">
            <w:pPr>
              <w:pStyle w:val="Paragrafoelenco"/>
              <w:numPr>
                <w:ilvl w:val="0"/>
                <w:numId w:val="92"/>
              </w:numPr>
              <w:spacing w:before="120" w:after="120"/>
              <w:ind w:left="284"/>
              <w:contextualSpacing w:val="0"/>
              <w:jc w:val="left"/>
            </w:pPr>
            <w:r>
              <w:t>f</w:t>
            </w:r>
            <w:r w:rsidR="00AF4D46" w:rsidRPr="00021DD2">
              <w:t xml:space="preserve">or a child who lacks capacity to make decisions about her day to day life or general medical treatment, it is necessary to consider seeking the consent of the child’s parent(s) or the </w:t>
            </w:r>
            <w:r>
              <w:t>c</w:t>
            </w:r>
            <w:r w:rsidR="00AF4D46" w:rsidRPr="00021DD2">
              <w:t>ourt before undertaking the proposed treatment.</w:t>
            </w:r>
          </w:p>
        </w:tc>
      </w:tr>
      <w:tr w:rsidR="00AF4D46" w:rsidRPr="00021DD2" w:rsidTr="00AF4D46">
        <w:trPr>
          <w:cnfStyle w:val="000000100000" w:firstRow="0" w:lastRow="0" w:firstColumn="0" w:lastColumn="0" w:oddVBand="0" w:evenVBand="0" w:oddHBand="1" w:evenHBand="0" w:firstRowFirstColumn="0" w:firstRowLastColumn="0" w:lastRowFirstColumn="0" w:lastRowLastColumn="0"/>
        </w:trPr>
        <w:tc>
          <w:tcPr>
            <w:tcW w:w="9067" w:type="dxa"/>
            <w:gridSpan w:val="2"/>
          </w:tcPr>
          <w:p w:rsidR="00AF4D46" w:rsidRPr="00021DD2" w:rsidRDefault="00AF4D46" w:rsidP="00AF4D46">
            <w:pPr>
              <w:rPr>
                <w:rFonts w:cs="Arial"/>
                <w:b/>
              </w:rPr>
            </w:pPr>
            <w:r w:rsidRPr="00021DD2">
              <w:rPr>
                <w:rFonts w:cs="Arial"/>
                <w:b/>
              </w:rPr>
              <w:t>South Australia</w:t>
            </w:r>
          </w:p>
        </w:tc>
      </w:tr>
      <w:tr w:rsidR="00AF4D46" w:rsidRPr="00021DD2" w:rsidTr="00AF4D46">
        <w:trPr>
          <w:cnfStyle w:val="000000010000" w:firstRow="0" w:lastRow="0" w:firstColumn="0" w:lastColumn="0" w:oddVBand="0" w:evenVBand="0" w:oddHBand="0" w:evenHBand="1" w:firstRowFirstColumn="0" w:firstRowLastColumn="0" w:lastRowFirstColumn="0" w:lastRowLastColumn="0"/>
        </w:trPr>
        <w:tc>
          <w:tcPr>
            <w:tcW w:w="2410" w:type="dxa"/>
          </w:tcPr>
          <w:p w:rsidR="00AF4D46" w:rsidRPr="00021DD2" w:rsidRDefault="00AF4D46" w:rsidP="00AF4D46">
            <w:pPr>
              <w:rPr>
                <w:rFonts w:cs="Arial"/>
                <w:b/>
              </w:rPr>
            </w:pPr>
            <w:r w:rsidRPr="00021DD2">
              <w:rPr>
                <w:rFonts w:cs="Arial"/>
              </w:rPr>
              <w:t xml:space="preserve">Legislative provisions </w:t>
            </w:r>
          </w:p>
        </w:tc>
        <w:tc>
          <w:tcPr>
            <w:tcW w:w="6657" w:type="dxa"/>
          </w:tcPr>
          <w:p w:rsidR="00AF4D46" w:rsidRPr="00021DD2" w:rsidRDefault="00AF4D46" w:rsidP="00AF4D46">
            <w:pPr>
              <w:rPr>
                <w:rFonts w:cs="Arial"/>
                <w:b/>
              </w:rPr>
            </w:pPr>
            <w:r w:rsidRPr="00021DD2">
              <w:rPr>
                <w:rFonts w:cs="Arial"/>
                <w:b/>
              </w:rPr>
              <w:t>Summary</w:t>
            </w:r>
          </w:p>
          <w:p w:rsidR="00AF4D46" w:rsidRPr="00021DD2" w:rsidRDefault="00AF4D46" w:rsidP="00AF4D46">
            <w:pPr>
              <w:rPr>
                <w:rFonts w:cs="Arial"/>
              </w:rPr>
            </w:pPr>
            <w:r w:rsidRPr="00021DD2">
              <w:rPr>
                <w:rFonts w:cs="Arial"/>
              </w:rPr>
              <w:t xml:space="preserve">Unlike other states and territories where the age of consent to medical treatment is 18 years and the common law principles in </w:t>
            </w:r>
            <w:r w:rsidRPr="00021DD2">
              <w:rPr>
                <w:rFonts w:cs="Arial"/>
                <w:i/>
              </w:rPr>
              <w:t xml:space="preserve">Gillick </w:t>
            </w:r>
            <w:r w:rsidRPr="00021DD2">
              <w:rPr>
                <w:rFonts w:cs="Arial"/>
              </w:rPr>
              <w:t xml:space="preserve">and </w:t>
            </w:r>
            <w:r w:rsidRPr="00021DD2">
              <w:rPr>
                <w:rFonts w:cs="Arial"/>
                <w:i/>
              </w:rPr>
              <w:t>Marion’s Case</w:t>
            </w:r>
            <w:r w:rsidRPr="00021DD2">
              <w:rPr>
                <w:rFonts w:cs="Arial"/>
              </w:rPr>
              <w:t xml:space="preserve"> would apply, South Australia’s law provides that a child aged 16 years or over may consent to or refuse medical treatment or healthcare as validly and effectively as an adult. The doctor must explain the treatment, consequences, risks and any alternatives of the treatment.</w:t>
            </w:r>
          </w:p>
          <w:p w:rsidR="00AF4D46" w:rsidRPr="00021DD2" w:rsidRDefault="00AF4D46" w:rsidP="00AF4D46">
            <w:pPr>
              <w:rPr>
                <w:rFonts w:cs="Arial"/>
              </w:rPr>
            </w:pPr>
            <w:r w:rsidRPr="00021DD2">
              <w:rPr>
                <w:rFonts w:cs="Arial"/>
              </w:rPr>
              <w:t>For children aged under 16 years to receive a prescription for contraception without parental consent, two doctors who have personally examined the child must be of the opinion that the child is capable of understanding the nature, consequences and risks of the treatment and that the treatment is in the best interests of the child.</w:t>
            </w:r>
            <w:r w:rsidR="000F10F4">
              <w:rPr>
                <w:rFonts w:cs="Arial"/>
              </w:rPr>
              <w:t xml:space="preserve"> </w:t>
            </w:r>
          </w:p>
          <w:p w:rsidR="00AF4D46" w:rsidRPr="00021DD2" w:rsidRDefault="00AF4D46" w:rsidP="00AF4D46">
            <w:pPr>
              <w:rPr>
                <w:rFonts w:cs="Arial"/>
              </w:rPr>
            </w:pPr>
            <w:r w:rsidRPr="00021DD2">
              <w:rPr>
                <w:rFonts w:cs="Arial"/>
                <w:b/>
                <w:i/>
              </w:rPr>
              <w:t>Consent to Medical Treatment and Palliative Care Act</w:t>
            </w:r>
            <w:r w:rsidRPr="00021DD2">
              <w:rPr>
                <w:rFonts w:cs="Arial"/>
                <w:b/>
              </w:rPr>
              <w:t xml:space="preserve"> </w:t>
            </w:r>
            <w:r w:rsidRPr="00021DD2">
              <w:rPr>
                <w:rFonts w:cs="Arial"/>
                <w:b/>
                <w:i/>
              </w:rPr>
              <w:t>1995</w:t>
            </w:r>
            <w:r w:rsidRPr="00021DD2">
              <w:rPr>
                <w:rFonts w:cs="Arial"/>
                <w:i/>
              </w:rPr>
              <w:t xml:space="preserve"> </w:t>
            </w:r>
            <w:r w:rsidRPr="00021DD2">
              <w:rPr>
                <w:rFonts w:cs="Arial"/>
                <w:b/>
              </w:rPr>
              <w:t>(SA)</w:t>
            </w:r>
          </w:p>
          <w:p w:rsidR="00AF4D46" w:rsidRPr="00021DD2" w:rsidRDefault="00AF4D46" w:rsidP="00AF4D46">
            <w:pPr>
              <w:rPr>
                <w:rFonts w:cs="Arial"/>
                <w:i/>
              </w:rPr>
            </w:pPr>
            <w:r w:rsidRPr="00021DD2">
              <w:rPr>
                <w:rFonts w:cs="Arial"/>
                <w:i/>
              </w:rPr>
              <w:t>Section 6 —Legal competence to consent to medical treatment</w:t>
            </w:r>
          </w:p>
          <w:p w:rsidR="00AF4D46" w:rsidRPr="00021DD2" w:rsidRDefault="00AF4D46" w:rsidP="00AF4D46">
            <w:pPr>
              <w:rPr>
                <w:rFonts w:cs="Arial"/>
              </w:rPr>
            </w:pPr>
            <w:r w:rsidRPr="00021DD2">
              <w:rPr>
                <w:rFonts w:cs="Arial"/>
              </w:rPr>
              <w:t>A person of or over 16 years of age may make decisions about his or her own medical treatment as validly and effectively as an adult.</w:t>
            </w:r>
          </w:p>
          <w:p w:rsidR="00AF4D46" w:rsidRPr="00021DD2" w:rsidRDefault="00AF4D46" w:rsidP="00AF4D46">
            <w:pPr>
              <w:rPr>
                <w:rFonts w:cs="Arial"/>
                <w:i/>
              </w:rPr>
            </w:pPr>
            <w:r w:rsidRPr="00021DD2">
              <w:rPr>
                <w:rFonts w:cs="Arial"/>
                <w:i/>
              </w:rPr>
              <w:t>Section 12—Administration of medical treatment to a child</w:t>
            </w:r>
          </w:p>
          <w:p w:rsidR="00AF4D46" w:rsidRPr="00021DD2" w:rsidRDefault="00AF4D46" w:rsidP="00AF4D46">
            <w:pPr>
              <w:rPr>
                <w:rFonts w:cs="Arial"/>
              </w:rPr>
            </w:pPr>
            <w:r w:rsidRPr="00021DD2">
              <w:rPr>
                <w:rFonts w:cs="Arial"/>
              </w:rPr>
              <w:t xml:space="preserve">A medical practitioner may administer medical treatment to a child if— </w:t>
            </w:r>
          </w:p>
          <w:p w:rsidR="00AF4D46" w:rsidRPr="00021DD2" w:rsidRDefault="00AF4D46" w:rsidP="00B934D7">
            <w:pPr>
              <w:pStyle w:val="Paragrafoelenco"/>
              <w:numPr>
                <w:ilvl w:val="0"/>
                <w:numId w:val="93"/>
              </w:numPr>
              <w:spacing w:before="120" w:after="120"/>
              <w:contextualSpacing w:val="0"/>
              <w:jc w:val="left"/>
            </w:pPr>
            <w:r w:rsidRPr="00021DD2">
              <w:t>the parent or guardian consents; or</w:t>
            </w:r>
          </w:p>
          <w:p w:rsidR="00AF4D46" w:rsidRPr="00021DD2" w:rsidRDefault="00AF4D46" w:rsidP="00B934D7">
            <w:pPr>
              <w:pStyle w:val="Paragrafoelenco"/>
              <w:numPr>
                <w:ilvl w:val="0"/>
                <w:numId w:val="93"/>
              </w:numPr>
              <w:spacing w:before="120" w:after="120"/>
              <w:contextualSpacing w:val="0"/>
              <w:jc w:val="left"/>
            </w:pPr>
            <w:r w:rsidRPr="00021DD2">
              <w:t>the child consents and—</w:t>
            </w:r>
          </w:p>
          <w:p w:rsidR="00AF4D46" w:rsidRPr="00021DD2" w:rsidRDefault="00AF4D46" w:rsidP="00AF4D46">
            <w:pPr>
              <w:ind w:left="1080"/>
              <w:rPr>
                <w:rFonts w:cs="Arial"/>
              </w:rPr>
            </w:pPr>
            <w:r w:rsidRPr="00021DD2">
              <w:rPr>
                <w:rFonts w:cs="Arial"/>
              </w:rPr>
              <w:t xml:space="preserve">(i)  the medical practitioner who is to administer the treatment is of the opinion that the child is capable of understanding the nature, consequences and risks of the treatment and that the treatment is in the best interest of the child's health and well-being; and </w:t>
            </w:r>
          </w:p>
          <w:p w:rsidR="00AF4D46" w:rsidRPr="00021DD2" w:rsidRDefault="00AF4D46" w:rsidP="00AF4D46">
            <w:pPr>
              <w:ind w:left="1080"/>
              <w:rPr>
                <w:rFonts w:cs="Arial"/>
              </w:rPr>
            </w:pPr>
            <w:r w:rsidRPr="00021DD2">
              <w:rPr>
                <w:rFonts w:cs="Arial"/>
              </w:rPr>
              <w:t>(ii) that opinion is supported by the written opinion of at least one other medical practitioner who personally examines the child before the treatment is commenced.</w:t>
            </w:r>
          </w:p>
          <w:p w:rsidR="00AF4D46" w:rsidRPr="00021DD2" w:rsidRDefault="00AF4D46" w:rsidP="00AF4D46">
            <w:pPr>
              <w:rPr>
                <w:rFonts w:cs="Arial"/>
              </w:rPr>
            </w:pPr>
            <w:r w:rsidRPr="00021DD2">
              <w:rPr>
                <w:rFonts w:cs="Arial"/>
              </w:rPr>
              <w:t>Note the following legislative definitions:</w:t>
            </w:r>
          </w:p>
          <w:p w:rsidR="00AF4D46" w:rsidRPr="00021DD2" w:rsidRDefault="00AF4D46" w:rsidP="00B934D7">
            <w:pPr>
              <w:pStyle w:val="Paragrafoelenco"/>
              <w:numPr>
                <w:ilvl w:val="0"/>
                <w:numId w:val="77"/>
              </w:numPr>
              <w:spacing w:before="120" w:after="120"/>
              <w:contextualSpacing w:val="0"/>
              <w:jc w:val="left"/>
            </w:pPr>
            <w:r w:rsidRPr="00021DD2">
              <w:t>“child” means a person under 16 years of age: section 4</w:t>
            </w:r>
          </w:p>
          <w:p w:rsidR="00AF4D46" w:rsidRPr="00021DD2" w:rsidRDefault="00AF4D46" w:rsidP="00B934D7">
            <w:pPr>
              <w:pStyle w:val="Paragrafoelenco"/>
              <w:numPr>
                <w:ilvl w:val="0"/>
                <w:numId w:val="77"/>
              </w:numPr>
              <w:spacing w:before="120" w:after="120"/>
              <w:contextualSpacing w:val="0"/>
              <w:jc w:val="left"/>
            </w:pPr>
            <w:r w:rsidRPr="00021DD2">
              <w:t xml:space="preserve">“medical treatment” includes the prescription or supply of drugs: section 4. </w:t>
            </w:r>
          </w:p>
          <w:p w:rsidR="00AF4D46" w:rsidRPr="00021DD2" w:rsidRDefault="00AF4D46" w:rsidP="00AF4D46">
            <w:pPr>
              <w:rPr>
                <w:rFonts w:cs="Arial"/>
              </w:rPr>
            </w:pPr>
            <w:r w:rsidRPr="00021DD2">
              <w:rPr>
                <w:rFonts w:cs="Arial"/>
                <w:b/>
                <w:i/>
              </w:rPr>
              <w:t>Criminal Law Consolidation Act</w:t>
            </w:r>
            <w:r w:rsidRPr="00021DD2">
              <w:rPr>
                <w:rFonts w:cs="Arial"/>
                <w:b/>
              </w:rPr>
              <w:t xml:space="preserve"> 1935 (SA)</w:t>
            </w:r>
          </w:p>
          <w:p w:rsidR="00AF4D46" w:rsidRPr="00021DD2" w:rsidRDefault="00AF4D46" w:rsidP="00AF4D46">
            <w:pPr>
              <w:rPr>
                <w:rFonts w:cs="Arial"/>
                <w:i/>
              </w:rPr>
            </w:pPr>
            <w:r w:rsidRPr="00021DD2">
              <w:rPr>
                <w:rFonts w:cs="Arial"/>
                <w:i/>
              </w:rPr>
              <w:t>Section 82A - Medical termination of pregnancy</w:t>
            </w:r>
          </w:p>
          <w:p w:rsidR="00AF4D46" w:rsidRPr="00021DD2" w:rsidRDefault="00AF4D46" w:rsidP="00AF4D46">
            <w:pPr>
              <w:ind w:left="284" w:hanging="284"/>
              <w:rPr>
                <w:rFonts w:cs="Arial"/>
              </w:rPr>
            </w:pPr>
            <w:r w:rsidRPr="00021DD2">
              <w:rPr>
                <w:rFonts w:cs="Arial"/>
              </w:rPr>
              <w:t xml:space="preserve">(1) Notwithstanding anything contained in section 81 or 82, but subject to this section, a person shall not be guilty of an offence under either of those sections— </w:t>
            </w:r>
          </w:p>
          <w:p w:rsidR="00AF4D46" w:rsidRPr="00021DD2" w:rsidRDefault="00AF4D46" w:rsidP="00B934D7">
            <w:pPr>
              <w:pStyle w:val="Paragrafoelenco"/>
              <w:numPr>
                <w:ilvl w:val="0"/>
                <w:numId w:val="94"/>
              </w:numPr>
              <w:spacing w:before="120" w:after="120"/>
              <w:contextualSpacing w:val="0"/>
              <w:jc w:val="left"/>
            </w:pPr>
            <w:r w:rsidRPr="00021DD2">
              <w:t xml:space="preserve">if the pregnancy of a woman is terminated by a legally qualified medical practitioner in a case where he and one other legally qualified medical practitioner are of the opinion, formed in good faith after both have personally examined the woman— </w:t>
            </w:r>
          </w:p>
          <w:p w:rsidR="00AF4D46" w:rsidRPr="00021DD2" w:rsidRDefault="00AF4D46" w:rsidP="00AF4D46">
            <w:pPr>
              <w:ind w:left="1474"/>
              <w:rPr>
                <w:rFonts w:cs="Arial"/>
              </w:rPr>
            </w:pPr>
            <w:r w:rsidRPr="00021DD2">
              <w:rPr>
                <w:rFonts w:cs="Arial"/>
              </w:rPr>
              <w:t xml:space="preserve">(i)  that the continuance of the pregnancy would involve greater risk to the life of the pregnant woman, or greater risk of injury to the physical or mental health of the pregnant woman, than if the pregnancy were terminated; or </w:t>
            </w:r>
          </w:p>
          <w:p w:rsidR="00AF4D46" w:rsidRPr="00021DD2" w:rsidRDefault="00AF4D46" w:rsidP="00AF4D46">
            <w:pPr>
              <w:ind w:left="1474"/>
              <w:rPr>
                <w:rFonts w:cs="Arial"/>
              </w:rPr>
            </w:pPr>
            <w:r w:rsidRPr="00021DD2">
              <w:rPr>
                <w:rFonts w:cs="Arial"/>
              </w:rPr>
              <w:t xml:space="preserve">(ii) that there is a substantial risk that, if the pregnancy were not terminated and the child were born to the pregnant woman, the child would suffer from such physical or mental abnormalities as to be seriously handicapped, and where the treatment for the termination of the pregnancy is carried out in a hospital, or a hospital of a class, declared by regulation to be a prescribed hospital, or a hospital of a prescribed class, for the purposes of this section; or </w:t>
            </w:r>
          </w:p>
          <w:p w:rsidR="00AF4D46" w:rsidRPr="00021DD2" w:rsidRDefault="00AF4D46" w:rsidP="00B934D7">
            <w:pPr>
              <w:pStyle w:val="Paragrafoelenco"/>
              <w:numPr>
                <w:ilvl w:val="0"/>
                <w:numId w:val="94"/>
              </w:numPr>
              <w:spacing w:before="120" w:after="120"/>
              <w:contextualSpacing w:val="0"/>
              <w:jc w:val="left"/>
            </w:pPr>
            <w:r w:rsidRPr="00021DD2">
              <w:t xml:space="preserve">if the pregnancy of a woman is terminated by a legally qualified medical practitioner in a case where he is of the opinion, formed in good faith, that the termination is immediately necessary to save the life, or to prevent grave injury to the physical or mental health, of the pregnant woman. </w:t>
            </w:r>
          </w:p>
          <w:p w:rsidR="00AF4D46" w:rsidRPr="00021DD2" w:rsidRDefault="00AF4D46" w:rsidP="00AF4D46">
            <w:pPr>
              <w:ind w:left="284" w:hanging="284"/>
              <w:rPr>
                <w:rFonts w:cs="Arial"/>
              </w:rPr>
            </w:pPr>
            <w:r w:rsidRPr="00021DD2">
              <w:rPr>
                <w:rFonts w:cs="Arial"/>
              </w:rPr>
              <w:t>(2)</w:t>
            </w:r>
            <w:r w:rsidR="00955DD8">
              <w:rPr>
                <w:rFonts w:cs="Arial"/>
              </w:rPr>
              <w:t xml:space="preserve"> </w:t>
            </w:r>
            <w:r w:rsidRPr="00021DD2">
              <w:rPr>
                <w:rFonts w:cs="Arial"/>
              </w:rPr>
              <w:t>Subsection (1)(a) does not refer or apply to any woman who has not resided in South Australia for a period of at least two months before the termination of her pregnancy.</w:t>
            </w:r>
          </w:p>
          <w:p w:rsidR="00AF4D46" w:rsidRPr="00021DD2" w:rsidRDefault="00AF4D46" w:rsidP="00AF4D46">
            <w:pPr>
              <w:ind w:left="284" w:hanging="284"/>
              <w:rPr>
                <w:rFonts w:cs="Arial"/>
              </w:rPr>
            </w:pPr>
            <w:r w:rsidRPr="00021DD2">
              <w:rPr>
                <w:rFonts w:cs="Arial"/>
              </w:rPr>
              <w:t>(3) In determining whether the continuance of a pregnancy would involve such risk of injury to the physical or mental health of a pregnant woman as is mentioned in subsection (1)(a)(i), account may be taken of the pregnant woman's actual or reasonably foreseeable environment.</w:t>
            </w:r>
          </w:p>
          <w:p w:rsidR="00AF4D46" w:rsidRPr="00021DD2" w:rsidRDefault="00AF4D46" w:rsidP="00AF4D46">
            <w:pPr>
              <w:rPr>
                <w:rFonts w:cs="Arial"/>
              </w:rPr>
            </w:pPr>
            <w:r w:rsidRPr="00021DD2">
              <w:rPr>
                <w:rFonts w:cs="Arial"/>
              </w:rPr>
              <w:t>(4)</w:t>
            </w:r>
            <w:r w:rsidR="00955DD8">
              <w:rPr>
                <w:rFonts w:cs="Arial"/>
              </w:rPr>
              <w:t xml:space="preserve"> </w:t>
            </w:r>
            <w:r w:rsidRPr="00021DD2">
              <w:rPr>
                <w:rFonts w:cs="Arial"/>
              </w:rPr>
              <w:t xml:space="preserve">The Governor may make regulations— </w:t>
            </w:r>
          </w:p>
          <w:p w:rsidR="00AF4D46" w:rsidRPr="00021DD2" w:rsidRDefault="00AF4D46" w:rsidP="00B934D7">
            <w:pPr>
              <w:pStyle w:val="Paragrafoelenco"/>
              <w:numPr>
                <w:ilvl w:val="0"/>
                <w:numId w:val="95"/>
              </w:numPr>
              <w:spacing w:before="120" w:after="120"/>
              <w:contextualSpacing w:val="0"/>
              <w:jc w:val="left"/>
            </w:pPr>
            <w:r w:rsidRPr="00021DD2">
              <w:t xml:space="preserve">for requiring any such opinion as is referred to in subsection (1) to be certified by the legally qualified medical practitioners or practitioner concerned in such form and at or within such time as may be prescribed and for requiring the preservation and disposal of any such certificate made for the purposes of this Act; and </w:t>
            </w:r>
          </w:p>
          <w:p w:rsidR="00AF4D46" w:rsidRPr="00021DD2" w:rsidRDefault="00AF4D46" w:rsidP="00B934D7">
            <w:pPr>
              <w:pStyle w:val="Paragrafoelenco"/>
              <w:numPr>
                <w:ilvl w:val="0"/>
                <w:numId w:val="95"/>
              </w:numPr>
              <w:spacing w:before="120" w:after="120"/>
              <w:contextualSpacing w:val="0"/>
              <w:jc w:val="left"/>
            </w:pPr>
            <w:r w:rsidRPr="00021DD2">
              <w:t xml:space="preserve">for requiring any legally qualified medical practitioner who terminates a pregnancy, and the superintendent or manager of the hospital in which the termination is carried out, to give notice of the termination and such other information relating to the termination as may be prescribed to the Director-General of Medical Services; and </w:t>
            </w:r>
          </w:p>
          <w:p w:rsidR="00AF4D46" w:rsidRPr="00021DD2" w:rsidRDefault="00AF4D46" w:rsidP="00B934D7">
            <w:pPr>
              <w:pStyle w:val="Paragrafoelenco"/>
              <w:numPr>
                <w:ilvl w:val="0"/>
                <w:numId w:val="95"/>
              </w:numPr>
              <w:spacing w:before="120" w:after="120"/>
              <w:contextualSpacing w:val="0"/>
              <w:jc w:val="left"/>
            </w:pPr>
            <w:r w:rsidRPr="00021DD2">
              <w:t xml:space="preserve">for prohibiting the disclosure, except to such persons or for such purposes as may be prescribed, of notices or information given pursuant to the regulations; and </w:t>
            </w:r>
          </w:p>
          <w:p w:rsidR="00AF4D46" w:rsidRPr="00021DD2" w:rsidRDefault="00AF4D46" w:rsidP="00B934D7">
            <w:pPr>
              <w:pStyle w:val="Paragrafoelenco"/>
              <w:numPr>
                <w:ilvl w:val="0"/>
                <w:numId w:val="95"/>
              </w:numPr>
              <w:spacing w:before="120" w:after="120"/>
              <w:contextualSpacing w:val="0"/>
              <w:jc w:val="left"/>
            </w:pPr>
            <w:r w:rsidRPr="00021DD2">
              <w:t xml:space="preserve">declaring a particular hospital or a class of hospitals to be a prescribed hospital or a prescribed class of hospitals for the purposes of this section; and </w:t>
            </w:r>
          </w:p>
          <w:p w:rsidR="00AF4D46" w:rsidRPr="00021DD2" w:rsidRDefault="00AF4D46" w:rsidP="00B934D7">
            <w:pPr>
              <w:pStyle w:val="Paragrafoelenco"/>
              <w:numPr>
                <w:ilvl w:val="0"/>
                <w:numId w:val="95"/>
              </w:numPr>
              <w:spacing w:before="120" w:after="120"/>
              <w:contextualSpacing w:val="0"/>
              <w:jc w:val="left"/>
            </w:pPr>
            <w:r w:rsidRPr="00021DD2">
              <w:t xml:space="preserve">for providing for, and prescribing, any penalty, not exceeding two hundred dollars, for any contravention of, or failure to comply with, any regulations. </w:t>
            </w:r>
          </w:p>
          <w:p w:rsidR="00AF4D46" w:rsidRPr="00021DD2" w:rsidRDefault="00AF4D46" w:rsidP="00AF4D46">
            <w:pPr>
              <w:ind w:left="284" w:hanging="284"/>
              <w:rPr>
                <w:rFonts w:cs="Arial"/>
              </w:rPr>
            </w:pPr>
            <w:r w:rsidRPr="00021DD2">
              <w:rPr>
                <w:rFonts w:cs="Arial"/>
              </w:rPr>
              <w:t xml:space="preserve">(5) Subject to subsection (6), no person is under a duty, whether by contract or by any statutory or other legal requirement, to participate in any treatment authorised by this section to which he has a conscientious objection, but in any legal proceedings the burden of proof of conscientious objection rests on the person claiming to rely on it. </w:t>
            </w:r>
          </w:p>
          <w:p w:rsidR="00AF4D46" w:rsidRPr="00021DD2" w:rsidRDefault="00AF4D46" w:rsidP="00AF4D46">
            <w:pPr>
              <w:ind w:left="284" w:hanging="284"/>
              <w:rPr>
                <w:rFonts w:cs="Arial"/>
              </w:rPr>
            </w:pPr>
            <w:r w:rsidRPr="00021DD2">
              <w:rPr>
                <w:rFonts w:cs="Arial"/>
              </w:rPr>
              <w:t xml:space="preserve">(6) Nothing in subsection (5) affects any duty to participate in treatment which is necessary to save the life, or to prevent grave injury to the physical or mental health, of a pregnant woman. </w:t>
            </w:r>
          </w:p>
          <w:p w:rsidR="00AF4D46" w:rsidRPr="00021DD2" w:rsidRDefault="00AF4D46" w:rsidP="00AF4D46">
            <w:pPr>
              <w:ind w:left="284" w:hanging="284"/>
              <w:rPr>
                <w:rFonts w:cs="Arial"/>
              </w:rPr>
            </w:pPr>
            <w:r w:rsidRPr="00021DD2">
              <w:rPr>
                <w:rFonts w:cs="Arial"/>
              </w:rPr>
              <w:t xml:space="preserve">(7) The provisions of subsection (1) do not apply to, or in relation to, a person who, with intent to destroy the life of a child capable of being born alive, by any wilful act causes such a child to die before it has an existence independent of its mother where it is proved that the act which caused the death of the child was not done in good faith for the purpose only of preserving the life of the mother. </w:t>
            </w:r>
          </w:p>
          <w:p w:rsidR="00AF4D46" w:rsidRPr="00021DD2" w:rsidRDefault="00AF4D46" w:rsidP="00AF4D46">
            <w:pPr>
              <w:ind w:left="284" w:hanging="284"/>
              <w:rPr>
                <w:rFonts w:cs="Arial"/>
              </w:rPr>
            </w:pPr>
            <w:r w:rsidRPr="00021DD2">
              <w:rPr>
                <w:rFonts w:cs="Arial"/>
              </w:rPr>
              <w:t xml:space="preserve">(8) For the purposes of subsection (7), evidence that a woman had at any material time been pregnant for a period of twenty-eight weeks or more shall be prima facie proof that she was at that time pregnant of a child capable of being born alive. </w:t>
            </w:r>
          </w:p>
          <w:p w:rsidR="00AF4D46" w:rsidRPr="00021DD2" w:rsidRDefault="00AF4D46" w:rsidP="00AF4D46">
            <w:pPr>
              <w:ind w:left="284" w:hanging="284"/>
              <w:rPr>
                <w:rFonts w:cs="Arial"/>
              </w:rPr>
            </w:pPr>
            <w:r w:rsidRPr="00021DD2">
              <w:rPr>
                <w:rFonts w:cs="Arial"/>
              </w:rPr>
              <w:t>(9) For the purposes of sections 81 and 82, anything done with intent to procure the miscarriage of a woman is unlawfully done unless authorised by this section.</w:t>
            </w:r>
            <w:r w:rsidR="000F10F4">
              <w:rPr>
                <w:rFonts w:cs="Arial"/>
              </w:rPr>
              <w:t xml:space="preserve">  </w:t>
            </w:r>
            <w:r w:rsidRPr="00021DD2">
              <w:rPr>
                <w:rFonts w:cs="Arial"/>
              </w:rPr>
              <w:t xml:space="preserve"> </w:t>
            </w:r>
          </w:p>
          <w:p w:rsidR="00AF4D46" w:rsidRPr="00021DD2" w:rsidRDefault="00AF4D46" w:rsidP="00AF4D46">
            <w:pPr>
              <w:ind w:left="284" w:hanging="284"/>
              <w:rPr>
                <w:rFonts w:cs="Arial"/>
              </w:rPr>
            </w:pPr>
            <w:r w:rsidRPr="00021DD2">
              <w:rPr>
                <w:rFonts w:cs="Arial"/>
              </w:rPr>
              <w:t>(10) In this section and in sections 81 and 82— woman means any female person of any age.</w:t>
            </w:r>
          </w:p>
        </w:tc>
      </w:tr>
      <w:tr w:rsidR="00AF4D46" w:rsidRPr="00021DD2" w:rsidTr="00AF4D46">
        <w:trPr>
          <w:cnfStyle w:val="000000100000" w:firstRow="0" w:lastRow="0" w:firstColumn="0" w:lastColumn="0" w:oddVBand="0" w:evenVBand="0" w:oddHBand="1" w:evenHBand="0" w:firstRowFirstColumn="0" w:firstRowLastColumn="0" w:lastRowFirstColumn="0" w:lastRowLastColumn="0"/>
        </w:trPr>
        <w:tc>
          <w:tcPr>
            <w:tcW w:w="2410" w:type="dxa"/>
          </w:tcPr>
          <w:p w:rsidR="00AF4D46" w:rsidRPr="00021DD2" w:rsidRDefault="00AF4D46" w:rsidP="00AF4D46">
            <w:pPr>
              <w:rPr>
                <w:rFonts w:cs="Arial"/>
                <w:b/>
              </w:rPr>
            </w:pPr>
            <w:r w:rsidRPr="00021DD2">
              <w:rPr>
                <w:rFonts w:cs="Arial"/>
              </w:rPr>
              <w:t>Case law</w:t>
            </w:r>
          </w:p>
        </w:tc>
        <w:tc>
          <w:tcPr>
            <w:tcW w:w="6657" w:type="dxa"/>
          </w:tcPr>
          <w:p w:rsidR="00AF4D46" w:rsidRPr="00021DD2" w:rsidRDefault="00AF4D46" w:rsidP="00AF4D46">
            <w:pPr>
              <w:rPr>
                <w:rFonts w:cs="Arial"/>
              </w:rPr>
            </w:pPr>
            <w:r w:rsidRPr="00021DD2">
              <w:rPr>
                <w:rFonts w:cs="Arial"/>
              </w:rPr>
              <w:t xml:space="preserve">The principles of </w:t>
            </w:r>
            <w:r w:rsidRPr="00021DD2">
              <w:rPr>
                <w:rFonts w:cs="Arial"/>
                <w:i/>
              </w:rPr>
              <w:t xml:space="preserve">Gillick </w:t>
            </w:r>
            <w:r w:rsidRPr="00021DD2">
              <w:rPr>
                <w:rFonts w:cs="Arial"/>
              </w:rPr>
              <w:t xml:space="preserve">and </w:t>
            </w:r>
            <w:r w:rsidRPr="00021DD2">
              <w:rPr>
                <w:rFonts w:cs="Arial"/>
                <w:i/>
              </w:rPr>
              <w:t xml:space="preserve">Marion’s </w:t>
            </w:r>
            <w:r w:rsidR="00331F34">
              <w:rPr>
                <w:rFonts w:cs="Arial"/>
                <w:i/>
              </w:rPr>
              <w:t>C</w:t>
            </w:r>
            <w:r w:rsidRPr="00021DD2">
              <w:rPr>
                <w:rFonts w:cs="Arial"/>
                <w:i/>
              </w:rPr>
              <w:t>ase</w:t>
            </w:r>
            <w:r w:rsidRPr="00021DD2">
              <w:rPr>
                <w:rFonts w:cs="Arial"/>
              </w:rPr>
              <w:t xml:space="preserve"> would likely apply to a medical practitioner assessing whether a child is capable of providing informed consent to an abortion.</w:t>
            </w:r>
          </w:p>
        </w:tc>
      </w:tr>
      <w:tr w:rsidR="00AF4D46" w:rsidRPr="00021DD2" w:rsidTr="00AF4D46">
        <w:trPr>
          <w:cnfStyle w:val="000000010000" w:firstRow="0" w:lastRow="0" w:firstColumn="0" w:lastColumn="0" w:oddVBand="0" w:evenVBand="0" w:oddHBand="0" w:evenHBand="1" w:firstRowFirstColumn="0" w:firstRowLastColumn="0" w:lastRowFirstColumn="0" w:lastRowLastColumn="0"/>
        </w:trPr>
        <w:tc>
          <w:tcPr>
            <w:tcW w:w="2410" w:type="dxa"/>
          </w:tcPr>
          <w:p w:rsidR="00AF4D46" w:rsidRPr="00021DD2" w:rsidRDefault="00AF4D46" w:rsidP="00AF4D46">
            <w:pPr>
              <w:rPr>
                <w:rFonts w:cs="Arial"/>
                <w:b/>
              </w:rPr>
            </w:pPr>
            <w:r w:rsidRPr="00021DD2">
              <w:rPr>
                <w:rFonts w:cs="Arial"/>
              </w:rPr>
              <w:t>Other relevant information</w:t>
            </w:r>
          </w:p>
        </w:tc>
        <w:tc>
          <w:tcPr>
            <w:tcW w:w="6657" w:type="dxa"/>
          </w:tcPr>
          <w:p w:rsidR="00AF4D46" w:rsidRPr="00021DD2" w:rsidRDefault="00AF4D46" w:rsidP="00AF4D46">
            <w:pPr>
              <w:rPr>
                <w:rFonts w:cs="Arial"/>
              </w:rPr>
            </w:pPr>
            <w:r w:rsidRPr="00021DD2">
              <w:rPr>
                <w:rFonts w:cs="Arial"/>
              </w:rPr>
              <w:t xml:space="preserve">See also sections 81 and 82 of the </w:t>
            </w:r>
            <w:r w:rsidRPr="00021DD2">
              <w:rPr>
                <w:rFonts w:cs="Arial"/>
                <w:i/>
              </w:rPr>
              <w:t>Criminal Law Consolidation Act</w:t>
            </w:r>
            <w:r w:rsidRPr="00021DD2">
              <w:rPr>
                <w:rFonts w:cs="Arial"/>
              </w:rPr>
              <w:t xml:space="preserve"> which set out when abortions will be unlawful.</w:t>
            </w:r>
          </w:p>
          <w:p w:rsidR="00AF4D46" w:rsidRPr="00021DD2" w:rsidRDefault="00AF4D46" w:rsidP="00AF4D46">
            <w:pPr>
              <w:rPr>
                <w:rFonts w:cs="Arial"/>
              </w:rPr>
            </w:pPr>
            <w:r w:rsidRPr="00021DD2">
              <w:rPr>
                <w:rFonts w:cs="Arial"/>
              </w:rPr>
              <w:t>Even where a doctor considers a child is able to consent, if the child is aged under 14 years, some medical centres may require the child to have parental permission before they perform an abortion procedure.</w:t>
            </w:r>
            <w:r w:rsidRPr="00021DD2">
              <w:rPr>
                <w:rStyle w:val="Rimandonotadichiusura"/>
                <w:rFonts w:cs="Arial"/>
              </w:rPr>
              <w:endnoteReference w:id="847"/>
            </w:r>
          </w:p>
        </w:tc>
      </w:tr>
      <w:tr w:rsidR="00AF4D46" w:rsidRPr="00021DD2" w:rsidTr="00AF4D46">
        <w:trPr>
          <w:cnfStyle w:val="000000100000" w:firstRow="0" w:lastRow="0" w:firstColumn="0" w:lastColumn="0" w:oddVBand="0" w:evenVBand="0" w:oddHBand="1" w:evenHBand="0" w:firstRowFirstColumn="0" w:firstRowLastColumn="0" w:lastRowFirstColumn="0" w:lastRowLastColumn="0"/>
        </w:trPr>
        <w:tc>
          <w:tcPr>
            <w:tcW w:w="9067" w:type="dxa"/>
            <w:gridSpan w:val="2"/>
          </w:tcPr>
          <w:p w:rsidR="00AF4D46" w:rsidRPr="00021DD2" w:rsidRDefault="00AF4D46" w:rsidP="00AF4D46">
            <w:pPr>
              <w:rPr>
                <w:rFonts w:cs="Arial"/>
                <w:b/>
              </w:rPr>
            </w:pPr>
            <w:r w:rsidRPr="00021DD2">
              <w:rPr>
                <w:rFonts w:cs="Arial"/>
                <w:b/>
              </w:rPr>
              <w:t>Tasmania</w:t>
            </w:r>
          </w:p>
        </w:tc>
      </w:tr>
      <w:tr w:rsidR="00AF4D46" w:rsidRPr="00021DD2" w:rsidTr="00AF4D46">
        <w:trPr>
          <w:cnfStyle w:val="000000010000" w:firstRow="0" w:lastRow="0" w:firstColumn="0" w:lastColumn="0" w:oddVBand="0" w:evenVBand="0" w:oddHBand="0" w:evenHBand="1" w:firstRowFirstColumn="0" w:firstRowLastColumn="0" w:lastRowFirstColumn="0" w:lastRowLastColumn="0"/>
        </w:trPr>
        <w:tc>
          <w:tcPr>
            <w:tcW w:w="2410" w:type="dxa"/>
          </w:tcPr>
          <w:p w:rsidR="00AF4D46" w:rsidRPr="00021DD2" w:rsidRDefault="00AF4D46" w:rsidP="00AF4D46">
            <w:pPr>
              <w:rPr>
                <w:rFonts w:cs="Arial"/>
                <w:b/>
              </w:rPr>
            </w:pPr>
            <w:r w:rsidRPr="00021DD2">
              <w:rPr>
                <w:rFonts w:cs="Arial"/>
              </w:rPr>
              <w:t xml:space="preserve">Legislative provisions </w:t>
            </w:r>
          </w:p>
        </w:tc>
        <w:tc>
          <w:tcPr>
            <w:tcW w:w="6657" w:type="dxa"/>
          </w:tcPr>
          <w:p w:rsidR="00AF4D46" w:rsidRPr="00021DD2" w:rsidRDefault="00AF4D46" w:rsidP="00AF4D46">
            <w:pPr>
              <w:rPr>
                <w:rFonts w:cs="Arial"/>
                <w:b/>
              </w:rPr>
            </w:pPr>
            <w:r w:rsidRPr="00021DD2">
              <w:rPr>
                <w:rFonts w:cs="Arial"/>
                <w:b/>
                <w:i/>
              </w:rPr>
              <w:t xml:space="preserve">Age of Majority Act 1973 </w:t>
            </w:r>
            <w:r w:rsidRPr="00021DD2">
              <w:rPr>
                <w:rFonts w:cs="Arial"/>
                <w:b/>
              </w:rPr>
              <w:t>(Tas</w:t>
            </w:r>
            <w:r w:rsidR="00331F34">
              <w:rPr>
                <w:rFonts w:cs="Arial"/>
                <w:b/>
              </w:rPr>
              <w:t>mania</w:t>
            </w:r>
            <w:r w:rsidRPr="00021DD2">
              <w:rPr>
                <w:rFonts w:cs="Arial"/>
                <w:b/>
              </w:rPr>
              <w:t>)</w:t>
            </w:r>
          </w:p>
          <w:p w:rsidR="00AF4D46" w:rsidRPr="00021DD2" w:rsidRDefault="00AF4D46" w:rsidP="00AF4D46">
            <w:pPr>
              <w:rPr>
                <w:rFonts w:cs="Arial"/>
                <w:i/>
              </w:rPr>
            </w:pPr>
            <w:r w:rsidRPr="00021DD2">
              <w:rPr>
                <w:rFonts w:cs="Arial"/>
                <w:i/>
              </w:rPr>
              <w:t>Section 3 – Age of Majority</w:t>
            </w:r>
          </w:p>
          <w:p w:rsidR="00AF4D46" w:rsidRPr="00021DD2" w:rsidRDefault="00AF4D46" w:rsidP="00AF4D46">
            <w:pPr>
              <w:rPr>
                <w:rFonts w:cs="Arial"/>
                <w:color w:val="000000"/>
                <w:szCs w:val="18"/>
              </w:rPr>
            </w:pPr>
            <w:r w:rsidRPr="00021DD2">
              <w:rPr>
                <w:rFonts w:cs="Arial"/>
                <w:color w:val="000000"/>
                <w:szCs w:val="18"/>
              </w:rPr>
              <w:t>(1) Subject to this section and to section 6, for all the purposes of the laws of the State –</w:t>
            </w:r>
          </w:p>
          <w:p w:rsidR="00AF4D46" w:rsidRPr="00021DD2" w:rsidRDefault="00AF4D46" w:rsidP="00B934D7">
            <w:pPr>
              <w:pStyle w:val="Paragrafoelenco"/>
              <w:numPr>
                <w:ilvl w:val="0"/>
                <w:numId w:val="96"/>
              </w:numPr>
              <w:spacing w:before="120" w:after="120"/>
              <w:contextualSpacing w:val="0"/>
              <w:jc w:val="left"/>
            </w:pPr>
            <w:r w:rsidRPr="00021DD2">
              <w:t>a person who, on or after the appointed day, attains the age of 18 years shall be deemed to attain full age and full capacity on attaining that age; and</w:t>
            </w:r>
          </w:p>
          <w:p w:rsidR="00AF4D46" w:rsidRPr="00021DD2" w:rsidRDefault="00AF4D46" w:rsidP="00AF4D46">
            <w:pPr>
              <w:rPr>
                <w:rFonts w:cs="Arial"/>
                <w:b/>
                <w:i/>
              </w:rPr>
            </w:pPr>
            <w:r w:rsidRPr="00021DD2">
              <w:rPr>
                <w:rFonts w:cs="Arial"/>
                <w:color w:val="000000"/>
                <w:szCs w:val="18"/>
              </w:rPr>
              <w:t>(b) a person who, on the appointed day, is of or over the age of 18 years but under the age of 21 years shall be deemed to have attained full age and full capacity on that day.</w:t>
            </w:r>
          </w:p>
          <w:p w:rsidR="00AF4D46" w:rsidRPr="00021DD2" w:rsidRDefault="00AF4D46" w:rsidP="00AF4D46">
            <w:pPr>
              <w:rPr>
                <w:rFonts w:cs="Arial"/>
              </w:rPr>
            </w:pPr>
            <w:r w:rsidRPr="00021DD2">
              <w:rPr>
                <w:rFonts w:cs="Arial"/>
                <w:b/>
                <w:i/>
              </w:rPr>
              <w:t xml:space="preserve">Criminal Code Act 1924 </w:t>
            </w:r>
            <w:r w:rsidRPr="00021DD2">
              <w:rPr>
                <w:rFonts w:cs="Arial"/>
                <w:b/>
              </w:rPr>
              <w:t>(TAS)</w:t>
            </w:r>
          </w:p>
          <w:p w:rsidR="00AF4D46" w:rsidRPr="00021DD2" w:rsidRDefault="00AF4D46" w:rsidP="00AF4D46">
            <w:pPr>
              <w:rPr>
                <w:rFonts w:cs="Arial"/>
                <w:i/>
              </w:rPr>
            </w:pPr>
            <w:r w:rsidRPr="00021DD2">
              <w:rPr>
                <w:rFonts w:cs="Arial"/>
                <w:i/>
              </w:rPr>
              <w:t>Section 51 Surgical operations – Schedule 1 of the Criminal Code Act 1924 (TAS)</w:t>
            </w:r>
          </w:p>
          <w:p w:rsidR="00AF4D46" w:rsidRPr="00021DD2" w:rsidRDefault="00AF4D46" w:rsidP="00AF4D46">
            <w:pPr>
              <w:ind w:left="284" w:hanging="284"/>
              <w:rPr>
                <w:rFonts w:cs="Arial"/>
              </w:rPr>
            </w:pPr>
            <w:r w:rsidRPr="00021DD2">
              <w:rPr>
                <w:rFonts w:cs="Arial"/>
              </w:rPr>
              <w:t>(1) It is lawful for a person to perform in good faith and with reasonable care and skill a surgical operation upon another person, with his consent and for his benefit, if the performance of such operation is reasonable, having regard to all the circumstances.</w:t>
            </w:r>
          </w:p>
          <w:p w:rsidR="00AF4D46" w:rsidRPr="00021DD2" w:rsidRDefault="00AF4D46" w:rsidP="00AF4D46">
            <w:pPr>
              <w:ind w:left="284" w:hanging="284"/>
              <w:rPr>
                <w:rFonts w:cs="Arial"/>
              </w:rPr>
            </w:pPr>
            <w:r w:rsidRPr="00021DD2">
              <w:rPr>
                <w:rFonts w:cs="Arial"/>
              </w:rPr>
              <w:t>(2) In the case of a child too young to exercise a reasonable discretion in such a matter, such consent as aforesaid may be given by his parent or by any person having the care of such child.</w:t>
            </w:r>
          </w:p>
          <w:p w:rsidR="00AF4D46" w:rsidRPr="00021DD2" w:rsidRDefault="00AF4D46" w:rsidP="00AF4D46">
            <w:pPr>
              <w:ind w:left="284" w:hanging="284"/>
              <w:rPr>
                <w:rFonts w:cs="Arial"/>
              </w:rPr>
            </w:pPr>
            <w:r w:rsidRPr="00021DD2">
              <w:rPr>
                <w:rFonts w:cs="Arial"/>
              </w:rPr>
              <w:t>(3) In the case of a person in such a condition as to be incapable of giving such consent as aforesaid, such operation may be performed without such consent.</w:t>
            </w:r>
          </w:p>
          <w:p w:rsidR="00AF4D46" w:rsidRPr="00021DD2" w:rsidRDefault="00AF4D46" w:rsidP="00AF4D46">
            <w:pPr>
              <w:rPr>
                <w:rFonts w:cs="Arial"/>
                <w:b/>
              </w:rPr>
            </w:pPr>
            <w:r w:rsidRPr="00021DD2">
              <w:rPr>
                <w:rFonts w:cs="Arial"/>
                <w:b/>
                <w:i/>
              </w:rPr>
              <w:t>Reproductive Health (Access to Terminations) Act 2013</w:t>
            </w:r>
            <w:r w:rsidRPr="00021DD2">
              <w:rPr>
                <w:rFonts w:cs="Arial"/>
                <w:b/>
              </w:rPr>
              <w:t xml:space="preserve"> (TAS) </w:t>
            </w:r>
          </w:p>
          <w:p w:rsidR="00AF4D46" w:rsidRPr="00021DD2" w:rsidRDefault="00AF4D46" w:rsidP="00AF4D46">
            <w:pPr>
              <w:rPr>
                <w:rFonts w:cs="Arial"/>
                <w:i/>
              </w:rPr>
            </w:pPr>
            <w:r w:rsidRPr="00021DD2">
              <w:rPr>
                <w:rFonts w:cs="Arial"/>
                <w:i/>
              </w:rPr>
              <w:t xml:space="preserve">Section 3 </w:t>
            </w:r>
            <w:r w:rsidR="00442777">
              <w:rPr>
                <w:rFonts w:cs="Arial"/>
                <w:i/>
              </w:rPr>
              <w:t>–</w:t>
            </w:r>
            <w:r w:rsidRPr="00021DD2">
              <w:rPr>
                <w:rFonts w:cs="Arial"/>
                <w:i/>
              </w:rPr>
              <w:t xml:space="preserve"> Interpretation</w:t>
            </w:r>
          </w:p>
          <w:p w:rsidR="00AF4D46" w:rsidRPr="00021DD2" w:rsidRDefault="00AF4D46" w:rsidP="00AF4D46">
            <w:pPr>
              <w:ind w:left="284" w:hanging="284"/>
              <w:rPr>
                <w:rFonts w:cs="Arial"/>
              </w:rPr>
            </w:pPr>
            <w:r w:rsidRPr="00021DD2">
              <w:rPr>
                <w:rFonts w:cs="Arial"/>
              </w:rPr>
              <w:t>(1) In this Act, unless the contrary intention appears – woman means a female person of any age.</w:t>
            </w:r>
          </w:p>
          <w:p w:rsidR="00AF4D46" w:rsidRPr="00021DD2" w:rsidRDefault="00AF4D46" w:rsidP="00AF4D46">
            <w:pPr>
              <w:rPr>
                <w:rFonts w:cs="Arial"/>
                <w:i/>
              </w:rPr>
            </w:pPr>
            <w:r w:rsidRPr="00021DD2">
              <w:rPr>
                <w:rFonts w:cs="Arial"/>
                <w:i/>
              </w:rPr>
              <w:t xml:space="preserve">Section 4 </w:t>
            </w:r>
            <w:r w:rsidR="00442777">
              <w:rPr>
                <w:rFonts w:cs="Arial"/>
                <w:i/>
              </w:rPr>
              <w:t>–</w:t>
            </w:r>
            <w:r w:rsidRPr="00021DD2">
              <w:rPr>
                <w:rFonts w:cs="Arial"/>
                <w:i/>
              </w:rPr>
              <w:t xml:space="preserve"> Terminations by medical practitioner at not more than 16 weeks</w:t>
            </w:r>
          </w:p>
          <w:p w:rsidR="00AF4D46" w:rsidRPr="00021DD2" w:rsidRDefault="00AF4D46" w:rsidP="00AF4D46">
            <w:pPr>
              <w:rPr>
                <w:rFonts w:cs="Arial"/>
              </w:rPr>
            </w:pPr>
            <w:r w:rsidRPr="00021DD2">
              <w:rPr>
                <w:rFonts w:cs="Arial"/>
              </w:rPr>
              <w:t>The pregnancy of a woman who is not more than 16 weeks pregnant may be terminated by a medical practitioner with the woman's consent.</w:t>
            </w:r>
          </w:p>
          <w:p w:rsidR="00AF4D46" w:rsidRPr="00021DD2" w:rsidRDefault="00AF4D46" w:rsidP="00AF4D46">
            <w:pPr>
              <w:rPr>
                <w:rFonts w:cs="Arial"/>
                <w:i/>
              </w:rPr>
            </w:pPr>
            <w:r w:rsidRPr="00021DD2">
              <w:rPr>
                <w:rFonts w:cs="Arial"/>
                <w:i/>
              </w:rPr>
              <w:t xml:space="preserve">Section 5 </w:t>
            </w:r>
            <w:r w:rsidR="00442777">
              <w:rPr>
                <w:rFonts w:cs="Arial"/>
                <w:i/>
              </w:rPr>
              <w:t>–</w:t>
            </w:r>
            <w:r w:rsidR="006647AD">
              <w:rPr>
                <w:rFonts w:cs="Arial"/>
                <w:i/>
              </w:rPr>
              <w:t xml:space="preserve"> </w:t>
            </w:r>
            <w:r w:rsidRPr="00021DD2">
              <w:rPr>
                <w:rFonts w:cs="Arial"/>
                <w:i/>
              </w:rPr>
              <w:t xml:space="preserve"> Terminations by medical practitioner after 16 weeks</w:t>
            </w:r>
          </w:p>
          <w:p w:rsidR="00AF4D46" w:rsidRPr="00021DD2" w:rsidRDefault="00AF4D46" w:rsidP="00AF4D46">
            <w:pPr>
              <w:ind w:left="284" w:hanging="284"/>
              <w:rPr>
                <w:rFonts w:cs="Arial"/>
              </w:rPr>
            </w:pPr>
            <w:r w:rsidRPr="00021DD2">
              <w:rPr>
                <w:rFonts w:cs="Arial"/>
              </w:rPr>
              <w:t>(1) The pregnancy of a woman who is more than 16 weeks pregnant may be terminated by a medical practitioner with the woman's consent if the medical practitioner –</w:t>
            </w:r>
          </w:p>
          <w:p w:rsidR="00AF4D46" w:rsidRPr="00021DD2" w:rsidRDefault="00AF4D46" w:rsidP="00B934D7">
            <w:pPr>
              <w:pStyle w:val="Paragrafoelenco"/>
              <w:numPr>
                <w:ilvl w:val="0"/>
                <w:numId w:val="97"/>
              </w:numPr>
              <w:spacing w:before="120" w:after="120"/>
              <w:contextualSpacing w:val="0"/>
              <w:jc w:val="left"/>
            </w:pPr>
            <w:r w:rsidRPr="00021DD2">
              <w:t>reasonably believes that the continuation of the pregnancy would involve greater risk of injury to the physical or mental health of the pregnant woman than if the pregnancy were terminated; and</w:t>
            </w:r>
          </w:p>
          <w:p w:rsidR="00AF4D46" w:rsidRPr="00021DD2" w:rsidRDefault="00AF4D46" w:rsidP="00B934D7">
            <w:pPr>
              <w:pStyle w:val="Paragrafoelenco"/>
              <w:numPr>
                <w:ilvl w:val="0"/>
                <w:numId w:val="97"/>
              </w:numPr>
              <w:spacing w:before="120" w:after="120"/>
              <w:contextualSpacing w:val="0"/>
              <w:jc w:val="left"/>
            </w:pPr>
            <w:r w:rsidRPr="00021DD2">
              <w:t>has consulted with another medical practitioner who reasonably believes that the continuation of the pregnancy would involve greater risk of injury to the physical or mental health of the pregnant woman than if the pregnancy were terminated.</w:t>
            </w:r>
          </w:p>
          <w:p w:rsidR="00AF4D46" w:rsidRPr="00021DD2" w:rsidRDefault="00AF4D46" w:rsidP="00AF4D46">
            <w:pPr>
              <w:ind w:left="284" w:hanging="284"/>
              <w:rPr>
                <w:rFonts w:cs="Arial"/>
              </w:rPr>
            </w:pPr>
            <w:r w:rsidRPr="00021DD2">
              <w:rPr>
                <w:rFonts w:cs="Arial"/>
              </w:rPr>
              <w:t>(2) In assessing the risk referred to in subsection (1), the medical practitioners must have regard to the woman's physical, psychological, economic and social circumstances.</w:t>
            </w:r>
          </w:p>
          <w:p w:rsidR="00AF4D46" w:rsidRPr="00021DD2" w:rsidRDefault="00AF4D46" w:rsidP="00AF4D46">
            <w:pPr>
              <w:ind w:left="284" w:hanging="284"/>
              <w:rPr>
                <w:rFonts w:cs="Arial"/>
              </w:rPr>
            </w:pPr>
            <w:r w:rsidRPr="00021DD2">
              <w:rPr>
                <w:rFonts w:cs="Arial"/>
              </w:rPr>
              <w:t>(3) At least one of the medical practitioners referred to in subsection (1) is to be a medical practitioner who specialises in obstetrics or gynaecology.</w:t>
            </w:r>
          </w:p>
          <w:p w:rsidR="00AF4D46" w:rsidRPr="00021DD2" w:rsidRDefault="00AF4D46" w:rsidP="00AF4D46">
            <w:pPr>
              <w:rPr>
                <w:rFonts w:cs="Arial"/>
              </w:rPr>
            </w:pPr>
            <w:r w:rsidRPr="00021DD2">
              <w:rPr>
                <w:rFonts w:cs="Arial"/>
              </w:rPr>
              <w:t xml:space="preserve">See section 51 (Surgical operations) of the </w:t>
            </w:r>
            <w:r w:rsidRPr="00021DD2">
              <w:rPr>
                <w:rFonts w:cs="Arial"/>
                <w:i/>
              </w:rPr>
              <w:t xml:space="preserve">Criminal Code Act 1924 </w:t>
            </w:r>
            <w:r w:rsidRPr="00021DD2">
              <w:rPr>
                <w:rFonts w:cs="Arial"/>
              </w:rPr>
              <w:t>which set out when it would be unlawful to perform an abortion.</w:t>
            </w:r>
          </w:p>
        </w:tc>
      </w:tr>
      <w:tr w:rsidR="00AF4D46" w:rsidRPr="00021DD2" w:rsidTr="00AF4D46">
        <w:trPr>
          <w:cnfStyle w:val="000000100000" w:firstRow="0" w:lastRow="0" w:firstColumn="0" w:lastColumn="0" w:oddVBand="0" w:evenVBand="0" w:oddHBand="1" w:evenHBand="0" w:firstRowFirstColumn="0" w:firstRowLastColumn="0" w:lastRowFirstColumn="0" w:lastRowLastColumn="0"/>
        </w:trPr>
        <w:tc>
          <w:tcPr>
            <w:tcW w:w="2410" w:type="dxa"/>
          </w:tcPr>
          <w:p w:rsidR="00AF4D46" w:rsidRPr="00021DD2" w:rsidRDefault="00AF4D46" w:rsidP="00AF4D46">
            <w:pPr>
              <w:rPr>
                <w:rFonts w:cs="Arial"/>
                <w:b/>
              </w:rPr>
            </w:pPr>
            <w:r w:rsidRPr="00021DD2">
              <w:rPr>
                <w:rFonts w:cs="Arial"/>
              </w:rPr>
              <w:t>Case law</w:t>
            </w:r>
          </w:p>
        </w:tc>
        <w:tc>
          <w:tcPr>
            <w:tcW w:w="6657" w:type="dxa"/>
          </w:tcPr>
          <w:p w:rsidR="00AF4D46" w:rsidRPr="00021DD2" w:rsidRDefault="00AF4D46" w:rsidP="00AF4D46">
            <w:pPr>
              <w:rPr>
                <w:rFonts w:cs="Arial"/>
              </w:rPr>
            </w:pPr>
            <w:r w:rsidRPr="00021DD2">
              <w:rPr>
                <w:rFonts w:cs="Arial"/>
              </w:rPr>
              <w:t xml:space="preserve">The Gillick test (as approved in </w:t>
            </w:r>
            <w:r w:rsidRPr="00021DD2">
              <w:rPr>
                <w:rFonts w:cs="Arial"/>
                <w:i/>
              </w:rPr>
              <w:t>Marion</w:t>
            </w:r>
            <w:r w:rsidRPr="00021DD2">
              <w:rPr>
                <w:rFonts w:cs="Arial"/>
              </w:rPr>
              <w:t xml:space="preserve">’s </w:t>
            </w:r>
            <w:r w:rsidRPr="00021DD2">
              <w:rPr>
                <w:rFonts w:cs="Arial"/>
                <w:i/>
              </w:rPr>
              <w:t>Case</w:t>
            </w:r>
            <w:r w:rsidRPr="00021DD2">
              <w:rPr>
                <w:rFonts w:cs="Arial"/>
              </w:rPr>
              <w:t>)</w:t>
            </w:r>
            <w:r w:rsidRPr="00021DD2">
              <w:rPr>
                <w:rFonts w:cs="Arial"/>
                <w:i/>
              </w:rPr>
              <w:t xml:space="preserve"> </w:t>
            </w:r>
            <w:r w:rsidRPr="00021DD2">
              <w:rPr>
                <w:rFonts w:cs="Arial"/>
              </w:rPr>
              <w:t>discussed above is the operative test in Tasmania for determining whether a child can access contraception or provide informed consent to an abortion.</w:t>
            </w:r>
          </w:p>
        </w:tc>
      </w:tr>
      <w:tr w:rsidR="00AF4D46" w:rsidRPr="00021DD2" w:rsidTr="00AF4D46">
        <w:trPr>
          <w:cnfStyle w:val="000000010000" w:firstRow="0" w:lastRow="0" w:firstColumn="0" w:lastColumn="0" w:oddVBand="0" w:evenVBand="0" w:oddHBand="0" w:evenHBand="1" w:firstRowFirstColumn="0" w:firstRowLastColumn="0" w:lastRowFirstColumn="0" w:lastRowLastColumn="0"/>
        </w:trPr>
        <w:tc>
          <w:tcPr>
            <w:tcW w:w="2410" w:type="dxa"/>
          </w:tcPr>
          <w:p w:rsidR="00AF4D46" w:rsidRPr="00021DD2" w:rsidRDefault="00AF4D46" w:rsidP="00AF4D46">
            <w:pPr>
              <w:rPr>
                <w:rFonts w:cs="Arial"/>
                <w:b/>
              </w:rPr>
            </w:pPr>
            <w:r w:rsidRPr="00021DD2">
              <w:rPr>
                <w:rFonts w:cs="Arial"/>
              </w:rPr>
              <w:t>Other relevant information</w:t>
            </w:r>
          </w:p>
        </w:tc>
        <w:tc>
          <w:tcPr>
            <w:tcW w:w="6657" w:type="dxa"/>
          </w:tcPr>
          <w:p w:rsidR="00AF4D46" w:rsidRPr="00021DD2" w:rsidRDefault="00AF4D46" w:rsidP="00AF4D46">
            <w:pPr>
              <w:rPr>
                <w:rFonts w:cs="Arial"/>
              </w:rPr>
            </w:pPr>
            <w:r w:rsidRPr="00021DD2">
              <w:rPr>
                <w:rFonts w:cs="Arial"/>
              </w:rPr>
              <w:t xml:space="preserve">Where a child who is ‘capable of exercising a reasonable discretion’ (as defined in section 51, </w:t>
            </w:r>
            <w:r w:rsidRPr="00021DD2">
              <w:rPr>
                <w:rFonts w:cs="Arial"/>
                <w:i/>
              </w:rPr>
              <w:t>Criminal Code Act</w:t>
            </w:r>
            <w:r w:rsidRPr="00021DD2">
              <w:rPr>
                <w:rFonts w:cs="Arial"/>
              </w:rPr>
              <w:t xml:space="preserve"> </w:t>
            </w:r>
            <w:r w:rsidRPr="00021DD2">
              <w:rPr>
                <w:rFonts w:cs="Arial"/>
                <w:i/>
              </w:rPr>
              <w:t>1924</w:t>
            </w:r>
            <w:r w:rsidRPr="00021DD2">
              <w:rPr>
                <w:rFonts w:cs="Arial"/>
              </w:rPr>
              <w:t xml:space="preserve"> (TAS)) seeks medical treatment (including a prescription or device for contraception) and a doctor consents to provide it, a parent or guardian may only stop the treatment by applying to the Supreme Court for a restraining order.</w:t>
            </w:r>
            <w:r w:rsidRPr="00021DD2">
              <w:rPr>
                <w:rStyle w:val="Rimandonotadichiusura"/>
                <w:rFonts w:cs="Arial"/>
              </w:rPr>
              <w:endnoteReference w:id="848"/>
            </w:r>
            <w:r w:rsidRPr="00021DD2">
              <w:rPr>
                <w:rFonts w:cs="Arial"/>
              </w:rPr>
              <w:t xml:space="preserve"> </w:t>
            </w:r>
          </w:p>
          <w:p w:rsidR="00AF4D46" w:rsidRPr="00021DD2" w:rsidRDefault="00AF4D46" w:rsidP="00AF4D46">
            <w:pPr>
              <w:rPr>
                <w:rFonts w:cs="Arial"/>
              </w:rPr>
            </w:pPr>
            <w:r w:rsidRPr="00021DD2">
              <w:rPr>
                <w:rFonts w:cs="Arial"/>
              </w:rPr>
              <w:t xml:space="preserve">Tasmania has introduced a Bill to reform its laws on consent in line with South Australia. The </w:t>
            </w:r>
            <w:r w:rsidRPr="00021DD2">
              <w:rPr>
                <w:rFonts w:cs="Arial"/>
                <w:i/>
              </w:rPr>
              <w:t>Care and Consent to Medical Treatment Bill 2016</w:t>
            </w:r>
            <w:r w:rsidRPr="00021DD2">
              <w:rPr>
                <w:rFonts w:cs="Arial"/>
              </w:rPr>
              <w:t xml:space="preserve"> was introduced on 7 April 2016 but has not progressed past a first reading in the House of Assembly.</w:t>
            </w:r>
            <w:r w:rsidRPr="00021DD2">
              <w:rPr>
                <w:rStyle w:val="Rimandonotadichiusura"/>
                <w:rFonts w:cs="Arial"/>
              </w:rPr>
              <w:endnoteReference w:id="849"/>
            </w:r>
            <w:r w:rsidRPr="00021DD2">
              <w:rPr>
                <w:rFonts w:cs="Arial"/>
              </w:rPr>
              <w:t xml:space="preserve"> </w:t>
            </w:r>
          </w:p>
          <w:p w:rsidR="00AF4D46" w:rsidRPr="00021DD2" w:rsidRDefault="00AF4D46" w:rsidP="00AF4D46">
            <w:pPr>
              <w:rPr>
                <w:rFonts w:cs="Arial"/>
              </w:rPr>
            </w:pPr>
            <w:r w:rsidRPr="00021DD2">
              <w:rPr>
                <w:rFonts w:cs="Arial"/>
              </w:rPr>
              <w:t>The Bill allows persons of or over the age of 16 years to decide freely for themselves on an informed basis whether or not to undergo medical treatment.</w:t>
            </w:r>
          </w:p>
          <w:p w:rsidR="00AF4D46" w:rsidRPr="00021DD2" w:rsidRDefault="00AF4D46" w:rsidP="00AF4D46">
            <w:pPr>
              <w:rPr>
                <w:rFonts w:cs="Arial"/>
              </w:rPr>
            </w:pPr>
            <w:r w:rsidRPr="00021DD2">
              <w:rPr>
                <w:rFonts w:cs="Arial"/>
              </w:rPr>
              <w:t>Section 4 of the Bill provides that ‘A person of or over 16 years of age may make decisions about his or her own medical treatment as validly and effectively as an adult’.</w:t>
            </w:r>
          </w:p>
          <w:p w:rsidR="00AF4D46" w:rsidRPr="00021DD2" w:rsidRDefault="00AF4D46" w:rsidP="00AF4D46">
            <w:pPr>
              <w:rPr>
                <w:rFonts w:cs="Arial"/>
              </w:rPr>
            </w:pPr>
            <w:r w:rsidRPr="00021DD2">
              <w:rPr>
                <w:rFonts w:cs="Arial"/>
              </w:rPr>
              <w:t>In relation to children (defined as under 16 years of age), clause 5 provides that:</w:t>
            </w:r>
          </w:p>
          <w:p w:rsidR="00AF4D46" w:rsidRPr="00021DD2" w:rsidRDefault="00AF4D46" w:rsidP="00AF4D46">
            <w:pPr>
              <w:rPr>
                <w:rFonts w:cs="Arial"/>
              </w:rPr>
            </w:pPr>
            <w:r w:rsidRPr="00021DD2">
              <w:rPr>
                <w:rFonts w:cs="Arial"/>
              </w:rPr>
              <w:t>A medical practitioner may administer medical treatment to a child if</w:t>
            </w:r>
            <w:r w:rsidR="004C3BCE">
              <w:t>—</w:t>
            </w:r>
          </w:p>
          <w:p w:rsidR="00AF4D46" w:rsidRPr="00021DD2" w:rsidRDefault="00AF4D46" w:rsidP="00B934D7">
            <w:pPr>
              <w:pStyle w:val="Paragrafoelenco"/>
              <w:numPr>
                <w:ilvl w:val="0"/>
                <w:numId w:val="98"/>
              </w:numPr>
              <w:spacing w:before="120" w:after="120"/>
              <w:contextualSpacing w:val="0"/>
              <w:jc w:val="left"/>
            </w:pPr>
            <w:r w:rsidRPr="00021DD2">
              <w:t>the parent or guardian consents; or</w:t>
            </w:r>
          </w:p>
          <w:p w:rsidR="00AF4D46" w:rsidRPr="00021DD2" w:rsidRDefault="00AF4D46" w:rsidP="00B934D7">
            <w:pPr>
              <w:pStyle w:val="Paragrafoelenco"/>
              <w:numPr>
                <w:ilvl w:val="0"/>
                <w:numId w:val="98"/>
              </w:numPr>
              <w:spacing w:before="120" w:after="120"/>
              <w:contextualSpacing w:val="0"/>
              <w:jc w:val="left"/>
            </w:pPr>
            <w:r w:rsidRPr="00021DD2">
              <w:t>the child consents and</w:t>
            </w:r>
            <w:r w:rsidR="004C3BCE">
              <w:t>—</w:t>
            </w:r>
          </w:p>
          <w:p w:rsidR="00AF4D46" w:rsidRPr="00021DD2" w:rsidRDefault="00AF4D46" w:rsidP="00AF4D46">
            <w:pPr>
              <w:ind w:left="1363" w:hanging="283"/>
              <w:rPr>
                <w:rFonts w:cs="Arial"/>
              </w:rPr>
            </w:pPr>
            <w:r w:rsidRPr="00021DD2">
              <w:rPr>
                <w:rFonts w:cs="Arial"/>
              </w:rPr>
              <w:t>(i)  the medical practitioner who is to administer the treatment is of the opinion that the child is capable of understanding the nature, consequences and risks of the treatment and that the treatment is in the best interest of the child's health and well-being; and</w:t>
            </w:r>
          </w:p>
          <w:p w:rsidR="00AF4D46" w:rsidRPr="00021DD2" w:rsidRDefault="00AF4D46" w:rsidP="00AF4D46">
            <w:pPr>
              <w:ind w:left="1363" w:hanging="283"/>
              <w:rPr>
                <w:rFonts w:cs="Arial"/>
              </w:rPr>
            </w:pPr>
            <w:r w:rsidRPr="00021DD2">
              <w:rPr>
                <w:rFonts w:cs="Arial"/>
              </w:rPr>
              <w:t>(ii)  that opinion is supported by the opinion of at least one other medical practitioner who personally examines the child before the treatment is commenced.</w:t>
            </w:r>
          </w:p>
        </w:tc>
      </w:tr>
    </w:tbl>
    <w:p w:rsidR="00AF4D46" w:rsidRPr="00021DD2" w:rsidRDefault="00AF4D46" w:rsidP="00B63D24">
      <w:pPr>
        <w:rPr>
          <w:rFonts w:cs="Arial"/>
        </w:rPr>
      </w:pPr>
    </w:p>
    <w:p w:rsidR="00AF4D46" w:rsidRPr="00021DD2" w:rsidRDefault="00AF4D46" w:rsidP="00B63D24">
      <w:pPr>
        <w:rPr>
          <w:rFonts w:cs="Arial"/>
        </w:rPr>
        <w:sectPr w:rsidR="00AF4D46" w:rsidRPr="00021DD2" w:rsidSect="003716C0">
          <w:endnotePr>
            <w:numFmt w:val="decimal"/>
            <w:numRestart w:val="eachSect"/>
          </w:endnotePr>
          <w:pgSz w:w="11906" w:h="16838" w:code="9"/>
          <w:pgMar w:top="1134" w:right="1418" w:bottom="1134" w:left="1418" w:header="709" w:footer="709" w:gutter="0"/>
          <w:cols w:space="708"/>
          <w:docGrid w:linePitch="360"/>
        </w:sectPr>
      </w:pPr>
    </w:p>
    <w:p w:rsidR="006924AB" w:rsidRPr="004C3BCE" w:rsidRDefault="006924AB" w:rsidP="004C3BCE">
      <w:pPr>
        <w:pStyle w:val="Titolo6"/>
      </w:pPr>
      <w:bookmarkStart w:id="172" w:name="_Toc500308859"/>
      <w:r w:rsidRPr="00021DD2">
        <w:t>Laws relevant to access to education for children who are parents or are pregnant</w:t>
      </w:r>
      <w:bookmarkEnd w:id="172"/>
    </w:p>
    <w:tbl>
      <w:tblPr>
        <w:tblStyle w:val="KWMTableCyan"/>
        <w:tblW w:w="0" w:type="auto"/>
        <w:tblLook w:val="0420" w:firstRow="1" w:lastRow="0" w:firstColumn="0" w:lastColumn="0" w:noHBand="0" w:noVBand="1"/>
      </w:tblPr>
      <w:tblGrid>
        <w:gridCol w:w="1645"/>
        <w:gridCol w:w="7281"/>
      </w:tblGrid>
      <w:tr w:rsidR="006924AB" w:rsidRPr="00021DD2" w:rsidTr="006924AB">
        <w:trPr>
          <w:cnfStyle w:val="100000000000" w:firstRow="1" w:lastRow="0" w:firstColumn="0" w:lastColumn="0" w:oddVBand="0" w:evenVBand="0" w:oddHBand="0" w:evenHBand="0" w:firstRowFirstColumn="0" w:firstRowLastColumn="0" w:lastRowFirstColumn="0" w:lastRowLastColumn="0"/>
        </w:trPr>
        <w:tc>
          <w:tcPr>
            <w:tcW w:w="1645" w:type="dxa"/>
          </w:tcPr>
          <w:p w:rsidR="006924AB" w:rsidRPr="00021DD2" w:rsidRDefault="006924AB" w:rsidP="006924AB">
            <w:pPr>
              <w:rPr>
                <w:rFonts w:cs="Arial"/>
              </w:rPr>
            </w:pPr>
            <w:r w:rsidRPr="00021DD2">
              <w:rPr>
                <w:rFonts w:cs="Arial"/>
              </w:rPr>
              <w:t>Jurisdiction</w:t>
            </w:r>
          </w:p>
        </w:tc>
        <w:tc>
          <w:tcPr>
            <w:tcW w:w="7281" w:type="dxa"/>
          </w:tcPr>
          <w:p w:rsidR="006924AB" w:rsidRPr="00021DD2" w:rsidRDefault="006924AB" w:rsidP="006924AB">
            <w:pPr>
              <w:rPr>
                <w:rFonts w:cs="Arial"/>
              </w:rPr>
            </w:pPr>
            <w:r w:rsidRPr="00021DD2">
              <w:rPr>
                <w:rFonts w:cs="Arial"/>
              </w:rPr>
              <w:t>Relevant laws</w:t>
            </w:r>
            <w:r w:rsidRPr="00021DD2">
              <w:rPr>
                <w:rStyle w:val="Rimandonotadichiusura"/>
                <w:rFonts w:cs="Arial"/>
              </w:rPr>
              <w:endnoteReference w:id="850"/>
            </w:r>
          </w:p>
        </w:tc>
      </w:tr>
      <w:tr w:rsidR="006924AB" w:rsidRPr="00021DD2" w:rsidTr="006924AB">
        <w:trPr>
          <w:cnfStyle w:val="000000100000" w:firstRow="0" w:lastRow="0" w:firstColumn="0" w:lastColumn="0" w:oddVBand="0" w:evenVBand="0" w:oddHBand="1" w:evenHBand="0" w:firstRowFirstColumn="0" w:firstRowLastColumn="0" w:lastRowFirstColumn="0" w:lastRowLastColumn="0"/>
        </w:trPr>
        <w:tc>
          <w:tcPr>
            <w:tcW w:w="8926" w:type="dxa"/>
            <w:gridSpan w:val="2"/>
          </w:tcPr>
          <w:p w:rsidR="006924AB" w:rsidRPr="00021DD2" w:rsidRDefault="006924AB" w:rsidP="006924AB">
            <w:pPr>
              <w:rPr>
                <w:rFonts w:cs="Arial"/>
                <w:b/>
              </w:rPr>
            </w:pPr>
            <w:r w:rsidRPr="00021DD2">
              <w:rPr>
                <w:rFonts w:cs="Arial"/>
                <w:b/>
              </w:rPr>
              <w:t>Commonwealth</w:t>
            </w:r>
          </w:p>
        </w:tc>
      </w:tr>
      <w:tr w:rsidR="006924AB" w:rsidRPr="00021DD2" w:rsidTr="006924AB">
        <w:trPr>
          <w:cnfStyle w:val="000000010000" w:firstRow="0" w:lastRow="0" w:firstColumn="0" w:lastColumn="0" w:oddVBand="0" w:evenVBand="0" w:oddHBand="0" w:evenHBand="1" w:firstRowFirstColumn="0" w:firstRowLastColumn="0" w:lastRowFirstColumn="0" w:lastRowLastColumn="0"/>
          <w:trHeight w:val="510"/>
        </w:trPr>
        <w:tc>
          <w:tcPr>
            <w:tcW w:w="1645" w:type="dxa"/>
          </w:tcPr>
          <w:p w:rsidR="006924AB" w:rsidRPr="00021DD2" w:rsidRDefault="006924AB" w:rsidP="006924AB">
            <w:pPr>
              <w:rPr>
                <w:rFonts w:cs="Arial"/>
              </w:rPr>
            </w:pPr>
            <w:r w:rsidRPr="00021DD2">
              <w:rPr>
                <w:rFonts w:cs="Arial"/>
              </w:rPr>
              <w:t>Legislative provisions</w:t>
            </w:r>
          </w:p>
        </w:tc>
        <w:tc>
          <w:tcPr>
            <w:tcW w:w="7281" w:type="dxa"/>
          </w:tcPr>
          <w:p w:rsidR="006924AB" w:rsidRPr="00021DD2" w:rsidRDefault="006924AB" w:rsidP="006924AB">
            <w:pPr>
              <w:rPr>
                <w:rFonts w:cs="Arial"/>
                <w:b/>
                <w:i/>
                <w:color w:val="000000"/>
                <w:szCs w:val="18"/>
              </w:rPr>
            </w:pPr>
            <w:r w:rsidRPr="00021DD2">
              <w:rPr>
                <w:rFonts w:cs="Arial"/>
                <w:b/>
                <w:i/>
                <w:color w:val="000000"/>
                <w:szCs w:val="18"/>
              </w:rPr>
              <w:t xml:space="preserve">Sex Discrimination Act 1984 </w:t>
            </w:r>
            <w:r w:rsidRPr="00021DD2">
              <w:rPr>
                <w:rFonts w:cs="Arial"/>
                <w:b/>
                <w:color w:val="000000"/>
                <w:szCs w:val="18"/>
              </w:rPr>
              <w:t>(Cth)</w:t>
            </w:r>
            <w:r w:rsidRPr="00021DD2">
              <w:rPr>
                <w:rFonts w:cs="Arial"/>
                <w:b/>
                <w:i/>
                <w:color w:val="000000"/>
                <w:szCs w:val="18"/>
              </w:rPr>
              <w:t xml:space="preserve"> </w:t>
            </w:r>
          </w:p>
          <w:p w:rsidR="006924AB" w:rsidRPr="00021DD2" w:rsidRDefault="006924AB" w:rsidP="006924AB">
            <w:pPr>
              <w:rPr>
                <w:rFonts w:cs="Arial"/>
                <w:i/>
              </w:rPr>
            </w:pPr>
            <w:bookmarkStart w:id="173" w:name="_Toc375315813"/>
            <w:r w:rsidRPr="00021DD2">
              <w:rPr>
                <w:rFonts w:cs="Arial"/>
                <w:i/>
              </w:rPr>
              <w:t>Section 7 – Discrimination on the ground of pregnancy or potential pregnancy</w:t>
            </w:r>
            <w:bookmarkEnd w:id="173"/>
          </w:p>
          <w:p w:rsidR="006924AB" w:rsidRPr="00021DD2" w:rsidRDefault="006924AB" w:rsidP="006924AB">
            <w:pPr>
              <w:rPr>
                <w:rFonts w:cs="Arial"/>
              </w:rPr>
            </w:pPr>
            <w:r w:rsidRPr="00021DD2">
              <w:rPr>
                <w:rFonts w:cs="Arial"/>
              </w:rPr>
              <w:t xml:space="preserve">(1)  For the purposes of this Act, a person (the </w:t>
            </w:r>
            <w:r w:rsidRPr="00021DD2">
              <w:rPr>
                <w:rFonts w:cs="Arial"/>
                <w:b/>
                <w:bCs/>
                <w:i/>
                <w:iCs/>
              </w:rPr>
              <w:t>discriminator</w:t>
            </w:r>
            <w:r w:rsidRPr="00021DD2">
              <w:rPr>
                <w:rFonts w:cs="Arial"/>
              </w:rPr>
              <w:t xml:space="preserve">) discriminates against a woman (the </w:t>
            </w:r>
            <w:r w:rsidRPr="00021DD2">
              <w:rPr>
                <w:rFonts w:cs="Arial"/>
                <w:b/>
                <w:bCs/>
                <w:i/>
                <w:iCs/>
              </w:rPr>
              <w:t>aggrieved woman</w:t>
            </w:r>
            <w:r w:rsidRPr="00021DD2">
              <w:rPr>
                <w:rFonts w:cs="Arial"/>
              </w:rPr>
              <w:t>) on the ground of the aggrieved woman’s pregnancy or potential pregnancy if, because of:</w:t>
            </w:r>
          </w:p>
          <w:p w:rsidR="006924AB" w:rsidRPr="00021DD2" w:rsidRDefault="006924AB" w:rsidP="006924AB">
            <w:pPr>
              <w:rPr>
                <w:rFonts w:cs="Arial"/>
              </w:rPr>
            </w:pPr>
            <w:r w:rsidRPr="00021DD2">
              <w:rPr>
                <w:rFonts w:cs="Arial"/>
              </w:rPr>
              <w:t>(a)  the aggrieved woman’s pregnancy or potential pregnancy; or</w:t>
            </w:r>
          </w:p>
          <w:p w:rsidR="006924AB" w:rsidRPr="00021DD2" w:rsidRDefault="006924AB" w:rsidP="006924AB">
            <w:pPr>
              <w:rPr>
                <w:rFonts w:cs="Arial"/>
              </w:rPr>
            </w:pPr>
            <w:r w:rsidRPr="00021DD2">
              <w:rPr>
                <w:rFonts w:cs="Arial"/>
              </w:rPr>
              <w:t>(b)  a characteristic that appertains generally to women who are pregnant or potentially pregnant; or</w:t>
            </w:r>
          </w:p>
          <w:p w:rsidR="006924AB" w:rsidRPr="00021DD2" w:rsidRDefault="006924AB" w:rsidP="006924AB">
            <w:pPr>
              <w:rPr>
                <w:rFonts w:cs="Arial"/>
              </w:rPr>
            </w:pPr>
            <w:r w:rsidRPr="00021DD2">
              <w:rPr>
                <w:rFonts w:cs="Arial"/>
              </w:rPr>
              <w:t>(c)  a characteristic that is generally imputed to women who are pregnant or potentially pregnant;</w:t>
            </w:r>
          </w:p>
          <w:p w:rsidR="006924AB" w:rsidRPr="00021DD2" w:rsidRDefault="006924AB" w:rsidP="006924AB">
            <w:pPr>
              <w:rPr>
                <w:rFonts w:cs="Arial"/>
              </w:rPr>
            </w:pPr>
            <w:r w:rsidRPr="00021DD2">
              <w:rPr>
                <w:rFonts w:cs="Arial"/>
              </w:rPr>
              <w:t>the discriminator treats the aggrieved woman less favourably than, in circumstances that are the same or are not materially different, the discriminator treats or would treat someone who is not pregnant or potentially pregnant.</w:t>
            </w:r>
          </w:p>
          <w:p w:rsidR="006924AB" w:rsidRPr="00021DD2" w:rsidRDefault="006924AB" w:rsidP="006924AB">
            <w:pPr>
              <w:rPr>
                <w:rFonts w:cs="Arial"/>
              </w:rPr>
            </w:pPr>
            <w:r w:rsidRPr="00021DD2">
              <w:rPr>
                <w:rFonts w:cs="Arial"/>
              </w:rPr>
              <w:t xml:space="preserve">(2)  For the purposes of this Act, a person (the </w:t>
            </w:r>
            <w:r w:rsidRPr="00021DD2">
              <w:rPr>
                <w:rFonts w:cs="Arial"/>
                <w:b/>
                <w:bCs/>
                <w:i/>
                <w:iCs/>
              </w:rPr>
              <w:t>discriminator</w:t>
            </w:r>
            <w:r w:rsidRPr="00021DD2">
              <w:rPr>
                <w:rFonts w:cs="Arial"/>
              </w:rPr>
              <w:t xml:space="preserve">) discriminates against a woman (the </w:t>
            </w:r>
            <w:r w:rsidRPr="00021DD2">
              <w:rPr>
                <w:rFonts w:cs="Arial"/>
                <w:b/>
                <w:bCs/>
                <w:i/>
                <w:iCs/>
              </w:rPr>
              <w:t>aggrieved woman</w:t>
            </w:r>
            <w:r w:rsidRPr="00021DD2">
              <w:rPr>
                <w:rFonts w:cs="Arial"/>
              </w:rPr>
              <w:t>) on the ground of the aggrieved woman’s pregnancy or potential pregnancy if the discriminator imposes, or proposes to impose, a condition, requirement or practice that has, or is likely to have, the effect of disadvantaging women who are pregnant or potentially pregnant.</w:t>
            </w:r>
          </w:p>
          <w:p w:rsidR="006924AB" w:rsidRPr="00021DD2" w:rsidRDefault="006924AB" w:rsidP="006924AB">
            <w:pPr>
              <w:rPr>
                <w:rFonts w:cs="Arial"/>
              </w:rPr>
            </w:pPr>
            <w:r w:rsidRPr="00021DD2">
              <w:rPr>
                <w:rFonts w:cs="Arial"/>
              </w:rPr>
              <w:t>(3)  This section has effect subject to sections 7B and 7D.</w:t>
            </w:r>
          </w:p>
          <w:p w:rsidR="006924AB" w:rsidRPr="00021DD2" w:rsidRDefault="006924AB" w:rsidP="006924AB">
            <w:pPr>
              <w:rPr>
                <w:rFonts w:cs="Arial"/>
                <w:i/>
              </w:rPr>
            </w:pPr>
            <w:r w:rsidRPr="00021DD2">
              <w:rPr>
                <w:rFonts w:cs="Arial"/>
                <w:i/>
              </w:rPr>
              <w:t>Section 7AA – Discrimination on the ground of breastfeeding</w:t>
            </w:r>
          </w:p>
          <w:p w:rsidR="006924AB" w:rsidRPr="00021DD2" w:rsidRDefault="006924AB" w:rsidP="006924AB">
            <w:pPr>
              <w:rPr>
                <w:rFonts w:cs="Arial"/>
              </w:rPr>
            </w:pPr>
            <w:r w:rsidRPr="00021DD2">
              <w:rPr>
                <w:rFonts w:cs="Arial"/>
              </w:rPr>
              <w:t xml:space="preserve">(1)  For the purposes of this Act, a person (the </w:t>
            </w:r>
            <w:r w:rsidRPr="00021DD2">
              <w:rPr>
                <w:rFonts w:cs="Arial"/>
                <w:b/>
                <w:bCs/>
                <w:i/>
                <w:iCs/>
              </w:rPr>
              <w:t>discriminator</w:t>
            </w:r>
            <w:r w:rsidRPr="00021DD2">
              <w:rPr>
                <w:rFonts w:cs="Arial"/>
              </w:rPr>
              <w:t xml:space="preserve">) discriminates against a woman (the </w:t>
            </w:r>
            <w:r w:rsidRPr="00021DD2">
              <w:rPr>
                <w:rFonts w:cs="Arial"/>
                <w:b/>
                <w:bCs/>
                <w:i/>
                <w:iCs/>
              </w:rPr>
              <w:t>aggrieved woman</w:t>
            </w:r>
            <w:r w:rsidRPr="00021DD2">
              <w:rPr>
                <w:rFonts w:cs="Arial"/>
              </w:rPr>
              <w:t>) on the ground of the aggrieved woman’s breastfeeding if, by reason of:</w:t>
            </w:r>
          </w:p>
          <w:p w:rsidR="006924AB" w:rsidRPr="00021DD2" w:rsidRDefault="006924AB" w:rsidP="006924AB">
            <w:pPr>
              <w:rPr>
                <w:rFonts w:cs="Arial"/>
              </w:rPr>
            </w:pPr>
            <w:r w:rsidRPr="00021DD2">
              <w:rPr>
                <w:rFonts w:cs="Arial"/>
              </w:rPr>
              <w:t>(a)  the aggrieved woman’s breastfeeding; or</w:t>
            </w:r>
          </w:p>
          <w:p w:rsidR="006924AB" w:rsidRPr="00021DD2" w:rsidRDefault="006924AB" w:rsidP="006924AB">
            <w:pPr>
              <w:rPr>
                <w:rFonts w:cs="Arial"/>
              </w:rPr>
            </w:pPr>
            <w:r w:rsidRPr="00021DD2">
              <w:rPr>
                <w:rFonts w:cs="Arial"/>
              </w:rPr>
              <w:t>(b)  a characteristic that appertains generally to women who are breastfeeding; or</w:t>
            </w:r>
          </w:p>
          <w:p w:rsidR="006924AB" w:rsidRPr="00021DD2" w:rsidRDefault="006924AB" w:rsidP="006924AB">
            <w:pPr>
              <w:rPr>
                <w:rFonts w:cs="Arial"/>
              </w:rPr>
            </w:pPr>
            <w:r w:rsidRPr="00021DD2">
              <w:rPr>
                <w:rFonts w:cs="Arial"/>
              </w:rPr>
              <w:t>(c)  a characteristic that is generally imputed to women who are breastfeeding;</w:t>
            </w:r>
          </w:p>
          <w:p w:rsidR="006924AB" w:rsidRPr="00021DD2" w:rsidRDefault="006924AB" w:rsidP="006924AB">
            <w:pPr>
              <w:rPr>
                <w:rFonts w:cs="Arial"/>
              </w:rPr>
            </w:pPr>
            <w:r w:rsidRPr="00021DD2">
              <w:rPr>
                <w:rFonts w:cs="Arial"/>
              </w:rPr>
              <w:t>the discriminator treats the aggrieved woman less favourably than, in circumstances that are the same or are not materially different, the discriminator treats or would treat someone who is not breastfeeding.</w:t>
            </w:r>
          </w:p>
          <w:p w:rsidR="006924AB" w:rsidRPr="00021DD2" w:rsidRDefault="006924AB" w:rsidP="006924AB">
            <w:pPr>
              <w:rPr>
                <w:rFonts w:cs="Arial"/>
              </w:rPr>
            </w:pPr>
            <w:r w:rsidRPr="00021DD2">
              <w:rPr>
                <w:rFonts w:cs="Arial"/>
              </w:rPr>
              <w:t xml:space="preserve">(2)  For the purposes of this Act, a person (the </w:t>
            </w:r>
            <w:r w:rsidRPr="00021DD2">
              <w:rPr>
                <w:rFonts w:cs="Arial"/>
                <w:b/>
                <w:bCs/>
                <w:i/>
                <w:iCs/>
              </w:rPr>
              <w:t>discriminator</w:t>
            </w:r>
            <w:r w:rsidRPr="00021DD2">
              <w:rPr>
                <w:rFonts w:cs="Arial"/>
              </w:rPr>
              <w:t xml:space="preserve">) discriminates against a woman (the </w:t>
            </w:r>
            <w:r w:rsidRPr="00021DD2">
              <w:rPr>
                <w:rFonts w:cs="Arial"/>
                <w:b/>
                <w:bCs/>
                <w:i/>
                <w:iCs/>
              </w:rPr>
              <w:t>aggrieved woman</w:t>
            </w:r>
            <w:r w:rsidRPr="00021DD2">
              <w:rPr>
                <w:rFonts w:cs="Arial"/>
              </w:rPr>
              <w:t>) on the ground of the aggrieved woman’s breastfeeding if the discriminator imposes, or proposes to impose, a condition, requirement or practice that has, or is likely to have, the effect of disadvantaging women who are breastfeeding.</w:t>
            </w:r>
          </w:p>
          <w:p w:rsidR="006924AB" w:rsidRPr="00021DD2" w:rsidRDefault="006924AB" w:rsidP="006924AB">
            <w:pPr>
              <w:rPr>
                <w:rFonts w:cs="Arial"/>
              </w:rPr>
            </w:pPr>
            <w:r w:rsidRPr="00021DD2">
              <w:rPr>
                <w:rFonts w:cs="Arial"/>
              </w:rPr>
              <w:t>…</w:t>
            </w:r>
          </w:p>
          <w:p w:rsidR="006924AB" w:rsidRPr="00021DD2" w:rsidRDefault="006924AB" w:rsidP="006924AB">
            <w:pPr>
              <w:rPr>
                <w:rFonts w:cs="Arial"/>
              </w:rPr>
            </w:pPr>
            <w:r w:rsidRPr="00021DD2">
              <w:rPr>
                <w:rFonts w:cs="Arial"/>
              </w:rPr>
              <w:t>(5)  This section has effect subject to sections 7B and 7D.</w:t>
            </w:r>
          </w:p>
          <w:p w:rsidR="006924AB" w:rsidRPr="00021DD2" w:rsidRDefault="006924AB" w:rsidP="006924AB">
            <w:pPr>
              <w:rPr>
                <w:rFonts w:cs="Arial"/>
                <w:i/>
              </w:rPr>
            </w:pPr>
            <w:bookmarkStart w:id="174" w:name="_Toc375315808"/>
            <w:r w:rsidRPr="00021DD2">
              <w:rPr>
                <w:rFonts w:cs="Arial"/>
                <w:i/>
              </w:rPr>
              <w:t>See also section 5 – Sex discrimination</w:t>
            </w:r>
            <w:bookmarkEnd w:id="174"/>
            <w:r w:rsidRPr="00021DD2">
              <w:rPr>
                <w:rFonts w:cs="Arial"/>
                <w:i/>
              </w:rPr>
              <w:t>.</w:t>
            </w:r>
          </w:p>
          <w:p w:rsidR="006924AB" w:rsidRPr="00021DD2" w:rsidRDefault="006924AB" w:rsidP="006924AB">
            <w:pPr>
              <w:rPr>
                <w:rFonts w:cs="Arial"/>
                <w:i/>
              </w:rPr>
            </w:pPr>
            <w:bookmarkStart w:id="175" w:name="_Toc375315816"/>
            <w:r w:rsidRPr="00021DD2">
              <w:rPr>
                <w:rFonts w:cs="Arial"/>
                <w:i/>
              </w:rPr>
              <w:t>Section 7B – Indirect discrimination: reasonableness test</w:t>
            </w:r>
            <w:bookmarkEnd w:id="175"/>
          </w:p>
          <w:p w:rsidR="006924AB" w:rsidRPr="00021DD2" w:rsidRDefault="006924AB" w:rsidP="006924AB">
            <w:pPr>
              <w:rPr>
                <w:rFonts w:cs="Arial"/>
              </w:rPr>
            </w:pPr>
            <w:r w:rsidRPr="00021DD2">
              <w:rPr>
                <w:rFonts w:cs="Arial"/>
              </w:rPr>
              <w:t>(1)  A person does not discriminate against another person by imposing, or proposing to impose, a condition, requirement or practice that has, or is likely to have, the disadvantaging effect mentioned in subsection 5(2)… 7(2) or 7AA(2) if the condition, requirement or practice is reasonable in the circumstances.</w:t>
            </w:r>
          </w:p>
          <w:p w:rsidR="006924AB" w:rsidRPr="00021DD2" w:rsidRDefault="006924AB" w:rsidP="006924AB">
            <w:pPr>
              <w:rPr>
                <w:rFonts w:cs="Arial"/>
              </w:rPr>
            </w:pPr>
            <w:r w:rsidRPr="00021DD2">
              <w:rPr>
                <w:rFonts w:cs="Arial"/>
              </w:rPr>
              <w:t>(2)  The matters to be taken into account in deciding whether a condition, requirement or practice is reasonable in the circumstances include:</w:t>
            </w:r>
          </w:p>
          <w:p w:rsidR="006924AB" w:rsidRPr="00021DD2" w:rsidRDefault="006924AB" w:rsidP="006924AB">
            <w:pPr>
              <w:rPr>
                <w:rFonts w:cs="Arial"/>
              </w:rPr>
            </w:pPr>
            <w:r w:rsidRPr="00021DD2">
              <w:rPr>
                <w:rFonts w:cs="Arial"/>
              </w:rPr>
              <w:t>(a)  the nature and extent of the disadvantage resulting from the imposition, or proposed imposition, of the condition, requirement or practice; and</w:t>
            </w:r>
          </w:p>
          <w:p w:rsidR="006924AB" w:rsidRPr="00021DD2" w:rsidRDefault="006924AB" w:rsidP="006924AB">
            <w:pPr>
              <w:rPr>
                <w:rFonts w:cs="Arial"/>
              </w:rPr>
            </w:pPr>
            <w:r w:rsidRPr="00021DD2">
              <w:rPr>
                <w:rFonts w:cs="Arial"/>
              </w:rPr>
              <w:t>(b)  the feasibility of overcoming or mitigating the disadvantage; and</w:t>
            </w:r>
          </w:p>
          <w:p w:rsidR="006924AB" w:rsidRPr="00021DD2" w:rsidRDefault="006924AB" w:rsidP="006924AB">
            <w:pPr>
              <w:rPr>
                <w:rFonts w:cs="Arial"/>
                <w:b/>
                <w:i/>
                <w:color w:val="000000"/>
                <w:szCs w:val="18"/>
              </w:rPr>
            </w:pPr>
            <w:r w:rsidRPr="00021DD2">
              <w:rPr>
                <w:rFonts w:cs="Arial"/>
              </w:rPr>
              <w:t>(c)  whether the disadvantage is proportionate to the result sought by the person who imposes, or proposes to impose, the condition, requirement or practice.</w:t>
            </w:r>
          </w:p>
          <w:p w:rsidR="006924AB" w:rsidRPr="00021DD2" w:rsidRDefault="006924AB" w:rsidP="006924AB">
            <w:pPr>
              <w:rPr>
                <w:rFonts w:cs="Arial"/>
                <w:i/>
              </w:rPr>
            </w:pPr>
            <w:r w:rsidRPr="00021DD2">
              <w:rPr>
                <w:rFonts w:cs="Arial"/>
                <w:i/>
              </w:rPr>
              <w:t xml:space="preserve">Section 21 – Education </w:t>
            </w:r>
          </w:p>
          <w:p w:rsidR="006924AB" w:rsidRPr="00021DD2" w:rsidRDefault="006924AB" w:rsidP="00B934D7">
            <w:pPr>
              <w:pStyle w:val="Paragrafoelenco"/>
              <w:numPr>
                <w:ilvl w:val="0"/>
                <w:numId w:val="78"/>
              </w:numPr>
              <w:spacing w:before="120" w:after="120"/>
              <w:contextualSpacing w:val="0"/>
              <w:jc w:val="left"/>
            </w:pPr>
            <w:r w:rsidRPr="00021DD2">
              <w:t>It is unlawful for an educational authority</w:t>
            </w:r>
            <w:r w:rsidRPr="00021DD2">
              <w:rPr>
                <w:rStyle w:val="Rimandonotadichiusura"/>
              </w:rPr>
              <w:endnoteReference w:id="851"/>
            </w:r>
            <w:r w:rsidRPr="00021DD2">
              <w:t xml:space="preserve"> to discriminate against a person on the ground of the person’s sex … pregnancy or potential pregnancy, or breastfeeding:</w:t>
            </w:r>
          </w:p>
          <w:p w:rsidR="006924AB" w:rsidRPr="00021DD2" w:rsidRDefault="006924AB" w:rsidP="00B934D7">
            <w:pPr>
              <w:pStyle w:val="Paragrafoelenco"/>
              <w:numPr>
                <w:ilvl w:val="0"/>
                <w:numId w:val="99"/>
              </w:numPr>
              <w:spacing w:before="120" w:after="120"/>
              <w:contextualSpacing w:val="0"/>
              <w:jc w:val="left"/>
            </w:pPr>
            <w:r w:rsidRPr="00021DD2">
              <w:t xml:space="preserve">by refusing or failing to accept the person’s application for admission as a student; or, </w:t>
            </w:r>
          </w:p>
          <w:p w:rsidR="006924AB" w:rsidRPr="00021DD2" w:rsidRDefault="006924AB" w:rsidP="00B934D7">
            <w:pPr>
              <w:pStyle w:val="Paragrafoelenco"/>
              <w:numPr>
                <w:ilvl w:val="0"/>
                <w:numId w:val="99"/>
              </w:numPr>
              <w:spacing w:before="120" w:after="120"/>
              <w:contextualSpacing w:val="0"/>
              <w:jc w:val="left"/>
            </w:pPr>
            <w:r w:rsidRPr="00021DD2">
              <w:t xml:space="preserve">in the terms or conditions on which it is prepared to admit the person as a student. </w:t>
            </w:r>
          </w:p>
          <w:p w:rsidR="006924AB" w:rsidRPr="00021DD2" w:rsidRDefault="006924AB" w:rsidP="00B934D7">
            <w:pPr>
              <w:pStyle w:val="Paragrafoelenco"/>
              <w:numPr>
                <w:ilvl w:val="0"/>
                <w:numId w:val="78"/>
              </w:numPr>
              <w:spacing w:before="120" w:after="120"/>
              <w:contextualSpacing w:val="0"/>
              <w:jc w:val="left"/>
            </w:pPr>
            <w:r w:rsidRPr="00021DD2">
              <w:t xml:space="preserve">It is unlawful for an educational authority to discriminate against a student on the grounds of the student’s sex, sexual orientation, gender identity, intersex status, marital or relationship status, pregnancy or potential pregnancy, or breastfeeding: </w:t>
            </w:r>
          </w:p>
          <w:p w:rsidR="006924AB" w:rsidRPr="00021DD2" w:rsidRDefault="006924AB" w:rsidP="00B934D7">
            <w:pPr>
              <w:pStyle w:val="Paragrafoelenco"/>
              <w:numPr>
                <w:ilvl w:val="0"/>
                <w:numId w:val="100"/>
              </w:numPr>
              <w:spacing w:before="120" w:after="120"/>
              <w:contextualSpacing w:val="0"/>
              <w:jc w:val="left"/>
            </w:pPr>
            <w:r w:rsidRPr="00021DD2">
              <w:t xml:space="preserve">by denying the student access, or limiting the student’s access, to any benefit provided by the educational authority; </w:t>
            </w:r>
          </w:p>
          <w:p w:rsidR="006924AB" w:rsidRPr="00021DD2" w:rsidRDefault="006924AB" w:rsidP="00B934D7">
            <w:pPr>
              <w:pStyle w:val="Paragrafoelenco"/>
              <w:numPr>
                <w:ilvl w:val="0"/>
                <w:numId w:val="100"/>
              </w:numPr>
              <w:spacing w:before="120" w:after="120"/>
              <w:contextualSpacing w:val="0"/>
              <w:jc w:val="left"/>
            </w:pPr>
            <w:r w:rsidRPr="00021DD2">
              <w:t xml:space="preserve">by expelling the students; or, </w:t>
            </w:r>
          </w:p>
          <w:p w:rsidR="006924AB" w:rsidRPr="00021DD2" w:rsidRDefault="006924AB" w:rsidP="00B934D7">
            <w:pPr>
              <w:pStyle w:val="Paragrafoelenco"/>
              <w:numPr>
                <w:ilvl w:val="0"/>
                <w:numId w:val="100"/>
              </w:numPr>
              <w:spacing w:before="120" w:after="120"/>
              <w:contextualSpacing w:val="0"/>
              <w:jc w:val="left"/>
            </w:pPr>
            <w:r w:rsidRPr="00021DD2">
              <w:t xml:space="preserve">by subjecting the student to any other detriment. </w:t>
            </w:r>
          </w:p>
          <w:p w:rsidR="006924AB" w:rsidRPr="00021DD2" w:rsidRDefault="006924AB" w:rsidP="006924AB">
            <w:pPr>
              <w:rPr>
                <w:rFonts w:cs="Arial"/>
              </w:rPr>
            </w:pPr>
            <w:r w:rsidRPr="00021DD2">
              <w:rPr>
                <w:rFonts w:cs="Arial"/>
              </w:rPr>
              <w:t xml:space="preserve">… </w:t>
            </w:r>
          </w:p>
          <w:p w:rsidR="006924AB" w:rsidRPr="00021DD2" w:rsidRDefault="006924AB" w:rsidP="006924AB">
            <w:pPr>
              <w:rPr>
                <w:rFonts w:cs="Arial"/>
              </w:rPr>
            </w:pPr>
            <w:r w:rsidRPr="00021DD2">
              <w:rPr>
                <w:rFonts w:cs="Arial"/>
              </w:rPr>
              <w:t xml:space="preserve">(4) This section binds the Crown in right of a State. </w:t>
            </w:r>
          </w:p>
          <w:p w:rsidR="006924AB" w:rsidRPr="00021DD2" w:rsidRDefault="006924AB" w:rsidP="006924AB">
            <w:pPr>
              <w:rPr>
                <w:rFonts w:cs="Arial"/>
                <w:color w:val="000000"/>
                <w:szCs w:val="18"/>
              </w:rPr>
            </w:pPr>
            <w:r w:rsidRPr="00021DD2">
              <w:rPr>
                <w:rFonts w:cs="Arial"/>
                <w:i/>
                <w:color w:val="000000"/>
                <w:szCs w:val="18"/>
              </w:rPr>
              <w:t xml:space="preserve">Section 38 – Educational institutions established for religious purposes </w:t>
            </w:r>
          </w:p>
          <w:p w:rsidR="006924AB" w:rsidRPr="00021DD2" w:rsidRDefault="006924AB" w:rsidP="006924AB">
            <w:pPr>
              <w:rPr>
                <w:rFonts w:cs="Arial"/>
              </w:rPr>
            </w:pPr>
            <w:r w:rsidRPr="00021DD2">
              <w:rPr>
                <w:rFonts w:cs="Arial"/>
              </w:rPr>
              <w:t xml:space="preserve">(3) Nothing in section 21 renders it unlawful for a person to discriminate against another person on the ground of the other person’s… pregnancy in connection with the provision of education or training by an educational institution that is conducted in accordance with the doctrines, tenets, beliefs or teachings of a particular religion or creed, if the first-mentioned person so discriminates in good faith in order to avoid injury to the religious susceptibilities of adherents of that religion or creed. </w:t>
            </w:r>
          </w:p>
          <w:p w:rsidR="006924AB" w:rsidRPr="00021DD2" w:rsidRDefault="006924AB" w:rsidP="006924AB">
            <w:pPr>
              <w:rPr>
                <w:rFonts w:cs="Arial"/>
                <w:color w:val="000000"/>
                <w:szCs w:val="18"/>
              </w:rPr>
            </w:pPr>
            <w:r w:rsidRPr="00021DD2">
              <w:rPr>
                <w:rFonts w:cs="Arial"/>
                <w:i/>
              </w:rPr>
              <w:t xml:space="preserve">See also section 44 on exemptions, which include exemption from the operation of section 21 (education) above. </w:t>
            </w:r>
          </w:p>
        </w:tc>
      </w:tr>
      <w:tr w:rsidR="006924AB" w:rsidRPr="00021DD2" w:rsidTr="006924AB">
        <w:trPr>
          <w:cnfStyle w:val="000000100000" w:firstRow="0" w:lastRow="0" w:firstColumn="0" w:lastColumn="0" w:oddVBand="0" w:evenVBand="0" w:oddHBand="1" w:evenHBand="0" w:firstRowFirstColumn="0" w:firstRowLastColumn="0" w:lastRowFirstColumn="0" w:lastRowLastColumn="0"/>
        </w:trPr>
        <w:tc>
          <w:tcPr>
            <w:tcW w:w="1645" w:type="dxa"/>
          </w:tcPr>
          <w:p w:rsidR="006924AB" w:rsidRPr="00021DD2" w:rsidRDefault="006924AB" w:rsidP="006924AB">
            <w:pPr>
              <w:rPr>
                <w:rFonts w:cs="Arial"/>
              </w:rPr>
            </w:pPr>
            <w:r w:rsidRPr="00021DD2">
              <w:rPr>
                <w:rFonts w:cs="Arial"/>
              </w:rPr>
              <w:t>Case law</w:t>
            </w:r>
          </w:p>
        </w:tc>
        <w:tc>
          <w:tcPr>
            <w:tcW w:w="7281" w:type="dxa"/>
          </w:tcPr>
          <w:p w:rsidR="006924AB" w:rsidRPr="00021DD2" w:rsidRDefault="006924AB" w:rsidP="006924AB">
            <w:pPr>
              <w:rPr>
                <w:rFonts w:cs="Arial"/>
              </w:rPr>
            </w:pPr>
            <w:r w:rsidRPr="00021DD2">
              <w:rPr>
                <w:rFonts w:cs="Arial"/>
                <w:lang w:val="en-US"/>
              </w:rPr>
              <w:t>Not applicable.</w:t>
            </w:r>
          </w:p>
        </w:tc>
      </w:tr>
      <w:tr w:rsidR="006924AB" w:rsidRPr="00021DD2" w:rsidTr="006924AB">
        <w:trPr>
          <w:cnfStyle w:val="000000010000" w:firstRow="0" w:lastRow="0" w:firstColumn="0" w:lastColumn="0" w:oddVBand="0" w:evenVBand="0" w:oddHBand="0" w:evenHBand="1" w:firstRowFirstColumn="0" w:firstRowLastColumn="0" w:lastRowFirstColumn="0" w:lastRowLastColumn="0"/>
        </w:trPr>
        <w:tc>
          <w:tcPr>
            <w:tcW w:w="8926" w:type="dxa"/>
            <w:gridSpan w:val="2"/>
          </w:tcPr>
          <w:p w:rsidR="006924AB" w:rsidRPr="00021DD2" w:rsidRDefault="006924AB" w:rsidP="006924AB">
            <w:pPr>
              <w:rPr>
                <w:rFonts w:cs="Arial"/>
              </w:rPr>
            </w:pPr>
            <w:r w:rsidRPr="00021DD2">
              <w:rPr>
                <w:rFonts w:cs="Arial"/>
                <w:b/>
              </w:rPr>
              <w:t>New South Wales</w:t>
            </w:r>
          </w:p>
        </w:tc>
      </w:tr>
      <w:tr w:rsidR="006924AB" w:rsidRPr="00021DD2" w:rsidTr="006924AB">
        <w:trPr>
          <w:cnfStyle w:val="000000100000" w:firstRow="0" w:lastRow="0" w:firstColumn="0" w:lastColumn="0" w:oddVBand="0" w:evenVBand="0" w:oddHBand="1" w:evenHBand="0" w:firstRowFirstColumn="0" w:firstRowLastColumn="0" w:lastRowFirstColumn="0" w:lastRowLastColumn="0"/>
          <w:trHeight w:val="594"/>
        </w:trPr>
        <w:tc>
          <w:tcPr>
            <w:tcW w:w="1645" w:type="dxa"/>
          </w:tcPr>
          <w:p w:rsidR="006924AB" w:rsidRPr="00021DD2" w:rsidRDefault="006924AB" w:rsidP="006924AB">
            <w:pPr>
              <w:rPr>
                <w:rFonts w:cs="Arial"/>
              </w:rPr>
            </w:pPr>
            <w:r w:rsidRPr="00021DD2">
              <w:rPr>
                <w:rFonts w:cs="Arial"/>
              </w:rPr>
              <w:t>Legislative provisions</w:t>
            </w:r>
          </w:p>
        </w:tc>
        <w:tc>
          <w:tcPr>
            <w:tcW w:w="7281" w:type="dxa"/>
          </w:tcPr>
          <w:p w:rsidR="006924AB" w:rsidRPr="00E34166" w:rsidRDefault="006924AB" w:rsidP="004E5868">
            <w:pPr>
              <w:pStyle w:val="Bodyparagraph"/>
            </w:pPr>
            <w:r w:rsidRPr="00DB03C9">
              <w:t xml:space="preserve">Education Act 1990 </w:t>
            </w:r>
            <w:r w:rsidRPr="00E34166">
              <w:t xml:space="preserve">(NSW) </w:t>
            </w:r>
          </w:p>
          <w:p w:rsidR="00DB03C9" w:rsidRPr="00DB03C9" w:rsidRDefault="00DB03C9" w:rsidP="004E5868">
            <w:pPr>
              <w:pStyle w:val="Bodyparagraph"/>
            </w:pPr>
          </w:p>
          <w:p w:rsidR="006924AB" w:rsidRPr="004E5868" w:rsidRDefault="006924AB" w:rsidP="004E5868">
            <w:pPr>
              <w:pStyle w:val="Bodyparagraph"/>
              <w:rPr>
                <w:lang w:val="en"/>
              </w:rPr>
            </w:pPr>
            <w:r w:rsidRPr="004E5868">
              <w:t xml:space="preserve">Section </w:t>
            </w:r>
            <w:r w:rsidRPr="004E5868">
              <w:rPr>
                <w:lang w:val="en"/>
              </w:rPr>
              <w:t>4 – Principles on which this Act is based</w:t>
            </w:r>
          </w:p>
          <w:p w:rsidR="006924AB" w:rsidRDefault="006924AB" w:rsidP="004E5868">
            <w:pPr>
              <w:pStyle w:val="Bodyparagraph"/>
              <w:rPr>
                <w:lang w:val="en"/>
              </w:rPr>
            </w:pPr>
            <w:r w:rsidRPr="00DB03C9">
              <w:rPr>
                <w:lang w:val="en"/>
              </w:rPr>
              <w:t>In enacting this Act, Parliament has had regard to the following principles:</w:t>
            </w:r>
          </w:p>
          <w:p w:rsidR="00DB03C9" w:rsidRPr="00DB03C9" w:rsidRDefault="00DB03C9" w:rsidP="004E5868">
            <w:pPr>
              <w:pStyle w:val="Bodyparagraph"/>
              <w:rPr>
                <w:lang w:val="en"/>
              </w:rPr>
            </w:pPr>
          </w:p>
          <w:p w:rsidR="006924AB" w:rsidRPr="00DB03C9" w:rsidRDefault="006924AB" w:rsidP="004E5868">
            <w:pPr>
              <w:pStyle w:val="Bodyparagraph"/>
              <w:rPr>
                <w:lang w:val="en"/>
              </w:rPr>
            </w:pPr>
            <w:r w:rsidRPr="00DB03C9">
              <w:rPr>
                <w:lang w:val="en"/>
              </w:rPr>
              <w:t>(a)  every child has the right to receive an education,</w:t>
            </w:r>
          </w:p>
          <w:p w:rsidR="006924AB" w:rsidRPr="00DB03C9" w:rsidRDefault="006924AB" w:rsidP="004E5868">
            <w:pPr>
              <w:pStyle w:val="Bodyparagraph"/>
              <w:rPr>
                <w:lang w:val="en"/>
              </w:rPr>
            </w:pPr>
            <w:r w:rsidRPr="00DB03C9">
              <w:rPr>
                <w:lang w:val="en"/>
              </w:rPr>
              <w:t xml:space="preserve">… </w:t>
            </w:r>
          </w:p>
          <w:p w:rsidR="006924AB" w:rsidRPr="00DB03C9" w:rsidRDefault="006924AB" w:rsidP="004E5868">
            <w:pPr>
              <w:pStyle w:val="Bodyparagraph"/>
              <w:rPr>
                <w:lang w:val="en"/>
              </w:rPr>
            </w:pPr>
            <w:r w:rsidRPr="00DB03C9">
              <w:rPr>
                <w:lang w:val="en"/>
              </w:rPr>
              <w:t>(c)  it is the duty of the State to ensure that every child receives an education of the highest quality,</w:t>
            </w:r>
          </w:p>
          <w:p w:rsidR="006924AB" w:rsidRPr="00DB03C9" w:rsidRDefault="006924AB" w:rsidP="004E5868">
            <w:pPr>
              <w:pStyle w:val="Bodyparagraph"/>
              <w:rPr>
                <w:lang w:val="en"/>
              </w:rPr>
            </w:pPr>
            <w:r w:rsidRPr="00DB03C9">
              <w:rPr>
                <w:lang w:val="en"/>
              </w:rPr>
              <w:t>(d)  the principal responsibility of the State in the education of children is the provision of public education.</w:t>
            </w:r>
          </w:p>
          <w:p w:rsidR="006924AB" w:rsidRPr="00DB03C9" w:rsidRDefault="006924AB" w:rsidP="004E5868">
            <w:pPr>
              <w:pStyle w:val="Bodyparagraph"/>
              <w:rPr>
                <w:lang w:val="en"/>
              </w:rPr>
            </w:pPr>
            <w:r w:rsidRPr="00DB03C9">
              <w:rPr>
                <w:lang w:val="en"/>
              </w:rPr>
              <w:t>Section 6 – Objects for administration of this Act or of education</w:t>
            </w:r>
          </w:p>
          <w:p w:rsidR="006924AB" w:rsidRPr="00DB03C9" w:rsidRDefault="006924AB" w:rsidP="004E5868">
            <w:pPr>
              <w:pStyle w:val="Bodyparagraph"/>
              <w:rPr>
                <w:lang w:val="en"/>
              </w:rPr>
            </w:pPr>
            <w:r w:rsidRPr="00DB03C9">
              <w:rPr>
                <w:lang w:val="en"/>
              </w:rPr>
              <w:t>(1)  It is the intention of Parliament that every person concerned in the administration of this Act or of education for children of school-age in New South Wales is to have regard (as far as is practicable or appropriate) to the following objects:</w:t>
            </w:r>
          </w:p>
          <w:p w:rsidR="006924AB" w:rsidRPr="00DB03C9" w:rsidRDefault="006924AB" w:rsidP="004E5868">
            <w:pPr>
              <w:pStyle w:val="Bodyparagraph"/>
              <w:rPr>
                <w:lang w:val="en"/>
              </w:rPr>
            </w:pPr>
            <w:r w:rsidRPr="00DB03C9">
              <w:rPr>
                <w:lang w:val="en"/>
              </w:rPr>
              <w:t>(a)  assisting each child to achieve his or her educational potential,…</w:t>
            </w:r>
          </w:p>
          <w:p w:rsidR="006924AB" w:rsidRPr="00DB03C9" w:rsidRDefault="006924AB" w:rsidP="004E5868">
            <w:pPr>
              <w:pStyle w:val="Bodyparagraph"/>
              <w:rPr>
                <w:lang w:val="en"/>
              </w:rPr>
            </w:pPr>
            <w:r w:rsidRPr="00DB03C9">
              <w:rPr>
                <w:lang w:val="en"/>
              </w:rPr>
              <w:t>(d)  provision of an education for children that gives them access to opportunities for further study, work or training,</w:t>
            </w:r>
          </w:p>
          <w:p w:rsidR="006924AB" w:rsidRDefault="006924AB" w:rsidP="004E5868">
            <w:pPr>
              <w:pStyle w:val="Bodyparagraph"/>
              <w:rPr>
                <w:lang w:val="en"/>
              </w:rPr>
            </w:pPr>
            <w:r w:rsidRPr="00DB03C9">
              <w:rPr>
                <w:lang w:val="en"/>
              </w:rPr>
              <w:t>(e)  mitigating educational disadvantages arising from the child’s gender or from geographic, economic, social, cultural, lingual or other causes, …</w:t>
            </w:r>
          </w:p>
          <w:p w:rsidR="00DB03C9" w:rsidRPr="00DB03C9" w:rsidRDefault="00DB03C9" w:rsidP="004E5868">
            <w:pPr>
              <w:pStyle w:val="Bodyparagraph"/>
            </w:pPr>
          </w:p>
          <w:p w:rsidR="006924AB" w:rsidRPr="00E34166" w:rsidRDefault="006924AB" w:rsidP="004E5868">
            <w:pPr>
              <w:pStyle w:val="Bodyparagraph"/>
            </w:pPr>
            <w:r w:rsidRPr="00021DD2">
              <w:t xml:space="preserve">Anti-Discrimination Act 1977 </w:t>
            </w:r>
            <w:r w:rsidRPr="00E34166">
              <w:t>(NSW)</w:t>
            </w:r>
          </w:p>
          <w:p w:rsidR="00DB03C9" w:rsidRPr="00021DD2" w:rsidRDefault="00DB03C9" w:rsidP="004E5868">
            <w:pPr>
              <w:pStyle w:val="Bodyparagraph"/>
            </w:pPr>
          </w:p>
          <w:p w:rsidR="006924AB" w:rsidRPr="00DB03C9" w:rsidRDefault="006924AB" w:rsidP="004E5868">
            <w:pPr>
              <w:pStyle w:val="Bodyparagraph"/>
              <w:rPr>
                <w:lang w:val="en"/>
              </w:rPr>
            </w:pPr>
            <w:r w:rsidRPr="00DB03C9">
              <w:rPr>
                <w:lang w:val="en"/>
              </w:rPr>
              <w:t>Section 24 – What constitutes discrimination on the ground of sex</w:t>
            </w:r>
          </w:p>
          <w:p w:rsidR="00DB03C9" w:rsidRDefault="00DB03C9" w:rsidP="004E5868">
            <w:pPr>
              <w:pStyle w:val="Bodyparagraph"/>
              <w:rPr>
                <w:lang w:val="en"/>
              </w:rPr>
            </w:pPr>
          </w:p>
          <w:p w:rsidR="006924AB" w:rsidRPr="00DB03C9" w:rsidRDefault="006924AB" w:rsidP="004E5868">
            <w:pPr>
              <w:pStyle w:val="Bodyparagraph"/>
              <w:rPr>
                <w:lang w:val="en"/>
              </w:rPr>
            </w:pPr>
            <w:r w:rsidRPr="00DB03C9">
              <w:rPr>
                <w:lang w:val="en"/>
              </w:rPr>
              <w:t>(1)  A person (the perpetrator) discriminates against another person (the aggrieved person) on the ground of sex if, on the ground of the aggrieved person’s sex or the sex of a relative or associate of the aggrieved person, the perpetrator:</w:t>
            </w:r>
          </w:p>
          <w:p w:rsidR="00DB03C9" w:rsidRDefault="00DB03C9" w:rsidP="004E5868">
            <w:pPr>
              <w:pStyle w:val="Bodyparagraph"/>
              <w:rPr>
                <w:lang w:val="en"/>
              </w:rPr>
            </w:pPr>
          </w:p>
          <w:p w:rsidR="006924AB" w:rsidRPr="00DB03C9" w:rsidRDefault="006924AB" w:rsidP="004E5868">
            <w:pPr>
              <w:pStyle w:val="Bodyparagraph"/>
              <w:rPr>
                <w:lang w:val="en"/>
              </w:rPr>
            </w:pPr>
            <w:r w:rsidRPr="00DB03C9">
              <w:rPr>
                <w:lang w:val="en"/>
              </w:rPr>
              <w:t>(a)  treats the aggrieved person less favourably than in the same circumstances, or in circumstances which are not materially different, the perpetrator treats or would treat a person of the opposite sex or who does not have such a relative or associate of that sex, or</w:t>
            </w:r>
          </w:p>
          <w:p w:rsidR="00DB03C9" w:rsidRDefault="00DB03C9" w:rsidP="004E5868">
            <w:pPr>
              <w:pStyle w:val="Bodyparagraph"/>
              <w:rPr>
                <w:lang w:val="en"/>
              </w:rPr>
            </w:pPr>
          </w:p>
          <w:p w:rsidR="006924AB" w:rsidRPr="00DB03C9" w:rsidRDefault="006924AB" w:rsidP="004E5868">
            <w:pPr>
              <w:pStyle w:val="Bodyparagraph"/>
              <w:rPr>
                <w:lang w:val="en"/>
              </w:rPr>
            </w:pPr>
            <w:r w:rsidRPr="00DB03C9">
              <w:rPr>
                <w:lang w:val="en"/>
              </w:rPr>
              <w:t>(b)  requires the aggrieved person to comply with a requirement or condition with which a substantially higher proportion of persons of the opposite sex, or who do not have such a relative or associate of that sex, comply or are able to comply, being a requirement which is not reasonable having regard to the circumstances of the case and with which the aggrieved person does not or is not able to comply.</w:t>
            </w:r>
          </w:p>
          <w:p w:rsidR="00DB03C9" w:rsidRDefault="00DB03C9" w:rsidP="004E5868">
            <w:pPr>
              <w:pStyle w:val="Bodyparagraph"/>
              <w:rPr>
                <w:lang w:val="en"/>
              </w:rPr>
            </w:pPr>
          </w:p>
          <w:p w:rsidR="006924AB" w:rsidRPr="00DB03C9" w:rsidRDefault="006924AB" w:rsidP="004E5868">
            <w:pPr>
              <w:pStyle w:val="Bodyparagraph"/>
              <w:rPr>
                <w:lang w:val="en"/>
              </w:rPr>
            </w:pPr>
            <w:r w:rsidRPr="00DB03C9">
              <w:rPr>
                <w:lang w:val="en"/>
              </w:rPr>
              <w:t>(1A)  For the purposes of subsection (1) (a), something is done on the ground of a person’s sex if it is done on the ground of the person’s sex, a characteristic that appertains generally to persons of that sex or a characteristic that is generally imputed to persons of that sex.</w:t>
            </w:r>
          </w:p>
          <w:p w:rsidR="00DB03C9" w:rsidRDefault="00DB03C9" w:rsidP="004E5868">
            <w:pPr>
              <w:pStyle w:val="Bodyparagraph"/>
              <w:rPr>
                <w:lang w:val="en"/>
              </w:rPr>
            </w:pPr>
          </w:p>
          <w:p w:rsidR="006924AB" w:rsidRPr="00DB03C9" w:rsidRDefault="006924AB" w:rsidP="004E5868">
            <w:pPr>
              <w:pStyle w:val="Bodyparagraph"/>
              <w:rPr>
                <w:lang w:val="en"/>
              </w:rPr>
            </w:pPr>
            <w:r w:rsidRPr="00DB03C9">
              <w:rPr>
                <w:lang w:val="en"/>
              </w:rPr>
              <w:t>(1B)  For the purposes of this section, but without limiting the generality of this section, the fact that a woman is or may become pregnant is a characteristic that appertains generally to women.</w:t>
            </w:r>
          </w:p>
          <w:p w:rsidR="00DB03C9" w:rsidRDefault="00DB03C9" w:rsidP="004E5868">
            <w:pPr>
              <w:pStyle w:val="Bodyparagraph"/>
              <w:rPr>
                <w:lang w:val="en"/>
              </w:rPr>
            </w:pPr>
          </w:p>
          <w:p w:rsidR="006924AB" w:rsidRDefault="006924AB" w:rsidP="004E5868">
            <w:pPr>
              <w:pStyle w:val="Bodyparagraph"/>
              <w:rPr>
                <w:lang w:val="en"/>
              </w:rPr>
            </w:pPr>
            <w:r w:rsidRPr="00DB03C9">
              <w:rPr>
                <w:lang w:val="en"/>
              </w:rPr>
              <w:t>(1C)  For the purposes of this section, but without limiting the generality of this section, the fact that a woman is breastfeeding or may breastfeed is a characteristic that appertains generally to women. For the purposes of this Act, breastfeeding includes the act of expressing breast milk.</w:t>
            </w:r>
          </w:p>
          <w:p w:rsidR="00DB03C9" w:rsidRPr="00DB03C9" w:rsidRDefault="00DB03C9" w:rsidP="004E5868">
            <w:pPr>
              <w:pStyle w:val="Bodyparagraph"/>
              <w:rPr>
                <w:lang w:val="en"/>
              </w:rPr>
            </w:pPr>
          </w:p>
          <w:p w:rsidR="006924AB" w:rsidRPr="00021DD2" w:rsidRDefault="006924AB" w:rsidP="004E5868">
            <w:pPr>
              <w:pStyle w:val="Bodyparagraph"/>
            </w:pPr>
            <w:r w:rsidRPr="00021DD2">
              <w:t xml:space="preserve">Section 31A – Education </w:t>
            </w:r>
          </w:p>
          <w:p w:rsidR="006924AB" w:rsidRPr="00021DD2" w:rsidRDefault="006924AB" w:rsidP="00B934D7">
            <w:pPr>
              <w:pStyle w:val="Paragrafoelenco"/>
              <w:numPr>
                <w:ilvl w:val="0"/>
                <w:numId w:val="101"/>
              </w:numPr>
              <w:spacing w:before="120" w:after="120"/>
              <w:contextualSpacing w:val="0"/>
              <w:jc w:val="left"/>
            </w:pPr>
            <w:r w:rsidRPr="00021DD2">
              <w:t>It is unlawful for an educational authority</w:t>
            </w:r>
            <w:r w:rsidRPr="00021DD2">
              <w:rPr>
                <w:rStyle w:val="Rimandonotadichiusura"/>
              </w:rPr>
              <w:endnoteReference w:id="852"/>
            </w:r>
            <w:r w:rsidRPr="00021DD2">
              <w:t xml:space="preserve"> to discriminate against a person on the ground of sex: </w:t>
            </w:r>
          </w:p>
          <w:p w:rsidR="006924AB" w:rsidRPr="00021DD2" w:rsidRDefault="006924AB" w:rsidP="006924AB">
            <w:pPr>
              <w:pStyle w:val="Paragrafoelenco"/>
              <w:ind w:left="360"/>
            </w:pPr>
            <w:r w:rsidRPr="00021DD2">
              <w:t>(a) by refusing or failing to accept the person’s application for admission as a student, or</w:t>
            </w:r>
          </w:p>
          <w:p w:rsidR="006924AB" w:rsidRPr="00021DD2" w:rsidRDefault="006924AB" w:rsidP="006924AB">
            <w:pPr>
              <w:pStyle w:val="Paragrafoelenco"/>
              <w:ind w:left="360"/>
            </w:pPr>
            <w:r w:rsidRPr="00021DD2">
              <w:t xml:space="preserve">(b) in the terms on which it is prepared to admit the person as a student. </w:t>
            </w:r>
          </w:p>
          <w:p w:rsidR="006924AB" w:rsidRPr="00021DD2" w:rsidRDefault="006924AB" w:rsidP="00B934D7">
            <w:pPr>
              <w:pStyle w:val="Paragrafoelenco"/>
              <w:numPr>
                <w:ilvl w:val="0"/>
                <w:numId w:val="101"/>
              </w:numPr>
              <w:spacing w:before="120" w:after="120"/>
              <w:contextualSpacing w:val="0"/>
              <w:jc w:val="left"/>
            </w:pPr>
            <w:r w:rsidRPr="00021DD2">
              <w:t xml:space="preserve">It is unlawful for an educational authority to discriminate against a student on the ground of sex: </w:t>
            </w:r>
          </w:p>
          <w:p w:rsidR="006924AB" w:rsidRPr="00021DD2" w:rsidRDefault="006924AB" w:rsidP="006924AB">
            <w:pPr>
              <w:pStyle w:val="Paragrafoelenco"/>
              <w:ind w:left="360"/>
            </w:pPr>
            <w:r w:rsidRPr="00021DD2">
              <w:t xml:space="preserve">(a) by denying the student access, or limiting the student’s access, to any benefit provided by the educational authority, or </w:t>
            </w:r>
          </w:p>
          <w:p w:rsidR="006924AB" w:rsidRPr="00021DD2" w:rsidRDefault="006924AB" w:rsidP="006924AB">
            <w:pPr>
              <w:pStyle w:val="Paragrafoelenco"/>
              <w:ind w:left="360"/>
              <w:rPr>
                <w:i/>
                <w:color w:val="000000"/>
                <w:szCs w:val="18"/>
              </w:rPr>
            </w:pPr>
            <w:r w:rsidRPr="00021DD2">
              <w:t xml:space="preserve">(b) by expelling the student or subjecting the student to any other detriment. </w:t>
            </w:r>
          </w:p>
          <w:p w:rsidR="006924AB" w:rsidRPr="00021DD2" w:rsidRDefault="006924AB" w:rsidP="006924AB">
            <w:pPr>
              <w:rPr>
                <w:rFonts w:cs="Arial"/>
              </w:rPr>
            </w:pPr>
            <w:r w:rsidRPr="00021DD2">
              <w:rPr>
                <w:rFonts w:cs="Arial"/>
                <w:i/>
                <w:color w:val="000000"/>
                <w:szCs w:val="18"/>
              </w:rPr>
              <w:t>See also section 126 on exemptions from the Act.</w:t>
            </w:r>
            <w:bookmarkStart w:id="176" w:name="clause"/>
            <w:bookmarkEnd w:id="176"/>
          </w:p>
        </w:tc>
      </w:tr>
      <w:tr w:rsidR="006924AB" w:rsidRPr="00021DD2" w:rsidTr="006924AB">
        <w:trPr>
          <w:cnfStyle w:val="000000010000" w:firstRow="0" w:lastRow="0" w:firstColumn="0" w:lastColumn="0" w:oddVBand="0" w:evenVBand="0" w:oddHBand="0" w:evenHBand="1" w:firstRowFirstColumn="0" w:firstRowLastColumn="0" w:lastRowFirstColumn="0" w:lastRowLastColumn="0"/>
        </w:trPr>
        <w:tc>
          <w:tcPr>
            <w:tcW w:w="1645" w:type="dxa"/>
          </w:tcPr>
          <w:p w:rsidR="006924AB" w:rsidRPr="00021DD2" w:rsidRDefault="006924AB" w:rsidP="006924AB">
            <w:pPr>
              <w:rPr>
                <w:rFonts w:cs="Arial"/>
              </w:rPr>
            </w:pPr>
            <w:r w:rsidRPr="00021DD2">
              <w:rPr>
                <w:rFonts w:cs="Arial"/>
              </w:rPr>
              <w:t>Case law</w:t>
            </w:r>
          </w:p>
        </w:tc>
        <w:tc>
          <w:tcPr>
            <w:tcW w:w="7281" w:type="dxa"/>
          </w:tcPr>
          <w:p w:rsidR="006924AB" w:rsidRPr="00021DD2" w:rsidRDefault="006924AB" w:rsidP="006924AB">
            <w:pPr>
              <w:rPr>
                <w:rFonts w:cs="Arial"/>
                <w:b/>
              </w:rPr>
            </w:pPr>
            <w:r w:rsidRPr="00021DD2">
              <w:rPr>
                <w:rFonts w:cs="Arial"/>
                <w:b/>
                <w:i/>
                <w:color w:val="000000"/>
                <w:szCs w:val="18"/>
              </w:rPr>
              <w:t>CF v State of New South Wales (Department of Education)</w:t>
            </w:r>
            <w:r w:rsidRPr="00021DD2">
              <w:rPr>
                <w:rFonts w:cs="Arial"/>
                <w:b/>
                <w:color w:val="000000"/>
                <w:szCs w:val="18"/>
              </w:rPr>
              <w:t xml:space="preserve"> [2003] NSWSC 572 </w:t>
            </w:r>
          </w:p>
          <w:p w:rsidR="006924AB" w:rsidRPr="00021DD2" w:rsidRDefault="006924AB" w:rsidP="006924AB">
            <w:pPr>
              <w:rPr>
                <w:rFonts w:cs="Arial"/>
              </w:rPr>
            </w:pPr>
            <w:r w:rsidRPr="00021DD2">
              <w:rPr>
                <w:rFonts w:cs="Arial"/>
              </w:rPr>
              <w:t xml:space="preserve">Government education institutions must not curtail or diminish a child’s right to procedural fairness in any matter concerning the child’s enrolment or admission into a Government education institution.  </w:t>
            </w:r>
          </w:p>
        </w:tc>
      </w:tr>
      <w:tr w:rsidR="006924AB" w:rsidRPr="00021DD2" w:rsidTr="006924AB">
        <w:trPr>
          <w:cnfStyle w:val="000000100000" w:firstRow="0" w:lastRow="0" w:firstColumn="0" w:lastColumn="0" w:oddVBand="0" w:evenVBand="0" w:oddHBand="1" w:evenHBand="0" w:firstRowFirstColumn="0" w:firstRowLastColumn="0" w:lastRowFirstColumn="0" w:lastRowLastColumn="0"/>
        </w:trPr>
        <w:tc>
          <w:tcPr>
            <w:tcW w:w="8926" w:type="dxa"/>
            <w:gridSpan w:val="2"/>
          </w:tcPr>
          <w:p w:rsidR="006924AB" w:rsidRPr="00021DD2" w:rsidRDefault="006924AB" w:rsidP="006924AB">
            <w:pPr>
              <w:rPr>
                <w:rFonts w:cs="Arial"/>
                <w:b/>
              </w:rPr>
            </w:pPr>
            <w:r w:rsidRPr="00021DD2">
              <w:rPr>
                <w:rFonts w:cs="Arial"/>
                <w:b/>
              </w:rPr>
              <w:t>Queensland</w:t>
            </w:r>
          </w:p>
        </w:tc>
      </w:tr>
      <w:tr w:rsidR="006924AB" w:rsidRPr="00021DD2" w:rsidTr="006924AB">
        <w:trPr>
          <w:cnfStyle w:val="000000010000" w:firstRow="0" w:lastRow="0" w:firstColumn="0" w:lastColumn="0" w:oddVBand="0" w:evenVBand="0" w:oddHBand="0" w:evenHBand="1" w:firstRowFirstColumn="0" w:firstRowLastColumn="0" w:lastRowFirstColumn="0" w:lastRowLastColumn="0"/>
          <w:trHeight w:val="594"/>
        </w:trPr>
        <w:tc>
          <w:tcPr>
            <w:tcW w:w="1645" w:type="dxa"/>
          </w:tcPr>
          <w:p w:rsidR="006924AB" w:rsidRPr="00021DD2" w:rsidRDefault="006924AB" w:rsidP="006924AB">
            <w:pPr>
              <w:rPr>
                <w:rFonts w:cs="Arial"/>
              </w:rPr>
            </w:pPr>
            <w:r w:rsidRPr="00021DD2">
              <w:rPr>
                <w:rFonts w:cs="Arial"/>
              </w:rPr>
              <w:t xml:space="preserve">Legislative provisions </w:t>
            </w:r>
          </w:p>
        </w:tc>
        <w:tc>
          <w:tcPr>
            <w:tcW w:w="7281" w:type="dxa"/>
          </w:tcPr>
          <w:p w:rsidR="006924AB" w:rsidRPr="00021DD2" w:rsidRDefault="006924AB" w:rsidP="006924AB">
            <w:pPr>
              <w:rPr>
                <w:rFonts w:cs="Arial"/>
                <w:b/>
              </w:rPr>
            </w:pPr>
            <w:r w:rsidRPr="00021DD2">
              <w:rPr>
                <w:rFonts w:cs="Arial"/>
                <w:b/>
                <w:i/>
              </w:rPr>
              <w:t>Education (General Provisions) Act</w:t>
            </w:r>
            <w:r w:rsidRPr="00021DD2">
              <w:rPr>
                <w:rFonts w:cs="Arial"/>
                <w:b/>
              </w:rPr>
              <w:t xml:space="preserve"> 2006 (Qld)</w:t>
            </w:r>
          </w:p>
          <w:p w:rsidR="006924AB" w:rsidRPr="00021DD2" w:rsidRDefault="006924AB" w:rsidP="006924AB">
            <w:pPr>
              <w:rPr>
                <w:rFonts w:cs="Arial"/>
                <w:bCs/>
                <w:i/>
              </w:rPr>
            </w:pPr>
            <w:r w:rsidRPr="00021DD2">
              <w:rPr>
                <w:rFonts w:cs="Arial"/>
                <w:bCs/>
                <w:i/>
              </w:rPr>
              <w:t>Section 7 – Guiding principles</w:t>
            </w:r>
          </w:p>
          <w:p w:rsidR="006924AB" w:rsidRPr="00021DD2" w:rsidRDefault="006924AB" w:rsidP="006924AB">
            <w:pPr>
              <w:rPr>
                <w:rFonts w:cs="Arial"/>
              </w:rPr>
            </w:pPr>
            <w:r w:rsidRPr="00021DD2">
              <w:rPr>
                <w:rFonts w:cs="Arial"/>
              </w:rPr>
              <w:t>The principles intended to guide the achievement of this Act’s objects are the following—</w:t>
            </w:r>
          </w:p>
          <w:p w:rsidR="006924AB" w:rsidRPr="00021DD2" w:rsidRDefault="006924AB" w:rsidP="006924AB">
            <w:pPr>
              <w:rPr>
                <w:rFonts w:cs="Arial"/>
              </w:rPr>
            </w:pPr>
            <w:r w:rsidRPr="00021DD2">
              <w:rPr>
                <w:rFonts w:cs="Arial"/>
              </w:rPr>
              <w:t xml:space="preserve">… </w:t>
            </w:r>
          </w:p>
          <w:p w:rsidR="006924AB" w:rsidRPr="00021DD2" w:rsidRDefault="006924AB" w:rsidP="006924AB">
            <w:pPr>
              <w:rPr>
                <w:rFonts w:cs="Arial"/>
              </w:rPr>
            </w:pPr>
            <w:r w:rsidRPr="00021DD2">
              <w:rPr>
                <w:rFonts w:cs="Arial"/>
              </w:rPr>
              <w:t>(b) education should be provided to a child or young person in a way that</w:t>
            </w:r>
            <w:r w:rsidR="004869F0">
              <w:rPr>
                <w:rFonts w:cs="Arial"/>
              </w:rPr>
              <w:t>–</w:t>
            </w:r>
          </w:p>
          <w:p w:rsidR="006924AB" w:rsidRPr="00021DD2" w:rsidRDefault="006924AB" w:rsidP="006924AB">
            <w:pPr>
              <w:rPr>
                <w:rFonts w:cs="Arial"/>
              </w:rPr>
            </w:pPr>
            <w:r w:rsidRPr="00021DD2">
              <w:rPr>
                <w:rFonts w:cs="Arial"/>
              </w:rPr>
              <w:t>(i) provides positive learning experiences; and</w:t>
            </w:r>
          </w:p>
          <w:p w:rsidR="006924AB" w:rsidRPr="00021DD2" w:rsidRDefault="006924AB" w:rsidP="006924AB">
            <w:pPr>
              <w:rPr>
                <w:rFonts w:cs="Arial"/>
              </w:rPr>
            </w:pPr>
            <w:r w:rsidRPr="00021DD2">
              <w:rPr>
                <w:rFonts w:cs="Arial"/>
              </w:rPr>
              <w:t>(ii) promotes a safe and supportive learning environment; and</w:t>
            </w:r>
          </w:p>
          <w:p w:rsidR="006924AB" w:rsidRPr="00021DD2" w:rsidRDefault="006924AB" w:rsidP="006924AB">
            <w:pPr>
              <w:rPr>
                <w:rFonts w:cs="Arial"/>
              </w:rPr>
            </w:pPr>
            <w:r w:rsidRPr="00021DD2">
              <w:rPr>
                <w:rFonts w:cs="Arial"/>
              </w:rPr>
              <w:t>(iii) recognises his or her educational needs;</w:t>
            </w:r>
          </w:p>
          <w:p w:rsidR="006924AB" w:rsidRPr="00021DD2" w:rsidRDefault="006924AB" w:rsidP="006924AB">
            <w:pPr>
              <w:rPr>
                <w:rFonts w:cs="Arial"/>
              </w:rPr>
            </w:pPr>
            <w:r w:rsidRPr="00021DD2">
              <w:rPr>
                <w:rFonts w:cs="Arial"/>
              </w:rPr>
              <w:t>…</w:t>
            </w:r>
          </w:p>
          <w:p w:rsidR="006924AB" w:rsidRPr="00021DD2" w:rsidRDefault="006924AB" w:rsidP="006924AB">
            <w:pPr>
              <w:rPr>
                <w:rFonts w:cs="Arial"/>
              </w:rPr>
            </w:pPr>
            <w:r w:rsidRPr="00021DD2">
              <w:rPr>
                <w:rFonts w:cs="Arial"/>
              </w:rPr>
              <w:t>(d) the State, parents, teachers, school communities and non-government entities should work collaboratively to foster a commitment to achieving the best educational outcomes for children and young people;</w:t>
            </w:r>
          </w:p>
          <w:p w:rsidR="006924AB" w:rsidRPr="00021DD2" w:rsidRDefault="006924AB" w:rsidP="006924AB">
            <w:pPr>
              <w:rPr>
                <w:rFonts w:cs="Arial"/>
              </w:rPr>
            </w:pPr>
            <w:r w:rsidRPr="00021DD2">
              <w:rPr>
                <w:rFonts w:cs="Arial"/>
              </w:rPr>
              <w:t>(e) for chapter 10</w:t>
            </w:r>
            <w:r w:rsidR="004869F0">
              <w:rPr>
                <w:rFonts w:cs="Arial"/>
              </w:rPr>
              <w:t>–</w:t>
            </w:r>
          </w:p>
          <w:p w:rsidR="006924AB" w:rsidRPr="00021DD2" w:rsidRDefault="006924AB" w:rsidP="006924AB">
            <w:pPr>
              <w:rPr>
                <w:rFonts w:cs="Arial"/>
              </w:rPr>
            </w:pPr>
            <w:r w:rsidRPr="00021DD2">
              <w:rPr>
                <w:rFonts w:cs="Arial"/>
              </w:rPr>
              <w:t>(i) the State should develop practical ways to improve the social, educational and employment outcomes of young people, including, in particular, those who are at risk of disengaging from education and training; …</w:t>
            </w:r>
          </w:p>
          <w:p w:rsidR="006924AB" w:rsidRPr="00021DD2" w:rsidRDefault="006924AB" w:rsidP="006924AB">
            <w:pPr>
              <w:rPr>
                <w:rFonts w:cs="Arial"/>
                <w:b/>
                <w:bCs/>
              </w:rPr>
            </w:pPr>
            <w:r w:rsidRPr="00021DD2">
              <w:rPr>
                <w:rFonts w:cs="Arial"/>
                <w:i/>
              </w:rPr>
              <w:t xml:space="preserve">Chapter 12, Part 3 – </w:t>
            </w:r>
            <w:r w:rsidRPr="00021DD2">
              <w:rPr>
                <w:rFonts w:cs="Arial"/>
                <w:bCs/>
                <w:i/>
              </w:rPr>
              <w:t>Suspension, exclusion, and cancellation of enrolment, of State school students</w:t>
            </w:r>
            <w:r w:rsidRPr="00021DD2">
              <w:rPr>
                <w:rFonts w:cs="Arial"/>
                <w:b/>
                <w:bCs/>
                <w:i/>
              </w:rPr>
              <w:t xml:space="preserve">. </w:t>
            </w:r>
          </w:p>
          <w:p w:rsidR="006924AB" w:rsidRPr="00021DD2" w:rsidRDefault="006924AB" w:rsidP="006924AB">
            <w:pPr>
              <w:rPr>
                <w:rFonts w:cs="Arial"/>
                <w:bCs/>
                <w:i/>
              </w:rPr>
            </w:pPr>
            <w:r w:rsidRPr="00021DD2">
              <w:rPr>
                <w:rFonts w:cs="Arial"/>
                <w:bCs/>
              </w:rPr>
              <w:t>The principal of a State school at which a student is enrolled may suspend or exclude the student from the school if the principal is reasonably satisfied a ground exists for the suspension or exclusion: ss 281(1), 291(1).</w:t>
            </w:r>
            <w:r w:rsidRPr="00021DD2">
              <w:rPr>
                <w:rFonts w:cs="Arial"/>
                <w:bCs/>
                <w:i/>
              </w:rPr>
              <w:t xml:space="preserve"> </w:t>
            </w:r>
          </w:p>
          <w:p w:rsidR="006924AB" w:rsidRPr="00021DD2" w:rsidRDefault="006924AB" w:rsidP="006924AB">
            <w:pPr>
              <w:rPr>
                <w:rFonts w:cs="Arial"/>
                <w:bCs/>
              </w:rPr>
            </w:pPr>
            <w:r w:rsidRPr="00021DD2">
              <w:rPr>
                <w:rFonts w:cs="Arial"/>
                <w:bCs/>
              </w:rPr>
              <w:t>A ground for suspension or exclusion includes “conduct that adversely affects, or is likely to adversely affect, other students” or “the good order and management of the school”, or “the student’s attendance at the school poses an unacceptable risk to the safety or wellbeing of other students or of staff”: ss 282(1), 292(1).</w:t>
            </w:r>
          </w:p>
          <w:p w:rsidR="006924AB" w:rsidRPr="00021DD2" w:rsidRDefault="006924AB" w:rsidP="006924AB">
            <w:pPr>
              <w:rPr>
                <w:rFonts w:cs="Arial"/>
                <w:b/>
              </w:rPr>
            </w:pPr>
            <w:r w:rsidRPr="00021DD2">
              <w:rPr>
                <w:rFonts w:cs="Arial"/>
                <w:bCs/>
              </w:rPr>
              <w:t>It is also a ground for exclusion if “the principal is reasonably satisfied it would not be in the best interests of other students or of staff for the student to be enrolled at the school”: s 292(2)(b).</w:t>
            </w:r>
          </w:p>
          <w:p w:rsidR="006924AB" w:rsidRPr="00021DD2" w:rsidRDefault="006924AB" w:rsidP="006924AB">
            <w:pPr>
              <w:rPr>
                <w:rFonts w:cs="Arial"/>
                <w:b/>
              </w:rPr>
            </w:pPr>
            <w:r w:rsidRPr="00021DD2">
              <w:rPr>
                <w:rFonts w:cs="Arial"/>
                <w:b/>
                <w:i/>
              </w:rPr>
              <w:t xml:space="preserve">Anti-Discrimination Act 1991 </w:t>
            </w:r>
            <w:r w:rsidRPr="00021DD2">
              <w:rPr>
                <w:rFonts w:cs="Arial"/>
                <w:b/>
              </w:rPr>
              <w:t>(Qld)</w:t>
            </w:r>
          </w:p>
          <w:p w:rsidR="006924AB" w:rsidRPr="00021DD2" w:rsidRDefault="006924AB" w:rsidP="006924AB">
            <w:pPr>
              <w:rPr>
                <w:rFonts w:cs="Arial"/>
                <w:i/>
              </w:rPr>
            </w:pPr>
            <w:r w:rsidRPr="00021DD2">
              <w:rPr>
                <w:rFonts w:cs="Arial"/>
                <w:i/>
              </w:rPr>
              <w:t>Section 7 – Discrimination on the basis of certain attributes prohibited</w:t>
            </w:r>
          </w:p>
          <w:p w:rsidR="006924AB" w:rsidRPr="00021DD2" w:rsidRDefault="006924AB" w:rsidP="006924AB">
            <w:pPr>
              <w:rPr>
                <w:rFonts w:cs="Arial"/>
                <w:lang w:val="en"/>
              </w:rPr>
            </w:pPr>
            <w:r w:rsidRPr="00021DD2">
              <w:rPr>
                <w:rFonts w:cs="Arial"/>
                <w:lang w:val="en"/>
              </w:rPr>
              <w:t xml:space="preserve">The Act prohibits discrimination on the basis of the following attributes— </w:t>
            </w:r>
          </w:p>
          <w:p w:rsidR="006924AB" w:rsidRPr="00021DD2" w:rsidRDefault="006924AB" w:rsidP="006924AB">
            <w:pPr>
              <w:rPr>
                <w:rFonts w:cs="Arial"/>
                <w:lang w:val="en"/>
              </w:rPr>
            </w:pPr>
            <w:r w:rsidRPr="00021DD2">
              <w:rPr>
                <w:rFonts w:cs="Arial"/>
                <w:lang w:val="en"/>
              </w:rPr>
              <w:t xml:space="preserve">(a) sex; </w:t>
            </w:r>
          </w:p>
          <w:p w:rsidR="006924AB" w:rsidRPr="00021DD2" w:rsidRDefault="006924AB" w:rsidP="006924AB">
            <w:pPr>
              <w:rPr>
                <w:rFonts w:cs="Arial"/>
                <w:lang w:val="en"/>
              </w:rPr>
            </w:pPr>
            <w:r w:rsidRPr="00021DD2">
              <w:rPr>
                <w:rFonts w:cs="Arial"/>
                <w:lang w:val="en"/>
              </w:rPr>
              <w:t xml:space="preserve">… </w:t>
            </w:r>
          </w:p>
          <w:p w:rsidR="006924AB" w:rsidRPr="00021DD2" w:rsidRDefault="006924AB" w:rsidP="006924AB">
            <w:pPr>
              <w:rPr>
                <w:rFonts w:cs="Arial"/>
                <w:lang w:val="en"/>
              </w:rPr>
            </w:pPr>
            <w:r w:rsidRPr="00021DD2">
              <w:rPr>
                <w:rFonts w:cs="Arial"/>
                <w:lang w:val="en"/>
              </w:rPr>
              <w:t xml:space="preserve">(c) pregnancy; </w:t>
            </w:r>
          </w:p>
          <w:p w:rsidR="006924AB" w:rsidRPr="00021DD2" w:rsidRDefault="006924AB" w:rsidP="006924AB">
            <w:pPr>
              <w:rPr>
                <w:rFonts w:cs="Arial"/>
                <w:lang w:val="en"/>
              </w:rPr>
            </w:pPr>
            <w:r w:rsidRPr="00021DD2">
              <w:rPr>
                <w:rFonts w:cs="Arial"/>
                <w:lang w:val="en"/>
              </w:rPr>
              <w:t xml:space="preserve">(d) parental status; </w:t>
            </w:r>
          </w:p>
          <w:p w:rsidR="006924AB" w:rsidRPr="00021DD2" w:rsidRDefault="006924AB" w:rsidP="006924AB">
            <w:pPr>
              <w:rPr>
                <w:rFonts w:cs="Arial"/>
                <w:lang w:val="en"/>
              </w:rPr>
            </w:pPr>
            <w:r w:rsidRPr="00021DD2">
              <w:rPr>
                <w:rFonts w:cs="Arial"/>
                <w:lang w:val="en"/>
              </w:rPr>
              <w:t xml:space="preserve">(e) breastfeeding; </w:t>
            </w:r>
          </w:p>
          <w:p w:rsidR="006924AB" w:rsidRPr="00021DD2" w:rsidRDefault="006924AB" w:rsidP="006924AB">
            <w:pPr>
              <w:rPr>
                <w:rFonts w:cs="Arial"/>
                <w:lang w:val="en"/>
              </w:rPr>
            </w:pPr>
            <w:r w:rsidRPr="00021DD2">
              <w:rPr>
                <w:rFonts w:cs="Arial"/>
                <w:lang w:val="en"/>
              </w:rPr>
              <w:t xml:space="preserve">… </w:t>
            </w:r>
          </w:p>
          <w:p w:rsidR="006924AB" w:rsidRPr="00021DD2" w:rsidRDefault="006924AB" w:rsidP="006924AB">
            <w:pPr>
              <w:rPr>
                <w:rFonts w:cs="Arial"/>
                <w:lang w:val="en"/>
              </w:rPr>
            </w:pPr>
            <w:r w:rsidRPr="00021DD2">
              <w:rPr>
                <w:rFonts w:cs="Arial"/>
                <w:lang w:val="en"/>
              </w:rPr>
              <w:t xml:space="preserve">(o) family responsibilities; </w:t>
            </w:r>
          </w:p>
          <w:p w:rsidR="006924AB" w:rsidRPr="00021DD2" w:rsidRDefault="006924AB" w:rsidP="006924AB">
            <w:pPr>
              <w:rPr>
                <w:rFonts w:cs="Arial"/>
                <w:bCs/>
                <w:i/>
              </w:rPr>
            </w:pPr>
            <w:r w:rsidRPr="00021DD2">
              <w:rPr>
                <w:rFonts w:cs="Arial"/>
                <w:bCs/>
                <w:i/>
              </w:rPr>
              <w:t>Section 9 – Discrimination of certain types prohibited</w:t>
            </w:r>
          </w:p>
          <w:p w:rsidR="006924AB" w:rsidRPr="00021DD2" w:rsidRDefault="006924AB" w:rsidP="006924AB">
            <w:pPr>
              <w:rPr>
                <w:rFonts w:cs="Arial"/>
              </w:rPr>
            </w:pPr>
            <w:r w:rsidRPr="00021DD2">
              <w:rPr>
                <w:rFonts w:cs="Arial"/>
              </w:rPr>
              <w:t>The Act prohibits the following types of discrimination—</w:t>
            </w:r>
          </w:p>
          <w:p w:rsidR="006924AB" w:rsidRPr="00021DD2" w:rsidRDefault="006924AB" w:rsidP="006924AB">
            <w:pPr>
              <w:rPr>
                <w:rFonts w:cs="Arial"/>
              </w:rPr>
            </w:pPr>
            <w:r w:rsidRPr="00021DD2">
              <w:rPr>
                <w:rFonts w:cs="Arial"/>
              </w:rPr>
              <w:t>(a) direct discrimination;</w:t>
            </w:r>
          </w:p>
          <w:p w:rsidR="006924AB" w:rsidRPr="00021DD2" w:rsidRDefault="006924AB" w:rsidP="006924AB">
            <w:pPr>
              <w:rPr>
                <w:rFonts w:cs="Arial"/>
              </w:rPr>
            </w:pPr>
            <w:r w:rsidRPr="00021DD2">
              <w:rPr>
                <w:rFonts w:cs="Arial"/>
              </w:rPr>
              <w:t>(b) indirect discrimination.</w:t>
            </w:r>
          </w:p>
          <w:p w:rsidR="006924AB" w:rsidRPr="00021DD2" w:rsidRDefault="006924AB" w:rsidP="006924AB">
            <w:pPr>
              <w:rPr>
                <w:rFonts w:cs="Arial"/>
                <w:bCs/>
                <w:i/>
                <w:iCs/>
              </w:rPr>
            </w:pPr>
            <w:r w:rsidRPr="00021DD2">
              <w:rPr>
                <w:rFonts w:cs="Arial"/>
                <w:bCs/>
                <w:i/>
              </w:rPr>
              <w:t xml:space="preserve">Section 10 – Meaning of </w:t>
            </w:r>
            <w:r w:rsidRPr="00021DD2">
              <w:rPr>
                <w:rFonts w:cs="Arial"/>
                <w:bCs/>
                <w:i/>
                <w:iCs/>
              </w:rPr>
              <w:t>direct discrimination</w:t>
            </w:r>
          </w:p>
          <w:p w:rsidR="006924AB" w:rsidRPr="00021DD2" w:rsidRDefault="006924AB" w:rsidP="006924AB">
            <w:pPr>
              <w:rPr>
                <w:rFonts w:cs="Arial"/>
              </w:rPr>
            </w:pPr>
            <w:r w:rsidRPr="00021DD2">
              <w:rPr>
                <w:rFonts w:cs="Arial"/>
              </w:rPr>
              <w:t xml:space="preserve">(1) </w:t>
            </w:r>
            <w:r w:rsidRPr="00021DD2">
              <w:rPr>
                <w:rFonts w:cs="Arial"/>
                <w:b/>
                <w:bCs/>
                <w:i/>
                <w:iCs/>
              </w:rPr>
              <w:t xml:space="preserve">Direct discrimination </w:t>
            </w:r>
            <w:r w:rsidRPr="00021DD2">
              <w:rPr>
                <w:rFonts w:cs="Arial"/>
              </w:rPr>
              <w:t>on the basis of an attribute happens if a person treats, or proposes to treat, a person with an attribute less favourably than another person without the attribute is or would be treated in circumstances that are the same or not materially different.</w:t>
            </w:r>
          </w:p>
          <w:p w:rsidR="006924AB" w:rsidRPr="00021DD2" w:rsidRDefault="006924AB" w:rsidP="006924AB">
            <w:pPr>
              <w:rPr>
                <w:rFonts w:cs="Arial"/>
                <w:b/>
                <w:bCs/>
                <w:i/>
                <w:iCs/>
              </w:rPr>
            </w:pPr>
            <w:r w:rsidRPr="00021DD2">
              <w:rPr>
                <w:rFonts w:cs="Arial"/>
                <w:i/>
              </w:rPr>
              <w:t xml:space="preserve">Section </w:t>
            </w:r>
            <w:r w:rsidRPr="00021DD2">
              <w:rPr>
                <w:rFonts w:cs="Arial"/>
                <w:bCs/>
                <w:i/>
              </w:rPr>
              <w:t xml:space="preserve">11 – Meaning of </w:t>
            </w:r>
            <w:r w:rsidRPr="00021DD2">
              <w:rPr>
                <w:rFonts w:cs="Arial"/>
                <w:bCs/>
                <w:i/>
                <w:iCs/>
              </w:rPr>
              <w:t>indirect discrimination</w:t>
            </w:r>
          </w:p>
          <w:p w:rsidR="006924AB" w:rsidRPr="00021DD2" w:rsidRDefault="006924AB" w:rsidP="006924AB">
            <w:pPr>
              <w:rPr>
                <w:rFonts w:cs="Arial"/>
              </w:rPr>
            </w:pPr>
            <w:r w:rsidRPr="00021DD2">
              <w:rPr>
                <w:rFonts w:cs="Arial"/>
              </w:rPr>
              <w:t xml:space="preserve">(1) </w:t>
            </w:r>
            <w:r w:rsidRPr="00021DD2">
              <w:rPr>
                <w:rFonts w:cs="Arial"/>
                <w:b/>
                <w:bCs/>
                <w:i/>
                <w:iCs/>
              </w:rPr>
              <w:t xml:space="preserve">Indirect discrimination </w:t>
            </w:r>
            <w:r w:rsidRPr="00021DD2">
              <w:rPr>
                <w:rFonts w:cs="Arial"/>
              </w:rPr>
              <w:t>on the basis of an attribute happens if a person imposes, or proposes to impose, a term</w:t>
            </w:r>
            <w:r w:rsidR="00360137">
              <w:rPr>
                <w:rFonts w:cs="Arial"/>
              </w:rPr>
              <w:t>–</w:t>
            </w:r>
          </w:p>
          <w:p w:rsidR="006924AB" w:rsidRPr="00021DD2" w:rsidRDefault="006924AB" w:rsidP="006924AB">
            <w:pPr>
              <w:rPr>
                <w:rFonts w:cs="Arial"/>
              </w:rPr>
            </w:pPr>
            <w:r w:rsidRPr="00021DD2">
              <w:rPr>
                <w:rFonts w:cs="Arial"/>
              </w:rPr>
              <w:t>(a) with which a person with an attribute does not or is not able to comply; and</w:t>
            </w:r>
          </w:p>
          <w:p w:rsidR="006924AB" w:rsidRPr="00021DD2" w:rsidRDefault="006924AB" w:rsidP="006924AB">
            <w:pPr>
              <w:rPr>
                <w:rFonts w:cs="Arial"/>
              </w:rPr>
            </w:pPr>
            <w:r w:rsidRPr="00021DD2">
              <w:rPr>
                <w:rFonts w:cs="Arial"/>
              </w:rPr>
              <w:t>(b) with which a higher proportion of people without the attribute comply or are able to comply; and</w:t>
            </w:r>
          </w:p>
          <w:p w:rsidR="006924AB" w:rsidRPr="00021DD2" w:rsidRDefault="006924AB" w:rsidP="006924AB">
            <w:pPr>
              <w:rPr>
                <w:rFonts w:cs="Arial"/>
              </w:rPr>
            </w:pPr>
            <w:r w:rsidRPr="00021DD2">
              <w:rPr>
                <w:rFonts w:cs="Arial"/>
              </w:rPr>
              <w:t>(c) that is not reasonable.</w:t>
            </w:r>
          </w:p>
          <w:p w:rsidR="006924AB" w:rsidRPr="00021DD2" w:rsidRDefault="006924AB" w:rsidP="006924AB">
            <w:pPr>
              <w:rPr>
                <w:rFonts w:cs="Arial"/>
              </w:rPr>
            </w:pPr>
            <w:r w:rsidRPr="00021DD2">
              <w:rPr>
                <w:rFonts w:cs="Arial"/>
              </w:rPr>
              <w:t>(2) Whether a term is reasonable depends on all the relevant circumstances of the case, including, for example</w:t>
            </w:r>
            <w:r w:rsidR="00360137">
              <w:rPr>
                <w:rFonts w:cs="Arial"/>
              </w:rPr>
              <w:t>–</w:t>
            </w:r>
          </w:p>
          <w:p w:rsidR="006924AB" w:rsidRPr="00021DD2" w:rsidRDefault="006924AB" w:rsidP="006924AB">
            <w:pPr>
              <w:rPr>
                <w:rFonts w:cs="Arial"/>
              </w:rPr>
            </w:pPr>
            <w:r w:rsidRPr="00021DD2">
              <w:rPr>
                <w:rFonts w:cs="Arial"/>
              </w:rPr>
              <w:t>(a) the consequences of failure to comply with the term; and</w:t>
            </w:r>
          </w:p>
          <w:p w:rsidR="006924AB" w:rsidRPr="00021DD2" w:rsidRDefault="006924AB" w:rsidP="006924AB">
            <w:pPr>
              <w:rPr>
                <w:rFonts w:cs="Arial"/>
              </w:rPr>
            </w:pPr>
            <w:r w:rsidRPr="00021DD2">
              <w:rPr>
                <w:rFonts w:cs="Arial"/>
              </w:rPr>
              <w:t>(b) the cost of alternative terms; and</w:t>
            </w:r>
          </w:p>
          <w:p w:rsidR="006924AB" w:rsidRPr="00021DD2" w:rsidRDefault="006924AB" w:rsidP="006924AB">
            <w:pPr>
              <w:rPr>
                <w:rFonts w:cs="Arial"/>
              </w:rPr>
            </w:pPr>
            <w:r w:rsidRPr="00021DD2">
              <w:rPr>
                <w:rFonts w:cs="Arial"/>
              </w:rPr>
              <w:t>(c) the financial circumstances of the person who imposes, or proposes to impose, the term.…</w:t>
            </w:r>
          </w:p>
          <w:p w:rsidR="006924AB" w:rsidRPr="00021DD2" w:rsidRDefault="006924AB" w:rsidP="006924AB">
            <w:pPr>
              <w:rPr>
                <w:rFonts w:cs="Arial"/>
              </w:rPr>
            </w:pPr>
            <w:r w:rsidRPr="00021DD2">
              <w:rPr>
                <w:rFonts w:cs="Arial"/>
              </w:rPr>
              <w:t>(4) In this section</w:t>
            </w:r>
            <w:r w:rsidR="00360137">
              <w:rPr>
                <w:rFonts w:cs="Arial"/>
              </w:rPr>
              <w:t>–</w:t>
            </w:r>
          </w:p>
          <w:p w:rsidR="006924AB" w:rsidRPr="00021DD2" w:rsidRDefault="006924AB" w:rsidP="006924AB">
            <w:pPr>
              <w:rPr>
                <w:rFonts w:cs="Arial"/>
              </w:rPr>
            </w:pPr>
            <w:r w:rsidRPr="00021DD2">
              <w:rPr>
                <w:rFonts w:cs="Arial"/>
                <w:b/>
                <w:bCs/>
                <w:i/>
                <w:iCs/>
              </w:rPr>
              <w:t xml:space="preserve">term </w:t>
            </w:r>
            <w:r w:rsidRPr="00021DD2">
              <w:rPr>
                <w:rFonts w:cs="Arial"/>
              </w:rPr>
              <w:t>includes condition, requirement or practice, whether or not written.</w:t>
            </w:r>
          </w:p>
          <w:p w:rsidR="006924AB" w:rsidRPr="00021DD2" w:rsidRDefault="006924AB" w:rsidP="006924AB">
            <w:pPr>
              <w:rPr>
                <w:rFonts w:cs="Arial"/>
                <w:i/>
              </w:rPr>
            </w:pPr>
            <w:r w:rsidRPr="00021DD2">
              <w:rPr>
                <w:rFonts w:cs="Arial"/>
                <w:i/>
              </w:rPr>
              <w:t xml:space="preserve">Section 37 – Explanatory provision </w:t>
            </w:r>
          </w:p>
          <w:p w:rsidR="006924AB" w:rsidRPr="00021DD2" w:rsidRDefault="006924AB" w:rsidP="006924AB">
            <w:pPr>
              <w:rPr>
                <w:rFonts w:cs="Arial"/>
              </w:rPr>
            </w:pPr>
            <w:r w:rsidRPr="00021DD2">
              <w:rPr>
                <w:rFonts w:cs="Arial"/>
              </w:rPr>
              <w:t xml:space="preserve">An educational authority must not discriminate in the education area if a prohibition in section 38 or 39 applies. </w:t>
            </w:r>
          </w:p>
          <w:p w:rsidR="006924AB" w:rsidRPr="00021DD2" w:rsidRDefault="006924AB" w:rsidP="006924AB">
            <w:pPr>
              <w:rPr>
                <w:rFonts w:cs="Arial"/>
                <w:i/>
              </w:rPr>
            </w:pPr>
            <w:r w:rsidRPr="00021DD2">
              <w:rPr>
                <w:rFonts w:cs="Arial"/>
                <w:i/>
              </w:rPr>
              <w:t xml:space="preserve">Section 38 – Discrimination by educational authority in prospective student area </w:t>
            </w:r>
          </w:p>
          <w:p w:rsidR="006924AB" w:rsidRPr="00021DD2" w:rsidRDefault="006924AB" w:rsidP="006924AB">
            <w:pPr>
              <w:rPr>
                <w:rFonts w:cs="Arial"/>
              </w:rPr>
            </w:pPr>
            <w:r w:rsidRPr="00021DD2">
              <w:rPr>
                <w:rFonts w:cs="Arial"/>
              </w:rPr>
              <w:t>An educational authority must not discriminate</w:t>
            </w:r>
            <w:r w:rsidR="004C3BCE">
              <w:t>—</w:t>
            </w:r>
          </w:p>
          <w:p w:rsidR="006924AB" w:rsidRPr="00021DD2" w:rsidRDefault="006924AB" w:rsidP="006924AB">
            <w:pPr>
              <w:rPr>
                <w:rFonts w:cs="Arial"/>
              </w:rPr>
            </w:pPr>
            <w:r w:rsidRPr="00021DD2">
              <w:rPr>
                <w:rFonts w:cs="Arial"/>
              </w:rPr>
              <w:t xml:space="preserve">(a) in failing to accept a person’s application for admission as a student; or </w:t>
            </w:r>
          </w:p>
          <w:p w:rsidR="006924AB" w:rsidRPr="00021DD2" w:rsidRDefault="006924AB" w:rsidP="006924AB">
            <w:pPr>
              <w:rPr>
                <w:rFonts w:cs="Arial"/>
              </w:rPr>
            </w:pPr>
            <w:r w:rsidRPr="00021DD2">
              <w:rPr>
                <w:rFonts w:cs="Arial"/>
              </w:rPr>
              <w:t xml:space="preserve">(b) in the way in which a person’s application is processed; or </w:t>
            </w:r>
          </w:p>
          <w:p w:rsidR="006924AB" w:rsidRPr="00021DD2" w:rsidRDefault="006924AB" w:rsidP="006924AB">
            <w:pPr>
              <w:rPr>
                <w:rFonts w:cs="Arial"/>
              </w:rPr>
            </w:pPr>
            <w:r w:rsidRPr="00021DD2">
              <w:rPr>
                <w:rFonts w:cs="Arial"/>
              </w:rPr>
              <w:t xml:space="preserve">(c) in the arrangements made for, or the criteria used in, deciding who should be offered admission as a student; or </w:t>
            </w:r>
          </w:p>
          <w:p w:rsidR="006924AB" w:rsidRPr="00021DD2" w:rsidRDefault="006924AB" w:rsidP="006924AB">
            <w:pPr>
              <w:rPr>
                <w:rFonts w:cs="Arial"/>
              </w:rPr>
            </w:pPr>
            <w:r w:rsidRPr="00021DD2">
              <w:rPr>
                <w:rFonts w:cs="Arial"/>
              </w:rPr>
              <w:t>(d) in the terms on which a person is admitted as a student.</w:t>
            </w:r>
          </w:p>
          <w:p w:rsidR="006924AB" w:rsidRPr="00021DD2" w:rsidRDefault="006924AB" w:rsidP="006924AB">
            <w:pPr>
              <w:rPr>
                <w:rFonts w:cs="Arial"/>
                <w:i/>
              </w:rPr>
            </w:pPr>
            <w:r w:rsidRPr="00021DD2">
              <w:rPr>
                <w:rFonts w:cs="Arial"/>
                <w:i/>
              </w:rPr>
              <w:t xml:space="preserve">Section 39 – Discrimination by educational authority in student area </w:t>
            </w:r>
          </w:p>
          <w:p w:rsidR="006924AB" w:rsidRPr="00021DD2" w:rsidRDefault="006924AB" w:rsidP="006924AB">
            <w:pPr>
              <w:rPr>
                <w:rFonts w:cs="Arial"/>
              </w:rPr>
            </w:pPr>
            <w:r w:rsidRPr="00021DD2">
              <w:rPr>
                <w:rFonts w:cs="Arial"/>
              </w:rPr>
              <w:t>An educational authority must not discriminate</w:t>
            </w:r>
            <w:r w:rsidR="00360137">
              <w:rPr>
                <w:rFonts w:cs="Arial"/>
              </w:rPr>
              <w:t>–</w:t>
            </w:r>
          </w:p>
          <w:p w:rsidR="006924AB" w:rsidRPr="00021DD2" w:rsidRDefault="006924AB" w:rsidP="006924AB">
            <w:pPr>
              <w:rPr>
                <w:rFonts w:cs="Arial"/>
              </w:rPr>
            </w:pPr>
            <w:r w:rsidRPr="00021DD2">
              <w:rPr>
                <w:rFonts w:cs="Arial"/>
              </w:rPr>
              <w:t xml:space="preserve">(a) in any variation of the terms of a student’s enrolment; or </w:t>
            </w:r>
          </w:p>
          <w:p w:rsidR="006924AB" w:rsidRPr="00021DD2" w:rsidRDefault="006924AB" w:rsidP="006924AB">
            <w:pPr>
              <w:rPr>
                <w:rFonts w:cs="Arial"/>
              </w:rPr>
            </w:pPr>
            <w:r w:rsidRPr="00021DD2">
              <w:rPr>
                <w:rFonts w:cs="Arial"/>
              </w:rPr>
              <w:t xml:space="preserve">(b) by denying or limiting access to any benefit arising from the enrolment that is supplied by the authority; or </w:t>
            </w:r>
          </w:p>
          <w:p w:rsidR="006924AB" w:rsidRPr="00021DD2" w:rsidRDefault="006924AB" w:rsidP="006924AB">
            <w:pPr>
              <w:rPr>
                <w:rFonts w:cs="Arial"/>
              </w:rPr>
            </w:pPr>
            <w:r w:rsidRPr="00021DD2">
              <w:rPr>
                <w:rFonts w:cs="Arial"/>
              </w:rPr>
              <w:t xml:space="preserve">(c) by excluding a student; or </w:t>
            </w:r>
          </w:p>
          <w:p w:rsidR="006924AB" w:rsidRPr="00021DD2" w:rsidRDefault="006924AB" w:rsidP="006924AB">
            <w:pPr>
              <w:rPr>
                <w:rFonts w:cs="Arial"/>
              </w:rPr>
            </w:pPr>
            <w:r w:rsidRPr="00021DD2">
              <w:rPr>
                <w:rFonts w:cs="Arial"/>
              </w:rPr>
              <w:t xml:space="preserve">(d) by treating a student unfavourably in any way in connection with the student’s training or instruction. </w:t>
            </w:r>
          </w:p>
        </w:tc>
      </w:tr>
      <w:tr w:rsidR="006924AB" w:rsidRPr="00021DD2" w:rsidTr="006924AB">
        <w:trPr>
          <w:cnfStyle w:val="000000100000" w:firstRow="0" w:lastRow="0" w:firstColumn="0" w:lastColumn="0" w:oddVBand="0" w:evenVBand="0" w:oddHBand="1" w:evenHBand="0" w:firstRowFirstColumn="0" w:firstRowLastColumn="0" w:lastRowFirstColumn="0" w:lastRowLastColumn="0"/>
        </w:trPr>
        <w:tc>
          <w:tcPr>
            <w:tcW w:w="1645" w:type="dxa"/>
          </w:tcPr>
          <w:p w:rsidR="006924AB" w:rsidRPr="00021DD2" w:rsidRDefault="006924AB" w:rsidP="006924AB">
            <w:pPr>
              <w:rPr>
                <w:rFonts w:cs="Arial"/>
              </w:rPr>
            </w:pPr>
            <w:r w:rsidRPr="00021DD2">
              <w:rPr>
                <w:rFonts w:cs="Arial"/>
              </w:rPr>
              <w:t>Case law</w:t>
            </w:r>
          </w:p>
        </w:tc>
        <w:tc>
          <w:tcPr>
            <w:tcW w:w="7281" w:type="dxa"/>
          </w:tcPr>
          <w:p w:rsidR="006924AB" w:rsidRPr="00021DD2" w:rsidRDefault="006924AB" w:rsidP="006924AB">
            <w:pPr>
              <w:rPr>
                <w:rFonts w:cs="Arial"/>
              </w:rPr>
            </w:pPr>
            <w:r w:rsidRPr="00021DD2">
              <w:rPr>
                <w:rFonts w:cs="Arial"/>
              </w:rPr>
              <w:t>Not applicable.</w:t>
            </w:r>
          </w:p>
        </w:tc>
      </w:tr>
      <w:tr w:rsidR="006924AB" w:rsidRPr="00021DD2" w:rsidTr="006924AB">
        <w:trPr>
          <w:cnfStyle w:val="000000010000" w:firstRow="0" w:lastRow="0" w:firstColumn="0" w:lastColumn="0" w:oddVBand="0" w:evenVBand="0" w:oddHBand="0" w:evenHBand="1" w:firstRowFirstColumn="0" w:firstRowLastColumn="0" w:lastRowFirstColumn="0" w:lastRowLastColumn="0"/>
        </w:trPr>
        <w:tc>
          <w:tcPr>
            <w:tcW w:w="8926" w:type="dxa"/>
            <w:gridSpan w:val="2"/>
          </w:tcPr>
          <w:p w:rsidR="006924AB" w:rsidRPr="00021DD2" w:rsidRDefault="006924AB" w:rsidP="006924AB">
            <w:pPr>
              <w:rPr>
                <w:rFonts w:cs="Arial"/>
                <w:b/>
              </w:rPr>
            </w:pPr>
            <w:r w:rsidRPr="00021DD2">
              <w:rPr>
                <w:rFonts w:cs="Arial"/>
                <w:b/>
              </w:rPr>
              <w:t>Victoria</w:t>
            </w:r>
          </w:p>
        </w:tc>
      </w:tr>
      <w:tr w:rsidR="006924AB" w:rsidRPr="00021DD2" w:rsidTr="006924AB">
        <w:trPr>
          <w:cnfStyle w:val="000000100000" w:firstRow="0" w:lastRow="0" w:firstColumn="0" w:lastColumn="0" w:oddVBand="0" w:evenVBand="0" w:oddHBand="1" w:evenHBand="0" w:firstRowFirstColumn="0" w:firstRowLastColumn="0" w:lastRowFirstColumn="0" w:lastRowLastColumn="0"/>
          <w:trHeight w:val="594"/>
        </w:trPr>
        <w:tc>
          <w:tcPr>
            <w:tcW w:w="1645" w:type="dxa"/>
          </w:tcPr>
          <w:p w:rsidR="006924AB" w:rsidRPr="00021DD2" w:rsidRDefault="006924AB" w:rsidP="006924AB">
            <w:pPr>
              <w:rPr>
                <w:rFonts w:cs="Arial"/>
              </w:rPr>
            </w:pPr>
            <w:r w:rsidRPr="00021DD2">
              <w:rPr>
                <w:rFonts w:cs="Arial"/>
              </w:rPr>
              <w:t xml:space="preserve">Legislative provisions </w:t>
            </w:r>
          </w:p>
        </w:tc>
        <w:tc>
          <w:tcPr>
            <w:tcW w:w="7281" w:type="dxa"/>
          </w:tcPr>
          <w:p w:rsidR="006924AB" w:rsidRPr="00021DD2" w:rsidRDefault="006924AB" w:rsidP="006924AB">
            <w:pPr>
              <w:rPr>
                <w:rFonts w:cs="Arial"/>
                <w:b/>
                <w:szCs w:val="18"/>
              </w:rPr>
            </w:pPr>
            <w:r w:rsidRPr="00021DD2">
              <w:rPr>
                <w:rFonts w:cs="Arial"/>
                <w:b/>
                <w:i/>
                <w:szCs w:val="18"/>
              </w:rPr>
              <w:t>Education and Training Reform Act 2006</w:t>
            </w:r>
            <w:r w:rsidRPr="00021DD2">
              <w:rPr>
                <w:rFonts w:cs="Arial"/>
                <w:b/>
                <w:szCs w:val="18"/>
              </w:rPr>
              <w:t xml:space="preserve"> (Vic) </w:t>
            </w:r>
          </w:p>
          <w:p w:rsidR="006924AB" w:rsidRPr="00021DD2" w:rsidRDefault="006924AB" w:rsidP="006924AB">
            <w:pPr>
              <w:rPr>
                <w:rFonts w:cs="Arial"/>
                <w:i/>
                <w:szCs w:val="18"/>
              </w:rPr>
            </w:pPr>
            <w:bookmarkStart w:id="177" w:name="_Toc127160845"/>
            <w:r w:rsidRPr="00021DD2">
              <w:rPr>
                <w:rFonts w:cs="Arial"/>
                <w:i/>
              </w:rPr>
              <w:t>Section 1.2.1 – Principles underlying the enactment of this Act</w:t>
            </w:r>
            <w:bookmarkEnd w:id="177"/>
          </w:p>
          <w:p w:rsidR="006924AB" w:rsidRPr="00021DD2" w:rsidRDefault="006924AB" w:rsidP="006924AB">
            <w:pPr>
              <w:rPr>
                <w:rFonts w:cs="Arial"/>
                <w:szCs w:val="18"/>
              </w:rPr>
            </w:pPr>
            <w:r w:rsidRPr="00021DD2">
              <w:rPr>
                <w:rFonts w:cs="Arial"/>
                <w:szCs w:val="18"/>
              </w:rPr>
              <w:t>(b) all Victorians, irrespective of the education and training institution they attend, where they live or their social or economic status, should have access to a high quality education that</w:t>
            </w:r>
            <w:r w:rsidR="00360137">
              <w:rPr>
                <w:rFonts w:cs="Arial"/>
                <w:szCs w:val="18"/>
              </w:rPr>
              <w:t>–</w:t>
            </w:r>
          </w:p>
          <w:p w:rsidR="006924AB" w:rsidRPr="00021DD2" w:rsidRDefault="006924AB" w:rsidP="006924AB">
            <w:pPr>
              <w:rPr>
                <w:rFonts w:cs="Arial"/>
                <w:szCs w:val="18"/>
              </w:rPr>
            </w:pPr>
            <w:r w:rsidRPr="00021DD2">
              <w:rPr>
                <w:rFonts w:cs="Arial"/>
                <w:szCs w:val="18"/>
              </w:rPr>
              <w:t>(i) realises their learning potential and maximises their education and training achievement;</w:t>
            </w:r>
          </w:p>
          <w:p w:rsidR="006924AB" w:rsidRPr="00021DD2" w:rsidRDefault="006924AB" w:rsidP="006924AB">
            <w:pPr>
              <w:rPr>
                <w:rFonts w:cs="Arial"/>
                <w:szCs w:val="18"/>
              </w:rPr>
            </w:pPr>
            <w:r w:rsidRPr="00021DD2">
              <w:rPr>
                <w:rFonts w:cs="Arial"/>
                <w:szCs w:val="18"/>
              </w:rPr>
              <w:t>(ii) promotes enthusiasm for lifelong learning;</w:t>
            </w:r>
          </w:p>
          <w:p w:rsidR="006924AB" w:rsidRPr="00021DD2" w:rsidRDefault="006924AB" w:rsidP="006924AB">
            <w:pPr>
              <w:rPr>
                <w:rFonts w:cs="Arial"/>
                <w:szCs w:val="18"/>
              </w:rPr>
            </w:pPr>
            <w:r w:rsidRPr="00021DD2">
              <w:rPr>
                <w:rFonts w:cs="Arial"/>
                <w:szCs w:val="18"/>
              </w:rPr>
              <w:t>(iii) allows parents to take an active part in their child's education and training;</w:t>
            </w:r>
          </w:p>
          <w:p w:rsidR="006924AB" w:rsidRPr="00021DD2" w:rsidRDefault="006924AB" w:rsidP="006924AB">
            <w:pPr>
              <w:rPr>
                <w:rFonts w:cs="Arial"/>
                <w:i/>
                <w:szCs w:val="18"/>
              </w:rPr>
            </w:pPr>
            <w:bookmarkStart w:id="178" w:name="_Toc127160846"/>
            <w:r w:rsidRPr="00021DD2">
              <w:rPr>
                <w:rFonts w:cs="Arial"/>
                <w:i/>
                <w:szCs w:val="18"/>
              </w:rPr>
              <w:t>Section 1.2.2 – Principles underlying the Government education and training system</w:t>
            </w:r>
            <w:bookmarkEnd w:id="178"/>
          </w:p>
          <w:p w:rsidR="006924AB" w:rsidRPr="00021DD2" w:rsidRDefault="006924AB" w:rsidP="006924AB">
            <w:pPr>
              <w:rPr>
                <w:rFonts w:cs="Arial"/>
                <w:szCs w:val="18"/>
              </w:rPr>
            </w:pPr>
            <w:r w:rsidRPr="00021DD2">
              <w:rPr>
                <w:rFonts w:cs="Arial"/>
                <w:szCs w:val="18"/>
              </w:rPr>
              <w:t xml:space="preserve">(1) The State provides universal access to education and training through the establishment and maintenance of a Government education and training system. </w:t>
            </w:r>
          </w:p>
          <w:p w:rsidR="006924AB" w:rsidRPr="00021DD2" w:rsidRDefault="006924AB" w:rsidP="00463FCA">
            <w:pPr>
              <w:spacing w:before="120" w:after="120"/>
              <w:rPr>
                <w:rFonts w:cs="Arial"/>
                <w:szCs w:val="18"/>
              </w:rPr>
            </w:pPr>
            <w:r w:rsidRPr="00021DD2">
              <w:rPr>
                <w:rFonts w:cs="Arial"/>
                <w:szCs w:val="18"/>
              </w:rPr>
              <w:t>(2) All persons employed or engaged in the provision of Government education and training by the State or in the administration of Government education and training by the State must apply or have regard to the following principles</w:t>
            </w:r>
            <w:r w:rsidR="00360137">
              <w:rPr>
                <w:rFonts w:cs="Arial"/>
                <w:szCs w:val="18"/>
              </w:rPr>
              <w:t>–</w:t>
            </w:r>
          </w:p>
          <w:p w:rsidR="006924AB" w:rsidRPr="00021DD2" w:rsidRDefault="006924AB" w:rsidP="00463FCA">
            <w:pPr>
              <w:spacing w:before="120" w:after="120"/>
              <w:rPr>
                <w:rFonts w:cs="Arial"/>
                <w:szCs w:val="18"/>
              </w:rPr>
            </w:pPr>
            <w:r w:rsidRPr="00021DD2">
              <w:rPr>
                <w:rFonts w:cs="Arial"/>
                <w:szCs w:val="18"/>
              </w:rPr>
              <w:t>…</w:t>
            </w:r>
          </w:p>
          <w:p w:rsidR="006924AB" w:rsidRPr="00021DD2" w:rsidRDefault="006924AB" w:rsidP="006924AB">
            <w:pPr>
              <w:rPr>
                <w:rFonts w:cs="Arial"/>
              </w:rPr>
            </w:pPr>
            <w:r w:rsidRPr="00021DD2">
              <w:rPr>
                <w:rFonts w:cs="Arial"/>
                <w:szCs w:val="18"/>
              </w:rPr>
              <w:t>(c) every student has the right to attend a designated neighbourhood Government school with the exception of selective Government schools that are determined by the Minister;</w:t>
            </w:r>
            <w:r w:rsidRPr="00021DD2" w:rsidDel="004F6704">
              <w:rPr>
                <w:rFonts w:cs="Arial"/>
              </w:rPr>
              <w:t xml:space="preserve"> </w:t>
            </w:r>
          </w:p>
          <w:p w:rsidR="006924AB" w:rsidRPr="00021DD2" w:rsidRDefault="006924AB" w:rsidP="006924AB">
            <w:pPr>
              <w:rPr>
                <w:rFonts w:cs="Arial"/>
                <w:b/>
              </w:rPr>
            </w:pPr>
            <w:r w:rsidRPr="00021DD2">
              <w:rPr>
                <w:rFonts w:cs="Arial"/>
                <w:b/>
                <w:i/>
              </w:rPr>
              <w:t>Equal Opportunity Act 2010</w:t>
            </w:r>
            <w:r w:rsidRPr="00021DD2">
              <w:rPr>
                <w:rFonts w:cs="Arial"/>
                <w:b/>
              </w:rPr>
              <w:t xml:space="preserve"> (Vic) </w:t>
            </w:r>
          </w:p>
          <w:p w:rsidR="006924AB" w:rsidRPr="00021DD2" w:rsidRDefault="006924AB" w:rsidP="006924AB">
            <w:pPr>
              <w:rPr>
                <w:rFonts w:cs="Arial"/>
                <w:i/>
                <w:lang w:val="en" w:eastAsia="en-AU"/>
              </w:rPr>
            </w:pPr>
            <w:r w:rsidRPr="00021DD2">
              <w:rPr>
                <w:rFonts w:cs="Arial"/>
                <w:bCs/>
                <w:i/>
                <w:lang w:val="en"/>
              </w:rPr>
              <w:t xml:space="preserve">Section 6 – Attributes </w:t>
            </w:r>
            <w:r w:rsidRPr="00021DD2">
              <w:rPr>
                <w:rFonts w:cs="Arial"/>
                <w:i/>
                <w:lang w:val="en"/>
              </w:rPr>
              <w:t xml:space="preserve"> </w:t>
            </w:r>
          </w:p>
          <w:p w:rsidR="006924AB" w:rsidRPr="00021DD2" w:rsidRDefault="006924AB" w:rsidP="00463FCA">
            <w:pPr>
              <w:pStyle w:val="NormaleWeb"/>
              <w:spacing w:before="120" w:after="120"/>
              <w:rPr>
                <w:rFonts w:ascii="Arial" w:hAnsi="Arial" w:cs="Arial"/>
                <w:lang w:val="en"/>
              </w:rPr>
            </w:pPr>
            <w:r w:rsidRPr="00021DD2">
              <w:rPr>
                <w:rFonts w:ascii="Arial" w:hAnsi="Arial" w:cs="Arial"/>
                <w:lang w:val="en"/>
              </w:rPr>
              <w:t xml:space="preserve">The following are the attributes on the basis of which discrimination is prohibited in the areas of activity set out in Part 4— </w:t>
            </w:r>
          </w:p>
          <w:p w:rsidR="006924AB" w:rsidRPr="00021DD2" w:rsidRDefault="006924AB" w:rsidP="00463FCA">
            <w:pPr>
              <w:pStyle w:val="NormaleWeb"/>
              <w:spacing w:before="120" w:after="120"/>
              <w:rPr>
                <w:rFonts w:ascii="Arial" w:hAnsi="Arial" w:cs="Arial"/>
                <w:lang w:val="en"/>
              </w:rPr>
            </w:pPr>
            <w:r w:rsidRPr="00021DD2">
              <w:rPr>
                <w:rFonts w:ascii="Arial" w:hAnsi="Arial" w:cs="Arial"/>
                <w:lang w:val="en"/>
              </w:rPr>
              <w:t xml:space="preserve">… </w:t>
            </w:r>
          </w:p>
          <w:p w:rsidR="006924AB" w:rsidRPr="00021DD2" w:rsidRDefault="006924AB" w:rsidP="00463FCA">
            <w:pPr>
              <w:pStyle w:val="NormaleWeb"/>
              <w:spacing w:before="120" w:after="120"/>
              <w:rPr>
                <w:rFonts w:ascii="Arial" w:hAnsi="Arial" w:cs="Arial"/>
                <w:lang w:val="en"/>
              </w:rPr>
            </w:pPr>
            <w:r w:rsidRPr="00021DD2">
              <w:rPr>
                <w:rFonts w:ascii="Arial" w:hAnsi="Arial" w:cs="Arial"/>
                <w:lang w:val="en"/>
              </w:rPr>
              <w:t xml:space="preserve">(b)     breastfeeding; </w:t>
            </w:r>
          </w:p>
          <w:p w:rsidR="006924AB" w:rsidRPr="00021DD2" w:rsidRDefault="006924AB" w:rsidP="00463FCA">
            <w:pPr>
              <w:pStyle w:val="NormaleWeb"/>
              <w:spacing w:before="120" w:after="120"/>
              <w:rPr>
                <w:rFonts w:ascii="Arial" w:hAnsi="Arial" w:cs="Arial"/>
                <w:lang w:val="en"/>
              </w:rPr>
            </w:pPr>
            <w:r w:rsidRPr="00021DD2">
              <w:rPr>
                <w:rFonts w:ascii="Arial" w:hAnsi="Arial" w:cs="Arial"/>
                <w:lang w:val="en"/>
              </w:rPr>
              <w:t xml:space="preserve">… </w:t>
            </w:r>
          </w:p>
          <w:p w:rsidR="006924AB" w:rsidRPr="00021DD2" w:rsidRDefault="006924AB" w:rsidP="00463FCA">
            <w:pPr>
              <w:pStyle w:val="NormaleWeb"/>
              <w:spacing w:before="120" w:after="120"/>
              <w:rPr>
                <w:rFonts w:ascii="Arial" w:hAnsi="Arial" w:cs="Arial"/>
                <w:lang w:val="en"/>
              </w:rPr>
            </w:pPr>
            <w:r w:rsidRPr="00021DD2">
              <w:rPr>
                <w:rFonts w:ascii="Arial" w:hAnsi="Arial" w:cs="Arial"/>
                <w:lang w:val="en"/>
              </w:rPr>
              <w:t xml:space="preserve">(i)     parental status or status as a carer; </w:t>
            </w:r>
          </w:p>
          <w:p w:rsidR="006924AB" w:rsidRPr="00021DD2" w:rsidRDefault="006924AB" w:rsidP="00463FCA">
            <w:pPr>
              <w:pStyle w:val="NormaleWeb"/>
              <w:spacing w:before="120" w:after="120"/>
              <w:rPr>
                <w:rFonts w:ascii="Arial" w:hAnsi="Arial" w:cs="Arial"/>
                <w:lang w:val="en"/>
              </w:rPr>
            </w:pPr>
            <w:r w:rsidRPr="00021DD2">
              <w:rPr>
                <w:rFonts w:ascii="Arial" w:hAnsi="Arial" w:cs="Arial"/>
                <w:lang w:val="en"/>
              </w:rPr>
              <w:t xml:space="preserve">… </w:t>
            </w:r>
          </w:p>
          <w:p w:rsidR="006924AB" w:rsidRPr="00021DD2" w:rsidRDefault="006924AB" w:rsidP="00463FCA">
            <w:pPr>
              <w:pStyle w:val="NormaleWeb"/>
              <w:spacing w:before="120" w:after="120"/>
              <w:rPr>
                <w:rFonts w:ascii="Arial" w:hAnsi="Arial" w:cs="Arial"/>
                <w:lang w:val="en"/>
              </w:rPr>
            </w:pPr>
            <w:r w:rsidRPr="00021DD2">
              <w:rPr>
                <w:rFonts w:ascii="Arial" w:hAnsi="Arial" w:cs="Arial"/>
                <w:lang w:val="en"/>
              </w:rPr>
              <w:t xml:space="preserve">(l)     pregnancy; </w:t>
            </w:r>
          </w:p>
          <w:p w:rsidR="006924AB" w:rsidRPr="00021DD2" w:rsidRDefault="006924AB" w:rsidP="00463FCA">
            <w:pPr>
              <w:pStyle w:val="NormaleWeb"/>
              <w:spacing w:before="120" w:after="120"/>
              <w:rPr>
                <w:rFonts w:ascii="Arial" w:hAnsi="Arial" w:cs="Arial"/>
                <w:lang w:val="en"/>
              </w:rPr>
            </w:pPr>
            <w:r w:rsidRPr="00021DD2">
              <w:rPr>
                <w:rFonts w:ascii="Arial" w:hAnsi="Arial" w:cs="Arial"/>
                <w:lang w:val="en"/>
              </w:rPr>
              <w:t>…</w:t>
            </w:r>
          </w:p>
          <w:p w:rsidR="006924AB" w:rsidRPr="00021DD2" w:rsidRDefault="006924AB" w:rsidP="00463FCA">
            <w:pPr>
              <w:pStyle w:val="NormaleWeb"/>
              <w:spacing w:before="120" w:after="120"/>
              <w:rPr>
                <w:rFonts w:ascii="Arial" w:hAnsi="Arial" w:cs="Arial"/>
                <w:lang w:val="en"/>
              </w:rPr>
            </w:pPr>
            <w:r w:rsidRPr="00021DD2">
              <w:rPr>
                <w:rFonts w:ascii="Arial" w:hAnsi="Arial" w:cs="Arial"/>
                <w:lang w:val="en"/>
              </w:rPr>
              <w:t xml:space="preserve">(o)     sex; </w:t>
            </w:r>
          </w:p>
          <w:p w:rsidR="006924AB" w:rsidRPr="00021DD2" w:rsidRDefault="006924AB" w:rsidP="00463FCA">
            <w:pPr>
              <w:pStyle w:val="NormaleWeb"/>
              <w:spacing w:before="120" w:after="120"/>
              <w:rPr>
                <w:rFonts w:ascii="Arial" w:hAnsi="Arial" w:cs="Arial"/>
                <w:i/>
                <w:lang w:val="en-US"/>
              </w:rPr>
            </w:pPr>
            <w:bookmarkStart w:id="179" w:name="_Toc255215034"/>
            <w:r w:rsidRPr="00021DD2">
              <w:rPr>
                <w:rFonts w:ascii="Arial" w:hAnsi="Arial" w:cs="Arial"/>
                <w:i/>
                <w:lang w:val="en-US"/>
              </w:rPr>
              <w:t>Section 7 – Meaning of discrimination</w:t>
            </w:r>
            <w:bookmarkEnd w:id="179"/>
          </w:p>
          <w:p w:rsidR="006924AB" w:rsidRPr="00021DD2" w:rsidRDefault="006924AB" w:rsidP="006924AB">
            <w:pPr>
              <w:pStyle w:val="NormaleWeb"/>
              <w:rPr>
                <w:rFonts w:ascii="Arial" w:hAnsi="Arial" w:cs="Arial"/>
                <w:lang w:val="en-US"/>
              </w:rPr>
            </w:pPr>
            <w:r w:rsidRPr="00021DD2">
              <w:rPr>
                <w:rFonts w:ascii="Arial" w:hAnsi="Arial" w:cs="Arial"/>
                <w:lang w:val="en-US"/>
              </w:rPr>
              <w:t>(1) Discrimination means</w:t>
            </w:r>
            <w:r w:rsidR="00360137">
              <w:rPr>
                <w:rFonts w:ascii="Arial" w:hAnsi="Arial" w:cs="Arial"/>
                <w:lang w:val="en-US"/>
              </w:rPr>
              <w:t>–</w:t>
            </w:r>
          </w:p>
          <w:p w:rsidR="006924AB" w:rsidRPr="00021DD2" w:rsidRDefault="006924AB" w:rsidP="006924AB">
            <w:pPr>
              <w:pStyle w:val="NormaleWeb"/>
              <w:rPr>
                <w:rFonts w:ascii="Arial" w:hAnsi="Arial" w:cs="Arial"/>
                <w:lang w:val="en-US"/>
              </w:rPr>
            </w:pPr>
            <w:r w:rsidRPr="00021DD2">
              <w:rPr>
                <w:rFonts w:ascii="Arial" w:hAnsi="Arial" w:cs="Arial"/>
                <w:lang w:val="en-US"/>
              </w:rPr>
              <w:t>(a) direct or indirect discrimination on the basis of an attribute;</w:t>
            </w:r>
          </w:p>
          <w:p w:rsidR="006924AB" w:rsidRPr="00021DD2" w:rsidRDefault="006924AB" w:rsidP="006924AB">
            <w:pPr>
              <w:pStyle w:val="NormaleWeb"/>
              <w:rPr>
                <w:rFonts w:ascii="Arial" w:hAnsi="Arial" w:cs="Arial"/>
                <w:i/>
              </w:rPr>
            </w:pPr>
            <w:bookmarkStart w:id="180" w:name="_Toc255215035"/>
            <w:r w:rsidRPr="00021DD2">
              <w:rPr>
                <w:rFonts w:ascii="Arial" w:hAnsi="Arial" w:cs="Arial"/>
                <w:i/>
              </w:rPr>
              <w:t>Section 8 – Direct discrimination</w:t>
            </w:r>
            <w:bookmarkEnd w:id="180"/>
          </w:p>
          <w:p w:rsidR="006924AB" w:rsidRPr="00021DD2" w:rsidRDefault="006924AB" w:rsidP="006924AB">
            <w:pPr>
              <w:pStyle w:val="NormaleWeb"/>
              <w:rPr>
                <w:rFonts w:ascii="Arial" w:hAnsi="Arial" w:cs="Arial"/>
              </w:rPr>
            </w:pPr>
            <w:r w:rsidRPr="00021DD2">
              <w:rPr>
                <w:rFonts w:ascii="Arial" w:hAnsi="Arial" w:cs="Arial"/>
              </w:rPr>
              <w:t>(1) Direct discrimination occurs if a person treats, or proposes to treat, a person with an attribute unfavourably because of that attribute.</w:t>
            </w:r>
          </w:p>
          <w:p w:rsidR="006924AB" w:rsidRPr="00021DD2" w:rsidRDefault="006924AB" w:rsidP="006924AB">
            <w:pPr>
              <w:pStyle w:val="NormaleWeb"/>
              <w:rPr>
                <w:rFonts w:ascii="Arial" w:hAnsi="Arial" w:cs="Arial"/>
                <w:i/>
              </w:rPr>
            </w:pPr>
            <w:bookmarkStart w:id="181" w:name="_Toc255215036"/>
            <w:r w:rsidRPr="00021DD2">
              <w:rPr>
                <w:rFonts w:ascii="Arial" w:hAnsi="Arial" w:cs="Arial"/>
                <w:i/>
              </w:rPr>
              <w:t>Section 9 – Indirect discrimination</w:t>
            </w:r>
            <w:bookmarkEnd w:id="181"/>
          </w:p>
          <w:p w:rsidR="006924AB" w:rsidRPr="00021DD2" w:rsidRDefault="006924AB" w:rsidP="006924AB">
            <w:pPr>
              <w:pStyle w:val="NormaleWeb"/>
              <w:rPr>
                <w:rFonts w:ascii="Arial" w:hAnsi="Arial" w:cs="Arial"/>
              </w:rPr>
            </w:pPr>
            <w:r w:rsidRPr="00021DD2">
              <w:rPr>
                <w:rFonts w:ascii="Arial" w:hAnsi="Arial" w:cs="Arial"/>
              </w:rPr>
              <w:t>(1) Indirect discrimination occurs if a person imposes, or proposes to impose, a requirement, condition or practice</w:t>
            </w:r>
            <w:r w:rsidR="00360137">
              <w:rPr>
                <w:rFonts w:ascii="Arial" w:hAnsi="Arial" w:cs="Arial"/>
              </w:rPr>
              <w:t>–</w:t>
            </w:r>
          </w:p>
          <w:p w:rsidR="006924AB" w:rsidRPr="00021DD2" w:rsidRDefault="006924AB" w:rsidP="006924AB">
            <w:pPr>
              <w:pStyle w:val="NormaleWeb"/>
              <w:rPr>
                <w:rFonts w:ascii="Arial" w:hAnsi="Arial" w:cs="Arial"/>
              </w:rPr>
            </w:pPr>
            <w:r w:rsidRPr="00021DD2">
              <w:rPr>
                <w:rFonts w:ascii="Arial" w:hAnsi="Arial" w:cs="Arial"/>
              </w:rPr>
              <w:t>(a) that has, or is likely to have, the effect of disadvantaging persons with an attribute; and</w:t>
            </w:r>
          </w:p>
          <w:p w:rsidR="006924AB" w:rsidRPr="00021DD2" w:rsidRDefault="006924AB" w:rsidP="006924AB">
            <w:pPr>
              <w:pStyle w:val="NormaleWeb"/>
              <w:rPr>
                <w:rFonts w:ascii="Arial" w:hAnsi="Arial" w:cs="Arial"/>
              </w:rPr>
            </w:pPr>
            <w:r w:rsidRPr="00021DD2">
              <w:rPr>
                <w:rFonts w:ascii="Arial" w:hAnsi="Arial" w:cs="Arial"/>
              </w:rPr>
              <w:t>(b) that is not reasonable.</w:t>
            </w:r>
          </w:p>
          <w:p w:rsidR="006924AB" w:rsidRPr="00021DD2" w:rsidRDefault="006924AB" w:rsidP="006924AB">
            <w:pPr>
              <w:pStyle w:val="NormaleWeb"/>
              <w:rPr>
                <w:rFonts w:ascii="Arial" w:hAnsi="Arial" w:cs="Arial"/>
              </w:rPr>
            </w:pPr>
            <w:r w:rsidRPr="00021DD2">
              <w:rPr>
                <w:rFonts w:ascii="Arial" w:hAnsi="Arial" w:cs="Arial"/>
              </w:rPr>
              <w:t>(2) The person who imposes, or proposes to impose, the requirement, condition or practice has the burden of proving that the requirement, condition or practice is reasonable.</w:t>
            </w:r>
          </w:p>
          <w:p w:rsidR="006924AB" w:rsidRPr="00021DD2" w:rsidRDefault="006924AB" w:rsidP="006924AB">
            <w:pPr>
              <w:pStyle w:val="NormaleWeb"/>
              <w:rPr>
                <w:rFonts w:ascii="Arial" w:hAnsi="Arial" w:cs="Arial"/>
              </w:rPr>
            </w:pPr>
            <w:r w:rsidRPr="00021DD2">
              <w:rPr>
                <w:rFonts w:ascii="Arial" w:hAnsi="Arial" w:cs="Arial"/>
              </w:rPr>
              <w:t>(3) Whether a requirement, condition or practice is reasonable depends on all the relevant circumstances of the case, including the following</w:t>
            </w:r>
            <w:r w:rsidR="00360137">
              <w:rPr>
                <w:rFonts w:ascii="Arial" w:hAnsi="Arial" w:cs="Arial"/>
              </w:rPr>
              <w:t>–</w:t>
            </w:r>
          </w:p>
          <w:p w:rsidR="006924AB" w:rsidRPr="00021DD2" w:rsidRDefault="006924AB" w:rsidP="006924AB">
            <w:pPr>
              <w:pStyle w:val="NormaleWeb"/>
              <w:rPr>
                <w:rFonts w:ascii="Arial" w:hAnsi="Arial" w:cs="Arial"/>
              </w:rPr>
            </w:pPr>
            <w:r w:rsidRPr="00021DD2">
              <w:rPr>
                <w:rFonts w:ascii="Arial" w:hAnsi="Arial" w:cs="Arial"/>
              </w:rPr>
              <w:t>(a) the nature and extent of the disadvantage resulting from the imposition, or proposed imposition, of the requirement, condition or practice;</w:t>
            </w:r>
          </w:p>
          <w:p w:rsidR="006924AB" w:rsidRPr="00021DD2" w:rsidRDefault="006924AB" w:rsidP="006924AB">
            <w:pPr>
              <w:pStyle w:val="NormaleWeb"/>
              <w:rPr>
                <w:rFonts w:ascii="Arial" w:hAnsi="Arial" w:cs="Arial"/>
              </w:rPr>
            </w:pPr>
            <w:r w:rsidRPr="00021DD2">
              <w:rPr>
                <w:rFonts w:ascii="Arial" w:hAnsi="Arial" w:cs="Arial"/>
              </w:rPr>
              <w:t>(b) whether the disadvantage is proportionate to the result sought by the person who imposes, or proposes to impose, the requirement, condition or practice;</w:t>
            </w:r>
          </w:p>
          <w:p w:rsidR="006924AB" w:rsidRPr="00021DD2" w:rsidRDefault="006924AB" w:rsidP="006924AB">
            <w:pPr>
              <w:pStyle w:val="NormaleWeb"/>
              <w:rPr>
                <w:rFonts w:ascii="Arial" w:hAnsi="Arial" w:cs="Arial"/>
              </w:rPr>
            </w:pPr>
            <w:r w:rsidRPr="00021DD2">
              <w:rPr>
                <w:rFonts w:ascii="Arial" w:hAnsi="Arial" w:cs="Arial"/>
              </w:rPr>
              <w:t>(c) the cost of any alternative requirement, condition or practice;</w:t>
            </w:r>
          </w:p>
          <w:p w:rsidR="006924AB" w:rsidRPr="00021DD2" w:rsidRDefault="006924AB" w:rsidP="006924AB">
            <w:pPr>
              <w:pStyle w:val="NormaleWeb"/>
              <w:rPr>
                <w:rFonts w:ascii="Arial" w:hAnsi="Arial" w:cs="Arial"/>
              </w:rPr>
            </w:pPr>
            <w:r w:rsidRPr="00021DD2">
              <w:rPr>
                <w:rFonts w:ascii="Arial" w:hAnsi="Arial" w:cs="Arial"/>
              </w:rPr>
              <w:t xml:space="preserve">(d) the financial circumstances of the person imposing, or proposing to impose, the requirement, condition or practice; </w:t>
            </w:r>
          </w:p>
          <w:p w:rsidR="006924AB" w:rsidRPr="00021DD2" w:rsidRDefault="006924AB" w:rsidP="006924AB">
            <w:pPr>
              <w:pStyle w:val="NormaleWeb"/>
              <w:rPr>
                <w:rFonts w:ascii="Arial" w:hAnsi="Arial" w:cs="Arial"/>
              </w:rPr>
            </w:pPr>
            <w:r w:rsidRPr="00021DD2">
              <w:rPr>
                <w:rFonts w:ascii="Arial" w:hAnsi="Arial" w:cs="Arial"/>
              </w:rPr>
              <w:t>(e) whether reasonable adjustments or reasonable accommodation could be made to the requirement, condition or practice to reduce the disadvantage caused, including the availability of an alternative requirement, condition or practice that would achieve the result sought by the person imposing, or proposing to impose, the requirement, condition or practice but would result in less disadvantage.</w:t>
            </w:r>
          </w:p>
          <w:p w:rsidR="006924AB" w:rsidRPr="00021DD2" w:rsidRDefault="006924AB" w:rsidP="006924AB">
            <w:pPr>
              <w:rPr>
                <w:rFonts w:cs="Arial"/>
                <w:i/>
              </w:rPr>
            </w:pPr>
            <w:r w:rsidRPr="00021DD2">
              <w:rPr>
                <w:rFonts w:cs="Arial"/>
                <w:i/>
              </w:rPr>
              <w:t xml:space="preserve">Section 38 – Discrimination by educational authorities </w:t>
            </w:r>
          </w:p>
          <w:p w:rsidR="006924AB" w:rsidRPr="00021DD2" w:rsidRDefault="006924AB" w:rsidP="00B934D7">
            <w:pPr>
              <w:pStyle w:val="Paragrafoelenco"/>
              <w:numPr>
                <w:ilvl w:val="0"/>
                <w:numId w:val="102"/>
              </w:numPr>
              <w:spacing w:before="120" w:after="120"/>
              <w:contextualSpacing w:val="0"/>
              <w:jc w:val="left"/>
            </w:pPr>
            <w:r w:rsidRPr="00021DD2">
              <w:t>An educational authority</w:t>
            </w:r>
            <w:r w:rsidRPr="00021DD2">
              <w:rPr>
                <w:rStyle w:val="Rimandonotadichiusura"/>
              </w:rPr>
              <w:endnoteReference w:id="853"/>
            </w:r>
            <w:r w:rsidRPr="00021DD2">
              <w:t xml:space="preserve"> must not discriminate against a person-</w:t>
            </w:r>
          </w:p>
          <w:p w:rsidR="006924AB" w:rsidRPr="00021DD2" w:rsidRDefault="006924AB" w:rsidP="006924AB">
            <w:pPr>
              <w:pStyle w:val="Paragrafoelenco"/>
              <w:ind w:left="360"/>
            </w:pPr>
            <w:r w:rsidRPr="00021DD2">
              <w:t xml:space="preserve">(a) in deciding who should be admitted as a student; or </w:t>
            </w:r>
          </w:p>
          <w:p w:rsidR="006924AB" w:rsidRPr="00021DD2" w:rsidRDefault="006924AB" w:rsidP="006924AB">
            <w:pPr>
              <w:pStyle w:val="Paragrafoelenco"/>
              <w:ind w:left="360"/>
            </w:pPr>
            <w:r w:rsidRPr="00021DD2">
              <w:t>(b) by refusing, or failing to accept, the person’s application for admission as a student; or</w:t>
            </w:r>
          </w:p>
          <w:p w:rsidR="006924AB" w:rsidRPr="00021DD2" w:rsidRDefault="006924AB" w:rsidP="006924AB">
            <w:pPr>
              <w:pStyle w:val="Paragrafoelenco"/>
              <w:ind w:left="360"/>
            </w:pPr>
            <w:r w:rsidRPr="00021DD2">
              <w:t xml:space="preserve">(c) in the terms on which the authority admits the person as a student. </w:t>
            </w:r>
          </w:p>
          <w:p w:rsidR="006924AB" w:rsidRPr="00021DD2" w:rsidRDefault="006924AB" w:rsidP="00B934D7">
            <w:pPr>
              <w:pStyle w:val="Paragrafoelenco"/>
              <w:numPr>
                <w:ilvl w:val="0"/>
                <w:numId w:val="102"/>
              </w:numPr>
              <w:spacing w:before="120" w:after="120"/>
              <w:contextualSpacing w:val="0"/>
              <w:jc w:val="left"/>
              <w:rPr>
                <w:szCs w:val="18"/>
              </w:rPr>
            </w:pPr>
            <w:r w:rsidRPr="00021DD2">
              <w:t>An educational authority must not discriminate</w:t>
            </w:r>
            <w:r w:rsidRPr="00021DD2">
              <w:rPr>
                <w:szCs w:val="18"/>
              </w:rPr>
              <w:t xml:space="preserve"> against a student-</w:t>
            </w:r>
          </w:p>
          <w:p w:rsidR="006924AB" w:rsidRPr="00021DD2" w:rsidRDefault="006924AB" w:rsidP="006924AB">
            <w:pPr>
              <w:pStyle w:val="Paragrafoelenco"/>
              <w:ind w:left="360"/>
              <w:rPr>
                <w:szCs w:val="18"/>
              </w:rPr>
            </w:pPr>
            <w:r w:rsidRPr="00021DD2">
              <w:rPr>
                <w:szCs w:val="18"/>
              </w:rPr>
              <w:t>(a) by denying or limiting access to any benefit provided by the authority; or</w:t>
            </w:r>
          </w:p>
          <w:p w:rsidR="006924AB" w:rsidRPr="00021DD2" w:rsidRDefault="006924AB" w:rsidP="006924AB">
            <w:pPr>
              <w:pStyle w:val="Paragrafoelenco"/>
              <w:ind w:left="360"/>
              <w:rPr>
                <w:szCs w:val="18"/>
              </w:rPr>
            </w:pPr>
            <w:r w:rsidRPr="00021DD2">
              <w:rPr>
                <w:szCs w:val="18"/>
              </w:rPr>
              <w:t xml:space="preserve">(b) by expelling the student; or </w:t>
            </w:r>
          </w:p>
          <w:p w:rsidR="006924AB" w:rsidRPr="00021DD2" w:rsidRDefault="006924AB" w:rsidP="006924AB">
            <w:pPr>
              <w:pStyle w:val="Paragrafoelenco"/>
              <w:ind w:left="360"/>
            </w:pPr>
            <w:r w:rsidRPr="00021DD2">
              <w:rPr>
                <w:szCs w:val="18"/>
              </w:rPr>
              <w:t xml:space="preserve">(c) by subjecting the student to any other detriment. </w:t>
            </w:r>
          </w:p>
          <w:p w:rsidR="006924AB" w:rsidRPr="00021DD2" w:rsidRDefault="006924AB" w:rsidP="006924AB">
            <w:pPr>
              <w:rPr>
                <w:rFonts w:cs="Arial"/>
                <w:i/>
                <w:szCs w:val="18"/>
              </w:rPr>
            </w:pPr>
            <w:bookmarkStart w:id="182" w:name="_Toc255215121"/>
            <w:r w:rsidRPr="00021DD2">
              <w:rPr>
                <w:rFonts w:cs="Arial"/>
                <w:i/>
                <w:szCs w:val="18"/>
              </w:rPr>
              <w:t>Section 83 – Religious schools</w:t>
            </w:r>
            <w:bookmarkEnd w:id="182"/>
          </w:p>
          <w:p w:rsidR="006924AB" w:rsidRPr="00021DD2" w:rsidRDefault="006924AB" w:rsidP="006924AB">
            <w:pPr>
              <w:rPr>
                <w:rFonts w:cs="Arial"/>
                <w:b/>
                <w:szCs w:val="18"/>
              </w:rPr>
            </w:pPr>
            <w:r w:rsidRPr="00021DD2">
              <w:rPr>
                <w:rFonts w:cs="Arial"/>
                <w:szCs w:val="18"/>
              </w:rPr>
              <w:t>(1) This section applies to a person or body, including a religious body, that establishes, directs, controls, administers or is an educational institution that is, or is to be, conducted in accordance with religious doctrines, beliefs or principles.</w:t>
            </w:r>
          </w:p>
          <w:p w:rsidR="006924AB" w:rsidRPr="00021DD2" w:rsidRDefault="006924AB" w:rsidP="006924AB">
            <w:pPr>
              <w:rPr>
                <w:rFonts w:cs="Arial"/>
                <w:szCs w:val="18"/>
              </w:rPr>
            </w:pPr>
            <w:r w:rsidRPr="00021DD2">
              <w:rPr>
                <w:rFonts w:cs="Arial"/>
                <w:szCs w:val="18"/>
              </w:rPr>
              <w:t>(2) Nothing in Part 4 applies to anything done (except in relation to employment) on the basis of a person's religious belief or activity, sex, sexual orientation, lawful sexual activity, marital status, parental status or gender identity by a person or body to which this section applies in the course of establishing, directing, controlling or administering the educational institution that</w:t>
            </w:r>
            <w:r w:rsidR="00360137">
              <w:rPr>
                <w:rFonts w:cs="Arial"/>
                <w:szCs w:val="18"/>
              </w:rPr>
              <w:t>–</w:t>
            </w:r>
          </w:p>
          <w:p w:rsidR="006924AB" w:rsidRPr="00021DD2" w:rsidRDefault="006924AB" w:rsidP="006924AB">
            <w:pPr>
              <w:rPr>
                <w:rFonts w:cs="Arial"/>
                <w:szCs w:val="18"/>
              </w:rPr>
            </w:pPr>
            <w:r w:rsidRPr="00021DD2">
              <w:rPr>
                <w:rFonts w:cs="Arial"/>
                <w:szCs w:val="18"/>
              </w:rPr>
              <w:t>(a) conforms with the doctrines, beliefs or principles of the religion; or</w:t>
            </w:r>
          </w:p>
          <w:p w:rsidR="006924AB" w:rsidRPr="00021DD2" w:rsidRDefault="006924AB" w:rsidP="006924AB">
            <w:pPr>
              <w:rPr>
                <w:rFonts w:cs="Arial"/>
              </w:rPr>
            </w:pPr>
            <w:r w:rsidRPr="00021DD2">
              <w:rPr>
                <w:rFonts w:cs="Arial"/>
                <w:szCs w:val="18"/>
              </w:rPr>
              <w:t>(b) is reasonably necessary to avoid injury to the religious sensitivities of adherents of the religion.</w:t>
            </w:r>
            <w:r w:rsidRPr="00021DD2" w:rsidDel="004F6704">
              <w:rPr>
                <w:rFonts w:cs="Arial"/>
              </w:rPr>
              <w:t xml:space="preserve"> </w:t>
            </w:r>
          </w:p>
        </w:tc>
      </w:tr>
      <w:tr w:rsidR="006924AB" w:rsidRPr="00021DD2" w:rsidTr="006924AB">
        <w:trPr>
          <w:cnfStyle w:val="000000010000" w:firstRow="0" w:lastRow="0" w:firstColumn="0" w:lastColumn="0" w:oddVBand="0" w:evenVBand="0" w:oddHBand="0" w:evenHBand="1" w:firstRowFirstColumn="0" w:firstRowLastColumn="0" w:lastRowFirstColumn="0" w:lastRowLastColumn="0"/>
        </w:trPr>
        <w:tc>
          <w:tcPr>
            <w:tcW w:w="1645" w:type="dxa"/>
          </w:tcPr>
          <w:p w:rsidR="006924AB" w:rsidRPr="00021DD2" w:rsidRDefault="006924AB" w:rsidP="006924AB">
            <w:pPr>
              <w:rPr>
                <w:rFonts w:cs="Arial"/>
              </w:rPr>
            </w:pPr>
            <w:r w:rsidRPr="00021DD2">
              <w:rPr>
                <w:rFonts w:cs="Arial"/>
              </w:rPr>
              <w:t>Case law</w:t>
            </w:r>
          </w:p>
        </w:tc>
        <w:tc>
          <w:tcPr>
            <w:tcW w:w="7281" w:type="dxa"/>
          </w:tcPr>
          <w:p w:rsidR="006924AB" w:rsidRPr="00021DD2" w:rsidRDefault="006924AB" w:rsidP="006924AB">
            <w:pPr>
              <w:rPr>
                <w:rFonts w:cs="Arial"/>
              </w:rPr>
            </w:pPr>
            <w:r w:rsidRPr="00021DD2">
              <w:rPr>
                <w:rFonts w:cs="Arial"/>
              </w:rPr>
              <w:t>Not applicable.</w:t>
            </w:r>
          </w:p>
        </w:tc>
      </w:tr>
      <w:tr w:rsidR="006924AB" w:rsidRPr="00021DD2" w:rsidTr="006924AB">
        <w:trPr>
          <w:cnfStyle w:val="000000100000" w:firstRow="0" w:lastRow="0" w:firstColumn="0" w:lastColumn="0" w:oddVBand="0" w:evenVBand="0" w:oddHBand="1" w:evenHBand="0" w:firstRowFirstColumn="0" w:firstRowLastColumn="0" w:lastRowFirstColumn="0" w:lastRowLastColumn="0"/>
        </w:trPr>
        <w:tc>
          <w:tcPr>
            <w:tcW w:w="8926" w:type="dxa"/>
            <w:gridSpan w:val="2"/>
          </w:tcPr>
          <w:p w:rsidR="006924AB" w:rsidRPr="00021DD2" w:rsidRDefault="006924AB" w:rsidP="006924AB">
            <w:pPr>
              <w:rPr>
                <w:rFonts w:cs="Arial"/>
              </w:rPr>
            </w:pPr>
            <w:r w:rsidRPr="00021DD2">
              <w:rPr>
                <w:rFonts w:cs="Arial"/>
                <w:b/>
              </w:rPr>
              <w:t>Australian Capital Territory</w:t>
            </w:r>
          </w:p>
        </w:tc>
      </w:tr>
      <w:tr w:rsidR="006924AB" w:rsidRPr="00021DD2" w:rsidTr="006924AB">
        <w:trPr>
          <w:cnfStyle w:val="000000010000" w:firstRow="0" w:lastRow="0" w:firstColumn="0" w:lastColumn="0" w:oddVBand="0" w:evenVBand="0" w:oddHBand="0" w:evenHBand="1" w:firstRowFirstColumn="0" w:firstRowLastColumn="0" w:lastRowFirstColumn="0" w:lastRowLastColumn="0"/>
          <w:trHeight w:val="594"/>
        </w:trPr>
        <w:tc>
          <w:tcPr>
            <w:tcW w:w="1645" w:type="dxa"/>
          </w:tcPr>
          <w:p w:rsidR="006924AB" w:rsidRPr="00021DD2" w:rsidRDefault="006924AB" w:rsidP="006924AB">
            <w:pPr>
              <w:rPr>
                <w:rFonts w:cs="Arial"/>
                <w:b/>
              </w:rPr>
            </w:pPr>
            <w:r w:rsidRPr="00021DD2">
              <w:rPr>
                <w:rFonts w:cs="Arial"/>
              </w:rPr>
              <w:t xml:space="preserve">Legislative provisions </w:t>
            </w:r>
          </w:p>
        </w:tc>
        <w:tc>
          <w:tcPr>
            <w:tcW w:w="7281" w:type="dxa"/>
          </w:tcPr>
          <w:p w:rsidR="006924AB" w:rsidRPr="00021DD2" w:rsidRDefault="006924AB" w:rsidP="006924AB">
            <w:pPr>
              <w:rPr>
                <w:rFonts w:cs="Arial"/>
                <w:b/>
                <w:i/>
              </w:rPr>
            </w:pPr>
            <w:r w:rsidRPr="00021DD2">
              <w:rPr>
                <w:rFonts w:cs="Arial"/>
                <w:b/>
                <w:i/>
              </w:rPr>
              <w:t xml:space="preserve">Education Act 2004 </w:t>
            </w:r>
            <w:r w:rsidRPr="00021DD2">
              <w:rPr>
                <w:rFonts w:cs="Arial"/>
                <w:b/>
              </w:rPr>
              <w:t>(ACT)</w:t>
            </w:r>
            <w:r w:rsidRPr="00021DD2">
              <w:rPr>
                <w:rFonts w:cs="Arial"/>
                <w:b/>
                <w:i/>
              </w:rPr>
              <w:t xml:space="preserve"> </w:t>
            </w:r>
          </w:p>
          <w:p w:rsidR="006924AB" w:rsidRPr="00021DD2" w:rsidRDefault="006924AB" w:rsidP="006924AB">
            <w:pPr>
              <w:rPr>
                <w:rFonts w:cs="Arial"/>
                <w:bCs/>
                <w:i/>
              </w:rPr>
            </w:pPr>
            <w:r w:rsidRPr="00021DD2">
              <w:rPr>
                <w:rFonts w:cs="Arial"/>
                <w:bCs/>
                <w:i/>
              </w:rPr>
              <w:t>Section 7 – General principles of Act</w:t>
            </w:r>
          </w:p>
          <w:p w:rsidR="006924AB" w:rsidRPr="00021DD2" w:rsidRDefault="006924AB" w:rsidP="006924AB">
            <w:pPr>
              <w:rPr>
                <w:rFonts w:cs="Arial"/>
              </w:rPr>
            </w:pPr>
            <w:r w:rsidRPr="00021DD2">
              <w:rPr>
                <w:rFonts w:cs="Arial"/>
              </w:rPr>
              <w:t>(1) Everyone involved in the administration of this Act, or in the school or home education of children in the ACT, is to apply the principle that every child has a right to receive a high-quality education.</w:t>
            </w:r>
          </w:p>
          <w:p w:rsidR="006924AB" w:rsidRPr="00021DD2" w:rsidRDefault="006924AB" w:rsidP="00463FCA">
            <w:pPr>
              <w:spacing w:before="120" w:after="120"/>
              <w:rPr>
                <w:rFonts w:cs="Arial"/>
              </w:rPr>
            </w:pPr>
            <w:r w:rsidRPr="00021DD2">
              <w:rPr>
                <w:rFonts w:cs="Arial"/>
              </w:rPr>
              <w:t>(2) Without limiting subsection (1), a high-quality education is based on the following principles:</w:t>
            </w:r>
          </w:p>
          <w:p w:rsidR="006924AB" w:rsidRPr="00021DD2" w:rsidRDefault="006924AB" w:rsidP="00463FCA">
            <w:pPr>
              <w:spacing w:before="120" w:after="120"/>
              <w:rPr>
                <w:rFonts w:cs="Arial"/>
              </w:rPr>
            </w:pPr>
            <w:r w:rsidRPr="00021DD2">
              <w:rPr>
                <w:rFonts w:cs="Arial"/>
              </w:rPr>
              <w:t>…</w:t>
            </w:r>
          </w:p>
          <w:p w:rsidR="006924AB" w:rsidRPr="00021DD2" w:rsidRDefault="006924AB" w:rsidP="00463FCA">
            <w:pPr>
              <w:spacing w:before="120" w:after="120"/>
              <w:rPr>
                <w:rFonts w:cs="Arial"/>
              </w:rPr>
            </w:pPr>
            <w:r w:rsidRPr="00021DD2">
              <w:rPr>
                <w:rFonts w:cs="Arial"/>
              </w:rPr>
              <w:t>(b) school education and home education should</w:t>
            </w:r>
            <w:r w:rsidR="00360137">
              <w:rPr>
                <w:rFonts w:cs="Arial"/>
              </w:rPr>
              <w:t>–</w:t>
            </w:r>
          </w:p>
          <w:p w:rsidR="006924AB" w:rsidRPr="00021DD2" w:rsidRDefault="006924AB" w:rsidP="00463FCA">
            <w:pPr>
              <w:spacing w:before="120" w:after="120"/>
              <w:rPr>
                <w:rFonts w:cs="Arial"/>
              </w:rPr>
            </w:pPr>
            <w:r w:rsidRPr="00021DD2">
              <w:rPr>
                <w:rFonts w:cs="Arial"/>
              </w:rPr>
              <w:t>(i) aim to develop every child’s potential and maximise educational achievements; and</w:t>
            </w:r>
          </w:p>
          <w:p w:rsidR="006924AB" w:rsidRPr="00021DD2" w:rsidRDefault="006924AB" w:rsidP="00463FCA">
            <w:pPr>
              <w:spacing w:before="120" w:after="120"/>
              <w:rPr>
                <w:rFonts w:cs="Arial"/>
              </w:rPr>
            </w:pPr>
            <w:r w:rsidRPr="00021DD2">
              <w:rPr>
                <w:rFonts w:cs="Arial"/>
              </w:rPr>
              <w:t>…</w:t>
            </w:r>
          </w:p>
          <w:p w:rsidR="006924AB" w:rsidRPr="00021DD2" w:rsidRDefault="006924AB" w:rsidP="006924AB">
            <w:pPr>
              <w:rPr>
                <w:rFonts w:cs="Arial"/>
              </w:rPr>
            </w:pPr>
            <w:r w:rsidRPr="00021DD2">
              <w:rPr>
                <w:rFonts w:cs="Arial"/>
              </w:rPr>
              <w:t>(v) recognise the social, religious, physical, intellectual and emotional needs of all students; and</w:t>
            </w:r>
            <w:r w:rsidRPr="00021DD2">
              <w:rPr>
                <w:rFonts w:cs="Arial"/>
              </w:rPr>
              <w:br/>
              <w:t>(vi) aim over time to improve the learning outcomes of students so that the outcomes are free from disadvantage because of economic, social, cultural or other causes; and</w:t>
            </w:r>
          </w:p>
          <w:p w:rsidR="006924AB" w:rsidRPr="00021DD2" w:rsidRDefault="006924AB" w:rsidP="006924AB">
            <w:pPr>
              <w:rPr>
                <w:rFonts w:cs="Arial"/>
              </w:rPr>
            </w:pPr>
            <w:r w:rsidRPr="00021DD2">
              <w:rPr>
                <w:rFonts w:cs="Arial"/>
              </w:rPr>
              <w:t>(vii) encourage all students to complete their senior secondary education; …</w:t>
            </w:r>
          </w:p>
          <w:p w:rsidR="006924AB" w:rsidRPr="00021DD2" w:rsidRDefault="006924AB" w:rsidP="006924AB">
            <w:pPr>
              <w:rPr>
                <w:rFonts w:cs="Arial"/>
                <w:bCs/>
                <w:i/>
              </w:rPr>
            </w:pPr>
            <w:r w:rsidRPr="00021DD2">
              <w:rPr>
                <w:rFonts w:cs="Arial"/>
                <w:bCs/>
                <w:i/>
              </w:rPr>
              <w:t>Section 18 – Principles on which ch 3 based</w:t>
            </w:r>
          </w:p>
          <w:p w:rsidR="006924AB" w:rsidRPr="00021DD2" w:rsidRDefault="006924AB" w:rsidP="00463FCA">
            <w:pPr>
              <w:spacing w:before="120" w:after="120"/>
              <w:rPr>
                <w:rFonts w:cs="Arial"/>
              </w:rPr>
            </w:pPr>
            <w:r w:rsidRPr="00021DD2">
              <w:rPr>
                <w:rFonts w:cs="Arial"/>
              </w:rPr>
              <w:t>The following are the principles on which this chapter is based:</w:t>
            </w:r>
          </w:p>
          <w:p w:rsidR="006924AB" w:rsidRPr="00021DD2" w:rsidRDefault="006924AB" w:rsidP="00463FCA">
            <w:pPr>
              <w:spacing w:before="120" w:after="120"/>
              <w:rPr>
                <w:rFonts w:cs="Arial"/>
              </w:rPr>
            </w:pPr>
            <w:r w:rsidRPr="00021DD2">
              <w:rPr>
                <w:rFonts w:cs="Arial"/>
              </w:rPr>
              <w:t>…</w:t>
            </w:r>
          </w:p>
          <w:p w:rsidR="006924AB" w:rsidRPr="00021DD2" w:rsidRDefault="006924AB" w:rsidP="006924AB">
            <w:pPr>
              <w:rPr>
                <w:rFonts w:cs="Arial"/>
              </w:rPr>
            </w:pPr>
            <w:r w:rsidRPr="00021DD2">
              <w:rPr>
                <w:rFonts w:cs="Arial"/>
              </w:rPr>
              <w:t>(d) the government school system is committed to</w:t>
            </w:r>
            <w:r w:rsidR="00360137">
              <w:rPr>
                <w:rFonts w:cs="Arial"/>
              </w:rPr>
              <w:t>–</w:t>
            </w:r>
          </w:p>
          <w:p w:rsidR="006924AB" w:rsidRPr="00021DD2" w:rsidRDefault="006924AB" w:rsidP="006924AB">
            <w:pPr>
              <w:rPr>
                <w:rFonts w:cs="Arial"/>
              </w:rPr>
            </w:pPr>
            <w:r w:rsidRPr="00021DD2">
              <w:rPr>
                <w:rFonts w:cs="Arial"/>
              </w:rPr>
              <w:t>(i) providing reasonable access to public education for all students in the ACT;</w:t>
            </w:r>
          </w:p>
          <w:p w:rsidR="006924AB" w:rsidRPr="00021DD2" w:rsidRDefault="006924AB" w:rsidP="006924AB">
            <w:pPr>
              <w:rPr>
                <w:rFonts w:cs="Arial"/>
              </w:rPr>
            </w:pPr>
            <w:r w:rsidRPr="00021DD2">
              <w:rPr>
                <w:rFonts w:cs="Arial"/>
              </w:rPr>
              <w:t>(ii) maximising student educational achievements and opportunities; …</w:t>
            </w:r>
          </w:p>
          <w:p w:rsidR="006924AB" w:rsidRPr="00021DD2" w:rsidRDefault="006924AB" w:rsidP="006924AB">
            <w:pPr>
              <w:rPr>
                <w:rFonts w:cs="Arial"/>
                <w:bCs/>
                <w:i/>
              </w:rPr>
            </w:pPr>
            <w:r w:rsidRPr="00021DD2">
              <w:rPr>
                <w:rFonts w:cs="Arial"/>
                <w:bCs/>
                <w:i/>
              </w:rPr>
              <w:t xml:space="preserve">Section 35 – Procedures to encourage school attendance at government schools </w:t>
            </w:r>
          </w:p>
          <w:p w:rsidR="006924AB" w:rsidRPr="00021DD2" w:rsidRDefault="006924AB" w:rsidP="006924AB">
            <w:pPr>
              <w:rPr>
                <w:rFonts w:cs="Arial"/>
                <w:bCs/>
              </w:rPr>
            </w:pPr>
            <w:r w:rsidRPr="00021DD2">
              <w:rPr>
                <w:rFonts w:cs="Arial"/>
                <w:bCs/>
              </w:rPr>
              <w:t>(1) The principal of a government school must set up procedures</w:t>
            </w:r>
            <w:r w:rsidR="00360137">
              <w:rPr>
                <w:rFonts w:cs="Arial"/>
                <w:bCs/>
              </w:rPr>
              <w:t>–</w:t>
            </w:r>
          </w:p>
          <w:p w:rsidR="006924AB" w:rsidRPr="00021DD2" w:rsidRDefault="006924AB" w:rsidP="006924AB">
            <w:pPr>
              <w:rPr>
                <w:rFonts w:cs="Arial"/>
                <w:bCs/>
              </w:rPr>
            </w:pPr>
            <w:r w:rsidRPr="00021DD2">
              <w:rPr>
                <w:rFonts w:cs="Arial"/>
                <w:bCs/>
              </w:rPr>
              <w:t xml:space="preserve">(a) to encourage students to attend school regularly; … </w:t>
            </w:r>
          </w:p>
          <w:p w:rsidR="006924AB" w:rsidRPr="00021DD2" w:rsidRDefault="006924AB" w:rsidP="006924AB">
            <w:pPr>
              <w:rPr>
                <w:rFonts w:cs="Arial"/>
                <w:bCs/>
              </w:rPr>
            </w:pPr>
            <w:r w:rsidRPr="00021DD2">
              <w:rPr>
                <w:rFonts w:cs="Arial"/>
                <w:bCs/>
              </w:rPr>
              <w:t>(2) The principal must refer parents and children to support services that encourage children to attend school regularly when the procedures mentioned in subsection (1) are not successful.</w:t>
            </w:r>
          </w:p>
          <w:p w:rsidR="006924AB" w:rsidRPr="00021DD2" w:rsidRDefault="006924AB" w:rsidP="006924AB">
            <w:pPr>
              <w:rPr>
                <w:rFonts w:cs="Arial"/>
                <w:bCs/>
              </w:rPr>
            </w:pPr>
            <w:r w:rsidRPr="00021DD2">
              <w:rPr>
                <w:rFonts w:cs="Arial"/>
                <w:bCs/>
                <w:i/>
              </w:rPr>
              <w:br/>
              <w:t>See also section 36 – Suspension, exclusion or transfer of student by director-general</w:t>
            </w:r>
            <w:r w:rsidRPr="00021DD2">
              <w:rPr>
                <w:rFonts w:cs="Arial"/>
                <w:bCs/>
              </w:rPr>
              <w:t>.</w:t>
            </w:r>
          </w:p>
          <w:p w:rsidR="006924AB" w:rsidRPr="00021DD2" w:rsidRDefault="006924AB" w:rsidP="006924AB">
            <w:pPr>
              <w:rPr>
                <w:rFonts w:cs="Arial"/>
                <w:b/>
              </w:rPr>
            </w:pPr>
            <w:r w:rsidRPr="00021DD2">
              <w:rPr>
                <w:rFonts w:cs="Arial"/>
                <w:b/>
                <w:i/>
              </w:rPr>
              <w:t>Human Rights Act 2004</w:t>
            </w:r>
            <w:r w:rsidRPr="00021DD2">
              <w:rPr>
                <w:rFonts w:cs="Arial"/>
                <w:b/>
              </w:rPr>
              <w:t xml:space="preserve"> (ACT)</w:t>
            </w:r>
          </w:p>
          <w:p w:rsidR="006924AB" w:rsidRPr="00021DD2" w:rsidRDefault="006924AB" w:rsidP="006924AB">
            <w:pPr>
              <w:rPr>
                <w:rFonts w:cs="Arial"/>
                <w:i/>
              </w:rPr>
            </w:pPr>
            <w:r w:rsidRPr="00021DD2">
              <w:rPr>
                <w:rFonts w:cs="Arial"/>
                <w:i/>
              </w:rPr>
              <w:t xml:space="preserve">Section 27A – Right to education </w:t>
            </w:r>
          </w:p>
          <w:p w:rsidR="006924AB" w:rsidRPr="00021DD2" w:rsidRDefault="006924AB" w:rsidP="00B934D7">
            <w:pPr>
              <w:pStyle w:val="Paragrafoelenco"/>
              <w:numPr>
                <w:ilvl w:val="0"/>
                <w:numId w:val="104"/>
              </w:numPr>
              <w:spacing w:before="120" w:after="120"/>
              <w:contextualSpacing w:val="0"/>
              <w:jc w:val="left"/>
            </w:pPr>
            <w:r w:rsidRPr="00021DD2">
              <w:t xml:space="preserve">Every child has the right to have access to free, school education appropriate to his or her needs. </w:t>
            </w:r>
          </w:p>
          <w:p w:rsidR="006924AB" w:rsidRPr="00021DD2" w:rsidRDefault="006924AB" w:rsidP="00B934D7">
            <w:pPr>
              <w:pStyle w:val="Paragrafoelenco"/>
              <w:numPr>
                <w:ilvl w:val="0"/>
                <w:numId w:val="104"/>
              </w:numPr>
              <w:spacing w:before="120" w:after="120"/>
              <w:contextualSpacing w:val="0"/>
              <w:jc w:val="left"/>
            </w:pPr>
            <w:r w:rsidRPr="00021DD2">
              <w:t xml:space="preserve">Everyone has the right to have access to further education and vocational and continuing training. </w:t>
            </w:r>
          </w:p>
          <w:p w:rsidR="006924AB" w:rsidRPr="00021DD2" w:rsidRDefault="006924AB" w:rsidP="00B934D7">
            <w:pPr>
              <w:pStyle w:val="Paragrafoelenco"/>
              <w:numPr>
                <w:ilvl w:val="0"/>
                <w:numId w:val="104"/>
              </w:numPr>
              <w:spacing w:before="120" w:after="120"/>
              <w:contextualSpacing w:val="0"/>
              <w:jc w:val="left"/>
            </w:pPr>
            <w:r w:rsidRPr="00021DD2">
              <w:t>These rights are limited to the following immediately realisable aspects:</w:t>
            </w:r>
          </w:p>
          <w:p w:rsidR="006924AB" w:rsidRPr="00021DD2" w:rsidRDefault="006924AB" w:rsidP="00955DD8">
            <w:pPr>
              <w:pStyle w:val="Paragrafoelenco"/>
              <w:ind w:left="360"/>
              <w:jc w:val="left"/>
            </w:pPr>
            <w:r w:rsidRPr="00021DD2">
              <w:t>(a) everyone is entitled to enjoy these rights without discrimination;</w:t>
            </w:r>
          </w:p>
          <w:p w:rsidR="006924AB" w:rsidRPr="00021DD2" w:rsidRDefault="006924AB" w:rsidP="006924AB">
            <w:pPr>
              <w:rPr>
                <w:rFonts w:cs="Arial"/>
                <w:i/>
              </w:rPr>
            </w:pPr>
            <w:r w:rsidRPr="00021DD2">
              <w:rPr>
                <w:rFonts w:cs="Arial"/>
                <w:i/>
              </w:rPr>
              <w:t xml:space="preserve">Section 28 – Human rights may be limited </w:t>
            </w:r>
          </w:p>
          <w:p w:rsidR="006924AB" w:rsidRPr="00021DD2" w:rsidRDefault="006924AB" w:rsidP="00B934D7">
            <w:pPr>
              <w:pStyle w:val="Paragrafoelenco"/>
              <w:numPr>
                <w:ilvl w:val="0"/>
                <w:numId w:val="106"/>
              </w:numPr>
              <w:spacing w:before="120" w:after="120"/>
              <w:contextualSpacing w:val="0"/>
              <w:jc w:val="left"/>
            </w:pPr>
            <w:r w:rsidRPr="00021DD2">
              <w:t>Human rights</w:t>
            </w:r>
            <w:r w:rsidRPr="00021DD2">
              <w:rPr>
                <w:rStyle w:val="Rimandonotadichiusura"/>
              </w:rPr>
              <w:endnoteReference w:id="854"/>
            </w:r>
            <w:r w:rsidRPr="00021DD2">
              <w:t xml:space="preserve"> may be subject only to reasonable limits set by the laws that can be demonstrably justified in a free and democratic society. </w:t>
            </w:r>
          </w:p>
          <w:p w:rsidR="006924AB" w:rsidRPr="00021DD2" w:rsidRDefault="006924AB" w:rsidP="00B934D7">
            <w:pPr>
              <w:pStyle w:val="Paragrafoelenco"/>
              <w:numPr>
                <w:ilvl w:val="0"/>
                <w:numId w:val="105"/>
              </w:numPr>
              <w:spacing w:before="120" w:after="120"/>
              <w:contextualSpacing w:val="0"/>
              <w:jc w:val="left"/>
            </w:pPr>
            <w:r w:rsidRPr="00021DD2">
              <w:t>In deciding whether a limit is reasonable, all relevant factors must be considered, including the following:</w:t>
            </w:r>
          </w:p>
          <w:p w:rsidR="006924AB" w:rsidRPr="00021DD2" w:rsidRDefault="006924AB" w:rsidP="006924AB">
            <w:pPr>
              <w:pStyle w:val="Paragrafoelenco"/>
              <w:ind w:left="360"/>
            </w:pPr>
            <w:r w:rsidRPr="00021DD2">
              <w:t xml:space="preserve">(a) the nature of the right affected; </w:t>
            </w:r>
          </w:p>
          <w:p w:rsidR="006924AB" w:rsidRPr="00021DD2" w:rsidRDefault="006924AB" w:rsidP="006924AB">
            <w:pPr>
              <w:pStyle w:val="Paragrafoelenco"/>
              <w:ind w:left="360"/>
            </w:pPr>
            <w:r w:rsidRPr="00021DD2">
              <w:t xml:space="preserve">(b) the importance of the purpose of the limitation; </w:t>
            </w:r>
          </w:p>
          <w:p w:rsidR="006924AB" w:rsidRPr="00021DD2" w:rsidRDefault="006924AB" w:rsidP="006924AB">
            <w:pPr>
              <w:pStyle w:val="Paragrafoelenco"/>
              <w:ind w:left="360"/>
            </w:pPr>
            <w:r w:rsidRPr="00021DD2">
              <w:t xml:space="preserve">(c) the nature and extent of the limitation; </w:t>
            </w:r>
          </w:p>
          <w:p w:rsidR="006924AB" w:rsidRPr="00021DD2" w:rsidRDefault="006924AB" w:rsidP="006924AB">
            <w:pPr>
              <w:pStyle w:val="Paragrafoelenco"/>
              <w:ind w:left="360"/>
            </w:pPr>
            <w:r w:rsidRPr="00021DD2">
              <w:t xml:space="preserve">(d) the relationship between the limitation and its purpose; </w:t>
            </w:r>
          </w:p>
          <w:p w:rsidR="006924AB" w:rsidRPr="00021DD2" w:rsidRDefault="006924AB" w:rsidP="006924AB">
            <w:pPr>
              <w:pStyle w:val="Paragrafoelenco"/>
              <w:ind w:left="360"/>
            </w:pPr>
            <w:r w:rsidRPr="00021DD2">
              <w:t xml:space="preserve">(e) any less restrictive means reasonably available to achieve the purpose the limitation seeks to achieve. </w:t>
            </w:r>
          </w:p>
          <w:p w:rsidR="006924AB" w:rsidRDefault="006924AB" w:rsidP="006924AB">
            <w:pPr>
              <w:rPr>
                <w:rFonts w:cs="Arial"/>
                <w:b/>
              </w:rPr>
            </w:pPr>
          </w:p>
          <w:p w:rsidR="002C4F5D" w:rsidRPr="00021DD2" w:rsidRDefault="002C4F5D" w:rsidP="006924AB">
            <w:pPr>
              <w:rPr>
                <w:rFonts w:cs="Arial"/>
                <w:b/>
              </w:rPr>
            </w:pPr>
          </w:p>
          <w:p w:rsidR="006924AB" w:rsidRPr="00021DD2" w:rsidRDefault="006924AB" w:rsidP="006924AB">
            <w:pPr>
              <w:rPr>
                <w:rFonts w:cs="Arial"/>
                <w:b/>
              </w:rPr>
            </w:pPr>
            <w:r w:rsidRPr="00021DD2">
              <w:rPr>
                <w:rFonts w:cs="Arial"/>
                <w:b/>
                <w:i/>
              </w:rPr>
              <w:t>Discrimination Act 1991</w:t>
            </w:r>
            <w:r w:rsidRPr="00021DD2">
              <w:rPr>
                <w:rFonts w:cs="Arial"/>
                <w:b/>
              </w:rPr>
              <w:t xml:space="preserve"> (ACT) </w:t>
            </w:r>
          </w:p>
          <w:p w:rsidR="006924AB" w:rsidRPr="00021DD2" w:rsidRDefault="006924AB" w:rsidP="006924AB">
            <w:pPr>
              <w:rPr>
                <w:rFonts w:cs="Arial"/>
                <w:bCs/>
                <w:i/>
              </w:rPr>
            </w:pPr>
            <w:r w:rsidRPr="00021DD2">
              <w:rPr>
                <w:rFonts w:cs="Arial"/>
                <w:bCs/>
                <w:i/>
              </w:rPr>
              <w:t>Section 7 – Protected attributes</w:t>
            </w:r>
          </w:p>
          <w:p w:rsidR="006924AB" w:rsidRPr="00021DD2" w:rsidRDefault="006924AB" w:rsidP="006924AB">
            <w:pPr>
              <w:rPr>
                <w:rFonts w:cs="Arial"/>
              </w:rPr>
            </w:pPr>
            <w:r w:rsidRPr="00021DD2">
              <w:rPr>
                <w:rFonts w:cs="Arial"/>
              </w:rPr>
              <w:t>(1) This Act applies to discrimination on the ground of any of the following attributes (a</w:t>
            </w:r>
            <w:r w:rsidRPr="00021DD2">
              <w:rPr>
                <w:rFonts w:cs="Arial"/>
                <w:b/>
              </w:rPr>
              <w:t xml:space="preserve"> </w:t>
            </w:r>
            <w:r w:rsidRPr="00021DD2">
              <w:rPr>
                <w:rFonts w:cs="Arial"/>
                <w:b/>
                <w:bCs/>
                <w:i/>
                <w:iCs/>
              </w:rPr>
              <w:t>protected attribute</w:t>
            </w:r>
            <w:r w:rsidRPr="00021DD2">
              <w:rPr>
                <w:rFonts w:cs="Arial"/>
              </w:rPr>
              <w:t>):</w:t>
            </w:r>
          </w:p>
          <w:p w:rsidR="006924AB" w:rsidRPr="00021DD2" w:rsidRDefault="006924AB" w:rsidP="006924AB">
            <w:pPr>
              <w:rPr>
                <w:rFonts w:cs="Arial"/>
              </w:rPr>
            </w:pPr>
            <w:r w:rsidRPr="00021DD2">
              <w:rPr>
                <w:rFonts w:cs="Arial"/>
              </w:rPr>
              <w:t>…</w:t>
            </w:r>
          </w:p>
          <w:p w:rsidR="006924AB" w:rsidRPr="00021DD2" w:rsidRDefault="006924AB" w:rsidP="006924AB">
            <w:pPr>
              <w:rPr>
                <w:rFonts w:cs="Arial"/>
              </w:rPr>
            </w:pPr>
            <w:r w:rsidRPr="00021DD2">
              <w:rPr>
                <w:rFonts w:cs="Arial"/>
              </w:rPr>
              <w:t>(d) breastfeeding;</w:t>
            </w:r>
          </w:p>
          <w:p w:rsidR="006924AB" w:rsidRPr="00021DD2" w:rsidRDefault="006924AB" w:rsidP="006924AB">
            <w:pPr>
              <w:rPr>
                <w:rFonts w:cs="Arial"/>
              </w:rPr>
            </w:pPr>
            <w:r w:rsidRPr="00021DD2">
              <w:rPr>
                <w:rFonts w:cs="Arial"/>
              </w:rPr>
              <w:t>…</w:t>
            </w:r>
          </w:p>
          <w:p w:rsidR="006924AB" w:rsidRPr="00021DD2" w:rsidRDefault="006924AB" w:rsidP="006924AB">
            <w:pPr>
              <w:rPr>
                <w:rFonts w:cs="Arial"/>
              </w:rPr>
            </w:pPr>
            <w:r w:rsidRPr="00021DD2">
              <w:rPr>
                <w:rFonts w:cs="Arial"/>
              </w:rPr>
              <w:t xml:space="preserve">(m) parent, family, carer or kinship responsibilities; </w:t>
            </w:r>
          </w:p>
          <w:p w:rsidR="006924AB" w:rsidRPr="00021DD2" w:rsidRDefault="006924AB" w:rsidP="006924AB">
            <w:pPr>
              <w:rPr>
                <w:rFonts w:cs="Arial"/>
              </w:rPr>
            </w:pPr>
            <w:r w:rsidRPr="00021DD2">
              <w:rPr>
                <w:rFonts w:cs="Arial"/>
              </w:rPr>
              <w:t>…</w:t>
            </w:r>
          </w:p>
          <w:p w:rsidR="006924AB" w:rsidRPr="00021DD2" w:rsidRDefault="006924AB" w:rsidP="006924AB">
            <w:pPr>
              <w:rPr>
                <w:rFonts w:cs="Arial"/>
              </w:rPr>
            </w:pPr>
            <w:r w:rsidRPr="00021DD2">
              <w:rPr>
                <w:rFonts w:cs="Arial"/>
              </w:rPr>
              <w:t xml:space="preserve">(p) pregnancy; </w:t>
            </w:r>
          </w:p>
          <w:p w:rsidR="006924AB" w:rsidRPr="00021DD2" w:rsidRDefault="006924AB" w:rsidP="006924AB">
            <w:pPr>
              <w:rPr>
                <w:rFonts w:cs="Arial"/>
              </w:rPr>
            </w:pPr>
            <w:r w:rsidRPr="00021DD2">
              <w:rPr>
                <w:rFonts w:cs="Arial"/>
              </w:rPr>
              <w:t>…</w:t>
            </w:r>
          </w:p>
          <w:p w:rsidR="006924AB" w:rsidRPr="00021DD2" w:rsidRDefault="006924AB" w:rsidP="006924AB">
            <w:pPr>
              <w:rPr>
                <w:rFonts w:cs="Arial"/>
              </w:rPr>
            </w:pPr>
            <w:r w:rsidRPr="00021DD2">
              <w:rPr>
                <w:rFonts w:cs="Arial"/>
              </w:rPr>
              <w:t>(v) sex;</w:t>
            </w:r>
          </w:p>
          <w:p w:rsidR="006924AB" w:rsidRPr="00021DD2" w:rsidRDefault="006924AB" w:rsidP="006924AB">
            <w:pPr>
              <w:rPr>
                <w:rFonts w:cs="Arial"/>
                <w:bCs/>
                <w:i/>
                <w:iCs/>
              </w:rPr>
            </w:pPr>
            <w:r w:rsidRPr="00021DD2">
              <w:rPr>
                <w:rFonts w:cs="Arial"/>
                <w:bCs/>
                <w:i/>
              </w:rPr>
              <w:t xml:space="preserve">Section 8 – Meaning of </w:t>
            </w:r>
            <w:r w:rsidRPr="00021DD2">
              <w:rPr>
                <w:rFonts w:cs="Arial"/>
                <w:bCs/>
                <w:i/>
                <w:iCs/>
              </w:rPr>
              <w:t>discrimination</w:t>
            </w:r>
          </w:p>
          <w:p w:rsidR="006924AB" w:rsidRPr="00021DD2" w:rsidRDefault="006924AB" w:rsidP="006924AB">
            <w:pPr>
              <w:rPr>
                <w:rFonts w:cs="Arial"/>
              </w:rPr>
            </w:pPr>
            <w:r w:rsidRPr="00021DD2">
              <w:rPr>
                <w:rFonts w:cs="Arial"/>
              </w:rPr>
              <w:t xml:space="preserve">(1) For this Act, </w:t>
            </w:r>
            <w:r w:rsidRPr="00021DD2">
              <w:rPr>
                <w:rFonts w:cs="Arial"/>
                <w:bCs/>
                <w:iCs/>
              </w:rPr>
              <w:t xml:space="preserve">discrimination </w:t>
            </w:r>
            <w:r w:rsidRPr="00021DD2">
              <w:rPr>
                <w:rFonts w:cs="Arial"/>
              </w:rPr>
              <w:t>occurs when a person discriminates either directly or indirectly, or both, against someone else.</w:t>
            </w:r>
          </w:p>
          <w:p w:rsidR="006924AB" w:rsidRPr="00021DD2" w:rsidRDefault="006924AB" w:rsidP="006924AB">
            <w:pPr>
              <w:rPr>
                <w:rFonts w:cs="Arial"/>
              </w:rPr>
            </w:pPr>
            <w:r w:rsidRPr="00021DD2">
              <w:rPr>
                <w:rFonts w:cs="Arial"/>
              </w:rPr>
              <w:t xml:space="preserve">(2) For this section, a person </w:t>
            </w:r>
            <w:r w:rsidRPr="00021DD2">
              <w:rPr>
                <w:rFonts w:cs="Arial"/>
                <w:bCs/>
                <w:iCs/>
              </w:rPr>
              <w:t xml:space="preserve">directly </w:t>
            </w:r>
            <w:r w:rsidRPr="00021DD2">
              <w:rPr>
                <w:rFonts w:cs="Arial"/>
              </w:rPr>
              <w:t>discriminates against someone else if the person treats, or proposes to treat, another person unfavourably because the other person has 1 or more protected attributes.</w:t>
            </w:r>
          </w:p>
          <w:p w:rsidR="006924AB" w:rsidRPr="00021DD2" w:rsidRDefault="006924AB" w:rsidP="006924AB">
            <w:pPr>
              <w:rPr>
                <w:rFonts w:cs="Arial"/>
              </w:rPr>
            </w:pPr>
            <w:r w:rsidRPr="00021DD2">
              <w:rPr>
                <w:rFonts w:cs="Arial"/>
              </w:rPr>
              <w:t xml:space="preserve">(3) For this section, a person </w:t>
            </w:r>
            <w:r w:rsidRPr="00021DD2">
              <w:rPr>
                <w:rFonts w:cs="Arial"/>
                <w:bCs/>
                <w:iCs/>
              </w:rPr>
              <w:t xml:space="preserve">indirectly </w:t>
            </w:r>
            <w:r w:rsidRPr="00021DD2">
              <w:rPr>
                <w:rFonts w:cs="Arial"/>
              </w:rPr>
              <w:t>discriminates against someone else if the person imposes, or proposes to impose, a condition or requirement that has, or is likely to have, the effect of disadvantaging the other person because the other person has 1 or more protected attributes.</w:t>
            </w:r>
          </w:p>
          <w:p w:rsidR="006924AB" w:rsidRPr="00021DD2" w:rsidRDefault="006924AB" w:rsidP="006924AB">
            <w:pPr>
              <w:rPr>
                <w:rFonts w:cs="Arial"/>
              </w:rPr>
            </w:pPr>
            <w:r w:rsidRPr="00021DD2">
              <w:rPr>
                <w:rFonts w:cs="Arial"/>
              </w:rPr>
              <w:t>(4) However, a condition or requirement does not give rise to indirect discrimination if it is reasonable in the circumstances.</w:t>
            </w:r>
          </w:p>
          <w:p w:rsidR="006924AB" w:rsidRPr="00021DD2" w:rsidRDefault="006924AB" w:rsidP="006924AB">
            <w:pPr>
              <w:rPr>
                <w:rFonts w:cs="Arial"/>
              </w:rPr>
            </w:pPr>
            <w:r w:rsidRPr="00021DD2">
              <w:rPr>
                <w:rFonts w:cs="Arial"/>
              </w:rPr>
              <w:t>(5) In deciding whether a condition or requirement is reasonable in the circumstances, the matters to be taken into account include</w:t>
            </w:r>
            <w:r w:rsidR="004C3BCE">
              <w:rPr>
                <w:rFonts w:cs="Arial"/>
              </w:rPr>
              <w:t>–</w:t>
            </w:r>
          </w:p>
          <w:p w:rsidR="006924AB" w:rsidRPr="00021DD2" w:rsidRDefault="006924AB" w:rsidP="006924AB">
            <w:pPr>
              <w:rPr>
                <w:rFonts w:cs="Arial"/>
              </w:rPr>
            </w:pPr>
            <w:r w:rsidRPr="00021DD2">
              <w:rPr>
                <w:rFonts w:cs="Arial"/>
              </w:rPr>
              <w:t>(a) the nature and extent of any disadvantage that results from imposing the condition or requirement; and</w:t>
            </w:r>
          </w:p>
          <w:p w:rsidR="006924AB" w:rsidRPr="00021DD2" w:rsidRDefault="006924AB" w:rsidP="006924AB">
            <w:pPr>
              <w:rPr>
                <w:rFonts w:cs="Arial"/>
              </w:rPr>
            </w:pPr>
            <w:r w:rsidRPr="00021DD2">
              <w:rPr>
                <w:rFonts w:cs="Arial"/>
              </w:rPr>
              <w:t>(b) the feasibility of overcoming or mitigating the disadvantage; and</w:t>
            </w:r>
          </w:p>
          <w:p w:rsidR="006924AB" w:rsidRPr="00021DD2" w:rsidRDefault="006924AB" w:rsidP="006924AB">
            <w:pPr>
              <w:rPr>
                <w:rFonts w:cs="Arial"/>
              </w:rPr>
            </w:pPr>
            <w:r w:rsidRPr="00021DD2">
              <w:rPr>
                <w:rFonts w:cs="Arial"/>
              </w:rPr>
              <w:t>(c) whether the disadvantage is disproportionate to the result sought by the person who imposes, or proposes to impose, the condition or requirement.</w:t>
            </w:r>
          </w:p>
          <w:p w:rsidR="006924AB" w:rsidRPr="00021DD2" w:rsidRDefault="006924AB" w:rsidP="006924AB">
            <w:pPr>
              <w:rPr>
                <w:rFonts w:cs="Arial"/>
                <w:i/>
              </w:rPr>
            </w:pPr>
            <w:r w:rsidRPr="00021DD2">
              <w:rPr>
                <w:rFonts w:cs="Arial"/>
                <w:i/>
              </w:rPr>
              <w:t xml:space="preserve">Section 18 – Education </w:t>
            </w:r>
          </w:p>
          <w:p w:rsidR="006924AB" w:rsidRPr="00021DD2" w:rsidRDefault="006924AB" w:rsidP="00B934D7">
            <w:pPr>
              <w:pStyle w:val="Paragrafoelenco"/>
              <w:numPr>
                <w:ilvl w:val="0"/>
                <w:numId w:val="103"/>
              </w:numPr>
              <w:spacing w:before="120" w:after="120"/>
              <w:contextualSpacing w:val="0"/>
              <w:jc w:val="left"/>
            </w:pPr>
            <w:r w:rsidRPr="00021DD2">
              <w:t>It is unlawful for an educational authority</w:t>
            </w:r>
            <w:r w:rsidRPr="00021DD2">
              <w:rPr>
                <w:rStyle w:val="Rimandonotadichiusura"/>
              </w:rPr>
              <w:endnoteReference w:id="855"/>
            </w:r>
            <w:r w:rsidRPr="00021DD2">
              <w:t xml:space="preserve"> to discriminate against a person</w:t>
            </w:r>
            <w:r w:rsidR="004C3BCE">
              <w:t>–</w:t>
            </w:r>
          </w:p>
          <w:p w:rsidR="006924AB" w:rsidRPr="00021DD2" w:rsidRDefault="006924AB" w:rsidP="006924AB">
            <w:pPr>
              <w:pStyle w:val="Paragrafoelenco"/>
              <w:ind w:left="360"/>
            </w:pPr>
            <w:r w:rsidRPr="00021DD2">
              <w:t xml:space="preserve">(a) by failing to accept the person’s application for admission as a student; or </w:t>
            </w:r>
          </w:p>
          <w:p w:rsidR="006924AB" w:rsidRPr="00021DD2" w:rsidRDefault="006924AB" w:rsidP="006924AB">
            <w:pPr>
              <w:pStyle w:val="Paragrafoelenco"/>
              <w:ind w:left="360"/>
            </w:pPr>
            <w:r w:rsidRPr="00021DD2">
              <w:t xml:space="preserve">(b) in the terms or conditions on which it is prepared to admit the person as a student. </w:t>
            </w:r>
          </w:p>
          <w:p w:rsidR="006924AB" w:rsidRPr="00021DD2" w:rsidRDefault="006924AB" w:rsidP="00B934D7">
            <w:pPr>
              <w:pStyle w:val="Paragrafoelenco"/>
              <w:numPr>
                <w:ilvl w:val="0"/>
                <w:numId w:val="103"/>
              </w:numPr>
              <w:spacing w:before="120" w:after="120"/>
              <w:contextualSpacing w:val="0"/>
              <w:jc w:val="left"/>
            </w:pPr>
            <w:r w:rsidRPr="00021DD2">
              <w:t>It is unlawful for an educational authority to</w:t>
            </w:r>
            <w:r w:rsidR="004C3BCE">
              <w:t xml:space="preserve"> discriminate against a student–</w:t>
            </w:r>
          </w:p>
          <w:p w:rsidR="006924AB" w:rsidRPr="00021DD2" w:rsidRDefault="006924AB" w:rsidP="006924AB">
            <w:pPr>
              <w:pStyle w:val="Paragrafoelenco"/>
              <w:ind w:left="360"/>
            </w:pPr>
            <w:r w:rsidRPr="00021DD2">
              <w:t xml:space="preserve">(a) by denying the student access, or limiting the student’s access, to any benefit provided by the authority; or </w:t>
            </w:r>
          </w:p>
          <w:p w:rsidR="006924AB" w:rsidRPr="00021DD2" w:rsidRDefault="006924AB" w:rsidP="006924AB">
            <w:pPr>
              <w:pStyle w:val="Paragrafoelenco"/>
              <w:ind w:left="360"/>
            </w:pPr>
            <w:r w:rsidRPr="00021DD2">
              <w:t xml:space="preserve">(b) by expelling the student; or </w:t>
            </w:r>
          </w:p>
          <w:p w:rsidR="006924AB" w:rsidRPr="00021DD2" w:rsidRDefault="006924AB" w:rsidP="006924AB">
            <w:pPr>
              <w:pStyle w:val="Paragrafoelenco"/>
              <w:ind w:left="360"/>
            </w:pPr>
            <w:r w:rsidRPr="00021DD2">
              <w:t xml:space="preserve">(c) by subjecting the student to any other detriment. </w:t>
            </w:r>
          </w:p>
          <w:p w:rsidR="006924AB" w:rsidRPr="00021DD2" w:rsidRDefault="006924AB" w:rsidP="00AC0CF2">
            <w:pPr>
              <w:spacing w:before="120" w:after="120"/>
              <w:rPr>
                <w:rFonts w:cs="Arial"/>
                <w:i/>
              </w:rPr>
            </w:pPr>
            <w:r w:rsidRPr="00021DD2">
              <w:rPr>
                <w:rFonts w:cs="Arial"/>
                <w:i/>
              </w:rPr>
              <w:t>Section 33 – Educational institutions conducted for religious purposes</w:t>
            </w:r>
          </w:p>
          <w:p w:rsidR="006924AB" w:rsidRPr="00021DD2" w:rsidRDefault="006924AB" w:rsidP="00AC0CF2">
            <w:pPr>
              <w:spacing w:before="120" w:after="120"/>
              <w:rPr>
                <w:rFonts w:cs="Arial"/>
              </w:rPr>
            </w:pPr>
            <w:r w:rsidRPr="00021DD2">
              <w:rPr>
                <w:rFonts w:cs="Arial"/>
              </w:rPr>
              <w:t>…</w:t>
            </w:r>
          </w:p>
          <w:p w:rsidR="006924AB" w:rsidRPr="00021DD2" w:rsidRDefault="006924AB" w:rsidP="006924AB">
            <w:pPr>
              <w:rPr>
                <w:rFonts w:cs="Arial"/>
              </w:rPr>
            </w:pPr>
            <w:r w:rsidRPr="00021DD2">
              <w:rPr>
                <w:rFonts w:cs="Arial"/>
              </w:rPr>
              <w:t>(2) Section 18 does not make it unlawful for a person (the first person) to discriminate against someone else in relation to the provision of education or training by an educational institution that is conducted in accordance with the doctrines, tenets, beliefs or teachings of a particular religion or creed, if the first person so discriminates in good faith to avoid injury to the religious susceptibilities of adherents of that religion or creed.</w:t>
            </w:r>
          </w:p>
        </w:tc>
      </w:tr>
      <w:tr w:rsidR="006924AB" w:rsidRPr="00021DD2" w:rsidTr="006924AB">
        <w:trPr>
          <w:cnfStyle w:val="000000100000" w:firstRow="0" w:lastRow="0" w:firstColumn="0" w:lastColumn="0" w:oddVBand="0" w:evenVBand="0" w:oddHBand="1" w:evenHBand="0" w:firstRowFirstColumn="0" w:firstRowLastColumn="0" w:lastRowFirstColumn="0" w:lastRowLastColumn="0"/>
        </w:trPr>
        <w:tc>
          <w:tcPr>
            <w:tcW w:w="1645" w:type="dxa"/>
          </w:tcPr>
          <w:p w:rsidR="006924AB" w:rsidRPr="00021DD2" w:rsidRDefault="006924AB" w:rsidP="006924AB">
            <w:pPr>
              <w:rPr>
                <w:rFonts w:cs="Arial"/>
                <w:b/>
              </w:rPr>
            </w:pPr>
            <w:r w:rsidRPr="00021DD2">
              <w:rPr>
                <w:rFonts w:cs="Arial"/>
              </w:rPr>
              <w:t>Case law</w:t>
            </w:r>
          </w:p>
        </w:tc>
        <w:tc>
          <w:tcPr>
            <w:tcW w:w="7281" w:type="dxa"/>
          </w:tcPr>
          <w:p w:rsidR="006924AB" w:rsidRPr="00021DD2" w:rsidRDefault="006924AB" w:rsidP="006924AB">
            <w:pPr>
              <w:rPr>
                <w:rFonts w:cs="Arial"/>
              </w:rPr>
            </w:pPr>
            <w:r w:rsidRPr="00021DD2">
              <w:rPr>
                <w:rFonts w:cs="Arial"/>
              </w:rPr>
              <w:t>Not applicable.</w:t>
            </w:r>
          </w:p>
        </w:tc>
      </w:tr>
      <w:tr w:rsidR="006924AB" w:rsidRPr="00021DD2" w:rsidTr="006924AB">
        <w:trPr>
          <w:cnfStyle w:val="000000010000" w:firstRow="0" w:lastRow="0" w:firstColumn="0" w:lastColumn="0" w:oddVBand="0" w:evenVBand="0" w:oddHBand="0" w:evenHBand="1" w:firstRowFirstColumn="0" w:firstRowLastColumn="0" w:lastRowFirstColumn="0" w:lastRowLastColumn="0"/>
        </w:trPr>
        <w:tc>
          <w:tcPr>
            <w:tcW w:w="8926" w:type="dxa"/>
            <w:gridSpan w:val="2"/>
          </w:tcPr>
          <w:p w:rsidR="006924AB" w:rsidRPr="00021DD2" w:rsidRDefault="006924AB" w:rsidP="006924AB">
            <w:pPr>
              <w:rPr>
                <w:rFonts w:cs="Arial"/>
                <w:b/>
              </w:rPr>
            </w:pPr>
            <w:r w:rsidRPr="00021DD2">
              <w:rPr>
                <w:rFonts w:cs="Arial"/>
                <w:b/>
              </w:rPr>
              <w:t>Western Australia</w:t>
            </w:r>
          </w:p>
        </w:tc>
      </w:tr>
      <w:tr w:rsidR="006924AB" w:rsidRPr="00021DD2" w:rsidTr="006924AB">
        <w:trPr>
          <w:cnfStyle w:val="000000100000" w:firstRow="0" w:lastRow="0" w:firstColumn="0" w:lastColumn="0" w:oddVBand="0" w:evenVBand="0" w:oddHBand="1" w:evenHBand="0" w:firstRowFirstColumn="0" w:firstRowLastColumn="0" w:lastRowFirstColumn="0" w:lastRowLastColumn="0"/>
          <w:trHeight w:val="594"/>
        </w:trPr>
        <w:tc>
          <w:tcPr>
            <w:tcW w:w="1645" w:type="dxa"/>
          </w:tcPr>
          <w:p w:rsidR="006924AB" w:rsidRPr="00021DD2" w:rsidRDefault="006924AB" w:rsidP="006924AB">
            <w:pPr>
              <w:rPr>
                <w:rFonts w:cs="Arial"/>
                <w:b/>
              </w:rPr>
            </w:pPr>
            <w:r w:rsidRPr="00021DD2">
              <w:rPr>
                <w:rFonts w:cs="Arial"/>
              </w:rPr>
              <w:t>Legislative provisions</w:t>
            </w:r>
          </w:p>
        </w:tc>
        <w:tc>
          <w:tcPr>
            <w:tcW w:w="7281" w:type="dxa"/>
          </w:tcPr>
          <w:p w:rsidR="006924AB" w:rsidRPr="00021DD2" w:rsidRDefault="006924AB" w:rsidP="006924AB">
            <w:pPr>
              <w:rPr>
                <w:rFonts w:cs="Arial"/>
                <w:b/>
              </w:rPr>
            </w:pPr>
            <w:r w:rsidRPr="00021DD2">
              <w:rPr>
                <w:rFonts w:cs="Arial"/>
                <w:b/>
                <w:i/>
              </w:rPr>
              <w:t xml:space="preserve">School Education Act 1999 </w:t>
            </w:r>
            <w:r w:rsidRPr="00021DD2">
              <w:rPr>
                <w:rFonts w:cs="Arial"/>
                <w:b/>
              </w:rPr>
              <w:t>(WA)</w:t>
            </w:r>
          </w:p>
          <w:p w:rsidR="006924AB" w:rsidRPr="00021DD2" w:rsidRDefault="006924AB" w:rsidP="006924AB">
            <w:pPr>
              <w:rPr>
                <w:rFonts w:cs="Arial"/>
                <w:i/>
              </w:rPr>
            </w:pPr>
            <w:r w:rsidRPr="00021DD2">
              <w:rPr>
                <w:rFonts w:cs="Arial"/>
                <w:i/>
              </w:rPr>
              <w:t>Section 3 – Objects of Act</w:t>
            </w:r>
          </w:p>
          <w:p w:rsidR="006924AB" w:rsidRPr="00021DD2" w:rsidRDefault="006924AB" w:rsidP="00AC0CF2">
            <w:pPr>
              <w:spacing w:before="120" w:after="120"/>
              <w:rPr>
                <w:rFonts w:cs="Arial"/>
              </w:rPr>
            </w:pPr>
            <w:r w:rsidRPr="00021DD2">
              <w:rPr>
                <w:rFonts w:cs="Arial"/>
              </w:rPr>
              <w:t>(1) The objects of</w:t>
            </w:r>
            <w:r w:rsidR="004C3BCE">
              <w:rPr>
                <w:rFonts w:cs="Arial"/>
              </w:rPr>
              <w:t xml:space="preserve"> this Act include the following</w:t>
            </w:r>
            <w:r w:rsidR="004869F0">
              <w:rPr>
                <w:rFonts w:cs="Arial"/>
              </w:rPr>
              <w:t>–</w:t>
            </w:r>
          </w:p>
          <w:p w:rsidR="006924AB" w:rsidRPr="00021DD2" w:rsidRDefault="006924AB" w:rsidP="00AC0CF2">
            <w:pPr>
              <w:spacing w:before="120" w:after="120"/>
              <w:rPr>
                <w:rFonts w:cs="Arial"/>
              </w:rPr>
            </w:pPr>
            <w:r w:rsidRPr="00021DD2">
              <w:rPr>
                <w:rFonts w:cs="Arial"/>
              </w:rPr>
              <w:t>(a) to recognize the right of every child in the State to receive a school education; and</w:t>
            </w:r>
          </w:p>
          <w:p w:rsidR="006924AB" w:rsidRPr="00021DD2" w:rsidRDefault="006924AB" w:rsidP="00AC0CF2">
            <w:pPr>
              <w:spacing w:before="120" w:after="120"/>
              <w:rPr>
                <w:rFonts w:cs="Arial"/>
              </w:rPr>
            </w:pPr>
            <w:r w:rsidRPr="00021DD2">
              <w:rPr>
                <w:rFonts w:cs="Arial"/>
              </w:rPr>
              <w:t xml:space="preserve">… </w:t>
            </w:r>
          </w:p>
          <w:p w:rsidR="006924AB" w:rsidRPr="00021DD2" w:rsidRDefault="006924AB" w:rsidP="00AC0CF2">
            <w:pPr>
              <w:spacing w:before="120" w:after="120"/>
              <w:rPr>
                <w:rFonts w:cs="Arial"/>
              </w:rPr>
            </w:pPr>
            <w:r w:rsidRPr="00021DD2">
              <w:rPr>
                <w:rFonts w:cs="Arial"/>
              </w:rPr>
              <w:t>(c) to provide for government schools that meet the educational needs of all children; …</w:t>
            </w:r>
          </w:p>
          <w:p w:rsidR="006924AB" w:rsidRPr="00021DD2" w:rsidRDefault="006924AB" w:rsidP="006924AB">
            <w:pPr>
              <w:rPr>
                <w:rFonts w:cs="Arial"/>
                <w:i/>
              </w:rPr>
            </w:pPr>
            <w:r w:rsidRPr="00021DD2">
              <w:rPr>
                <w:rFonts w:cs="Arial"/>
                <w:i/>
              </w:rPr>
              <w:t>Section 89 – Term used: breach of school discipline</w:t>
            </w:r>
          </w:p>
          <w:p w:rsidR="006924AB" w:rsidRPr="00021DD2" w:rsidRDefault="006924AB" w:rsidP="006924AB">
            <w:pPr>
              <w:rPr>
                <w:rFonts w:cs="Arial"/>
              </w:rPr>
            </w:pPr>
            <w:r w:rsidRPr="00021DD2">
              <w:rPr>
                <w:rFonts w:cs="Arial"/>
              </w:rPr>
              <w:t>For the purposes of this Division a breach of school discipline is any act or omission that impairs the good order and proper management of the school.</w:t>
            </w:r>
          </w:p>
          <w:p w:rsidR="006924AB" w:rsidRPr="00021DD2" w:rsidRDefault="006924AB" w:rsidP="006924AB">
            <w:pPr>
              <w:rPr>
                <w:rFonts w:cs="Arial"/>
                <w:i/>
              </w:rPr>
            </w:pPr>
            <w:r w:rsidRPr="00021DD2">
              <w:rPr>
                <w:rFonts w:cs="Arial"/>
                <w:i/>
              </w:rPr>
              <w:t>Section 90 – Breach of school discipline, suspension for</w:t>
            </w:r>
          </w:p>
          <w:p w:rsidR="006924AB" w:rsidRPr="00021DD2" w:rsidRDefault="006924AB" w:rsidP="006924AB">
            <w:pPr>
              <w:rPr>
                <w:rFonts w:cs="Arial"/>
              </w:rPr>
            </w:pPr>
            <w:r w:rsidRPr="00021DD2">
              <w:rPr>
                <w:rFonts w:cs="Arial"/>
              </w:rPr>
              <w:t>(1) The principal of a government school may wholly or partially suspend from attendance at the school a student who, in the principal’s opinion, has committed a breach of school discipline but the principal cannot suspend a student for longer than the period prescribed by the regulations.</w:t>
            </w:r>
          </w:p>
          <w:p w:rsidR="006924AB" w:rsidRPr="00021DD2" w:rsidRDefault="006924AB" w:rsidP="006924AB">
            <w:pPr>
              <w:rPr>
                <w:rFonts w:cs="Arial"/>
                <w:i/>
              </w:rPr>
            </w:pPr>
            <w:r w:rsidRPr="00021DD2">
              <w:rPr>
                <w:rFonts w:cs="Arial"/>
                <w:i/>
              </w:rPr>
              <w:t>Section 91 – Excluding student from school attendance, grounds for</w:t>
            </w:r>
          </w:p>
          <w:p w:rsidR="006924AB" w:rsidRPr="00021DD2" w:rsidRDefault="006924AB" w:rsidP="006924AB">
            <w:pPr>
              <w:rPr>
                <w:rFonts w:cs="Arial"/>
              </w:rPr>
            </w:pPr>
            <w:r w:rsidRPr="00021DD2">
              <w:rPr>
                <w:rFonts w:cs="Arial"/>
              </w:rPr>
              <w:t>For the purposes of this Division a student may be excluded from atten</w:t>
            </w:r>
            <w:r w:rsidR="004C3BCE">
              <w:rPr>
                <w:rFonts w:cs="Arial"/>
              </w:rPr>
              <w:t>dance at a government school if</w:t>
            </w:r>
            <w:r w:rsidRPr="00021DD2">
              <w:rPr>
                <w:rFonts w:cs="Arial"/>
              </w:rPr>
              <w:t>—</w:t>
            </w:r>
          </w:p>
          <w:p w:rsidR="006924AB" w:rsidRPr="00021DD2" w:rsidRDefault="006924AB" w:rsidP="006924AB">
            <w:pPr>
              <w:rPr>
                <w:rFonts w:cs="Arial"/>
              </w:rPr>
            </w:pPr>
            <w:r w:rsidRPr="00021DD2">
              <w:rPr>
                <w:rFonts w:cs="Arial"/>
              </w:rPr>
              <w:t xml:space="preserve">… </w:t>
            </w:r>
          </w:p>
          <w:p w:rsidR="006924AB" w:rsidRPr="00021DD2" w:rsidRDefault="006924AB" w:rsidP="006924AB">
            <w:pPr>
              <w:rPr>
                <w:rFonts w:cs="Arial"/>
              </w:rPr>
            </w:pPr>
            <w:r w:rsidRPr="00021DD2">
              <w:rPr>
                <w:rFonts w:cs="Arial"/>
              </w:rPr>
              <w:t>(b) his or her behaviour has disrupted the educational instruction of other students.</w:t>
            </w:r>
          </w:p>
          <w:p w:rsidR="006924AB" w:rsidRPr="00021DD2" w:rsidRDefault="006924AB" w:rsidP="006924AB">
            <w:pPr>
              <w:rPr>
                <w:rFonts w:cs="Arial"/>
              </w:rPr>
            </w:pPr>
          </w:p>
          <w:p w:rsidR="006924AB" w:rsidRPr="00021DD2" w:rsidRDefault="006924AB" w:rsidP="006924AB">
            <w:pPr>
              <w:rPr>
                <w:rFonts w:cs="Arial"/>
                <w:i/>
              </w:rPr>
            </w:pPr>
            <w:r w:rsidRPr="00021DD2">
              <w:rPr>
                <w:rFonts w:cs="Arial"/>
                <w:b/>
                <w:i/>
              </w:rPr>
              <w:t xml:space="preserve">Equal Opportunity Act 1984 </w:t>
            </w:r>
            <w:r w:rsidRPr="00021DD2">
              <w:rPr>
                <w:rFonts w:cs="Arial"/>
                <w:b/>
              </w:rPr>
              <w:t>(WA)</w:t>
            </w:r>
          </w:p>
          <w:p w:rsidR="006924AB" w:rsidRPr="00021DD2" w:rsidRDefault="006924AB" w:rsidP="006924AB">
            <w:pPr>
              <w:rPr>
                <w:rFonts w:cs="Arial"/>
                <w:i/>
              </w:rPr>
            </w:pPr>
            <w:r w:rsidRPr="00021DD2">
              <w:rPr>
                <w:rFonts w:cs="Arial"/>
                <w:i/>
              </w:rPr>
              <w:t>Section 10 – Discrimination on the ground of pregnancy</w:t>
            </w:r>
          </w:p>
          <w:p w:rsidR="006924AB" w:rsidRPr="00021DD2" w:rsidRDefault="006924AB" w:rsidP="00B934D7">
            <w:pPr>
              <w:pStyle w:val="Paragrafoelenco"/>
              <w:numPr>
                <w:ilvl w:val="0"/>
                <w:numId w:val="107"/>
              </w:numPr>
              <w:spacing w:before="120" w:after="120"/>
              <w:contextualSpacing w:val="0"/>
              <w:jc w:val="left"/>
            </w:pPr>
            <w:r w:rsidRPr="00021DD2">
              <w:t xml:space="preserve">For the purposes of this Act, a person (in this subsection referred to as the </w:t>
            </w:r>
            <w:r w:rsidRPr="00021DD2">
              <w:rPr>
                <w:b/>
                <w:i/>
              </w:rPr>
              <w:t>discriminator</w:t>
            </w:r>
            <w:r w:rsidRPr="00021DD2">
              <w:t xml:space="preserve">) discriminates against another person (in this subsection referred to as the </w:t>
            </w:r>
            <w:r w:rsidRPr="00021DD2">
              <w:rPr>
                <w:b/>
                <w:i/>
              </w:rPr>
              <w:t>aggrieved person</w:t>
            </w:r>
            <w:r w:rsidRPr="00021DD2">
              <w:t>) on the ground of the pregnancy of the aggrieved person if</w:t>
            </w:r>
          </w:p>
          <w:p w:rsidR="006924AB" w:rsidRPr="00021DD2" w:rsidRDefault="006924AB" w:rsidP="006924AB">
            <w:pPr>
              <w:pStyle w:val="Paragrafoelenco"/>
              <w:ind w:left="360"/>
            </w:pPr>
            <w:r w:rsidRPr="00021DD2">
              <w:t>(a) on the ground of</w:t>
            </w:r>
          </w:p>
          <w:p w:rsidR="006924AB" w:rsidRPr="00021DD2" w:rsidRDefault="006924AB" w:rsidP="00B934D7">
            <w:pPr>
              <w:pStyle w:val="Paragrafoelenco"/>
              <w:numPr>
                <w:ilvl w:val="0"/>
                <w:numId w:val="120"/>
              </w:numPr>
              <w:spacing w:before="120" w:after="120"/>
              <w:contextualSpacing w:val="0"/>
              <w:jc w:val="left"/>
            </w:pPr>
            <w:r w:rsidRPr="00021DD2">
              <w:t>the pregnancy of the aggrieved person; or</w:t>
            </w:r>
          </w:p>
          <w:p w:rsidR="006924AB" w:rsidRPr="00021DD2" w:rsidRDefault="006924AB" w:rsidP="00B934D7">
            <w:pPr>
              <w:pStyle w:val="Paragrafoelenco"/>
              <w:numPr>
                <w:ilvl w:val="0"/>
                <w:numId w:val="120"/>
              </w:numPr>
              <w:spacing w:before="120" w:after="120"/>
              <w:contextualSpacing w:val="0"/>
              <w:jc w:val="left"/>
            </w:pPr>
            <w:r w:rsidRPr="00021DD2">
              <w:t>a characteristic that appertains generally to persons who are pregnant; or</w:t>
            </w:r>
          </w:p>
          <w:p w:rsidR="006924AB" w:rsidRPr="00021DD2" w:rsidRDefault="006924AB" w:rsidP="00B934D7">
            <w:pPr>
              <w:pStyle w:val="Paragrafoelenco"/>
              <w:numPr>
                <w:ilvl w:val="0"/>
                <w:numId w:val="120"/>
              </w:numPr>
              <w:spacing w:before="120" w:after="120"/>
              <w:contextualSpacing w:val="0"/>
              <w:jc w:val="left"/>
            </w:pPr>
            <w:r w:rsidRPr="00021DD2">
              <w:t>a characteristic that is generally imputed to persons who are pregnancy,</w:t>
            </w:r>
          </w:p>
          <w:p w:rsidR="006924AB" w:rsidRPr="00021DD2" w:rsidRDefault="006924AB" w:rsidP="006924AB">
            <w:pPr>
              <w:ind w:left="720"/>
              <w:rPr>
                <w:rFonts w:cs="Arial"/>
              </w:rPr>
            </w:pPr>
            <w:r w:rsidRPr="00021DD2">
              <w:rPr>
                <w:rFonts w:cs="Arial"/>
              </w:rPr>
              <w:t>the discriminator treats the aggrieved person less favourably than, in circumstances that are the same or not materially different, the discriminator treats or would treat a person who was not pregnant; and</w:t>
            </w:r>
          </w:p>
          <w:p w:rsidR="006924AB" w:rsidRPr="00021DD2" w:rsidRDefault="006924AB" w:rsidP="00B934D7">
            <w:pPr>
              <w:pStyle w:val="Paragrafoelenco"/>
              <w:numPr>
                <w:ilvl w:val="0"/>
                <w:numId w:val="121"/>
              </w:numPr>
              <w:spacing w:before="120" w:after="120"/>
              <w:contextualSpacing w:val="0"/>
              <w:jc w:val="left"/>
            </w:pPr>
            <w:r w:rsidRPr="00021DD2">
              <w:t>the less favourable treatment is not reasonable in the circumstances.</w:t>
            </w:r>
          </w:p>
          <w:p w:rsidR="006924AB" w:rsidRPr="00021DD2" w:rsidRDefault="006924AB" w:rsidP="00B934D7">
            <w:pPr>
              <w:pStyle w:val="Paragrafoelenco"/>
              <w:numPr>
                <w:ilvl w:val="0"/>
                <w:numId w:val="107"/>
              </w:numPr>
              <w:spacing w:before="120" w:after="120"/>
              <w:contextualSpacing w:val="0"/>
              <w:jc w:val="left"/>
            </w:pPr>
            <w:r w:rsidRPr="00021DD2">
              <w:t xml:space="preserve">For the purposes of this Act, a person (in this subsection referred to as the </w:t>
            </w:r>
            <w:r w:rsidRPr="00021DD2">
              <w:rPr>
                <w:b/>
                <w:i/>
              </w:rPr>
              <w:t>discriminator</w:t>
            </w:r>
            <w:r w:rsidRPr="00021DD2">
              <w:t xml:space="preserve">) discriminates against another person (in this subsection referred to as the </w:t>
            </w:r>
            <w:r w:rsidRPr="00021DD2">
              <w:rPr>
                <w:b/>
                <w:i/>
              </w:rPr>
              <w:t>aggrieved person</w:t>
            </w:r>
            <w:r w:rsidRPr="00021DD2">
              <w:t>) on the ground of the pregnancy of the aggrieved person if the discriminator requires the aggrieved person to comply with a requirement or condition</w:t>
            </w:r>
            <w:r w:rsidR="004C3BCE">
              <w:t>–</w:t>
            </w:r>
          </w:p>
          <w:p w:rsidR="006924AB" w:rsidRPr="00021DD2" w:rsidRDefault="006924AB" w:rsidP="00B934D7">
            <w:pPr>
              <w:pStyle w:val="Paragrafoelenco"/>
              <w:numPr>
                <w:ilvl w:val="0"/>
                <w:numId w:val="122"/>
              </w:numPr>
              <w:spacing w:before="120" w:after="120"/>
              <w:contextualSpacing w:val="0"/>
              <w:jc w:val="left"/>
            </w:pPr>
            <w:r w:rsidRPr="00021DD2">
              <w:t>with which a substantially higher proportion of persons who are not pregnant comply or are able to comply; and</w:t>
            </w:r>
          </w:p>
          <w:p w:rsidR="006924AB" w:rsidRPr="00021DD2" w:rsidRDefault="006924AB" w:rsidP="00B934D7">
            <w:pPr>
              <w:pStyle w:val="Paragrafoelenco"/>
              <w:numPr>
                <w:ilvl w:val="0"/>
                <w:numId w:val="122"/>
              </w:numPr>
              <w:spacing w:before="120" w:after="120"/>
              <w:contextualSpacing w:val="0"/>
              <w:jc w:val="left"/>
            </w:pPr>
            <w:r w:rsidRPr="00021DD2">
              <w:t>which is not reasonable having regard to the circumstances of the case; and</w:t>
            </w:r>
          </w:p>
          <w:p w:rsidR="006924AB" w:rsidRPr="00021DD2" w:rsidRDefault="006924AB" w:rsidP="00B934D7">
            <w:pPr>
              <w:pStyle w:val="Paragrafoelenco"/>
              <w:numPr>
                <w:ilvl w:val="0"/>
                <w:numId w:val="122"/>
              </w:numPr>
              <w:spacing w:before="120" w:after="120"/>
              <w:contextualSpacing w:val="0"/>
              <w:jc w:val="left"/>
            </w:pPr>
            <w:r w:rsidRPr="00021DD2">
              <w:t>with which the aggrieved person does not or is not able to comply.</w:t>
            </w:r>
          </w:p>
          <w:p w:rsidR="006924AB" w:rsidRPr="00021DD2" w:rsidRDefault="006924AB" w:rsidP="006924AB">
            <w:pPr>
              <w:rPr>
                <w:rFonts w:cs="Arial"/>
                <w:i/>
              </w:rPr>
            </w:pPr>
            <w:r w:rsidRPr="00021DD2">
              <w:rPr>
                <w:rFonts w:cs="Arial"/>
                <w:i/>
              </w:rPr>
              <w:t>Section 10A – Discrimination on the ground of breast feeding</w:t>
            </w:r>
          </w:p>
          <w:p w:rsidR="006924AB" w:rsidRPr="00021DD2" w:rsidRDefault="006924AB" w:rsidP="00B934D7">
            <w:pPr>
              <w:pStyle w:val="Paragrafoelenco"/>
              <w:numPr>
                <w:ilvl w:val="0"/>
                <w:numId w:val="123"/>
              </w:numPr>
              <w:spacing w:before="120" w:after="120"/>
              <w:contextualSpacing w:val="0"/>
              <w:jc w:val="left"/>
            </w:pPr>
            <w:r w:rsidRPr="00021DD2">
              <w:t xml:space="preserve">For the purposes of this Act, a person (in this subsection referred to as the </w:t>
            </w:r>
            <w:r w:rsidRPr="00021DD2">
              <w:rPr>
                <w:b/>
                <w:i/>
              </w:rPr>
              <w:t>discriminator</w:t>
            </w:r>
            <w:r w:rsidRPr="00021DD2">
              <w:t xml:space="preserve">) discriminates against another person (in this subsection referred to as the </w:t>
            </w:r>
            <w:r w:rsidRPr="00021DD2">
              <w:rPr>
                <w:b/>
                <w:i/>
              </w:rPr>
              <w:t>aggrieved person</w:t>
            </w:r>
            <w:r w:rsidRPr="00021DD2">
              <w:t>) on the ground of the breast feeding if on the ground of-</w:t>
            </w:r>
          </w:p>
          <w:p w:rsidR="006924AB" w:rsidRPr="00021DD2" w:rsidRDefault="006924AB" w:rsidP="00B934D7">
            <w:pPr>
              <w:pStyle w:val="Paragrafoelenco"/>
              <w:numPr>
                <w:ilvl w:val="0"/>
                <w:numId w:val="124"/>
              </w:numPr>
              <w:spacing w:before="120" w:after="120"/>
              <w:contextualSpacing w:val="0"/>
              <w:jc w:val="left"/>
            </w:pPr>
            <w:r w:rsidRPr="00021DD2">
              <w:t>the aggrieved person breast feeding or bottle feeding an infant or proposing to do so; or</w:t>
            </w:r>
          </w:p>
          <w:p w:rsidR="006924AB" w:rsidRPr="00021DD2" w:rsidRDefault="006924AB" w:rsidP="00B934D7">
            <w:pPr>
              <w:pStyle w:val="Paragrafoelenco"/>
              <w:numPr>
                <w:ilvl w:val="0"/>
                <w:numId w:val="124"/>
              </w:numPr>
              <w:spacing w:before="120" w:after="120"/>
              <w:contextualSpacing w:val="0"/>
              <w:jc w:val="left"/>
            </w:pPr>
            <w:r w:rsidRPr="00021DD2">
              <w:t>a characteristic that appertains generally to persons who are breast feeding or bottle feeding; or</w:t>
            </w:r>
          </w:p>
          <w:p w:rsidR="006924AB" w:rsidRPr="00021DD2" w:rsidRDefault="006924AB" w:rsidP="00B934D7">
            <w:pPr>
              <w:pStyle w:val="Paragrafoelenco"/>
              <w:numPr>
                <w:ilvl w:val="0"/>
                <w:numId w:val="124"/>
              </w:numPr>
              <w:spacing w:before="120" w:after="120"/>
              <w:contextualSpacing w:val="0"/>
              <w:jc w:val="left"/>
            </w:pPr>
            <w:r w:rsidRPr="00021DD2">
              <w:t>a characteristic that is generally imputed to persons who are breast feeding or bottle feeding,</w:t>
            </w:r>
          </w:p>
          <w:p w:rsidR="006924AB" w:rsidRPr="00021DD2" w:rsidRDefault="006924AB" w:rsidP="006924AB">
            <w:pPr>
              <w:ind w:left="360"/>
              <w:rPr>
                <w:rFonts w:cs="Arial"/>
              </w:rPr>
            </w:pPr>
            <w:r w:rsidRPr="00021DD2">
              <w:rPr>
                <w:rFonts w:cs="Arial"/>
              </w:rPr>
              <w:t>the discriminator treats the aggrieved person less favourably than, in circumstances that are the same or not materially different, the discriminator treats or would treat a person who was not breast feeding or bottle feeding.</w:t>
            </w:r>
          </w:p>
          <w:p w:rsidR="006924AB" w:rsidRPr="00021DD2" w:rsidRDefault="006924AB" w:rsidP="00B934D7">
            <w:pPr>
              <w:pStyle w:val="Paragrafoelenco"/>
              <w:numPr>
                <w:ilvl w:val="0"/>
                <w:numId w:val="123"/>
              </w:numPr>
              <w:spacing w:before="120" w:after="120"/>
              <w:contextualSpacing w:val="0"/>
              <w:jc w:val="left"/>
            </w:pPr>
            <w:r w:rsidRPr="00021DD2">
              <w:t xml:space="preserve">For the purposes of this Act, a person (in this subsection referred to as the </w:t>
            </w:r>
            <w:r w:rsidRPr="00021DD2">
              <w:rPr>
                <w:b/>
                <w:i/>
              </w:rPr>
              <w:t>discriminator</w:t>
            </w:r>
            <w:r w:rsidRPr="00021DD2">
              <w:t xml:space="preserve">) discriminates against another person (in this subsection referred to as the </w:t>
            </w:r>
            <w:r w:rsidRPr="00021DD2">
              <w:rPr>
                <w:b/>
                <w:i/>
              </w:rPr>
              <w:t>aggrieved person</w:t>
            </w:r>
            <w:r w:rsidRPr="00021DD2">
              <w:t>) on the ground of breast feeding or bottle feeding if the discriminator requires the aggrieved person to comply with a requirement or condition</w:t>
            </w:r>
            <w:r w:rsidR="004C3BCE">
              <w:t>–</w:t>
            </w:r>
          </w:p>
          <w:p w:rsidR="006924AB" w:rsidRPr="00021DD2" w:rsidRDefault="006924AB" w:rsidP="00B934D7">
            <w:pPr>
              <w:pStyle w:val="Paragrafoelenco"/>
              <w:numPr>
                <w:ilvl w:val="0"/>
                <w:numId w:val="125"/>
              </w:numPr>
              <w:spacing w:before="120" w:after="120"/>
              <w:contextualSpacing w:val="0"/>
              <w:jc w:val="left"/>
            </w:pPr>
            <w:r w:rsidRPr="00021DD2">
              <w:t>with which a substantially higher proportion of persons who are not breast feeding or bottle feeding comply or are able to comply; and</w:t>
            </w:r>
          </w:p>
          <w:p w:rsidR="006924AB" w:rsidRPr="00021DD2" w:rsidRDefault="006924AB" w:rsidP="00B934D7">
            <w:pPr>
              <w:pStyle w:val="Paragrafoelenco"/>
              <w:numPr>
                <w:ilvl w:val="0"/>
                <w:numId w:val="125"/>
              </w:numPr>
              <w:spacing w:before="120" w:after="120"/>
              <w:contextualSpacing w:val="0"/>
              <w:jc w:val="left"/>
            </w:pPr>
            <w:r w:rsidRPr="00021DD2">
              <w:t>which is not reasonable having regard to the circumstances of the case; and</w:t>
            </w:r>
          </w:p>
          <w:p w:rsidR="006924AB" w:rsidRPr="00021DD2" w:rsidRDefault="006924AB" w:rsidP="00B934D7">
            <w:pPr>
              <w:pStyle w:val="Paragrafoelenco"/>
              <w:numPr>
                <w:ilvl w:val="0"/>
                <w:numId w:val="125"/>
              </w:numPr>
              <w:spacing w:before="120" w:after="120"/>
              <w:contextualSpacing w:val="0"/>
              <w:jc w:val="left"/>
            </w:pPr>
            <w:r w:rsidRPr="00021DD2">
              <w:t>with which the aggrieved person does not or is not able to comply.</w:t>
            </w:r>
          </w:p>
          <w:p w:rsidR="006924AB" w:rsidRPr="00021DD2" w:rsidRDefault="006924AB" w:rsidP="006924AB">
            <w:pPr>
              <w:rPr>
                <w:rFonts w:cs="Arial"/>
                <w:i/>
              </w:rPr>
            </w:pPr>
            <w:r w:rsidRPr="00021DD2">
              <w:rPr>
                <w:rFonts w:cs="Arial"/>
                <w:i/>
              </w:rPr>
              <w:t>See also section 8 – Discrimination on the ground of sex.</w:t>
            </w:r>
          </w:p>
          <w:p w:rsidR="006924AB" w:rsidRPr="00021DD2" w:rsidRDefault="006924AB" w:rsidP="006924AB">
            <w:pPr>
              <w:rPr>
                <w:rFonts w:cs="Arial"/>
                <w:i/>
              </w:rPr>
            </w:pPr>
            <w:r w:rsidRPr="00021DD2">
              <w:rPr>
                <w:rFonts w:cs="Arial"/>
                <w:i/>
              </w:rPr>
              <w:t>Section 18 – Education</w:t>
            </w:r>
          </w:p>
          <w:p w:rsidR="006924AB" w:rsidRPr="00021DD2" w:rsidRDefault="006924AB" w:rsidP="00B934D7">
            <w:pPr>
              <w:pStyle w:val="Paragrafoelenco"/>
              <w:numPr>
                <w:ilvl w:val="0"/>
                <w:numId w:val="126"/>
              </w:numPr>
              <w:spacing w:before="120" w:after="120"/>
              <w:contextualSpacing w:val="0"/>
              <w:jc w:val="left"/>
            </w:pPr>
            <w:r w:rsidRPr="00021DD2">
              <w:t>It is unlawful for an educational authority to discriminate against a person on the ground of the person’s sex</w:t>
            </w:r>
            <w:r w:rsidR="004C3BCE">
              <w:t>, … pregnancy or breast feeding</w:t>
            </w:r>
            <w:r w:rsidRPr="00021DD2">
              <w:t>–</w:t>
            </w:r>
          </w:p>
          <w:p w:rsidR="006924AB" w:rsidRPr="00021DD2" w:rsidRDefault="006924AB" w:rsidP="00B934D7">
            <w:pPr>
              <w:pStyle w:val="Paragrafoelenco"/>
              <w:numPr>
                <w:ilvl w:val="0"/>
                <w:numId w:val="127"/>
              </w:numPr>
              <w:spacing w:before="120" w:after="120"/>
              <w:contextualSpacing w:val="0"/>
              <w:jc w:val="left"/>
            </w:pPr>
            <w:r w:rsidRPr="00021DD2">
              <w:t>by refusing or failing to accept the person’s application for admission as a student; or</w:t>
            </w:r>
          </w:p>
          <w:p w:rsidR="006924AB" w:rsidRPr="00021DD2" w:rsidRDefault="006924AB" w:rsidP="00B934D7">
            <w:pPr>
              <w:pStyle w:val="Paragrafoelenco"/>
              <w:numPr>
                <w:ilvl w:val="0"/>
                <w:numId w:val="127"/>
              </w:numPr>
              <w:spacing w:before="120" w:after="120"/>
              <w:contextualSpacing w:val="0"/>
              <w:jc w:val="left"/>
            </w:pPr>
            <w:r w:rsidRPr="00021DD2">
              <w:t>in the terms of conditions on which it is prepared to admit the person as a student.</w:t>
            </w:r>
          </w:p>
          <w:p w:rsidR="006924AB" w:rsidRPr="00021DD2" w:rsidRDefault="006924AB" w:rsidP="00B934D7">
            <w:pPr>
              <w:pStyle w:val="Paragrafoelenco"/>
              <w:numPr>
                <w:ilvl w:val="0"/>
                <w:numId w:val="126"/>
              </w:numPr>
              <w:spacing w:before="120" w:after="120"/>
              <w:contextualSpacing w:val="0"/>
              <w:jc w:val="left"/>
            </w:pPr>
            <w:r w:rsidRPr="00021DD2">
              <w:t>It is unlawful for an educational authority to discriminate against a student on the ground of the student’s sex</w:t>
            </w:r>
            <w:r w:rsidR="004C3BCE">
              <w:t>, … pregnancy or breast feeding</w:t>
            </w:r>
            <w:r w:rsidRPr="00021DD2">
              <w:t>–</w:t>
            </w:r>
          </w:p>
          <w:p w:rsidR="006924AB" w:rsidRPr="00021DD2" w:rsidRDefault="006924AB" w:rsidP="00B934D7">
            <w:pPr>
              <w:pStyle w:val="Paragrafoelenco"/>
              <w:numPr>
                <w:ilvl w:val="0"/>
                <w:numId w:val="128"/>
              </w:numPr>
              <w:spacing w:before="120" w:after="120"/>
              <w:contextualSpacing w:val="0"/>
              <w:jc w:val="left"/>
            </w:pPr>
            <w:r w:rsidRPr="00021DD2">
              <w:t>by denying the student access, or limiting the student’s access to any benefit provided by the educational authority; or</w:t>
            </w:r>
          </w:p>
          <w:p w:rsidR="006924AB" w:rsidRPr="00021DD2" w:rsidRDefault="006924AB" w:rsidP="00B934D7">
            <w:pPr>
              <w:pStyle w:val="Paragrafoelenco"/>
              <w:numPr>
                <w:ilvl w:val="0"/>
                <w:numId w:val="128"/>
              </w:numPr>
              <w:spacing w:before="120" w:after="120"/>
              <w:contextualSpacing w:val="0"/>
              <w:jc w:val="left"/>
            </w:pPr>
            <w:r w:rsidRPr="00021DD2">
              <w:t>by expelling the student; or</w:t>
            </w:r>
          </w:p>
          <w:p w:rsidR="006924AB" w:rsidRPr="00021DD2" w:rsidRDefault="006924AB" w:rsidP="00B934D7">
            <w:pPr>
              <w:pStyle w:val="Paragrafoelenco"/>
              <w:numPr>
                <w:ilvl w:val="0"/>
                <w:numId w:val="128"/>
              </w:numPr>
              <w:spacing w:before="120" w:after="120"/>
              <w:contextualSpacing w:val="0"/>
              <w:jc w:val="left"/>
            </w:pPr>
            <w:r w:rsidRPr="00021DD2">
              <w:t>by subjecting the student to any other detriment.</w:t>
            </w:r>
          </w:p>
          <w:p w:rsidR="006924AB" w:rsidRPr="00021DD2" w:rsidRDefault="006924AB" w:rsidP="006924AB">
            <w:pPr>
              <w:rPr>
                <w:rFonts w:cs="Arial"/>
              </w:rPr>
            </w:pPr>
            <w:r w:rsidRPr="00021DD2">
              <w:rPr>
                <w:rFonts w:cs="Arial"/>
                <w:i/>
              </w:rPr>
              <w:t>Section 35A – Discrimination on the ground of family responsibility or family status</w:t>
            </w:r>
          </w:p>
          <w:p w:rsidR="006924AB" w:rsidRPr="00021DD2" w:rsidRDefault="006924AB" w:rsidP="00B934D7">
            <w:pPr>
              <w:pStyle w:val="Paragrafoelenco"/>
              <w:numPr>
                <w:ilvl w:val="0"/>
                <w:numId w:val="129"/>
              </w:numPr>
              <w:spacing w:before="120" w:after="120"/>
              <w:contextualSpacing w:val="0"/>
              <w:jc w:val="left"/>
            </w:pPr>
            <w:r w:rsidRPr="00021DD2">
              <w:t xml:space="preserve">For the purposes of this Act, a person (in this subsection referred to as the </w:t>
            </w:r>
            <w:r w:rsidRPr="00021DD2">
              <w:rPr>
                <w:b/>
                <w:i/>
              </w:rPr>
              <w:t>discriminator</w:t>
            </w:r>
            <w:r w:rsidRPr="00021DD2">
              <w:t xml:space="preserve">) discriminates against another person (in this subsection referred to as the </w:t>
            </w:r>
            <w:r w:rsidRPr="00021DD2">
              <w:rPr>
                <w:b/>
                <w:i/>
              </w:rPr>
              <w:t>aggrieved person</w:t>
            </w:r>
            <w:r w:rsidRPr="00021DD2">
              <w:t>) on the ground of family responsibility or family status if, on the ground of</w:t>
            </w:r>
            <w:r w:rsidR="004C3BCE">
              <w:t>–</w:t>
            </w:r>
          </w:p>
          <w:p w:rsidR="006924AB" w:rsidRPr="00021DD2" w:rsidRDefault="006924AB" w:rsidP="00B934D7">
            <w:pPr>
              <w:pStyle w:val="Paragrafoelenco"/>
              <w:numPr>
                <w:ilvl w:val="0"/>
                <w:numId w:val="130"/>
              </w:numPr>
              <w:spacing w:before="120" w:after="120"/>
              <w:contextualSpacing w:val="0"/>
              <w:jc w:val="left"/>
            </w:pPr>
            <w:r w:rsidRPr="00021DD2">
              <w:t>the family responsibility or family status of the aggrieved person; or</w:t>
            </w:r>
          </w:p>
          <w:p w:rsidR="006924AB" w:rsidRPr="00021DD2" w:rsidRDefault="006924AB" w:rsidP="00B934D7">
            <w:pPr>
              <w:pStyle w:val="Paragrafoelenco"/>
              <w:numPr>
                <w:ilvl w:val="0"/>
                <w:numId w:val="130"/>
              </w:numPr>
              <w:spacing w:before="120" w:after="120"/>
              <w:contextualSpacing w:val="0"/>
              <w:jc w:val="left"/>
            </w:pPr>
            <w:r w:rsidRPr="00021DD2">
              <w:t>a characteristic that appertains generally to persons having the same family responsibility or family status as the aggrieved person; or</w:t>
            </w:r>
          </w:p>
          <w:p w:rsidR="006924AB" w:rsidRPr="00021DD2" w:rsidRDefault="006924AB" w:rsidP="00B934D7">
            <w:pPr>
              <w:pStyle w:val="Paragrafoelenco"/>
              <w:numPr>
                <w:ilvl w:val="0"/>
                <w:numId w:val="130"/>
              </w:numPr>
              <w:spacing w:before="120" w:after="120"/>
              <w:contextualSpacing w:val="0"/>
              <w:jc w:val="left"/>
            </w:pPr>
            <w:r w:rsidRPr="00021DD2">
              <w:t>a characteristic that is generally imputed to persons having the same family responsibility or family status as the aggrieved person,</w:t>
            </w:r>
          </w:p>
          <w:p w:rsidR="006924AB" w:rsidRPr="00021DD2" w:rsidRDefault="006924AB" w:rsidP="006924AB">
            <w:pPr>
              <w:ind w:left="360"/>
              <w:rPr>
                <w:rFonts w:cs="Arial"/>
              </w:rPr>
            </w:pPr>
            <w:r w:rsidRPr="00021DD2">
              <w:rPr>
                <w:rFonts w:cs="Arial"/>
              </w:rPr>
              <w:t>the discriminator treats the aggrieved person less favourably than, in circumstances that are the same or not materially different, the discriminator treats or would treat a person who does not have such a family responsibility or family status.</w:t>
            </w:r>
          </w:p>
          <w:p w:rsidR="006924AB" w:rsidRPr="00021DD2" w:rsidRDefault="006924AB" w:rsidP="00B934D7">
            <w:pPr>
              <w:pStyle w:val="Paragrafoelenco"/>
              <w:numPr>
                <w:ilvl w:val="0"/>
                <w:numId w:val="129"/>
              </w:numPr>
              <w:spacing w:before="120" w:after="120"/>
              <w:contextualSpacing w:val="0"/>
              <w:jc w:val="left"/>
            </w:pPr>
            <w:r w:rsidRPr="00021DD2">
              <w:t xml:space="preserve">For the purposes of this Act, a person (in this subsection referred to as the </w:t>
            </w:r>
            <w:r w:rsidRPr="00021DD2">
              <w:rPr>
                <w:b/>
                <w:i/>
              </w:rPr>
              <w:t>discriminator</w:t>
            </w:r>
            <w:r w:rsidRPr="00021DD2">
              <w:t xml:space="preserve">) discriminates against another person (in this subsection referred to as the </w:t>
            </w:r>
            <w:r w:rsidRPr="00021DD2">
              <w:rPr>
                <w:b/>
                <w:i/>
              </w:rPr>
              <w:t>aggrieved person</w:t>
            </w:r>
            <w:r w:rsidRPr="00021DD2">
              <w:t>) on the ground of family responsibility or family status if the discriminator requires the aggrieved person to comply with a requirement or condition</w:t>
            </w:r>
            <w:r w:rsidR="004C3BCE">
              <w:t>–</w:t>
            </w:r>
          </w:p>
          <w:p w:rsidR="006924AB" w:rsidRPr="00021DD2" w:rsidRDefault="006924AB" w:rsidP="00B934D7">
            <w:pPr>
              <w:pStyle w:val="Paragrafoelenco"/>
              <w:numPr>
                <w:ilvl w:val="0"/>
                <w:numId w:val="131"/>
              </w:numPr>
              <w:spacing w:before="120" w:after="120"/>
              <w:contextualSpacing w:val="0"/>
              <w:jc w:val="left"/>
            </w:pPr>
            <w:r w:rsidRPr="00021DD2">
              <w:t>with which a substantially higher proportion of persons not of the same family responsibility or family status as the aggrieved person comply or are able to comply; and</w:t>
            </w:r>
          </w:p>
          <w:p w:rsidR="006924AB" w:rsidRPr="00021DD2" w:rsidRDefault="006924AB" w:rsidP="00B934D7">
            <w:pPr>
              <w:pStyle w:val="Paragrafoelenco"/>
              <w:numPr>
                <w:ilvl w:val="0"/>
                <w:numId w:val="131"/>
              </w:numPr>
              <w:spacing w:before="120" w:after="120"/>
              <w:contextualSpacing w:val="0"/>
              <w:jc w:val="left"/>
            </w:pPr>
            <w:r w:rsidRPr="00021DD2">
              <w:t>which is not reasonable having regard to the circumstances of the case; and</w:t>
            </w:r>
          </w:p>
          <w:p w:rsidR="006924AB" w:rsidRPr="00021DD2" w:rsidRDefault="006924AB" w:rsidP="00B934D7">
            <w:pPr>
              <w:pStyle w:val="Paragrafoelenco"/>
              <w:numPr>
                <w:ilvl w:val="0"/>
                <w:numId w:val="131"/>
              </w:numPr>
              <w:spacing w:before="120" w:after="120"/>
              <w:contextualSpacing w:val="0"/>
              <w:jc w:val="left"/>
            </w:pPr>
            <w:r w:rsidRPr="00021DD2">
              <w:t>with which the aggrieved person does not or is not able to comply.</w:t>
            </w:r>
          </w:p>
          <w:p w:rsidR="006924AB" w:rsidRPr="00021DD2" w:rsidRDefault="006924AB" w:rsidP="006924AB">
            <w:pPr>
              <w:rPr>
                <w:rFonts w:cs="Arial"/>
                <w:i/>
              </w:rPr>
            </w:pPr>
            <w:r w:rsidRPr="00021DD2">
              <w:rPr>
                <w:rFonts w:cs="Arial"/>
                <w:i/>
              </w:rPr>
              <w:t>S</w:t>
            </w:r>
            <w:r w:rsidR="002C4F5D">
              <w:rPr>
                <w:rFonts w:cs="Arial"/>
                <w:i/>
              </w:rPr>
              <w:t>ection 35I –</w:t>
            </w:r>
            <w:r w:rsidRPr="00021DD2">
              <w:rPr>
                <w:rFonts w:cs="Arial"/>
                <w:i/>
              </w:rPr>
              <w:t xml:space="preserve"> Education</w:t>
            </w:r>
          </w:p>
          <w:p w:rsidR="006924AB" w:rsidRPr="00021DD2" w:rsidRDefault="006924AB" w:rsidP="00B934D7">
            <w:pPr>
              <w:pStyle w:val="Paragrafoelenco"/>
              <w:numPr>
                <w:ilvl w:val="0"/>
                <w:numId w:val="132"/>
              </w:numPr>
              <w:spacing w:before="120" w:after="120"/>
              <w:contextualSpacing w:val="0"/>
              <w:jc w:val="left"/>
            </w:pPr>
            <w:r w:rsidRPr="00021DD2">
              <w:t>It is unlawful for an educational authority</w:t>
            </w:r>
            <w:r w:rsidRPr="00021DD2">
              <w:rPr>
                <w:rStyle w:val="Rimandonotadichiusura"/>
              </w:rPr>
              <w:endnoteReference w:id="856"/>
            </w:r>
            <w:r w:rsidRPr="00021DD2">
              <w:t xml:space="preserve"> to discriminate against a person on the ground of the person’s family </w:t>
            </w:r>
            <w:r w:rsidR="004C3BCE">
              <w:t>responsibility or family status–</w:t>
            </w:r>
          </w:p>
          <w:p w:rsidR="006924AB" w:rsidRPr="00021DD2" w:rsidRDefault="006924AB" w:rsidP="006924AB">
            <w:pPr>
              <w:pStyle w:val="Paragrafoelenco"/>
              <w:ind w:left="360"/>
            </w:pPr>
            <w:r w:rsidRPr="00021DD2">
              <w:t xml:space="preserve">(a) by refusing or failing to accept the person’s application for admission as a student; or </w:t>
            </w:r>
          </w:p>
          <w:p w:rsidR="006924AB" w:rsidRPr="00021DD2" w:rsidRDefault="006924AB" w:rsidP="006924AB">
            <w:pPr>
              <w:pStyle w:val="Paragrafoelenco"/>
              <w:ind w:left="360"/>
            </w:pPr>
            <w:r w:rsidRPr="00021DD2">
              <w:t xml:space="preserve">(b) in the terms or conditions on which it is prepared to admit the person as a student. </w:t>
            </w:r>
          </w:p>
          <w:p w:rsidR="006924AB" w:rsidRPr="00021DD2" w:rsidRDefault="006924AB" w:rsidP="00B934D7">
            <w:pPr>
              <w:pStyle w:val="Paragrafoelenco"/>
              <w:numPr>
                <w:ilvl w:val="0"/>
                <w:numId w:val="132"/>
              </w:numPr>
              <w:spacing w:before="120" w:after="120"/>
              <w:contextualSpacing w:val="0"/>
              <w:jc w:val="left"/>
            </w:pPr>
            <w:r w:rsidRPr="00021DD2">
              <w:t>It is unlawful for an educational authority to discriminate against a student on the ground of the student’s family responsibility or family status</w:t>
            </w:r>
            <w:r w:rsidR="004C3BCE">
              <w:t>–</w:t>
            </w:r>
          </w:p>
          <w:p w:rsidR="006924AB" w:rsidRPr="00021DD2" w:rsidRDefault="006924AB" w:rsidP="006924AB">
            <w:pPr>
              <w:pStyle w:val="Paragrafoelenco"/>
              <w:ind w:left="360"/>
            </w:pPr>
            <w:r w:rsidRPr="00021DD2">
              <w:t xml:space="preserve">(a) by denying the student access, or limiting the student’s access, to any benefit provided by the educational authority; or </w:t>
            </w:r>
          </w:p>
          <w:p w:rsidR="006924AB" w:rsidRPr="00021DD2" w:rsidRDefault="006924AB" w:rsidP="006924AB">
            <w:pPr>
              <w:pStyle w:val="Paragrafoelenco"/>
              <w:ind w:left="360"/>
            </w:pPr>
            <w:r w:rsidRPr="00021DD2">
              <w:t xml:space="preserve">(b) by expelling the student; or </w:t>
            </w:r>
          </w:p>
          <w:p w:rsidR="006924AB" w:rsidRPr="00021DD2" w:rsidRDefault="006924AB" w:rsidP="006924AB">
            <w:pPr>
              <w:pStyle w:val="Paragrafoelenco"/>
              <w:ind w:left="360"/>
            </w:pPr>
            <w:r w:rsidRPr="00021DD2">
              <w:t xml:space="preserve">(c) by subjecting the student to any other detriment. </w:t>
            </w:r>
          </w:p>
          <w:p w:rsidR="006924AB" w:rsidRPr="00021DD2" w:rsidRDefault="006924AB" w:rsidP="006924AB">
            <w:pPr>
              <w:rPr>
                <w:rFonts w:cs="Arial"/>
                <w:i/>
              </w:rPr>
            </w:pPr>
            <w:r w:rsidRPr="00021DD2">
              <w:rPr>
                <w:rFonts w:cs="Arial"/>
                <w:i/>
              </w:rPr>
              <w:t>Section 73 – Educational institutions established for religious purposes</w:t>
            </w:r>
          </w:p>
          <w:p w:rsidR="006924AB" w:rsidRPr="00021DD2" w:rsidRDefault="006924AB" w:rsidP="006924AB">
            <w:pPr>
              <w:rPr>
                <w:rFonts w:cs="Arial"/>
                <w:i/>
              </w:rPr>
            </w:pPr>
            <w:r w:rsidRPr="00021DD2">
              <w:rPr>
                <w:rFonts w:cs="Arial"/>
              </w:rPr>
              <w:t>(3) Nothing in this Act renders it unlawful for a person to discriminate against another person on any one or more of the grounds of discrimination referred to in this Act, other than the grounds of race, impairment or age, in connection with the provision of education or training by an educational institution that is conducted in accordance with the doctrines, tenets, beliefs or teachings of a particular religion or creed, if the first-mentioned person so discriminates in good faith in favour of adherents of that religion or creed generally, but not in a manner that discriminates against a particular class or group of persons who are not adherents of that religion or creed.</w:t>
            </w:r>
            <w:r w:rsidRPr="00021DD2" w:rsidDel="00EE06C2">
              <w:rPr>
                <w:rFonts w:cs="Arial"/>
                <w:i/>
              </w:rPr>
              <w:t xml:space="preserve"> </w:t>
            </w:r>
          </w:p>
          <w:p w:rsidR="006924AB" w:rsidRPr="00021DD2" w:rsidRDefault="006924AB" w:rsidP="006924AB">
            <w:pPr>
              <w:rPr>
                <w:rFonts w:cs="Arial"/>
                <w:highlight w:val="yellow"/>
              </w:rPr>
            </w:pPr>
            <w:r w:rsidRPr="00021DD2">
              <w:rPr>
                <w:rFonts w:cs="Arial"/>
                <w:i/>
              </w:rPr>
              <w:t>See also Part VIII, Division 3 – Power of Tribunal to grant exemptions.</w:t>
            </w:r>
          </w:p>
        </w:tc>
      </w:tr>
      <w:tr w:rsidR="006924AB" w:rsidRPr="00021DD2" w:rsidTr="006924AB">
        <w:trPr>
          <w:cnfStyle w:val="000000010000" w:firstRow="0" w:lastRow="0" w:firstColumn="0" w:lastColumn="0" w:oddVBand="0" w:evenVBand="0" w:oddHBand="0" w:evenHBand="1" w:firstRowFirstColumn="0" w:firstRowLastColumn="0" w:lastRowFirstColumn="0" w:lastRowLastColumn="0"/>
        </w:trPr>
        <w:tc>
          <w:tcPr>
            <w:tcW w:w="1645" w:type="dxa"/>
          </w:tcPr>
          <w:p w:rsidR="006924AB" w:rsidRPr="00021DD2" w:rsidRDefault="006924AB" w:rsidP="006924AB">
            <w:pPr>
              <w:rPr>
                <w:rFonts w:cs="Arial"/>
                <w:b/>
              </w:rPr>
            </w:pPr>
            <w:r w:rsidRPr="00021DD2">
              <w:rPr>
                <w:rFonts w:cs="Arial"/>
              </w:rPr>
              <w:t>Case law</w:t>
            </w:r>
          </w:p>
        </w:tc>
        <w:tc>
          <w:tcPr>
            <w:tcW w:w="7281" w:type="dxa"/>
          </w:tcPr>
          <w:p w:rsidR="006924AB" w:rsidRPr="00021DD2" w:rsidRDefault="006924AB" w:rsidP="006924AB">
            <w:pPr>
              <w:rPr>
                <w:rFonts w:cs="Arial"/>
              </w:rPr>
            </w:pPr>
            <w:r w:rsidRPr="00021DD2">
              <w:rPr>
                <w:rFonts w:cs="Arial"/>
              </w:rPr>
              <w:t>Not applicable.</w:t>
            </w:r>
          </w:p>
        </w:tc>
      </w:tr>
      <w:tr w:rsidR="006924AB" w:rsidRPr="00021DD2" w:rsidTr="006924AB">
        <w:trPr>
          <w:cnfStyle w:val="000000100000" w:firstRow="0" w:lastRow="0" w:firstColumn="0" w:lastColumn="0" w:oddVBand="0" w:evenVBand="0" w:oddHBand="1" w:evenHBand="0" w:firstRowFirstColumn="0" w:firstRowLastColumn="0" w:lastRowFirstColumn="0" w:lastRowLastColumn="0"/>
        </w:trPr>
        <w:tc>
          <w:tcPr>
            <w:tcW w:w="8926" w:type="dxa"/>
            <w:gridSpan w:val="2"/>
          </w:tcPr>
          <w:p w:rsidR="006924AB" w:rsidRPr="00021DD2" w:rsidRDefault="006924AB" w:rsidP="006924AB">
            <w:pPr>
              <w:rPr>
                <w:rFonts w:cs="Arial"/>
              </w:rPr>
            </w:pPr>
            <w:r w:rsidRPr="00021DD2">
              <w:rPr>
                <w:rFonts w:cs="Arial"/>
                <w:b/>
              </w:rPr>
              <w:t>Northern Territory</w:t>
            </w:r>
          </w:p>
        </w:tc>
      </w:tr>
      <w:tr w:rsidR="006924AB" w:rsidRPr="00021DD2" w:rsidTr="006924AB">
        <w:trPr>
          <w:cnfStyle w:val="000000010000" w:firstRow="0" w:lastRow="0" w:firstColumn="0" w:lastColumn="0" w:oddVBand="0" w:evenVBand="0" w:oddHBand="0" w:evenHBand="1" w:firstRowFirstColumn="0" w:firstRowLastColumn="0" w:lastRowFirstColumn="0" w:lastRowLastColumn="0"/>
          <w:trHeight w:val="594"/>
        </w:trPr>
        <w:tc>
          <w:tcPr>
            <w:tcW w:w="1645" w:type="dxa"/>
          </w:tcPr>
          <w:p w:rsidR="006924AB" w:rsidRPr="00021DD2" w:rsidRDefault="006924AB" w:rsidP="006924AB">
            <w:pPr>
              <w:rPr>
                <w:rFonts w:cs="Arial"/>
                <w:b/>
              </w:rPr>
            </w:pPr>
            <w:r w:rsidRPr="00021DD2">
              <w:rPr>
                <w:rFonts w:cs="Arial"/>
              </w:rPr>
              <w:t>Legislative provisions</w:t>
            </w:r>
          </w:p>
        </w:tc>
        <w:tc>
          <w:tcPr>
            <w:tcW w:w="7281" w:type="dxa"/>
          </w:tcPr>
          <w:p w:rsidR="006924AB" w:rsidRPr="00021DD2" w:rsidRDefault="006924AB" w:rsidP="006924AB">
            <w:pPr>
              <w:rPr>
                <w:rFonts w:cs="Arial"/>
                <w:b/>
              </w:rPr>
            </w:pPr>
            <w:r w:rsidRPr="00021DD2">
              <w:rPr>
                <w:rFonts w:cs="Arial"/>
                <w:b/>
                <w:i/>
              </w:rPr>
              <w:t>Education Act 2015</w:t>
            </w:r>
            <w:r w:rsidRPr="00021DD2">
              <w:rPr>
                <w:rFonts w:cs="Arial"/>
                <w:b/>
              </w:rPr>
              <w:t xml:space="preserve"> (NT)</w:t>
            </w:r>
          </w:p>
          <w:p w:rsidR="006924AB" w:rsidRPr="00021DD2" w:rsidRDefault="006924AB" w:rsidP="006924AB">
            <w:pPr>
              <w:rPr>
                <w:rFonts w:cs="Arial"/>
                <w:i/>
                <w:lang w:val="en"/>
              </w:rPr>
            </w:pPr>
            <w:r w:rsidRPr="00021DD2">
              <w:rPr>
                <w:rFonts w:cs="Arial"/>
                <w:i/>
                <w:lang w:val="en"/>
              </w:rPr>
              <w:t>Section 4 – Guiding principles</w:t>
            </w:r>
          </w:p>
          <w:p w:rsidR="006924AB" w:rsidRPr="00021DD2" w:rsidRDefault="006924AB" w:rsidP="006924AB">
            <w:pPr>
              <w:rPr>
                <w:rFonts w:cs="Arial"/>
                <w:lang w:val="en"/>
              </w:rPr>
            </w:pPr>
            <w:r w:rsidRPr="00021DD2">
              <w:rPr>
                <w:rFonts w:cs="Arial"/>
                <w:lang w:val="en"/>
              </w:rPr>
              <w:t>(1) Everyone involved in the administration of this Act, or in the education of children or young persons in the Territory, must apply the following guiding principles in performing functions in that regard:</w:t>
            </w:r>
          </w:p>
          <w:p w:rsidR="006924AB" w:rsidRPr="00021DD2" w:rsidRDefault="006924AB" w:rsidP="006924AB">
            <w:pPr>
              <w:rPr>
                <w:rFonts w:cs="Arial"/>
                <w:lang w:val="en"/>
              </w:rPr>
            </w:pPr>
            <w:r w:rsidRPr="00021DD2">
              <w:rPr>
                <w:rFonts w:cs="Arial"/>
                <w:lang w:val="en"/>
              </w:rPr>
              <w:t>(a) all students are entitled to an education of a quality that is capable of enabling them to reach their potential and so maximise their achievements and contribution to the community;</w:t>
            </w:r>
          </w:p>
          <w:p w:rsidR="006924AB" w:rsidRPr="00021DD2" w:rsidRDefault="006924AB" w:rsidP="006924AB">
            <w:pPr>
              <w:rPr>
                <w:rFonts w:cs="Arial"/>
                <w:i/>
              </w:rPr>
            </w:pPr>
            <w:r w:rsidRPr="00021DD2">
              <w:rPr>
                <w:rFonts w:cs="Arial"/>
                <w:i/>
                <w:lang w:val="en"/>
              </w:rPr>
              <w:t>See also Part 4, Division 4 – Children with special learning needs, which applies to a child residing in the Northern Territory “whose</w:t>
            </w:r>
            <w:r w:rsidRPr="00021DD2">
              <w:rPr>
                <w:rFonts w:cs="Arial"/>
                <w:i/>
              </w:rPr>
              <w:t xml:space="preserve"> educational progress, because of a special factor other than a disability, is likely to suffer unless they have access to special educational arrangements.”</w:t>
            </w:r>
          </w:p>
          <w:p w:rsidR="006924AB" w:rsidRPr="00021DD2" w:rsidRDefault="006924AB" w:rsidP="006924AB">
            <w:pPr>
              <w:rPr>
                <w:rFonts w:cs="Arial"/>
                <w:bCs/>
                <w:i/>
              </w:rPr>
            </w:pPr>
            <w:r w:rsidRPr="00021DD2">
              <w:rPr>
                <w:rFonts w:cs="Arial"/>
                <w:bCs/>
                <w:i/>
              </w:rPr>
              <w:t>Section 93 – Expulsion by Minister</w:t>
            </w:r>
          </w:p>
          <w:p w:rsidR="006924AB" w:rsidRPr="00021DD2" w:rsidRDefault="006924AB" w:rsidP="006924AB">
            <w:pPr>
              <w:rPr>
                <w:rFonts w:cs="Arial"/>
              </w:rPr>
            </w:pPr>
            <w:r w:rsidRPr="00021DD2">
              <w:rPr>
                <w:rFonts w:cs="Arial"/>
              </w:rPr>
              <w:t>(1) If the Minister considers it necessary in the interests of other persons present at a Government school, the Minister may, by written notice given to a student enrolled in the school, exp</w:t>
            </w:r>
            <w:r w:rsidR="00AC0CF2" w:rsidRPr="00021DD2">
              <w:rPr>
                <w:rFonts w:cs="Arial"/>
              </w:rPr>
              <w:t>el the student from the school.</w:t>
            </w:r>
          </w:p>
          <w:p w:rsidR="002C4F5D" w:rsidRDefault="002C4F5D" w:rsidP="006924AB">
            <w:pPr>
              <w:rPr>
                <w:rFonts w:cs="Arial"/>
                <w:b/>
                <w:i/>
              </w:rPr>
            </w:pPr>
          </w:p>
          <w:p w:rsidR="006924AB" w:rsidRPr="00021DD2" w:rsidRDefault="006924AB" w:rsidP="006924AB">
            <w:pPr>
              <w:rPr>
                <w:rFonts w:cs="Arial"/>
                <w:b/>
              </w:rPr>
            </w:pPr>
            <w:r w:rsidRPr="00021DD2">
              <w:rPr>
                <w:rFonts w:cs="Arial"/>
                <w:b/>
                <w:i/>
              </w:rPr>
              <w:t xml:space="preserve">Anti-Discrimination Act 1996 </w:t>
            </w:r>
            <w:r w:rsidRPr="00021DD2">
              <w:rPr>
                <w:rFonts w:cs="Arial"/>
                <w:b/>
              </w:rPr>
              <w:t>(NT)</w:t>
            </w:r>
          </w:p>
          <w:p w:rsidR="006924AB" w:rsidRPr="00021DD2" w:rsidRDefault="006924AB" w:rsidP="00AC0CF2">
            <w:pPr>
              <w:spacing w:before="120" w:after="120"/>
              <w:rPr>
                <w:rFonts w:cs="Arial"/>
                <w:i/>
              </w:rPr>
            </w:pPr>
            <w:r w:rsidRPr="00021DD2">
              <w:rPr>
                <w:rFonts w:cs="Arial"/>
                <w:i/>
              </w:rPr>
              <w:t>Section 19 – Prohibition of discrimination</w:t>
            </w:r>
          </w:p>
          <w:p w:rsidR="006924AB" w:rsidRPr="00021DD2" w:rsidRDefault="006924AB" w:rsidP="00B934D7">
            <w:pPr>
              <w:pStyle w:val="Paragrafoelenco"/>
              <w:numPr>
                <w:ilvl w:val="0"/>
                <w:numId w:val="108"/>
              </w:numPr>
              <w:spacing w:before="120" w:after="120"/>
              <w:contextualSpacing w:val="0"/>
              <w:jc w:val="left"/>
            </w:pPr>
            <w:r w:rsidRPr="00021DD2">
              <w:t>Subject to subsection (2), a person shall not discriminate against another person on the ground of any of the following attributes:</w:t>
            </w:r>
          </w:p>
          <w:p w:rsidR="006924AB" w:rsidRPr="00021DD2" w:rsidRDefault="006924AB" w:rsidP="00AC0CF2">
            <w:pPr>
              <w:spacing w:before="120" w:after="120"/>
              <w:rPr>
                <w:rFonts w:cs="Arial"/>
              </w:rPr>
            </w:pPr>
            <w:r w:rsidRPr="00021DD2">
              <w:rPr>
                <w:rFonts w:cs="Arial"/>
              </w:rPr>
              <w:t xml:space="preserve">… </w:t>
            </w:r>
          </w:p>
          <w:p w:rsidR="006924AB" w:rsidRPr="00021DD2" w:rsidRDefault="006924AB" w:rsidP="00AC0CF2">
            <w:pPr>
              <w:spacing w:before="120" w:after="120"/>
              <w:rPr>
                <w:rFonts w:cs="Arial"/>
              </w:rPr>
            </w:pPr>
            <w:r w:rsidRPr="00021DD2">
              <w:rPr>
                <w:rFonts w:cs="Arial"/>
              </w:rPr>
              <w:t>(b) sex;</w:t>
            </w:r>
          </w:p>
          <w:p w:rsidR="006924AB" w:rsidRPr="00021DD2" w:rsidRDefault="006924AB" w:rsidP="00AC0CF2">
            <w:pPr>
              <w:spacing w:before="120" w:after="120"/>
              <w:rPr>
                <w:rFonts w:cs="Arial"/>
              </w:rPr>
            </w:pPr>
            <w:r w:rsidRPr="00021DD2">
              <w:rPr>
                <w:rFonts w:cs="Arial"/>
              </w:rPr>
              <w:t>…</w:t>
            </w:r>
          </w:p>
          <w:p w:rsidR="006924AB" w:rsidRPr="00021DD2" w:rsidRDefault="006924AB" w:rsidP="00AC0CF2">
            <w:pPr>
              <w:spacing w:before="120" w:after="120"/>
              <w:rPr>
                <w:rFonts w:cs="Arial"/>
              </w:rPr>
            </w:pPr>
            <w:r w:rsidRPr="00021DD2">
              <w:rPr>
                <w:rFonts w:cs="Arial"/>
              </w:rPr>
              <w:t>(f) pregnancy;</w:t>
            </w:r>
          </w:p>
          <w:p w:rsidR="006924AB" w:rsidRPr="00021DD2" w:rsidRDefault="006924AB" w:rsidP="00AC0CF2">
            <w:pPr>
              <w:spacing w:before="120" w:after="120"/>
              <w:rPr>
                <w:rFonts w:cs="Arial"/>
              </w:rPr>
            </w:pPr>
            <w:r w:rsidRPr="00021DD2">
              <w:rPr>
                <w:rFonts w:cs="Arial"/>
              </w:rPr>
              <w:t>(g) parenthood;</w:t>
            </w:r>
          </w:p>
          <w:p w:rsidR="006924AB" w:rsidRPr="00021DD2" w:rsidRDefault="006924AB" w:rsidP="00AC0CF2">
            <w:pPr>
              <w:spacing w:before="120" w:after="120"/>
              <w:rPr>
                <w:rFonts w:cs="Arial"/>
              </w:rPr>
            </w:pPr>
            <w:r w:rsidRPr="00021DD2">
              <w:rPr>
                <w:rFonts w:cs="Arial"/>
              </w:rPr>
              <w:t>(h) breastfeeding;</w:t>
            </w:r>
          </w:p>
          <w:p w:rsidR="006924AB" w:rsidRPr="00021DD2" w:rsidRDefault="006924AB" w:rsidP="00AC0CF2">
            <w:pPr>
              <w:spacing w:before="120" w:after="120"/>
              <w:rPr>
                <w:rFonts w:cs="Arial"/>
                <w:i/>
              </w:rPr>
            </w:pPr>
            <w:r w:rsidRPr="00021DD2">
              <w:rPr>
                <w:rFonts w:cs="Arial"/>
                <w:i/>
              </w:rPr>
              <w:t>Section 28 – Areas of activities</w:t>
            </w:r>
          </w:p>
          <w:p w:rsidR="006924AB" w:rsidRPr="00021DD2" w:rsidRDefault="006924AB" w:rsidP="00AC0CF2">
            <w:pPr>
              <w:spacing w:before="120" w:after="120"/>
              <w:rPr>
                <w:rFonts w:cs="Arial"/>
              </w:rPr>
            </w:pPr>
            <w:r w:rsidRPr="00021DD2">
              <w:rPr>
                <w:rFonts w:cs="Arial"/>
              </w:rPr>
              <w:t>This Act applies to prohibited conduct in the areas of:</w:t>
            </w:r>
          </w:p>
          <w:p w:rsidR="006924AB" w:rsidRPr="00021DD2" w:rsidRDefault="006924AB" w:rsidP="00B934D7">
            <w:pPr>
              <w:pStyle w:val="Paragrafoelenco"/>
              <w:numPr>
                <w:ilvl w:val="0"/>
                <w:numId w:val="119"/>
              </w:numPr>
              <w:spacing w:before="120" w:after="120"/>
              <w:contextualSpacing w:val="0"/>
              <w:jc w:val="left"/>
            </w:pPr>
            <w:r w:rsidRPr="00021DD2">
              <w:t>education; …</w:t>
            </w:r>
          </w:p>
          <w:p w:rsidR="006924AB" w:rsidRPr="00021DD2" w:rsidRDefault="006924AB" w:rsidP="006924AB">
            <w:pPr>
              <w:rPr>
                <w:rFonts w:cs="Arial"/>
                <w:i/>
              </w:rPr>
            </w:pPr>
            <w:r w:rsidRPr="00021DD2">
              <w:rPr>
                <w:rFonts w:cs="Arial"/>
                <w:i/>
              </w:rPr>
              <w:t>Section 29 – Discrimination in education</w:t>
            </w:r>
          </w:p>
          <w:p w:rsidR="006924AB" w:rsidRPr="00021DD2" w:rsidRDefault="006924AB" w:rsidP="00B934D7">
            <w:pPr>
              <w:pStyle w:val="Paragrafoelenco"/>
              <w:numPr>
                <w:ilvl w:val="0"/>
                <w:numId w:val="108"/>
              </w:numPr>
              <w:spacing w:before="120" w:after="120"/>
              <w:contextualSpacing w:val="0"/>
              <w:jc w:val="left"/>
            </w:pPr>
            <w:r w:rsidRPr="00021DD2">
              <w:t>An educational authority</w:t>
            </w:r>
            <w:r w:rsidRPr="00021DD2">
              <w:rPr>
                <w:rStyle w:val="Rimandonotadichiusura"/>
              </w:rPr>
              <w:endnoteReference w:id="857"/>
            </w:r>
            <w:r w:rsidRPr="00021DD2">
              <w:t xml:space="preserve"> shall not discriminate:</w:t>
            </w:r>
          </w:p>
          <w:p w:rsidR="006924AB" w:rsidRPr="00021DD2" w:rsidRDefault="006924AB" w:rsidP="004C3BCE">
            <w:pPr>
              <w:pStyle w:val="Paragrafoelenco"/>
              <w:ind w:left="360"/>
              <w:jc w:val="left"/>
            </w:pPr>
            <w:r w:rsidRPr="00021DD2">
              <w:t>(a) by failing or refusing to accept a person's application for admission as a student; or</w:t>
            </w:r>
          </w:p>
          <w:p w:rsidR="006924AB" w:rsidRPr="00021DD2" w:rsidRDefault="006924AB" w:rsidP="004C3BCE">
            <w:pPr>
              <w:pStyle w:val="Paragrafoelenco"/>
              <w:ind w:left="360"/>
              <w:jc w:val="left"/>
            </w:pPr>
            <w:r w:rsidRPr="00021DD2">
              <w:t>(b) in refusing or rejecting a person's admission as a student; or</w:t>
            </w:r>
          </w:p>
          <w:p w:rsidR="006924AB" w:rsidRPr="00021DD2" w:rsidRDefault="006924AB" w:rsidP="004C3BCE">
            <w:pPr>
              <w:pStyle w:val="Paragrafoelenco"/>
              <w:ind w:left="360"/>
              <w:jc w:val="left"/>
            </w:pPr>
            <w:r w:rsidRPr="00021DD2">
              <w:t>(c) in the way in which a person's application is processed; or</w:t>
            </w:r>
          </w:p>
          <w:p w:rsidR="006924AB" w:rsidRPr="00021DD2" w:rsidRDefault="006924AB" w:rsidP="004C3BCE">
            <w:pPr>
              <w:pStyle w:val="Paragrafoelenco"/>
              <w:ind w:left="360"/>
              <w:jc w:val="left"/>
            </w:pPr>
            <w:r w:rsidRPr="00021DD2">
              <w:t>(d) in the arrangements made for, or the criteria used in, deciding who should be offered admission as a student; or</w:t>
            </w:r>
          </w:p>
          <w:p w:rsidR="006924AB" w:rsidRPr="00021DD2" w:rsidRDefault="006924AB" w:rsidP="004C3BCE">
            <w:pPr>
              <w:pStyle w:val="Paragrafoelenco"/>
              <w:ind w:left="360"/>
              <w:jc w:val="left"/>
            </w:pPr>
            <w:r w:rsidRPr="00021DD2">
              <w:t>(e) in the terms and conditions on which a person is admitted as a student.</w:t>
            </w:r>
          </w:p>
          <w:p w:rsidR="006924AB" w:rsidRPr="00021DD2" w:rsidRDefault="006924AB" w:rsidP="004C3BCE">
            <w:pPr>
              <w:pStyle w:val="Paragrafoelenco"/>
              <w:numPr>
                <w:ilvl w:val="0"/>
                <w:numId w:val="108"/>
              </w:numPr>
              <w:spacing w:before="120" w:after="120"/>
              <w:contextualSpacing w:val="0"/>
              <w:jc w:val="left"/>
            </w:pPr>
            <w:r w:rsidRPr="00021DD2">
              <w:t>An educational authority shall not discriminate:</w:t>
            </w:r>
          </w:p>
          <w:p w:rsidR="006924AB" w:rsidRPr="00021DD2" w:rsidRDefault="006924AB" w:rsidP="004C3BCE">
            <w:pPr>
              <w:pStyle w:val="Paragrafoelenco"/>
              <w:ind w:left="360"/>
              <w:jc w:val="left"/>
            </w:pPr>
            <w:r w:rsidRPr="00021DD2">
              <w:t>(a) in any variation of the terms and conditions of a student's enrolment; or</w:t>
            </w:r>
          </w:p>
          <w:p w:rsidR="006924AB" w:rsidRPr="00021DD2" w:rsidRDefault="006924AB" w:rsidP="004C3BCE">
            <w:pPr>
              <w:pStyle w:val="Paragrafoelenco"/>
              <w:ind w:left="360"/>
              <w:jc w:val="left"/>
            </w:pPr>
            <w:r w:rsidRPr="00021DD2">
              <w:t>(b) by failing or refusing to grant, or limiting, access to any benefit arising from the enrolment that is supplied by the authority; or</w:t>
            </w:r>
          </w:p>
          <w:p w:rsidR="006924AB" w:rsidRPr="00021DD2" w:rsidRDefault="006924AB" w:rsidP="004C3BCE">
            <w:pPr>
              <w:pStyle w:val="Paragrafoelenco"/>
              <w:ind w:left="360"/>
              <w:jc w:val="left"/>
            </w:pPr>
            <w:r w:rsidRPr="00021DD2">
              <w:t>(c) by excluding a student; or</w:t>
            </w:r>
          </w:p>
          <w:p w:rsidR="006924AB" w:rsidRPr="00021DD2" w:rsidRDefault="006924AB" w:rsidP="004C3BCE">
            <w:pPr>
              <w:pStyle w:val="Paragrafoelenco"/>
              <w:ind w:left="360"/>
              <w:jc w:val="left"/>
            </w:pPr>
            <w:r w:rsidRPr="00021DD2">
              <w:t>(d) by treating a student less favourably in any way in connection with the student's training or instruction.</w:t>
            </w:r>
          </w:p>
          <w:p w:rsidR="006924AB" w:rsidRPr="00021DD2" w:rsidRDefault="006924AB" w:rsidP="006924AB">
            <w:pPr>
              <w:rPr>
                <w:rFonts w:cs="Arial"/>
                <w:bCs/>
                <w:i/>
              </w:rPr>
            </w:pPr>
            <w:r w:rsidRPr="00021DD2">
              <w:rPr>
                <w:rFonts w:cs="Arial"/>
                <w:bCs/>
                <w:i/>
              </w:rPr>
              <w:t>Section 58 – Accommodating special need unreasonable</w:t>
            </w:r>
          </w:p>
          <w:p w:rsidR="006924AB" w:rsidRPr="00021DD2" w:rsidRDefault="006924AB" w:rsidP="006924AB">
            <w:pPr>
              <w:rPr>
                <w:rFonts w:cs="Arial"/>
              </w:rPr>
            </w:pPr>
            <w:r w:rsidRPr="00021DD2">
              <w:rPr>
                <w:rFonts w:cs="Arial"/>
              </w:rPr>
              <w:t>(1) A person may discriminate against another person who has a special need with respect to a matter that is otherwise prohibited under this Act if:</w:t>
            </w:r>
          </w:p>
          <w:p w:rsidR="006924AB" w:rsidRPr="00021DD2" w:rsidRDefault="006924AB" w:rsidP="006924AB">
            <w:pPr>
              <w:rPr>
                <w:rFonts w:cs="Arial"/>
              </w:rPr>
            </w:pPr>
            <w:r w:rsidRPr="00021DD2">
              <w:rPr>
                <w:rFonts w:cs="Arial"/>
              </w:rPr>
              <w:t>(a) the other person would require special services or facilities; and</w:t>
            </w:r>
          </w:p>
          <w:p w:rsidR="006924AB" w:rsidRPr="00021DD2" w:rsidRDefault="006924AB" w:rsidP="006924AB">
            <w:pPr>
              <w:rPr>
                <w:rFonts w:cs="Arial"/>
              </w:rPr>
            </w:pPr>
            <w:r w:rsidRPr="00021DD2">
              <w:rPr>
                <w:rFonts w:cs="Arial"/>
              </w:rPr>
              <w:t>(b) it is unreasonable to require the person to supply the special services or facilities.</w:t>
            </w:r>
          </w:p>
          <w:p w:rsidR="006924AB" w:rsidRPr="00021DD2" w:rsidRDefault="006924AB" w:rsidP="006924AB">
            <w:pPr>
              <w:rPr>
                <w:rFonts w:cs="Arial"/>
              </w:rPr>
            </w:pPr>
            <w:r w:rsidRPr="00021DD2">
              <w:rPr>
                <w:rFonts w:cs="Arial"/>
              </w:rPr>
              <w:t>(2) Whether it is unreasonable to require a person to supply special services or facilities depends on the relevant circumstances of the case including, but not limited to:</w:t>
            </w:r>
          </w:p>
          <w:p w:rsidR="006924AB" w:rsidRPr="00021DD2" w:rsidRDefault="006924AB" w:rsidP="006924AB">
            <w:pPr>
              <w:rPr>
                <w:rFonts w:cs="Arial"/>
              </w:rPr>
            </w:pPr>
            <w:r w:rsidRPr="00021DD2">
              <w:rPr>
                <w:rFonts w:cs="Arial"/>
              </w:rPr>
              <w:t>(a) the nature of the special services or facilities; and</w:t>
            </w:r>
          </w:p>
          <w:p w:rsidR="006924AB" w:rsidRPr="00021DD2" w:rsidRDefault="006924AB" w:rsidP="006924AB">
            <w:pPr>
              <w:rPr>
                <w:rFonts w:cs="Arial"/>
              </w:rPr>
            </w:pPr>
            <w:r w:rsidRPr="00021DD2">
              <w:rPr>
                <w:rFonts w:cs="Arial"/>
              </w:rPr>
              <w:t>(b) the cost of providing the special services or facilities and the number of people who would benefit or be disadvantaged; and</w:t>
            </w:r>
          </w:p>
          <w:p w:rsidR="006924AB" w:rsidRPr="00021DD2" w:rsidRDefault="006924AB" w:rsidP="006924AB">
            <w:pPr>
              <w:rPr>
                <w:rFonts w:cs="Arial"/>
              </w:rPr>
            </w:pPr>
            <w:r w:rsidRPr="00021DD2">
              <w:rPr>
                <w:rFonts w:cs="Arial"/>
              </w:rPr>
              <w:t>(c) the financial circumstances of the person; and</w:t>
            </w:r>
          </w:p>
          <w:p w:rsidR="006924AB" w:rsidRPr="00021DD2" w:rsidRDefault="006924AB" w:rsidP="006924AB">
            <w:pPr>
              <w:rPr>
                <w:rFonts w:cs="Arial"/>
              </w:rPr>
            </w:pPr>
            <w:r w:rsidRPr="00021DD2">
              <w:rPr>
                <w:rFonts w:cs="Arial"/>
              </w:rPr>
              <w:t>(d) the disruption that providing the special services or facilities may cause; and</w:t>
            </w:r>
          </w:p>
          <w:p w:rsidR="006924AB" w:rsidRPr="00021DD2" w:rsidRDefault="006924AB" w:rsidP="006924AB">
            <w:pPr>
              <w:rPr>
                <w:rFonts w:cs="Arial"/>
              </w:rPr>
            </w:pPr>
            <w:r w:rsidRPr="00021DD2">
              <w:rPr>
                <w:rFonts w:cs="Arial"/>
              </w:rPr>
              <w:t>(e) the nature of any benefit or detriment to all persons concerned.</w:t>
            </w:r>
          </w:p>
          <w:p w:rsidR="006924AB" w:rsidRPr="00021DD2" w:rsidRDefault="006924AB" w:rsidP="006924AB">
            <w:pPr>
              <w:rPr>
                <w:rFonts w:cs="Arial"/>
              </w:rPr>
            </w:pPr>
            <w:r w:rsidRPr="00021DD2">
              <w:rPr>
                <w:rFonts w:cs="Arial"/>
                <w:i/>
              </w:rPr>
              <w:t>See also section 59 on exemptions from the Act in respect of discriminatory conduct that would otherwise contravene the Act.</w:t>
            </w:r>
          </w:p>
        </w:tc>
      </w:tr>
      <w:tr w:rsidR="006924AB" w:rsidRPr="00021DD2" w:rsidTr="006924AB">
        <w:trPr>
          <w:cnfStyle w:val="000000100000" w:firstRow="0" w:lastRow="0" w:firstColumn="0" w:lastColumn="0" w:oddVBand="0" w:evenVBand="0" w:oddHBand="1" w:evenHBand="0" w:firstRowFirstColumn="0" w:firstRowLastColumn="0" w:lastRowFirstColumn="0" w:lastRowLastColumn="0"/>
        </w:trPr>
        <w:tc>
          <w:tcPr>
            <w:tcW w:w="1645" w:type="dxa"/>
          </w:tcPr>
          <w:p w:rsidR="006924AB" w:rsidRPr="00021DD2" w:rsidRDefault="006924AB" w:rsidP="006924AB">
            <w:pPr>
              <w:rPr>
                <w:rFonts w:cs="Arial"/>
                <w:b/>
              </w:rPr>
            </w:pPr>
            <w:r w:rsidRPr="00021DD2">
              <w:rPr>
                <w:rFonts w:cs="Arial"/>
              </w:rPr>
              <w:t>Case law</w:t>
            </w:r>
          </w:p>
        </w:tc>
        <w:tc>
          <w:tcPr>
            <w:tcW w:w="7281" w:type="dxa"/>
          </w:tcPr>
          <w:p w:rsidR="006924AB" w:rsidRPr="00021DD2" w:rsidRDefault="006924AB" w:rsidP="006924AB">
            <w:pPr>
              <w:rPr>
                <w:rFonts w:cs="Arial"/>
              </w:rPr>
            </w:pPr>
            <w:r w:rsidRPr="00021DD2">
              <w:rPr>
                <w:rFonts w:cs="Arial"/>
              </w:rPr>
              <w:t>Not applicable.</w:t>
            </w:r>
          </w:p>
        </w:tc>
      </w:tr>
      <w:tr w:rsidR="006924AB" w:rsidRPr="00021DD2" w:rsidTr="006924AB">
        <w:trPr>
          <w:cnfStyle w:val="000000010000" w:firstRow="0" w:lastRow="0" w:firstColumn="0" w:lastColumn="0" w:oddVBand="0" w:evenVBand="0" w:oddHBand="0" w:evenHBand="1" w:firstRowFirstColumn="0" w:firstRowLastColumn="0" w:lastRowFirstColumn="0" w:lastRowLastColumn="0"/>
        </w:trPr>
        <w:tc>
          <w:tcPr>
            <w:tcW w:w="8926" w:type="dxa"/>
            <w:gridSpan w:val="2"/>
          </w:tcPr>
          <w:p w:rsidR="006924AB" w:rsidRPr="00021DD2" w:rsidRDefault="006924AB" w:rsidP="006924AB">
            <w:pPr>
              <w:rPr>
                <w:rFonts w:cs="Arial"/>
                <w:b/>
              </w:rPr>
            </w:pPr>
            <w:r w:rsidRPr="00021DD2">
              <w:rPr>
                <w:rFonts w:cs="Arial"/>
                <w:b/>
              </w:rPr>
              <w:t>South Australia</w:t>
            </w:r>
          </w:p>
        </w:tc>
      </w:tr>
      <w:tr w:rsidR="006924AB" w:rsidRPr="00021DD2" w:rsidTr="006924AB">
        <w:trPr>
          <w:cnfStyle w:val="000000100000" w:firstRow="0" w:lastRow="0" w:firstColumn="0" w:lastColumn="0" w:oddVBand="0" w:evenVBand="0" w:oddHBand="1" w:evenHBand="0" w:firstRowFirstColumn="0" w:firstRowLastColumn="0" w:lastRowFirstColumn="0" w:lastRowLastColumn="0"/>
          <w:trHeight w:val="594"/>
        </w:trPr>
        <w:tc>
          <w:tcPr>
            <w:tcW w:w="1645" w:type="dxa"/>
          </w:tcPr>
          <w:p w:rsidR="006924AB" w:rsidRPr="00021DD2" w:rsidRDefault="006924AB" w:rsidP="006924AB">
            <w:pPr>
              <w:rPr>
                <w:rFonts w:cs="Arial"/>
                <w:b/>
              </w:rPr>
            </w:pPr>
            <w:r w:rsidRPr="00021DD2">
              <w:rPr>
                <w:rFonts w:cs="Arial"/>
              </w:rPr>
              <w:t>Legislative provisions</w:t>
            </w:r>
          </w:p>
        </w:tc>
        <w:tc>
          <w:tcPr>
            <w:tcW w:w="7281" w:type="dxa"/>
          </w:tcPr>
          <w:p w:rsidR="006924AB" w:rsidRPr="00021DD2" w:rsidRDefault="006924AB" w:rsidP="006924AB">
            <w:pPr>
              <w:rPr>
                <w:rFonts w:cs="Arial"/>
                <w:b/>
              </w:rPr>
            </w:pPr>
            <w:r w:rsidRPr="00021DD2">
              <w:rPr>
                <w:rFonts w:cs="Arial"/>
                <w:b/>
                <w:i/>
              </w:rPr>
              <w:t>Education Act 1972</w:t>
            </w:r>
            <w:r w:rsidRPr="00021DD2">
              <w:rPr>
                <w:rFonts w:cs="Arial"/>
                <w:b/>
              </w:rPr>
              <w:t xml:space="preserve"> (SA)</w:t>
            </w:r>
          </w:p>
          <w:p w:rsidR="006924AB" w:rsidRPr="00021DD2" w:rsidRDefault="006924AB" w:rsidP="006924AB">
            <w:pPr>
              <w:rPr>
                <w:rFonts w:cs="Arial"/>
                <w:i/>
              </w:rPr>
            </w:pPr>
            <w:r w:rsidRPr="00021DD2">
              <w:rPr>
                <w:rFonts w:cs="Arial"/>
                <w:i/>
              </w:rPr>
              <w:t xml:space="preserve">Section 79 – Attendance </w:t>
            </w:r>
          </w:p>
          <w:p w:rsidR="006924AB" w:rsidRPr="00021DD2" w:rsidRDefault="006924AB" w:rsidP="006924AB">
            <w:pPr>
              <w:rPr>
                <w:rFonts w:cs="Arial"/>
              </w:rPr>
            </w:pPr>
            <w:r w:rsidRPr="00021DD2">
              <w:rPr>
                <w:rFonts w:cs="Arial"/>
              </w:rPr>
              <w:t>Authorised officers must take all practicable action to ensure attendance at school by children of compulsory school age and participation in an approved learning program by children of compulsory education age.</w:t>
            </w:r>
          </w:p>
          <w:p w:rsidR="006924AB" w:rsidRPr="00021DD2" w:rsidRDefault="006924AB" w:rsidP="006924AB">
            <w:pPr>
              <w:rPr>
                <w:rFonts w:cs="Arial"/>
                <w:b/>
              </w:rPr>
            </w:pPr>
            <w:r w:rsidRPr="00021DD2">
              <w:rPr>
                <w:rFonts w:cs="Arial"/>
                <w:b/>
                <w:i/>
              </w:rPr>
              <w:t xml:space="preserve">Equal Opportunity Act 1984 </w:t>
            </w:r>
            <w:r w:rsidRPr="00021DD2">
              <w:rPr>
                <w:rFonts w:cs="Arial"/>
                <w:b/>
              </w:rPr>
              <w:t>(SA)</w:t>
            </w:r>
          </w:p>
          <w:p w:rsidR="006924AB" w:rsidRPr="00021DD2" w:rsidRDefault="006924AB" w:rsidP="006924AB">
            <w:pPr>
              <w:rPr>
                <w:rFonts w:cs="Arial"/>
                <w:i/>
              </w:rPr>
            </w:pPr>
            <w:r w:rsidRPr="00021DD2">
              <w:rPr>
                <w:rFonts w:cs="Arial"/>
                <w:i/>
              </w:rPr>
              <w:t>Section 85T – Criteria for establishing discrimination on other grounds</w:t>
            </w:r>
          </w:p>
          <w:p w:rsidR="006924AB" w:rsidRPr="00021DD2" w:rsidRDefault="006924AB" w:rsidP="00B934D7">
            <w:pPr>
              <w:pStyle w:val="Paragrafoelenco"/>
              <w:numPr>
                <w:ilvl w:val="0"/>
                <w:numId w:val="114"/>
              </w:numPr>
              <w:spacing w:before="120" w:after="120"/>
              <w:contextualSpacing w:val="0"/>
              <w:jc w:val="left"/>
            </w:pPr>
            <w:r w:rsidRPr="00021DD2">
              <w:t>For the purposes of this Act, a person discriminates on the ground of pregnancy</w:t>
            </w:r>
            <w:r w:rsidR="004C3BCE">
              <w:t>–</w:t>
            </w:r>
          </w:p>
          <w:p w:rsidR="006924AB" w:rsidRPr="00021DD2" w:rsidRDefault="006924AB" w:rsidP="00B934D7">
            <w:pPr>
              <w:pStyle w:val="Paragrafoelenco"/>
              <w:numPr>
                <w:ilvl w:val="0"/>
                <w:numId w:val="109"/>
              </w:numPr>
              <w:spacing w:before="120" w:after="120"/>
              <w:contextualSpacing w:val="0"/>
              <w:jc w:val="left"/>
            </w:pPr>
            <w:r w:rsidRPr="00021DD2">
              <w:t>if he or she treats a woman unfavourably because of her pregnancy or potential pregnancy; or</w:t>
            </w:r>
          </w:p>
          <w:p w:rsidR="006924AB" w:rsidRPr="00021DD2" w:rsidRDefault="006924AB" w:rsidP="00B934D7">
            <w:pPr>
              <w:pStyle w:val="Paragrafoelenco"/>
              <w:numPr>
                <w:ilvl w:val="0"/>
                <w:numId w:val="109"/>
              </w:numPr>
              <w:spacing w:before="120" w:after="120"/>
              <w:contextualSpacing w:val="0"/>
              <w:jc w:val="left"/>
            </w:pPr>
            <w:r w:rsidRPr="00021DD2">
              <w:t>if he or she treats a pregnant woman unfavourably because she does not comply, or is not able to comply, with a particular requirement and</w:t>
            </w:r>
            <w:r w:rsidR="004C3BCE">
              <w:t>–</w:t>
            </w:r>
          </w:p>
          <w:p w:rsidR="006924AB" w:rsidRPr="00021DD2" w:rsidRDefault="006924AB" w:rsidP="00B934D7">
            <w:pPr>
              <w:pStyle w:val="Paragrafoelenco"/>
              <w:numPr>
                <w:ilvl w:val="0"/>
                <w:numId w:val="110"/>
              </w:numPr>
              <w:spacing w:before="120" w:after="120"/>
              <w:contextualSpacing w:val="0"/>
              <w:jc w:val="left"/>
            </w:pPr>
            <w:r w:rsidRPr="00021DD2">
              <w:t>the nature of the requirement is such that a substantially higher proportion of women who are not pregnancy comply, or are able to comply, with the requirement than of those who are pregnancy; and</w:t>
            </w:r>
          </w:p>
          <w:p w:rsidR="006924AB" w:rsidRPr="00021DD2" w:rsidRDefault="006924AB" w:rsidP="00B934D7">
            <w:pPr>
              <w:pStyle w:val="Paragrafoelenco"/>
              <w:numPr>
                <w:ilvl w:val="0"/>
                <w:numId w:val="110"/>
              </w:numPr>
              <w:spacing w:before="120" w:after="120"/>
              <w:contextualSpacing w:val="0"/>
              <w:jc w:val="left"/>
            </w:pPr>
            <w:r w:rsidRPr="00021DD2">
              <w:t>the requirement is not reasonable in the circumstances of the case; or</w:t>
            </w:r>
          </w:p>
          <w:p w:rsidR="006924AB" w:rsidRPr="00021DD2" w:rsidRDefault="006924AB" w:rsidP="00B934D7">
            <w:pPr>
              <w:pStyle w:val="Paragrafoelenco"/>
              <w:numPr>
                <w:ilvl w:val="0"/>
                <w:numId w:val="109"/>
              </w:numPr>
              <w:spacing w:before="120" w:after="120"/>
              <w:contextualSpacing w:val="0"/>
              <w:jc w:val="left"/>
            </w:pPr>
            <w:r w:rsidRPr="00021DD2">
              <w:t>if he or she treats a pregnant woman unfavourably on the basis of a characteristic that appertains generally to pregnant women, or on the basis of a presumed characteristic that is generally imputed to pregnant women; or</w:t>
            </w:r>
          </w:p>
          <w:p w:rsidR="006924AB" w:rsidRPr="00021DD2" w:rsidRDefault="006924AB" w:rsidP="00B934D7">
            <w:pPr>
              <w:pStyle w:val="Paragrafoelenco"/>
              <w:numPr>
                <w:ilvl w:val="0"/>
                <w:numId w:val="109"/>
              </w:numPr>
              <w:spacing w:before="120" w:after="120"/>
              <w:contextualSpacing w:val="0"/>
              <w:jc w:val="left"/>
            </w:pPr>
            <w:r w:rsidRPr="00021DD2">
              <w:t>if he or she treats another unfavourably because of an attribute of or a circumstance affecting a relative or associate of the other, being an attribute or circumstance described in the preceding paragraphs.</w:t>
            </w:r>
          </w:p>
          <w:p w:rsidR="006924AB" w:rsidRPr="00021DD2" w:rsidRDefault="006924AB" w:rsidP="00B934D7">
            <w:pPr>
              <w:pStyle w:val="Paragrafoelenco"/>
              <w:numPr>
                <w:ilvl w:val="0"/>
                <w:numId w:val="114"/>
              </w:numPr>
              <w:spacing w:before="120" w:after="120"/>
              <w:contextualSpacing w:val="0"/>
              <w:jc w:val="left"/>
            </w:pPr>
            <w:r w:rsidRPr="00021DD2">
              <w:t>For the purposes of this Act, a person discriminates on the gro</w:t>
            </w:r>
            <w:r w:rsidR="004C3BCE">
              <w:t>und of association with a child</w:t>
            </w:r>
            <w:r w:rsidRPr="00021DD2">
              <w:t>–</w:t>
            </w:r>
          </w:p>
          <w:p w:rsidR="006924AB" w:rsidRPr="00021DD2" w:rsidRDefault="006924AB" w:rsidP="00B934D7">
            <w:pPr>
              <w:pStyle w:val="Paragrafoelenco"/>
              <w:numPr>
                <w:ilvl w:val="0"/>
                <w:numId w:val="115"/>
              </w:numPr>
              <w:spacing w:before="120" w:after="120"/>
              <w:contextualSpacing w:val="0"/>
              <w:jc w:val="left"/>
            </w:pPr>
            <w:r w:rsidRPr="00021DD2">
              <w:t>if he or she treats another unfavourably because the person is breast feeding or bottle feeding an infant, or proposes to do so, or is, or proposes to be, accompanied by a child; or</w:t>
            </w:r>
          </w:p>
          <w:p w:rsidR="006924AB" w:rsidRPr="00021DD2" w:rsidRDefault="006924AB" w:rsidP="00B934D7">
            <w:pPr>
              <w:pStyle w:val="Paragrafoelenco"/>
              <w:numPr>
                <w:ilvl w:val="0"/>
                <w:numId w:val="115"/>
              </w:numPr>
              <w:spacing w:before="120" w:after="120"/>
              <w:contextualSpacing w:val="0"/>
              <w:jc w:val="left"/>
            </w:pPr>
            <w:r w:rsidRPr="00021DD2">
              <w:t xml:space="preserve">if he or she treats another unfavourably because a relative or associate of the other is breast feeding or bottle feeding an infant, or proposes to do so, or is, or proposes to be, accompanied by a child. </w:t>
            </w:r>
          </w:p>
          <w:p w:rsidR="006924AB" w:rsidRPr="00021DD2" w:rsidRDefault="006924AB" w:rsidP="002C4F5D">
            <w:pPr>
              <w:pStyle w:val="Paragrafoelenco"/>
              <w:numPr>
                <w:ilvl w:val="0"/>
                <w:numId w:val="114"/>
              </w:numPr>
              <w:spacing w:before="120" w:after="120"/>
              <w:contextualSpacing w:val="0"/>
              <w:jc w:val="left"/>
            </w:pPr>
            <w:r w:rsidRPr="00021DD2">
              <w:t>For the purposes of this Act, a person discriminates on the ground of caring responsibilities</w:t>
            </w:r>
            <w:r w:rsidR="004C3BCE">
              <w:t>–</w:t>
            </w:r>
          </w:p>
          <w:p w:rsidR="006924AB" w:rsidRPr="00021DD2" w:rsidRDefault="006924AB" w:rsidP="002C4F5D">
            <w:pPr>
              <w:pStyle w:val="Paragrafoelenco"/>
              <w:ind w:left="360"/>
              <w:jc w:val="left"/>
            </w:pPr>
            <w:r w:rsidRPr="00021DD2">
              <w:t xml:space="preserve">(a) if he or she treats another unfavourably because of the other's caring responsibilities or proposed caring responsibilities; or </w:t>
            </w:r>
          </w:p>
          <w:p w:rsidR="006924AB" w:rsidRPr="00021DD2" w:rsidRDefault="006924AB" w:rsidP="002C4F5D">
            <w:pPr>
              <w:pStyle w:val="Paragrafoelenco"/>
              <w:ind w:left="360"/>
              <w:jc w:val="left"/>
            </w:pPr>
            <w:r w:rsidRPr="00021DD2">
              <w:t>(b) if he or she treats another unfavourably because the other does not comply, or is not able to comply, wit</w:t>
            </w:r>
            <w:r w:rsidR="004C3BCE">
              <w:t>h a particular requirement and–</w:t>
            </w:r>
          </w:p>
          <w:p w:rsidR="006924AB" w:rsidRPr="00021DD2" w:rsidRDefault="006924AB" w:rsidP="004C3BCE">
            <w:pPr>
              <w:pStyle w:val="Paragrafoelenco"/>
              <w:ind w:left="737"/>
              <w:contextualSpacing w:val="0"/>
              <w:jc w:val="left"/>
            </w:pPr>
            <w:r w:rsidRPr="00021DD2">
              <w:t xml:space="preserve">(i) the nature of the requirement is such that a substantially higher proportion of persons without caring responsibilities comply, or are able to comply, with the requirement than of those with caring responsibilities; and </w:t>
            </w:r>
          </w:p>
          <w:p w:rsidR="006924AB" w:rsidRPr="00021DD2" w:rsidRDefault="006924AB" w:rsidP="002C4F5D">
            <w:pPr>
              <w:pStyle w:val="Paragrafoelenco"/>
              <w:ind w:left="737"/>
              <w:jc w:val="left"/>
            </w:pPr>
            <w:r w:rsidRPr="00021DD2">
              <w:t xml:space="preserve">(ii) the requirement is not reasonable in the circumstances of the case; or </w:t>
            </w:r>
          </w:p>
          <w:p w:rsidR="006924AB" w:rsidRPr="00021DD2" w:rsidRDefault="006924AB" w:rsidP="002C4F5D">
            <w:pPr>
              <w:pStyle w:val="Paragrafoelenco"/>
              <w:ind w:left="360"/>
              <w:jc w:val="left"/>
            </w:pPr>
            <w:r w:rsidRPr="00021DD2">
              <w:t xml:space="preserve">(c) if he or she treats another unfavourably on the basis of a characteristic that appertains generally to persons with caring responsibilities, or on the basis of a presumed characteristic that is generally imputed to persons with caring responsibilities; or </w:t>
            </w:r>
          </w:p>
          <w:p w:rsidR="006924AB" w:rsidRPr="00021DD2" w:rsidRDefault="006924AB" w:rsidP="002C4F5D">
            <w:pPr>
              <w:pStyle w:val="Paragrafoelenco"/>
              <w:ind w:left="360"/>
              <w:jc w:val="left"/>
            </w:pPr>
            <w:r w:rsidRPr="00021DD2">
              <w:t>(d) if he or she treats another unfavourably because of an attribute of or a circumstance affecting a relative or associate of the other.</w:t>
            </w:r>
          </w:p>
          <w:p w:rsidR="006924AB" w:rsidRPr="00021DD2" w:rsidRDefault="006924AB" w:rsidP="006924AB">
            <w:pPr>
              <w:rPr>
                <w:rFonts w:cs="Arial"/>
                <w:i/>
              </w:rPr>
            </w:pPr>
            <w:r w:rsidRPr="00021DD2">
              <w:rPr>
                <w:rFonts w:cs="Arial"/>
                <w:i/>
              </w:rPr>
              <w:t>Section 85ZD – Application of Division</w:t>
            </w:r>
          </w:p>
          <w:p w:rsidR="006924AB" w:rsidRPr="00021DD2" w:rsidRDefault="006924AB" w:rsidP="006924AB">
            <w:pPr>
              <w:rPr>
                <w:rFonts w:cs="Arial"/>
              </w:rPr>
            </w:pPr>
            <w:r w:rsidRPr="00021DD2">
              <w:rPr>
                <w:rFonts w:cs="Arial"/>
              </w:rPr>
              <w:t xml:space="preserve">This Division applies to discrimination on the ground of… pregnancy, caring responsibilities... </w:t>
            </w:r>
          </w:p>
          <w:p w:rsidR="006924AB" w:rsidRPr="00021DD2" w:rsidRDefault="006924AB" w:rsidP="006924AB">
            <w:pPr>
              <w:rPr>
                <w:rFonts w:cs="Arial"/>
                <w:i/>
              </w:rPr>
            </w:pPr>
            <w:r w:rsidRPr="00021DD2">
              <w:rPr>
                <w:rFonts w:cs="Arial"/>
                <w:i/>
              </w:rPr>
              <w:t>Section 85ZE – Discrimination by educational authorities</w:t>
            </w:r>
          </w:p>
          <w:p w:rsidR="006924AB" w:rsidRPr="00021DD2" w:rsidRDefault="006924AB" w:rsidP="006924AB">
            <w:pPr>
              <w:rPr>
                <w:rFonts w:cs="Arial"/>
              </w:rPr>
            </w:pPr>
            <w:r w:rsidRPr="00021DD2">
              <w:rPr>
                <w:rFonts w:cs="Arial"/>
              </w:rPr>
              <w:t>(1) It is unlawful for an educational authority to discriminate against a person–</w:t>
            </w:r>
          </w:p>
          <w:p w:rsidR="006924AB" w:rsidRPr="00021DD2" w:rsidRDefault="006924AB" w:rsidP="00B934D7">
            <w:pPr>
              <w:pStyle w:val="Paragrafoelenco"/>
              <w:numPr>
                <w:ilvl w:val="0"/>
                <w:numId w:val="116"/>
              </w:numPr>
              <w:spacing w:before="120" w:after="120"/>
              <w:contextualSpacing w:val="0"/>
              <w:jc w:val="left"/>
            </w:pPr>
            <w:r w:rsidRPr="00021DD2">
              <w:t>by refusing or failing to accept an application for admission as a student; or</w:t>
            </w:r>
          </w:p>
          <w:p w:rsidR="006924AB" w:rsidRPr="00021DD2" w:rsidRDefault="006924AB" w:rsidP="00B934D7">
            <w:pPr>
              <w:pStyle w:val="Paragrafoelenco"/>
              <w:numPr>
                <w:ilvl w:val="0"/>
                <w:numId w:val="116"/>
              </w:numPr>
              <w:spacing w:before="120" w:after="120"/>
              <w:contextualSpacing w:val="0"/>
              <w:jc w:val="left"/>
            </w:pPr>
            <w:r w:rsidRPr="00021DD2">
              <w:t>in the terms or conditions on which it offers to admit the person as a student.</w:t>
            </w:r>
          </w:p>
          <w:p w:rsidR="006924AB" w:rsidRPr="00021DD2" w:rsidRDefault="006924AB" w:rsidP="006924AB">
            <w:pPr>
              <w:rPr>
                <w:rFonts w:cs="Arial"/>
              </w:rPr>
            </w:pPr>
            <w:r w:rsidRPr="00021DD2">
              <w:rPr>
                <w:rFonts w:cs="Arial"/>
              </w:rPr>
              <w:t>(2) It is unlawful for an educational authority to discriminate against a student–</w:t>
            </w:r>
          </w:p>
          <w:p w:rsidR="006924AB" w:rsidRPr="00021DD2" w:rsidRDefault="006924AB" w:rsidP="00B934D7">
            <w:pPr>
              <w:pStyle w:val="Paragrafoelenco"/>
              <w:numPr>
                <w:ilvl w:val="0"/>
                <w:numId w:val="117"/>
              </w:numPr>
              <w:spacing w:before="120" w:after="120"/>
              <w:contextualSpacing w:val="0"/>
              <w:jc w:val="left"/>
            </w:pPr>
            <w:r w:rsidRPr="00021DD2">
              <w:t>in the terms or conditions on which it provides the student with education or training; or</w:t>
            </w:r>
          </w:p>
          <w:p w:rsidR="006924AB" w:rsidRPr="00021DD2" w:rsidRDefault="006924AB" w:rsidP="00B934D7">
            <w:pPr>
              <w:pStyle w:val="Paragrafoelenco"/>
              <w:numPr>
                <w:ilvl w:val="0"/>
                <w:numId w:val="117"/>
              </w:numPr>
              <w:spacing w:before="120" w:after="120"/>
              <w:contextualSpacing w:val="0"/>
              <w:jc w:val="left"/>
            </w:pPr>
            <w:r w:rsidRPr="00021DD2">
              <w:t>by denying or limiting access to a benefit provided by the authority; or</w:t>
            </w:r>
          </w:p>
          <w:p w:rsidR="006924AB" w:rsidRPr="00021DD2" w:rsidRDefault="006924AB" w:rsidP="00B934D7">
            <w:pPr>
              <w:pStyle w:val="Paragrafoelenco"/>
              <w:numPr>
                <w:ilvl w:val="0"/>
                <w:numId w:val="117"/>
              </w:numPr>
              <w:spacing w:before="120" w:after="120"/>
              <w:contextualSpacing w:val="0"/>
              <w:jc w:val="left"/>
            </w:pPr>
            <w:r w:rsidRPr="00021DD2">
              <w:t>by expelling the student; or</w:t>
            </w:r>
          </w:p>
          <w:p w:rsidR="006924AB" w:rsidRPr="00021DD2" w:rsidRDefault="006924AB" w:rsidP="00B934D7">
            <w:pPr>
              <w:pStyle w:val="Paragrafoelenco"/>
              <w:numPr>
                <w:ilvl w:val="0"/>
                <w:numId w:val="117"/>
              </w:numPr>
              <w:spacing w:before="120" w:after="120"/>
              <w:contextualSpacing w:val="0"/>
              <w:jc w:val="left"/>
            </w:pPr>
            <w:r w:rsidRPr="00021DD2">
              <w:t>by subjecting the student to other detriment.</w:t>
            </w:r>
          </w:p>
          <w:p w:rsidR="006924AB" w:rsidRPr="00021DD2" w:rsidRDefault="006924AB" w:rsidP="006924AB">
            <w:pPr>
              <w:rPr>
                <w:rFonts w:cs="Arial"/>
                <w:i/>
              </w:rPr>
            </w:pPr>
            <w:r w:rsidRPr="00021DD2">
              <w:rPr>
                <w:rFonts w:cs="Arial"/>
                <w:i/>
              </w:rPr>
              <w:t>Section 87B – Student breast feeding infant</w:t>
            </w:r>
          </w:p>
          <w:p w:rsidR="006924AB" w:rsidRPr="00021DD2" w:rsidRDefault="006924AB" w:rsidP="00B934D7">
            <w:pPr>
              <w:pStyle w:val="Paragrafoelenco"/>
              <w:numPr>
                <w:ilvl w:val="0"/>
                <w:numId w:val="118"/>
              </w:numPr>
              <w:spacing w:before="120" w:after="120"/>
              <w:contextualSpacing w:val="0"/>
              <w:jc w:val="left"/>
            </w:pPr>
            <w:r w:rsidRPr="00021DD2">
              <w:t>It is unlawful for an educational authority to discriminate against a student by denying or limiting access to the educational services provided by the authority on the ground that the student is breast feeding an infant or proposes to do so.</w:t>
            </w:r>
          </w:p>
          <w:p w:rsidR="006924AB" w:rsidRPr="00021DD2" w:rsidRDefault="006924AB" w:rsidP="006924AB">
            <w:pPr>
              <w:rPr>
                <w:rFonts w:cs="Arial"/>
                <w:i/>
              </w:rPr>
            </w:pPr>
            <w:r w:rsidRPr="00021DD2">
              <w:rPr>
                <w:rFonts w:cs="Arial"/>
                <w:i/>
              </w:rPr>
              <w:t>See also section 29 on the criteria for discrimination on the ground of sex, and section 37 on discrimination by educational authorities on the ground of sex.</w:t>
            </w:r>
          </w:p>
          <w:p w:rsidR="006924AB" w:rsidRPr="00021DD2" w:rsidRDefault="006924AB" w:rsidP="006924AB">
            <w:pPr>
              <w:rPr>
                <w:rFonts w:cs="Arial"/>
              </w:rPr>
            </w:pPr>
            <w:r w:rsidRPr="00021DD2">
              <w:rPr>
                <w:rFonts w:cs="Arial"/>
                <w:i/>
              </w:rPr>
              <w:t>See also Part 7 on exemptions.</w:t>
            </w:r>
          </w:p>
        </w:tc>
      </w:tr>
      <w:tr w:rsidR="006924AB" w:rsidRPr="00021DD2" w:rsidTr="006924AB">
        <w:trPr>
          <w:cnfStyle w:val="000000010000" w:firstRow="0" w:lastRow="0" w:firstColumn="0" w:lastColumn="0" w:oddVBand="0" w:evenVBand="0" w:oddHBand="0" w:evenHBand="1" w:firstRowFirstColumn="0" w:firstRowLastColumn="0" w:lastRowFirstColumn="0" w:lastRowLastColumn="0"/>
        </w:trPr>
        <w:tc>
          <w:tcPr>
            <w:tcW w:w="1645" w:type="dxa"/>
          </w:tcPr>
          <w:p w:rsidR="006924AB" w:rsidRPr="00021DD2" w:rsidRDefault="006924AB" w:rsidP="006924AB">
            <w:pPr>
              <w:rPr>
                <w:rFonts w:cs="Arial"/>
                <w:b/>
              </w:rPr>
            </w:pPr>
            <w:r w:rsidRPr="00021DD2">
              <w:rPr>
                <w:rFonts w:cs="Arial"/>
              </w:rPr>
              <w:t>Case law</w:t>
            </w:r>
          </w:p>
        </w:tc>
        <w:tc>
          <w:tcPr>
            <w:tcW w:w="7281" w:type="dxa"/>
          </w:tcPr>
          <w:p w:rsidR="006924AB" w:rsidRPr="00021DD2" w:rsidRDefault="006924AB" w:rsidP="006924AB">
            <w:pPr>
              <w:rPr>
                <w:rFonts w:cs="Arial"/>
              </w:rPr>
            </w:pPr>
            <w:r w:rsidRPr="00021DD2">
              <w:rPr>
                <w:rFonts w:cs="Arial"/>
              </w:rPr>
              <w:t>Not applicable.</w:t>
            </w:r>
          </w:p>
        </w:tc>
      </w:tr>
      <w:tr w:rsidR="006924AB" w:rsidRPr="00021DD2" w:rsidTr="006924AB">
        <w:trPr>
          <w:cnfStyle w:val="000000100000" w:firstRow="0" w:lastRow="0" w:firstColumn="0" w:lastColumn="0" w:oddVBand="0" w:evenVBand="0" w:oddHBand="1" w:evenHBand="0" w:firstRowFirstColumn="0" w:firstRowLastColumn="0" w:lastRowFirstColumn="0" w:lastRowLastColumn="0"/>
        </w:trPr>
        <w:tc>
          <w:tcPr>
            <w:tcW w:w="8926" w:type="dxa"/>
            <w:gridSpan w:val="2"/>
          </w:tcPr>
          <w:p w:rsidR="006924AB" w:rsidRPr="00021DD2" w:rsidRDefault="006924AB" w:rsidP="006924AB">
            <w:pPr>
              <w:rPr>
                <w:rFonts w:cs="Arial"/>
                <w:b/>
              </w:rPr>
            </w:pPr>
            <w:r w:rsidRPr="00021DD2">
              <w:rPr>
                <w:rFonts w:cs="Arial"/>
                <w:b/>
              </w:rPr>
              <w:t>Tasmania</w:t>
            </w:r>
          </w:p>
        </w:tc>
      </w:tr>
      <w:tr w:rsidR="006924AB" w:rsidRPr="00021DD2" w:rsidTr="006924AB">
        <w:trPr>
          <w:cnfStyle w:val="000000010000" w:firstRow="0" w:lastRow="0" w:firstColumn="0" w:lastColumn="0" w:oddVBand="0" w:evenVBand="0" w:oddHBand="0" w:evenHBand="1" w:firstRowFirstColumn="0" w:firstRowLastColumn="0" w:lastRowFirstColumn="0" w:lastRowLastColumn="0"/>
          <w:trHeight w:val="594"/>
        </w:trPr>
        <w:tc>
          <w:tcPr>
            <w:tcW w:w="1645" w:type="dxa"/>
          </w:tcPr>
          <w:p w:rsidR="006924AB" w:rsidRPr="00021DD2" w:rsidRDefault="006924AB" w:rsidP="006924AB">
            <w:pPr>
              <w:rPr>
                <w:rFonts w:cs="Arial"/>
                <w:b/>
              </w:rPr>
            </w:pPr>
            <w:r w:rsidRPr="00021DD2">
              <w:rPr>
                <w:rFonts w:cs="Arial"/>
              </w:rPr>
              <w:t xml:space="preserve">Legislative provisions </w:t>
            </w:r>
          </w:p>
        </w:tc>
        <w:tc>
          <w:tcPr>
            <w:tcW w:w="7281" w:type="dxa"/>
          </w:tcPr>
          <w:p w:rsidR="006924AB" w:rsidRPr="00021DD2" w:rsidRDefault="006924AB" w:rsidP="006924AB">
            <w:pPr>
              <w:rPr>
                <w:rFonts w:cs="Arial"/>
                <w:b/>
              </w:rPr>
            </w:pPr>
            <w:r w:rsidRPr="00021DD2">
              <w:rPr>
                <w:rFonts w:cs="Arial"/>
                <w:b/>
                <w:i/>
              </w:rPr>
              <w:t xml:space="preserve">Education Act 2016 </w:t>
            </w:r>
            <w:r w:rsidRPr="00021DD2">
              <w:rPr>
                <w:rFonts w:cs="Arial"/>
                <w:b/>
              </w:rPr>
              <w:t>(Tas)</w:t>
            </w:r>
          </w:p>
          <w:p w:rsidR="006924AB" w:rsidRPr="00021DD2" w:rsidRDefault="006924AB" w:rsidP="006924AB">
            <w:pPr>
              <w:rPr>
                <w:rFonts w:cs="Arial"/>
                <w:i/>
                <w:lang w:val="en"/>
              </w:rPr>
            </w:pPr>
            <w:bookmarkStart w:id="183" w:name="GS4@EN"/>
            <w:bookmarkEnd w:id="183"/>
            <w:r w:rsidRPr="00021DD2">
              <w:rPr>
                <w:rFonts w:cs="Arial"/>
                <w:bCs/>
                <w:i/>
                <w:lang w:val="en"/>
              </w:rPr>
              <w:t>Section 4 –</w:t>
            </w:r>
            <w:r w:rsidRPr="00021DD2">
              <w:rPr>
                <w:rFonts w:cs="Arial"/>
                <w:i/>
                <w:lang w:val="en"/>
              </w:rPr>
              <w:t> </w:t>
            </w:r>
            <w:r w:rsidRPr="00021DD2">
              <w:rPr>
                <w:rFonts w:cs="Arial"/>
                <w:bCs/>
                <w:i/>
                <w:lang w:val="en"/>
              </w:rPr>
              <w:t>Principles which are basis of Act</w:t>
            </w:r>
          </w:p>
          <w:p w:rsidR="006924AB" w:rsidRPr="00021DD2" w:rsidRDefault="006924AB" w:rsidP="006924AB">
            <w:pPr>
              <w:rPr>
                <w:rFonts w:cs="Arial"/>
                <w:lang w:val="en"/>
              </w:rPr>
            </w:pPr>
            <w:bookmarkStart w:id="184" w:name="GS4@Gs1@EN"/>
            <w:bookmarkEnd w:id="184"/>
            <w:r w:rsidRPr="00021DD2">
              <w:rPr>
                <w:rFonts w:cs="Arial"/>
                <w:lang w:val="en"/>
              </w:rPr>
              <w:t>(1)  The principles on which this Act is based are the following principles:</w:t>
            </w:r>
            <w:bookmarkStart w:id="185" w:name="GS4@Gs1@Hpa@EN"/>
            <w:bookmarkEnd w:id="185"/>
          </w:p>
          <w:p w:rsidR="006924AB" w:rsidRPr="00021DD2" w:rsidRDefault="006924AB" w:rsidP="00AC0CF2">
            <w:pPr>
              <w:spacing w:before="120" w:after="120"/>
              <w:rPr>
                <w:rFonts w:cs="Arial"/>
                <w:lang w:val="en"/>
              </w:rPr>
            </w:pPr>
            <w:r w:rsidRPr="00021DD2">
              <w:rPr>
                <w:rFonts w:cs="Arial"/>
                <w:lang w:val="en"/>
              </w:rPr>
              <w:t>(a) the right of every child to receive an education until the child completes Year 12, the year of home education equivalent to Year 12 or an approved learning program;</w:t>
            </w:r>
          </w:p>
          <w:p w:rsidR="006924AB" w:rsidRPr="00021DD2" w:rsidRDefault="006924AB" w:rsidP="00AC0CF2">
            <w:pPr>
              <w:spacing w:before="120" w:after="120"/>
              <w:rPr>
                <w:rFonts w:cs="Arial"/>
                <w:lang w:val="en"/>
              </w:rPr>
            </w:pPr>
            <w:r w:rsidRPr="00021DD2">
              <w:rPr>
                <w:rFonts w:cs="Arial"/>
                <w:lang w:val="en"/>
              </w:rPr>
              <w:t>…</w:t>
            </w:r>
          </w:p>
          <w:p w:rsidR="006924AB" w:rsidRPr="00021DD2" w:rsidRDefault="006924AB" w:rsidP="00AC0CF2">
            <w:pPr>
              <w:spacing w:before="120" w:after="120"/>
              <w:rPr>
                <w:rFonts w:cs="Arial"/>
                <w:lang w:val="en"/>
              </w:rPr>
            </w:pPr>
            <w:r w:rsidRPr="00021DD2">
              <w:rPr>
                <w:rFonts w:cs="Arial"/>
                <w:lang w:val="en"/>
              </w:rPr>
              <w:t>(h) the importance of the provision by the State of universal access to education through the maintenance of a government education system; …</w:t>
            </w:r>
          </w:p>
          <w:p w:rsidR="006924AB" w:rsidRPr="00021DD2" w:rsidRDefault="006924AB" w:rsidP="006924AB">
            <w:pPr>
              <w:rPr>
                <w:rFonts w:cs="Arial"/>
                <w:i/>
              </w:rPr>
            </w:pPr>
            <w:r w:rsidRPr="00021DD2">
              <w:rPr>
                <w:rFonts w:cs="Arial"/>
                <w:i/>
              </w:rPr>
              <w:t>Section 104 – Distance education</w:t>
            </w:r>
          </w:p>
          <w:p w:rsidR="006924AB" w:rsidRPr="00021DD2" w:rsidRDefault="006924AB" w:rsidP="00B934D7">
            <w:pPr>
              <w:pStyle w:val="Paragrafoelenco"/>
              <w:numPr>
                <w:ilvl w:val="0"/>
                <w:numId w:val="112"/>
              </w:numPr>
              <w:spacing w:before="120" w:after="120"/>
              <w:contextualSpacing w:val="0"/>
              <w:jc w:val="left"/>
            </w:pPr>
            <w:r w:rsidRPr="00021DD2">
              <w:t>The following persons may apply to the Secretary for the provision of distance education, being education up to and including the last year of secondary education:</w:t>
            </w:r>
          </w:p>
          <w:p w:rsidR="006924AB" w:rsidRPr="00021DD2" w:rsidRDefault="006924AB" w:rsidP="002C4F5D">
            <w:pPr>
              <w:pStyle w:val="Paragrafoelenco"/>
              <w:ind w:left="360"/>
              <w:jc w:val="left"/>
            </w:pPr>
            <w:r w:rsidRPr="00021DD2">
              <w:t>(a) a parent of a school-aged child or youth on behalf of that child or youth</w:t>
            </w:r>
          </w:p>
          <w:p w:rsidR="006924AB" w:rsidRPr="00021DD2" w:rsidRDefault="006924AB" w:rsidP="002C4F5D">
            <w:pPr>
              <w:pStyle w:val="Paragrafoelenco"/>
              <w:ind w:left="360"/>
              <w:jc w:val="left"/>
            </w:pPr>
            <w:r w:rsidRPr="00021DD2">
              <w:t>(b) a school-aged child who is living independently from his or her parents;</w:t>
            </w:r>
          </w:p>
          <w:p w:rsidR="006924AB" w:rsidRPr="00021DD2" w:rsidRDefault="006924AB" w:rsidP="002C4F5D">
            <w:pPr>
              <w:pStyle w:val="Paragrafoelenco"/>
              <w:ind w:left="360"/>
              <w:jc w:val="left"/>
            </w:pPr>
            <w:r w:rsidRPr="00021DD2">
              <w:t>(c) a youth;</w:t>
            </w:r>
          </w:p>
          <w:p w:rsidR="006924AB" w:rsidRPr="00021DD2" w:rsidRDefault="006924AB" w:rsidP="002C4F5D">
            <w:pPr>
              <w:pStyle w:val="Paragrafoelenco"/>
              <w:ind w:left="360"/>
              <w:jc w:val="left"/>
            </w:pPr>
            <w:r w:rsidRPr="00021DD2">
              <w:t>(d) any other person who, under this Act is entitled, or may be allowed in the circumstances specified in this Act, to attend a State school.</w:t>
            </w:r>
          </w:p>
          <w:p w:rsidR="006924AB" w:rsidRPr="00021DD2" w:rsidRDefault="006924AB" w:rsidP="002C4F5D">
            <w:pPr>
              <w:pStyle w:val="Paragrafoelenco"/>
              <w:numPr>
                <w:ilvl w:val="0"/>
                <w:numId w:val="113"/>
              </w:numPr>
              <w:spacing w:before="120" w:after="120"/>
              <w:contextualSpacing w:val="0"/>
              <w:jc w:val="left"/>
            </w:pPr>
            <w:r w:rsidRPr="00021DD2">
              <w:t>In determining whether to grant or refuse to grant an application, the Secretary may take into account any of the following matters:</w:t>
            </w:r>
          </w:p>
          <w:p w:rsidR="006924AB" w:rsidRPr="00021DD2" w:rsidRDefault="006924AB" w:rsidP="002C4F5D">
            <w:pPr>
              <w:pStyle w:val="Paragrafoelenco"/>
              <w:ind w:left="360"/>
              <w:jc w:val="left"/>
            </w:pPr>
            <w:r w:rsidRPr="00021DD2">
              <w:t>…</w:t>
            </w:r>
          </w:p>
          <w:p w:rsidR="006924AB" w:rsidRPr="00021DD2" w:rsidRDefault="006924AB" w:rsidP="002C4F5D">
            <w:pPr>
              <w:pStyle w:val="Paragrafoelenco"/>
              <w:ind w:left="360"/>
              <w:jc w:val="left"/>
            </w:pPr>
            <w:r w:rsidRPr="00021DD2">
              <w:t>(d) whether the child, youth or person is pregnant;</w:t>
            </w:r>
          </w:p>
          <w:p w:rsidR="006924AB" w:rsidRPr="00021DD2" w:rsidRDefault="006924AB" w:rsidP="002C4F5D">
            <w:pPr>
              <w:pStyle w:val="Paragrafoelenco"/>
              <w:ind w:left="360"/>
              <w:jc w:val="left"/>
            </w:pPr>
            <w:r w:rsidRPr="00021DD2">
              <w:t>(e) whether the child, youth or person is otherwise unable to attend school on a regular basis;</w:t>
            </w:r>
          </w:p>
          <w:p w:rsidR="006924AB" w:rsidRPr="00021DD2" w:rsidRDefault="006924AB" w:rsidP="00AC0CF2">
            <w:pPr>
              <w:ind w:left="360"/>
              <w:rPr>
                <w:rFonts w:cs="Arial"/>
                <w:b/>
              </w:rPr>
            </w:pPr>
            <w:r w:rsidRPr="00021DD2">
              <w:rPr>
                <w:rFonts w:cs="Arial"/>
              </w:rPr>
              <w:t>(f) any other matter the Secretary considers relevant.</w:t>
            </w:r>
          </w:p>
          <w:p w:rsidR="006924AB" w:rsidRPr="00021DD2" w:rsidRDefault="006924AB" w:rsidP="006924AB">
            <w:pPr>
              <w:rPr>
                <w:rFonts w:cs="Arial"/>
                <w:b/>
                <w:i/>
              </w:rPr>
            </w:pPr>
            <w:r w:rsidRPr="00021DD2">
              <w:rPr>
                <w:rFonts w:cs="Arial"/>
                <w:b/>
                <w:i/>
              </w:rPr>
              <w:t xml:space="preserve">Anti-Discrimination Act 1998 </w:t>
            </w:r>
            <w:r w:rsidRPr="00021DD2">
              <w:rPr>
                <w:rFonts w:cs="Arial"/>
                <w:b/>
              </w:rPr>
              <w:t>(Tas)</w:t>
            </w:r>
            <w:r w:rsidRPr="00021DD2">
              <w:rPr>
                <w:rFonts w:cs="Arial"/>
                <w:b/>
                <w:i/>
              </w:rPr>
              <w:t xml:space="preserve"> </w:t>
            </w:r>
          </w:p>
          <w:p w:rsidR="006924AB" w:rsidRPr="00021DD2" w:rsidRDefault="006924AB" w:rsidP="006924AB">
            <w:pPr>
              <w:rPr>
                <w:rFonts w:cs="Arial"/>
                <w:i/>
                <w:lang w:val="en"/>
              </w:rPr>
            </w:pPr>
            <w:bookmarkStart w:id="186" w:name="GS14@EN"/>
            <w:bookmarkEnd w:id="186"/>
            <w:r w:rsidRPr="00021DD2">
              <w:rPr>
                <w:rFonts w:cs="Arial"/>
                <w:bCs/>
                <w:i/>
                <w:lang w:val="en"/>
              </w:rPr>
              <w:t>Section 14 –</w:t>
            </w:r>
            <w:r w:rsidRPr="00021DD2">
              <w:rPr>
                <w:rFonts w:cs="Arial"/>
                <w:i/>
                <w:lang w:val="en"/>
              </w:rPr>
              <w:t> </w:t>
            </w:r>
            <w:r w:rsidRPr="00021DD2">
              <w:rPr>
                <w:rFonts w:cs="Arial"/>
                <w:bCs/>
                <w:i/>
                <w:lang w:val="en"/>
              </w:rPr>
              <w:t>Direct discrimination</w:t>
            </w:r>
          </w:p>
          <w:p w:rsidR="006924AB" w:rsidRPr="00021DD2" w:rsidRDefault="006924AB" w:rsidP="006924AB">
            <w:pPr>
              <w:rPr>
                <w:rFonts w:cs="Arial"/>
                <w:lang w:val="en"/>
              </w:rPr>
            </w:pPr>
            <w:bookmarkStart w:id="187" w:name="GS14@Gs1@EN"/>
            <w:bookmarkEnd w:id="187"/>
            <w:r w:rsidRPr="00021DD2">
              <w:rPr>
                <w:rFonts w:cs="Arial"/>
                <w:lang w:val="en"/>
              </w:rPr>
              <w:t>(1)  Discrimination to which this Act applies is direct or indirect discrimination on the grounds of any prescribed attribute.</w:t>
            </w:r>
          </w:p>
          <w:p w:rsidR="006924AB" w:rsidRPr="00021DD2" w:rsidRDefault="006924AB" w:rsidP="006924AB">
            <w:pPr>
              <w:rPr>
                <w:rFonts w:cs="Arial"/>
                <w:lang w:val="en"/>
              </w:rPr>
            </w:pPr>
            <w:bookmarkStart w:id="188" w:name="GS14@Gs2@EN"/>
            <w:bookmarkEnd w:id="188"/>
            <w:r w:rsidRPr="00021DD2">
              <w:rPr>
                <w:rFonts w:cs="Arial"/>
                <w:lang w:val="en"/>
              </w:rPr>
              <w:t>(2)  Direct discrimination takes place if a person treats another person on the basis of any prescribed attribute, imputed prescribed attribute or a characteristic imputed to that attribute less favourably than a person without that attribute or characteristic.</w:t>
            </w:r>
          </w:p>
          <w:p w:rsidR="006924AB" w:rsidRPr="00021DD2" w:rsidRDefault="006924AB" w:rsidP="006924AB">
            <w:pPr>
              <w:rPr>
                <w:rFonts w:cs="Arial"/>
                <w:lang w:val="en"/>
              </w:rPr>
            </w:pPr>
            <w:bookmarkStart w:id="189" w:name="GS14@Gs3@EN"/>
            <w:bookmarkEnd w:id="189"/>
            <w:r w:rsidRPr="00021DD2">
              <w:rPr>
                <w:rFonts w:cs="Arial"/>
                <w:lang w:val="en"/>
              </w:rPr>
              <w:t xml:space="preserve">(3)  For direct discrimination to </w:t>
            </w:r>
            <w:r w:rsidR="004C3BCE">
              <w:rPr>
                <w:rFonts w:cs="Arial"/>
                <w:lang w:val="en"/>
              </w:rPr>
              <w:t>take place, it is not necessary</w:t>
            </w:r>
            <w:bookmarkStart w:id="190" w:name="GS14@Gs3@Hpa@EN"/>
            <w:bookmarkEnd w:id="190"/>
            <w:r w:rsidR="004C3BCE">
              <w:rPr>
                <w:rFonts w:cs="Arial"/>
                <w:lang w:val="en"/>
              </w:rPr>
              <w:t>–</w:t>
            </w:r>
          </w:p>
          <w:p w:rsidR="006924AB" w:rsidRPr="00021DD2" w:rsidRDefault="006924AB" w:rsidP="006924AB">
            <w:pPr>
              <w:rPr>
                <w:rFonts w:cs="Arial"/>
                <w:lang w:val="en"/>
              </w:rPr>
            </w:pPr>
            <w:r w:rsidRPr="00021DD2">
              <w:rPr>
                <w:rFonts w:cs="Arial"/>
                <w:lang w:val="en"/>
              </w:rPr>
              <w:t>(a) that the prescribed attribute be the sole or dominant ground for the unfavourable treatment; or</w:t>
            </w:r>
          </w:p>
          <w:p w:rsidR="006924AB" w:rsidRPr="00021DD2" w:rsidRDefault="006924AB" w:rsidP="006924AB">
            <w:pPr>
              <w:rPr>
                <w:rFonts w:cs="Arial"/>
                <w:lang w:val="en"/>
              </w:rPr>
            </w:pPr>
            <w:bookmarkStart w:id="191" w:name="GS14@Gs3@Hpb@EN"/>
            <w:bookmarkEnd w:id="191"/>
            <w:r w:rsidRPr="00021DD2">
              <w:rPr>
                <w:rFonts w:cs="Arial"/>
                <w:lang w:val="en"/>
              </w:rPr>
              <w:t>(b) that the person who discriminates regards the treatment as unfavourable; or</w:t>
            </w:r>
          </w:p>
          <w:p w:rsidR="006924AB" w:rsidRPr="00021DD2" w:rsidRDefault="006924AB" w:rsidP="006924AB">
            <w:pPr>
              <w:rPr>
                <w:rFonts w:cs="Arial"/>
                <w:lang w:val="en"/>
              </w:rPr>
            </w:pPr>
            <w:bookmarkStart w:id="192" w:name="GS14@Gs3@Hpc@EN"/>
            <w:bookmarkEnd w:id="192"/>
            <w:r w:rsidRPr="00021DD2">
              <w:rPr>
                <w:rFonts w:cs="Arial"/>
                <w:lang w:val="en"/>
              </w:rPr>
              <w:t>(c) that the person who discriminates has any particular motive in discriminating.</w:t>
            </w:r>
          </w:p>
          <w:p w:rsidR="006924AB" w:rsidRPr="00021DD2" w:rsidRDefault="006924AB" w:rsidP="006924AB">
            <w:pPr>
              <w:rPr>
                <w:rFonts w:cs="Arial"/>
                <w:i/>
                <w:lang w:val="en"/>
              </w:rPr>
            </w:pPr>
            <w:bookmarkStart w:id="193" w:name="GS15@EN"/>
            <w:bookmarkEnd w:id="193"/>
            <w:r w:rsidRPr="00021DD2">
              <w:rPr>
                <w:rFonts w:cs="Arial"/>
                <w:bCs/>
                <w:i/>
                <w:lang w:val="en"/>
              </w:rPr>
              <w:t>Section 15 –</w:t>
            </w:r>
            <w:r w:rsidRPr="00021DD2">
              <w:rPr>
                <w:rFonts w:cs="Arial"/>
                <w:i/>
                <w:lang w:val="en"/>
              </w:rPr>
              <w:t> </w:t>
            </w:r>
            <w:r w:rsidRPr="00021DD2">
              <w:rPr>
                <w:rFonts w:cs="Arial"/>
                <w:bCs/>
                <w:i/>
                <w:lang w:val="en"/>
              </w:rPr>
              <w:t>Indirect discrimination</w:t>
            </w:r>
          </w:p>
          <w:p w:rsidR="006924AB" w:rsidRPr="00021DD2" w:rsidRDefault="006924AB" w:rsidP="006924AB">
            <w:pPr>
              <w:rPr>
                <w:rFonts w:cs="Arial"/>
                <w:lang w:val="en"/>
              </w:rPr>
            </w:pPr>
            <w:bookmarkStart w:id="194" w:name="GS15@Gs1@EN"/>
            <w:bookmarkEnd w:id="194"/>
            <w:r w:rsidRPr="00021DD2">
              <w:rPr>
                <w:rFonts w:cs="Arial"/>
                <w:lang w:val="en"/>
              </w:rPr>
              <w:t xml:space="preserve">(1)  Indirect discrimination takes place if a person imposes a condition, requirement or practice which is unreasonable in the circumstances and has the effect of disadvantaging a </w:t>
            </w:r>
            <w:r w:rsidR="004C3BCE">
              <w:rPr>
                <w:rFonts w:cs="Arial"/>
                <w:lang w:val="en"/>
              </w:rPr>
              <w:t>member of a group of people who</w:t>
            </w:r>
            <w:r w:rsidRPr="00021DD2">
              <w:rPr>
                <w:rFonts w:cs="Arial"/>
                <w:lang w:val="en"/>
              </w:rPr>
              <w:t>–</w:t>
            </w:r>
            <w:bookmarkStart w:id="195" w:name="GS15@Gs1@Hpa@EN"/>
            <w:bookmarkEnd w:id="195"/>
          </w:p>
          <w:p w:rsidR="006924AB" w:rsidRPr="00021DD2" w:rsidRDefault="006924AB" w:rsidP="006924AB">
            <w:pPr>
              <w:rPr>
                <w:rFonts w:cs="Arial"/>
                <w:lang w:val="en"/>
              </w:rPr>
            </w:pPr>
            <w:r w:rsidRPr="00021DD2">
              <w:rPr>
                <w:rFonts w:cs="Arial"/>
                <w:lang w:val="en"/>
              </w:rPr>
              <w:t>(a) share, or are believed to share, a prescribed attribute; or</w:t>
            </w:r>
          </w:p>
          <w:p w:rsidR="006924AB" w:rsidRPr="00021DD2" w:rsidRDefault="006924AB" w:rsidP="006924AB">
            <w:pPr>
              <w:rPr>
                <w:rFonts w:cs="Arial"/>
                <w:lang w:val="en"/>
              </w:rPr>
            </w:pPr>
            <w:bookmarkStart w:id="196" w:name="GS15@Gs1@Hpb@EN"/>
            <w:bookmarkEnd w:id="196"/>
            <w:r w:rsidRPr="00021DD2">
              <w:rPr>
                <w:rFonts w:cs="Arial"/>
                <w:lang w:val="en"/>
              </w:rPr>
              <w:t>(b) share, or are believed to share, any of the characteri</w:t>
            </w:r>
            <w:r w:rsidR="004C3BCE">
              <w:rPr>
                <w:rFonts w:cs="Arial"/>
                <w:lang w:val="en"/>
              </w:rPr>
              <w:t>stics imputed to that attribute</w:t>
            </w:r>
            <w:r w:rsidRPr="00021DD2">
              <w:rPr>
                <w:rFonts w:cs="Arial"/>
                <w:lang w:val="en"/>
              </w:rPr>
              <w:t>–</w:t>
            </w:r>
          </w:p>
          <w:p w:rsidR="006924AB" w:rsidRPr="00021DD2" w:rsidRDefault="006924AB" w:rsidP="006924AB">
            <w:pPr>
              <w:rPr>
                <w:rFonts w:cs="Arial"/>
                <w:lang w:val="en"/>
              </w:rPr>
            </w:pPr>
            <w:r w:rsidRPr="00021DD2">
              <w:rPr>
                <w:rFonts w:cs="Arial"/>
                <w:lang w:val="en"/>
              </w:rPr>
              <w:t>more than a person who is not a member of that group.</w:t>
            </w:r>
          </w:p>
          <w:p w:rsidR="006924AB" w:rsidRPr="00021DD2" w:rsidRDefault="006924AB" w:rsidP="006924AB">
            <w:pPr>
              <w:rPr>
                <w:rFonts w:cs="Arial"/>
                <w:lang w:val="en"/>
              </w:rPr>
            </w:pPr>
            <w:bookmarkStart w:id="197" w:name="GS15@Gs2@EN"/>
            <w:bookmarkEnd w:id="197"/>
            <w:r w:rsidRPr="00021DD2">
              <w:rPr>
                <w:rFonts w:cs="Arial"/>
                <w:lang w:val="en"/>
              </w:rPr>
              <w:t>(2)  For indirect discrimination to take place, it is not necessary that the person who discriminates is aware that the condition, requirement or practice disadvantages the group of people.</w:t>
            </w:r>
          </w:p>
          <w:p w:rsidR="006924AB" w:rsidRPr="00021DD2" w:rsidRDefault="006924AB" w:rsidP="006924AB">
            <w:pPr>
              <w:rPr>
                <w:rFonts w:cs="Arial"/>
                <w:i/>
              </w:rPr>
            </w:pPr>
            <w:r w:rsidRPr="00021DD2">
              <w:rPr>
                <w:rFonts w:cs="Arial"/>
                <w:i/>
              </w:rPr>
              <w:t>Section 16 – Discrimination on ground of attribute</w:t>
            </w:r>
          </w:p>
          <w:p w:rsidR="006924AB" w:rsidRPr="00021DD2" w:rsidRDefault="006924AB" w:rsidP="00AC0CF2">
            <w:pPr>
              <w:spacing w:before="120" w:after="120"/>
              <w:rPr>
                <w:rFonts w:cs="Arial"/>
              </w:rPr>
            </w:pPr>
            <w:r w:rsidRPr="00021DD2">
              <w:rPr>
                <w:rFonts w:cs="Arial"/>
              </w:rPr>
              <w:t xml:space="preserve">A person must not discriminate against another person on the ground of any of the following attributes: </w:t>
            </w:r>
          </w:p>
          <w:p w:rsidR="006924AB" w:rsidRPr="00021DD2" w:rsidRDefault="006924AB" w:rsidP="00AC0CF2">
            <w:pPr>
              <w:spacing w:before="120" w:after="120"/>
              <w:rPr>
                <w:rFonts w:cs="Arial"/>
              </w:rPr>
            </w:pPr>
            <w:r w:rsidRPr="00021DD2">
              <w:rPr>
                <w:rFonts w:cs="Arial"/>
              </w:rPr>
              <w:t>…</w:t>
            </w:r>
          </w:p>
          <w:p w:rsidR="006924AB" w:rsidRPr="00021DD2" w:rsidRDefault="006924AB" w:rsidP="006924AB">
            <w:pPr>
              <w:pStyle w:val="Paragrafoelenco"/>
              <w:ind w:left="360"/>
            </w:pPr>
            <w:r w:rsidRPr="00021DD2">
              <w:t xml:space="preserve">(g) pregnancy; </w:t>
            </w:r>
          </w:p>
          <w:p w:rsidR="006924AB" w:rsidRPr="00021DD2" w:rsidRDefault="006924AB" w:rsidP="006924AB">
            <w:pPr>
              <w:pStyle w:val="Paragrafoelenco"/>
              <w:ind w:left="360"/>
            </w:pPr>
            <w:r w:rsidRPr="00021DD2">
              <w:t>(h) breastfeeding;</w:t>
            </w:r>
          </w:p>
          <w:p w:rsidR="006924AB" w:rsidRPr="00021DD2" w:rsidRDefault="006924AB" w:rsidP="006924AB">
            <w:pPr>
              <w:pStyle w:val="Paragrafoelenco"/>
              <w:ind w:left="360"/>
            </w:pPr>
            <w:r w:rsidRPr="00021DD2">
              <w:t>(i) parental status;</w:t>
            </w:r>
          </w:p>
          <w:p w:rsidR="006924AB" w:rsidRPr="00021DD2" w:rsidRDefault="006924AB" w:rsidP="006924AB">
            <w:pPr>
              <w:pStyle w:val="Paragrafoelenco"/>
              <w:ind w:left="360"/>
            </w:pPr>
            <w:r w:rsidRPr="00021DD2">
              <w:t>(j) family responsibilities…</w:t>
            </w:r>
          </w:p>
          <w:p w:rsidR="006924AB" w:rsidRPr="00021DD2" w:rsidRDefault="006924AB" w:rsidP="006924AB">
            <w:pPr>
              <w:rPr>
                <w:rFonts w:cs="Arial"/>
                <w:i/>
              </w:rPr>
            </w:pPr>
            <w:r w:rsidRPr="00021DD2">
              <w:rPr>
                <w:rFonts w:cs="Arial"/>
                <w:i/>
              </w:rPr>
              <w:t>Section 22 – Application of Act to certain areas of activity</w:t>
            </w:r>
          </w:p>
          <w:p w:rsidR="006924AB" w:rsidRPr="00021DD2" w:rsidRDefault="006924AB" w:rsidP="00B934D7">
            <w:pPr>
              <w:pStyle w:val="Paragrafoelenco"/>
              <w:numPr>
                <w:ilvl w:val="0"/>
                <w:numId w:val="111"/>
              </w:numPr>
              <w:spacing w:before="120" w:after="120"/>
              <w:ind w:left="360"/>
              <w:contextualSpacing w:val="0"/>
              <w:jc w:val="left"/>
            </w:pPr>
            <w:r w:rsidRPr="00021DD2">
              <w:t>Subject to the exceptions and exemptions specified in Part 5, this Act applies to discrimination and prohibited conduct, other than inciting hatred, by or against a person engaged in, or undertaking any, activity in connection with any of the following:</w:t>
            </w:r>
          </w:p>
          <w:p w:rsidR="006924AB" w:rsidRPr="00021DD2" w:rsidRDefault="006924AB" w:rsidP="00AC0CF2">
            <w:pPr>
              <w:spacing w:before="120" w:after="120"/>
              <w:rPr>
                <w:rFonts w:cs="Arial"/>
              </w:rPr>
            </w:pPr>
            <w:r w:rsidRPr="00021DD2">
              <w:rPr>
                <w:rFonts w:cs="Arial"/>
              </w:rPr>
              <w:t>…</w:t>
            </w:r>
          </w:p>
          <w:p w:rsidR="006924AB" w:rsidRPr="00021DD2" w:rsidRDefault="006924AB" w:rsidP="00B934D7">
            <w:pPr>
              <w:pStyle w:val="Paragrafoelenco"/>
              <w:numPr>
                <w:ilvl w:val="0"/>
                <w:numId w:val="121"/>
              </w:numPr>
              <w:spacing w:before="120" w:after="120"/>
              <w:ind w:left="360"/>
              <w:contextualSpacing w:val="0"/>
              <w:jc w:val="left"/>
            </w:pPr>
            <w:r w:rsidRPr="00021DD2">
              <w:t>education and training;</w:t>
            </w:r>
          </w:p>
          <w:p w:rsidR="006924AB" w:rsidRPr="00021DD2" w:rsidRDefault="006924AB" w:rsidP="006924AB">
            <w:pPr>
              <w:rPr>
                <w:rFonts w:cs="Arial"/>
                <w:i/>
              </w:rPr>
            </w:pPr>
            <w:r w:rsidRPr="00021DD2">
              <w:rPr>
                <w:rFonts w:cs="Arial"/>
                <w:i/>
              </w:rPr>
              <w:t>Section 28 – Family responsibilities and other attributes</w:t>
            </w:r>
          </w:p>
          <w:p w:rsidR="006924AB" w:rsidRPr="00021DD2" w:rsidRDefault="006924AB" w:rsidP="006924AB">
            <w:pPr>
              <w:rPr>
                <w:rFonts w:cs="Arial"/>
              </w:rPr>
            </w:pPr>
            <w:r w:rsidRPr="00021DD2">
              <w:rPr>
                <w:rFonts w:cs="Arial"/>
              </w:rPr>
              <w:t>A person may discriminate against another person on the ground of family responsibilities, parental status, pregnancy, breastfeeding, marital status or relationship status if that other person requires special services and facilities the supply of which would impose unjustifiable hardship.</w:t>
            </w:r>
          </w:p>
          <w:p w:rsidR="006924AB" w:rsidRPr="00021DD2" w:rsidRDefault="006924AB" w:rsidP="006924AB">
            <w:pPr>
              <w:rPr>
                <w:rFonts w:cs="Arial"/>
              </w:rPr>
            </w:pPr>
            <w:r w:rsidRPr="00021DD2">
              <w:rPr>
                <w:rFonts w:cs="Arial"/>
                <w:i/>
                <w:color w:val="000000"/>
                <w:szCs w:val="18"/>
              </w:rPr>
              <w:t>See also Part 5, Division 11 on exemptions from the Act.</w:t>
            </w:r>
          </w:p>
        </w:tc>
      </w:tr>
      <w:tr w:rsidR="006924AB" w:rsidRPr="00021DD2" w:rsidTr="006924AB">
        <w:trPr>
          <w:cnfStyle w:val="000000100000" w:firstRow="0" w:lastRow="0" w:firstColumn="0" w:lastColumn="0" w:oddVBand="0" w:evenVBand="0" w:oddHBand="1" w:evenHBand="0" w:firstRowFirstColumn="0" w:firstRowLastColumn="0" w:lastRowFirstColumn="0" w:lastRowLastColumn="0"/>
        </w:trPr>
        <w:tc>
          <w:tcPr>
            <w:tcW w:w="1645" w:type="dxa"/>
          </w:tcPr>
          <w:p w:rsidR="006924AB" w:rsidRPr="00021DD2" w:rsidRDefault="006924AB" w:rsidP="006924AB">
            <w:pPr>
              <w:rPr>
                <w:rFonts w:cs="Arial"/>
                <w:b/>
              </w:rPr>
            </w:pPr>
            <w:r w:rsidRPr="00021DD2">
              <w:rPr>
                <w:rFonts w:cs="Arial"/>
              </w:rPr>
              <w:t>Case law</w:t>
            </w:r>
          </w:p>
        </w:tc>
        <w:tc>
          <w:tcPr>
            <w:tcW w:w="7281" w:type="dxa"/>
          </w:tcPr>
          <w:p w:rsidR="006924AB" w:rsidRPr="00021DD2" w:rsidRDefault="006924AB" w:rsidP="006924AB">
            <w:pPr>
              <w:rPr>
                <w:rFonts w:cs="Arial"/>
              </w:rPr>
            </w:pPr>
            <w:r w:rsidRPr="00021DD2">
              <w:rPr>
                <w:rFonts w:cs="Arial"/>
              </w:rPr>
              <w:t>Not applicable.</w:t>
            </w:r>
          </w:p>
        </w:tc>
      </w:tr>
    </w:tbl>
    <w:p w:rsidR="006D6540" w:rsidRDefault="006D6540" w:rsidP="00EC5173">
      <w:pPr>
        <w:tabs>
          <w:tab w:val="left" w:pos="2745"/>
        </w:tabs>
        <w:rPr>
          <w:rFonts w:cs="Arial"/>
        </w:rPr>
      </w:pPr>
    </w:p>
    <w:p w:rsidR="000B7B1F" w:rsidRDefault="002C4F5D" w:rsidP="002C4F5D">
      <w:pPr>
        <w:keepLines w:val="0"/>
        <w:spacing w:before="0" w:after="0"/>
        <w:rPr>
          <w:rFonts w:cs="Arial"/>
        </w:rPr>
      </w:pPr>
      <w:r>
        <w:rPr>
          <w:rFonts w:cs="Arial"/>
        </w:rPr>
        <w:br w:type="page"/>
      </w:r>
    </w:p>
    <w:p w:rsidR="000B7B1F" w:rsidRDefault="000B7B1F" w:rsidP="00EC5173">
      <w:pPr>
        <w:tabs>
          <w:tab w:val="left" w:pos="2745"/>
        </w:tabs>
        <w:rPr>
          <w:rFonts w:cs="Arial"/>
        </w:rPr>
      </w:pPr>
    </w:p>
    <w:p w:rsidR="000B7B1F" w:rsidRPr="00021DD2" w:rsidRDefault="000B7B1F" w:rsidP="00EC5173">
      <w:pPr>
        <w:tabs>
          <w:tab w:val="left" w:pos="2745"/>
        </w:tabs>
        <w:rPr>
          <w:rFonts w:cs="Arial"/>
        </w:rPr>
        <w:sectPr w:rsidR="000B7B1F" w:rsidRPr="00021DD2" w:rsidSect="003716C0">
          <w:endnotePr>
            <w:numFmt w:val="decimal"/>
            <w:numRestart w:val="eachSect"/>
          </w:endnotePr>
          <w:pgSz w:w="11906" w:h="16838" w:code="9"/>
          <w:pgMar w:top="1134" w:right="1418" w:bottom="1134" w:left="1418" w:header="709" w:footer="709" w:gutter="0"/>
          <w:cols w:space="708"/>
          <w:docGrid w:linePitch="360"/>
        </w:sectPr>
      </w:pPr>
    </w:p>
    <w:p w:rsidR="000A5502" w:rsidRPr="00021DD2" w:rsidRDefault="000A5502" w:rsidP="002C4F5D">
      <w:pPr>
        <w:pStyle w:val="Titolo6"/>
      </w:pPr>
      <w:bookmarkStart w:id="198" w:name="_Toc500308860"/>
      <w:r w:rsidRPr="00021DD2">
        <w:t>State and territory child protection policies and data collection relevant to young parents</w:t>
      </w:r>
      <w:bookmarkEnd w:id="198"/>
    </w:p>
    <w:p w:rsidR="000A5502" w:rsidRPr="00021DD2" w:rsidRDefault="000A5502" w:rsidP="000A5502">
      <w:pPr>
        <w:rPr>
          <w:rFonts w:cs="Arial"/>
        </w:rPr>
      </w:pPr>
      <w:r w:rsidRPr="00021DD2">
        <w:rPr>
          <w:rFonts w:cs="Arial"/>
        </w:rPr>
        <w:t>The following table presents information received from state and territory child protection departments:</w:t>
      </w:r>
    </w:p>
    <w:tbl>
      <w:tblPr>
        <w:tblStyle w:val="Grigliatabella"/>
        <w:tblW w:w="0" w:type="auto"/>
        <w:tblLook w:val="04A0" w:firstRow="1" w:lastRow="0" w:firstColumn="1" w:lastColumn="0" w:noHBand="0" w:noVBand="1"/>
      </w:tblPr>
      <w:tblGrid>
        <w:gridCol w:w="1590"/>
        <w:gridCol w:w="2800"/>
        <w:gridCol w:w="2835"/>
        <w:gridCol w:w="2835"/>
        <w:gridCol w:w="4394"/>
      </w:tblGrid>
      <w:tr w:rsidR="000A5502" w:rsidRPr="00021DD2" w:rsidTr="00EB5EEF">
        <w:tc>
          <w:tcPr>
            <w:tcW w:w="1590" w:type="dxa"/>
          </w:tcPr>
          <w:p w:rsidR="000A5502" w:rsidRPr="00021DD2" w:rsidRDefault="000A5502" w:rsidP="00EB5EEF">
            <w:pPr>
              <w:rPr>
                <w:rFonts w:cs="Arial"/>
                <w:b/>
              </w:rPr>
            </w:pPr>
            <w:r w:rsidRPr="00021DD2">
              <w:rPr>
                <w:rFonts w:cs="Arial"/>
                <w:b/>
              </w:rPr>
              <w:t>Jurisdiction</w:t>
            </w:r>
          </w:p>
        </w:tc>
        <w:tc>
          <w:tcPr>
            <w:tcW w:w="2800" w:type="dxa"/>
          </w:tcPr>
          <w:p w:rsidR="000A5502" w:rsidRPr="00021DD2" w:rsidRDefault="000A5502" w:rsidP="00EB5EEF">
            <w:pPr>
              <w:rPr>
                <w:rFonts w:cs="Arial"/>
                <w:b/>
              </w:rPr>
            </w:pPr>
            <w:r w:rsidRPr="00021DD2">
              <w:rPr>
                <w:rFonts w:cs="Arial"/>
                <w:b/>
              </w:rPr>
              <w:t>Child protection laws, policies or processes on reporting (mandatory or non-mandatory) in relation to young parents, their children or a pregnant young person</w:t>
            </w:r>
            <w:r w:rsidR="000F10F4">
              <w:rPr>
                <w:rFonts w:cs="Arial"/>
                <w:b/>
              </w:rPr>
              <w:t xml:space="preserve"> </w:t>
            </w:r>
          </w:p>
        </w:tc>
        <w:tc>
          <w:tcPr>
            <w:tcW w:w="2835" w:type="dxa"/>
          </w:tcPr>
          <w:p w:rsidR="000A5502" w:rsidRPr="00021DD2" w:rsidRDefault="000A5502" w:rsidP="00EB5EEF">
            <w:pPr>
              <w:rPr>
                <w:rFonts w:cs="Arial"/>
                <w:b/>
              </w:rPr>
            </w:pPr>
            <w:r w:rsidRPr="00021DD2">
              <w:rPr>
                <w:rFonts w:cs="Arial"/>
                <w:b/>
              </w:rPr>
              <w:t xml:space="preserve">Whether the age of a young person is captured in reporting processes </w:t>
            </w:r>
          </w:p>
        </w:tc>
        <w:tc>
          <w:tcPr>
            <w:tcW w:w="2835" w:type="dxa"/>
          </w:tcPr>
          <w:p w:rsidR="000A5502" w:rsidRPr="00021DD2" w:rsidRDefault="000A5502" w:rsidP="00EB5EEF">
            <w:pPr>
              <w:rPr>
                <w:rFonts w:cs="Arial"/>
                <w:b/>
              </w:rPr>
            </w:pPr>
            <w:r w:rsidRPr="00021DD2">
              <w:rPr>
                <w:rFonts w:cs="Arial"/>
                <w:b/>
              </w:rPr>
              <w:t xml:space="preserve">Authorities to which reporting or notification applies </w:t>
            </w:r>
          </w:p>
        </w:tc>
        <w:tc>
          <w:tcPr>
            <w:tcW w:w="4394" w:type="dxa"/>
          </w:tcPr>
          <w:p w:rsidR="000A5502" w:rsidRPr="00021DD2" w:rsidRDefault="000A5502" w:rsidP="00EB5EEF">
            <w:pPr>
              <w:rPr>
                <w:rFonts w:cs="Arial"/>
                <w:b/>
              </w:rPr>
            </w:pPr>
            <w:r w:rsidRPr="00021DD2">
              <w:rPr>
                <w:rFonts w:cs="Arial"/>
                <w:b/>
              </w:rPr>
              <w:t xml:space="preserve">Available data on young parents and their children, and pregnant young people, in the child protection system in the 2015/16 financial year </w:t>
            </w:r>
          </w:p>
        </w:tc>
      </w:tr>
      <w:tr w:rsidR="000A5502" w:rsidRPr="00021DD2" w:rsidTr="00EB5EEF">
        <w:tc>
          <w:tcPr>
            <w:tcW w:w="1590" w:type="dxa"/>
          </w:tcPr>
          <w:p w:rsidR="000A5502" w:rsidRPr="00021DD2" w:rsidRDefault="000A5502" w:rsidP="00EB5EEF">
            <w:pPr>
              <w:rPr>
                <w:rFonts w:cs="Arial"/>
                <w:b/>
              </w:rPr>
            </w:pPr>
            <w:r w:rsidRPr="00021DD2">
              <w:rPr>
                <w:rFonts w:cs="Arial"/>
                <w:b/>
              </w:rPr>
              <w:t>Queensland</w:t>
            </w:r>
          </w:p>
        </w:tc>
        <w:tc>
          <w:tcPr>
            <w:tcW w:w="2800" w:type="dxa"/>
          </w:tcPr>
          <w:p w:rsidR="000A5502" w:rsidRDefault="000A5502" w:rsidP="00EB5EEF">
            <w:pPr>
              <w:rPr>
                <w:rFonts w:cs="Arial"/>
              </w:rPr>
            </w:pPr>
            <w:r w:rsidRPr="00021DD2">
              <w:rPr>
                <w:rFonts w:cs="Arial"/>
              </w:rPr>
              <w:t xml:space="preserve">No mandatory reporting. </w:t>
            </w:r>
          </w:p>
          <w:p w:rsidR="004C3BCE" w:rsidRPr="00021DD2" w:rsidRDefault="004C3BCE" w:rsidP="00EB5EEF">
            <w:pPr>
              <w:rPr>
                <w:rFonts w:cs="Arial"/>
              </w:rPr>
            </w:pPr>
          </w:p>
          <w:p w:rsidR="000A5502" w:rsidRPr="00021DD2" w:rsidRDefault="000A5502" w:rsidP="00EB5EEF">
            <w:pPr>
              <w:rPr>
                <w:rFonts w:cs="Arial"/>
              </w:rPr>
            </w:pPr>
            <w:r w:rsidRPr="00021DD2">
              <w:rPr>
                <w:rFonts w:cs="Arial"/>
              </w:rPr>
              <w:t>It is Departmental policy that irrespective of whether a child is considered to be in need of protection, when a medical practitioner confirms that a child under 16 years old is pregnant, the Police Commissioner is also immediately informed.</w:t>
            </w:r>
            <w:r w:rsidRPr="00021DD2">
              <w:rPr>
                <w:rFonts w:cs="Arial"/>
                <w:vertAlign w:val="superscript"/>
              </w:rPr>
              <w:endnoteReference w:id="858"/>
            </w:r>
          </w:p>
        </w:tc>
        <w:tc>
          <w:tcPr>
            <w:tcW w:w="2835" w:type="dxa"/>
          </w:tcPr>
          <w:p w:rsidR="000A5502" w:rsidRPr="00021DD2" w:rsidRDefault="000A5502" w:rsidP="00EB5EEF">
            <w:pPr>
              <w:rPr>
                <w:rFonts w:cs="Arial"/>
              </w:rPr>
            </w:pPr>
            <w:r w:rsidRPr="00021DD2">
              <w:rPr>
                <w:rFonts w:cs="Arial"/>
              </w:rPr>
              <w:t xml:space="preserve">No – the age of the young person is not relevant to the processes of reporting. </w:t>
            </w:r>
          </w:p>
          <w:p w:rsidR="000A5502" w:rsidRPr="00021DD2" w:rsidRDefault="000A5502" w:rsidP="00EB5EEF">
            <w:pPr>
              <w:rPr>
                <w:rFonts w:cs="Arial"/>
              </w:rPr>
            </w:pPr>
          </w:p>
          <w:p w:rsidR="000A5502" w:rsidRPr="00021DD2" w:rsidRDefault="000A5502" w:rsidP="00EB5EEF">
            <w:pPr>
              <w:rPr>
                <w:rFonts w:cs="Arial"/>
              </w:rPr>
            </w:pPr>
            <w:r w:rsidRPr="00021DD2">
              <w:rPr>
                <w:rFonts w:cs="Arial"/>
              </w:rPr>
              <w:t>Where both an adolescent parent and their child are ‘in need of protection’, separate notifications are made to ensure that the needs of both young people are met.</w:t>
            </w:r>
            <w:r w:rsidRPr="00021DD2">
              <w:rPr>
                <w:rFonts w:cs="Arial"/>
                <w:vertAlign w:val="superscript"/>
              </w:rPr>
              <w:endnoteReference w:id="859"/>
            </w:r>
            <w:r w:rsidRPr="00021DD2">
              <w:rPr>
                <w:rFonts w:cs="Arial"/>
              </w:rPr>
              <w:t xml:space="preserve"> </w:t>
            </w:r>
          </w:p>
          <w:p w:rsidR="000A5502" w:rsidRPr="00021DD2" w:rsidRDefault="000A5502" w:rsidP="00EB5EEF">
            <w:pPr>
              <w:rPr>
                <w:rFonts w:cs="Arial"/>
              </w:rPr>
            </w:pPr>
            <w:r w:rsidRPr="00021DD2">
              <w:rPr>
                <w:rFonts w:cs="Arial"/>
              </w:rPr>
              <w:t>Notifications regarding the care and protection of an unborn child can be received and investigated by the Department. However, prior to the birth of the child, any intervention to support the mother can only occur ‘with the consent of the pregnant woman and must not interfere with her rights and liberties’.</w:t>
            </w:r>
            <w:r w:rsidRPr="00021DD2">
              <w:rPr>
                <w:rFonts w:cs="Arial"/>
                <w:vertAlign w:val="superscript"/>
              </w:rPr>
              <w:endnoteReference w:id="860"/>
            </w:r>
          </w:p>
        </w:tc>
        <w:tc>
          <w:tcPr>
            <w:tcW w:w="2835" w:type="dxa"/>
          </w:tcPr>
          <w:p w:rsidR="000A5502" w:rsidRPr="00021DD2" w:rsidRDefault="000A5502" w:rsidP="00EB5EEF">
            <w:pPr>
              <w:rPr>
                <w:rFonts w:cs="Arial"/>
              </w:rPr>
            </w:pPr>
            <w:r w:rsidRPr="00021DD2">
              <w:rPr>
                <w:rFonts w:cs="Arial"/>
              </w:rPr>
              <w:t xml:space="preserve">Any person may report voluntarily. </w:t>
            </w:r>
          </w:p>
          <w:p w:rsidR="000A5502" w:rsidRPr="00021DD2" w:rsidRDefault="000A5502" w:rsidP="00EB5EEF">
            <w:pPr>
              <w:rPr>
                <w:rFonts w:cs="Arial"/>
              </w:rPr>
            </w:pPr>
          </w:p>
          <w:p w:rsidR="000A5502" w:rsidRPr="00021DD2" w:rsidRDefault="000A5502" w:rsidP="00EB5EEF">
            <w:pPr>
              <w:rPr>
                <w:rFonts w:cs="Arial"/>
              </w:rPr>
            </w:pPr>
            <w:r w:rsidRPr="00021DD2">
              <w:rPr>
                <w:rFonts w:cs="Arial"/>
              </w:rPr>
              <w:t>Mandatory reporters include: doctors, nurses, teachers, certain police officers, particular statutory officer holders, early childhood education, care professionals, Child Safety employees and employees of licensed care services.</w:t>
            </w:r>
            <w:r w:rsidRPr="00021DD2">
              <w:rPr>
                <w:rFonts w:cs="Arial"/>
                <w:vertAlign w:val="superscript"/>
              </w:rPr>
              <w:endnoteReference w:id="861"/>
            </w:r>
            <w:r w:rsidRPr="00021DD2">
              <w:rPr>
                <w:rFonts w:cs="Arial"/>
              </w:rPr>
              <w:t xml:space="preserve"> </w:t>
            </w:r>
          </w:p>
        </w:tc>
        <w:tc>
          <w:tcPr>
            <w:tcW w:w="4394" w:type="dxa"/>
          </w:tcPr>
          <w:p w:rsidR="000A5502" w:rsidRPr="00021DD2" w:rsidRDefault="000A5502" w:rsidP="00EB5EEF">
            <w:pPr>
              <w:rPr>
                <w:rFonts w:cs="Arial"/>
              </w:rPr>
            </w:pPr>
            <w:r w:rsidRPr="00021DD2">
              <w:rPr>
                <w:rFonts w:cs="Arial"/>
              </w:rPr>
              <w:t xml:space="preserve">Data is collected on a household basis rather than on an individual parent basis. </w:t>
            </w:r>
          </w:p>
          <w:p w:rsidR="000A5502" w:rsidRPr="00021DD2" w:rsidRDefault="000A5502" w:rsidP="00EB5EEF">
            <w:pPr>
              <w:rPr>
                <w:rFonts w:cs="Arial"/>
              </w:rPr>
            </w:pPr>
            <w:r w:rsidRPr="00021DD2">
              <w:rPr>
                <w:rFonts w:cs="Arial"/>
              </w:rPr>
              <w:t xml:space="preserve">During 2015/16, there were 2,184 households which were the subject of a child protection investigation and assessment where at least 1 child was assessed to be in need of protection. Of these: </w:t>
            </w:r>
          </w:p>
          <w:p w:rsidR="000A5502" w:rsidRPr="00021DD2" w:rsidRDefault="000A5502" w:rsidP="00B934D7">
            <w:pPr>
              <w:pStyle w:val="Paragrafoelenco"/>
              <w:numPr>
                <w:ilvl w:val="0"/>
                <w:numId w:val="134"/>
              </w:numPr>
              <w:jc w:val="left"/>
            </w:pPr>
            <w:r w:rsidRPr="00021DD2">
              <w:t>118 households (5%) identified a young parent as the primary carer. This amounted to 154 children and 141 of these children were assessed to be in ‘need of protection and requiring ongoing intervention’.</w:t>
            </w:r>
            <w:r w:rsidRPr="00021DD2">
              <w:rPr>
                <w:rStyle w:val="Rimandonotadichiusura"/>
              </w:rPr>
              <w:endnoteReference w:id="862"/>
            </w:r>
            <w:r w:rsidR="000F10F4">
              <w:t xml:space="preserve"> </w:t>
            </w:r>
          </w:p>
          <w:p w:rsidR="000A5502" w:rsidRPr="00021DD2" w:rsidRDefault="000A5502" w:rsidP="00B934D7">
            <w:pPr>
              <w:pStyle w:val="Paragrafoelenco"/>
              <w:numPr>
                <w:ilvl w:val="0"/>
                <w:numId w:val="134"/>
              </w:numPr>
              <w:jc w:val="left"/>
            </w:pPr>
            <w:r w:rsidRPr="00021DD2">
              <w:t>In 87% of these households, the primary carer was identified as being previously neglected or abused when they were a child (compared with 54% for other households).</w:t>
            </w:r>
            <w:r w:rsidRPr="00021DD2">
              <w:rPr>
                <w:rStyle w:val="Rimandonotadichiusura"/>
              </w:rPr>
              <w:endnoteReference w:id="863"/>
            </w:r>
            <w:r w:rsidR="000F10F4">
              <w:t xml:space="preserve"> </w:t>
            </w:r>
          </w:p>
          <w:p w:rsidR="000A5502" w:rsidRPr="00021DD2" w:rsidRDefault="000A5502" w:rsidP="00B934D7">
            <w:pPr>
              <w:pStyle w:val="Paragrafoelenco"/>
              <w:numPr>
                <w:ilvl w:val="0"/>
                <w:numId w:val="134"/>
              </w:numPr>
              <w:jc w:val="left"/>
            </w:pPr>
            <w:r w:rsidRPr="00021DD2">
              <w:t>53% of young parent households were identified as Aboriginal or Torres Strait Islander households (with at least one parent or child identifying as Aboriginal or Torres Strait Islander).</w:t>
            </w:r>
            <w:r w:rsidRPr="00021DD2">
              <w:rPr>
                <w:rStyle w:val="Rimandonotadichiusura"/>
              </w:rPr>
              <w:endnoteReference w:id="864"/>
            </w:r>
            <w:r w:rsidRPr="00021DD2">
              <w:t xml:space="preserve"> </w:t>
            </w:r>
          </w:p>
        </w:tc>
      </w:tr>
      <w:tr w:rsidR="000A5502" w:rsidRPr="00021DD2" w:rsidTr="00EB5EEF">
        <w:tc>
          <w:tcPr>
            <w:tcW w:w="1590" w:type="dxa"/>
          </w:tcPr>
          <w:p w:rsidR="000A5502" w:rsidRPr="00021DD2" w:rsidRDefault="000A5502" w:rsidP="00EB5EEF">
            <w:pPr>
              <w:rPr>
                <w:rFonts w:cs="Arial"/>
                <w:b/>
              </w:rPr>
            </w:pPr>
            <w:r w:rsidRPr="00021DD2">
              <w:rPr>
                <w:rFonts w:cs="Arial"/>
                <w:b/>
              </w:rPr>
              <w:t>Northern Territory</w:t>
            </w:r>
          </w:p>
        </w:tc>
        <w:tc>
          <w:tcPr>
            <w:tcW w:w="2800" w:type="dxa"/>
          </w:tcPr>
          <w:p w:rsidR="000A5502" w:rsidRPr="00021DD2" w:rsidRDefault="000A5502" w:rsidP="00EB5EEF">
            <w:pPr>
              <w:rPr>
                <w:rFonts w:cs="Arial"/>
              </w:rPr>
            </w:pPr>
            <w:r w:rsidRPr="00021DD2">
              <w:rPr>
                <w:rFonts w:cs="Arial"/>
              </w:rPr>
              <w:t xml:space="preserve">No mandatory reporting. </w:t>
            </w:r>
          </w:p>
          <w:p w:rsidR="000A5502" w:rsidRPr="00021DD2" w:rsidRDefault="000A5502" w:rsidP="00EB5EEF">
            <w:pPr>
              <w:rPr>
                <w:rFonts w:cs="Arial"/>
              </w:rPr>
            </w:pPr>
          </w:p>
        </w:tc>
        <w:tc>
          <w:tcPr>
            <w:tcW w:w="2835" w:type="dxa"/>
          </w:tcPr>
          <w:p w:rsidR="000A5502" w:rsidRPr="00021DD2" w:rsidRDefault="000A5502" w:rsidP="00EB5EEF">
            <w:pPr>
              <w:rPr>
                <w:rFonts w:cs="Arial"/>
              </w:rPr>
            </w:pPr>
            <w:r w:rsidRPr="00021DD2">
              <w:rPr>
                <w:rFonts w:cs="Arial"/>
              </w:rPr>
              <w:t>No - the reporting process does not take into account whether a young person (under age 18) is pregnant.</w:t>
            </w:r>
            <w:r w:rsidRPr="00021DD2">
              <w:rPr>
                <w:rFonts w:cs="Arial"/>
                <w:vertAlign w:val="superscript"/>
              </w:rPr>
              <w:endnoteReference w:id="865"/>
            </w:r>
          </w:p>
          <w:p w:rsidR="000A5502" w:rsidRPr="00021DD2" w:rsidRDefault="000A5502" w:rsidP="00EB5EEF">
            <w:pPr>
              <w:rPr>
                <w:rFonts w:cs="Arial"/>
              </w:rPr>
            </w:pPr>
          </w:p>
          <w:p w:rsidR="000A5502" w:rsidRPr="00021DD2" w:rsidRDefault="000A5502" w:rsidP="00EB5EEF">
            <w:pPr>
              <w:rPr>
                <w:rFonts w:cs="Arial"/>
              </w:rPr>
            </w:pPr>
            <w:r w:rsidRPr="00021DD2">
              <w:rPr>
                <w:rFonts w:cs="Arial"/>
              </w:rPr>
              <w:t>Territory Families can receive a notification about the concerns for the welfare of an unborn child, but the legislation does not provide powers to investigate the notification. Where necessary, however, (ie if the notification would have warranted a child protection report had the child been born) an alert can be activated for follow up when the child is born.</w:t>
            </w:r>
            <w:r w:rsidRPr="00021DD2">
              <w:rPr>
                <w:rFonts w:cs="Arial"/>
                <w:vertAlign w:val="superscript"/>
              </w:rPr>
              <w:endnoteReference w:id="866"/>
            </w:r>
            <w:r w:rsidRPr="00021DD2">
              <w:rPr>
                <w:rFonts w:cs="Arial"/>
              </w:rPr>
              <w:t xml:space="preserve"> </w:t>
            </w:r>
          </w:p>
        </w:tc>
        <w:tc>
          <w:tcPr>
            <w:tcW w:w="2835" w:type="dxa"/>
          </w:tcPr>
          <w:p w:rsidR="000A5502" w:rsidRPr="00021DD2" w:rsidRDefault="000A5502" w:rsidP="00EB5EEF">
            <w:pPr>
              <w:rPr>
                <w:rFonts w:cs="Arial"/>
              </w:rPr>
            </w:pPr>
            <w:r w:rsidRPr="00021DD2">
              <w:rPr>
                <w:rFonts w:cs="Arial"/>
              </w:rPr>
              <w:t>‘All persons’ in the NT are considered mandatory reporters.</w:t>
            </w:r>
            <w:r w:rsidRPr="00021DD2">
              <w:rPr>
                <w:rFonts w:cs="Arial"/>
                <w:vertAlign w:val="superscript"/>
              </w:rPr>
              <w:endnoteReference w:id="867"/>
            </w:r>
            <w:r w:rsidRPr="00021DD2">
              <w:rPr>
                <w:rFonts w:cs="Arial"/>
              </w:rPr>
              <w:t xml:space="preserve"> </w:t>
            </w:r>
          </w:p>
        </w:tc>
        <w:tc>
          <w:tcPr>
            <w:tcW w:w="4394" w:type="dxa"/>
          </w:tcPr>
          <w:p w:rsidR="000A5502" w:rsidRPr="00021DD2" w:rsidRDefault="000A5502" w:rsidP="00EB5EEF">
            <w:pPr>
              <w:rPr>
                <w:rFonts w:cs="Arial"/>
              </w:rPr>
            </w:pPr>
            <w:r w:rsidRPr="00021DD2">
              <w:rPr>
                <w:rFonts w:cs="Arial"/>
              </w:rPr>
              <w:t>Data collection and extraction is not able to account for details about parents of children as this data is usually recorded in case notes.</w:t>
            </w:r>
          </w:p>
          <w:p w:rsidR="000A5502" w:rsidRPr="00021DD2" w:rsidRDefault="000A5502" w:rsidP="00EB5EEF">
            <w:pPr>
              <w:rPr>
                <w:rFonts w:cs="Arial"/>
              </w:rPr>
            </w:pPr>
            <w:r w:rsidRPr="00021DD2">
              <w:rPr>
                <w:rFonts w:cs="Arial"/>
              </w:rPr>
              <w:t>In 2015/16, two young women in the care system became pregnant.</w:t>
            </w:r>
            <w:r w:rsidRPr="00021DD2">
              <w:rPr>
                <w:rStyle w:val="Rimandonotadichiusura"/>
                <w:rFonts w:cs="Arial"/>
              </w:rPr>
              <w:endnoteReference w:id="868"/>
            </w:r>
            <w:r w:rsidR="000F10F4">
              <w:rPr>
                <w:rFonts w:cs="Arial"/>
              </w:rPr>
              <w:t xml:space="preserve"> </w:t>
            </w:r>
          </w:p>
        </w:tc>
      </w:tr>
      <w:tr w:rsidR="000A5502" w:rsidRPr="00021DD2" w:rsidTr="00EB5EEF">
        <w:tc>
          <w:tcPr>
            <w:tcW w:w="1590" w:type="dxa"/>
          </w:tcPr>
          <w:p w:rsidR="000A5502" w:rsidRPr="00021DD2" w:rsidRDefault="000A5502" w:rsidP="00EB5EEF">
            <w:pPr>
              <w:rPr>
                <w:rFonts w:cs="Arial"/>
                <w:b/>
              </w:rPr>
            </w:pPr>
            <w:r w:rsidRPr="00021DD2">
              <w:rPr>
                <w:rFonts w:cs="Arial"/>
                <w:b/>
              </w:rPr>
              <w:t xml:space="preserve">Western Australia </w:t>
            </w:r>
          </w:p>
        </w:tc>
        <w:tc>
          <w:tcPr>
            <w:tcW w:w="2800" w:type="dxa"/>
          </w:tcPr>
          <w:p w:rsidR="000A5502" w:rsidRPr="00021DD2" w:rsidRDefault="000A5502" w:rsidP="00EB5EEF">
            <w:pPr>
              <w:rPr>
                <w:rFonts w:cs="Arial"/>
              </w:rPr>
            </w:pPr>
            <w:r w:rsidRPr="00021DD2">
              <w:rPr>
                <w:rFonts w:cs="Arial"/>
              </w:rPr>
              <w:t xml:space="preserve">No mandatory reporting. </w:t>
            </w:r>
          </w:p>
          <w:p w:rsidR="000A5502" w:rsidRPr="00021DD2" w:rsidRDefault="000A5502" w:rsidP="00EB5EEF">
            <w:pPr>
              <w:rPr>
                <w:rFonts w:cs="Arial"/>
              </w:rPr>
            </w:pPr>
          </w:p>
          <w:p w:rsidR="000A5502" w:rsidRPr="00021DD2" w:rsidRDefault="000A5502" w:rsidP="00EB5EEF">
            <w:pPr>
              <w:rPr>
                <w:rFonts w:cs="Arial"/>
              </w:rPr>
            </w:pPr>
            <w:r w:rsidRPr="00021DD2">
              <w:rPr>
                <w:rFonts w:cs="Arial"/>
              </w:rPr>
              <w:t>No specific policy, however, young parents are provided with priority access to programs if their children or unborn babies are considered at risk of harm.</w:t>
            </w:r>
            <w:r w:rsidRPr="00021DD2">
              <w:rPr>
                <w:rFonts w:cs="Arial"/>
                <w:vertAlign w:val="superscript"/>
              </w:rPr>
              <w:endnoteReference w:id="869"/>
            </w:r>
            <w:r w:rsidRPr="00021DD2">
              <w:rPr>
                <w:rFonts w:cs="Arial"/>
              </w:rPr>
              <w:t xml:space="preserve"> </w:t>
            </w:r>
          </w:p>
          <w:p w:rsidR="000A5502" w:rsidRPr="00021DD2" w:rsidRDefault="000A5502" w:rsidP="00EB5EEF">
            <w:pPr>
              <w:rPr>
                <w:rFonts w:cs="Arial"/>
              </w:rPr>
            </w:pPr>
          </w:p>
        </w:tc>
        <w:tc>
          <w:tcPr>
            <w:tcW w:w="2835" w:type="dxa"/>
          </w:tcPr>
          <w:p w:rsidR="000A5502" w:rsidRPr="00021DD2" w:rsidRDefault="000A5502" w:rsidP="00EB5EEF">
            <w:pPr>
              <w:rPr>
                <w:rFonts w:cs="Arial"/>
              </w:rPr>
            </w:pPr>
            <w:r w:rsidRPr="00021DD2">
              <w:rPr>
                <w:rFonts w:cs="Arial"/>
              </w:rPr>
              <w:t>Notifications can be received and the Department can begin to make inquiries regarding an unborn baby and the safety of that baby once it is born.</w:t>
            </w:r>
            <w:r w:rsidRPr="00021DD2">
              <w:rPr>
                <w:rFonts w:cs="Arial"/>
                <w:vertAlign w:val="superscript"/>
              </w:rPr>
              <w:endnoteReference w:id="870"/>
            </w:r>
            <w:r w:rsidRPr="00021DD2">
              <w:rPr>
                <w:rFonts w:cs="Arial"/>
              </w:rPr>
              <w:t xml:space="preserve"> </w:t>
            </w:r>
          </w:p>
          <w:p w:rsidR="000A5502" w:rsidRPr="00021DD2" w:rsidRDefault="000A5502" w:rsidP="00EB5EEF">
            <w:pPr>
              <w:rPr>
                <w:rFonts w:cs="Arial"/>
              </w:rPr>
            </w:pPr>
          </w:p>
          <w:p w:rsidR="000A5502" w:rsidRPr="00021DD2" w:rsidRDefault="000A5502" w:rsidP="00EB5EEF">
            <w:pPr>
              <w:rPr>
                <w:rFonts w:cs="Arial"/>
              </w:rPr>
            </w:pPr>
            <w:r w:rsidRPr="00021DD2">
              <w:rPr>
                <w:rFonts w:cs="Arial"/>
              </w:rPr>
              <w:t>The ‘Bilateral Schedule Interagency Collaborative Processes when an unborn or newborn baby is identified as at risk of abuse and/or neglect between the Department for Child Protection and Family Support and WA Health’ was also noted as relevant for young parents. This process facilitates interagency engagement when a baby or unborn child is identified as being at risk of harm, neglect or abuse.</w:t>
            </w:r>
            <w:r w:rsidRPr="00021DD2">
              <w:rPr>
                <w:rFonts w:cs="Arial"/>
                <w:vertAlign w:val="superscript"/>
              </w:rPr>
              <w:endnoteReference w:id="871"/>
            </w:r>
            <w:r w:rsidRPr="00021DD2">
              <w:rPr>
                <w:rFonts w:cs="Arial"/>
              </w:rPr>
              <w:t xml:space="preserve"> </w:t>
            </w:r>
          </w:p>
        </w:tc>
        <w:tc>
          <w:tcPr>
            <w:tcW w:w="2835" w:type="dxa"/>
          </w:tcPr>
          <w:p w:rsidR="000A5502" w:rsidRPr="00021DD2" w:rsidRDefault="000A5502" w:rsidP="00EB5EEF">
            <w:pPr>
              <w:rPr>
                <w:rFonts w:cs="Arial"/>
              </w:rPr>
            </w:pPr>
            <w:r w:rsidRPr="00021DD2">
              <w:rPr>
                <w:rFonts w:cs="Arial"/>
              </w:rPr>
              <w:t>Mandatory reporters include all Family Court personnel and any person who holds a child care license.</w:t>
            </w:r>
            <w:r w:rsidRPr="00021DD2">
              <w:rPr>
                <w:rFonts w:cs="Arial"/>
                <w:vertAlign w:val="superscript"/>
              </w:rPr>
              <w:endnoteReference w:id="872"/>
            </w:r>
            <w:r w:rsidRPr="00021DD2">
              <w:rPr>
                <w:rFonts w:cs="Arial"/>
              </w:rPr>
              <w:t xml:space="preserve"> </w:t>
            </w:r>
          </w:p>
          <w:p w:rsidR="000A5502" w:rsidRPr="00021DD2" w:rsidRDefault="000A5502" w:rsidP="00EB5EEF">
            <w:pPr>
              <w:rPr>
                <w:rFonts w:cs="Arial"/>
              </w:rPr>
            </w:pPr>
          </w:p>
          <w:p w:rsidR="000A5502" w:rsidRPr="00021DD2" w:rsidRDefault="000A5502" w:rsidP="00EB5EEF">
            <w:pPr>
              <w:rPr>
                <w:rFonts w:cs="Arial"/>
              </w:rPr>
            </w:pPr>
            <w:r w:rsidRPr="00021DD2">
              <w:rPr>
                <w:rFonts w:cs="Arial"/>
              </w:rPr>
              <w:t>There are also mandatory reporters specifically regarding child sexual abuse.</w:t>
            </w:r>
            <w:r w:rsidRPr="00021DD2">
              <w:rPr>
                <w:rFonts w:cs="Arial"/>
                <w:vertAlign w:val="superscript"/>
              </w:rPr>
              <w:endnoteReference w:id="873"/>
            </w:r>
            <w:r w:rsidRPr="00021DD2">
              <w:rPr>
                <w:rFonts w:cs="Arial"/>
              </w:rPr>
              <w:t xml:space="preserve"> </w:t>
            </w:r>
          </w:p>
        </w:tc>
        <w:tc>
          <w:tcPr>
            <w:tcW w:w="4394" w:type="dxa"/>
          </w:tcPr>
          <w:p w:rsidR="000A5502" w:rsidRPr="00021DD2" w:rsidRDefault="000A5502" w:rsidP="00EB5EEF">
            <w:pPr>
              <w:rPr>
                <w:rFonts w:cs="Arial"/>
              </w:rPr>
            </w:pPr>
            <w:r w:rsidRPr="00021DD2">
              <w:rPr>
                <w:rFonts w:cs="Arial"/>
              </w:rPr>
              <w:t xml:space="preserve">Data regarding whether young people in care are also parents is not able to be recorded as this information is only available in case notes. However, based on data from the Best Beginnings Plus program (where young parents are referred when child protection risks are identified): </w:t>
            </w:r>
          </w:p>
          <w:p w:rsidR="000A5502" w:rsidRPr="00021DD2" w:rsidRDefault="000A5502" w:rsidP="00B934D7">
            <w:pPr>
              <w:pStyle w:val="Paragrafoelenco"/>
              <w:numPr>
                <w:ilvl w:val="0"/>
                <w:numId w:val="133"/>
              </w:numPr>
              <w:jc w:val="left"/>
            </w:pPr>
            <w:r w:rsidRPr="00021DD2">
              <w:t>360 young parents were invo</w:t>
            </w:r>
            <w:r w:rsidR="00091899">
              <w:t>lved in the program (2015–</w:t>
            </w:r>
            <w:r w:rsidRPr="00021DD2">
              <w:t>16)</w:t>
            </w:r>
          </w:p>
          <w:p w:rsidR="000A5502" w:rsidRPr="004B56B4" w:rsidRDefault="000A5502" w:rsidP="00B934D7">
            <w:pPr>
              <w:pStyle w:val="Paragrafoelenco"/>
              <w:numPr>
                <w:ilvl w:val="0"/>
                <w:numId w:val="133"/>
              </w:numPr>
            </w:pPr>
            <w:r w:rsidRPr="005578F5">
              <w:t>279 children of young parents were involved in the program (2015</w:t>
            </w:r>
            <w:r w:rsidR="00091899" w:rsidRPr="004B56B4">
              <w:t>–</w:t>
            </w:r>
            <w:r w:rsidRPr="004B56B4">
              <w:t>16).</w:t>
            </w:r>
            <w:r w:rsidRPr="00021DD2">
              <w:rPr>
                <w:rStyle w:val="Rimandonotadichiusura"/>
              </w:rPr>
              <w:endnoteReference w:id="874"/>
            </w:r>
            <w:r w:rsidR="000F10F4" w:rsidRPr="005578F5">
              <w:t xml:space="preserve"> </w:t>
            </w:r>
          </w:p>
        </w:tc>
      </w:tr>
      <w:tr w:rsidR="000A5502" w:rsidRPr="00021DD2" w:rsidTr="00EB5EEF">
        <w:tc>
          <w:tcPr>
            <w:tcW w:w="1590" w:type="dxa"/>
          </w:tcPr>
          <w:p w:rsidR="000A5502" w:rsidRPr="00021DD2" w:rsidRDefault="000A5502" w:rsidP="00EB5EEF">
            <w:pPr>
              <w:rPr>
                <w:rFonts w:cs="Arial"/>
                <w:b/>
              </w:rPr>
            </w:pPr>
            <w:r w:rsidRPr="00021DD2">
              <w:rPr>
                <w:rFonts w:cs="Arial"/>
                <w:b/>
              </w:rPr>
              <w:t>South Australia</w:t>
            </w:r>
          </w:p>
        </w:tc>
        <w:tc>
          <w:tcPr>
            <w:tcW w:w="2800" w:type="dxa"/>
          </w:tcPr>
          <w:p w:rsidR="000A5502" w:rsidRPr="00021DD2" w:rsidRDefault="000A5502" w:rsidP="00EB5EEF">
            <w:pPr>
              <w:rPr>
                <w:rFonts w:cs="Arial"/>
                <w:b/>
              </w:rPr>
            </w:pPr>
            <w:r w:rsidRPr="00021DD2">
              <w:rPr>
                <w:rFonts w:cs="Arial"/>
              </w:rPr>
              <w:t>No mandatory reporting.</w:t>
            </w:r>
          </w:p>
        </w:tc>
        <w:tc>
          <w:tcPr>
            <w:tcW w:w="2835" w:type="dxa"/>
          </w:tcPr>
          <w:p w:rsidR="000A5502" w:rsidRPr="00021DD2" w:rsidRDefault="000A5502" w:rsidP="00EB5EEF">
            <w:pPr>
              <w:rPr>
                <w:rFonts w:cs="Arial"/>
              </w:rPr>
            </w:pPr>
            <w:r w:rsidRPr="00021DD2">
              <w:rPr>
                <w:rFonts w:cs="Arial"/>
              </w:rPr>
              <w:t>The age of a parent may be considered a ‘potential risk factor … as impairing the young person’s capacity to safely care for the child’.</w:t>
            </w:r>
            <w:r w:rsidRPr="00021DD2">
              <w:rPr>
                <w:rFonts w:cs="Arial"/>
                <w:vertAlign w:val="superscript"/>
              </w:rPr>
              <w:endnoteReference w:id="875"/>
            </w:r>
            <w:r w:rsidRPr="00021DD2">
              <w:rPr>
                <w:rFonts w:cs="Arial"/>
              </w:rPr>
              <w:t xml:space="preserve"> </w:t>
            </w:r>
          </w:p>
          <w:p w:rsidR="000A5502" w:rsidRPr="00021DD2" w:rsidRDefault="000A5502" w:rsidP="00EB5EEF">
            <w:pPr>
              <w:rPr>
                <w:rFonts w:cs="Arial"/>
              </w:rPr>
            </w:pPr>
          </w:p>
          <w:p w:rsidR="000A5502" w:rsidRPr="00021DD2" w:rsidRDefault="000A5502" w:rsidP="00EB5EEF">
            <w:pPr>
              <w:rPr>
                <w:rFonts w:cs="Arial"/>
              </w:rPr>
            </w:pPr>
            <w:r w:rsidRPr="00021DD2">
              <w:rPr>
                <w:rFonts w:cs="Arial"/>
              </w:rPr>
              <w:t>Notifications can be made about an unborn child (minimum of 20 weeks).</w:t>
            </w:r>
            <w:r w:rsidRPr="00021DD2">
              <w:rPr>
                <w:rFonts w:cs="Arial"/>
                <w:vertAlign w:val="superscript"/>
              </w:rPr>
              <w:endnoteReference w:id="876"/>
            </w:r>
            <w:r w:rsidRPr="00021DD2">
              <w:rPr>
                <w:rFonts w:cs="Arial"/>
              </w:rPr>
              <w:t xml:space="preserve"> </w:t>
            </w:r>
          </w:p>
        </w:tc>
        <w:tc>
          <w:tcPr>
            <w:tcW w:w="2835" w:type="dxa"/>
          </w:tcPr>
          <w:p w:rsidR="000A5502" w:rsidRPr="00021DD2" w:rsidRDefault="000A5502" w:rsidP="00EB5EEF">
            <w:pPr>
              <w:rPr>
                <w:rFonts w:cs="Arial"/>
              </w:rPr>
            </w:pPr>
            <w:r w:rsidRPr="00021DD2">
              <w:rPr>
                <w:rFonts w:cs="Arial"/>
              </w:rPr>
              <w:t xml:space="preserve">Any person can make a child protection notification. However, certain professions have mandatory reporting status under the law. </w:t>
            </w:r>
          </w:p>
          <w:p w:rsidR="000A5502" w:rsidRPr="00021DD2" w:rsidRDefault="000A5502" w:rsidP="00EB5EEF">
            <w:pPr>
              <w:rPr>
                <w:rFonts w:cs="Arial"/>
              </w:rPr>
            </w:pPr>
          </w:p>
          <w:p w:rsidR="000A5502" w:rsidRPr="00021DD2" w:rsidRDefault="000A5502" w:rsidP="00EB5EEF">
            <w:pPr>
              <w:rPr>
                <w:rFonts w:cs="Arial"/>
              </w:rPr>
            </w:pPr>
            <w:r w:rsidRPr="00021DD2">
              <w:rPr>
                <w:rFonts w:cs="Arial"/>
              </w:rPr>
              <w:t>These include medical and health practitioners, teachers and staff in organisations that deliver services to children (</w:t>
            </w:r>
            <w:r w:rsidR="001647AB">
              <w:rPr>
                <w:rFonts w:cs="Arial"/>
              </w:rPr>
              <w:t>s</w:t>
            </w:r>
            <w:r w:rsidRPr="00021DD2">
              <w:rPr>
                <w:rFonts w:cs="Arial"/>
              </w:rPr>
              <w:t xml:space="preserve">ee </w:t>
            </w:r>
            <w:r w:rsidR="001647AB">
              <w:rPr>
                <w:rFonts w:cs="Arial"/>
              </w:rPr>
              <w:t>s</w:t>
            </w:r>
            <w:r w:rsidRPr="00021DD2">
              <w:rPr>
                <w:rFonts w:cs="Arial"/>
              </w:rPr>
              <w:t>ection 11</w:t>
            </w:r>
            <w:r w:rsidR="001647AB">
              <w:rPr>
                <w:rFonts w:cs="Arial"/>
              </w:rPr>
              <w:t xml:space="preserve"> of the</w:t>
            </w:r>
            <w:r w:rsidRPr="00021DD2">
              <w:rPr>
                <w:rFonts w:cs="Arial"/>
                <w:i/>
                <w:color w:val="202020"/>
                <w:spacing w:val="-3"/>
              </w:rPr>
              <w:t xml:space="preserve"> Children’s Protection Act 1993 </w:t>
            </w:r>
            <w:r w:rsidRPr="00E34166">
              <w:rPr>
                <w:rFonts w:cs="Arial"/>
                <w:color w:val="202020"/>
                <w:spacing w:val="-3"/>
              </w:rPr>
              <w:t>(SA)</w:t>
            </w:r>
            <w:r w:rsidRPr="00021DD2">
              <w:rPr>
                <w:rFonts w:cs="Arial"/>
                <w:color w:val="202020"/>
                <w:spacing w:val="-3"/>
              </w:rPr>
              <w:t xml:space="preserve"> for the full list)</w:t>
            </w:r>
            <w:r w:rsidRPr="00021DD2">
              <w:rPr>
                <w:rFonts w:cs="Arial"/>
              </w:rPr>
              <w:t>.</w:t>
            </w:r>
            <w:r w:rsidRPr="00021DD2">
              <w:rPr>
                <w:rFonts w:cs="Arial"/>
                <w:vertAlign w:val="superscript"/>
              </w:rPr>
              <w:endnoteReference w:id="877"/>
            </w:r>
            <w:r w:rsidRPr="00021DD2">
              <w:rPr>
                <w:rFonts w:cs="Arial"/>
              </w:rPr>
              <w:t xml:space="preserve"> </w:t>
            </w:r>
          </w:p>
        </w:tc>
        <w:tc>
          <w:tcPr>
            <w:tcW w:w="4394" w:type="dxa"/>
          </w:tcPr>
          <w:p w:rsidR="000A5502" w:rsidRPr="00021DD2" w:rsidRDefault="000A5502" w:rsidP="00EB5EEF">
            <w:pPr>
              <w:rPr>
                <w:rFonts w:cs="Arial"/>
              </w:rPr>
            </w:pPr>
            <w:r w:rsidRPr="00021DD2">
              <w:rPr>
                <w:rFonts w:cs="Arial"/>
              </w:rPr>
              <w:t xml:space="preserve">No data is currently collected in SA regarding the numbers of young parents or their children who are in the care system. South Australia is soon to begin a project to explore the intergenerational patterns of child protection. </w:t>
            </w:r>
          </w:p>
          <w:p w:rsidR="000A5502" w:rsidRPr="00021DD2" w:rsidRDefault="000A5502" w:rsidP="00EB5EEF">
            <w:pPr>
              <w:rPr>
                <w:rFonts w:cs="Arial"/>
              </w:rPr>
            </w:pPr>
            <w:r w:rsidRPr="00021DD2">
              <w:rPr>
                <w:rFonts w:cs="Arial"/>
              </w:rPr>
              <w:t xml:space="preserve">However, data collected through a Commonwealth </w:t>
            </w:r>
            <w:r w:rsidR="001647AB">
              <w:rPr>
                <w:rFonts w:cs="Arial"/>
              </w:rPr>
              <w:t>p</w:t>
            </w:r>
            <w:r w:rsidRPr="00021DD2">
              <w:rPr>
                <w:rFonts w:cs="Arial"/>
              </w:rPr>
              <w:t xml:space="preserve">roject in 2016 - exploring the linkage between care leavers and income support reliance - has found (based on initial analysis of SA care leavers) that: </w:t>
            </w:r>
          </w:p>
          <w:p w:rsidR="000A5502" w:rsidRPr="00021DD2" w:rsidRDefault="000A5502" w:rsidP="00FE54C7">
            <w:pPr>
              <w:pStyle w:val="Paragrafoelenco"/>
              <w:numPr>
                <w:ilvl w:val="0"/>
                <w:numId w:val="136"/>
              </w:numPr>
              <w:jc w:val="left"/>
            </w:pPr>
            <w:r w:rsidRPr="00021DD2">
              <w:t xml:space="preserve">care leavers are </w:t>
            </w:r>
            <w:r w:rsidR="001647AB">
              <w:t>five</w:t>
            </w:r>
            <w:r w:rsidRPr="00021DD2">
              <w:t xml:space="preserve"> times more likely to receive a Single Supporting Parents (SSP) payment than the general population</w:t>
            </w:r>
          </w:p>
          <w:p w:rsidR="000A5502" w:rsidRPr="005578F5" w:rsidRDefault="000A5502" w:rsidP="00FE54C7">
            <w:pPr>
              <w:pStyle w:val="Paragrafoelenco"/>
              <w:numPr>
                <w:ilvl w:val="0"/>
                <w:numId w:val="136"/>
              </w:numPr>
              <w:jc w:val="left"/>
            </w:pPr>
            <w:r w:rsidRPr="005578F5">
              <w:t>Aboriginal care leavers are seven times more likely to receive a SSP.</w:t>
            </w:r>
            <w:r w:rsidRPr="00021DD2">
              <w:rPr>
                <w:rStyle w:val="Rimandonotadichiusura"/>
              </w:rPr>
              <w:endnoteReference w:id="878"/>
            </w:r>
            <w:r w:rsidR="000F10F4" w:rsidRPr="005578F5">
              <w:t xml:space="preserve"> </w:t>
            </w:r>
          </w:p>
        </w:tc>
      </w:tr>
      <w:tr w:rsidR="000A5502" w:rsidRPr="00021DD2" w:rsidTr="00EB5EEF">
        <w:tc>
          <w:tcPr>
            <w:tcW w:w="1590" w:type="dxa"/>
          </w:tcPr>
          <w:p w:rsidR="000A5502" w:rsidRPr="00021DD2" w:rsidRDefault="000A5502" w:rsidP="00EB5EEF">
            <w:pPr>
              <w:rPr>
                <w:rFonts w:cs="Arial"/>
                <w:b/>
              </w:rPr>
            </w:pPr>
            <w:r w:rsidRPr="00021DD2">
              <w:rPr>
                <w:rFonts w:cs="Arial"/>
                <w:b/>
              </w:rPr>
              <w:t>Tasmania</w:t>
            </w:r>
          </w:p>
        </w:tc>
        <w:tc>
          <w:tcPr>
            <w:tcW w:w="2800" w:type="dxa"/>
          </w:tcPr>
          <w:p w:rsidR="000A5502" w:rsidRPr="00021DD2" w:rsidRDefault="004C3BCE" w:rsidP="00EB5EEF">
            <w:pPr>
              <w:rPr>
                <w:rFonts w:cs="Arial"/>
              </w:rPr>
            </w:pPr>
            <w:r>
              <w:rPr>
                <w:rFonts w:cs="Arial"/>
              </w:rPr>
              <w:t>No mandatory reporting.</w:t>
            </w:r>
          </w:p>
        </w:tc>
        <w:tc>
          <w:tcPr>
            <w:tcW w:w="2835" w:type="dxa"/>
          </w:tcPr>
          <w:p w:rsidR="000A5502" w:rsidRPr="00021DD2" w:rsidRDefault="000A5502" w:rsidP="00EB5EEF">
            <w:pPr>
              <w:rPr>
                <w:rFonts w:cs="Arial"/>
              </w:rPr>
            </w:pPr>
            <w:r w:rsidRPr="00021DD2">
              <w:rPr>
                <w:rFonts w:cs="Arial"/>
              </w:rPr>
              <w:t>The age of a parent/carer (if under 20 years old at the time of the assessment or at the time of the birth of their first child) is considered a risk factor during the risk assessment process.</w:t>
            </w:r>
            <w:r w:rsidRPr="00021DD2">
              <w:rPr>
                <w:rFonts w:cs="Arial"/>
                <w:vertAlign w:val="superscript"/>
              </w:rPr>
              <w:endnoteReference w:id="879"/>
            </w:r>
            <w:r w:rsidRPr="00021DD2">
              <w:rPr>
                <w:rFonts w:cs="Arial"/>
              </w:rPr>
              <w:t xml:space="preserve"> </w:t>
            </w:r>
          </w:p>
          <w:p w:rsidR="000A5502" w:rsidRPr="00021DD2" w:rsidRDefault="000A5502" w:rsidP="00EB5EEF">
            <w:pPr>
              <w:rPr>
                <w:rFonts w:cs="Arial"/>
              </w:rPr>
            </w:pPr>
          </w:p>
          <w:p w:rsidR="000A5502" w:rsidRPr="00021DD2" w:rsidRDefault="000A5502" w:rsidP="00EB5EEF">
            <w:pPr>
              <w:rPr>
                <w:rFonts w:cs="Arial"/>
              </w:rPr>
            </w:pPr>
            <w:r w:rsidRPr="00021DD2">
              <w:rPr>
                <w:rFonts w:cs="Arial"/>
              </w:rPr>
              <w:t>Legislation in Tasmania allows for the Department to receive and respond to reports that an unborn child may be at risk of neglect or abuse when born. An ‘unborn baby alert’ may be activated in such cases. Support may be provided prior to the birth of the baby.</w:t>
            </w:r>
            <w:r w:rsidRPr="00021DD2">
              <w:rPr>
                <w:rFonts w:cs="Arial"/>
                <w:vertAlign w:val="superscript"/>
              </w:rPr>
              <w:endnoteReference w:id="880"/>
            </w:r>
            <w:r w:rsidRPr="00021DD2">
              <w:rPr>
                <w:rFonts w:cs="Arial"/>
              </w:rPr>
              <w:t xml:space="preserve"> </w:t>
            </w:r>
          </w:p>
        </w:tc>
        <w:tc>
          <w:tcPr>
            <w:tcW w:w="2835" w:type="dxa"/>
          </w:tcPr>
          <w:p w:rsidR="000A5502" w:rsidRPr="00021DD2" w:rsidRDefault="000A5502" w:rsidP="00EB5EEF">
            <w:pPr>
              <w:rPr>
                <w:rFonts w:cs="Arial"/>
              </w:rPr>
            </w:pPr>
            <w:r w:rsidRPr="00021DD2">
              <w:rPr>
                <w:rFonts w:cs="Arial"/>
              </w:rPr>
              <w:t>Most professionals who provide services to children and families in Tasmania are mandatory reporters. This includes (but is not limited to): Department of Health and Human Services employees, child care providers, medical and health practitioners, teachers and employees of organisations that provide services to children</w:t>
            </w:r>
            <w:r w:rsidR="00BE21F3">
              <w:rPr>
                <w:rFonts w:cs="Arial"/>
              </w:rPr>
              <w:t xml:space="preserve"> </w:t>
            </w:r>
            <w:r w:rsidRPr="00021DD2">
              <w:rPr>
                <w:rFonts w:cs="Arial"/>
              </w:rPr>
              <w:t>(</w:t>
            </w:r>
            <w:r w:rsidR="00BE21F3">
              <w:rPr>
                <w:rFonts w:cs="Arial"/>
              </w:rPr>
              <w:t>s</w:t>
            </w:r>
            <w:r w:rsidRPr="00021DD2">
              <w:rPr>
                <w:rFonts w:cs="Arial"/>
              </w:rPr>
              <w:t xml:space="preserve">ee </w:t>
            </w:r>
            <w:r w:rsidR="00BE21F3">
              <w:rPr>
                <w:rFonts w:cs="Arial"/>
              </w:rPr>
              <w:t>s</w:t>
            </w:r>
            <w:r w:rsidRPr="00021DD2">
              <w:rPr>
                <w:rFonts w:cs="Arial"/>
              </w:rPr>
              <w:t>ection 14</w:t>
            </w:r>
            <w:r w:rsidR="00BE21F3">
              <w:rPr>
                <w:rFonts w:cs="Arial"/>
              </w:rPr>
              <w:t xml:space="preserve"> of the</w:t>
            </w:r>
            <w:r w:rsidRPr="00021DD2">
              <w:rPr>
                <w:rFonts w:cs="Arial"/>
              </w:rPr>
              <w:t xml:space="preserve"> </w:t>
            </w:r>
            <w:r w:rsidRPr="00021DD2">
              <w:rPr>
                <w:rFonts w:cs="Arial"/>
                <w:i/>
              </w:rPr>
              <w:t xml:space="preserve">Children, Young Persons and their Families Act 1997 </w:t>
            </w:r>
            <w:r w:rsidRPr="00E34166">
              <w:rPr>
                <w:rFonts w:cs="Arial"/>
              </w:rPr>
              <w:t>(TAS)</w:t>
            </w:r>
            <w:r w:rsidRPr="00021DD2">
              <w:rPr>
                <w:rFonts w:cs="Arial"/>
              </w:rPr>
              <w:t xml:space="preserve"> for the full list).</w:t>
            </w:r>
            <w:r w:rsidRPr="00021DD2">
              <w:rPr>
                <w:rFonts w:cs="Arial"/>
                <w:sz w:val="20"/>
                <w:vertAlign w:val="superscript"/>
              </w:rPr>
              <w:endnoteReference w:id="881"/>
            </w:r>
          </w:p>
        </w:tc>
        <w:tc>
          <w:tcPr>
            <w:tcW w:w="4394" w:type="dxa"/>
          </w:tcPr>
          <w:p w:rsidR="000A5502" w:rsidRPr="00021DD2" w:rsidRDefault="000A5502" w:rsidP="00EB5EEF">
            <w:pPr>
              <w:rPr>
                <w:rFonts w:cs="Arial"/>
              </w:rPr>
            </w:pPr>
            <w:r w:rsidRPr="00021DD2">
              <w:rPr>
                <w:rFonts w:cs="Arial"/>
              </w:rPr>
              <w:t>There were 414 notifications recorded for Child Safety Services during 2015/16 relating to:</w:t>
            </w:r>
          </w:p>
          <w:p w:rsidR="000A5502" w:rsidRPr="00021DD2" w:rsidRDefault="000A5502" w:rsidP="00B934D7">
            <w:pPr>
              <w:pStyle w:val="Paragrafoelenco"/>
              <w:numPr>
                <w:ilvl w:val="0"/>
                <w:numId w:val="133"/>
              </w:numPr>
              <w:jc w:val="left"/>
            </w:pPr>
            <w:r w:rsidRPr="00021DD2">
              <w:t>young people aged 17 years and under who are parents or pregnant or</w:t>
            </w:r>
          </w:p>
          <w:p w:rsidR="000A5502" w:rsidRPr="00021DD2" w:rsidRDefault="000A5502" w:rsidP="00B934D7">
            <w:pPr>
              <w:pStyle w:val="Paragrafoelenco"/>
              <w:numPr>
                <w:ilvl w:val="0"/>
                <w:numId w:val="133"/>
              </w:numPr>
              <w:jc w:val="left"/>
            </w:pPr>
            <w:r w:rsidRPr="00021DD2">
              <w:t>children (or unborn children) of young parents aged 19 years and under.</w:t>
            </w:r>
          </w:p>
          <w:p w:rsidR="000A5502" w:rsidRPr="00021DD2" w:rsidRDefault="000A5502" w:rsidP="00EB5EEF">
            <w:pPr>
              <w:rPr>
                <w:rFonts w:cs="Arial"/>
              </w:rPr>
            </w:pPr>
            <w:r w:rsidRPr="00021DD2">
              <w:rPr>
                <w:rFonts w:cs="Arial"/>
              </w:rPr>
              <w:t>These notifications related to 184 young mothers, 91 young fathers and 245 children of young parents.</w:t>
            </w:r>
            <w:r w:rsidRPr="00021DD2">
              <w:rPr>
                <w:rStyle w:val="Rimandonotadichiusura"/>
                <w:rFonts w:cs="Arial"/>
              </w:rPr>
              <w:endnoteReference w:id="882"/>
            </w:r>
          </w:p>
        </w:tc>
      </w:tr>
      <w:tr w:rsidR="000A5502" w:rsidRPr="00021DD2" w:rsidTr="00EB5EEF">
        <w:tc>
          <w:tcPr>
            <w:tcW w:w="1590" w:type="dxa"/>
          </w:tcPr>
          <w:p w:rsidR="000A5502" w:rsidRPr="00021DD2" w:rsidRDefault="000A5502" w:rsidP="00EB5EEF">
            <w:pPr>
              <w:rPr>
                <w:rFonts w:cs="Arial"/>
                <w:b/>
              </w:rPr>
            </w:pPr>
            <w:r w:rsidRPr="00021DD2">
              <w:rPr>
                <w:rFonts w:cs="Arial"/>
                <w:b/>
              </w:rPr>
              <w:t>Australian Capital Territory</w:t>
            </w:r>
          </w:p>
        </w:tc>
        <w:tc>
          <w:tcPr>
            <w:tcW w:w="2800" w:type="dxa"/>
          </w:tcPr>
          <w:p w:rsidR="000A5502" w:rsidRPr="00021DD2" w:rsidRDefault="000A5502" w:rsidP="00EB5EEF">
            <w:pPr>
              <w:rPr>
                <w:rFonts w:cs="Arial"/>
              </w:rPr>
            </w:pPr>
            <w:r w:rsidRPr="00021DD2">
              <w:rPr>
                <w:rFonts w:cs="Arial"/>
              </w:rPr>
              <w:t>No mandatory reporting. All interventions with a pregnant young woman (who does not have other children) are on a voluntary basis, as prenatal support.</w:t>
            </w:r>
            <w:r w:rsidRPr="00021DD2">
              <w:rPr>
                <w:rFonts w:cs="Arial"/>
                <w:vertAlign w:val="superscript"/>
              </w:rPr>
              <w:endnoteReference w:id="883"/>
            </w:r>
            <w:r w:rsidRPr="00021DD2">
              <w:rPr>
                <w:rFonts w:cs="Arial"/>
              </w:rPr>
              <w:t xml:space="preserve"> </w:t>
            </w:r>
          </w:p>
          <w:p w:rsidR="000A5502" w:rsidRPr="00021DD2" w:rsidRDefault="000A5502" w:rsidP="00EB5EEF">
            <w:pPr>
              <w:rPr>
                <w:rFonts w:cs="Arial"/>
              </w:rPr>
            </w:pPr>
          </w:p>
          <w:p w:rsidR="000A5502" w:rsidRPr="00021DD2" w:rsidRDefault="000A5502" w:rsidP="00EB5EEF">
            <w:pPr>
              <w:rPr>
                <w:rFonts w:cs="Arial"/>
              </w:rPr>
            </w:pPr>
            <w:r w:rsidRPr="00021DD2">
              <w:rPr>
                <w:rFonts w:cs="Arial"/>
              </w:rPr>
              <w:t>However, if Child and Youth Protection Services (CYPS) believe a child or baby ‘is considered to be at risk of abuse or neglect’, when the baby is born, a statutory child protection response can be initiated.</w:t>
            </w:r>
            <w:r w:rsidR="000F10F4">
              <w:rPr>
                <w:rFonts w:cs="Arial"/>
              </w:rPr>
              <w:t xml:space="preserve"> </w:t>
            </w:r>
            <w:r w:rsidRPr="00021DD2">
              <w:rPr>
                <w:rFonts w:cs="Arial"/>
              </w:rPr>
              <w:t>If required, CYPS can coordinate government services by providing a ‘pre-birth alert’ to maternity services.</w:t>
            </w:r>
            <w:r w:rsidRPr="00021DD2">
              <w:rPr>
                <w:rFonts w:cs="Arial"/>
                <w:vertAlign w:val="superscript"/>
              </w:rPr>
              <w:endnoteReference w:id="884"/>
            </w:r>
            <w:r w:rsidR="000F10F4">
              <w:rPr>
                <w:rFonts w:cs="Arial"/>
              </w:rPr>
              <w:t xml:space="preserve"> </w:t>
            </w:r>
          </w:p>
          <w:p w:rsidR="000A5502" w:rsidRPr="00021DD2" w:rsidRDefault="000A5502" w:rsidP="00EB5EEF">
            <w:pPr>
              <w:rPr>
                <w:rFonts w:cs="Arial"/>
              </w:rPr>
            </w:pPr>
          </w:p>
          <w:p w:rsidR="000A5502" w:rsidRPr="00021DD2" w:rsidRDefault="000A5502" w:rsidP="00EB5EEF">
            <w:pPr>
              <w:rPr>
                <w:rFonts w:cs="Arial"/>
              </w:rPr>
            </w:pPr>
            <w:r w:rsidRPr="00021DD2">
              <w:rPr>
                <w:rFonts w:cs="Arial"/>
              </w:rPr>
              <w:t>For pregnant young women in out-of-home care, once their baby is born their case management system is extended to include their baby.</w:t>
            </w:r>
            <w:r w:rsidRPr="00021DD2">
              <w:rPr>
                <w:rFonts w:cs="Arial"/>
                <w:vertAlign w:val="superscript"/>
              </w:rPr>
              <w:endnoteReference w:id="885"/>
            </w:r>
            <w:r w:rsidR="000F10F4">
              <w:rPr>
                <w:rFonts w:cs="Arial"/>
              </w:rPr>
              <w:t xml:space="preserve"> </w:t>
            </w:r>
          </w:p>
        </w:tc>
        <w:tc>
          <w:tcPr>
            <w:tcW w:w="2835" w:type="dxa"/>
          </w:tcPr>
          <w:p w:rsidR="000A5502" w:rsidRPr="00021DD2" w:rsidRDefault="000A5502" w:rsidP="00EB5EEF">
            <w:pPr>
              <w:rPr>
                <w:rFonts w:cs="Arial"/>
              </w:rPr>
            </w:pPr>
            <w:r w:rsidRPr="00021DD2">
              <w:rPr>
                <w:rFonts w:cs="Arial"/>
              </w:rPr>
              <w:t xml:space="preserve">The age of a mother or pregnant young woman is ‘not alone considered to be a risk factor’ under the provisions of the </w:t>
            </w:r>
            <w:r w:rsidRPr="00021DD2">
              <w:rPr>
                <w:rFonts w:cs="Arial"/>
                <w:i/>
              </w:rPr>
              <w:t>Children and Young People Act 2008</w:t>
            </w:r>
            <w:r w:rsidRPr="00021DD2">
              <w:rPr>
                <w:rFonts w:cs="Arial"/>
              </w:rPr>
              <w:t xml:space="preserve"> (ACT).</w:t>
            </w:r>
            <w:r w:rsidRPr="00021DD2">
              <w:rPr>
                <w:rFonts w:cs="Arial"/>
                <w:vertAlign w:val="superscript"/>
              </w:rPr>
              <w:endnoteReference w:id="886"/>
            </w:r>
          </w:p>
          <w:p w:rsidR="000A5502" w:rsidRPr="00021DD2" w:rsidRDefault="000A5502" w:rsidP="00EB5EEF">
            <w:pPr>
              <w:rPr>
                <w:rFonts w:cs="Arial"/>
              </w:rPr>
            </w:pPr>
          </w:p>
          <w:p w:rsidR="000A5502" w:rsidRPr="00021DD2" w:rsidRDefault="000A5502" w:rsidP="00EB5EEF">
            <w:pPr>
              <w:rPr>
                <w:rFonts w:cs="Arial"/>
              </w:rPr>
            </w:pPr>
            <w:r w:rsidRPr="00021DD2">
              <w:rPr>
                <w:rFonts w:cs="Arial"/>
              </w:rPr>
              <w:t>The age of the child or young person who is the subject of a child protection report is recorded on the client information database.</w:t>
            </w:r>
            <w:r w:rsidRPr="00021DD2">
              <w:rPr>
                <w:rFonts w:cs="Arial"/>
                <w:vertAlign w:val="superscript"/>
              </w:rPr>
              <w:endnoteReference w:id="887"/>
            </w:r>
            <w:r w:rsidRPr="00021DD2">
              <w:rPr>
                <w:rFonts w:cs="Arial"/>
              </w:rPr>
              <w:t xml:space="preserve"> </w:t>
            </w:r>
          </w:p>
        </w:tc>
        <w:tc>
          <w:tcPr>
            <w:tcW w:w="2835" w:type="dxa"/>
          </w:tcPr>
          <w:p w:rsidR="000A5502" w:rsidRPr="00021DD2" w:rsidRDefault="000A5502" w:rsidP="00EB5EEF">
            <w:pPr>
              <w:rPr>
                <w:rFonts w:cs="Arial"/>
              </w:rPr>
            </w:pPr>
            <w:r w:rsidRPr="00021DD2">
              <w:rPr>
                <w:rFonts w:cs="Arial"/>
              </w:rPr>
              <w:t xml:space="preserve">Prenatal reporting is voluntary. </w:t>
            </w:r>
          </w:p>
          <w:p w:rsidR="000A5502" w:rsidRPr="00021DD2" w:rsidRDefault="000A5502" w:rsidP="00EB5EEF">
            <w:pPr>
              <w:rPr>
                <w:rFonts w:cs="Arial"/>
              </w:rPr>
            </w:pPr>
          </w:p>
          <w:p w:rsidR="000A5502" w:rsidRPr="00021DD2" w:rsidRDefault="000A5502" w:rsidP="00EB5EEF">
            <w:pPr>
              <w:rPr>
                <w:rFonts w:cs="Arial"/>
              </w:rPr>
            </w:pPr>
            <w:r w:rsidRPr="00021DD2">
              <w:rPr>
                <w:rFonts w:cs="Arial"/>
              </w:rPr>
              <w:t>Mandatory reporters of sexual abuse or non-accidental physical injury include: doctor</w:t>
            </w:r>
            <w:r w:rsidR="00BE21F3">
              <w:rPr>
                <w:rFonts w:cs="Arial"/>
              </w:rPr>
              <w:t>s</w:t>
            </w:r>
            <w:r w:rsidRPr="00021DD2">
              <w:rPr>
                <w:rFonts w:cs="Arial"/>
              </w:rPr>
              <w:t>, dentist</w:t>
            </w:r>
            <w:r w:rsidR="00BE21F3">
              <w:rPr>
                <w:rFonts w:cs="Arial"/>
              </w:rPr>
              <w:t>s</w:t>
            </w:r>
            <w:r w:rsidRPr="00021DD2">
              <w:rPr>
                <w:rFonts w:cs="Arial"/>
              </w:rPr>
              <w:t>, nurses, midwives, psychologist</w:t>
            </w:r>
            <w:r w:rsidR="00BE21F3">
              <w:rPr>
                <w:rFonts w:cs="Arial"/>
              </w:rPr>
              <w:t>s</w:t>
            </w:r>
            <w:r w:rsidRPr="00021DD2">
              <w:rPr>
                <w:rFonts w:cs="Arial"/>
              </w:rPr>
              <w:t>, teacher</w:t>
            </w:r>
            <w:r w:rsidR="00BE21F3">
              <w:rPr>
                <w:rFonts w:cs="Arial"/>
              </w:rPr>
              <w:t>s</w:t>
            </w:r>
            <w:r w:rsidRPr="00021DD2">
              <w:rPr>
                <w:rFonts w:cs="Arial"/>
              </w:rPr>
              <w:t>, person</w:t>
            </w:r>
            <w:r w:rsidR="00BE21F3">
              <w:rPr>
                <w:rFonts w:cs="Arial"/>
              </w:rPr>
              <w:t>s</w:t>
            </w:r>
            <w:r w:rsidRPr="00021DD2">
              <w:rPr>
                <w:rFonts w:cs="Arial"/>
              </w:rPr>
              <w:t xml:space="preserve"> authorised to inspect education programs, police officer</w:t>
            </w:r>
            <w:r w:rsidR="00BE21F3">
              <w:rPr>
                <w:rFonts w:cs="Arial"/>
              </w:rPr>
              <w:t>s</w:t>
            </w:r>
            <w:r w:rsidRPr="00021DD2">
              <w:rPr>
                <w:rFonts w:cs="Arial"/>
              </w:rPr>
              <w:t>, school counsellors, child care centre carers, family day care workers, public servant</w:t>
            </w:r>
            <w:r w:rsidR="00BE21F3">
              <w:rPr>
                <w:rFonts w:cs="Arial"/>
              </w:rPr>
              <w:t>s</w:t>
            </w:r>
            <w:r w:rsidRPr="00021DD2">
              <w:rPr>
                <w:rFonts w:cs="Arial"/>
              </w:rPr>
              <w:t xml:space="preserve"> who provides services to children, public advocate</w:t>
            </w:r>
            <w:r w:rsidR="00BE21F3">
              <w:rPr>
                <w:rFonts w:cs="Arial"/>
              </w:rPr>
              <w:t>s</w:t>
            </w:r>
            <w:r w:rsidRPr="00021DD2">
              <w:rPr>
                <w:rFonts w:cs="Arial"/>
              </w:rPr>
              <w:t>, official visitor</w:t>
            </w:r>
            <w:r w:rsidR="00BE21F3">
              <w:rPr>
                <w:rFonts w:cs="Arial"/>
              </w:rPr>
              <w:t>s</w:t>
            </w:r>
            <w:r w:rsidRPr="00021DD2">
              <w:rPr>
                <w:rFonts w:cs="Arial"/>
              </w:rPr>
              <w:t xml:space="preserve"> or anyone, who in their employment has contact with or provides services to children.</w:t>
            </w:r>
            <w:r w:rsidRPr="00021DD2">
              <w:rPr>
                <w:rFonts w:cs="Arial"/>
                <w:vertAlign w:val="superscript"/>
              </w:rPr>
              <w:endnoteReference w:id="888"/>
            </w:r>
            <w:r w:rsidR="000F10F4">
              <w:rPr>
                <w:rFonts w:cs="Arial"/>
              </w:rPr>
              <w:t xml:space="preserve"> </w:t>
            </w:r>
          </w:p>
        </w:tc>
        <w:tc>
          <w:tcPr>
            <w:tcW w:w="4394" w:type="dxa"/>
          </w:tcPr>
          <w:p w:rsidR="000A5502" w:rsidRPr="00021DD2" w:rsidRDefault="000A5502" w:rsidP="00EB5EEF">
            <w:pPr>
              <w:rPr>
                <w:rFonts w:cs="Arial"/>
              </w:rPr>
            </w:pPr>
            <w:r w:rsidRPr="00021DD2">
              <w:rPr>
                <w:rFonts w:cs="Arial"/>
              </w:rPr>
              <w:t>The ACT Government ha</w:t>
            </w:r>
            <w:r w:rsidR="00BE21F3">
              <w:rPr>
                <w:rFonts w:cs="Arial"/>
              </w:rPr>
              <w:t>s</w:t>
            </w:r>
            <w:r w:rsidRPr="00021DD2">
              <w:rPr>
                <w:rFonts w:cs="Arial"/>
              </w:rPr>
              <w:t xml:space="preserve"> noted that the following figures are approximate. In 2015/16, there were: </w:t>
            </w:r>
          </w:p>
          <w:p w:rsidR="000A5502" w:rsidRPr="00021DD2" w:rsidRDefault="000A5502" w:rsidP="00B934D7">
            <w:pPr>
              <w:pStyle w:val="Paragrafoelenco"/>
              <w:numPr>
                <w:ilvl w:val="0"/>
                <w:numId w:val="135"/>
              </w:numPr>
              <w:jc w:val="left"/>
            </w:pPr>
            <w:r w:rsidRPr="00021DD2">
              <w:t>17 female and 11 male young people in the care of the Director-General, who were pregnant or parenting</w:t>
            </w:r>
          </w:p>
          <w:p w:rsidR="000A5502" w:rsidRPr="00021DD2" w:rsidRDefault="000A5502" w:rsidP="00B934D7">
            <w:pPr>
              <w:pStyle w:val="Paragrafoelenco"/>
              <w:numPr>
                <w:ilvl w:val="0"/>
                <w:numId w:val="135"/>
              </w:numPr>
              <w:jc w:val="left"/>
            </w:pPr>
            <w:r w:rsidRPr="00021DD2">
              <w:t xml:space="preserve">126 children whose mother was aged 19 years or </w:t>
            </w:r>
            <w:r w:rsidR="00BE21F3">
              <w:t>under</w:t>
            </w:r>
            <w:r w:rsidR="00BE21F3" w:rsidRPr="00021DD2">
              <w:t xml:space="preserve"> </w:t>
            </w:r>
            <w:r w:rsidRPr="00021DD2">
              <w:t xml:space="preserve">when they were born (97 individual mothers and 15.2% of the care population) </w:t>
            </w:r>
          </w:p>
          <w:p w:rsidR="000A5502" w:rsidRPr="00021DD2" w:rsidRDefault="000A5502" w:rsidP="00B934D7">
            <w:pPr>
              <w:pStyle w:val="Paragrafoelenco"/>
              <w:numPr>
                <w:ilvl w:val="0"/>
                <w:numId w:val="135"/>
              </w:numPr>
              <w:jc w:val="left"/>
            </w:pPr>
            <w:r w:rsidRPr="00021DD2">
              <w:t xml:space="preserve">37 children whose father was aged 19 or </w:t>
            </w:r>
            <w:r w:rsidR="00BE21F3">
              <w:t>under</w:t>
            </w:r>
            <w:r w:rsidR="00BE21F3" w:rsidRPr="00021DD2">
              <w:t xml:space="preserve"> </w:t>
            </w:r>
            <w:r w:rsidRPr="00021DD2">
              <w:t>when they were born (32 individual fathers and 4.46% of the care population).</w:t>
            </w:r>
            <w:r w:rsidRPr="00021DD2">
              <w:rPr>
                <w:rStyle w:val="Rimandonotadichiusura"/>
              </w:rPr>
              <w:endnoteReference w:id="889"/>
            </w:r>
            <w:r w:rsidRPr="00021DD2">
              <w:t xml:space="preserve"> </w:t>
            </w:r>
          </w:p>
          <w:p w:rsidR="000A5502" w:rsidRPr="00021DD2" w:rsidRDefault="000A5502" w:rsidP="00EB5EEF">
            <w:pPr>
              <w:rPr>
                <w:rFonts w:cs="Arial"/>
              </w:rPr>
            </w:pPr>
            <w:r w:rsidRPr="00021DD2">
              <w:rPr>
                <w:rFonts w:cs="Arial"/>
              </w:rPr>
              <w:t xml:space="preserve">Additionally, data was also provided to indicate the numbers of young parents and pregnant young people who have been in the care system over the past 30 years (since 1999). It was recorded that there were: </w:t>
            </w:r>
          </w:p>
          <w:p w:rsidR="000A5502" w:rsidRPr="00021DD2" w:rsidRDefault="000A5502" w:rsidP="00B934D7">
            <w:pPr>
              <w:pStyle w:val="Paragrafoelenco"/>
              <w:numPr>
                <w:ilvl w:val="0"/>
                <w:numId w:val="135"/>
              </w:numPr>
              <w:jc w:val="left"/>
            </w:pPr>
            <w:r w:rsidRPr="00021DD2">
              <w:t>135 teen</w:t>
            </w:r>
            <w:r w:rsidR="00BE21F3">
              <w:t>age</w:t>
            </w:r>
            <w:r w:rsidRPr="00021DD2">
              <w:t xml:space="preserve"> mothers (who were aged 19 or </w:t>
            </w:r>
            <w:r w:rsidR="00BE21F3">
              <w:t>under</w:t>
            </w:r>
            <w:r w:rsidR="00BE21F3" w:rsidRPr="00021DD2">
              <w:t xml:space="preserve"> </w:t>
            </w:r>
            <w:r w:rsidRPr="00021DD2">
              <w:t xml:space="preserve">at the birth of their first baby). This is 9.2% of the in care population. </w:t>
            </w:r>
          </w:p>
          <w:p w:rsidR="000A5502" w:rsidRPr="00021DD2" w:rsidRDefault="000A5502" w:rsidP="00B934D7">
            <w:pPr>
              <w:pStyle w:val="Paragrafoelenco"/>
              <w:numPr>
                <w:ilvl w:val="0"/>
                <w:numId w:val="135"/>
              </w:numPr>
              <w:jc w:val="left"/>
            </w:pPr>
            <w:r w:rsidRPr="00021DD2">
              <w:t>12 teen</w:t>
            </w:r>
            <w:r w:rsidR="00BE21F3">
              <w:t>age</w:t>
            </w:r>
            <w:r w:rsidRPr="00021DD2">
              <w:t xml:space="preserve"> mothers (who were aged 19 or </w:t>
            </w:r>
            <w:r w:rsidR="00BE21F3">
              <w:t>under</w:t>
            </w:r>
            <w:r w:rsidR="00BE21F3" w:rsidRPr="00021DD2">
              <w:t xml:space="preserve"> </w:t>
            </w:r>
            <w:r w:rsidRPr="00021DD2">
              <w:t xml:space="preserve">when their pregnancy was reported). This consists of 0.8% of the in care population. </w:t>
            </w:r>
          </w:p>
          <w:p w:rsidR="000A5502" w:rsidRPr="00021DD2" w:rsidRDefault="000A5502" w:rsidP="00EB5EEF">
            <w:pPr>
              <w:rPr>
                <w:rFonts w:cs="Arial"/>
              </w:rPr>
            </w:pPr>
            <w:r w:rsidRPr="00021DD2">
              <w:rPr>
                <w:rFonts w:cs="Arial"/>
              </w:rPr>
              <w:t>The ACT reported that it is not possible to extract data recording the number of children of young parents who are currently, or previously have been, in the care system. This is because, historically, information about the parents of children in care was not collected prior to 2008, and, where parents’ details are collected, their date of birth is often unknown and therefore left incomplete. It is also an optional field within the data system.</w:t>
            </w:r>
            <w:r w:rsidRPr="00021DD2">
              <w:rPr>
                <w:rStyle w:val="Rimandonotadichiusura"/>
                <w:rFonts w:cs="Arial"/>
              </w:rPr>
              <w:endnoteReference w:id="890"/>
            </w:r>
            <w:r w:rsidR="000F10F4">
              <w:rPr>
                <w:rFonts w:cs="Arial"/>
              </w:rPr>
              <w:t xml:space="preserve"> </w:t>
            </w:r>
          </w:p>
        </w:tc>
      </w:tr>
    </w:tbl>
    <w:p w:rsidR="005F6360" w:rsidRDefault="005F6360" w:rsidP="00B63D24">
      <w:pPr>
        <w:rPr>
          <w:rFonts w:cs="Arial"/>
        </w:rPr>
      </w:pPr>
    </w:p>
    <w:p w:rsidR="00283EB8" w:rsidRDefault="005F6360" w:rsidP="005F6360">
      <w:pPr>
        <w:keepLines w:val="0"/>
        <w:spacing w:before="0" w:after="0"/>
        <w:rPr>
          <w:rFonts w:cs="Arial"/>
        </w:rPr>
      </w:pPr>
      <w:r>
        <w:rPr>
          <w:rFonts w:cs="Arial"/>
        </w:rPr>
        <w:br w:type="page"/>
      </w:r>
    </w:p>
    <w:p w:rsidR="00847594" w:rsidRDefault="00847594" w:rsidP="00847594">
      <w:pPr>
        <w:keepLines w:val="0"/>
        <w:spacing w:before="0" w:after="0"/>
        <w:rPr>
          <w:rFonts w:cs="Arial"/>
        </w:rPr>
      </w:pPr>
      <w:r>
        <w:rPr>
          <w:rFonts w:cs="Arial"/>
        </w:rPr>
        <w:br w:type="page"/>
      </w:r>
    </w:p>
    <w:p w:rsidR="005F6360" w:rsidRDefault="005F6360" w:rsidP="00847594">
      <w:pPr>
        <w:keepLines w:val="0"/>
        <w:spacing w:before="0" w:after="0"/>
        <w:rPr>
          <w:rFonts w:cs="Arial"/>
        </w:rPr>
        <w:sectPr w:rsidR="005F6360" w:rsidSect="00AA11CC">
          <w:endnotePr>
            <w:numFmt w:val="decimal"/>
            <w:numRestart w:val="eachSect"/>
          </w:endnotePr>
          <w:pgSz w:w="16838" w:h="11906" w:orient="landscape" w:code="9"/>
          <w:pgMar w:top="1418" w:right="1134" w:bottom="1418" w:left="1134" w:header="709" w:footer="709" w:gutter="0"/>
          <w:cols w:space="708"/>
          <w:docGrid w:linePitch="360"/>
        </w:sectPr>
      </w:pPr>
    </w:p>
    <w:p w:rsidR="005F6360" w:rsidRDefault="005F6360" w:rsidP="00847594">
      <w:pPr>
        <w:keepLines w:val="0"/>
        <w:spacing w:before="0" w:after="0"/>
        <w:rPr>
          <w:rFonts w:cs="Arial"/>
        </w:rPr>
      </w:pPr>
    </w:p>
    <w:p w:rsidR="00847594" w:rsidRDefault="00283EB8" w:rsidP="00847594">
      <w:pPr>
        <w:keepLines w:val="0"/>
        <w:spacing w:before="0" w:after="0"/>
        <w:rPr>
          <w:rFonts w:cs="Arial"/>
        </w:rPr>
        <w:sectPr w:rsidR="00847594" w:rsidSect="005F6360">
          <w:endnotePr>
            <w:numFmt w:val="decimal"/>
            <w:numRestart w:val="eachSect"/>
          </w:endnotePr>
          <w:type w:val="continuous"/>
          <w:pgSz w:w="16838" w:h="11906" w:orient="landscape" w:code="9"/>
          <w:pgMar w:top="1418" w:right="1134" w:bottom="1418" w:left="1134" w:header="709" w:footer="709" w:gutter="0"/>
          <w:cols w:space="708"/>
          <w:docGrid w:linePitch="360"/>
        </w:sectPr>
      </w:pPr>
      <w:r>
        <w:rPr>
          <w:rFonts w:cs="Arial"/>
        </w:rPr>
        <w:br w:type="page"/>
      </w:r>
    </w:p>
    <w:p w:rsidR="000A5502" w:rsidRPr="00021DD2" w:rsidRDefault="000A5502" w:rsidP="00750A29">
      <w:pPr>
        <w:pStyle w:val="Titolo6"/>
      </w:pPr>
      <w:bookmarkStart w:id="199" w:name="_Toc500308861"/>
      <w:r w:rsidRPr="00021DD2">
        <w:t>Attendees at the Child Safe Organisations roundtables</w:t>
      </w:r>
      <w:bookmarkEnd w:id="199"/>
    </w:p>
    <w:tbl>
      <w:tblPr>
        <w:tblStyle w:val="Grigliatabella"/>
        <w:tblW w:w="9209" w:type="dxa"/>
        <w:jc w:val="center"/>
        <w:tblLook w:val="04A0" w:firstRow="1" w:lastRow="0" w:firstColumn="1" w:lastColumn="0" w:noHBand="0" w:noVBand="1"/>
      </w:tblPr>
      <w:tblGrid>
        <w:gridCol w:w="1418"/>
        <w:gridCol w:w="6350"/>
        <w:gridCol w:w="1441"/>
      </w:tblGrid>
      <w:tr w:rsidR="000A5502" w:rsidRPr="00FD50B7" w:rsidTr="000A5502">
        <w:trPr>
          <w:trHeight w:val="280"/>
          <w:jc w:val="center"/>
        </w:trPr>
        <w:tc>
          <w:tcPr>
            <w:tcW w:w="1418" w:type="dxa"/>
            <w:tcBorders>
              <w:top w:val="single" w:sz="4" w:space="0" w:color="auto"/>
              <w:left w:val="single" w:sz="4" w:space="0" w:color="auto"/>
              <w:bottom w:val="single" w:sz="4" w:space="0" w:color="auto"/>
              <w:right w:val="single" w:sz="4" w:space="0" w:color="auto"/>
            </w:tcBorders>
            <w:hideMark/>
          </w:tcPr>
          <w:p w:rsidR="000A5502" w:rsidRPr="00FD50B7" w:rsidRDefault="000A5502" w:rsidP="00FD50B7">
            <w:pPr>
              <w:rPr>
                <w:b/>
              </w:rPr>
            </w:pPr>
            <w:r w:rsidRPr="00FD50B7">
              <w:rPr>
                <w:b/>
              </w:rPr>
              <w:t>Date</w:t>
            </w:r>
          </w:p>
        </w:tc>
        <w:tc>
          <w:tcPr>
            <w:tcW w:w="6350" w:type="dxa"/>
            <w:tcBorders>
              <w:top w:val="single" w:sz="4" w:space="0" w:color="auto"/>
              <w:left w:val="single" w:sz="4" w:space="0" w:color="auto"/>
              <w:bottom w:val="single" w:sz="4" w:space="0" w:color="auto"/>
              <w:right w:val="single" w:sz="4" w:space="0" w:color="auto"/>
            </w:tcBorders>
            <w:hideMark/>
          </w:tcPr>
          <w:p w:rsidR="000A5502" w:rsidRPr="00FD50B7" w:rsidRDefault="000A5502" w:rsidP="00FD50B7">
            <w:pPr>
              <w:rPr>
                <w:b/>
              </w:rPr>
            </w:pPr>
            <w:r w:rsidRPr="00FD50B7">
              <w:rPr>
                <w:b/>
              </w:rPr>
              <w:t>Roundtable</w:t>
            </w:r>
          </w:p>
        </w:tc>
        <w:tc>
          <w:tcPr>
            <w:tcW w:w="1441" w:type="dxa"/>
            <w:tcBorders>
              <w:top w:val="single" w:sz="4" w:space="0" w:color="auto"/>
              <w:left w:val="single" w:sz="4" w:space="0" w:color="auto"/>
              <w:bottom w:val="single" w:sz="4" w:space="0" w:color="auto"/>
              <w:right w:val="single" w:sz="4" w:space="0" w:color="auto"/>
            </w:tcBorders>
            <w:hideMark/>
          </w:tcPr>
          <w:p w:rsidR="000A5502" w:rsidRPr="00FD50B7" w:rsidRDefault="000A5502" w:rsidP="00FD50B7">
            <w:pPr>
              <w:rPr>
                <w:b/>
              </w:rPr>
            </w:pPr>
            <w:r w:rsidRPr="00FD50B7">
              <w:rPr>
                <w:b/>
              </w:rPr>
              <w:t>Location</w:t>
            </w:r>
          </w:p>
        </w:tc>
      </w:tr>
      <w:tr w:rsidR="000A5502" w:rsidRPr="00021DD2" w:rsidTr="000A5502">
        <w:trPr>
          <w:trHeight w:val="1691"/>
          <w:jc w:val="center"/>
        </w:trPr>
        <w:tc>
          <w:tcPr>
            <w:tcW w:w="1418" w:type="dxa"/>
            <w:tcBorders>
              <w:top w:val="single" w:sz="4" w:space="0" w:color="auto"/>
              <w:left w:val="single" w:sz="4" w:space="0" w:color="auto"/>
              <w:bottom w:val="single" w:sz="4" w:space="0" w:color="auto"/>
              <w:right w:val="single" w:sz="4" w:space="0" w:color="auto"/>
            </w:tcBorders>
            <w:hideMark/>
          </w:tcPr>
          <w:p w:rsidR="000A5502" w:rsidRPr="00021DD2" w:rsidRDefault="000A5502" w:rsidP="00EB5EEF">
            <w:pPr>
              <w:spacing w:before="0" w:after="0"/>
              <w:rPr>
                <w:rFonts w:cs="Arial"/>
              </w:rPr>
            </w:pPr>
            <w:r w:rsidRPr="00021DD2">
              <w:rPr>
                <w:rFonts w:cs="Arial"/>
              </w:rPr>
              <w:t>02.05.2017</w:t>
            </w:r>
          </w:p>
        </w:tc>
        <w:tc>
          <w:tcPr>
            <w:tcW w:w="6350" w:type="dxa"/>
            <w:tcBorders>
              <w:top w:val="single" w:sz="4" w:space="0" w:color="auto"/>
              <w:left w:val="single" w:sz="4" w:space="0" w:color="auto"/>
              <w:bottom w:val="single" w:sz="4" w:space="0" w:color="auto"/>
              <w:right w:val="single" w:sz="4" w:space="0" w:color="auto"/>
            </w:tcBorders>
            <w:hideMark/>
          </w:tcPr>
          <w:p w:rsidR="000A5502" w:rsidRPr="00021DD2" w:rsidRDefault="000A5502" w:rsidP="00EB5EEF">
            <w:pPr>
              <w:spacing w:before="0" w:after="0"/>
              <w:rPr>
                <w:rFonts w:cs="Arial"/>
              </w:rPr>
            </w:pPr>
            <w:r w:rsidRPr="00021DD2">
              <w:rPr>
                <w:rFonts w:cs="Arial"/>
              </w:rPr>
              <w:t xml:space="preserve">People who attended the </w:t>
            </w:r>
            <w:r w:rsidRPr="00021DD2">
              <w:rPr>
                <w:rFonts w:cs="Arial"/>
                <w:b/>
              </w:rPr>
              <w:t>Melbourne</w:t>
            </w:r>
            <w:r w:rsidRPr="00021DD2">
              <w:rPr>
                <w:rFonts w:cs="Arial"/>
              </w:rPr>
              <w:t xml:space="preserve"> roundtables included:</w:t>
            </w:r>
          </w:p>
          <w:p w:rsidR="000A5502" w:rsidRPr="00021DD2" w:rsidRDefault="000A5502" w:rsidP="00EB5EEF">
            <w:pPr>
              <w:spacing w:before="0" w:after="0"/>
              <w:rPr>
                <w:rFonts w:cs="Arial"/>
              </w:rPr>
            </w:pPr>
          </w:p>
          <w:p w:rsidR="000A5502" w:rsidRPr="00021DD2" w:rsidRDefault="000A5502" w:rsidP="00B934D7">
            <w:pPr>
              <w:pStyle w:val="Paragrafoelenco"/>
              <w:numPr>
                <w:ilvl w:val="0"/>
                <w:numId w:val="49"/>
              </w:numPr>
              <w:spacing w:before="0" w:after="0"/>
              <w:jc w:val="left"/>
            </w:pPr>
            <w:r w:rsidRPr="00021DD2">
              <w:t>Kerryn Boland, NSW Children’s Guardian (former), Office of the Children’s Guardian NSW</w:t>
            </w:r>
          </w:p>
          <w:p w:rsidR="000A5502" w:rsidRPr="00021DD2" w:rsidRDefault="000A5502" w:rsidP="00B934D7">
            <w:pPr>
              <w:pStyle w:val="Paragrafoelenco"/>
              <w:numPr>
                <w:ilvl w:val="0"/>
                <w:numId w:val="49"/>
              </w:numPr>
              <w:spacing w:before="0" w:after="0"/>
              <w:jc w:val="left"/>
            </w:pPr>
            <w:r w:rsidRPr="00021DD2">
              <w:t xml:space="preserve">Professor Leah Bromfield, Deputy Director, Australian Centre for Child Protection </w:t>
            </w:r>
          </w:p>
          <w:p w:rsidR="000A5502" w:rsidRPr="00021DD2" w:rsidRDefault="000A5502" w:rsidP="00B934D7">
            <w:pPr>
              <w:pStyle w:val="Paragrafoelenco"/>
              <w:numPr>
                <w:ilvl w:val="0"/>
                <w:numId w:val="49"/>
              </w:numPr>
              <w:spacing w:before="0" w:after="0"/>
              <w:jc w:val="left"/>
            </w:pPr>
            <w:r w:rsidRPr="00021DD2">
              <w:t>Anne Hollonds, Director, Australian Institute of Family Studies</w:t>
            </w:r>
          </w:p>
          <w:p w:rsidR="000A5502" w:rsidRPr="00021DD2" w:rsidRDefault="000A5502" w:rsidP="00B934D7">
            <w:pPr>
              <w:pStyle w:val="Paragrafoelenco"/>
              <w:numPr>
                <w:ilvl w:val="0"/>
                <w:numId w:val="49"/>
              </w:numPr>
              <w:spacing w:before="0" w:after="0"/>
              <w:jc w:val="left"/>
            </w:pPr>
            <w:r w:rsidRPr="00021DD2">
              <w:t>Professor Daryl Higgins, Director, Institute of Child Protection Studies</w:t>
            </w:r>
          </w:p>
          <w:p w:rsidR="000A5502" w:rsidRPr="00021DD2" w:rsidRDefault="000A5502" w:rsidP="00B934D7">
            <w:pPr>
              <w:pStyle w:val="Paragrafoelenco"/>
              <w:numPr>
                <w:ilvl w:val="0"/>
                <w:numId w:val="49"/>
              </w:numPr>
              <w:spacing w:before="0" w:after="0"/>
              <w:jc w:val="left"/>
            </w:pPr>
            <w:r w:rsidRPr="00021DD2">
              <w:t>Meena Naidu, Executive Officer, Commission for Children and Young People Victoria</w:t>
            </w:r>
          </w:p>
          <w:p w:rsidR="000A5502" w:rsidRPr="00021DD2" w:rsidRDefault="000A5502" w:rsidP="00B934D7">
            <w:pPr>
              <w:pStyle w:val="Paragrafoelenco"/>
              <w:numPr>
                <w:ilvl w:val="0"/>
                <w:numId w:val="49"/>
              </w:numPr>
              <w:spacing w:before="0" w:after="0"/>
              <w:jc w:val="left"/>
            </w:pPr>
            <w:r w:rsidRPr="00021DD2">
              <w:t xml:space="preserve">James Fraser, Senior Advisor Aboriginal Policy, Commission for Children and Young People Victoria </w:t>
            </w:r>
          </w:p>
          <w:p w:rsidR="000A5502" w:rsidRPr="00021DD2" w:rsidRDefault="000A5502" w:rsidP="00B934D7">
            <w:pPr>
              <w:pStyle w:val="Paragrafoelenco"/>
              <w:numPr>
                <w:ilvl w:val="0"/>
                <w:numId w:val="49"/>
              </w:numPr>
              <w:spacing w:before="0" w:after="0"/>
              <w:jc w:val="left"/>
            </w:pPr>
            <w:r w:rsidRPr="00021DD2">
              <w:t>Natalie Hall, Principal Policy Officer, Commission for Children and Young People Western Australian Human Rights Commission</w:t>
            </w:r>
          </w:p>
          <w:p w:rsidR="000A5502" w:rsidRPr="00021DD2" w:rsidRDefault="000A5502" w:rsidP="00B934D7">
            <w:pPr>
              <w:pStyle w:val="Paragrafoelenco"/>
              <w:numPr>
                <w:ilvl w:val="0"/>
                <w:numId w:val="49"/>
              </w:numPr>
              <w:spacing w:before="0" w:after="0"/>
              <w:jc w:val="left"/>
            </w:pPr>
            <w:r w:rsidRPr="00021DD2">
              <w:t xml:space="preserve">Max Wise, Chief Operating Officer, Queensland Family and Child Commission </w:t>
            </w:r>
          </w:p>
          <w:p w:rsidR="000A5502" w:rsidRPr="00021DD2" w:rsidRDefault="000A5502" w:rsidP="00B934D7">
            <w:pPr>
              <w:pStyle w:val="Paragrafoelenco"/>
              <w:numPr>
                <w:ilvl w:val="0"/>
                <w:numId w:val="49"/>
              </w:numPr>
              <w:spacing w:before="0" w:after="0"/>
              <w:jc w:val="left"/>
            </w:pPr>
            <w:r w:rsidRPr="00021DD2">
              <w:t>Lo-Shu Wen, Office of the Advocate for Children and Young People NSW</w:t>
            </w:r>
          </w:p>
          <w:p w:rsidR="000A5502" w:rsidRPr="00021DD2" w:rsidRDefault="000A5502" w:rsidP="00B934D7">
            <w:pPr>
              <w:pStyle w:val="Paragrafoelenco"/>
              <w:numPr>
                <w:ilvl w:val="0"/>
                <w:numId w:val="49"/>
              </w:numPr>
              <w:spacing w:before="0" w:after="0"/>
              <w:jc w:val="left"/>
            </w:pPr>
            <w:r w:rsidRPr="00021DD2">
              <w:t>Helen Connolly, Commissioner for Children and Young People South Australia</w:t>
            </w:r>
          </w:p>
          <w:p w:rsidR="000A5502" w:rsidRPr="00021DD2" w:rsidRDefault="000A5502" w:rsidP="00B934D7">
            <w:pPr>
              <w:pStyle w:val="Paragrafoelenco"/>
              <w:numPr>
                <w:ilvl w:val="0"/>
                <w:numId w:val="49"/>
              </w:numPr>
              <w:spacing w:before="0" w:after="0"/>
              <w:jc w:val="left"/>
            </w:pPr>
            <w:r w:rsidRPr="00021DD2">
              <w:t>Magdelena Madden, Principal Consultant, Council for the Care of Children South Australia</w:t>
            </w:r>
          </w:p>
          <w:p w:rsidR="000A5502" w:rsidRPr="00021DD2" w:rsidRDefault="000A5502" w:rsidP="00B934D7">
            <w:pPr>
              <w:pStyle w:val="Paragrafoelenco"/>
              <w:numPr>
                <w:ilvl w:val="0"/>
                <w:numId w:val="49"/>
              </w:numPr>
              <w:spacing w:before="0" w:after="0"/>
              <w:jc w:val="left"/>
            </w:pPr>
            <w:r w:rsidRPr="00021DD2">
              <w:t xml:space="preserve">Jodie Griffiths-Cook, Children and Young People’s Commissioner </w:t>
            </w:r>
            <w:r w:rsidR="00BE21F3">
              <w:t>ACT</w:t>
            </w:r>
            <w:r w:rsidRPr="00021DD2">
              <w:t xml:space="preserve"> </w:t>
            </w:r>
          </w:p>
          <w:p w:rsidR="000A5502" w:rsidRPr="00021DD2" w:rsidRDefault="000A5502" w:rsidP="00B934D7">
            <w:pPr>
              <w:pStyle w:val="Paragrafoelenco"/>
              <w:numPr>
                <w:ilvl w:val="0"/>
                <w:numId w:val="49"/>
              </w:numPr>
              <w:spacing w:before="0" w:after="0"/>
              <w:jc w:val="left"/>
            </w:pPr>
            <w:r w:rsidRPr="00021DD2">
              <w:t xml:space="preserve">Annie McLean, Senior Policy Consultant, Commission for Children and Young People Tasmania </w:t>
            </w:r>
          </w:p>
          <w:p w:rsidR="000A5502" w:rsidRPr="00021DD2" w:rsidRDefault="000A5502" w:rsidP="00B934D7">
            <w:pPr>
              <w:pStyle w:val="Paragrafoelenco"/>
              <w:numPr>
                <w:ilvl w:val="0"/>
                <w:numId w:val="49"/>
              </w:numPr>
              <w:spacing w:before="0" w:after="0"/>
              <w:jc w:val="left"/>
            </w:pPr>
            <w:r w:rsidRPr="00021DD2">
              <w:t>Brian Babington, Chief Executive Officer, Families Australia</w:t>
            </w:r>
          </w:p>
          <w:p w:rsidR="000A5502" w:rsidRPr="00021DD2" w:rsidRDefault="000A5502" w:rsidP="00B934D7">
            <w:pPr>
              <w:pStyle w:val="Paragrafoelenco"/>
              <w:numPr>
                <w:ilvl w:val="0"/>
                <w:numId w:val="49"/>
              </w:numPr>
              <w:spacing w:before="0" w:after="0"/>
              <w:jc w:val="left"/>
            </w:pPr>
            <w:r w:rsidRPr="00021DD2">
              <w:t>Gerry Moore, Chief Executive Officer (former), SNAICC</w:t>
            </w:r>
          </w:p>
          <w:p w:rsidR="000A5502" w:rsidRPr="00021DD2" w:rsidRDefault="000A5502" w:rsidP="00B934D7">
            <w:pPr>
              <w:pStyle w:val="Paragrafoelenco"/>
              <w:numPr>
                <w:ilvl w:val="0"/>
                <w:numId w:val="49"/>
              </w:numPr>
              <w:spacing w:before="0" w:after="0"/>
              <w:jc w:val="left"/>
            </w:pPr>
            <w:r w:rsidRPr="00021DD2">
              <w:t>John Burton, Policy Manager, SNAICC</w:t>
            </w:r>
          </w:p>
          <w:p w:rsidR="000A5502" w:rsidRPr="00021DD2" w:rsidRDefault="000A5502" w:rsidP="00B934D7">
            <w:pPr>
              <w:pStyle w:val="Paragrafoelenco"/>
              <w:numPr>
                <w:ilvl w:val="0"/>
                <w:numId w:val="49"/>
              </w:numPr>
              <w:spacing w:before="0" w:after="0"/>
              <w:jc w:val="left"/>
            </w:pPr>
            <w:r w:rsidRPr="00021DD2">
              <w:t>Andrew McCallum, Chief Executive Officer, Association of Children’s Welfare Agencies NSW</w:t>
            </w:r>
          </w:p>
          <w:p w:rsidR="000A5502" w:rsidRPr="00021DD2" w:rsidRDefault="000A5502" w:rsidP="00B934D7">
            <w:pPr>
              <w:pStyle w:val="Paragrafoelenco"/>
              <w:numPr>
                <w:ilvl w:val="0"/>
                <w:numId w:val="49"/>
              </w:numPr>
              <w:spacing w:before="0" w:after="0"/>
              <w:jc w:val="left"/>
            </w:pPr>
            <w:r w:rsidRPr="00021DD2">
              <w:t>Bev Orr, National President, Australian Foster Care Association ACT</w:t>
            </w:r>
          </w:p>
          <w:p w:rsidR="000A5502" w:rsidRPr="00021DD2" w:rsidRDefault="000A5502" w:rsidP="00B934D7">
            <w:pPr>
              <w:pStyle w:val="Paragrafoelenco"/>
              <w:numPr>
                <w:ilvl w:val="0"/>
                <w:numId w:val="49"/>
              </w:numPr>
              <w:spacing w:before="0" w:after="0"/>
              <w:jc w:val="left"/>
            </w:pPr>
            <w:r w:rsidRPr="00021DD2">
              <w:t>Helen Falconer, Research and Policy Development, Australian Foster Care Association ACT</w:t>
            </w:r>
          </w:p>
          <w:p w:rsidR="000A5502" w:rsidRPr="00021DD2" w:rsidRDefault="000A5502" w:rsidP="00B934D7">
            <w:pPr>
              <w:pStyle w:val="Paragrafoelenco"/>
              <w:numPr>
                <w:ilvl w:val="0"/>
                <w:numId w:val="49"/>
              </w:numPr>
              <w:spacing w:before="0" w:after="0"/>
              <w:jc w:val="left"/>
            </w:pPr>
            <w:r w:rsidRPr="00021DD2">
              <w:t>Julian Pocock, Director Public Policy and Practice, Berry Street</w:t>
            </w:r>
          </w:p>
          <w:p w:rsidR="000A5502" w:rsidRPr="00021DD2" w:rsidRDefault="000A5502" w:rsidP="00B934D7">
            <w:pPr>
              <w:pStyle w:val="Paragrafoelenco"/>
              <w:numPr>
                <w:ilvl w:val="0"/>
                <w:numId w:val="49"/>
              </w:numPr>
              <w:spacing w:before="0" w:after="0"/>
              <w:jc w:val="left"/>
            </w:pPr>
            <w:r w:rsidRPr="00021DD2">
              <w:t>Tony Pietropiccolo, Director, Centacare WA</w:t>
            </w:r>
          </w:p>
          <w:p w:rsidR="000A5502" w:rsidRPr="00021DD2" w:rsidRDefault="000A5502" w:rsidP="00B934D7">
            <w:pPr>
              <w:pStyle w:val="Paragrafoelenco"/>
              <w:numPr>
                <w:ilvl w:val="0"/>
                <w:numId w:val="49"/>
              </w:numPr>
              <w:spacing w:before="0" w:after="0"/>
              <w:jc w:val="left"/>
            </w:pPr>
            <w:r w:rsidRPr="00021DD2">
              <w:t>Noelle Hudson, National Policy and Advocacy Manager (former), CREATE</w:t>
            </w:r>
          </w:p>
          <w:p w:rsidR="000A5502" w:rsidRPr="00021DD2" w:rsidRDefault="000A5502" w:rsidP="00B934D7">
            <w:pPr>
              <w:pStyle w:val="Paragrafoelenco"/>
              <w:numPr>
                <w:ilvl w:val="0"/>
                <w:numId w:val="49"/>
              </w:numPr>
              <w:spacing w:before="0" w:after="0"/>
              <w:jc w:val="left"/>
            </w:pPr>
            <w:r w:rsidRPr="00021DD2">
              <w:t>Richard Cooke, Executive Director, National Association for the Prevention of Child Abuse and Neglect NSW</w:t>
            </w:r>
          </w:p>
          <w:p w:rsidR="000A5502" w:rsidRPr="00021DD2" w:rsidRDefault="000A5502" w:rsidP="00B934D7">
            <w:pPr>
              <w:pStyle w:val="Paragrafoelenco"/>
              <w:numPr>
                <w:ilvl w:val="0"/>
                <w:numId w:val="49"/>
              </w:numPr>
              <w:spacing w:before="0" w:after="0"/>
              <w:jc w:val="left"/>
            </w:pPr>
            <w:r w:rsidRPr="00021DD2">
              <w:t>Sammy Bruderer, National Association for the Prevention of Child Abuse and Neglect NSW</w:t>
            </w:r>
          </w:p>
          <w:p w:rsidR="000A5502" w:rsidRPr="00021DD2" w:rsidRDefault="000A5502" w:rsidP="00B934D7">
            <w:pPr>
              <w:pStyle w:val="Paragrafoelenco"/>
              <w:numPr>
                <w:ilvl w:val="0"/>
                <w:numId w:val="49"/>
              </w:numPr>
              <w:spacing w:before="0" w:after="0"/>
              <w:jc w:val="left"/>
            </w:pPr>
            <w:r w:rsidRPr="00021DD2">
              <w:t xml:space="preserve">Annette Michaux, Director, Parenting Research Centre </w:t>
            </w:r>
          </w:p>
          <w:p w:rsidR="000A5502" w:rsidRPr="00021DD2" w:rsidRDefault="000A5502" w:rsidP="00B934D7">
            <w:pPr>
              <w:pStyle w:val="Paragrafoelenco"/>
              <w:numPr>
                <w:ilvl w:val="0"/>
                <w:numId w:val="49"/>
              </w:numPr>
              <w:spacing w:before="0" w:after="0"/>
              <w:jc w:val="left"/>
            </w:pPr>
            <w:r w:rsidRPr="00021DD2">
              <w:t>Dr Kerryann Walsh, Queensland University of Technology Children and Youth Research Centre</w:t>
            </w:r>
          </w:p>
          <w:p w:rsidR="000A5502" w:rsidRPr="00021DD2" w:rsidRDefault="000A5502" w:rsidP="00B934D7">
            <w:pPr>
              <w:pStyle w:val="Paragrafoelenco"/>
              <w:numPr>
                <w:ilvl w:val="0"/>
                <w:numId w:val="49"/>
              </w:numPr>
              <w:spacing w:before="0" w:after="0"/>
              <w:jc w:val="left"/>
            </w:pPr>
            <w:r w:rsidRPr="00021DD2">
              <w:t xml:space="preserve">Simon Schrapel, Chief Executive, Uniting Communities </w:t>
            </w:r>
          </w:p>
          <w:p w:rsidR="000A5502" w:rsidRPr="00021DD2" w:rsidRDefault="000A5502" w:rsidP="00B934D7">
            <w:pPr>
              <w:pStyle w:val="Paragrafoelenco"/>
              <w:numPr>
                <w:ilvl w:val="0"/>
                <w:numId w:val="49"/>
              </w:numPr>
              <w:spacing w:before="0" w:after="0"/>
              <w:jc w:val="left"/>
            </w:pPr>
            <w:r w:rsidRPr="00021DD2">
              <w:t>Catriona Martin, DLA Piper</w:t>
            </w:r>
          </w:p>
          <w:p w:rsidR="000A5502" w:rsidRPr="00021DD2" w:rsidRDefault="000A5502" w:rsidP="00B934D7">
            <w:pPr>
              <w:pStyle w:val="Paragrafoelenco"/>
              <w:numPr>
                <w:ilvl w:val="0"/>
                <w:numId w:val="49"/>
              </w:numPr>
              <w:spacing w:before="0" w:after="0"/>
              <w:jc w:val="left"/>
            </w:pPr>
            <w:r w:rsidRPr="00021DD2">
              <w:t>Stephanie Tran, DLA Piper</w:t>
            </w:r>
          </w:p>
          <w:p w:rsidR="000A5502" w:rsidRPr="00021DD2" w:rsidRDefault="000A5502" w:rsidP="00B934D7">
            <w:pPr>
              <w:pStyle w:val="Paragrafoelenco"/>
              <w:numPr>
                <w:ilvl w:val="0"/>
                <w:numId w:val="49"/>
              </w:numPr>
              <w:spacing w:before="0" w:after="0"/>
              <w:jc w:val="left"/>
            </w:pPr>
            <w:r w:rsidRPr="00021DD2">
              <w:t>Laura Elliott, DLA Piper</w:t>
            </w:r>
          </w:p>
        </w:tc>
        <w:tc>
          <w:tcPr>
            <w:tcW w:w="1441" w:type="dxa"/>
            <w:tcBorders>
              <w:top w:val="single" w:sz="4" w:space="0" w:color="auto"/>
              <w:left w:val="single" w:sz="4" w:space="0" w:color="auto"/>
              <w:bottom w:val="single" w:sz="4" w:space="0" w:color="auto"/>
              <w:right w:val="single" w:sz="4" w:space="0" w:color="auto"/>
            </w:tcBorders>
            <w:hideMark/>
          </w:tcPr>
          <w:p w:rsidR="00EC5173" w:rsidRPr="00021DD2" w:rsidRDefault="000A5502" w:rsidP="00EB5EEF">
            <w:pPr>
              <w:spacing w:before="0" w:after="0"/>
              <w:rPr>
                <w:rFonts w:cs="Arial"/>
              </w:rPr>
            </w:pPr>
            <w:r w:rsidRPr="00021DD2">
              <w:rPr>
                <w:rFonts w:cs="Arial"/>
              </w:rPr>
              <w:t>Melbourne, V</w:t>
            </w:r>
            <w:r w:rsidR="00BE21F3">
              <w:rPr>
                <w:rFonts w:cs="Arial"/>
              </w:rPr>
              <w:t>ic</w:t>
            </w: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EC5173" w:rsidRPr="00021DD2" w:rsidRDefault="00EC5173" w:rsidP="00EC5173">
            <w:pPr>
              <w:rPr>
                <w:rFonts w:cs="Arial"/>
              </w:rPr>
            </w:pPr>
          </w:p>
          <w:p w:rsidR="000A5502" w:rsidRPr="00021DD2" w:rsidRDefault="00EC5173" w:rsidP="00EC5173">
            <w:pPr>
              <w:tabs>
                <w:tab w:val="left" w:pos="1155"/>
              </w:tabs>
              <w:rPr>
                <w:rFonts w:cs="Arial"/>
              </w:rPr>
            </w:pPr>
            <w:r w:rsidRPr="00021DD2">
              <w:rPr>
                <w:rFonts w:cs="Arial"/>
              </w:rPr>
              <w:tab/>
            </w:r>
          </w:p>
        </w:tc>
      </w:tr>
      <w:tr w:rsidR="000A5502" w:rsidRPr="00021DD2" w:rsidTr="000A5502">
        <w:trPr>
          <w:trHeight w:val="8273"/>
          <w:jc w:val="center"/>
        </w:trPr>
        <w:tc>
          <w:tcPr>
            <w:tcW w:w="1418" w:type="dxa"/>
            <w:tcBorders>
              <w:top w:val="single" w:sz="4" w:space="0" w:color="auto"/>
              <w:left w:val="single" w:sz="4" w:space="0" w:color="auto"/>
              <w:bottom w:val="single" w:sz="4" w:space="0" w:color="auto"/>
              <w:right w:val="single" w:sz="4" w:space="0" w:color="auto"/>
            </w:tcBorders>
            <w:hideMark/>
          </w:tcPr>
          <w:p w:rsidR="000A5502" w:rsidRPr="00021DD2" w:rsidRDefault="000A5502" w:rsidP="00EB5EEF">
            <w:pPr>
              <w:spacing w:before="0" w:after="0"/>
              <w:rPr>
                <w:rFonts w:cs="Arial"/>
              </w:rPr>
            </w:pPr>
            <w:r w:rsidRPr="00021DD2">
              <w:rPr>
                <w:rFonts w:cs="Arial"/>
              </w:rPr>
              <w:t>03.05.2017</w:t>
            </w:r>
          </w:p>
        </w:tc>
        <w:tc>
          <w:tcPr>
            <w:tcW w:w="6350" w:type="dxa"/>
            <w:tcBorders>
              <w:top w:val="single" w:sz="4" w:space="0" w:color="auto"/>
              <w:left w:val="single" w:sz="4" w:space="0" w:color="auto"/>
              <w:bottom w:val="single" w:sz="4" w:space="0" w:color="auto"/>
              <w:right w:val="single" w:sz="4" w:space="0" w:color="auto"/>
            </w:tcBorders>
            <w:hideMark/>
          </w:tcPr>
          <w:p w:rsidR="000A5502" w:rsidRPr="00021DD2" w:rsidRDefault="000A5502" w:rsidP="00EB5EEF">
            <w:pPr>
              <w:spacing w:before="0" w:after="0"/>
              <w:rPr>
                <w:rFonts w:cs="Arial"/>
              </w:rPr>
            </w:pPr>
            <w:r w:rsidRPr="00021DD2">
              <w:rPr>
                <w:rFonts w:cs="Arial"/>
              </w:rPr>
              <w:t xml:space="preserve">People who attended the </w:t>
            </w:r>
            <w:r w:rsidRPr="00021DD2">
              <w:rPr>
                <w:rFonts w:cs="Arial"/>
                <w:b/>
              </w:rPr>
              <w:t>Canberra</w:t>
            </w:r>
            <w:r w:rsidRPr="00021DD2">
              <w:rPr>
                <w:rFonts w:cs="Arial"/>
              </w:rPr>
              <w:t xml:space="preserve"> roundtable included:</w:t>
            </w:r>
          </w:p>
          <w:p w:rsidR="000A5502" w:rsidRPr="00021DD2" w:rsidRDefault="000A5502" w:rsidP="00EB5EEF">
            <w:pPr>
              <w:spacing w:before="0" w:after="0"/>
              <w:rPr>
                <w:rFonts w:cs="Arial"/>
              </w:rPr>
            </w:pPr>
          </w:p>
          <w:p w:rsidR="000A5502" w:rsidRPr="00021DD2" w:rsidRDefault="000A5502" w:rsidP="00B934D7">
            <w:pPr>
              <w:pStyle w:val="Paragrafoelenco"/>
              <w:numPr>
                <w:ilvl w:val="0"/>
                <w:numId w:val="48"/>
              </w:numPr>
              <w:spacing w:before="0" w:after="0"/>
              <w:jc w:val="left"/>
            </w:pPr>
            <w:r w:rsidRPr="00021DD2">
              <w:t>Gabrielle Sinclair</w:t>
            </w:r>
            <w:r w:rsidR="00BE21F3">
              <w:t>,</w:t>
            </w:r>
            <w:r w:rsidRPr="00021DD2">
              <w:t xml:space="preserve"> Chief Executive Officer, Australian Children’s Education and Care Quality Authority </w:t>
            </w:r>
          </w:p>
          <w:p w:rsidR="000A5502" w:rsidRPr="00021DD2" w:rsidRDefault="000A5502" w:rsidP="00B934D7">
            <w:pPr>
              <w:pStyle w:val="Paragrafoelenco"/>
              <w:numPr>
                <w:ilvl w:val="0"/>
                <w:numId w:val="48"/>
              </w:numPr>
              <w:spacing w:before="0" w:after="0"/>
              <w:jc w:val="left"/>
            </w:pPr>
            <w:r w:rsidRPr="00021DD2">
              <w:t xml:space="preserve">Merilee Barnes, Director Culture and Leadership, Australian Sports Commission </w:t>
            </w:r>
          </w:p>
          <w:p w:rsidR="000A5502" w:rsidRPr="00021DD2" w:rsidRDefault="000A5502" w:rsidP="00B934D7">
            <w:pPr>
              <w:pStyle w:val="Paragrafoelenco"/>
              <w:numPr>
                <w:ilvl w:val="0"/>
                <w:numId w:val="48"/>
              </w:numPr>
              <w:spacing w:before="0" w:after="0"/>
              <w:jc w:val="left"/>
            </w:pPr>
            <w:r w:rsidRPr="00021DD2">
              <w:t xml:space="preserve">Simon Tatz, Director Public Health, Australian Medical Association </w:t>
            </w:r>
          </w:p>
          <w:p w:rsidR="000A5502" w:rsidRPr="00021DD2" w:rsidRDefault="000A5502" w:rsidP="00B934D7">
            <w:pPr>
              <w:pStyle w:val="Paragrafoelenco"/>
              <w:numPr>
                <w:ilvl w:val="0"/>
                <w:numId w:val="48"/>
              </w:numPr>
              <w:spacing w:before="0" w:after="0"/>
              <w:jc w:val="left"/>
            </w:pPr>
            <w:r w:rsidRPr="00021DD2">
              <w:t xml:space="preserve">Samantha Page, Chief Executive Officer, Early Childhood Australia </w:t>
            </w:r>
          </w:p>
          <w:p w:rsidR="000A5502" w:rsidRPr="00021DD2" w:rsidRDefault="000A5502" w:rsidP="00B934D7">
            <w:pPr>
              <w:pStyle w:val="Paragrafoelenco"/>
              <w:numPr>
                <w:ilvl w:val="0"/>
                <w:numId w:val="48"/>
              </w:numPr>
              <w:spacing w:before="0" w:after="0"/>
              <w:jc w:val="left"/>
            </w:pPr>
            <w:r w:rsidRPr="00021DD2">
              <w:t xml:space="preserve">Joanne Muller, Board Member, Girl Guides Australia </w:t>
            </w:r>
          </w:p>
          <w:p w:rsidR="000A5502" w:rsidRPr="00021DD2" w:rsidRDefault="000A5502" w:rsidP="00B934D7">
            <w:pPr>
              <w:pStyle w:val="Paragrafoelenco"/>
              <w:numPr>
                <w:ilvl w:val="0"/>
                <w:numId w:val="48"/>
              </w:numPr>
              <w:spacing w:before="0" w:after="0"/>
              <w:jc w:val="left"/>
            </w:pPr>
            <w:r w:rsidRPr="00021DD2">
              <w:t xml:space="preserve">Bev Orr, Board Member, Girl Guides Australia </w:t>
            </w:r>
          </w:p>
          <w:p w:rsidR="000A5502" w:rsidRPr="00021DD2" w:rsidRDefault="000A5502" w:rsidP="00B934D7">
            <w:pPr>
              <w:pStyle w:val="Paragrafoelenco"/>
              <w:numPr>
                <w:ilvl w:val="0"/>
                <w:numId w:val="48"/>
              </w:numPr>
              <w:spacing w:before="0" w:after="0"/>
              <w:jc w:val="left"/>
            </w:pPr>
            <w:r w:rsidRPr="00021DD2">
              <w:t>Louise Glanville, Deputy Chief Executive Officer Governance and Stakeholder Relations (former), National Disability Insurance Agency</w:t>
            </w:r>
          </w:p>
          <w:p w:rsidR="000A5502" w:rsidRPr="00021DD2" w:rsidRDefault="000A5502" w:rsidP="00B934D7">
            <w:pPr>
              <w:pStyle w:val="Paragrafoelenco"/>
              <w:numPr>
                <w:ilvl w:val="0"/>
                <w:numId w:val="48"/>
              </w:numPr>
              <w:spacing w:before="0" w:after="0"/>
              <w:jc w:val="left"/>
            </w:pPr>
            <w:r w:rsidRPr="00021DD2">
              <w:t>Cameron Haig, National Coordinator Safe Church Program, National Council of Churches in Australia</w:t>
            </w:r>
          </w:p>
          <w:p w:rsidR="000A5502" w:rsidRPr="00021DD2" w:rsidRDefault="000A5502" w:rsidP="00B934D7">
            <w:pPr>
              <w:pStyle w:val="Paragrafoelenco"/>
              <w:numPr>
                <w:ilvl w:val="0"/>
                <w:numId w:val="48"/>
              </w:numPr>
              <w:spacing w:before="0" w:after="0"/>
              <w:jc w:val="left"/>
            </w:pPr>
            <w:r w:rsidRPr="00021DD2">
              <w:t>Paul Geyer, Chief Executive Officer, Principals Australia Institute</w:t>
            </w:r>
          </w:p>
          <w:p w:rsidR="000A5502" w:rsidRPr="00021DD2" w:rsidRDefault="000A5502" w:rsidP="00B934D7">
            <w:pPr>
              <w:pStyle w:val="Paragrafoelenco"/>
              <w:numPr>
                <w:ilvl w:val="0"/>
                <w:numId w:val="48"/>
              </w:numPr>
              <w:spacing w:before="0" w:after="0"/>
              <w:jc w:val="left"/>
            </w:pPr>
            <w:r w:rsidRPr="00021DD2">
              <w:t xml:space="preserve">Bobbie Wan, Office of the eSafety Commissioner </w:t>
            </w:r>
          </w:p>
          <w:p w:rsidR="000A5502" w:rsidRPr="00021DD2" w:rsidRDefault="000A5502" w:rsidP="00B934D7">
            <w:pPr>
              <w:pStyle w:val="Paragrafoelenco"/>
              <w:numPr>
                <w:ilvl w:val="0"/>
                <w:numId w:val="48"/>
              </w:numPr>
              <w:spacing w:before="0" w:after="0"/>
              <w:jc w:val="left"/>
            </w:pPr>
            <w:r w:rsidRPr="00021DD2">
              <w:t xml:space="preserve">Erin Gillen, Senior Policy Advisor, Our Watch </w:t>
            </w:r>
          </w:p>
          <w:p w:rsidR="000A5502" w:rsidRPr="00021DD2" w:rsidRDefault="000A5502" w:rsidP="00B934D7">
            <w:pPr>
              <w:pStyle w:val="Paragrafoelenco"/>
              <w:numPr>
                <w:ilvl w:val="0"/>
                <w:numId w:val="48"/>
              </w:numPr>
              <w:spacing w:before="0" w:after="0"/>
              <w:jc w:val="left"/>
            </w:pPr>
            <w:r w:rsidRPr="00021DD2">
              <w:t>Pip Wittenoom, Director Peer Services, Australia Council of the Arts</w:t>
            </w:r>
          </w:p>
          <w:p w:rsidR="000A5502" w:rsidRPr="00021DD2" w:rsidRDefault="000A5502" w:rsidP="00B934D7">
            <w:pPr>
              <w:pStyle w:val="Paragrafoelenco"/>
              <w:numPr>
                <w:ilvl w:val="0"/>
                <w:numId w:val="48"/>
              </w:numPr>
              <w:spacing w:before="0" w:after="0"/>
              <w:jc w:val="left"/>
            </w:pPr>
            <w:r w:rsidRPr="00021DD2">
              <w:t>Caitlin Vaughan, Manager Government Programs, Australia Council of the Arts</w:t>
            </w:r>
          </w:p>
        </w:tc>
        <w:tc>
          <w:tcPr>
            <w:tcW w:w="1441" w:type="dxa"/>
            <w:tcBorders>
              <w:top w:val="single" w:sz="4" w:space="0" w:color="auto"/>
              <w:left w:val="single" w:sz="4" w:space="0" w:color="auto"/>
              <w:bottom w:val="single" w:sz="4" w:space="0" w:color="auto"/>
              <w:right w:val="single" w:sz="4" w:space="0" w:color="auto"/>
            </w:tcBorders>
            <w:hideMark/>
          </w:tcPr>
          <w:p w:rsidR="000A5502" w:rsidRPr="00021DD2" w:rsidRDefault="000A5502" w:rsidP="00EB5EEF">
            <w:pPr>
              <w:spacing w:before="0" w:after="0"/>
              <w:rPr>
                <w:rFonts w:cs="Arial"/>
              </w:rPr>
            </w:pPr>
            <w:r w:rsidRPr="00021DD2">
              <w:rPr>
                <w:rFonts w:cs="Arial"/>
              </w:rPr>
              <w:t>Canberra, ACT</w:t>
            </w:r>
          </w:p>
        </w:tc>
      </w:tr>
    </w:tbl>
    <w:p w:rsidR="000A5502" w:rsidRPr="00021DD2" w:rsidRDefault="000A5502" w:rsidP="00B63D24">
      <w:pPr>
        <w:rPr>
          <w:rFonts w:cs="Arial"/>
        </w:rPr>
        <w:sectPr w:rsidR="000A5502" w:rsidRPr="00021DD2" w:rsidSect="00737C44">
          <w:endnotePr>
            <w:numFmt w:val="decimal"/>
            <w:numRestart w:val="eachSect"/>
          </w:endnotePr>
          <w:type w:val="continuous"/>
          <w:pgSz w:w="11906" w:h="16838" w:code="9"/>
          <w:pgMar w:top="1134" w:right="1418" w:bottom="1134" w:left="1418" w:header="709" w:footer="709" w:gutter="0"/>
          <w:cols w:space="708"/>
          <w:docGrid w:linePitch="360"/>
        </w:sectPr>
      </w:pPr>
    </w:p>
    <w:p w:rsidR="00A35E2A" w:rsidRPr="00021DD2" w:rsidRDefault="00A35E2A" w:rsidP="00B63D24">
      <w:pPr>
        <w:rPr>
          <w:rFonts w:cs="Arial"/>
        </w:rPr>
      </w:pPr>
    </w:p>
    <w:p w:rsidR="00C75117" w:rsidRPr="00021DD2" w:rsidRDefault="00C75117" w:rsidP="00B63D24">
      <w:pPr>
        <w:rPr>
          <w:rFonts w:cs="Arial"/>
        </w:rPr>
      </w:pPr>
    </w:p>
    <w:p w:rsidR="00C75117" w:rsidRPr="00021DD2" w:rsidRDefault="00C75117" w:rsidP="00B63D24">
      <w:pPr>
        <w:rPr>
          <w:rFonts w:cs="Arial"/>
        </w:rPr>
      </w:pPr>
    </w:p>
    <w:p w:rsidR="00C75117" w:rsidRPr="00021DD2" w:rsidRDefault="00C75117" w:rsidP="00B63D24">
      <w:pPr>
        <w:rPr>
          <w:rFonts w:cs="Arial"/>
        </w:rPr>
      </w:pPr>
    </w:p>
    <w:p w:rsidR="00C75117" w:rsidRPr="00021DD2" w:rsidRDefault="00C75117" w:rsidP="00B63D24">
      <w:pPr>
        <w:rPr>
          <w:rFonts w:cs="Arial"/>
        </w:rPr>
      </w:pPr>
    </w:p>
    <w:p w:rsidR="00F763BE" w:rsidRPr="00716A02" w:rsidRDefault="00F763BE" w:rsidP="00F763BE">
      <w:pPr>
        <w:rPr>
          <w:rFonts w:cs="Arial"/>
          <w:sz w:val="28"/>
          <w:szCs w:val="28"/>
        </w:rPr>
      </w:pPr>
      <w:r w:rsidRPr="00716A02">
        <w:rPr>
          <w:rFonts w:cs="Arial"/>
          <w:sz w:val="28"/>
          <w:szCs w:val="28"/>
        </w:rPr>
        <w:t>Further Information</w:t>
      </w:r>
    </w:p>
    <w:p w:rsidR="00F763BE" w:rsidRPr="00230416" w:rsidRDefault="00F763BE" w:rsidP="00F763BE">
      <w:pPr>
        <w:contextualSpacing/>
        <w:rPr>
          <w:rFonts w:cs="Arial"/>
        </w:rPr>
      </w:pPr>
      <w:r w:rsidRPr="00230416">
        <w:rPr>
          <w:rFonts w:cs="Arial"/>
          <w:b/>
          <w:bCs/>
        </w:rPr>
        <w:t>Australian Human Rights Commission</w:t>
      </w:r>
    </w:p>
    <w:p w:rsidR="00F763BE" w:rsidRPr="00230416" w:rsidRDefault="00F763BE" w:rsidP="00F763BE">
      <w:pPr>
        <w:contextualSpacing/>
        <w:rPr>
          <w:rFonts w:cs="Arial"/>
        </w:rPr>
      </w:pPr>
      <w:r w:rsidRPr="00230416">
        <w:rPr>
          <w:rFonts w:cs="Arial"/>
        </w:rPr>
        <w:t>Level 3, 175 Pitt Street</w:t>
      </w:r>
    </w:p>
    <w:p w:rsidR="00F763BE" w:rsidRPr="00230416" w:rsidRDefault="00F763BE" w:rsidP="00F763BE">
      <w:pPr>
        <w:contextualSpacing/>
        <w:rPr>
          <w:rFonts w:cs="Arial"/>
        </w:rPr>
      </w:pPr>
      <w:r w:rsidRPr="00230416">
        <w:rPr>
          <w:rFonts w:cs="Arial"/>
        </w:rPr>
        <w:t>SYDNEY NSW 2000</w:t>
      </w:r>
    </w:p>
    <w:p w:rsidR="00F763BE" w:rsidRPr="00230416" w:rsidRDefault="00F763BE" w:rsidP="00F763BE">
      <w:pPr>
        <w:contextualSpacing/>
        <w:rPr>
          <w:rFonts w:cs="Arial"/>
        </w:rPr>
      </w:pPr>
      <w:r w:rsidRPr="00230416">
        <w:rPr>
          <w:rFonts w:cs="Arial"/>
        </w:rPr>
        <w:t>GPO Box 5218</w:t>
      </w:r>
    </w:p>
    <w:p w:rsidR="00F763BE" w:rsidRPr="00230416" w:rsidRDefault="00F763BE" w:rsidP="00F763BE">
      <w:pPr>
        <w:contextualSpacing/>
        <w:rPr>
          <w:rFonts w:cs="Arial"/>
        </w:rPr>
      </w:pPr>
      <w:r w:rsidRPr="00230416">
        <w:rPr>
          <w:rFonts w:cs="Arial"/>
        </w:rPr>
        <w:t>SYDNEY NSW 2001</w:t>
      </w:r>
    </w:p>
    <w:p w:rsidR="00F763BE" w:rsidRPr="00230416" w:rsidRDefault="00F763BE" w:rsidP="00F763BE">
      <w:pPr>
        <w:contextualSpacing/>
        <w:rPr>
          <w:rFonts w:cs="Arial"/>
        </w:rPr>
      </w:pPr>
      <w:r w:rsidRPr="00230416">
        <w:rPr>
          <w:rFonts w:cs="Arial"/>
        </w:rPr>
        <w:t>Telephone: (02) 9284 9600</w:t>
      </w:r>
    </w:p>
    <w:p w:rsidR="00F763BE" w:rsidRPr="00230416" w:rsidRDefault="00F763BE" w:rsidP="00F763BE">
      <w:pPr>
        <w:contextualSpacing/>
        <w:rPr>
          <w:rFonts w:cs="Arial"/>
        </w:rPr>
      </w:pPr>
      <w:r w:rsidRPr="00230416">
        <w:rPr>
          <w:rFonts w:cs="Arial"/>
        </w:rPr>
        <w:t>Complaints Infoline: 1300 656 419</w:t>
      </w:r>
    </w:p>
    <w:p w:rsidR="00F763BE" w:rsidRPr="00230416" w:rsidRDefault="00F763BE" w:rsidP="00F763BE">
      <w:pPr>
        <w:contextualSpacing/>
        <w:rPr>
          <w:rFonts w:cs="Arial"/>
        </w:rPr>
      </w:pPr>
      <w:r w:rsidRPr="00230416">
        <w:rPr>
          <w:rFonts w:cs="Arial"/>
        </w:rPr>
        <w:t>General enquiries and publications: 1300 369 711</w:t>
      </w:r>
    </w:p>
    <w:p w:rsidR="00F763BE" w:rsidRPr="00230416" w:rsidRDefault="00F763BE" w:rsidP="00F763BE">
      <w:pPr>
        <w:contextualSpacing/>
        <w:rPr>
          <w:rFonts w:cs="Arial"/>
        </w:rPr>
      </w:pPr>
      <w:r w:rsidRPr="00230416">
        <w:rPr>
          <w:rFonts w:cs="Arial"/>
        </w:rPr>
        <w:t>TTY: 1800 620 241</w:t>
      </w:r>
    </w:p>
    <w:p w:rsidR="00F763BE" w:rsidRPr="00230416" w:rsidRDefault="00F763BE" w:rsidP="00F763BE">
      <w:pPr>
        <w:contextualSpacing/>
        <w:rPr>
          <w:rFonts w:cs="Arial"/>
        </w:rPr>
      </w:pPr>
      <w:r w:rsidRPr="00230416">
        <w:rPr>
          <w:rFonts w:cs="Arial"/>
        </w:rPr>
        <w:t>Fax: (02) 9284 9611</w:t>
      </w:r>
    </w:p>
    <w:p w:rsidR="00F763BE" w:rsidRPr="00230416" w:rsidRDefault="00F763BE" w:rsidP="00F763BE">
      <w:pPr>
        <w:contextualSpacing/>
        <w:rPr>
          <w:rFonts w:cs="Arial"/>
        </w:rPr>
      </w:pPr>
      <w:r w:rsidRPr="00230416">
        <w:rPr>
          <w:rFonts w:cs="Arial"/>
        </w:rPr>
        <w:t xml:space="preserve">Website: </w:t>
      </w:r>
      <w:hyperlink r:id="rId48" w:history="1">
        <w:r w:rsidRPr="001A5D35">
          <w:rPr>
            <w:rStyle w:val="Collegamentoipertestuale"/>
            <w:rFonts w:cs="Arial"/>
            <w:bCs/>
          </w:rPr>
          <w:t>www.humanrights.gov.au</w:t>
        </w:r>
      </w:hyperlink>
    </w:p>
    <w:p w:rsidR="00F763BE" w:rsidRDefault="00F763BE" w:rsidP="00F763BE">
      <w:pPr>
        <w:rPr>
          <w:rFonts w:cs="Arial"/>
          <w:b/>
          <w:bCs/>
        </w:rPr>
      </w:pPr>
      <w:r w:rsidRPr="00230416">
        <w:rPr>
          <w:rFonts w:cs="Arial"/>
        </w:rPr>
        <w:t xml:space="preserve">For detailed and up to date information about the Australian Human Rights Commission visit our website at: </w:t>
      </w:r>
      <w:hyperlink r:id="rId49" w:history="1">
        <w:r w:rsidRPr="001A5D35">
          <w:rPr>
            <w:rStyle w:val="Collegamentoipertestuale"/>
            <w:rFonts w:cs="Arial"/>
            <w:bCs/>
          </w:rPr>
          <w:t>www.humanrights.gov.au</w:t>
        </w:r>
      </w:hyperlink>
      <w:r w:rsidRPr="00230416">
        <w:rPr>
          <w:rFonts w:cs="Arial"/>
        </w:rPr>
        <w:t xml:space="preserve">. To order more publications from the Australian Human Rights Commission, download a Publication Order Form at: </w:t>
      </w:r>
      <w:hyperlink r:id="rId50" w:history="1">
        <w:r w:rsidRPr="001A5D35">
          <w:rPr>
            <w:rStyle w:val="Collegamentoipertestuale"/>
            <w:rFonts w:cs="Arial"/>
            <w:bCs/>
          </w:rPr>
          <w:t>www.humanrights.gov.au/about/publications/</w:t>
        </w:r>
      </w:hyperlink>
      <w:r w:rsidRPr="00230416">
        <w:rPr>
          <w:rFonts w:cs="Arial"/>
        </w:rPr>
        <w:t xml:space="preserve">, call: (02) 9284 9600, fax: (02) 9284 9611 or email: </w:t>
      </w:r>
      <w:hyperlink r:id="rId51" w:history="1">
        <w:r w:rsidRPr="001A5D35">
          <w:rPr>
            <w:rStyle w:val="Collegamentoipertestuale"/>
            <w:rFonts w:cs="Arial"/>
            <w:bCs/>
          </w:rPr>
          <w:t>publications@humanrights.gov.au</w:t>
        </w:r>
      </w:hyperlink>
    </w:p>
    <w:p w:rsidR="00A35E2A" w:rsidRPr="00021DD2" w:rsidRDefault="00A35E2A" w:rsidP="00B63D24">
      <w:pPr>
        <w:rPr>
          <w:rFonts w:cs="Arial"/>
        </w:rPr>
      </w:pPr>
    </w:p>
    <w:sectPr w:rsidR="00A35E2A" w:rsidRPr="00021DD2" w:rsidSect="00EC5173">
      <w:endnotePr>
        <w:numFmt w:val="decimal"/>
        <w:numRestart w:val="eachSect"/>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029C" w:rsidRDefault="00C3029C" w:rsidP="00F14C6D">
      <w:r>
        <w:separator/>
      </w:r>
    </w:p>
  </w:endnote>
  <w:endnote w:type="continuationSeparator" w:id="0">
    <w:p w:rsidR="00C3029C" w:rsidRDefault="00C3029C" w:rsidP="00F14C6D">
      <w:r>
        <w:continuationSeparator/>
      </w:r>
    </w:p>
  </w:endnote>
  <w:endnote w:id="1">
    <w:p w:rsidR="00C3563C" w:rsidRPr="00CE532E" w:rsidRDefault="00C3563C" w:rsidP="00B87D45">
      <w:pPr>
        <w:pStyle w:val="Testonotadichiusura"/>
        <w:rPr>
          <w:lang w:val="en-US"/>
        </w:rPr>
      </w:pPr>
      <w:r>
        <w:rPr>
          <w:rStyle w:val="Rimandonotadichiusura"/>
        </w:rPr>
        <w:endnoteRef/>
      </w:r>
      <w:r>
        <w:t xml:space="preserve"> </w:t>
      </w:r>
      <w:r>
        <w:rPr>
          <w:i/>
        </w:rPr>
        <w:t>Human Rights Legislation Amendment Act (2017)</w:t>
      </w:r>
      <w:r>
        <w:t xml:space="preserve"> (Cth). At </w:t>
      </w:r>
      <w:hyperlink r:id="rId1" w:anchor="primary-nav" w:history="1">
        <w:r w:rsidRPr="000F6A6D">
          <w:rPr>
            <w:rStyle w:val="Collegamentoipertestuale"/>
          </w:rPr>
          <w:t>https://www.legislation.gov.au/Details/C2017A00032/Html/Text#primary-nav</w:t>
        </w:r>
      </w:hyperlink>
      <w:r>
        <w:t xml:space="preserve"> (viewed 13 October 2017).</w:t>
      </w:r>
    </w:p>
  </w:endnote>
  <w:endnote w:id="2">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sidRPr="003650B3">
        <w:rPr>
          <w:rFonts w:cs="Arial"/>
          <w:i/>
          <w:iCs/>
        </w:rPr>
        <w:t>Convention on the Rights of the Child</w:t>
      </w:r>
      <w:r w:rsidRPr="003650B3">
        <w:rPr>
          <w:rFonts w:cs="Arial"/>
          <w:iCs/>
        </w:rPr>
        <w:t>, opened for signature 20 November 1989, 1577 UNTS 3 (entered into force 2 September 1990).</w:t>
      </w:r>
    </w:p>
  </w:endnote>
  <w:endnote w:id="3">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Committee on the Rights of the Child, </w:t>
      </w:r>
      <w:r w:rsidRPr="003650B3">
        <w:rPr>
          <w:rFonts w:cs="Arial"/>
          <w:i/>
          <w:iCs/>
        </w:rPr>
        <w:t>General Comment No.5 on General measures of implementation of the Convention on the Rights of the Child (arts. 4, 42 and 44)</w:t>
      </w:r>
      <w:r w:rsidRPr="003650B3">
        <w:rPr>
          <w:rFonts w:cs="Arial"/>
        </w:rPr>
        <w:t xml:space="preserve">, UN Doc CRC/C/GC/2003/5 (November 2003) [12]. </w:t>
      </w:r>
    </w:p>
  </w:endnote>
  <w:endnote w:id="4">
    <w:p w:rsidR="00C3563C" w:rsidRPr="003650B3" w:rsidRDefault="00C3563C" w:rsidP="00B87D45">
      <w:pPr>
        <w:pStyle w:val="Testonotadichiusura"/>
        <w:rPr>
          <w:rFonts w:cs="Arial"/>
        </w:rPr>
      </w:pPr>
      <w:r w:rsidRPr="003650B3">
        <w:rPr>
          <w:rFonts w:cs="Arial"/>
          <w:vertAlign w:val="superscript"/>
        </w:rPr>
        <w:endnoteRef/>
      </w:r>
      <w:r w:rsidRPr="003650B3">
        <w:rPr>
          <w:rFonts w:eastAsia="Arial Unicode MS" w:cs="Arial"/>
        </w:rPr>
        <w:t xml:space="preserve"> Committee on the Rights of the Child, </w:t>
      </w:r>
      <w:r w:rsidRPr="003650B3">
        <w:rPr>
          <w:rFonts w:eastAsia="Arial Unicode MS" w:cs="Arial"/>
          <w:i/>
          <w:iCs/>
        </w:rPr>
        <w:t xml:space="preserve">General Comment No. 12 on </w:t>
      </w:r>
      <w:r>
        <w:rPr>
          <w:rFonts w:eastAsia="Arial Unicode MS" w:cs="Arial"/>
          <w:i/>
          <w:iCs/>
        </w:rPr>
        <w:t>t</w:t>
      </w:r>
      <w:r w:rsidRPr="003650B3">
        <w:rPr>
          <w:rFonts w:eastAsia="Arial Unicode MS" w:cs="Arial"/>
          <w:i/>
          <w:iCs/>
        </w:rPr>
        <w:t>he right of the child to be heard</w:t>
      </w:r>
      <w:r w:rsidRPr="003650B3">
        <w:rPr>
          <w:rFonts w:eastAsia="Arial Unicode MS" w:cs="Arial"/>
        </w:rPr>
        <w:t xml:space="preserve">, UN DOC CRC/C/GC/12 (July 2009) [68]. </w:t>
      </w:r>
    </w:p>
  </w:endnote>
  <w:endnote w:id="5">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Pr>
          <w:rFonts w:cs="Arial"/>
        </w:rPr>
        <w:t xml:space="preserve">Department of Social Services, Commonwealth of Australia, </w:t>
      </w:r>
      <w:r>
        <w:rPr>
          <w:rFonts w:cs="Arial"/>
          <w:i/>
        </w:rPr>
        <w:t xml:space="preserve">National Framework for Protecting Australia’s Children 2009–2020: Third three-year action plan, 2015–2018. </w:t>
      </w:r>
      <w:r>
        <w:rPr>
          <w:rFonts w:cs="Arial"/>
        </w:rPr>
        <w:t>At</w:t>
      </w:r>
      <w:r>
        <w:rPr>
          <w:rFonts w:cs="Arial"/>
          <w:i/>
        </w:rPr>
        <w:t xml:space="preserve"> </w:t>
      </w:r>
      <w:hyperlink r:id="rId2" w:history="1">
        <w:r w:rsidRPr="003650B3">
          <w:rPr>
            <w:rStyle w:val="Collegamentoipertestuale"/>
            <w:rFonts w:cs="Arial"/>
          </w:rPr>
          <w:t>https://www.dss.gov.au/sites/default/files/documents/12_2015/pdf_third_action_plan_for_protecting_australias_children.pdf</w:t>
        </w:r>
      </w:hyperlink>
      <w:r>
        <w:rPr>
          <w:rFonts w:cs="Arial"/>
        </w:rPr>
        <w:t xml:space="preserve"> (viewed 8 September 2017).</w:t>
      </w:r>
    </w:p>
  </w:endnote>
  <w:endnote w:id="6">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Pr>
          <w:rFonts w:cs="Arial"/>
        </w:rPr>
        <w:t xml:space="preserve">Multicultural Youth Advocacy Network (Australia), </w:t>
      </w:r>
      <w:r w:rsidRPr="00E6062B">
        <w:rPr>
          <w:rFonts w:cs="Arial"/>
          <w:i/>
        </w:rPr>
        <w:t>National Multicultural Youth Summit Report</w:t>
      </w:r>
      <w:r>
        <w:rPr>
          <w:rFonts w:cs="Arial"/>
          <w:i/>
        </w:rPr>
        <w:t xml:space="preserve"> </w:t>
      </w:r>
      <w:r>
        <w:rPr>
          <w:rFonts w:cs="Arial"/>
        </w:rPr>
        <w:t>(Report, 2016). At</w:t>
      </w:r>
      <w:r w:rsidRPr="00E6062B">
        <w:rPr>
          <w:rFonts w:cs="Arial"/>
          <w:i/>
        </w:rPr>
        <w:t xml:space="preserve"> </w:t>
      </w:r>
      <w:hyperlink r:id="rId3" w:history="1">
        <w:r w:rsidRPr="003650B3">
          <w:rPr>
            <w:rStyle w:val="Collegamentoipertestuale"/>
            <w:rFonts w:cs="Arial"/>
          </w:rPr>
          <w:t>http://www.myan.org.au/file/file/2017%20FUSE%20Report_DIGITAL.pdf</w:t>
        </w:r>
      </w:hyperlink>
      <w:r w:rsidRPr="00E6062B">
        <w:rPr>
          <w:rStyle w:val="Collegamentoipertestuale"/>
          <w:rFonts w:cs="Arial"/>
          <w:u w:val="none"/>
        </w:rPr>
        <w:t xml:space="preserve"> (viewed 8 September 2017).</w:t>
      </w:r>
    </w:p>
  </w:endnote>
  <w:endnote w:id="7">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Pr>
          <w:rFonts w:cs="Arial"/>
        </w:rPr>
        <w:t xml:space="preserve">Multicultural Youth Advocacy Network (Australia), </w:t>
      </w:r>
      <w:r w:rsidRPr="00E6062B">
        <w:rPr>
          <w:rFonts w:cs="Arial"/>
          <w:i/>
        </w:rPr>
        <w:t>National Multicultural Youth Summit Report</w:t>
      </w:r>
      <w:r>
        <w:rPr>
          <w:rFonts w:cs="Arial"/>
          <w:i/>
        </w:rPr>
        <w:t xml:space="preserve"> </w:t>
      </w:r>
      <w:r>
        <w:rPr>
          <w:rFonts w:cs="Arial"/>
        </w:rPr>
        <w:t>(Report, 2016). At</w:t>
      </w:r>
      <w:r w:rsidRPr="00E6062B">
        <w:rPr>
          <w:rFonts w:cs="Arial"/>
          <w:i/>
        </w:rPr>
        <w:t xml:space="preserve"> </w:t>
      </w:r>
      <w:hyperlink r:id="rId4" w:history="1">
        <w:r w:rsidRPr="003650B3">
          <w:rPr>
            <w:rStyle w:val="Collegamentoipertestuale"/>
            <w:rFonts w:cs="Arial"/>
          </w:rPr>
          <w:t>http://www.myan.org.au/file/file/2017%20FUSE%20Report_DIGITAL.pdf</w:t>
        </w:r>
      </w:hyperlink>
      <w:r w:rsidRPr="00E6062B">
        <w:rPr>
          <w:rStyle w:val="Collegamentoipertestuale"/>
          <w:rFonts w:cs="Arial"/>
          <w:u w:val="none"/>
        </w:rPr>
        <w:t xml:space="preserve"> (viewed 8 September 2017).</w:t>
      </w:r>
    </w:p>
  </w:endnote>
  <w:endnote w:id="8">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Pr>
          <w:rFonts w:cs="Arial"/>
        </w:rPr>
        <w:t xml:space="preserve">Multicultural Youth Advocacy Network (Australia), </w:t>
      </w:r>
      <w:r>
        <w:rPr>
          <w:rFonts w:cs="Arial"/>
          <w:i/>
        </w:rPr>
        <w:t xml:space="preserve">MYAN National Conference. </w:t>
      </w:r>
      <w:r>
        <w:rPr>
          <w:rFonts w:cs="Arial"/>
        </w:rPr>
        <w:t xml:space="preserve">At </w:t>
      </w:r>
      <w:hyperlink r:id="rId5" w:history="1">
        <w:r w:rsidRPr="003650B3">
          <w:rPr>
            <w:rStyle w:val="Collegamentoipertestuale"/>
            <w:rFonts w:cs="Arial"/>
          </w:rPr>
          <w:t>http://myan.org.au/national-conference/</w:t>
        </w:r>
      </w:hyperlink>
      <w:r w:rsidRPr="003650B3">
        <w:rPr>
          <w:rFonts w:cs="Arial"/>
        </w:rPr>
        <w:t xml:space="preserve"> </w:t>
      </w:r>
      <w:r>
        <w:rPr>
          <w:rFonts w:cs="Arial"/>
        </w:rPr>
        <w:t>(viewed 8 September 2017).</w:t>
      </w:r>
    </w:p>
  </w:endnote>
  <w:endnote w:id="9">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Pr>
          <w:rFonts w:cs="Arial"/>
        </w:rPr>
        <w:t xml:space="preserve">Whitlam Institute, </w:t>
      </w:r>
      <w:r>
        <w:rPr>
          <w:rFonts w:cs="Arial"/>
          <w:i/>
        </w:rPr>
        <w:t xml:space="preserve">What Matters? Writing Competition. </w:t>
      </w:r>
      <w:r>
        <w:rPr>
          <w:rFonts w:cs="Arial"/>
        </w:rPr>
        <w:t xml:space="preserve">At </w:t>
      </w:r>
      <w:hyperlink r:id="rId6" w:history="1">
        <w:r w:rsidRPr="003650B3">
          <w:rPr>
            <w:rStyle w:val="Collegamentoipertestuale"/>
            <w:rFonts w:cs="Arial"/>
          </w:rPr>
          <w:t>https://www.whitlam.org/the_program/what_matters_writing_competition</w:t>
        </w:r>
      </w:hyperlink>
      <w:r w:rsidRPr="003650B3">
        <w:rPr>
          <w:rFonts w:cs="Arial"/>
        </w:rPr>
        <w:t xml:space="preserve"> </w:t>
      </w:r>
      <w:r>
        <w:rPr>
          <w:rFonts w:cs="Arial"/>
        </w:rPr>
        <w:t>(viewed 8 September 2017).</w:t>
      </w:r>
    </w:p>
  </w:endnote>
  <w:endnote w:id="10">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Pr>
          <w:rFonts w:cs="Arial"/>
        </w:rPr>
        <w:t xml:space="preserve">YMCA NSW, </w:t>
      </w:r>
      <w:r>
        <w:rPr>
          <w:rFonts w:cs="Arial"/>
          <w:i/>
        </w:rPr>
        <w:t xml:space="preserve">Youth Parliament. </w:t>
      </w:r>
      <w:r>
        <w:rPr>
          <w:rFonts w:cs="Arial"/>
        </w:rPr>
        <w:t xml:space="preserve">At </w:t>
      </w:r>
      <w:hyperlink r:id="rId7" w:history="1">
        <w:r w:rsidRPr="003650B3">
          <w:rPr>
            <w:rStyle w:val="Collegamentoipertestuale"/>
            <w:rFonts w:cs="Arial"/>
          </w:rPr>
          <w:t>https://www.ymcansw.org.au/community-services/youth/youth-parliament/</w:t>
        </w:r>
      </w:hyperlink>
      <w:r w:rsidRPr="003650B3">
        <w:rPr>
          <w:rFonts w:cs="Arial"/>
        </w:rPr>
        <w:t xml:space="preserve"> </w:t>
      </w:r>
      <w:r>
        <w:rPr>
          <w:rFonts w:cs="Arial"/>
        </w:rPr>
        <w:t>(viewed 8 September 2017).</w:t>
      </w:r>
    </w:p>
  </w:endnote>
  <w:endnote w:id="11">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Commonwealth Attorney-General, ‘Improving oversight and conditions in detention’</w:t>
      </w:r>
      <w:r>
        <w:rPr>
          <w:rFonts w:cs="Arial"/>
        </w:rPr>
        <w:t xml:space="preserve"> (Media Release,</w:t>
      </w:r>
      <w:r w:rsidRPr="003650B3">
        <w:rPr>
          <w:rFonts w:cs="Arial"/>
        </w:rPr>
        <w:t xml:space="preserve"> 9 February 2017</w:t>
      </w:r>
      <w:r>
        <w:rPr>
          <w:rFonts w:cs="Arial"/>
        </w:rPr>
        <w:t>)</w:t>
      </w:r>
      <w:r w:rsidRPr="003650B3">
        <w:rPr>
          <w:rFonts w:cs="Arial"/>
        </w:rPr>
        <w:t xml:space="preserve">. At </w:t>
      </w:r>
      <w:hyperlink r:id="rId8" w:history="1">
        <w:r w:rsidRPr="003650B3">
          <w:rPr>
            <w:rStyle w:val="Collegamentoipertestuale"/>
            <w:rFonts w:cs="Arial"/>
          </w:rPr>
          <w:t>https://www.attorneygeneral.gov.au/Mediareleases/Pages/2017/FirstQuarter/Improving-oversight-and-conditions-in-detention.aspx</w:t>
        </w:r>
      </w:hyperlink>
      <w:r w:rsidRPr="003650B3">
        <w:rPr>
          <w:rFonts w:cs="Arial"/>
        </w:rPr>
        <w:t xml:space="preserve"> </w:t>
      </w:r>
      <w:r>
        <w:rPr>
          <w:rFonts w:cs="Arial"/>
        </w:rPr>
        <w:t>(viewed 8 September 2017).</w:t>
      </w:r>
    </w:p>
  </w:endnote>
  <w:endnote w:id="12">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sidRPr="003650B3">
        <w:rPr>
          <w:rFonts w:cs="Arial"/>
          <w:i/>
        </w:rPr>
        <w:t xml:space="preserve">Optional Protocol to the Convention against Torture and Other Cruel, Inhuman or Degrading Treatment or Punishment, </w:t>
      </w:r>
      <w:r w:rsidRPr="003650B3">
        <w:rPr>
          <w:rFonts w:cs="Arial"/>
        </w:rPr>
        <w:t xml:space="preserve">opened for signature 4 February 2003, 2375 UNTS 237 (entered into force 22 June 2006). </w:t>
      </w:r>
    </w:p>
  </w:endnote>
  <w:endnote w:id="13">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Commonwealth Attorney-General, ‘Improving oversight and conditions in detention’</w:t>
      </w:r>
      <w:r>
        <w:rPr>
          <w:rFonts w:cs="Arial"/>
        </w:rPr>
        <w:t xml:space="preserve"> (Media Release,</w:t>
      </w:r>
      <w:r w:rsidRPr="003650B3">
        <w:rPr>
          <w:rFonts w:cs="Arial"/>
        </w:rPr>
        <w:t xml:space="preserve"> 9 February 2017</w:t>
      </w:r>
      <w:r>
        <w:rPr>
          <w:rFonts w:cs="Arial"/>
        </w:rPr>
        <w:t>)</w:t>
      </w:r>
      <w:r w:rsidRPr="003650B3">
        <w:rPr>
          <w:rFonts w:cs="Arial"/>
        </w:rPr>
        <w:t xml:space="preserve">. At </w:t>
      </w:r>
      <w:hyperlink r:id="rId9" w:history="1">
        <w:r w:rsidRPr="003650B3">
          <w:rPr>
            <w:rStyle w:val="Collegamentoipertestuale"/>
            <w:rFonts w:cs="Arial"/>
          </w:rPr>
          <w:t>https://www.attorneygeneral.gov.au/Mediareleases/Pages/2017/FirstQuarter/Improving-oversight-and-conditions-in-detention.aspx</w:t>
        </w:r>
      </w:hyperlink>
      <w:r w:rsidRPr="003650B3">
        <w:rPr>
          <w:rFonts w:cs="Arial"/>
        </w:rPr>
        <w:t xml:space="preserve"> </w:t>
      </w:r>
      <w:r>
        <w:rPr>
          <w:rFonts w:cs="Arial"/>
        </w:rPr>
        <w:t>(viewed 8 September 2017).</w:t>
      </w:r>
    </w:p>
  </w:endnote>
  <w:endnote w:id="14">
    <w:p w:rsidR="00C3563C" w:rsidRDefault="00C3563C" w:rsidP="00B87D45">
      <w:pPr>
        <w:pStyle w:val="Testonotadichiusura"/>
      </w:pPr>
      <w:r>
        <w:rPr>
          <w:rStyle w:val="Rimandonotadichiusura"/>
        </w:rPr>
        <w:endnoteRef/>
      </w:r>
      <w:r>
        <w:t xml:space="preserve"> </w:t>
      </w:r>
      <w:r w:rsidRPr="008575DE">
        <w:t xml:space="preserve">Australian Human Rights Commission, Submission to NSW Inspector of Custodial Services, </w:t>
      </w:r>
      <w:r w:rsidRPr="008575DE">
        <w:rPr>
          <w:i/>
        </w:rPr>
        <w:t>NSW Juvenile Justice</w:t>
      </w:r>
      <w:r w:rsidRPr="00116120">
        <w:rPr>
          <w:i/>
        </w:rPr>
        <w:t>: Human rights and the use of force</w:t>
      </w:r>
      <w:r>
        <w:t xml:space="preserve">, 31 May 2017. At </w:t>
      </w:r>
      <w:hyperlink r:id="rId10" w:history="1">
        <w:r w:rsidRPr="008D6DBF">
          <w:rPr>
            <w:rStyle w:val="Collegamentoipertestuale"/>
          </w:rPr>
          <w:t>http://www.humanrights.gov.au/submissions/nsw-juvenile-justice-human-rights-and-use-force-2017</w:t>
        </w:r>
      </w:hyperlink>
      <w:r>
        <w:t xml:space="preserve"> (viewed 23 October 2017).</w:t>
      </w:r>
    </w:p>
  </w:endnote>
  <w:endnote w:id="15">
    <w:p w:rsidR="00C3563C" w:rsidRPr="003650B3" w:rsidRDefault="00C3563C" w:rsidP="00B87D45">
      <w:pPr>
        <w:pStyle w:val="Testonotadichiusura"/>
        <w:rPr>
          <w:rFonts w:cs="Arial"/>
        </w:rPr>
      </w:pPr>
      <w:r w:rsidRPr="003650B3">
        <w:rPr>
          <w:rStyle w:val="Rimandonotadichiusura"/>
          <w:rFonts w:cs="Arial"/>
        </w:rPr>
        <w:endnoteRef/>
      </w:r>
      <w:r>
        <w:rPr>
          <w:rFonts w:cs="Arial"/>
        </w:rPr>
        <w:t xml:space="preserve"> Attorney-General’s Department, Australian Government, </w:t>
      </w:r>
      <w:r w:rsidRPr="00E51CD7">
        <w:rPr>
          <w:rFonts w:cs="Arial"/>
          <w:i/>
        </w:rPr>
        <w:t>Australian Law Reform Commission inquiry into the incarceration rate of Aboriginal and Torres Strait Islander peoples</w:t>
      </w:r>
      <w:r>
        <w:rPr>
          <w:rFonts w:cs="Arial"/>
        </w:rPr>
        <w:t>. At</w:t>
      </w:r>
      <w:r w:rsidRPr="00E51CD7">
        <w:rPr>
          <w:rFonts w:cs="Arial"/>
          <w:i/>
        </w:rPr>
        <w:t xml:space="preserve"> </w:t>
      </w:r>
      <w:hyperlink r:id="rId11" w:history="1">
        <w:r w:rsidRPr="00A75B7D">
          <w:rPr>
            <w:rStyle w:val="Collegamentoipertestuale"/>
            <w:rFonts w:cs="Arial"/>
          </w:rPr>
          <w:t>https://www.ag.gov.au/Consultations/Pages/Australian-Law-Reform-Commission-inquiry-into-incarceration-rate-of-Indigenous-Australians.aspx</w:t>
        </w:r>
      </w:hyperlink>
      <w:r>
        <w:rPr>
          <w:rFonts w:cs="Arial"/>
        </w:rPr>
        <w:t xml:space="preserve"> (viewed 8 September 2017).</w:t>
      </w:r>
    </w:p>
  </w:endnote>
  <w:endnote w:id="16">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Pr>
          <w:rFonts w:cs="Arial"/>
        </w:rPr>
        <w:t xml:space="preserve">Child Protection Panel, </w:t>
      </w:r>
      <w:r>
        <w:rPr>
          <w:rFonts w:cs="Arial"/>
          <w:i/>
        </w:rPr>
        <w:t>Making children safer</w:t>
      </w:r>
      <w:r>
        <w:rPr>
          <w:rFonts w:cs="Arial"/>
        </w:rPr>
        <w:t xml:space="preserve"> (Report, May 2016). At</w:t>
      </w:r>
      <w:r>
        <w:rPr>
          <w:rFonts w:cs="Arial"/>
          <w:i/>
        </w:rPr>
        <w:t xml:space="preserve"> </w:t>
      </w:r>
      <w:hyperlink r:id="rId12" w:history="1">
        <w:r w:rsidRPr="003650B3">
          <w:rPr>
            <w:rStyle w:val="Collegamentoipertestuale"/>
            <w:rFonts w:cs="Arial"/>
          </w:rPr>
          <w:t>https://www.border.gov.au/ReportsandPublications/Documents/cpp-report-making-children-safer.pdf</w:t>
        </w:r>
      </w:hyperlink>
      <w:r w:rsidRPr="003650B3">
        <w:rPr>
          <w:rFonts w:cs="Arial"/>
        </w:rPr>
        <w:t xml:space="preserve"> </w:t>
      </w:r>
      <w:r>
        <w:rPr>
          <w:rFonts w:cs="Arial"/>
        </w:rPr>
        <w:t>(viewed 8 September 2017).</w:t>
      </w:r>
    </w:p>
  </w:endnote>
  <w:endnote w:id="17">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Pr>
          <w:rFonts w:cs="Arial"/>
        </w:rPr>
        <w:t xml:space="preserve">Department of Immigration and Border Protection, Australian Government, </w:t>
      </w:r>
      <w:r>
        <w:rPr>
          <w:rFonts w:cs="Arial"/>
          <w:i/>
        </w:rPr>
        <w:t xml:space="preserve">Child safeguarding. </w:t>
      </w:r>
      <w:r>
        <w:rPr>
          <w:rFonts w:cs="Arial"/>
        </w:rPr>
        <w:t xml:space="preserve">At </w:t>
      </w:r>
      <w:hyperlink r:id="rId13" w:history="1">
        <w:r w:rsidRPr="003650B3">
          <w:rPr>
            <w:rStyle w:val="Collegamentoipertestuale"/>
            <w:rFonts w:cs="Arial"/>
          </w:rPr>
          <w:t>https://www.border.gov.au/about/reports-publications/reports/corporate/child-safeguarding</w:t>
        </w:r>
      </w:hyperlink>
      <w:r w:rsidRPr="003650B3">
        <w:rPr>
          <w:rFonts w:cs="Arial"/>
        </w:rPr>
        <w:t xml:space="preserve"> </w:t>
      </w:r>
      <w:r>
        <w:rPr>
          <w:rFonts w:cs="Arial"/>
        </w:rPr>
        <w:t>(viewed 8 September 2017).</w:t>
      </w:r>
    </w:p>
  </w:endnote>
  <w:endnote w:id="18">
    <w:p w:rsidR="00C3563C" w:rsidRPr="003650B3" w:rsidRDefault="00C3563C" w:rsidP="00B87D45">
      <w:pPr>
        <w:pStyle w:val="Testonotadichiusura"/>
        <w:rPr>
          <w:rFonts w:cs="Arial"/>
        </w:rPr>
      </w:pPr>
      <w:r w:rsidRPr="003650B3">
        <w:rPr>
          <w:rStyle w:val="Rimandonotadichiusura"/>
          <w:rFonts w:cs="Arial"/>
        </w:rPr>
        <w:endnoteRef/>
      </w:r>
      <w:r>
        <w:rPr>
          <w:rFonts w:cs="Arial"/>
        </w:rPr>
        <w:t xml:space="preserve"> Department of Social Services, Australian Government, </w:t>
      </w:r>
      <w:r w:rsidRPr="0064183F">
        <w:rPr>
          <w:rFonts w:cs="Arial"/>
          <w:i/>
          <w:lang w:val="en"/>
        </w:rPr>
        <w:t>The National Plan to Reduce Violence against Women and their Children 2010 – 2022</w:t>
      </w:r>
      <w:r>
        <w:rPr>
          <w:rFonts w:cs="Arial"/>
          <w:i/>
          <w:lang w:val="en"/>
        </w:rPr>
        <w:t xml:space="preserve">. </w:t>
      </w:r>
      <w:r>
        <w:rPr>
          <w:rFonts w:cs="Arial"/>
        </w:rPr>
        <w:t xml:space="preserve">At </w:t>
      </w:r>
      <w:hyperlink r:id="rId14" w:history="1">
        <w:r w:rsidRPr="003650B3">
          <w:rPr>
            <w:rStyle w:val="Collegamentoipertestuale"/>
            <w:rFonts w:cs="Arial"/>
          </w:rPr>
          <w:t>https://www.dss.gov.au/women/programs-services/reducing-violence/the-national-plan-to-reduce-violence-against-women-and-their-children-2010-2022</w:t>
        </w:r>
      </w:hyperlink>
      <w:r w:rsidRPr="003650B3">
        <w:rPr>
          <w:rFonts w:cs="Arial"/>
        </w:rPr>
        <w:t xml:space="preserve"> </w:t>
      </w:r>
      <w:r>
        <w:rPr>
          <w:rFonts w:cs="Arial"/>
        </w:rPr>
        <w:t>(viewed 8 September 2017).</w:t>
      </w:r>
    </w:p>
  </w:endnote>
  <w:endnote w:id="19">
    <w:p w:rsidR="00C3563C" w:rsidRPr="00817A5A" w:rsidRDefault="00C3563C" w:rsidP="00B87D45">
      <w:pPr>
        <w:pStyle w:val="Testonotadichiusura"/>
      </w:pPr>
      <w:r w:rsidRPr="00817A5A">
        <w:rPr>
          <w:rStyle w:val="Rimandonotadichiusura"/>
        </w:rPr>
        <w:endnoteRef/>
      </w:r>
      <w:r w:rsidRPr="00817A5A">
        <w:t xml:space="preserve"> Department of the Prime Minister and Cabinet</w:t>
      </w:r>
      <w:r>
        <w:t xml:space="preserve">, </w:t>
      </w:r>
      <w:r w:rsidRPr="00817A5A">
        <w:t>Australia</w:t>
      </w:r>
      <w:r>
        <w:t>n Government,</w:t>
      </w:r>
      <w:r w:rsidRPr="00817A5A">
        <w:t xml:space="preserve"> </w:t>
      </w:r>
      <w:r w:rsidRPr="00817A5A">
        <w:rPr>
          <w:i/>
        </w:rPr>
        <w:t>COAG Advisory Panel on Reducing Violence against Women and their Children: Final Report</w:t>
      </w:r>
      <w:r w:rsidRPr="00817A5A">
        <w:t xml:space="preserve">, (2016) </w:t>
      </w:r>
      <w:r w:rsidRPr="005A34F2">
        <w:t>xvii – xx</w:t>
      </w:r>
      <w:r w:rsidRPr="00817A5A">
        <w:rPr>
          <w:sz w:val="23"/>
          <w:szCs w:val="23"/>
        </w:rPr>
        <w:t xml:space="preserve">, </w:t>
      </w:r>
      <w:r w:rsidRPr="00817A5A">
        <w:t xml:space="preserve">106 </w:t>
      </w:r>
      <w:r>
        <w:t>–</w:t>
      </w:r>
      <w:r w:rsidRPr="00817A5A">
        <w:t xml:space="preserve"> 124</w:t>
      </w:r>
      <w:r>
        <w:t xml:space="preserve">. At </w:t>
      </w:r>
      <w:r w:rsidRPr="009C1C36">
        <w:t>https://www.coag.gov.au/sites/default/files/files/COAGAdvisoryPanelonReducingViolenceagainstWomenandtheirChildren-FinalReport.pdf</w:t>
      </w:r>
      <w:r>
        <w:t>.</w:t>
      </w:r>
    </w:p>
  </w:endnote>
  <w:endnote w:id="20">
    <w:p w:rsidR="00C3563C" w:rsidRPr="00817A5A" w:rsidRDefault="00C3563C" w:rsidP="00B87D45">
      <w:pPr>
        <w:pStyle w:val="Testonotadichiusura"/>
      </w:pPr>
      <w:r w:rsidRPr="00817A5A">
        <w:rPr>
          <w:rStyle w:val="Rimandonotadichiusura"/>
        </w:rPr>
        <w:endnoteRef/>
      </w:r>
      <w:r w:rsidRPr="00817A5A">
        <w:t xml:space="preserve"> Department of the Prime Minister and Cabinet</w:t>
      </w:r>
      <w:r>
        <w:t xml:space="preserve">, </w:t>
      </w:r>
      <w:r w:rsidRPr="00817A5A">
        <w:t>Australia</w:t>
      </w:r>
      <w:r>
        <w:t>n Government,</w:t>
      </w:r>
      <w:r w:rsidRPr="00817A5A">
        <w:t xml:space="preserve"> </w:t>
      </w:r>
      <w:r w:rsidRPr="00817A5A">
        <w:rPr>
          <w:i/>
        </w:rPr>
        <w:t>COAG Advisory Panel on Reducing Violence against Women and their Children: Final Report</w:t>
      </w:r>
      <w:r w:rsidRPr="00817A5A">
        <w:t xml:space="preserve">, (2016) </w:t>
      </w:r>
      <w:r w:rsidRPr="005A34F2">
        <w:t>61</w:t>
      </w:r>
      <w:r>
        <w:t>. At</w:t>
      </w:r>
      <w:r w:rsidRPr="009C1C36">
        <w:t>https://www.coag.gov.au/sites/default/files/files/COAGAdvisoryPanelonReducingViolenceagainstWomenandtheirChildren-FinalReport.pdf</w:t>
      </w:r>
      <w:r>
        <w:t>.</w:t>
      </w:r>
    </w:p>
  </w:endnote>
  <w:endnote w:id="21">
    <w:p w:rsidR="00C3563C" w:rsidRDefault="00C3563C" w:rsidP="00B87D45">
      <w:pPr>
        <w:pStyle w:val="Testonotadichiusura"/>
      </w:pPr>
      <w:r>
        <w:rPr>
          <w:rStyle w:val="Rimandonotadichiusura"/>
        </w:rPr>
        <w:endnoteRef/>
      </w:r>
      <w:r>
        <w:t xml:space="preserve"> </w:t>
      </w:r>
      <w:hyperlink r:id="rId15" w:history="1">
        <w:r w:rsidRPr="00CF1E19">
          <w:rPr>
            <w:rStyle w:val="Collegamentoipertestuale"/>
          </w:rPr>
          <w:t>https://www.pmc.gov.au/office-women/womens-safety/coag-advisory-panel-reducing-violence-against-women-and-their-children</w:t>
        </w:r>
      </w:hyperlink>
      <w:r>
        <w:t xml:space="preserve">. </w:t>
      </w:r>
    </w:p>
  </w:endnote>
  <w:endnote w:id="22">
    <w:p w:rsidR="00C3563C" w:rsidRPr="003650B3" w:rsidRDefault="00C3563C" w:rsidP="00B87D45">
      <w:pPr>
        <w:pStyle w:val="Testonotadichiusura"/>
        <w:rPr>
          <w:rFonts w:cs="Arial"/>
        </w:rPr>
      </w:pPr>
      <w:r w:rsidRPr="003650B3">
        <w:rPr>
          <w:rStyle w:val="Rimandonotadichiusura"/>
          <w:rFonts w:cs="Arial"/>
        </w:rPr>
        <w:endnoteRef/>
      </w:r>
      <w:r>
        <w:rPr>
          <w:rFonts w:cs="Arial"/>
        </w:rPr>
        <w:t xml:space="preserve"> Department of Social Services, Australian Government, </w:t>
      </w:r>
      <w:r>
        <w:rPr>
          <w:rFonts w:cs="Arial"/>
          <w:i/>
        </w:rPr>
        <w:t>Third Action Plan</w:t>
      </w:r>
      <w:r>
        <w:rPr>
          <w:rFonts w:cs="Arial"/>
        </w:rPr>
        <w:t xml:space="preserve">. At </w:t>
      </w:r>
      <w:hyperlink r:id="rId16" w:history="1">
        <w:r w:rsidRPr="003650B3">
          <w:rPr>
            <w:rStyle w:val="Collegamentoipertestuale"/>
            <w:rFonts w:cs="Arial"/>
          </w:rPr>
          <w:t>https://www.dss.gov.au/women/programs-services/reducing-violence/third-action-plan</w:t>
        </w:r>
      </w:hyperlink>
      <w:r w:rsidRPr="003650B3">
        <w:rPr>
          <w:rFonts w:cs="Arial"/>
        </w:rPr>
        <w:t xml:space="preserve"> </w:t>
      </w:r>
      <w:r>
        <w:rPr>
          <w:rFonts w:cs="Arial"/>
        </w:rPr>
        <w:t>(viewed 8 September 2017).</w:t>
      </w:r>
    </w:p>
  </w:endnote>
  <w:endnote w:id="23">
    <w:p w:rsidR="00C3563C" w:rsidRDefault="00C3563C" w:rsidP="00B87D45">
      <w:pPr>
        <w:pStyle w:val="Testonotadichiusura"/>
      </w:pPr>
      <w:r>
        <w:rPr>
          <w:rStyle w:val="Rimandonotadichiusura"/>
        </w:rPr>
        <w:endnoteRef/>
      </w:r>
      <w:r>
        <w:t xml:space="preserve"> </w:t>
      </w:r>
      <w:r>
        <w:rPr>
          <w:rFonts w:cs="Arial"/>
        </w:rPr>
        <w:t xml:space="preserve">Department of Social Services, Australian Government, </w:t>
      </w:r>
      <w:r>
        <w:rPr>
          <w:rFonts w:cs="Arial"/>
          <w:i/>
        </w:rPr>
        <w:t>Third Action Plan</w:t>
      </w:r>
      <w:r>
        <w:rPr>
          <w:rFonts w:cs="Arial"/>
        </w:rPr>
        <w:t xml:space="preserve">, 30. At </w:t>
      </w:r>
      <w:hyperlink r:id="rId17" w:history="1">
        <w:r w:rsidRPr="003650B3">
          <w:rPr>
            <w:rStyle w:val="Collegamentoipertestuale"/>
            <w:rFonts w:cs="Arial"/>
          </w:rPr>
          <w:t>https://www.dss.gov.au/women/programs-services/reducing-violence/third-action-plan</w:t>
        </w:r>
      </w:hyperlink>
      <w:r w:rsidRPr="003650B3">
        <w:rPr>
          <w:rFonts w:cs="Arial"/>
        </w:rPr>
        <w:t xml:space="preserve"> </w:t>
      </w:r>
      <w:r>
        <w:rPr>
          <w:rFonts w:cs="Arial"/>
        </w:rPr>
        <w:t>(viewed 8 September 2017).</w:t>
      </w:r>
    </w:p>
  </w:endnote>
  <w:endnote w:id="24">
    <w:p w:rsidR="00C3563C" w:rsidRDefault="00C3563C" w:rsidP="00B87D45">
      <w:pPr>
        <w:pStyle w:val="Testonotadichiusura"/>
      </w:pPr>
      <w:r>
        <w:rPr>
          <w:rStyle w:val="Rimandonotadichiusura"/>
        </w:rPr>
        <w:endnoteRef/>
      </w:r>
      <w:r>
        <w:t xml:space="preserve"> </w:t>
      </w:r>
      <w:r>
        <w:rPr>
          <w:rFonts w:cs="Arial"/>
        </w:rPr>
        <w:t xml:space="preserve">Department of Social Services, Australian Government, </w:t>
      </w:r>
      <w:r>
        <w:rPr>
          <w:rFonts w:cs="Arial"/>
          <w:i/>
        </w:rPr>
        <w:t>Third Action Plan</w:t>
      </w:r>
      <w:r>
        <w:rPr>
          <w:rFonts w:cs="Arial"/>
        </w:rPr>
        <w:t xml:space="preserve">, 16. At </w:t>
      </w:r>
      <w:hyperlink r:id="rId18" w:history="1">
        <w:r w:rsidRPr="003650B3">
          <w:rPr>
            <w:rStyle w:val="Collegamentoipertestuale"/>
            <w:rFonts w:cs="Arial"/>
          </w:rPr>
          <w:t>https://www.dss.gov.au/women/programs-services/reducing-violence/third-action-plan</w:t>
        </w:r>
      </w:hyperlink>
      <w:r w:rsidRPr="003650B3">
        <w:rPr>
          <w:rFonts w:cs="Arial"/>
        </w:rPr>
        <w:t xml:space="preserve"> </w:t>
      </w:r>
      <w:r>
        <w:rPr>
          <w:rFonts w:cs="Arial"/>
        </w:rPr>
        <w:t>(viewed 8 September 2017).</w:t>
      </w:r>
    </w:p>
  </w:endnote>
  <w:endnote w:id="25">
    <w:p w:rsidR="00C3563C" w:rsidRDefault="00C3563C" w:rsidP="00B87D45">
      <w:pPr>
        <w:pStyle w:val="Testonotadichiusura"/>
      </w:pPr>
      <w:r w:rsidRPr="009C633D">
        <w:rPr>
          <w:rStyle w:val="Rimandonotadichiusura"/>
        </w:rPr>
        <w:endnoteRef/>
      </w:r>
      <w:r w:rsidRPr="009C633D">
        <w:t xml:space="preserve"> Goodstart Early Learning, ‘Programs we run’ (October 2017). At</w:t>
      </w:r>
      <w:r>
        <w:t xml:space="preserve"> </w:t>
      </w:r>
      <w:hyperlink r:id="rId19" w:history="1">
        <w:r w:rsidRPr="003F745B">
          <w:rPr>
            <w:rStyle w:val="Collegamentoipertestuale"/>
          </w:rPr>
          <w:t>https://www.goodstart.org.au/about-us/inclusion/programs-we-run</w:t>
        </w:r>
      </w:hyperlink>
      <w:r>
        <w:t xml:space="preserve"> (viewed 9 October 2017).</w:t>
      </w:r>
    </w:p>
  </w:endnote>
  <w:endnote w:id="26">
    <w:p w:rsidR="00C3563C" w:rsidRPr="00B23147"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Pr>
          <w:rFonts w:cs="Arial"/>
        </w:rPr>
        <w:t xml:space="preserve">1800 Respect, </w:t>
      </w:r>
      <w:r w:rsidRPr="003674E3">
        <w:rPr>
          <w:rFonts w:cs="Arial"/>
        </w:rPr>
        <w:t>‘</w:t>
      </w:r>
      <w:r w:rsidRPr="003674E3">
        <w:rPr>
          <w:rFonts w:cs="Arial"/>
          <w:bCs/>
        </w:rPr>
        <w:t xml:space="preserve">Australia stands together against domestic violence’ (Media Release, 13 November 2016). At </w:t>
      </w:r>
      <w:hyperlink r:id="rId20" w:history="1">
        <w:r w:rsidRPr="00B23147">
          <w:rPr>
            <w:rStyle w:val="Collegamentoipertestuale"/>
            <w:rFonts w:cs="Arial"/>
          </w:rPr>
          <w:t>https://www.1800respect.org.au/static/media/uploads/standtogether_16days_media_release_-_final.pdf</w:t>
        </w:r>
      </w:hyperlink>
      <w:r w:rsidRPr="00B23147">
        <w:rPr>
          <w:rFonts w:cs="Arial"/>
        </w:rPr>
        <w:t xml:space="preserve"> (viewed 8 September 2017).</w:t>
      </w:r>
    </w:p>
  </w:endnote>
  <w:endnote w:id="27">
    <w:p w:rsidR="00C3563C" w:rsidRDefault="00C3563C" w:rsidP="00B87D45">
      <w:pPr>
        <w:pStyle w:val="Testonotadichiusura"/>
      </w:pPr>
      <w:r w:rsidRPr="00B23147">
        <w:rPr>
          <w:rStyle w:val="Rimandonotadichiusura"/>
        </w:rPr>
        <w:endnoteRef/>
      </w:r>
      <w:r w:rsidRPr="00B23147">
        <w:t xml:space="preserve"> Australian Bureau of Statistics, </w:t>
      </w:r>
      <w:r w:rsidRPr="00B23147">
        <w:rPr>
          <w:i/>
        </w:rPr>
        <w:t>3303.0 - Causes of Death, Australia, 2016 - Suicide in Australia</w:t>
      </w:r>
      <w:r>
        <w:t xml:space="preserve">, </w:t>
      </w:r>
      <w:r w:rsidRPr="00B23147">
        <w:t xml:space="preserve">Australian Bureau of Statistics. At </w:t>
      </w:r>
      <w:hyperlink r:id="rId21" w:history="1">
        <w:r w:rsidRPr="00B23147">
          <w:rPr>
            <w:rStyle w:val="Collegamentoipertestuale"/>
          </w:rPr>
          <w:t>http://www.abs.gov.au/ausstats/abs@.nsf/Lookup/by%20Subject/3303.0~2016~Main%20Features~Intentional%20self-harm:%20key%20characteristics~7</w:t>
        </w:r>
      </w:hyperlink>
      <w:r w:rsidRPr="00B23147">
        <w:t xml:space="preserve"> (viewed 29 September 2017).</w:t>
      </w:r>
      <w:r>
        <w:t xml:space="preserve"> </w:t>
      </w:r>
    </w:p>
  </w:endnote>
  <w:endnote w:id="28">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sidRPr="00A14B4C">
        <w:rPr>
          <w:rFonts w:cs="Arial"/>
        </w:rPr>
        <w:t>Galina Daraganova</w:t>
      </w:r>
      <w:r>
        <w:rPr>
          <w:rFonts w:cs="Arial"/>
        </w:rPr>
        <w:t xml:space="preserve">, </w:t>
      </w:r>
      <w:r w:rsidRPr="00A14B4C">
        <w:rPr>
          <w:rFonts w:cs="Arial"/>
          <w:i/>
          <w:lang w:val="en"/>
        </w:rPr>
        <w:t>Self-harm and suicidal behaviour of young people aged 14</w:t>
      </w:r>
      <w:r>
        <w:rPr>
          <w:rFonts w:cs="Arial"/>
          <w:i/>
          <w:lang w:val="en"/>
        </w:rPr>
        <w:t>–</w:t>
      </w:r>
      <w:r w:rsidRPr="00A14B4C">
        <w:rPr>
          <w:rFonts w:cs="Arial"/>
          <w:i/>
          <w:lang w:val="en"/>
        </w:rPr>
        <w:t>15 years old</w:t>
      </w:r>
      <w:r>
        <w:rPr>
          <w:rFonts w:cs="Arial"/>
        </w:rPr>
        <w:t xml:space="preserve"> (Report, Australian Institute of Family Studies, Australian Government, August 2017). At  </w:t>
      </w:r>
      <w:hyperlink r:id="rId22" w:history="1">
        <w:r w:rsidRPr="003650B3">
          <w:rPr>
            <w:rStyle w:val="Collegamentoipertestuale"/>
            <w:rFonts w:cs="Arial"/>
          </w:rPr>
          <w:t>https://aifs.gov.au/publications/self-harm-and-suicidal-behaviour-young-people-aged-14-15-years-old?utm_source=AIFS+Mailing+List&amp;utm_campaign=0e5549d902-EMAIL_CAMPAIGN_2017_08_28&amp;utm_medium=email&amp;utm_term=0_3ad49f5cbc-0e5549d902-193857585</w:t>
        </w:r>
      </w:hyperlink>
      <w:r w:rsidRPr="003650B3">
        <w:rPr>
          <w:rFonts w:cs="Arial"/>
        </w:rPr>
        <w:t xml:space="preserve"> </w:t>
      </w:r>
      <w:r>
        <w:rPr>
          <w:rFonts w:cs="Arial"/>
        </w:rPr>
        <w:t>(viewed 8 September 2017).</w:t>
      </w:r>
    </w:p>
  </w:endnote>
  <w:endnote w:id="29">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sidRPr="00A14B4C">
        <w:rPr>
          <w:rFonts w:cs="Arial"/>
        </w:rPr>
        <w:t>Galina Daraganova</w:t>
      </w:r>
      <w:r>
        <w:rPr>
          <w:rFonts w:cs="Arial"/>
        </w:rPr>
        <w:t xml:space="preserve">, </w:t>
      </w:r>
      <w:r w:rsidRPr="00A14B4C">
        <w:rPr>
          <w:rFonts w:cs="Arial"/>
          <w:i/>
          <w:lang w:val="en"/>
        </w:rPr>
        <w:t>Self-harm and suicidal behaviour of young people aged 14</w:t>
      </w:r>
      <w:r>
        <w:rPr>
          <w:rFonts w:cs="Arial"/>
          <w:i/>
          <w:lang w:val="en"/>
        </w:rPr>
        <w:t>–</w:t>
      </w:r>
      <w:r w:rsidRPr="00A14B4C">
        <w:rPr>
          <w:rFonts w:cs="Arial"/>
          <w:i/>
          <w:lang w:val="en"/>
        </w:rPr>
        <w:t>15 years old</w:t>
      </w:r>
      <w:r>
        <w:rPr>
          <w:rFonts w:cs="Arial"/>
        </w:rPr>
        <w:t xml:space="preserve"> (Report, Australian Institute of Family Studies, Australian Government, August 2017). At  </w:t>
      </w:r>
      <w:hyperlink r:id="rId23" w:history="1">
        <w:r w:rsidRPr="003650B3">
          <w:rPr>
            <w:rStyle w:val="Collegamentoipertestuale"/>
            <w:rFonts w:cs="Arial"/>
          </w:rPr>
          <w:t>https://aifs.gov.au/publications/self-harm-and-suicidal-behaviour-young-people-aged-14-15-years-old?utm_source=AIFS+Mailing+List&amp;utm_campaign=0e5549d902-EMAIL_CAMPAIGN_2017_08_28&amp;utm_medium=email&amp;utm_term=0_3ad49f5cbc-0e5549d902-193857585</w:t>
        </w:r>
      </w:hyperlink>
      <w:r w:rsidRPr="003650B3">
        <w:rPr>
          <w:rFonts w:cs="Arial"/>
        </w:rPr>
        <w:t xml:space="preserve"> </w:t>
      </w:r>
      <w:r>
        <w:rPr>
          <w:rFonts w:cs="Arial"/>
        </w:rPr>
        <w:t>(viewed 8 September 2017).</w:t>
      </w:r>
      <w:r w:rsidRPr="003650B3">
        <w:rPr>
          <w:rFonts w:cs="Arial"/>
        </w:rPr>
        <w:t xml:space="preserve"> </w:t>
      </w:r>
    </w:p>
  </w:endnote>
  <w:endnote w:id="30">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sidRPr="00E34166">
        <w:rPr>
          <w:rFonts w:cs="Arial"/>
          <w:i/>
          <w:iCs/>
        </w:rPr>
        <w:t>Convention on the Rights of the Child</w:t>
      </w:r>
      <w:r w:rsidRPr="003650B3">
        <w:rPr>
          <w:rFonts w:cs="Arial"/>
          <w:iCs/>
        </w:rPr>
        <w:t>, opened for signature 20 November 1989, 1577 UNTS 3 (entered into force 2 September 1990) Article 7.</w:t>
      </w:r>
    </w:p>
  </w:endnote>
  <w:endnote w:id="31">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sidRPr="003650B3">
        <w:rPr>
          <w:rFonts w:cs="Arial"/>
          <w:i/>
          <w:iCs/>
        </w:rPr>
        <w:t>Convention on the Rights of the Child</w:t>
      </w:r>
      <w:r w:rsidRPr="003650B3">
        <w:rPr>
          <w:rFonts w:cs="Arial"/>
        </w:rPr>
        <w:t>, opened for signature 20 November 1989, 1577 UNTS 3 (entered into force 2 September 1990) Article 24.</w:t>
      </w:r>
    </w:p>
  </w:endnote>
  <w:endnote w:id="32">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sidRPr="003650B3">
        <w:rPr>
          <w:rFonts w:cs="Arial"/>
          <w:iCs/>
        </w:rPr>
        <w:t>Convention on the Rights of the Child, opened for signature 20 November 1989, 1577 UNTS 3 (entered into force 2 September 1990) Article 2.</w:t>
      </w:r>
    </w:p>
  </w:endnote>
  <w:endnote w:id="33">
    <w:p w:rsidR="00C3563C" w:rsidRPr="003650B3" w:rsidRDefault="00C3563C" w:rsidP="00B87D45">
      <w:pPr>
        <w:pStyle w:val="Testonotadichiusura"/>
        <w:rPr>
          <w:rFonts w:cs="Arial"/>
        </w:rPr>
      </w:pPr>
      <w:r w:rsidRPr="003650B3">
        <w:rPr>
          <w:rStyle w:val="Rimandonotadichiusura"/>
          <w:rFonts w:cs="Arial"/>
        </w:rPr>
        <w:endnoteRef/>
      </w:r>
      <w:r w:rsidRPr="007B5136">
        <w:rPr>
          <w:lang w:val="en"/>
        </w:rPr>
        <w:t xml:space="preserve"> </w:t>
      </w:r>
      <w:r w:rsidRPr="00783C51">
        <w:rPr>
          <w:lang w:val="en"/>
        </w:rPr>
        <w:t xml:space="preserve">Senate Standing Committees on Environment and Communications, Parliament of Australia, </w:t>
      </w:r>
      <w:r w:rsidRPr="00783C51">
        <w:rPr>
          <w:i/>
          <w:lang w:val="en"/>
        </w:rPr>
        <w:t>Harm being done to Australian children through access to pornography on the Internet</w:t>
      </w:r>
      <w:r w:rsidRPr="00783C51">
        <w:rPr>
          <w:lang w:val="en"/>
        </w:rPr>
        <w:t xml:space="preserve"> (2016). At </w:t>
      </w:r>
      <w:hyperlink r:id="rId24" w:history="1">
        <w:r w:rsidRPr="00783C51">
          <w:rPr>
            <w:rStyle w:val="Collegamentoipertestuale"/>
            <w:rFonts w:cs="Arial"/>
          </w:rPr>
          <w:t>http://www.aph.gov.au/Parliamentary_Business/Committees/Senate/Environment_and_Communications/Onlineaccesstoporn45/Report</w:t>
        </w:r>
      </w:hyperlink>
      <w:r w:rsidRPr="003650B3">
        <w:rPr>
          <w:rFonts w:cs="Arial"/>
        </w:rPr>
        <w:t xml:space="preserve"> </w:t>
      </w:r>
      <w:r>
        <w:rPr>
          <w:rFonts w:cs="Arial"/>
        </w:rPr>
        <w:t>(viewed 8 September 2017).</w:t>
      </w:r>
    </w:p>
  </w:endnote>
  <w:endnote w:id="34">
    <w:p w:rsidR="00C3563C" w:rsidRPr="003650B3" w:rsidRDefault="00C3563C" w:rsidP="00B87D45">
      <w:pPr>
        <w:spacing w:before="0" w:after="0"/>
        <w:rPr>
          <w:rFonts w:cs="Arial"/>
          <w:sz w:val="20"/>
          <w:szCs w:val="20"/>
        </w:rPr>
      </w:pPr>
      <w:r w:rsidRPr="003650B3">
        <w:rPr>
          <w:rStyle w:val="Rimandonotadichiusura"/>
          <w:rFonts w:cs="Arial"/>
          <w:szCs w:val="20"/>
        </w:rPr>
        <w:endnoteRef/>
      </w:r>
      <w:r w:rsidRPr="003650B3">
        <w:rPr>
          <w:rFonts w:cs="Arial"/>
          <w:sz w:val="20"/>
          <w:szCs w:val="20"/>
        </w:rPr>
        <w:t xml:space="preserve"> </w:t>
      </w:r>
      <w:r w:rsidRPr="00F17C36">
        <w:rPr>
          <w:rFonts w:cs="Arial"/>
          <w:sz w:val="20"/>
          <w:szCs w:val="20"/>
          <w:lang w:val="en"/>
        </w:rPr>
        <w:t xml:space="preserve">Senate Standing Committees on Environment and Communications, Parliament of Australia, </w:t>
      </w:r>
      <w:r>
        <w:rPr>
          <w:rFonts w:cs="Arial"/>
          <w:i/>
          <w:sz w:val="20"/>
          <w:szCs w:val="20"/>
          <w:lang w:val="en"/>
        </w:rPr>
        <w:t xml:space="preserve">Government response </w:t>
      </w:r>
      <w:r w:rsidRPr="00F17C36">
        <w:rPr>
          <w:rFonts w:cs="Arial"/>
          <w:sz w:val="20"/>
          <w:szCs w:val="20"/>
          <w:lang w:val="en"/>
        </w:rPr>
        <w:t>(2017)</w:t>
      </w:r>
      <w:r>
        <w:rPr>
          <w:rFonts w:cs="Arial"/>
          <w:sz w:val="20"/>
          <w:szCs w:val="20"/>
          <w:lang w:val="en"/>
        </w:rPr>
        <w:t xml:space="preserve">. At </w:t>
      </w:r>
      <w:hyperlink r:id="rId25" w:history="1">
        <w:r w:rsidRPr="003650B3">
          <w:rPr>
            <w:rStyle w:val="Collegamentoipertestuale"/>
            <w:rFonts w:cs="Arial"/>
            <w:sz w:val="20"/>
            <w:szCs w:val="20"/>
          </w:rPr>
          <w:t>http://www.aph.gov.au/Parliamentary_Business/Committees/Senate/Environment_and_Communications/Onlineaccesstoporn45/Government_Response</w:t>
        </w:r>
      </w:hyperlink>
      <w:r w:rsidRPr="003650B3">
        <w:rPr>
          <w:rFonts w:cs="Arial"/>
          <w:sz w:val="20"/>
          <w:szCs w:val="20"/>
        </w:rPr>
        <w:t xml:space="preserve"> </w:t>
      </w:r>
      <w:r w:rsidRPr="00F17C36">
        <w:rPr>
          <w:rFonts w:cs="Arial"/>
          <w:sz w:val="20"/>
          <w:szCs w:val="20"/>
        </w:rPr>
        <w:t>(viewed 8 September 2017).</w:t>
      </w:r>
    </w:p>
  </w:endnote>
  <w:endnote w:id="35">
    <w:p w:rsidR="00C3563C" w:rsidRPr="003650B3" w:rsidRDefault="00C3563C" w:rsidP="00B87D45">
      <w:pPr>
        <w:pStyle w:val="Testonotadichiusura"/>
        <w:rPr>
          <w:rFonts w:cs="Arial"/>
        </w:rPr>
      </w:pPr>
      <w:r w:rsidRPr="003650B3">
        <w:rPr>
          <w:rStyle w:val="Rimandonotadichiusura"/>
          <w:rFonts w:cs="Arial"/>
        </w:rPr>
        <w:endnoteRef/>
      </w:r>
      <w:r>
        <w:rPr>
          <w:rFonts w:cs="Arial"/>
        </w:rPr>
        <w:t xml:space="preserve"> Anti-Slavery Australia, </w:t>
      </w:r>
      <w:r>
        <w:rPr>
          <w:rFonts w:cs="Arial"/>
          <w:i/>
        </w:rPr>
        <w:t xml:space="preserve">New report </w:t>
      </w:r>
      <w:r>
        <w:t>—</w:t>
      </w:r>
      <w:r>
        <w:rPr>
          <w:rFonts w:cs="Arial"/>
          <w:i/>
        </w:rPr>
        <w:t xml:space="preserve"> Behind the screen: online child exploitation in Australia</w:t>
      </w:r>
      <w:r>
        <w:rPr>
          <w:rFonts w:cs="Arial"/>
        </w:rPr>
        <w:t xml:space="preserve">. At </w:t>
      </w:r>
      <w:hyperlink r:id="rId26" w:history="1">
        <w:r w:rsidRPr="003650B3">
          <w:rPr>
            <w:rStyle w:val="Collegamentoipertestuale"/>
            <w:rFonts w:cs="Arial"/>
          </w:rPr>
          <w:t>http://www.antislavery.org.au/newsflash/286-new-report-launching-soon-behind-the-screen-online-child-exploitation-in-australia.html</w:t>
        </w:r>
      </w:hyperlink>
      <w:r w:rsidRPr="003650B3">
        <w:rPr>
          <w:rFonts w:cs="Arial"/>
        </w:rPr>
        <w:t xml:space="preserve"> </w:t>
      </w:r>
      <w:r w:rsidRPr="00F17C36">
        <w:rPr>
          <w:rFonts w:cs="Arial"/>
        </w:rPr>
        <w:t>(viewed 8 September 2017).</w:t>
      </w:r>
    </w:p>
  </w:endnote>
  <w:endnote w:id="36">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Child Rights Taskforce, </w:t>
      </w:r>
      <w:r w:rsidRPr="003650B3">
        <w:rPr>
          <w:rFonts w:cs="Arial"/>
          <w:i/>
        </w:rPr>
        <w:t>CRC25: Australian Child Rights Progress Report</w:t>
      </w:r>
      <w:r w:rsidRPr="003650B3">
        <w:rPr>
          <w:rFonts w:cs="Arial"/>
        </w:rPr>
        <w:t xml:space="preserve"> (</w:t>
      </w:r>
      <w:r>
        <w:rPr>
          <w:rFonts w:cs="Arial"/>
        </w:rPr>
        <w:t xml:space="preserve">Report, </w:t>
      </w:r>
      <w:r w:rsidRPr="003650B3">
        <w:rPr>
          <w:rFonts w:cs="Arial"/>
        </w:rPr>
        <w:t>2016) 4, 41</w:t>
      </w:r>
      <w:r>
        <w:rPr>
          <w:rFonts w:cs="Arial"/>
        </w:rPr>
        <w:t>–</w:t>
      </w:r>
      <w:r w:rsidRPr="003650B3">
        <w:rPr>
          <w:rFonts w:cs="Arial"/>
        </w:rPr>
        <w:t>42</w:t>
      </w:r>
      <w:r>
        <w:rPr>
          <w:rFonts w:cs="Arial"/>
        </w:rPr>
        <w:t xml:space="preserve">. At </w:t>
      </w:r>
      <w:hyperlink r:id="rId27" w:history="1">
        <w:r w:rsidRPr="003650B3">
          <w:rPr>
            <w:rStyle w:val="Collegamentoipertestuale"/>
            <w:rFonts w:cs="Arial"/>
            <w:u w:val="none"/>
          </w:rPr>
          <w:t>http://www.childrights.org.au/crc25/</w:t>
        </w:r>
      </w:hyperlink>
      <w:r>
        <w:rPr>
          <w:rStyle w:val="Collegamentoipertestuale"/>
          <w:rFonts w:cs="Arial"/>
          <w:u w:val="none"/>
        </w:rPr>
        <w:t xml:space="preserve"> </w:t>
      </w:r>
      <w:r w:rsidRPr="00F17C36">
        <w:rPr>
          <w:rFonts w:cs="Arial"/>
        </w:rPr>
        <w:t>(viewed 8 September 2017).</w:t>
      </w:r>
    </w:p>
  </w:endnote>
  <w:endnote w:id="37">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Australian Institute of Health and Welfare, </w:t>
      </w:r>
      <w:r>
        <w:rPr>
          <w:rFonts w:cs="Arial"/>
        </w:rPr>
        <w:t xml:space="preserve">Australian Government, </w:t>
      </w:r>
      <w:r>
        <w:rPr>
          <w:rFonts w:cs="Arial"/>
          <w:i/>
        </w:rPr>
        <w:t>Youth justice in Australia</w:t>
      </w:r>
      <w:r w:rsidRPr="003650B3">
        <w:rPr>
          <w:rFonts w:cs="Arial"/>
          <w:i/>
        </w:rPr>
        <w:t xml:space="preserve"> 2014–15</w:t>
      </w:r>
      <w:r w:rsidRPr="003650B3">
        <w:rPr>
          <w:rFonts w:cs="Arial"/>
        </w:rPr>
        <w:t xml:space="preserve"> (</w:t>
      </w:r>
      <w:r>
        <w:rPr>
          <w:rFonts w:cs="Arial"/>
        </w:rPr>
        <w:t xml:space="preserve">Report, 27 April </w:t>
      </w:r>
      <w:r w:rsidRPr="003650B3">
        <w:rPr>
          <w:rFonts w:cs="Arial"/>
        </w:rPr>
        <w:t>2016) 2</w:t>
      </w:r>
      <w:r>
        <w:rPr>
          <w:rFonts w:cs="Arial"/>
        </w:rPr>
        <w:t xml:space="preserve">. At </w:t>
      </w:r>
      <w:hyperlink r:id="rId28" w:history="1">
        <w:r w:rsidRPr="00A75B7D">
          <w:rPr>
            <w:rStyle w:val="Collegamentoipertestuale"/>
            <w:rFonts w:cs="Arial"/>
          </w:rPr>
          <w:t>http://www.aihw.gov.au/publication-detail/?id=60129554714</w:t>
        </w:r>
      </w:hyperlink>
      <w:r>
        <w:rPr>
          <w:rFonts w:cs="Arial"/>
        </w:rPr>
        <w:t xml:space="preserve"> </w:t>
      </w:r>
      <w:r w:rsidRPr="00F17C36">
        <w:rPr>
          <w:rFonts w:cs="Arial"/>
        </w:rPr>
        <w:t>(viewed 8 September 2017).</w:t>
      </w:r>
      <w:r w:rsidRPr="003650B3">
        <w:rPr>
          <w:rFonts w:cs="Arial"/>
        </w:rPr>
        <w:t xml:space="preserve"> </w:t>
      </w:r>
    </w:p>
  </w:endnote>
  <w:endnote w:id="38">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Australian Human Rights Commission, </w:t>
      </w:r>
      <w:r>
        <w:rPr>
          <w:rFonts w:cs="Arial"/>
          <w:i/>
        </w:rPr>
        <w:t xml:space="preserve">Children’s Rights Report 2016 </w:t>
      </w:r>
      <w:r>
        <w:rPr>
          <w:rFonts w:cs="Arial"/>
        </w:rPr>
        <w:t>(Report, 2016) 26–</w:t>
      </w:r>
      <w:r w:rsidRPr="003650B3">
        <w:rPr>
          <w:rFonts w:cs="Arial"/>
        </w:rPr>
        <w:t>27</w:t>
      </w:r>
      <w:r>
        <w:rPr>
          <w:rFonts w:cs="Arial"/>
        </w:rPr>
        <w:t xml:space="preserve">. </w:t>
      </w:r>
    </w:p>
  </w:endnote>
  <w:endnote w:id="39">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Pr>
          <w:rFonts w:cs="Arial"/>
        </w:rPr>
        <w:t xml:space="preserve">Just Reinvest NSW, </w:t>
      </w:r>
      <w:r>
        <w:rPr>
          <w:rFonts w:cs="Arial"/>
          <w:i/>
        </w:rPr>
        <w:t xml:space="preserve">New report says JR in Bourke ticks boxes. </w:t>
      </w:r>
      <w:r>
        <w:rPr>
          <w:rFonts w:cs="Arial"/>
        </w:rPr>
        <w:t xml:space="preserve">At </w:t>
      </w:r>
      <w:hyperlink r:id="rId29" w:history="1">
        <w:r w:rsidRPr="00A75B7D">
          <w:rPr>
            <w:rStyle w:val="Collegamentoipertestuale"/>
            <w:rFonts w:cs="Arial"/>
          </w:rPr>
          <w:t>http://www.justreinvest.org.au/new-report-says-jr-in-bourke-ticks-boxes/</w:t>
        </w:r>
      </w:hyperlink>
      <w:r>
        <w:rPr>
          <w:rFonts w:cs="Arial"/>
        </w:rPr>
        <w:t xml:space="preserve"> </w:t>
      </w:r>
      <w:r w:rsidRPr="00F17C36">
        <w:rPr>
          <w:rFonts w:cs="Arial"/>
        </w:rPr>
        <w:t>(viewed 8 September 2017).</w:t>
      </w:r>
    </w:p>
  </w:endnote>
  <w:endnote w:id="40">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Pr>
          <w:rFonts w:cs="Arial"/>
        </w:rPr>
        <w:t xml:space="preserve">Just Reinvest NSW, </w:t>
      </w:r>
      <w:r>
        <w:rPr>
          <w:rFonts w:cs="Arial"/>
          <w:bCs/>
          <w:i/>
          <w:lang w:val="en"/>
        </w:rPr>
        <w:t>Just Reinvest NSW policy paper l</w:t>
      </w:r>
      <w:r w:rsidRPr="00130D3F">
        <w:rPr>
          <w:rFonts w:cs="Arial"/>
          <w:bCs/>
          <w:i/>
          <w:lang w:val="en"/>
        </w:rPr>
        <w:t>aunch</w:t>
      </w:r>
      <w:r w:rsidRPr="00130D3F">
        <w:rPr>
          <w:rFonts w:cs="Arial"/>
          <w:bCs/>
          <w:lang w:val="en"/>
        </w:rPr>
        <w:t xml:space="preserve">. At </w:t>
      </w:r>
      <w:hyperlink r:id="rId30" w:history="1">
        <w:r w:rsidRPr="003650B3">
          <w:rPr>
            <w:rStyle w:val="Collegamentoipertestuale"/>
            <w:rFonts w:cs="Arial"/>
          </w:rPr>
          <w:t>http://www.justreinvest.org.au/just-reinvest-nsw-policy-paper-launch/</w:t>
        </w:r>
      </w:hyperlink>
      <w:r w:rsidRPr="003650B3">
        <w:rPr>
          <w:rFonts w:cs="Arial"/>
        </w:rPr>
        <w:t xml:space="preserve"> </w:t>
      </w:r>
      <w:r w:rsidRPr="00F17C36">
        <w:rPr>
          <w:rFonts w:cs="Arial"/>
        </w:rPr>
        <w:t>(viewed 8 September 2017).</w:t>
      </w:r>
    </w:p>
  </w:endnote>
  <w:endnote w:id="41">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Pr>
          <w:rFonts w:cs="Arial"/>
        </w:rPr>
        <w:t xml:space="preserve">Just Reinvest NSW, </w:t>
      </w:r>
      <w:r w:rsidRPr="00D94BD6">
        <w:rPr>
          <w:rFonts w:cs="Arial"/>
          <w:bCs/>
          <w:i/>
          <w:lang w:val="en"/>
        </w:rPr>
        <w:t>Second Maranguka Cross-Sector Leadership Group</w:t>
      </w:r>
      <w:r w:rsidRPr="00D94BD6">
        <w:rPr>
          <w:rFonts w:cs="Arial"/>
          <w:bCs/>
          <w:lang w:val="en"/>
        </w:rPr>
        <w:t xml:space="preserve">. At </w:t>
      </w:r>
      <w:hyperlink r:id="rId31" w:history="1">
        <w:r w:rsidRPr="003650B3">
          <w:rPr>
            <w:rStyle w:val="Collegamentoipertestuale"/>
            <w:rFonts w:cs="Arial"/>
          </w:rPr>
          <w:t>http://www.justreinvest.org.au/second-maranguka-cross-sector-leadership-group/</w:t>
        </w:r>
      </w:hyperlink>
      <w:r w:rsidRPr="003650B3">
        <w:rPr>
          <w:rFonts w:cs="Arial"/>
        </w:rPr>
        <w:t xml:space="preserve"> </w:t>
      </w:r>
      <w:r w:rsidRPr="00F17C36">
        <w:rPr>
          <w:rFonts w:cs="Arial"/>
        </w:rPr>
        <w:t>(viewed 8 September 2017).</w:t>
      </w:r>
    </w:p>
  </w:endnote>
  <w:endnote w:id="42">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Pr>
          <w:rFonts w:cs="Arial"/>
        </w:rPr>
        <w:t xml:space="preserve">Attorney-General’s Department, Australian Government, </w:t>
      </w:r>
      <w:r w:rsidRPr="00EA42CA">
        <w:rPr>
          <w:rFonts w:cs="Arial"/>
          <w:i/>
        </w:rPr>
        <w:t>Reports on Families with Complex Needs and the Intersection of the Family Law and Child Protection</w:t>
      </w:r>
      <w:r>
        <w:rPr>
          <w:rFonts w:cs="Arial"/>
          <w:i/>
        </w:rPr>
        <w:t xml:space="preserve"> Systems. </w:t>
      </w:r>
      <w:r>
        <w:rPr>
          <w:rFonts w:cs="Arial"/>
        </w:rPr>
        <w:t xml:space="preserve">At </w:t>
      </w:r>
      <w:hyperlink r:id="rId32" w:history="1">
        <w:r w:rsidRPr="003650B3">
          <w:rPr>
            <w:rStyle w:val="Collegamentoipertestuale"/>
            <w:rFonts w:cs="Arial"/>
          </w:rPr>
          <w:t>https://www.ag.gov.au/FamiliesAndMarriage/FamilyLawCouncil/Pages/FamilyLawCouncilpublishedreports.aspx</w:t>
        </w:r>
      </w:hyperlink>
      <w:r w:rsidRPr="003650B3">
        <w:rPr>
          <w:rFonts w:cs="Arial"/>
        </w:rPr>
        <w:t xml:space="preserve"> </w:t>
      </w:r>
      <w:r w:rsidRPr="00F17C36">
        <w:rPr>
          <w:rFonts w:cs="Arial"/>
        </w:rPr>
        <w:t>(viewed 8 September 2017).</w:t>
      </w:r>
    </w:p>
  </w:endnote>
  <w:endnote w:id="43">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Pr>
          <w:rFonts w:cs="Arial"/>
        </w:rPr>
        <w:t xml:space="preserve">Attorney-General’s Department, Australian Government, </w:t>
      </w:r>
      <w:r w:rsidRPr="00EA42CA">
        <w:rPr>
          <w:rFonts w:cs="Arial"/>
          <w:i/>
        </w:rPr>
        <w:t>Reports on Families with Complex Needs and the Intersection of the Family Law and Child Protection</w:t>
      </w:r>
      <w:r>
        <w:rPr>
          <w:rFonts w:cs="Arial"/>
          <w:i/>
        </w:rPr>
        <w:t xml:space="preserve"> Systems. </w:t>
      </w:r>
      <w:r>
        <w:rPr>
          <w:rFonts w:cs="Arial"/>
        </w:rPr>
        <w:t xml:space="preserve">At </w:t>
      </w:r>
      <w:hyperlink r:id="rId33" w:history="1">
        <w:r w:rsidRPr="003650B3">
          <w:rPr>
            <w:rStyle w:val="Collegamentoipertestuale"/>
            <w:rFonts w:cs="Arial"/>
          </w:rPr>
          <w:t>https://www.ag.gov.au/FamiliesAndMarriage/FamilyLawCouncil/Pages/FamilyLawCouncilpublishedreports.aspx</w:t>
        </w:r>
      </w:hyperlink>
      <w:r w:rsidRPr="003650B3">
        <w:rPr>
          <w:rFonts w:cs="Arial"/>
        </w:rPr>
        <w:t xml:space="preserve"> </w:t>
      </w:r>
      <w:r w:rsidRPr="00F17C36">
        <w:rPr>
          <w:rFonts w:cs="Arial"/>
        </w:rPr>
        <w:t>(viewed 8 September 2017).</w:t>
      </w:r>
      <w:r w:rsidRPr="003650B3">
        <w:rPr>
          <w:rFonts w:cs="Arial"/>
        </w:rPr>
        <w:t xml:space="preserve"> </w:t>
      </w:r>
    </w:p>
  </w:endnote>
  <w:endnote w:id="44">
    <w:p w:rsidR="00C3563C" w:rsidRPr="003650B3" w:rsidRDefault="00C3563C" w:rsidP="00B87D45">
      <w:pPr>
        <w:pStyle w:val="Testonotadichiusura"/>
        <w:rPr>
          <w:rFonts w:cs="Arial"/>
        </w:rPr>
      </w:pPr>
      <w:r w:rsidRPr="003650B3">
        <w:rPr>
          <w:rStyle w:val="Rimandonotadichiusura"/>
          <w:rFonts w:cs="Arial"/>
        </w:rPr>
        <w:endnoteRef/>
      </w:r>
      <w:r>
        <w:rPr>
          <w:rFonts w:cs="Arial"/>
        </w:rPr>
        <w:t xml:space="preserve"> Attorney-General for Australia, ‘</w:t>
      </w:r>
      <w:r w:rsidRPr="00CA4D9F">
        <w:rPr>
          <w:rFonts w:cs="Arial"/>
          <w:lang w:val="en"/>
        </w:rPr>
        <w:t>Important family law system initiatives</w:t>
      </w:r>
      <w:r>
        <w:rPr>
          <w:rFonts w:cs="Arial"/>
          <w:lang w:val="en"/>
        </w:rPr>
        <w:t>’ (Media Release, October 2016). At</w:t>
      </w:r>
      <w:r w:rsidRPr="003650B3">
        <w:rPr>
          <w:rFonts w:cs="Arial"/>
        </w:rPr>
        <w:t xml:space="preserve"> </w:t>
      </w:r>
      <w:hyperlink r:id="rId34" w:history="1">
        <w:r w:rsidRPr="003650B3">
          <w:rPr>
            <w:rStyle w:val="Collegamentoipertestuale"/>
            <w:rFonts w:cs="Arial"/>
          </w:rPr>
          <w:t>https://www.attorneygeneral.gov.au/Mediareleases/Pages/2016/FourthQuarter/Important-family-law-system-initiatives.aspx</w:t>
        </w:r>
      </w:hyperlink>
      <w:r w:rsidRPr="003650B3">
        <w:rPr>
          <w:rFonts w:cs="Arial"/>
        </w:rPr>
        <w:t xml:space="preserve"> </w:t>
      </w:r>
      <w:r w:rsidRPr="00F17C36">
        <w:rPr>
          <w:rFonts w:cs="Arial"/>
        </w:rPr>
        <w:t>(viewed 8 September 2017).</w:t>
      </w:r>
    </w:p>
  </w:endnote>
  <w:endnote w:id="45">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Australian Institute of Family Studies,</w:t>
      </w:r>
      <w:r>
        <w:rPr>
          <w:rFonts w:cs="Arial"/>
        </w:rPr>
        <w:t xml:space="preserve"> Australian Government,</w:t>
      </w:r>
      <w:r w:rsidRPr="003650B3">
        <w:rPr>
          <w:rFonts w:cs="Arial"/>
        </w:rPr>
        <w:t xml:space="preserve"> </w:t>
      </w:r>
      <w:r w:rsidRPr="003650B3">
        <w:rPr>
          <w:rFonts w:cs="Arial"/>
          <w:i/>
        </w:rPr>
        <w:t>Children and youn</w:t>
      </w:r>
      <w:r>
        <w:rPr>
          <w:rFonts w:cs="Arial"/>
          <w:i/>
        </w:rPr>
        <w:t>g people in separated families</w:t>
      </w:r>
      <w:r w:rsidRPr="003650B3">
        <w:rPr>
          <w:rFonts w:cs="Arial"/>
          <w:i/>
        </w:rPr>
        <w:t xml:space="preserve">. </w:t>
      </w:r>
      <w:r w:rsidRPr="003650B3">
        <w:rPr>
          <w:rFonts w:cs="Arial"/>
        </w:rPr>
        <w:t>At</w:t>
      </w:r>
      <w:r w:rsidRPr="003650B3">
        <w:rPr>
          <w:rFonts w:cs="Arial"/>
          <w:i/>
        </w:rPr>
        <w:t xml:space="preserve"> </w:t>
      </w:r>
      <w:hyperlink r:id="rId35" w:history="1">
        <w:r w:rsidRPr="003650B3">
          <w:rPr>
            <w:rStyle w:val="Collegamentoipertestuale"/>
            <w:rFonts w:cs="Arial"/>
            <w:u w:val="none"/>
          </w:rPr>
          <w:t>https://aifs.gov.au/projects/children-and-young-people-separated-families</w:t>
        </w:r>
      </w:hyperlink>
      <w:r>
        <w:rPr>
          <w:rStyle w:val="Collegamentoipertestuale"/>
          <w:rFonts w:cs="Arial"/>
          <w:u w:val="none"/>
        </w:rPr>
        <w:t xml:space="preserve"> </w:t>
      </w:r>
      <w:r w:rsidRPr="003650B3">
        <w:rPr>
          <w:rFonts w:cs="Arial"/>
        </w:rPr>
        <w:t xml:space="preserve">(viewed </w:t>
      </w:r>
      <w:r>
        <w:rPr>
          <w:rFonts w:cs="Arial"/>
        </w:rPr>
        <w:t>8</w:t>
      </w:r>
      <w:r w:rsidRPr="003650B3">
        <w:rPr>
          <w:rFonts w:cs="Arial"/>
        </w:rPr>
        <w:t xml:space="preserve"> September 2017).</w:t>
      </w:r>
    </w:p>
  </w:endnote>
  <w:endnote w:id="46">
    <w:p w:rsidR="00C3563C" w:rsidRDefault="00C3563C" w:rsidP="00B87D45">
      <w:pPr>
        <w:pStyle w:val="Testonotadichiusura"/>
      </w:pPr>
      <w:r>
        <w:rPr>
          <w:rStyle w:val="Rimandonotadichiusura"/>
        </w:rPr>
        <w:endnoteRef/>
      </w:r>
      <w:r>
        <w:t xml:space="preserve"> National Coalition on Child Safety and Wellbeing, </w:t>
      </w:r>
      <w:r w:rsidRPr="00E663B9">
        <w:rPr>
          <w:i/>
        </w:rPr>
        <w:t>Latest news on child safety and wellbeing</w:t>
      </w:r>
      <w:r>
        <w:t xml:space="preserve"> (August 2017). At</w:t>
      </w:r>
      <w:r w:rsidRPr="00C37478">
        <w:t xml:space="preserve"> </w:t>
      </w:r>
      <w:hyperlink r:id="rId36" w:history="1">
        <w:r w:rsidRPr="007B12EA">
          <w:rPr>
            <w:rStyle w:val="Collegamentoipertestuale"/>
          </w:rPr>
          <w:t>http://mailchi.mp/familiesaustralia/0dvegdzrz3-2896561?e=[UNIQID</w:t>
        </w:r>
      </w:hyperlink>
      <w:r>
        <w:t xml:space="preserve"> (viewed 25 September 2017).</w:t>
      </w:r>
    </w:p>
  </w:endnote>
  <w:endnote w:id="47">
    <w:p w:rsidR="00C3563C" w:rsidRDefault="00C3563C" w:rsidP="00B87D45">
      <w:pPr>
        <w:pStyle w:val="Testonotadichiusura"/>
      </w:pPr>
      <w:r>
        <w:rPr>
          <w:rStyle w:val="Rimandonotadichiusura"/>
        </w:rPr>
        <w:endnoteRef/>
      </w:r>
      <w:r>
        <w:t xml:space="preserve"> Australian Government, </w:t>
      </w:r>
      <w:r w:rsidRPr="00E663B9">
        <w:rPr>
          <w:i/>
          <w:lang w:val="en"/>
        </w:rPr>
        <w:t>Building Capacity in Australian Parents (BCAP) Trial</w:t>
      </w:r>
      <w:r>
        <w:rPr>
          <w:lang w:val="en"/>
        </w:rPr>
        <w:t>. At</w:t>
      </w:r>
      <w:r w:rsidRPr="00AB6EC2">
        <w:t xml:space="preserve"> </w:t>
      </w:r>
      <w:hyperlink r:id="rId37" w:history="1">
        <w:r w:rsidRPr="007B12EA">
          <w:rPr>
            <w:rStyle w:val="Collegamentoipertestuale"/>
          </w:rPr>
          <w:t>https://www.communitygrants.gov.au/grants/building-capacity-australian-parents-bcap-trial</w:t>
        </w:r>
      </w:hyperlink>
      <w:r>
        <w:t xml:space="preserve"> (viewed 25 September 2017). </w:t>
      </w:r>
    </w:p>
  </w:endnote>
  <w:endnote w:id="48">
    <w:p w:rsidR="00C3563C" w:rsidRDefault="00C3563C" w:rsidP="00B87D45">
      <w:pPr>
        <w:pStyle w:val="Testonotadichiusura"/>
      </w:pPr>
      <w:r>
        <w:rPr>
          <w:rStyle w:val="Rimandonotadichiusura"/>
        </w:rPr>
        <w:endnoteRef/>
      </w:r>
      <w:r>
        <w:t xml:space="preserve"> National Coalition on Child Safety and Wellbeing, </w:t>
      </w:r>
      <w:r w:rsidRPr="00E663B9">
        <w:rPr>
          <w:i/>
        </w:rPr>
        <w:t>Latest news on child safety and wellbeing</w:t>
      </w:r>
      <w:r>
        <w:t xml:space="preserve"> (August 2017). At</w:t>
      </w:r>
      <w:r w:rsidRPr="00C37478">
        <w:t xml:space="preserve"> </w:t>
      </w:r>
      <w:hyperlink r:id="rId38" w:history="1">
        <w:r w:rsidRPr="007B12EA">
          <w:rPr>
            <w:rStyle w:val="Collegamentoipertestuale"/>
          </w:rPr>
          <w:t>http://mailchi.mp/familiesaustralia/0dvegdzrz3-2896561?e=[UNIQID</w:t>
        </w:r>
      </w:hyperlink>
      <w:r>
        <w:t xml:space="preserve"> (viewed 25 September 2017).</w:t>
      </w:r>
    </w:p>
  </w:endnote>
  <w:endnote w:id="49">
    <w:p w:rsidR="00C3563C" w:rsidRDefault="00C3563C" w:rsidP="00B87D45">
      <w:pPr>
        <w:pStyle w:val="Testonotadichiusura"/>
      </w:pPr>
      <w:r>
        <w:rPr>
          <w:rStyle w:val="Rimandonotadichiusura"/>
        </w:rPr>
        <w:endnoteRef/>
      </w:r>
      <w:r>
        <w:t xml:space="preserve"> Child Aware, </w:t>
      </w:r>
      <w:r w:rsidRPr="00E663B9">
        <w:rPr>
          <w:i/>
        </w:rPr>
        <w:t>About Child Aware</w:t>
      </w:r>
      <w:r>
        <w:t xml:space="preserve">. At </w:t>
      </w:r>
      <w:hyperlink r:id="rId39" w:history="1">
        <w:r w:rsidRPr="007B12EA">
          <w:rPr>
            <w:rStyle w:val="Collegamentoipertestuale"/>
          </w:rPr>
          <w:t>http://childaware.org.au/history/</w:t>
        </w:r>
      </w:hyperlink>
      <w:r>
        <w:t xml:space="preserve"> (viewed 25 September 2017).</w:t>
      </w:r>
    </w:p>
  </w:endnote>
  <w:endnote w:id="50">
    <w:p w:rsidR="00C3563C" w:rsidRDefault="00C3563C" w:rsidP="00B87D45">
      <w:pPr>
        <w:pStyle w:val="Testonotadichiusura"/>
      </w:pPr>
      <w:r>
        <w:rPr>
          <w:rStyle w:val="Rimandonotadichiusura"/>
        </w:rPr>
        <w:endnoteRef/>
      </w:r>
      <w:r>
        <w:t xml:space="preserve"> National Coalition on Child Safety and Wellbeing, </w:t>
      </w:r>
      <w:r w:rsidRPr="00E663B9">
        <w:rPr>
          <w:i/>
        </w:rPr>
        <w:t>Latest news on child safety and wellbeing</w:t>
      </w:r>
      <w:r>
        <w:t xml:space="preserve"> (August 2017). At</w:t>
      </w:r>
      <w:r w:rsidRPr="00C37478">
        <w:t xml:space="preserve"> </w:t>
      </w:r>
      <w:hyperlink r:id="rId40" w:history="1">
        <w:r w:rsidRPr="007B12EA">
          <w:rPr>
            <w:rStyle w:val="Collegamentoipertestuale"/>
          </w:rPr>
          <w:t>http://mailchi.mp/familiesaustralia/0dvegdzrz3-2896561?e=[UNIQID</w:t>
        </w:r>
      </w:hyperlink>
      <w:r>
        <w:t xml:space="preserve"> (viewed 25 September 2017).</w:t>
      </w:r>
    </w:p>
  </w:endnote>
  <w:endnote w:id="51">
    <w:p w:rsidR="00C3563C" w:rsidRDefault="00C3563C" w:rsidP="00B87D45">
      <w:pPr>
        <w:pStyle w:val="Testonotadichiusura"/>
      </w:pPr>
      <w:r>
        <w:rPr>
          <w:rStyle w:val="Rimandonotadichiusura"/>
        </w:rPr>
        <w:endnoteRef/>
      </w:r>
      <w:r>
        <w:t xml:space="preserve"> National Coalition on Child Safety and Wellbeing, </w:t>
      </w:r>
      <w:r w:rsidRPr="00E663B9">
        <w:rPr>
          <w:i/>
        </w:rPr>
        <w:t>Latest news on child safety and wellbeing</w:t>
      </w:r>
      <w:r>
        <w:t xml:space="preserve"> (August 2017). At</w:t>
      </w:r>
      <w:r w:rsidRPr="00C37478">
        <w:t xml:space="preserve"> </w:t>
      </w:r>
      <w:hyperlink r:id="rId41" w:history="1">
        <w:r w:rsidRPr="007B12EA">
          <w:rPr>
            <w:rStyle w:val="Collegamentoipertestuale"/>
          </w:rPr>
          <w:t>http://mailchi.mp/familiesaustralia/0dvegdzrz3-2896561?e=[UNIQID</w:t>
        </w:r>
      </w:hyperlink>
      <w:r>
        <w:t xml:space="preserve"> (viewed 25 September 2017).</w:t>
      </w:r>
    </w:p>
  </w:endnote>
  <w:endnote w:id="52">
    <w:p w:rsidR="00C3563C" w:rsidRDefault="00C3563C" w:rsidP="00B87D45">
      <w:pPr>
        <w:pStyle w:val="Testonotadichiusura"/>
      </w:pPr>
      <w:r>
        <w:rPr>
          <w:rStyle w:val="Rimandonotadichiusura"/>
        </w:rPr>
        <w:endnoteRef/>
      </w:r>
      <w:r>
        <w:t xml:space="preserve"> Australian Government Department of Social Services, </w:t>
      </w:r>
      <w:r w:rsidRPr="00903C3A">
        <w:rPr>
          <w:i/>
        </w:rPr>
        <w:t>Towards Independent Adulthood (TIA) Trial</w:t>
      </w:r>
      <w:r>
        <w:t xml:space="preserve"> (20 January 2017). At </w:t>
      </w:r>
      <w:hyperlink r:id="rId42" w:history="1">
        <w:r w:rsidRPr="009E12AD">
          <w:rPr>
            <w:rStyle w:val="Collegamentoipertestuale"/>
          </w:rPr>
          <w:t>https://www.dss.gov.au/grants/grants/towards-independent-adulthood-tia-trial</w:t>
        </w:r>
      </w:hyperlink>
      <w:r>
        <w:t xml:space="preserve"> (viewed 25 September 2017).</w:t>
      </w:r>
    </w:p>
  </w:endnote>
  <w:endnote w:id="53">
    <w:p w:rsidR="00C3563C" w:rsidRDefault="00C3563C" w:rsidP="00B87D45">
      <w:pPr>
        <w:pStyle w:val="Testonotadichiusura"/>
      </w:pPr>
      <w:r>
        <w:rPr>
          <w:rStyle w:val="Rimandonotadichiusura"/>
        </w:rPr>
        <w:endnoteRef/>
      </w:r>
      <w:r>
        <w:t xml:space="preserve"> Home Stretch, </w:t>
      </w:r>
      <w:r w:rsidRPr="00E34166">
        <w:rPr>
          <w:i/>
        </w:rPr>
        <w:t>Who we are</w:t>
      </w:r>
      <w:r>
        <w:t xml:space="preserve">. At </w:t>
      </w:r>
      <w:hyperlink r:id="rId43" w:history="1">
        <w:r w:rsidRPr="006D15CC">
          <w:rPr>
            <w:rStyle w:val="Collegamentoipertestuale"/>
          </w:rPr>
          <w:t>http://thehomestretch.org.au/about/</w:t>
        </w:r>
      </w:hyperlink>
      <w:r>
        <w:t xml:space="preserve"> (viewed 6 November 2017).</w:t>
      </w:r>
    </w:p>
  </w:endnote>
  <w:endnote w:id="54">
    <w:p w:rsidR="00C3563C" w:rsidRDefault="00C3563C" w:rsidP="00B87D45">
      <w:pPr>
        <w:pStyle w:val="Testonotadichiusura"/>
      </w:pPr>
      <w:r>
        <w:rPr>
          <w:rStyle w:val="Rimandonotadichiusura"/>
        </w:rPr>
        <w:endnoteRef/>
      </w:r>
      <w:r>
        <w:t xml:space="preserve"> Australian Government Department of Immigration and Border Protection, </w:t>
      </w:r>
      <w:r>
        <w:rPr>
          <w:i/>
          <w:iCs/>
        </w:rPr>
        <w:t>Immigration Detention and Community Statistics Summary 30 July 2017</w:t>
      </w:r>
      <w:r>
        <w:t>, 4.</w:t>
      </w:r>
    </w:p>
  </w:endnote>
  <w:endnote w:id="55">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Senate Legal and Constitutional Affairs Committee, Parliament of Australia, </w:t>
      </w:r>
      <w:r w:rsidRPr="003650B3">
        <w:rPr>
          <w:rFonts w:cs="Arial"/>
          <w:i/>
        </w:rPr>
        <w:t>Serious Allegations of Abuse, Self-Harm and Neglect of Asylum Seekers in Relation to the Nauru Regional Processing Centre, and Any Like Allegations in Relation to the Manus Regional Processing Centre</w:t>
      </w:r>
      <w:r w:rsidRPr="003650B3">
        <w:rPr>
          <w:rFonts w:cs="Arial"/>
        </w:rPr>
        <w:t xml:space="preserve"> (2017).</w:t>
      </w:r>
    </w:p>
  </w:endnote>
  <w:endnote w:id="56">
    <w:p w:rsidR="00C3563C" w:rsidRPr="003650B3" w:rsidRDefault="00C3563C" w:rsidP="00B87D45">
      <w:pPr>
        <w:pStyle w:val="Testonotadichiusura"/>
        <w:rPr>
          <w:rFonts w:cs="Arial"/>
        </w:rPr>
      </w:pPr>
      <w:r w:rsidRPr="003650B3">
        <w:rPr>
          <w:rStyle w:val="Rimandonotadichiusura"/>
          <w:rFonts w:cs="Arial"/>
        </w:rPr>
        <w:endnoteRef/>
      </w:r>
      <w:r>
        <w:rPr>
          <w:rFonts w:cs="Arial"/>
        </w:rPr>
        <w:t xml:space="preserve"> Mobile Children’s Services Association of NSW Inc, </w:t>
      </w:r>
      <w:r>
        <w:rPr>
          <w:rFonts w:cs="Arial"/>
          <w:i/>
        </w:rPr>
        <w:t>About Mobile Children’s Services.</w:t>
      </w:r>
      <w:r>
        <w:rPr>
          <w:rFonts w:cs="Arial"/>
        </w:rPr>
        <w:t xml:space="preserve"> At</w:t>
      </w:r>
      <w:r w:rsidRPr="003650B3">
        <w:rPr>
          <w:rFonts w:cs="Arial"/>
        </w:rPr>
        <w:t xml:space="preserve"> </w:t>
      </w:r>
      <w:hyperlink r:id="rId44" w:history="1">
        <w:r w:rsidRPr="003650B3">
          <w:rPr>
            <w:rStyle w:val="Collegamentoipertestuale"/>
            <w:rFonts w:cs="Arial"/>
          </w:rPr>
          <w:t>https://www.mcsa.org.au/8-frontpage/125-mobile-meet-2016</w:t>
        </w:r>
      </w:hyperlink>
      <w:r w:rsidRPr="003650B3">
        <w:rPr>
          <w:rFonts w:cs="Arial"/>
        </w:rPr>
        <w:t xml:space="preserve"> </w:t>
      </w:r>
      <w:r w:rsidRPr="00F17C36">
        <w:rPr>
          <w:rFonts w:cs="Arial"/>
        </w:rPr>
        <w:t>(viewed 8 September 2017).</w:t>
      </w:r>
      <w:r w:rsidRPr="003650B3">
        <w:rPr>
          <w:rFonts w:cs="Arial"/>
        </w:rPr>
        <w:t xml:space="preserve"> </w:t>
      </w:r>
    </w:p>
  </w:endnote>
  <w:endnote w:id="57">
    <w:p w:rsidR="00C3563C" w:rsidRPr="003650B3" w:rsidRDefault="00C3563C" w:rsidP="00B87D45">
      <w:pPr>
        <w:pStyle w:val="Testonotadichiusura"/>
        <w:rPr>
          <w:rFonts w:cs="Arial"/>
        </w:rPr>
      </w:pPr>
      <w:r w:rsidRPr="003650B3">
        <w:rPr>
          <w:rStyle w:val="Rimandonotadichiusura"/>
          <w:rFonts w:cs="Arial"/>
        </w:rPr>
        <w:endnoteRef/>
      </w:r>
      <w:r>
        <w:rPr>
          <w:rFonts w:cs="Arial"/>
        </w:rPr>
        <w:t xml:space="preserve"> Mobile Children’s Services Association of NSW Inc, </w:t>
      </w:r>
      <w:r>
        <w:rPr>
          <w:rFonts w:cs="Arial"/>
          <w:i/>
        </w:rPr>
        <w:t>Mobile Children’s Services.</w:t>
      </w:r>
      <w:r>
        <w:rPr>
          <w:rFonts w:cs="Arial"/>
        </w:rPr>
        <w:t xml:space="preserve"> At </w:t>
      </w:r>
      <w:hyperlink r:id="rId45" w:history="1">
        <w:r w:rsidRPr="003650B3">
          <w:rPr>
            <w:rStyle w:val="Collegamentoipertestuale"/>
            <w:rFonts w:cs="Arial"/>
          </w:rPr>
          <w:t>https://www.mcsa.org.au/about-us/mobile-children-s-services</w:t>
        </w:r>
      </w:hyperlink>
      <w:r w:rsidRPr="003650B3">
        <w:rPr>
          <w:rFonts w:cs="Arial"/>
        </w:rPr>
        <w:t xml:space="preserve"> </w:t>
      </w:r>
      <w:r w:rsidRPr="00F17C36">
        <w:rPr>
          <w:rFonts w:cs="Arial"/>
        </w:rPr>
        <w:t>(viewed 8 September 2017).</w:t>
      </w:r>
    </w:p>
  </w:endnote>
  <w:endnote w:id="58">
    <w:p w:rsidR="00C3563C" w:rsidRPr="003650B3" w:rsidRDefault="00C3563C" w:rsidP="00B87D45">
      <w:pPr>
        <w:pStyle w:val="Testonotadichiusura"/>
        <w:rPr>
          <w:rFonts w:cs="Arial"/>
        </w:rPr>
      </w:pPr>
      <w:r w:rsidRPr="003650B3">
        <w:rPr>
          <w:rStyle w:val="Rimandonotadichiusura"/>
          <w:rFonts w:cs="Arial"/>
        </w:rPr>
        <w:endnoteRef/>
      </w:r>
      <w:r>
        <w:rPr>
          <w:rFonts w:cs="Arial"/>
        </w:rPr>
        <w:t xml:space="preserve"> Australian Human Rights Commission, </w:t>
      </w:r>
      <w:r w:rsidRPr="00EE4190">
        <w:rPr>
          <w:i/>
          <w:lang w:val="en"/>
        </w:rPr>
        <w:t>Building belonging: A toolkit for early childhood educators on cultural diversity and responding to prejudice</w:t>
      </w:r>
      <w:r>
        <w:rPr>
          <w:lang w:val="en"/>
        </w:rPr>
        <w:t xml:space="preserve">. At </w:t>
      </w:r>
      <w:hyperlink r:id="rId46" w:history="1">
        <w:r w:rsidRPr="00A75B7D">
          <w:rPr>
            <w:rStyle w:val="Collegamentoipertestuale"/>
            <w:rFonts w:cs="Arial"/>
          </w:rPr>
          <w:t>https://www.humanrights.gov.au/building-belonging-toolkit-early-childhood-educators-cultural-divers ity-and-responding-prejudice</w:t>
        </w:r>
      </w:hyperlink>
      <w:r w:rsidRPr="003650B3">
        <w:rPr>
          <w:rFonts w:cs="Arial"/>
        </w:rPr>
        <w:t xml:space="preserve"> </w:t>
      </w:r>
      <w:r w:rsidRPr="00F17C36">
        <w:rPr>
          <w:rFonts w:cs="Arial"/>
        </w:rPr>
        <w:t>(viewed 8 September 2017).</w:t>
      </w:r>
    </w:p>
  </w:endnote>
  <w:endnote w:id="59">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Australian Human Rights Commission, </w:t>
      </w:r>
      <w:r w:rsidRPr="003650B3">
        <w:rPr>
          <w:rFonts w:cs="Arial"/>
          <w:i/>
          <w:iCs/>
        </w:rPr>
        <w:t xml:space="preserve">Children’s Rights Report 2014 </w:t>
      </w:r>
      <w:r w:rsidRPr="003650B3">
        <w:rPr>
          <w:rFonts w:cs="Arial"/>
        </w:rPr>
        <w:t>(2014) 115</w:t>
      </w:r>
      <w:r>
        <w:rPr>
          <w:rFonts w:cs="Arial"/>
        </w:rPr>
        <w:t>–</w:t>
      </w:r>
      <w:r w:rsidRPr="003650B3">
        <w:rPr>
          <w:rFonts w:cs="Arial"/>
        </w:rPr>
        <w:t>123</w:t>
      </w:r>
      <w:r>
        <w:rPr>
          <w:rFonts w:cs="Arial"/>
        </w:rPr>
        <w:t xml:space="preserve">. At </w:t>
      </w:r>
      <w:r w:rsidRPr="003650B3">
        <w:rPr>
          <w:rFonts w:cs="Arial"/>
        </w:rPr>
        <w:t>https://www.humanrights.gov.au/ our-work/childrens-rights/publicatio</w:t>
      </w:r>
      <w:r>
        <w:rPr>
          <w:rFonts w:cs="Arial"/>
        </w:rPr>
        <w:t>ns/childrens-rights-report-2014 (viewed 8 September 2017)</w:t>
      </w:r>
      <w:r w:rsidRPr="003650B3">
        <w:rPr>
          <w:rFonts w:cs="Arial"/>
        </w:rPr>
        <w:t xml:space="preserve">; </w:t>
      </w:r>
    </w:p>
    <w:p w:rsidR="00C3563C" w:rsidRPr="003650B3" w:rsidRDefault="00C3563C" w:rsidP="00B87D45">
      <w:pPr>
        <w:pStyle w:val="Testonotadichiusura"/>
        <w:rPr>
          <w:rFonts w:cs="Arial"/>
        </w:rPr>
      </w:pPr>
      <w:r w:rsidRPr="003650B3">
        <w:rPr>
          <w:rFonts w:cs="Arial"/>
        </w:rPr>
        <w:t xml:space="preserve">Australian Human Rights Commission, </w:t>
      </w:r>
      <w:r w:rsidRPr="003650B3">
        <w:rPr>
          <w:rFonts w:cs="Arial"/>
          <w:i/>
          <w:iCs/>
        </w:rPr>
        <w:t xml:space="preserve">Children’s Rights Report 2015 </w:t>
      </w:r>
      <w:r w:rsidRPr="003650B3">
        <w:rPr>
          <w:rFonts w:cs="Arial"/>
        </w:rPr>
        <w:t>(2015) 115</w:t>
      </w:r>
      <w:r>
        <w:rPr>
          <w:rFonts w:cs="Arial"/>
        </w:rPr>
        <w:t>–</w:t>
      </w:r>
      <w:r w:rsidRPr="003650B3">
        <w:rPr>
          <w:rFonts w:cs="Arial"/>
        </w:rPr>
        <w:t>120</w:t>
      </w:r>
      <w:r>
        <w:rPr>
          <w:rFonts w:cs="Arial"/>
        </w:rPr>
        <w:t xml:space="preserve">. At </w:t>
      </w:r>
      <w:hyperlink r:id="rId47" w:history="1">
        <w:r w:rsidRPr="003650B3">
          <w:rPr>
            <w:rStyle w:val="Collegamentoipertestuale"/>
            <w:rFonts w:cs="Arial"/>
            <w:u w:val="none"/>
          </w:rPr>
          <w:t>https://www.humanrights.gov.au/our-work/childrens-rights/publications/childrens-rights-report-2015</w:t>
        </w:r>
      </w:hyperlink>
      <w:r>
        <w:rPr>
          <w:rFonts w:cs="Arial"/>
        </w:rPr>
        <w:t xml:space="preserve"> </w:t>
      </w:r>
      <w:r w:rsidRPr="00F17C36">
        <w:rPr>
          <w:rFonts w:cs="Arial"/>
        </w:rPr>
        <w:t>(viewed 8 September 2017)</w:t>
      </w:r>
      <w:r w:rsidRPr="003650B3">
        <w:rPr>
          <w:rFonts w:cs="Arial"/>
        </w:rPr>
        <w:t xml:space="preserve">. </w:t>
      </w:r>
    </w:p>
  </w:endnote>
  <w:endnote w:id="60">
    <w:p w:rsidR="00C3563C" w:rsidRDefault="00C3563C" w:rsidP="00B87D45">
      <w:pPr>
        <w:pStyle w:val="Testonotadichiusura"/>
      </w:pPr>
      <w:r>
        <w:rPr>
          <w:rStyle w:val="Rimandonotadichiusura"/>
        </w:rPr>
        <w:endnoteRef/>
      </w:r>
      <w:r>
        <w:t xml:space="preserve"> Health Behaviour in School-aged Children, </w:t>
      </w:r>
      <w:r w:rsidRPr="00E34166">
        <w:rPr>
          <w:i/>
        </w:rPr>
        <w:t>About HBSC</w:t>
      </w:r>
      <w:r>
        <w:t xml:space="preserve">. At  </w:t>
      </w:r>
      <w:hyperlink r:id="rId48" w:history="1">
        <w:r w:rsidRPr="003D635F">
          <w:rPr>
            <w:rStyle w:val="Collegamentoipertestuale"/>
          </w:rPr>
          <w:t>http://www.hbsc.org/about/index.html</w:t>
        </w:r>
      </w:hyperlink>
      <w:r>
        <w:t xml:space="preserve"> (viewed 10 October 2017). </w:t>
      </w:r>
    </w:p>
  </w:endnote>
  <w:endnote w:id="61">
    <w:p w:rsidR="00C3563C" w:rsidRPr="007F0B86" w:rsidRDefault="00C3563C" w:rsidP="00B87D45">
      <w:pPr>
        <w:pStyle w:val="Testonotadichiusura"/>
      </w:pPr>
      <w:r w:rsidRPr="007F0B86">
        <w:rPr>
          <w:rStyle w:val="Rimandonotadichiusura"/>
        </w:rPr>
        <w:endnoteRef/>
      </w:r>
      <w:r w:rsidRPr="007F0B86">
        <w:t xml:space="preserve"> </w:t>
      </w:r>
      <w:r w:rsidRPr="00B373DE">
        <w:t>Mission Australia and Black Dog Institute, ‘Youth mental health and homelessness report’ (Mission Australia, August 2017) 2</w:t>
      </w:r>
      <w:r>
        <w:t xml:space="preserve">. At </w:t>
      </w:r>
      <w:hyperlink r:id="rId49" w:history="1">
        <w:r w:rsidRPr="00B373DE">
          <w:rPr>
            <w:rStyle w:val="Collegamentoipertestuale"/>
          </w:rPr>
          <w:t>https://www.missionaustralia.com.au/publications/research/young-people</w:t>
        </w:r>
      </w:hyperlink>
      <w:r w:rsidRPr="00B373DE">
        <w:t>&gt;.</w:t>
      </w:r>
    </w:p>
  </w:endnote>
  <w:endnote w:id="62">
    <w:p w:rsidR="00C3563C" w:rsidRPr="007F0B86" w:rsidRDefault="00C3563C" w:rsidP="00B87D45">
      <w:pPr>
        <w:pStyle w:val="Testonotadichiusura"/>
      </w:pPr>
      <w:r w:rsidRPr="007F0B86">
        <w:rPr>
          <w:rStyle w:val="Rimandonotadichiusura"/>
        </w:rPr>
        <w:endnoteRef/>
      </w:r>
      <w:r w:rsidRPr="007F0B86">
        <w:t xml:space="preserve"> Mission Australia and Black Dog Institute, ‘Youth mental health and homelessness report’ (Mission Australia, August 2017) 5</w:t>
      </w:r>
      <w:r>
        <w:t xml:space="preserve">. At </w:t>
      </w:r>
      <w:r w:rsidRPr="007F0B86">
        <w:t>https://www.missionaustralia.com.au/publications/research/young-people.</w:t>
      </w:r>
    </w:p>
  </w:endnote>
  <w:endnote w:id="63">
    <w:p w:rsidR="00C3563C" w:rsidRPr="007F0B86" w:rsidRDefault="00C3563C" w:rsidP="00B87D45">
      <w:pPr>
        <w:pStyle w:val="Testonotadichiusura"/>
      </w:pPr>
      <w:r w:rsidRPr="007F0B86">
        <w:rPr>
          <w:rStyle w:val="Rimandonotadichiusura"/>
        </w:rPr>
        <w:endnoteRef/>
      </w:r>
      <w:r w:rsidRPr="007F0B86">
        <w:t xml:space="preserve"> </w:t>
      </w:r>
      <w:r w:rsidRPr="00B373DE">
        <w:t>Mission Australia and Black Dog Institute, ‘Youth mental health and homelessness report’ (Mission Australia, August 2017) 5</w:t>
      </w:r>
      <w:r>
        <w:t xml:space="preserve">. At </w:t>
      </w:r>
      <w:hyperlink r:id="rId50" w:history="1">
        <w:r w:rsidRPr="00B373DE">
          <w:rPr>
            <w:rStyle w:val="Collegamentoipertestuale"/>
          </w:rPr>
          <w:t>https://www.missionaustralia.com.au/publications/research/young-people</w:t>
        </w:r>
      </w:hyperlink>
      <w:r>
        <w:t xml:space="preserve"> (viewed 24 October 2017)</w:t>
      </w:r>
      <w:r w:rsidRPr="00B373DE">
        <w:t>.</w:t>
      </w:r>
    </w:p>
  </w:endnote>
  <w:endnote w:id="64">
    <w:p w:rsidR="00C3563C" w:rsidRPr="007F0B86" w:rsidRDefault="00C3563C" w:rsidP="00B87D45">
      <w:pPr>
        <w:pStyle w:val="Testonotadichiusura"/>
        <w:rPr>
          <w:rFonts w:cs="Arial"/>
        </w:rPr>
      </w:pPr>
      <w:r w:rsidRPr="007F0B86">
        <w:rPr>
          <w:rStyle w:val="Rimandonotadichiusura"/>
          <w:rFonts w:cs="Arial"/>
        </w:rPr>
        <w:endnoteRef/>
      </w:r>
      <w:r w:rsidRPr="007F0B86">
        <w:rPr>
          <w:rFonts w:cs="Arial"/>
        </w:rPr>
        <w:t xml:space="preserve"> </w:t>
      </w:r>
      <w:r w:rsidRPr="00B373DE">
        <w:rPr>
          <w:rFonts w:cs="Arial"/>
        </w:rPr>
        <w:t xml:space="preserve">Australian Institute of Family Studies, ‘The Longitudinal Study of Australian Children, LSAC Annual Statistical Report 2016’ (Australian Institute of Family Studies, 2016) </w:t>
      </w:r>
      <w:r w:rsidRPr="007F0B86">
        <w:rPr>
          <w:rFonts w:cs="Arial"/>
        </w:rPr>
        <w:t xml:space="preserve">1. </w:t>
      </w:r>
    </w:p>
  </w:endnote>
  <w:endnote w:id="65">
    <w:p w:rsidR="00C3563C" w:rsidRPr="007F0B86" w:rsidRDefault="00C3563C" w:rsidP="00B87D45">
      <w:pPr>
        <w:pStyle w:val="Testonotadichiusura"/>
        <w:rPr>
          <w:rFonts w:cs="Arial"/>
        </w:rPr>
      </w:pPr>
      <w:r w:rsidRPr="007F0B86">
        <w:rPr>
          <w:rStyle w:val="Rimandonotadichiusura"/>
          <w:rFonts w:cs="Arial"/>
        </w:rPr>
        <w:endnoteRef/>
      </w:r>
      <w:r w:rsidRPr="007F0B86">
        <w:rPr>
          <w:rFonts w:cs="Arial"/>
        </w:rPr>
        <w:t xml:space="preserve"> </w:t>
      </w:r>
      <w:r w:rsidRPr="00B373DE">
        <w:rPr>
          <w:rFonts w:cs="Arial"/>
        </w:rPr>
        <w:t xml:space="preserve">Australian Institute of Family Studies, </w:t>
      </w:r>
      <w:r w:rsidRPr="00B373DE">
        <w:rPr>
          <w:rFonts w:cs="Arial"/>
          <w:i/>
        </w:rPr>
        <w:t>About Growing Up in Australia,</w:t>
      </w:r>
      <w:r w:rsidRPr="00B373DE">
        <w:rPr>
          <w:rFonts w:cs="Arial"/>
        </w:rPr>
        <w:t xml:space="preserve"> Growing Up in Australia. At </w:t>
      </w:r>
      <w:hyperlink r:id="rId51" w:history="1">
        <w:r w:rsidRPr="00B373DE">
          <w:rPr>
            <w:rStyle w:val="Collegamentoipertestuale"/>
            <w:rFonts w:cs="Arial"/>
          </w:rPr>
          <w:t>http://www.growingupinaustralia.gov.au/about/index.html</w:t>
        </w:r>
      </w:hyperlink>
      <w:r w:rsidRPr="00B373DE">
        <w:rPr>
          <w:rFonts w:cs="Arial"/>
        </w:rPr>
        <w:t xml:space="preserve"> (</w:t>
      </w:r>
      <w:r>
        <w:rPr>
          <w:rFonts w:cs="Arial"/>
        </w:rPr>
        <w:t>v</w:t>
      </w:r>
      <w:r w:rsidRPr="00B373DE">
        <w:rPr>
          <w:rFonts w:cs="Arial"/>
        </w:rPr>
        <w:t>iewed 15 September 2017).</w:t>
      </w:r>
      <w:r w:rsidRPr="007F0B86">
        <w:rPr>
          <w:rFonts w:cs="Arial"/>
        </w:rPr>
        <w:t xml:space="preserve"> </w:t>
      </w:r>
    </w:p>
  </w:endnote>
  <w:endnote w:id="66">
    <w:p w:rsidR="00C3563C" w:rsidRPr="004A1260" w:rsidRDefault="00C3563C" w:rsidP="00B87D45">
      <w:pPr>
        <w:pStyle w:val="Testonotadichiusura"/>
        <w:rPr>
          <w:rFonts w:cs="Arial"/>
        </w:rPr>
      </w:pPr>
      <w:r w:rsidRPr="007F0B86">
        <w:rPr>
          <w:rStyle w:val="Rimandonotadichiusura"/>
          <w:rFonts w:cs="Arial"/>
        </w:rPr>
        <w:endnoteRef/>
      </w:r>
      <w:r w:rsidRPr="007F0B86">
        <w:rPr>
          <w:rFonts w:cs="Arial"/>
        </w:rPr>
        <w:t xml:space="preserve"> </w:t>
      </w:r>
      <w:r w:rsidRPr="00B373DE">
        <w:rPr>
          <w:rFonts w:cs="Arial"/>
        </w:rPr>
        <w:t xml:space="preserve">Australian Institute of Family Studies, </w:t>
      </w:r>
      <w:r w:rsidRPr="00B373DE">
        <w:rPr>
          <w:rFonts w:cs="Arial"/>
          <w:i/>
        </w:rPr>
        <w:t>About Growing Up in Australia,</w:t>
      </w:r>
      <w:r w:rsidRPr="00B373DE">
        <w:rPr>
          <w:rFonts w:cs="Arial"/>
        </w:rPr>
        <w:t xml:space="preserve"> Growing Up in Australia. At </w:t>
      </w:r>
      <w:hyperlink r:id="rId52" w:history="1">
        <w:r w:rsidRPr="004A1260">
          <w:rPr>
            <w:rStyle w:val="Collegamentoipertestuale"/>
            <w:rFonts w:cs="Arial"/>
          </w:rPr>
          <w:t>http://www.growingupinaustralia.gov.au/about/index.html</w:t>
        </w:r>
      </w:hyperlink>
      <w:r w:rsidRPr="004A1260">
        <w:rPr>
          <w:rFonts w:cs="Arial"/>
        </w:rPr>
        <w:t xml:space="preserve"> (viewed 15 September 2017). </w:t>
      </w:r>
    </w:p>
  </w:endnote>
  <w:endnote w:id="67">
    <w:p w:rsidR="00C3563C" w:rsidRPr="00E93030" w:rsidRDefault="00C3563C" w:rsidP="00B87D45">
      <w:pPr>
        <w:pStyle w:val="Testonotadichiusura"/>
        <w:rPr>
          <w:rFonts w:cs="Arial"/>
        </w:rPr>
      </w:pPr>
      <w:r w:rsidRPr="00E93030">
        <w:rPr>
          <w:rStyle w:val="Rimandonotadichiusura"/>
          <w:rFonts w:cs="Arial"/>
        </w:rPr>
        <w:endnoteRef/>
      </w:r>
      <w:r>
        <w:rPr>
          <w:rFonts w:cs="Arial"/>
        </w:rPr>
        <w:t xml:space="preserve"> Youth Action, </w:t>
      </w:r>
      <w:r w:rsidRPr="001F2365">
        <w:rPr>
          <w:rFonts w:cs="Arial"/>
          <w:i/>
        </w:rPr>
        <w:t>The Australian Youth Development Index</w:t>
      </w:r>
      <w:r>
        <w:rPr>
          <w:rFonts w:cs="Arial"/>
        </w:rPr>
        <w:t xml:space="preserve">, Youth Action. </w:t>
      </w:r>
      <w:r w:rsidRPr="00E93030">
        <w:rPr>
          <w:rFonts w:cs="Arial"/>
        </w:rPr>
        <w:t xml:space="preserve">At </w:t>
      </w:r>
      <w:hyperlink r:id="rId53" w:history="1">
        <w:r w:rsidRPr="00E93030">
          <w:rPr>
            <w:rStyle w:val="Collegamentoipertestuale"/>
            <w:rFonts w:cs="Arial"/>
          </w:rPr>
          <w:t>http://www.youthaction.org.au/australian_ydi</w:t>
        </w:r>
      </w:hyperlink>
      <w:r w:rsidRPr="00E93030">
        <w:rPr>
          <w:rFonts w:cs="Arial"/>
        </w:rPr>
        <w:t xml:space="preserve">  (viewed 14 September 2017). </w:t>
      </w:r>
    </w:p>
  </w:endnote>
  <w:endnote w:id="68">
    <w:p w:rsidR="00C3563C" w:rsidRPr="00E93030" w:rsidRDefault="00C3563C" w:rsidP="00B87D45">
      <w:pPr>
        <w:shd w:val="clear" w:color="auto" w:fill="FFFFFF"/>
        <w:spacing w:before="0" w:after="0"/>
        <w:ind w:right="900"/>
        <w:rPr>
          <w:rFonts w:cs="Arial"/>
          <w:sz w:val="20"/>
          <w:szCs w:val="20"/>
        </w:rPr>
      </w:pPr>
      <w:r w:rsidRPr="00E93030">
        <w:rPr>
          <w:rStyle w:val="Rimandonotadichiusura"/>
          <w:rFonts w:cs="Arial"/>
          <w:szCs w:val="20"/>
        </w:rPr>
        <w:endnoteRef/>
      </w:r>
      <w:r>
        <w:rPr>
          <w:rFonts w:cs="Arial"/>
          <w:sz w:val="20"/>
          <w:szCs w:val="20"/>
        </w:rPr>
        <w:t xml:space="preserve"> Youth Action et al, ‘Australian Youth Development Index: A Jurisdictional Overview of Youth Development: 2016 Report’ (Youth Action et al, 2016) 1–2</w:t>
      </w:r>
      <w:r>
        <w:rPr>
          <w:rFonts w:cs="Arial"/>
          <w:iCs/>
          <w:color w:val="222222"/>
          <w:sz w:val="20"/>
          <w:szCs w:val="20"/>
          <w:shd w:val="clear" w:color="auto" w:fill="FAFAE1"/>
        </w:rPr>
        <w:t>.</w:t>
      </w:r>
      <w:r w:rsidRPr="00E93030">
        <w:rPr>
          <w:rFonts w:cs="Arial"/>
          <w:sz w:val="20"/>
          <w:szCs w:val="20"/>
        </w:rPr>
        <w:t xml:space="preserve"> </w:t>
      </w:r>
    </w:p>
  </w:endnote>
  <w:endnote w:id="69">
    <w:p w:rsidR="00C3563C" w:rsidRPr="00E93030" w:rsidRDefault="00C3563C" w:rsidP="00B87D45">
      <w:pPr>
        <w:pStyle w:val="Testonotadichiusura"/>
        <w:rPr>
          <w:rFonts w:cs="Arial"/>
        </w:rPr>
      </w:pPr>
      <w:r w:rsidRPr="00E93030">
        <w:rPr>
          <w:rStyle w:val="Rimandonotadichiusura"/>
          <w:rFonts w:cs="Arial"/>
        </w:rPr>
        <w:endnoteRef/>
      </w:r>
      <w:r w:rsidRPr="00E93030">
        <w:rPr>
          <w:rFonts w:cs="Arial"/>
        </w:rPr>
        <w:t xml:space="preserve"> </w:t>
      </w:r>
      <w:r>
        <w:rPr>
          <w:rFonts w:cs="Arial"/>
        </w:rPr>
        <w:t>Youth Action et al, ‘Australian Youth Development Index: A Jurisdictional Overview of Youth Development: 2016 Report’ (Youth Action et al, 2016) 10.</w:t>
      </w:r>
      <w:r w:rsidRPr="00E93030">
        <w:rPr>
          <w:rFonts w:cs="Arial"/>
        </w:rPr>
        <w:t xml:space="preserve">  </w:t>
      </w:r>
    </w:p>
  </w:endnote>
  <w:endnote w:id="70">
    <w:p w:rsidR="00C3563C" w:rsidRPr="00E93030" w:rsidRDefault="00C3563C" w:rsidP="00B87D45">
      <w:pPr>
        <w:pStyle w:val="Testonotadichiusura"/>
        <w:rPr>
          <w:rFonts w:cs="Arial"/>
        </w:rPr>
      </w:pPr>
      <w:r w:rsidRPr="00E93030">
        <w:rPr>
          <w:rStyle w:val="Rimandonotadichiusura"/>
          <w:rFonts w:cs="Arial"/>
        </w:rPr>
        <w:endnoteRef/>
      </w:r>
      <w:r>
        <w:rPr>
          <w:rFonts w:cs="Arial"/>
        </w:rPr>
        <w:t xml:space="preserve"> Youth Action et al, ‘Australian Youth Development Index: A Jurisdictional Overview of Youth Development: 2016 Report’ (Youth Action et al, 2016) 7.</w:t>
      </w:r>
      <w:r w:rsidRPr="00E93030">
        <w:rPr>
          <w:rFonts w:cs="Arial"/>
        </w:rPr>
        <w:t xml:space="preserve"> </w:t>
      </w:r>
    </w:p>
  </w:endnote>
  <w:endnote w:id="71">
    <w:p w:rsidR="00C3563C" w:rsidRPr="00E93030" w:rsidRDefault="00C3563C" w:rsidP="00B87D45">
      <w:pPr>
        <w:pStyle w:val="Testonotadichiusura"/>
        <w:rPr>
          <w:rFonts w:cs="Arial"/>
        </w:rPr>
      </w:pPr>
      <w:r w:rsidRPr="00E93030">
        <w:rPr>
          <w:rStyle w:val="Rimandonotadichiusura"/>
          <w:rFonts w:cs="Arial"/>
        </w:rPr>
        <w:endnoteRef/>
      </w:r>
      <w:r w:rsidRPr="00E93030">
        <w:rPr>
          <w:rFonts w:cs="Arial"/>
        </w:rPr>
        <w:t xml:space="preserve"> </w:t>
      </w:r>
      <w:r>
        <w:rPr>
          <w:rFonts w:cs="Arial"/>
        </w:rPr>
        <w:t>Youth Action et al, ‘Australian Youth Development Index: A Jurisdictional Overview of Youth Development: 2016 Report’ (Youth Action et al, 2016) 21.</w:t>
      </w:r>
      <w:r w:rsidRPr="00E93030">
        <w:rPr>
          <w:rFonts w:cs="Arial"/>
        </w:rPr>
        <w:t xml:space="preserve"> </w:t>
      </w:r>
    </w:p>
  </w:endnote>
  <w:endnote w:id="72">
    <w:p w:rsidR="00C3563C" w:rsidRPr="004A1260" w:rsidRDefault="00C3563C" w:rsidP="00B87D45">
      <w:pPr>
        <w:pStyle w:val="Testonotadichiusura"/>
        <w:rPr>
          <w:rFonts w:cs="Arial"/>
        </w:rPr>
      </w:pPr>
      <w:r w:rsidRPr="00E93030">
        <w:rPr>
          <w:rStyle w:val="Rimandonotadichiusura"/>
          <w:rFonts w:cs="Arial"/>
        </w:rPr>
        <w:endnoteRef/>
      </w:r>
      <w:r>
        <w:rPr>
          <w:rFonts w:cs="Arial"/>
        </w:rPr>
        <w:t xml:space="preserve"> Youth Action et al, ‘Australian Youth Development Index: A Jurisdictional Overview of Youth Development: 2016 Report’ (Youth Action et al, 2016) 1–2.</w:t>
      </w:r>
      <w:r w:rsidRPr="004A1260">
        <w:rPr>
          <w:rFonts w:cs="Arial"/>
        </w:rPr>
        <w:t xml:space="preserve"> </w:t>
      </w:r>
    </w:p>
  </w:endnote>
  <w:endnote w:id="73">
    <w:p w:rsidR="00C3563C" w:rsidRPr="007F0B86" w:rsidRDefault="00C3563C" w:rsidP="00B87D45">
      <w:pPr>
        <w:pStyle w:val="Testonotadichiusura"/>
        <w:rPr>
          <w:rFonts w:cs="Arial"/>
        </w:rPr>
      </w:pPr>
      <w:r w:rsidRPr="004A1260">
        <w:rPr>
          <w:rStyle w:val="Rimandonotadichiusura"/>
          <w:rFonts w:cs="Arial"/>
        </w:rPr>
        <w:endnoteRef/>
      </w:r>
      <w:r w:rsidRPr="004A1260">
        <w:rPr>
          <w:rFonts w:cs="Arial"/>
        </w:rPr>
        <w:t xml:space="preserve"> Australia’s National Research Organisation for Women’s Safety, </w:t>
      </w:r>
      <w:r w:rsidRPr="004A1260">
        <w:rPr>
          <w:rFonts w:cs="Arial"/>
          <w:i/>
        </w:rPr>
        <w:t>Who We Are</w:t>
      </w:r>
      <w:r w:rsidRPr="004A1260">
        <w:rPr>
          <w:rFonts w:cs="Arial"/>
        </w:rPr>
        <w:t>. ANROWS.  At</w:t>
      </w:r>
      <w:r w:rsidRPr="00B373DE">
        <w:rPr>
          <w:rFonts w:cs="Arial"/>
        </w:rPr>
        <w:t xml:space="preserve"> </w:t>
      </w:r>
      <w:hyperlink r:id="rId54" w:history="1">
        <w:r w:rsidRPr="00B373DE">
          <w:rPr>
            <w:rStyle w:val="Collegamentoipertestuale"/>
            <w:rFonts w:cs="Arial"/>
          </w:rPr>
          <w:t>https://anrows.org.au/about/who-we-are</w:t>
        </w:r>
      </w:hyperlink>
      <w:r w:rsidRPr="00B373DE">
        <w:rPr>
          <w:rFonts w:cs="Arial"/>
        </w:rPr>
        <w:t xml:space="preserve"> (Viewed 14 September 2017). </w:t>
      </w:r>
    </w:p>
  </w:endnote>
  <w:endnote w:id="74">
    <w:p w:rsidR="00C3563C" w:rsidRPr="007F0B86" w:rsidRDefault="00C3563C" w:rsidP="00B87D45">
      <w:pPr>
        <w:pStyle w:val="Testonotadichiusura"/>
        <w:rPr>
          <w:rFonts w:cs="Arial"/>
        </w:rPr>
      </w:pPr>
      <w:r w:rsidRPr="007F0B86">
        <w:rPr>
          <w:rStyle w:val="Rimandonotadichiusura"/>
          <w:rFonts w:cs="Arial"/>
        </w:rPr>
        <w:endnoteRef/>
      </w:r>
      <w:r w:rsidRPr="007F0B86">
        <w:rPr>
          <w:rFonts w:cs="Arial"/>
        </w:rPr>
        <w:t xml:space="preserve"> </w:t>
      </w:r>
      <w:r w:rsidRPr="00B373DE">
        <w:rPr>
          <w:rFonts w:cs="Arial"/>
        </w:rPr>
        <w:t xml:space="preserve">Australia’s National Research Organisation for Women’s Safety, </w:t>
      </w:r>
      <w:r w:rsidRPr="00B373DE">
        <w:rPr>
          <w:rFonts w:cs="Arial"/>
          <w:i/>
        </w:rPr>
        <w:t>Research Program</w:t>
      </w:r>
      <w:r w:rsidRPr="00B373DE">
        <w:rPr>
          <w:rFonts w:cs="Arial"/>
        </w:rPr>
        <w:t xml:space="preserve">, ANROWS.  At </w:t>
      </w:r>
      <w:hyperlink r:id="rId55" w:history="1">
        <w:r w:rsidRPr="00B373DE">
          <w:rPr>
            <w:rStyle w:val="Collegamentoipertestuale"/>
            <w:rFonts w:cs="Arial"/>
          </w:rPr>
          <w:t>https://anrows.org.au/research</w:t>
        </w:r>
      </w:hyperlink>
      <w:r w:rsidRPr="00B373DE">
        <w:rPr>
          <w:rFonts w:cs="Arial"/>
        </w:rPr>
        <w:t xml:space="preserve"> (</w:t>
      </w:r>
      <w:r>
        <w:rPr>
          <w:rFonts w:cs="Arial"/>
        </w:rPr>
        <w:t>v</w:t>
      </w:r>
      <w:r w:rsidRPr="00B373DE">
        <w:rPr>
          <w:rFonts w:cs="Arial"/>
        </w:rPr>
        <w:t xml:space="preserve">iewed 14 September 2017). </w:t>
      </w:r>
    </w:p>
  </w:endnote>
  <w:endnote w:id="75">
    <w:p w:rsidR="00C3563C" w:rsidRPr="007F0B86" w:rsidRDefault="00C3563C" w:rsidP="00B87D45">
      <w:pPr>
        <w:pStyle w:val="Testonotadichiusura"/>
        <w:rPr>
          <w:rFonts w:cs="Arial"/>
        </w:rPr>
      </w:pPr>
      <w:r w:rsidRPr="007F0B86">
        <w:rPr>
          <w:rStyle w:val="Rimandonotadichiusura"/>
          <w:rFonts w:cs="Arial"/>
        </w:rPr>
        <w:endnoteRef/>
      </w:r>
      <w:r w:rsidRPr="007F0B86">
        <w:rPr>
          <w:rFonts w:cs="Arial"/>
        </w:rPr>
        <w:t xml:space="preserve"> </w:t>
      </w:r>
      <w:r w:rsidRPr="00B373DE">
        <w:rPr>
          <w:rFonts w:cs="Arial"/>
        </w:rPr>
        <w:t xml:space="preserve">Rae Kaspiew et al, ‘Domestic and family violence and parenting: Mixed method insights into impact and support needs: Key findings and future directions’ (Compass No 4, Australia’s National Research Organisation for Women’s Safety, 2017) 4. </w:t>
      </w:r>
    </w:p>
  </w:endnote>
  <w:endnote w:id="76">
    <w:p w:rsidR="00C3563C" w:rsidRPr="00F063C0" w:rsidRDefault="00C3563C" w:rsidP="00B87D45">
      <w:pPr>
        <w:pStyle w:val="Testonotadichiusura"/>
        <w:rPr>
          <w:rFonts w:cs="Arial"/>
        </w:rPr>
      </w:pPr>
      <w:r w:rsidRPr="007F0B86">
        <w:rPr>
          <w:rStyle w:val="Rimandonotadichiusura"/>
          <w:rFonts w:cs="Arial"/>
        </w:rPr>
        <w:endnoteRef/>
      </w:r>
      <w:r w:rsidRPr="007F0B86">
        <w:rPr>
          <w:rFonts w:cs="Arial"/>
        </w:rPr>
        <w:t xml:space="preserve"> </w:t>
      </w:r>
      <w:r w:rsidRPr="00B373DE">
        <w:rPr>
          <w:rFonts w:cs="Arial"/>
        </w:rPr>
        <w:t>Rae Kaspiew et al, ‘Domestic and family violence and parenting: Mixed method insights into impact and support needs: Final report’, (Horizons Research Report No 4, Australia’s National Research Organisation for Women’s Safety, 2017) 10.</w:t>
      </w:r>
    </w:p>
  </w:endnote>
  <w:endnote w:id="77">
    <w:p w:rsidR="00C3563C" w:rsidRPr="003650B3" w:rsidRDefault="00C3563C" w:rsidP="00B87D45">
      <w:pPr>
        <w:pStyle w:val="Testonotadichiusura"/>
        <w:rPr>
          <w:rFonts w:cs="Arial"/>
        </w:rPr>
      </w:pPr>
      <w:r w:rsidRPr="003650B3">
        <w:rPr>
          <w:rStyle w:val="Rimandonotadichiusura"/>
          <w:rFonts w:cs="Arial"/>
        </w:rPr>
        <w:endnoteRef/>
      </w:r>
      <w:r>
        <w:rPr>
          <w:rFonts w:cs="Arial"/>
        </w:rPr>
        <w:t xml:space="preserve"> </w:t>
      </w:r>
      <w:r w:rsidRPr="003650B3">
        <w:rPr>
          <w:rFonts w:cs="Arial"/>
        </w:rPr>
        <w:t>Commonwealth Attorney-General, ‘Improving oversight and conditions in detention’</w:t>
      </w:r>
      <w:r>
        <w:rPr>
          <w:rFonts w:cs="Arial"/>
        </w:rPr>
        <w:t xml:space="preserve"> (Media Release,</w:t>
      </w:r>
      <w:r w:rsidRPr="003650B3">
        <w:rPr>
          <w:rFonts w:cs="Arial"/>
        </w:rPr>
        <w:t xml:space="preserve"> 9 February 2017</w:t>
      </w:r>
      <w:r>
        <w:rPr>
          <w:rFonts w:cs="Arial"/>
        </w:rPr>
        <w:t>)</w:t>
      </w:r>
      <w:r w:rsidRPr="003650B3">
        <w:rPr>
          <w:rFonts w:cs="Arial"/>
        </w:rPr>
        <w:t xml:space="preserve">. At </w:t>
      </w:r>
      <w:hyperlink r:id="rId56" w:history="1">
        <w:r w:rsidRPr="003650B3">
          <w:rPr>
            <w:rStyle w:val="Collegamentoipertestuale"/>
            <w:rFonts w:cs="Arial"/>
          </w:rPr>
          <w:t>https://www.attorneygeneral.gov.au/Mediareleases/Pages/2017/FirstQuarter/Improving-oversight-and-conditions-in-detention.aspx</w:t>
        </w:r>
      </w:hyperlink>
      <w:r w:rsidRPr="003650B3">
        <w:rPr>
          <w:rFonts w:cs="Arial"/>
        </w:rPr>
        <w:t xml:space="preserve"> </w:t>
      </w:r>
      <w:r>
        <w:rPr>
          <w:rFonts w:cs="Arial"/>
        </w:rPr>
        <w:t>(viewed 8 September 2017).</w:t>
      </w:r>
    </w:p>
  </w:endnote>
  <w:endnote w:id="78">
    <w:p w:rsidR="00C3563C" w:rsidRPr="003650B3" w:rsidRDefault="00C3563C" w:rsidP="00B87D45">
      <w:pPr>
        <w:pStyle w:val="Testonotadichiusura"/>
        <w:rPr>
          <w:rFonts w:cs="Arial"/>
        </w:rPr>
      </w:pPr>
      <w:r w:rsidRPr="003650B3">
        <w:rPr>
          <w:rStyle w:val="Rimandonotadichiusura"/>
          <w:rFonts w:cs="Arial"/>
        </w:rPr>
        <w:endnoteRef/>
      </w:r>
      <w:r w:rsidRPr="003650B3">
        <w:rPr>
          <w:rFonts w:cs="Arial"/>
        </w:rPr>
        <w:t xml:space="preserve"> </w:t>
      </w:r>
      <w:r>
        <w:rPr>
          <w:rFonts w:cs="Arial"/>
        </w:rPr>
        <w:t xml:space="preserve">Australian Bureau of Statistics, </w:t>
      </w:r>
      <w:r w:rsidRPr="0073155E">
        <w:rPr>
          <w:rFonts w:cs="Arial"/>
          <w:i/>
        </w:rPr>
        <w:t>Causes of Death, Australia</w:t>
      </w:r>
      <w:r w:rsidRPr="003650B3">
        <w:rPr>
          <w:rFonts w:cs="Arial"/>
        </w:rPr>
        <w:t xml:space="preserve">, </w:t>
      </w:r>
      <w:r w:rsidRPr="0073155E">
        <w:rPr>
          <w:rFonts w:cs="Arial"/>
          <w:i/>
        </w:rPr>
        <w:t>2015</w:t>
      </w:r>
      <w:r w:rsidRPr="003650B3">
        <w:rPr>
          <w:rFonts w:cs="Arial"/>
        </w:rPr>
        <w:t xml:space="preserve"> </w:t>
      </w:r>
      <w:r w:rsidRPr="009F6AC4">
        <w:rPr>
          <w:rFonts w:cs="Arial"/>
          <w:i/>
        </w:rPr>
        <w:t>(cat. no. 3303.0)</w:t>
      </w:r>
      <w:r>
        <w:rPr>
          <w:rFonts w:cs="Arial"/>
        </w:rPr>
        <w:t>. At</w:t>
      </w:r>
      <w:r w:rsidRPr="003650B3">
        <w:rPr>
          <w:rFonts w:cs="Arial"/>
        </w:rPr>
        <w:t xml:space="preserve"> </w:t>
      </w:r>
      <w:hyperlink r:id="rId57" w:history="1">
        <w:r w:rsidRPr="00A75B7D">
          <w:rPr>
            <w:rStyle w:val="Collegamentoipertestuale"/>
            <w:rFonts w:cs="Arial"/>
          </w:rPr>
          <w:t>http://www.abs.gov.au/ausstats/abs@.nsf/Lookup/by%20Subject/3303.0~2015~Main%20Features~Intentional%20self-harm:%20key%20characteristics~8</w:t>
        </w:r>
      </w:hyperlink>
      <w:r>
        <w:rPr>
          <w:rFonts w:cs="Arial"/>
        </w:rPr>
        <w:t xml:space="preserve"> (viewed 8 September 2017).</w:t>
      </w:r>
    </w:p>
  </w:endnote>
  <w:endnote w:id="79">
    <w:p w:rsidR="00C3563C" w:rsidRDefault="00C3563C" w:rsidP="00B87D45">
      <w:pPr>
        <w:pStyle w:val="Testonotadichiusura"/>
      </w:pPr>
      <w:r>
        <w:rPr>
          <w:rStyle w:val="Rimandonotadichiusura"/>
        </w:rPr>
        <w:endnoteRef/>
      </w:r>
      <w:r>
        <w:t xml:space="preserve"> </w:t>
      </w:r>
      <w:r w:rsidRPr="00002B7E">
        <w:rPr>
          <w:i/>
          <w:iCs/>
        </w:rPr>
        <w:t>Human Rights (Parliamentary Scrutiny) Act 2011</w:t>
      </w:r>
      <w:r>
        <w:rPr>
          <w:i/>
          <w:iCs/>
        </w:rPr>
        <w:t xml:space="preserve"> </w:t>
      </w:r>
      <w:r>
        <w:rPr>
          <w:iCs/>
        </w:rPr>
        <w:t>(Cth) ss 7(a), 8(1)</w:t>
      </w:r>
      <w:r>
        <w:t>–</w:t>
      </w:r>
      <w:r>
        <w:rPr>
          <w:iCs/>
        </w:rPr>
        <w:t>(5).</w:t>
      </w:r>
    </w:p>
  </w:endnote>
  <w:endnote w:id="80">
    <w:p w:rsidR="00C3563C" w:rsidRDefault="00C3563C" w:rsidP="00B87D45">
      <w:pPr>
        <w:pStyle w:val="Testonotadichiusura"/>
      </w:pPr>
      <w:r w:rsidRPr="00AF18C8">
        <w:rPr>
          <w:rStyle w:val="Rimandonotadichiusura"/>
        </w:rPr>
        <w:endnoteRef/>
      </w:r>
      <w:r w:rsidRPr="00AF18C8">
        <w:t xml:space="preserve"> </w:t>
      </w:r>
      <w:r w:rsidRPr="00002B7E">
        <w:rPr>
          <w:i/>
          <w:iCs/>
        </w:rPr>
        <w:t>Human Rights (Parliamentary Scrutiny) Act 2011</w:t>
      </w:r>
      <w:r w:rsidRPr="00AF18C8">
        <w:rPr>
          <w:i/>
          <w:iCs/>
        </w:rPr>
        <w:t xml:space="preserve"> </w:t>
      </w:r>
      <w:r>
        <w:rPr>
          <w:iCs/>
        </w:rPr>
        <w:t>(Cth) s 3(1)(a)</w:t>
      </w:r>
      <w:r>
        <w:t>–</w:t>
      </w:r>
      <w:r w:rsidRPr="00AF18C8">
        <w:rPr>
          <w:iCs/>
        </w:rPr>
        <w:t>(g).</w:t>
      </w:r>
    </w:p>
  </w:endnote>
  <w:endnote w:id="81">
    <w:p w:rsidR="00C3563C" w:rsidRDefault="00C3563C" w:rsidP="00B87D45">
      <w:pPr>
        <w:pStyle w:val="Testonotadichiusura"/>
      </w:pPr>
      <w:r>
        <w:rPr>
          <w:rStyle w:val="Rimandonotadichiusura"/>
        </w:rPr>
        <w:endnoteRef/>
      </w:r>
      <w:r>
        <w:t xml:space="preserve"> </w:t>
      </w:r>
      <w:r w:rsidRPr="00DD1C18">
        <w:t>Parliamentary Joint Committee on Human Rights</w:t>
      </w:r>
      <w:r>
        <w:t xml:space="preserve">, Parliament of Australia, </w:t>
      </w:r>
      <w:r w:rsidRPr="00DD1C18">
        <w:rPr>
          <w:i/>
        </w:rPr>
        <w:t>Guidance Note 1</w:t>
      </w:r>
      <w:r w:rsidRPr="001D4492">
        <w:rPr>
          <w:sz w:val="24"/>
          <w:szCs w:val="24"/>
        </w:rPr>
        <w:softHyphen/>
      </w:r>
      <w:r w:rsidRPr="001D4492">
        <w:rPr>
          <w:sz w:val="24"/>
          <w:szCs w:val="24"/>
        </w:rPr>
        <w:softHyphen/>
      </w:r>
      <w:r>
        <w:rPr>
          <w:sz w:val="24"/>
          <w:szCs w:val="24"/>
        </w:rPr>
        <w:t xml:space="preserve"> </w:t>
      </w:r>
      <w:r w:rsidRPr="001D4492">
        <w:rPr>
          <w:rFonts w:ascii="Helvetica" w:hAnsi="Helvetica"/>
          <w:color w:val="333333"/>
          <w:sz w:val="24"/>
          <w:szCs w:val="24"/>
          <w:shd w:val="clear" w:color="auto" w:fill="FFFFFF"/>
        </w:rPr>
        <w:t>—</w:t>
      </w:r>
      <w:r>
        <w:rPr>
          <w:rFonts w:ascii="Helvetica" w:hAnsi="Helvetica"/>
          <w:color w:val="333333"/>
          <w:sz w:val="24"/>
          <w:szCs w:val="24"/>
          <w:shd w:val="clear" w:color="auto" w:fill="FFFFFF"/>
        </w:rPr>
        <w:t xml:space="preserve"> </w:t>
      </w:r>
      <w:r w:rsidRPr="00DD1C18">
        <w:rPr>
          <w:i/>
        </w:rPr>
        <w:t>Drafting Statements of Compatibility</w:t>
      </w:r>
      <w:r>
        <w:t xml:space="preserve"> (2017); </w:t>
      </w:r>
      <w:r w:rsidRPr="00DD1C18">
        <w:t>Parliamentary Joint Committee on Human Rights</w:t>
      </w:r>
      <w:r>
        <w:t xml:space="preserve">, Parliament of Australia, </w:t>
      </w:r>
      <w:r w:rsidRPr="00DD1C18">
        <w:rPr>
          <w:i/>
        </w:rPr>
        <w:t xml:space="preserve">Guidance Note </w:t>
      </w:r>
      <w:r>
        <w:rPr>
          <w:i/>
        </w:rPr>
        <w:t xml:space="preserve">2 </w:t>
      </w:r>
      <w:r w:rsidRPr="001D4492">
        <w:rPr>
          <w:sz w:val="24"/>
          <w:szCs w:val="24"/>
        </w:rPr>
        <w:softHyphen/>
      </w:r>
      <w:r w:rsidRPr="001D4492">
        <w:rPr>
          <w:sz w:val="24"/>
          <w:szCs w:val="24"/>
        </w:rPr>
        <w:softHyphen/>
      </w:r>
      <w:r w:rsidRPr="001D4492">
        <w:rPr>
          <w:rFonts w:ascii="Helvetica" w:hAnsi="Helvetica"/>
          <w:color w:val="333333"/>
          <w:sz w:val="24"/>
          <w:szCs w:val="24"/>
          <w:shd w:val="clear" w:color="auto" w:fill="FFFFFF"/>
        </w:rPr>
        <w:t>—</w:t>
      </w:r>
      <w:r>
        <w:rPr>
          <w:rFonts w:ascii="Helvetica" w:hAnsi="Helvetica"/>
          <w:color w:val="333333"/>
          <w:sz w:val="24"/>
          <w:szCs w:val="24"/>
          <w:shd w:val="clear" w:color="auto" w:fill="FFFFFF"/>
        </w:rPr>
        <w:t xml:space="preserve"> </w:t>
      </w:r>
      <w:r w:rsidRPr="00673E06">
        <w:rPr>
          <w:i/>
        </w:rPr>
        <w:t xml:space="preserve">Offence provisions, civil penalties and human rights </w:t>
      </w:r>
      <w:r>
        <w:t xml:space="preserve">(2017). At </w:t>
      </w:r>
      <w:hyperlink r:id="rId58" w:history="1">
        <w:r w:rsidRPr="007B6B4B">
          <w:rPr>
            <w:rStyle w:val="Collegamentoipertestuale"/>
          </w:rPr>
          <w:t>http://www.aph.gov.au/Parliamentary_Business/Committees/Joint/Human_Rights/Guidance_Notes_and_Resources</w:t>
        </w:r>
      </w:hyperlink>
      <w:r>
        <w:t xml:space="preserve"> (viewed 12 September 2017).</w:t>
      </w:r>
    </w:p>
  </w:endnote>
  <w:endnote w:id="82">
    <w:p w:rsidR="00C3563C" w:rsidRDefault="00C3563C" w:rsidP="00B87D45">
      <w:pPr>
        <w:pStyle w:val="Testonotadichiusura"/>
      </w:pPr>
      <w:r>
        <w:rPr>
          <w:rStyle w:val="Rimandonotadichiusura"/>
        </w:rPr>
        <w:endnoteRef/>
      </w:r>
      <w:r>
        <w:t xml:space="preserve"> </w:t>
      </w:r>
      <w:r w:rsidRPr="00DD1C18">
        <w:t>Parliamentary Joint Committee on Human Rights</w:t>
      </w:r>
      <w:r>
        <w:t xml:space="preserve">, Parliament of Australia, </w:t>
      </w:r>
      <w:r w:rsidRPr="00673E06">
        <w:rPr>
          <w:i/>
        </w:rPr>
        <w:t>Guide to Human Rights</w:t>
      </w:r>
      <w:r w:rsidRPr="00673E06">
        <w:t xml:space="preserve"> </w:t>
      </w:r>
      <w:r>
        <w:t xml:space="preserve">(2017). At </w:t>
      </w:r>
      <w:hyperlink r:id="rId59" w:history="1">
        <w:r w:rsidRPr="007B6B4B">
          <w:rPr>
            <w:rStyle w:val="Collegamentoipertestuale"/>
          </w:rPr>
          <w:t>http://www.aph.gov.au/Parliamentary_Business/Committees/Joint/Human_Rights/Guidance_Notes_and_Resources</w:t>
        </w:r>
      </w:hyperlink>
      <w:r>
        <w:t xml:space="preserve"> (viewed 12 September 2017). </w:t>
      </w:r>
    </w:p>
  </w:endnote>
  <w:endnote w:id="83">
    <w:p w:rsidR="00C3563C" w:rsidRPr="000905DE" w:rsidRDefault="00C3563C" w:rsidP="00B87D45">
      <w:pPr>
        <w:pStyle w:val="Testonotadichiusura"/>
      </w:pPr>
      <w:r w:rsidRPr="005E1F82">
        <w:rPr>
          <w:rStyle w:val="Rimandonotadichiusura"/>
        </w:rPr>
        <w:endnoteRef/>
      </w:r>
      <w:r w:rsidRPr="005E1F82">
        <w:t xml:space="preserve"> Parliament of Australia, </w:t>
      </w:r>
      <w:r w:rsidRPr="005E1F82">
        <w:rPr>
          <w:i/>
        </w:rPr>
        <w:t>Parliamentary Joint Committee on Human Rights</w:t>
      </w:r>
      <w:r w:rsidRPr="005E1F82">
        <w:t xml:space="preserve"> </w:t>
      </w:r>
      <w:r w:rsidRPr="005E1F82">
        <w:rPr>
          <w:i/>
        </w:rPr>
        <w:t>Committee Membership</w:t>
      </w:r>
      <w:r>
        <w:rPr>
          <w:i/>
        </w:rPr>
        <w:t xml:space="preserve">. </w:t>
      </w:r>
      <w:r w:rsidRPr="000905DE">
        <w:t xml:space="preserve">At </w:t>
      </w:r>
      <w:hyperlink r:id="rId60" w:history="1">
        <w:r w:rsidRPr="003F1C16">
          <w:rPr>
            <w:rStyle w:val="Collegamentoipertestuale"/>
          </w:rPr>
          <w:t>http://www.aph.gov.au/Parliamentary_Business/Committees/Joint/Human_Rights/Committee_Membership</w:t>
        </w:r>
      </w:hyperlink>
      <w:r w:rsidRPr="000905DE">
        <w:rPr>
          <w:rStyle w:val="Collegamentoipertestuale"/>
          <w:u w:val="none"/>
        </w:rPr>
        <w:t xml:space="preserve"> (viewed 12 September 2017)</w:t>
      </w:r>
      <w:r>
        <w:rPr>
          <w:rStyle w:val="Collegamentoipertestuale"/>
          <w:u w:val="none"/>
        </w:rPr>
        <w:t>.</w:t>
      </w:r>
    </w:p>
  </w:endnote>
  <w:endnote w:id="84">
    <w:p w:rsidR="00C3563C" w:rsidRDefault="00C3563C" w:rsidP="00B87D45">
      <w:pPr>
        <w:pStyle w:val="Testonotadichiusura"/>
      </w:pPr>
      <w:r>
        <w:rPr>
          <w:rStyle w:val="Rimandonotadichiusura"/>
        </w:rPr>
        <w:endnoteRef/>
      </w:r>
      <w:r>
        <w:t xml:space="preserve"> </w:t>
      </w:r>
      <w:r w:rsidRPr="00DD1C18">
        <w:t>Parliamentary Joint Committee on Human Rights</w:t>
      </w:r>
      <w:r>
        <w:t xml:space="preserve">, Parliament of Australia, </w:t>
      </w:r>
      <w:r w:rsidRPr="00DD1C18">
        <w:rPr>
          <w:i/>
        </w:rPr>
        <w:t>Guidance Note 1</w:t>
      </w:r>
      <w:r w:rsidRPr="001D4492">
        <w:rPr>
          <w:sz w:val="24"/>
          <w:szCs w:val="24"/>
        </w:rPr>
        <w:softHyphen/>
      </w:r>
      <w:r w:rsidRPr="001D4492">
        <w:rPr>
          <w:sz w:val="24"/>
          <w:szCs w:val="24"/>
        </w:rPr>
        <w:softHyphen/>
      </w:r>
      <w:r w:rsidRPr="001D4492">
        <w:rPr>
          <w:rFonts w:ascii="Helvetica" w:hAnsi="Helvetica"/>
          <w:color w:val="333333"/>
          <w:sz w:val="24"/>
          <w:szCs w:val="24"/>
          <w:shd w:val="clear" w:color="auto" w:fill="FFFFFF"/>
        </w:rPr>
        <w:t>—</w:t>
      </w:r>
      <w:r w:rsidRPr="00DD1C18">
        <w:rPr>
          <w:i/>
        </w:rPr>
        <w:t>Drafting Statements of Compatibility</w:t>
      </w:r>
      <w:r>
        <w:t xml:space="preserve"> (2017) 4. At </w:t>
      </w:r>
      <w:hyperlink r:id="rId61" w:history="1">
        <w:r w:rsidRPr="007B6B4B">
          <w:rPr>
            <w:rStyle w:val="Collegamentoipertestuale"/>
          </w:rPr>
          <w:t>http://www.aph.gov.au/Parliamentary_Business/Committees/Joint/Human_Rights/Guidance_Notes_and_Resources</w:t>
        </w:r>
      </w:hyperlink>
      <w:r>
        <w:t xml:space="preserve"> (viewed 12 September 2017).</w:t>
      </w:r>
    </w:p>
  </w:endnote>
  <w:endnote w:id="85">
    <w:p w:rsidR="00C3563C" w:rsidRDefault="00C3563C" w:rsidP="00B87D45">
      <w:pPr>
        <w:pStyle w:val="Testonotadichiusura"/>
      </w:pPr>
      <w:r>
        <w:rPr>
          <w:rStyle w:val="Rimandonotadichiusura"/>
        </w:rPr>
        <w:endnoteRef/>
      </w:r>
      <w:r>
        <w:t xml:space="preserve"> Parliament of Australia, </w:t>
      </w:r>
      <w:r w:rsidRPr="00367DC4">
        <w:rPr>
          <w:i/>
        </w:rPr>
        <w:t xml:space="preserve">Parliamentary Joint Committee on Human Rights </w:t>
      </w:r>
      <w:r w:rsidRPr="008D0482">
        <w:rPr>
          <w:i/>
        </w:rPr>
        <w:t xml:space="preserve">Committee </w:t>
      </w:r>
      <w:r>
        <w:rPr>
          <w:i/>
        </w:rPr>
        <w:t>Reports</w:t>
      </w:r>
      <w:r>
        <w:t xml:space="preserve">. At </w:t>
      </w:r>
      <w:hyperlink r:id="rId62" w:history="1">
        <w:r w:rsidRPr="00F56914">
          <w:rPr>
            <w:rStyle w:val="Collegamentoipertestuale"/>
          </w:rPr>
          <w:t>https://www.aph.gov.au/Parliamentary_Business/Committees/Joint/Human_Rights/Committee_Inquiries</w:t>
        </w:r>
      </w:hyperlink>
      <w:r>
        <w:t xml:space="preserve"> (viewed 12 September 2017). </w:t>
      </w:r>
    </w:p>
  </w:endnote>
  <w:endnote w:id="86">
    <w:p w:rsidR="00C3563C" w:rsidRDefault="00C3563C" w:rsidP="00B87D45">
      <w:pPr>
        <w:pStyle w:val="Testonotadichiusura"/>
      </w:pPr>
      <w:r>
        <w:rPr>
          <w:rStyle w:val="Rimandonotadichiusura"/>
        </w:rPr>
        <w:endnoteRef/>
      </w:r>
      <w:r>
        <w:t xml:space="preserve"> Parliament of Australia</w:t>
      </w:r>
      <w:r w:rsidRPr="000905DE">
        <w:t>, Family Assistance Legislation Amendment (Jobs for Families Child Care Package) Bill 2016</w:t>
      </w:r>
      <w:r>
        <w:t xml:space="preserve"> (Cth): Bill Progress (2017). At </w:t>
      </w:r>
      <w:hyperlink r:id="rId63" w:history="1">
        <w:r w:rsidRPr="00245B06">
          <w:rPr>
            <w:rStyle w:val="Collegamentoipertestuale"/>
          </w:rPr>
          <w:t>http://www.aph.gov.au/Parliamentary_Business/Bills_Legislation/Bills_Search_Results/Result?bId=r5696</w:t>
        </w:r>
      </w:hyperlink>
      <w:r>
        <w:t xml:space="preserve"> (viewed 12 September 2017). </w:t>
      </w:r>
    </w:p>
  </w:endnote>
  <w:endnote w:id="87">
    <w:p w:rsidR="00C3563C" w:rsidRDefault="00C3563C" w:rsidP="00B87D45">
      <w:pPr>
        <w:pStyle w:val="Testonotadichiusura"/>
      </w:pPr>
      <w:r>
        <w:rPr>
          <w:rStyle w:val="Rimandonotadichiusura"/>
        </w:rPr>
        <w:endnoteRef/>
      </w:r>
      <w:r>
        <w:t xml:space="preserve"> Explanatory Memorandum, </w:t>
      </w:r>
      <w:r w:rsidRPr="00283BF6">
        <w:t>Family Assistance Legislation Amendment (Jobs for Families Child Care Package) Bill 2016</w:t>
      </w:r>
      <w:r>
        <w:t xml:space="preserve"> (Cth) 2.</w:t>
      </w:r>
    </w:p>
  </w:endnote>
  <w:endnote w:id="88">
    <w:p w:rsidR="00C3563C" w:rsidRDefault="00C3563C" w:rsidP="00B87D45">
      <w:pPr>
        <w:pStyle w:val="Testonotadichiusura"/>
      </w:pPr>
      <w:r>
        <w:rPr>
          <w:rStyle w:val="Rimandonotadichiusura"/>
        </w:rPr>
        <w:endnoteRef/>
      </w:r>
      <w:r>
        <w:t xml:space="preserve"> Family Assistance Legislation Amendment (Jobs for Families Child Care Package) Bill 2016 (Cth) sch 1; Explanatory Memorandum, Family Assistance Legislation Amendment (Jobs for Families Child Care Package) Bill 2016 (Cth) 2. </w:t>
      </w:r>
    </w:p>
  </w:endnote>
  <w:endnote w:id="89">
    <w:p w:rsidR="00C3563C" w:rsidRDefault="00C3563C" w:rsidP="00B87D45">
      <w:pPr>
        <w:pStyle w:val="Testonotadichiusura"/>
      </w:pPr>
      <w:r>
        <w:rPr>
          <w:rStyle w:val="Rimandonotadichiusura"/>
        </w:rPr>
        <w:endnoteRef/>
      </w:r>
      <w:r>
        <w:t xml:space="preserve"> Family Assistance Legislation Amendment (Jobs for Families Child Care Package) Bill 2016 (Cth) sch 1; Explanatory Memorandum, Family Assistance Legislation Amendment (Jobs for Families Child Care Package) Bill 2016 (Cth) 15.  </w:t>
      </w:r>
    </w:p>
  </w:endnote>
  <w:endnote w:id="90">
    <w:p w:rsidR="00C3563C" w:rsidRDefault="00C3563C" w:rsidP="00B87D45">
      <w:pPr>
        <w:pStyle w:val="Testonotadichiusura"/>
      </w:pPr>
      <w:r>
        <w:rPr>
          <w:rStyle w:val="Rimandonotadichiusura"/>
        </w:rPr>
        <w:endnoteRef/>
      </w:r>
      <w:r>
        <w:t xml:space="preserve"> Parliament of Australia, Family Assistance Legislation Amendment (Jobs for Families Child Care Package) Bill 2016 (Cth): Bill Progress (2017). At </w:t>
      </w:r>
      <w:hyperlink r:id="rId64" w:history="1">
        <w:r w:rsidRPr="00245B06">
          <w:rPr>
            <w:rStyle w:val="Collegamentoipertestuale"/>
          </w:rPr>
          <w:t>http://www.aph.gov.au/Parliamentary_Business/Bills_Legislation/Bills_Search_Results/Result?bId=r5696</w:t>
        </w:r>
      </w:hyperlink>
      <w:r>
        <w:t xml:space="preserve"> (viewed 12 September 2017). </w:t>
      </w:r>
    </w:p>
  </w:endnote>
  <w:endnote w:id="91">
    <w:p w:rsidR="00C3563C" w:rsidRDefault="00C3563C" w:rsidP="00B87D45">
      <w:pPr>
        <w:pStyle w:val="Testonotadichiusura"/>
      </w:pPr>
      <w:r>
        <w:rPr>
          <w:rStyle w:val="Rimandonotadichiusura"/>
        </w:rPr>
        <w:endnoteRef/>
      </w:r>
      <w:r>
        <w:t xml:space="preserve"> Australian Human Rights Commission, </w:t>
      </w:r>
      <w:r w:rsidRPr="009A2B60">
        <w:t>Submission No 44</w:t>
      </w:r>
      <w:r>
        <w:t xml:space="preserve"> to the Senate Education and Employment Legislation Committee, </w:t>
      </w:r>
      <w:r w:rsidRPr="00681A56">
        <w:rPr>
          <w:i/>
        </w:rPr>
        <w:t>Inquiry into the Family Assistance Legislation Amendment (Jobs for Families Child Care Package) Bill 2016</w:t>
      </w:r>
      <w:r>
        <w:t xml:space="preserve">, 2 February 2016. At </w:t>
      </w:r>
      <w:hyperlink r:id="rId65" w:history="1">
        <w:r w:rsidRPr="000F68B0">
          <w:rPr>
            <w:rStyle w:val="Collegamentoipertestuale"/>
          </w:rPr>
          <w:t>http://www.aph.gov.au/Parliamentary_Business/Committees/Senate/Education_and_Employment/JobsforFamilies45th/Submissions</w:t>
        </w:r>
      </w:hyperlink>
      <w:r>
        <w:t xml:space="preserve"> (viewed 8 November 2017). </w:t>
      </w:r>
    </w:p>
  </w:endnote>
  <w:endnote w:id="92">
    <w:p w:rsidR="00C3563C" w:rsidRDefault="00C3563C" w:rsidP="00B87D45">
      <w:pPr>
        <w:pStyle w:val="Testonotadichiusura"/>
      </w:pPr>
      <w:r>
        <w:rPr>
          <w:rStyle w:val="Rimandonotadichiusura"/>
        </w:rPr>
        <w:endnoteRef/>
      </w:r>
      <w:r>
        <w:t xml:space="preserve"> Australian Human Rights Commission, </w:t>
      </w:r>
      <w:r w:rsidRPr="009A2B60">
        <w:t>Submission No 44</w:t>
      </w:r>
      <w:r>
        <w:t xml:space="preserve"> to the Senate Education and Employment Legislation Committee, Parliament of Australia, </w:t>
      </w:r>
      <w:r w:rsidRPr="00283BF6">
        <w:rPr>
          <w:i/>
        </w:rPr>
        <w:t>Inquiry into the Family Assistance Legislation Amendment (Jobs for Families Child Care Package) Bill 2016</w:t>
      </w:r>
      <w:r>
        <w:t xml:space="preserve">, 2 February 2016, Recommendations </w:t>
      </w:r>
      <w:r w:rsidRPr="00896F8A">
        <w:t>1–5. At</w:t>
      </w:r>
      <w:r>
        <w:t xml:space="preserve"> </w:t>
      </w:r>
      <w:hyperlink r:id="rId66" w:history="1">
        <w:r w:rsidRPr="000F68B0">
          <w:rPr>
            <w:rStyle w:val="Collegamentoipertestuale"/>
          </w:rPr>
          <w:t>http://www.aph.gov.au/Parliamentary_Business/Committees/Senate/Education_and_Employment/JobsforFamilies45th/Submissions</w:t>
        </w:r>
      </w:hyperlink>
      <w:r>
        <w:t xml:space="preserve"> (viewed 12 September 2017).</w:t>
      </w:r>
    </w:p>
  </w:endnote>
  <w:endnote w:id="93">
    <w:p w:rsidR="00C3563C" w:rsidRDefault="00C3563C" w:rsidP="00B87D45">
      <w:pPr>
        <w:pStyle w:val="Testonotadichiusura"/>
      </w:pPr>
      <w:r>
        <w:rPr>
          <w:rStyle w:val="Rimandonotadichiusura"/>
        </w:rPr>
        <w:endnoteRef/>
      </w:r>
      <w:r>
        <w:t xml:space="preserve"> Senate Education and Employment Committee, Family Assistance Legislation Amendment (Jobs for Families Child Care Package) Bill 2016 (Cth), recommendation 1, 29. At </w:t>
      </w:r>
      <w:hyperlink r:id="rId67" w:history="1">
        <w:r w:rsidRPr="0031555A">
          <w:rPr>
            <w:rStyle w:val="Collegamentoipertestuale"/>
          </w:rPr>
          <w:t>http://www.aph.gov.au/Parliamentary_Business/Committees/Senate/Education_and_Employment/JobsforFamilies45th/Report</w:t>
        </w:r>
      </w:hyperlink>
      <w:r>
        <w:t xml:space="preserve"> (viewed 12 September 2017). </w:t>
      </w:r>
    </w:p>
  </w:endnote>
  <w:endnote w:id="94">
    <w:p w:rsidR="00C3563C" w:rsidRDefault="00C3563C" w:rsidP="00B87D45">
      <w:pPr>
        <w:pStyle w:val="Testonotadichiusura"/>
      </w:pPr>
      <w:r>
        <w:rPr>
          <w:rStyle w:val="Rimandonotadichiusura"/>
        </w:rPr>
        <w:endnoteRef/>
      </w:r>
      <w:r>
        <w:t xml:space="preserve"> Parliamentary Joint Committee on Human Rights, Parliament of Australia, </w:t>
      </w:r>
      <w:r w:rsidRPr="00B64EF3">
        <w:rPr>
          <w:i/>
        </w:rPr>
        <w:t>Report 8 of 2016</w:t>
      </w:r>
      <w:r>
        <w:t xml:space="preserve"> (2016) 99. At</w:t>
      </w:r>
      <w:r w:rsidRPr="00B64EF3">
        <w:t xml:space="preserve"> </w:t>
      </w:r>
      <w:hyperlink r:id="rId68" w:history="1">
        <w:r w:rsidRPr="000F68B0">
          <w:rPr>
            <w:rStyle w:val="Collegamentoipertestuale"/>
          </w:rPr>
          <w:t>http://www.aph.gov.au/Parliamentary_Business/Committees/Joint/Human_Rights/Scrutiny_reports/2016</w:t>
        </w:r>
      </w:hyperlink>
      <w:r>
        <w:t xml:space="preserve"> (viewed 12 September 2017).</w:t>
      </w:r>
    </w:p>
  </w:endnote>
  <w:endnote w:id="95">
    <w:p w:rsidR="00C3563C" w:rsidRDefault="00C3563C" w:rsidP="00B87D45">
      <w:pPr>
        <w:pStyle w:val="Testonotadichiusura"/>
      </w:pPr>
      <w:r>
        <w:rPr>
          <w:rStyle w:val="Rimandonotadichiusura"/>
        </w:rPr>
        <w:endnoteRef/>
      </w:r>
      <w:r>
        <w:t xml:space="preserve"> Parliament of Australia, Family Assistance Legislation Amendment (Jobs for Families Child Care Package) Bill 2016 (Cth): Bill Progress (2017). At </w:t>
      </w:r>
      <w:hyperlink r:id="rId69" w:history="1">
        <w:r w:rsidRPr="0031555A">
          <w:rPr>
            <w:rStyle w:val="Collegamentoipertestuale"/>
          </w:rPr>
          <w:t>http://www.aph.gov.au/Parliamentary_Business/Bills_LEGislation/Bills_Search_Results/Result?bId=r5696</w:t>
        </w:r>
      </w:hyperlink>
      <w:r>
        <w:t xml:space="preserve"> (viewed 12 September 2017).</w:t>
      </w:r>
    </w:p>
  </w:endnote>
  <w:endnote w:id="96">
    <w:p w:rsidR="00C3563C" w:rsidRDefault="00C3563C" w:rsidP="00B87D45">
      <w:pPr>
        <w:pStyle w:val="Testonotadichiusura"/>
      </w:pPr>
      <w:r>
        <w:rPr>
          <w:rStyle w:val="Rimandonotadichiusura"/>
        </w:rPr>
        <w:endnoteRef/>
      </w:r>
      <w:r>
        <w:t xml:space="preserve"> Explanatory Memorandum, Family Assistance Legislation Amendment (Jobs for Families Child Care Package) Bill 2016 (Cth) 2.</w:t>
      </w:r>
    </w:p>
  </w:endnote>
  <w:endnote w:id="97">
    <w:p w:rsidR="00C3563C" w:rsidRDefault="00C3563C" w:rsidP="00B87D45">
      <w:pPr>
        <w:pStyle w:val="Testonotadichiusura"/>
      </w:pPr>
      <w:r>
        <w:rPr>
          <w:rStyle w:val="Rimandonotadichiusura"/>
        </w:rPr>
        <w:endnoteRef/>
      </w:r>
      <w:r>
        <w:t xml:space="preserve"> Parliament of Australia, Social Services Legislation Amendment (Omnibus Savings and Child Care Reform) Bill 2017 (Cth): Bill progress 2017. At</w:t>
      </w:r>
      <w:r w:rsidRPr="00AE68C0">
        <w:t xml:space="preserve"> </w:t>
      </w:r>
      <w:hyperlink r:id="rId70" w:history="1">
        <w:r w:rsidRPr="000F68B0">
          <w:rPr>
            <w:rStyle w:val="Collegamentoipertestuale"/>
          </w:rPr>
          <w:t>http://www.aph.gov.au/Parliamentary_Business/Bills_Legislation/Bills_Search_Results/Result?bId=r5798</w:t>
        </w:r>
      </w:hyperlink>
      <w:r>
        <w:t xml:space="preserve"> (viewed 12 September 2017).</w:t>
      </w:r>
    </w:p>
  </w:endnote>
  <w:endnote w:id="98">
    <w:p w:rsidR="00C3563C" w:rsidRDefault="00C3563C" w:rsidP="00B87D45">
      <w:pPr>
        <w:pStyle w:val="Testonotadichiusura"/>
      </w:pPr>
      <w:r>
        <w:rPr>
          <w:rStyle w:val="Rimandonotadichiusura"/>
        </w:rPr>
        <w:endnoteRef/>
      </w:r>
      <w:r>
        <w:t xml:space="preserve"> Explanatory Memorandum, Social Services Legislation Amendment (Omnibus Savings and Child Care Reform) Bill 2017 (Cth) schs </w:t>
      </w:r>
      <w:r w:rsidRPr="00690F25">
        <w:t>1–18</w:t>
      </w:r>
      <w:r>
        <w:t>.</w:t>
      </w:r>
    </w:p>
  </w:endnote>
  <w:endnote w:id="99">
    <w:p w:rsidR="00C3563C" w:rsidRDefault="00C3563C" w:rsidP="00B87D45">
      <w:pPr>
        <w:pStyle w:val="Testonotadichiusura"/>
      </w:pPr>
      <w:r>
        <w:rPr>
          <w:rStyle w:val="Rimandonotadichiusura"/>
        </w:rPr>
        <w:endnoteRef/>
      </w:r>
      <w:r>
        <w:t xml:space="preserve"> Explanatory Memorandum, Social Services Legislation Amendment (Omnibus Savings and Child Care Reform) Bill 2017 (Cth) 210.</w:t>
      </w:r>
    </w:p>
  </w:endnote>
  <w:endnote w:id="100">
    <w:p w:rsidR="00C3563C" w:rsidRDefault="00C3563C" w:rsidP="00B87D45">
      <w:pPr>
        <w:pStyle w:val="Testonotadichiusura"/>
      </w:pPr>
      <w:r>
        <w:rPr>
          <w:rStyle w:val="Rimandonotadichiusura"/>
        </w:rPr>
        <w:endnoteRef/>
      </w:r>
      <w:r>
        <w:t xml:space="preserve"> Senate Community Affairs Legislation Committee, Parliament of Australia,</w:t>
      </w:r>
      <w:r w:rsidRPr="00AF2C52">
        <w:t xml:space="preserve"> </w:t>
      </w:r>
      <w:r w:rsidRPr="00333692">
        <w:rPr>
          <w:i/>
        </w:rPr>
        <w:t>Social Services Legislation Amendment (Omnibus Savings and Child Care Reform) Bill 2017</w:t>
      </w:r>
      <w:r>
        <w:t xml:space="preserve">. At  </w:t>
      </w:r>
      <w:hyperlink r:id="rId71" w:history="1">
        <w:r w:rsidRPr="000F68B0">
          <w:rPr>
            <w:rStyle w:val="Collegamentoipertestuale"/>
          </w:rPr>
          <w:t>http://www.aph.gov.au/Parliamentary_Business/Committees/Senate/Community_Affairs/OmnibusSavingsReform/Report</w:t>
        </w:r>
      </w:hyperlink>
      <w:r>
        <w:t xml:space="preserve"> (viewed 12 September 2017). </w:t>
      </w:r>
    </w:p>
  </w:endnote>
  <w:endnote w:id="101">
    <w:p w:rsidR="00C3563C" w:rsidRDefault="00C3563C" w:rsidP="00B87D45">
      <w:pPr>
        <w:pStyle w:val="Testonotadichiusura"/>
      </w:pPr>
      <w:r>
        <w:rPr>
          <w:rStyle w:val="Rimandonotadichiusura"/>
        </w:rPr>
        <w:endnoteRef/>
      </w:r>
      <w:r>
        <w:t xml:space="preserve"> Senate Community Affairs Legislation Committee,</w:t>
      </w:r>
      <w:r w:rsidRPr="00AF2C52">
        <w:t xml:space="preserve"> </w:t>
      </w:r>
      <w:r>
        <w:t xml:space="preserve">Parliament of Australia, </w:t>
      </w:r>
      <w:r w:rsidRPr="00283BF6">
        <w:rPr>
          <w:i/>
        </w:rPr>
        <w:t>Social Services Legislation Amendment (Omnibus Savings and Child Care Reform) Bill 2017</w:t>
      </w:r>
      <w:r>
        <w:t>,</w:t>
      </w:r>
      <w:r w:rsidRPr="00283BF6">
        <w:t xml:space="preserve"> </w:t>
      </w:r>
      <w:r>
        <w:t>Recommendations</w:t>
      </w:r>
      <w:r w:rsidRPr="00C2427B">
        <w:t xml:space="preserve"> 1–4</w:t>
      </w:r>
      <w:r>
        <w:rPr>
          <w:sz w:val="22"/>
          <w:szCs w:val="22"/>
        </w:rPr>
        <w:t>,</w:t>
      </w:r>
      <w:r>
        <w:t xml:space="preserve"> 40. At </w:t>
      </w:r>
      <w:hyperlink r:id="rId72" w:history="1">
        <w:r w:rsidRPr="000F68B0">
          <w:rPr>
            <w:rStyle w:val="Collegamentoipertestuale"/>
          </w:rPr>
          <w:t>http://www.aph.gov.au/Parliamentary_Business/Committees/Senate/Community_Affairs/OmnibusSavingsReform/Report</w:t>
        </w:r>
      </w:hyperlink>
      <w:r>
        <w:t xml:space="preserve"> (viewed 12 September 2017).</w:t>
      </w:r>
    </w:p>
  </w:endnote>
  <w:endnote w:id="102">
    <w:p w:rsidR="00C3563C" w:rsidRDefault="00C3563C" w:rsidP="00B87D45">
      <w:pPr>
        <w:pStyle w:val="Testonotadichiusura"/>
      </w:pPr>
      <w:r>
        <w:rPr>
          <w:rStyle w:val="Rimandonotadichiusura"/>
        </w:rPr>
        <w:endnoteRef/>
      </w:r>
      <w:r>
        <w:t xml:space="preserve"> Senate Community Affairs Legislation Committee,</w:t>
      </w:r>
      <w:r w:rsidRPr="00AF2C52">
        <w:t xml:space="preserve"> </w:t>
      </w:r>
      <w:r w:rsidRPr="004B6504">
        <w:rPr>
          <w:i/>
        </w:rPr>
        <w:t>Social Services Legislation Amendment (Omnibus Savings and Child Care Reform) Bill 2017</w:t>
      </w:r>
      <w:r>
        <w:t xml:space="preserve">, Recommendation 1, 57. At </w:t>
      </w:r>
      <w:hyperlink r:id="rId73" w:history="1">
        <w:r w:rsidRPr="000F68B0">
          <w:rPr>
            <w:rStyle w:val="Collegamentoipertestuale"/>
          </w:rPr>
          <w:t>http://www.aph.gov.au/Parliamentary_Business/Committees/Senate/Community_Affairs/OmnibusSavingsReform/Report</w:t>
        </w:r>
      </w:hyperlink>
      <w:r>
        <w:t xml:space="preserve"> (viewed 12 September 2017).</w:t>
      </w:r>
    </w:p>
  </w:endnote>
  <w:endnote w:id="103">
    <w:p w:rsidR="00C3563C" w:rsidRDefault="00C3563C" w:rsidP="00B87D45">
      <w:pPr>
        <w:pStyle w:val="Testonotadichiusura"/>
      </w:pPr>
      <w:r>
        <w:rPr>
          <w:rStyle w:val="Rimandonotadichiusura"/>
        </w:rPr>
        <w:endnoteRef/>
      </w:r>
      <w:r>
        <w:t xml:space="preserve"> Senate Community Affairs Legislation Committee,</w:t>
      </w:r>
      <w:r w:rsidRPr="00AF2C52">
        <w:t xml:space="preserve"> </w:t>
      </w:r>
      <w:r w:rsidRPr="004B6504">
        <w:rPr>
          <w:i/>
        </w:rPr>
        <w:t>Social Services Legislation Amendment (Omnibus Savings and Child Care Reform) Bill 2017</w:t>
      </w:r>
      <w:r>
        <w:rPr>
          <w:i/>
        </w:rPr>
        <w:t>,</w:t>
      </w:r>
      <w:r>
        <w:t xml:space="preserve"> recommendation 1,</w:t>
      </w:r>
      <w:r w:rsidRPr="00C2427B">
        <w:t xml:space="preserve"> 26–27</w:t>
      </w:r>
      <w:r>
        <w:t xml:space="preserve">. At </w:t>
      </w:r>
      <w:hyperlink r:id="rId74" w:history="1">
        <w:r w:rsidRPr="000F68B0">
          <w:rPr>
            <w:rStyle w:val="Collegamentoipertestuale"/>
          </w:rPr>
          <w:t>http://www.aph.gov.au/Parliamentary_Business/Committees/Senate/Community_Affairs/OmnibusSavingsReform/Report</w:t>
        </w:r>
      </w:hyperlink>
      <w:r>
        <w:t xml:space="preserve"> (viewed 12 September 2017).</w:t>
      </w:r>
    </w:p>
  </w:endnote>
  <w:endnote w:id="104">
    <w:p w:rsidR="00C3563C" w:rsidRDefault="00C3563C" w:rsidP="00B87D45">
      <w:pPr>
        <w:pStyle w:val="Testonotadichiusura"/>
      </w:pPr>
      <w:r>
        <w:rPr>
          <w:rStyle w:val="Rimandonotadichiusura"/>
        </w:rPr>
        <w:endnoteRef/>
      </w:r>
      <w:r>
        <w:t xml:space="preserve"> Parliament of Australia, Social Services Legislation Amendment (Omnibus Savings and Child Care Reform) Bill 2017: Bill progress 2017. At</w:t>
      </w:r>
      <w:r w:rsidRPr="00AE68C0">
        <w:t xml:space="preserve"> </w:t>
      </w:r>
      <w:hyperlink r:id="rId75" w:history="1">
        <w:r w:rsidRPr="000F68B0">
          <w:rPr>
            <w:rStyle w:val="Collegamentoipertestuale"/>
          </w:rPr>
          <w:t>http://www.aph.gov.au/Parliamentary_Business/Bills_Legislation/Bills_Search_Results/Result?bId=r5798</w:t>
        </w:r>
      </w:hyperlink>
      <w:r>
        <w:t xml:space="preserve"> (viewed 16 October 2017).</w:t>
      </w:r>
    </w:p>
  </w:endnote>
  <w:endnote w:id="105">
    <w:p w:rsidR="00C3563C" w:rsidRDefault="00C3563C" w:rsidP="00B87D45">
      <w:pPr>
        <w:pStyle w:val="Testonotadichiusura"/>
      </w:pPr>
      <w:r>
        <w:rPr>
          <w:rStyle w:val="Rimandonotadichiusura"/>
        </w:rPr>
        <w:endnoteRef/>
      </w:r>
      <w:r>
        <w:t xml:space="preserve"> Explanatory Memorandum, Social Services Legislation Amendment Bill 2017 (Cth) 19. </w:t>
      </w:r>
    </w:p>
  </w:endnote>
  <w:endnote w:id="106">
    <w:p w:rsidR="00C3563C" w:rsidRDefault="00C3563C" w:rsidP="00B87D45">
      <w:pPr>
        <w:pStyle w:val="Testonotadichiusura"/>
      </w:pPr>
      <w:r>
        <w:rPr>
          <w:rStyle w:val="Rimandonotadichiusura"/>
        </w:rPr>
        <w:endnoteRef/>
      </w:r>
      <w:r>
        <w:t xml:space="preserve"> Parliamentary Joint Committee on Human Rights, Parliament of Australia, </w:t>
      </w:r>
      <w:r w:rsidRPr="00F17FD1">
        <w:rPr>
          <w:i/>
        </w:rPr>
        <w:t>Report 4 of 2017</w:t>
      </w:r>
      <w:r>
        <w:t xml:space="preserve"> (2017) 38.</w:t>
      </w:r>
    </w:p>
  </w:endnote>
  <w:endnote w:id="107">
    <w:p w:rsidR="00C3563C" w:rsidRDefault="00C3563C" w:rsidP="00B87D45">
      <w:pPr>
        <w:pStyle w:val="Testonotadichiusura"/>
      </w:pPr>
      <w:r>
        <w:rPr>
          <w:rStyle w:val="Rimandonotadichiusura"/>
        </w:rPr>
        <w:endnoteRef/>
      </w:r>
      <w:r>
        <w:t xml:space="preserve"> Parliamentary Joint Committee on Human Rights, Parliament of Australia, </w:t>
      </w:r>
      <w:r w:rsidRPr="00F17FD1">
        <w:rPr>
          <w:i/>
        </w:rPr>
        <w:t>Report 5 of 2017</w:t>
      </w:r>
      <w:r>
        <w:t xml:space="preserve"> (2017) 72. </w:t>
      </w:r>
    </w:p>
  </w:endnote>
  <w:endnote w:id="108">
    <w:p w:rsidR="00C3563C" w:rsidRDefault="00C3563C" w:rsidP="00B87D45">
      <w:pPr>
        <w:pStyle w:val="Testonotadichiusura"/>
      </w:pPr>
      <w:r>
        <w:rPr>
          <w:rStyle w:val="Rimandonotadichiusura"/>
        </w:rPr>
        <w:endnoteRef/>
      </w:r>
      <w:r>
        <w:t xml:space="preserve"> Parliament of Australia, Social Services Legislation Amendment Bill 2017 (Cth): Bill progress 2017. At </w:t>
      </w:r>
      <w:r w:rsidRPr="001234B5">
        <w:t xml:space="preserve"> </w:t>
      </w:r>
      <w:hyperlink r:id="rId76" w:history="1">
        <w:r w:rsidRPr="0031555A">
          <w:rPr>
            <w:rStyle w:val="Collegamentoipertestuale"/>
          </w:rPr>
          <w:t>http://www.aph.gov.au/Parliamentary_Business/Bills_Legislation/Bills_Search_Results/Result?bId=s1064</w:t>
        </w:r>
      </w:hyperlink>
      <w:r>
        <w:t xml:space="preserve"> (viewed 12 September 2017). </w:t>
      </w:r>
    </w:p>
  </w:endnote>
  <w:endnote w:id="109">
    <w:p w:rsidR="00C3563C" w:rsidRDefault="00C3563C" w:rsidP="00B87D45">
      <w:pPr>
        <w:pStyle w:val="Testonotadichiusura"/>
      </w:pPr>
      <w:r>
        <w:rPr>
          <w:rStyle w:val="Rimandonotadichiusura"/>
        </w:rPr>
        <w:endnoteRef/>
      </w:r>
      <w:r>
        <w:t xml:space="preserve"> Explanatory Memorandum, Criminal Code Amendment (Firearms Trafficking) Bill 2017 (Cth) 2. </w:t>
      </w:r>
    </w:p>
  </w:endnote>
  <w:endnote w:id="110">
    <w:p w:rsidR="00C3563C" w:rsidRDefault="00C3563C" w:rsidP="00B87D45">
      <w:pPr>
        <w:pStyle w:val="Testonotadichiusura"/>
      </w:pPr>
      <w:r>
        <w:rPr>
          <w:rStyle w:val="Rimandonotadichiusura"/>
        </w:rPr>
        <w:endnoteRef/>
      </w:r>
      <w:r>
        <w:t xml:space="preserve"> Explanatory Memorandum, Criminal Code Amendment (Firearms Trafficking) Bill 2017 (Cth) 3–5. </w:t>
      </w:r>
    </w:p>
  </w:endnote>
  <w:endnote w:id="111">
    <w:p w:rsidR="00C3563C" w:rsidRDefault="00C3563C" w:rsidP="00B87D45">
      <w:pPr>
        <w:pStyle w:val="Testonotadichiusura"/>
      </w:pPr>
      <w:r>
        <w:rPr>
          <w:rStyle w:val="Rimandonotadichiusura"/>
        </w:rPr>
        <w:endnoteRef/>
      </w:r>
      <w:r>
        <w:t xml:space="preserve"> Explanatory Memorandum. Criminal Code Amendment (Firearms Trafficking) Bill 2017 (Cth) 3–5</w:t>
      </w:r>
    </w:p>
  </w:endnote>
  <w:endnote w:id="112">
    <w:p w:rsidR="00C3563C" w:rsidRDefault="00C3563C" w:rsidP="00B87D45">
      <w:pPr>
        <w:pStyle w:val="Testonotadichiusura"/>
      </w:pPr>
      <w:r>
        <w:rPr>
          <w:rStyle w:val="Rimandonotadichiusura"/>
        </w:rPr>
        <w:endnoteRef/>
      </w:r>
      <w:r>
        <w:t xml:space="preserve"> Senate Legal and Constitutional Affairs Committee, Parliament of Australia, Criminal Code Amendment (Firearms Trafficking) Bill 2017, Recommendation 1, 3–5. At </w:t>
      </w:r>
      <w:hyperlink r:id="rId77" w:history="1">
        <w:r>
          <w:rPr>
            <w:rStyle w:val="Collegamentoipertestuale"/>
          </w:rPr>
          <w:t>http://www.aph.gov.au/Pa</w:t>
        </w:r>
        <w:r w:rsidRPr="0031555A">
          <w:rPr>
            <w:rStyle w:val="Collegamentoipertestuale"/>
          </w:rPr>
          <w:t>liamentary_Business/Committees/Senate/Legal_and_Constitutional_Affairs/FirearmsTraffickingBill/Report</w:t>
        </w:r>
      </w:hyperlink>
      <w:r>
        <w:t xml:space="preserve"> (viewed 12 September 2017).</w:t>
      </w:r>
    </w:p>
  </w:endnote>
  <w:endnote w:id="113">
    <w:p w:rsidR="00C3563C" w:rsidRDefault="00C3563C" w:rsidP="00B87D45">
      <w:pPr>
        <w:pStyle w:val="Testonotadichiusura"/>
      </w:pPr>
      <w:r>
        <w:rPr>
          <w:rStyle w:val="Rimandonotadichiusura"/>
        </w:rPr>
        <w:endnoteRef/>
      </w:r>
      <w:r>
        <w:t xml:space="preserve"> Senate Legal and Constitutional Affairs Committee, Criminal Code Amendment (Firearms Trafficking) Bill 2017 (Cth), </w:t>
      </w:r>
      <w:r w:rsidRPr="00896F8A">
        <w:t>Dissenting Reports,</w:t>
      </w:r>
      <w:r>
        <w:t xml:space="preserve"> 7–9. At </w:t>
      </w:r>
      <w:hyperlink r:id="rId78" w:history="1">
        <w:r w:rsidRPr="0031555A">
          <w:rPr>
            <w:rStyle w:val="Collegamentoipertestuale"/>
          </w:rPr>
          <w:t>http://www.aph.gov.au/Parliamentary_Business/Committees/Senate/Legal_and_Constitutional_Affairs/FirearmsTraffickingBill/Report</w:t>
        </w:r>
      </w:hyperlink>
      <w:r>
        <w:t xml:space="preserve"> (viewed 12 September 2017). </w:t>
      </w:r>
    </w:p>
  </w:endnote>
  <w:endnote w:id="114">
    <w:p w:rsidR="00C3563C" w:rsidRDefault="00C3563C" w:rsidP="00B87D45">
      <w:pPr>
        <w:pStyle w:val="Testonotadichiusura"/>
      </w:pPr>
      <w:r>
        <w:rPr>
          <w:rStyle w:val="Rimandonotadichiusura"/>
        </w:rPr>
        <w:endnoteRef/>
      </w:r>
      <w:r>
        <w:t xml:space="preserve"> Parliamentary Joint Committee on Human Rights, Parliament of Australia, </w:t>
      </w:r>
      <w:r w:rsidRPr="00F17FD1">
        <w:rPr>
          <w:i/>
        </w:rPr>
        <w:t>Report 8 of 2016</w:t>
      </w:r>
      <w:r>
        <w:t>, (2017) 31.</w:t>
      </w:r>
    </w:p>
  </w:endnote>
  <w:endnote w:id="115">
    <w:p w:rsidR="00C3563C" w:rsidRDefault="00C3563C" w:rsidP="00B87D45">
      <w:pPr>
        <w:pStyle w:val="Testonotadichiusura"/>
      </w:pPr>
      <w:r>
        <w:rPr>
          <w:rStyle w:val="Rimandonotadichiusura"/>
        </w:rPr>
        <w:endnoteRef/>
      </w:r>
      <w:r>
        <w:t xml:space="preserve"> Parliament of Australia, Criminal Code Amendment (Firearms Trafficking) Bill 2017 (Cth): Bill Progress. At </w:t>
      </w:r>
      <w:hyperlink r:id="rId79" w:history="1">
        <w:r w:rsidRPr="0031555A">
          <w:rPr>
            <w:rStyle w:val="Collegamentoipertestuale"/>
          </w:rPr>
          <w:t>http://www.aph.gov.au/Parliamentary_Business/Bills_LEGislation/Bills_Search_Results/Result?bId=s1042</w:t>
        </w:r>
      </w:hyperlink>
      <w:r>
        <w:t xml:space="preserve"> (viewed 16 October 2017).</w:t>
      </w:r>
    </w:p>
  </w:endnote>
  <w:endnote w:id="116">
    <w:p w:rsidR="00C3563C" w:rsidRPr="006932FB" w:rsidRDefault="00C3563C" w:rsidP="00B87D45">
      <w:pPr>
        <w:pStyle w:val="Testonotadichiusura"/>
        <w:rPr>
          <w:lang w:val="en-US"/>
        </w:rPr>
      </w:pPr>
      <w:r>
        <w:rPr>
          <w:rStyle w:val="Rimandonotadichiusura"/>
        </w:rPr>
        <w:endnoteRef/>
      </w:r>
      <w:r>
        <w:t xml:space="preserve"> </w:t>
      </w:r>
      <w:r>
        <w:rPr>
          <w:lang w:val="en-US"/>
        </w:rPr>
        <w:t xml:space="preserve">Explanatory </w:t>
      </w:r>
      <w:r w:rsidRPr="00E1604D">
        <w:rPr>
          <w:lang w:val="en-US"/>
        </w:rPr>
        <w:t>Memorandum</w:t>
      </w:r>
      <w:r>
        <w:rPr>
          <w:lang w:val="en-US"/>
        </w:rPr>
        <w:t>,</w:t>
      </w:r>
      <w:r w:rsidRPr="00E1604D">
        <w:rPr>
          <w:lang w:val="en-US"/>
        </w:rPr>
        <w:t xml:space="preserve"> </w:t>
      </w:r>
      <w:r>
        <w:rPr>
          <w:lang w:val="en-US"/>
        </w:rPr>
        <w:t>Migration Legislation Amendment (Regional Processing Cohort) Bill 2016 (Cth) 21–22</w:t>
      </w:r>
      <w:r w:rsidRPr="00E1604D">
        <w:rPr>
          <w:lang w:val="en-US"/>
        </w:rPr>
        <w:t xml:space="preserve">. </w:t>
      </w:r>
    </w:p>
  </w:endnote>
  <w:endnote w:id="117">
    <w:p w:rsidR="00C3563C" w:rsidRPr="006932FB" w:rsidRDefault="00C3563C" w:rsidP="00B87D45">
      <w:pPr>
        <w:pStyle w:val="Testonotadichiusura"/>
        <w:rPr>
          <w:lang w:val="en-US"/>
        </w:rPr>
      </w:pPr>
      <w:r>
        <w:rPr>
          <w:rStyle w:val="Rimandonotadichiusura"/>
        </w:rPr>
        <w:endnoteRef/>
      </w:r>
      <w:r>
        <w:t xml:space="preserve"> </w:t>
      </w:r>
      <w:r>
        <w:rPr>
          <w:lang w:val="en-US"/>
        </w:rPr>
        <w:t xml:space="preserve">Explanatory Memorandum, Migration Legislation Amendment (Regional Processing Cohort) Bill 2016 (Cth) 23. </w:t>
      </w:r>
    </w:p>
  </w:endnote>
  <w:endnote w:id="118">
    <w:p w:rsidR="00C3563C" w:rsidRDefault="00C3563C" w:rsidP="00B87D45">
      <w:pPr>
        <w:pStyle w:val="Testonotadichiusura"/>
      </w:pPr>
      <w:r>
        <w:rPr>
          <w:rStyle w:val="Rimandonotadichiusura"/>
        </w:rPr>
        <w:endnoteRef/>
      </w:r>
      <w:r>
        <w:t xml:space="preserve"> </w:t>
      </w:r>
      <w:r>
        <w:rPr>
          <w:lang w:val="en-US"/>
        </w:rPr>
        <w:t xml:space="preserve">Explanatory </w:t>
      </w:r>
      <w:r w:rsidRPr="00E1604D">
        <w:rPr>
          <w:lang w:val="en-US"/>
        </w:rPr>
        <w:t>Memorandum</w:t>
      </w:r>
      <w:r>
        <w:rPr>
          <w:lang w:val="en-US"/>
        </w:rPr>
        <w:t>,</w:t>
      </w:r>
      <w:r w:rsidRPr="00E1604D">
        <w:rPr>
          <w:lang w:val="en-US"/>
        </w:rPr>
        <w:t xml:space="preserve"> </w:t>
      </w:r>
      <w:r>
        <w:rPr>
          <w:lang w:val="en-US"/>
        </w:rPr>
        <w:t>Migration Legislation Amendment (Regional Processing Cohort) Bill 2016 (Cth) 23.</w:t>
      </w:r>
    </w:p>
  </w:endnote>
  <w:endnote w:id="119">
    <w:p w:rsidR="00C3563C" w:rsidRPr="00A7732F" w:rsidRDefault="00C3563C" w:rsidP="00B87D45">
      <w:pPr>
        <w:pStyle w:val="Testonotadichiusura"/>
        <w:rPr>
          <w:lang w:val="en-US"/>
        </w:rPr>
      </w:pPr>
      <w:r>
        <w:rPr>
          <w:rStyle w:val="Rimandonotadichiusura"/>
        </w:rPr>
        <w:endnoteRef/>
      </w:r>
      <w:r>
        <w:t xml:space="preserve"> </w:t>
      </w:r>
      <w:r>
        <w:rPr>
          <w:lang w:val="en-US"/>
        </w:rPr>
        <w:t>Explanatory Memorandum, Migration Legislation Amendment (Regional Processing Cohort) Bill 2016 (Cth) 23.</w:t>
      </w:r>
    </w:p>
  </w:endnote>
  <w:endnote w:id="120">
    <w:p w:rsidR="00C3563C" w:rsidRPr="00226618" w:rsidRDefault="00C3563C" w:rsidP="00B87D45">
      <w:pPr>
        <w:pStyle w:val="Testonotadichiusura"/>
        <w:rPr>
          <w:lang w:val="en-US"/>
        </w:rPr>
      </w:pPr>
      <w:r>
        <w:rPr>
          <w:rStyle w:val="Rimandonotadichiusura"/>
        </w:rPr>
        <w:endnoteRef/>
      </w:r>
      <w:r>
        <w:t xml:space="preserve"> Parliamentary Joint Committee on Human Rights, Parliament of Australia, </w:t>
      </w:r>
      <w:r w:rsidRPr="00F17FD1">
        <w:rPr>
          <w:i/>
        </w:rPr>
        <w:t>Report 9 of 2016</w:t>
      </w:r>
      <w:r>
        <w:t xml:space="preserve"> (2016) 16.</w:t>
      </w:r>
    </w:p>
  </w:endnote>
  <w:endnote w:id="121">
    <w:p w:rsidR="00C3563C" w:rsidRDefault="00C3563C" w:rsidP="00B87D45">
      <w:pPr>
        <w:pStyle w:val="Testonotadichiusura"/>
      </w:pPr>
      <w:r>
        <w:rPr>
          <w:rStyle w:val="Rimandonotadichiusura"/>
        </w:rPr>
        <w:endnoteRef/>
      </w:r>
      <w:r>
        <w:t xml:space="preserve"> Parliamentary Joint Committee on Human Rights, Parliament of Australia, </w:t>
      </w:r>
      <w:r w:rsidRPr="00F17FD1">
        <w:rPr>
          <w:i/>
        </w:rPr>
        <w:t>Report 9 of 2016</w:t>
      </w:r>
      <w:r>
        <w:t xml:space="preserve"> (2016) 19.</w:t>
      </w:r>
    </w:p>
  </w:endnote>
  <w:endnote w:id="122">
    <w:p w:rsidR="00C3563C" w:rsidRPr="00C175D0" w:rsidRDefault="00C3563C" w:rsidP="00B87D45">
      <w:pPr>
        <w:pStyle w:val="Testonotadichiusura"/>
      </w:pPr>
      <w:r>
        <w:rPr>
          <w:rStyle w:val="Rimandonotadichiusura"/>
        </w:rPr>
        <w:endnoteRef/>
      </w:r>
      <w:r>
        <w:t xml:space="preserve"> </w:t>
      </w:r>
      <w:r w:rsidRPr="00C175D0">
        <w:t>Parliamentary Joint Committee on Human Rights, Parliament of Austra</w:t>
      </w:r>
      <w:r>
        <w:t xml:space="preserve">lia, </w:t>
      </w:r>
      <w:r w:rsidRPr="00F17FD1">
        <w:rPr>
          <w:i/>
        </w:rPr>
        <w:t>Report 9 of 2016</w:t>
      </w:r>
      <w:r>
        <w:t xml:space="preserve"> (2016) 20</w:t>
      </w:r>
      <w:r w:rsidRPr="00C175D0">
        <w:t>.</w:t>
      </w:r>
    </w:p>
  </w:endnote>
  <w:endnote w:id="123">
    <w:p w:rsidR="00C3563C" w:rsidRDefault="00C3563C" w:rsidP="00B87D45">
      <w:pPr>
        <w:pStyle w:val="Testonotadichiusura"/>
      </w:pPr>
      <w:r>
        <w:rPr>
          <w:rStyle w:val="Rimandonotadichiusura"/>
        </w:rPr>
        <w:endnoteRef/>
      </w:r>
      <w:r>
        <w:t xml:space="preserve"> </w:t>
      </w:r>
      <w:r w:rsidRPr="00C175D0">
        <w:t>Parliamentary Joint Committee on Human Rights, Parliament of Austra</w:t>
      </w:r>
      <w:r>
        <w:t xml:space="preserve">lia, </w:t>
      </w:r>
      <w:r w:rsidRPr="00F17FD1">
        <w:rPr>
          <w:i/>
        </w:rPr>
        <w:t>Report 9 of 2016</w:t>
      </w:r>
      <w:r>
        <w:t xml:space="preserve"> (2016) 21.</w:t>
      </w:r>
    </w:p>
  </w:endnote>
  <w:endnote w:id="124">
    <w:p w:rsidR="00C3563C" w:rsidRDefault="00C3563C" w:rsidP="00B87D45">
      <w:pPr>
        <w:pStyle w:val="Testonotadichiusura"/>
      </w:pPr>
      <w:r>
        <w:rPr>
          <w:rStyle w:val="Rimandonotadichiusura"/>
        </w:rPr>
        <w:endnoteRef/>
      </w:r>
      <w:r>
        <w:t xml:space="preserve"> Parliamentary Joint Committee on Human Rights, Parliament of Australia, </w:t>
      </w:r>
      <w:r w:rsidRPr="00F17FD1">
        <w:rPr>
          <w:i/>
        </w:rPr>
        <w:t>Report 9 of 2016</w:t>
      </w:r>
      <w:r>
        <w:t xml:space="preserve"> (2016) 19–22.</w:t>
      </w:r>
    </w:p>
  </w:endnote>
  <w:endnote w:id="125">
    <w:p w:rsidR="00C3563C" w:rsidRPr="00575957" w:rsidRDefault="00C3563C" w:rsidP="00B87D45">
      <w:pPr>
        <w:pStyle w:val="Testonotadichiusura"/>
      </w:pPr>
      <w:r>
        <w:rPr>
          <w:rStyle w:val="Rimandonotadichiusura"/>
        </w:rPr>
        <w:endnoteRef/>
      </w:r>
      <w:r>
        <w:t xml:space="preserve"> Australian Human Rights Commission, Submission No 28 to Senate Standing Committee on Legal and Constitutional Affairs, Parliament of Australia, </w:t>
      </w:r>
      <w:r>
        <w:rPr>
          <w:i/>
        </w:rPr>
        <w:t>Inquiry into the Migration Legislation Amendment (Regional Processing Cohort) Bill 2016</w:t>
      </w:r>
      <w:r>
        <w:t xml:space="preserve">, 16 November 2016, [18]– [20]. At </w:t>
      </w:r>
      <w:hyperlink r:id="rId80" w:history="1">
        <w:r w:rsidRPr="00C3507C">
          <w:rPr>
            <w:rStyle w:val="Collegamentoipertestuale"/>
          </w:rPr>
          <w:t>http://www.aph.gov.au/Parliamentary_Business/Committees/Senate/Legal_and_Constitutional_Affairs/RegionalProcessing2016/Submissions</w:t>
        </w:r>
      </w:hyperlink>
      <w:r>
        <w:t xml:space="preserve"> (viewed 18 September 2017).</w:t>
      </w:r>
    </w:p>
  </w:endnote>
  <w:endnote w:id="126">
    <w:p w:rsidR="00C3563C" w:rsidRDefault="00C3563C" w:rsidP="00B87D45">
      <w:pPr>
        <w:pStyle w:val="Testonotadichiusura"/>
      </w:pPr>
      <w:r>
        <w:rPr>
          <w:rStyle w:val="Rimandonotadichiusura"/>
        </w:rPr>
        <w:endnoteRef/>
      </w:r>
      <w:r>
        <w:t xml:space="preserve"> Australian Human Rights Commission, Submission No 28 to Senate Standing Committee on Legal and Constitutional Affairs, Parliament of Australia, </w:t>
      </w:r>
      <w:r>
        <w:rPr>
          <w:i/>
        </w:rPr>
        <w:t>Inquiry into the Migration Legislation Amendment (Regional Processing Cohort) Bill 2016</w:t>
      </w:r>
      <w:r>
        <w:t xml:space="preserve">, 16 November 2016, [21]– [22]. At </w:t>
      </w:r>
      <w:hyperlink r:id="rId81" w:history="1">
        <w:r w:rsidRPr="00C3507C">
          <w:rPr>
            <w:rStyle w:val="Collegamentoipertestuale"/>
          </w:rPr>
          <w:t>http://www.aph.gov.au/Parliamentary_Business/Committees/Senate/Legal_and_Constitutional_Affairs/RegionalProcessing2016/Submissions</w:t>
        </w:r>
      </w:hyperlink>
      <w:r>
        <w:t xml:space="preserve"> (viewed 18 September 2017).</w:t>
      </w:r>
    </w:p>
  </w:endnote>
  <w:endnote w:id="127">
    <w:p w:rsidR="00C3563C" w:rsidRDefault="00C3563C" w:rsidP="00B87D45">
      <w:pPr>
        <w:pStyle w:val="Testonotadichiusura"/>
      </w:pPr>
      <w:r>
        <w:rPr>
          <w:rStyle w:val="Rimandonotadichiusura"/>
        </w:rPr>
        <w:endnoteRef/>
      </w:r>
      <w:r>
        <w:t xml:space="preserve"> Parliament of Australia, Migration Legislation Amendment (Regional Processing Cohort) Bill 2016 (Cth): Bill Progress 2017. At </w:t>
      </w:r>
      <w:hyperlink r:id="rId82" w:history="1">
        <w:r w:rsidRPr="0031555A">
          <w:rPr>
            <w:rStyle w:val="Collegamentoipertestuale"/>
          </w:rPr>
          <w:t>http://www.aph.gov.au/Parliamentary_Business/Bills_Legislation/Bills_Search_Results/Result?bId=r5754</w:t>
        </w:r>
      </w:hyperlink>
      <w:r>
        <w:t xml:space="preserve"> (viewed 12 September 2017).</w:t>
      </w:r>
    </w:p>
  </w:endnote>
  <w:endnote w:id="128">
    <w:p w:rsidR="00C3563C" w:rsidRPr="000E7079" w:rsidRDefault="00C3563C" w:rsidP="00B87D45">
      <w:pPr>
        <w:pStyle w:val="Testonotadichiusura"/>
        <w:rPr>
          <w:lang w:val="en-US"/>
        </w:rPr>
      </w:pPr>
      <w:r>
        <w:rPr>
          <w:rStyle w:val="Rimandonotadichiusura"/>
        </w:rPr>
        <w:endnoteRef/>
      </w:r>
      <w:r>
        <w:t xml:space="preserve"> </w:t>
      </w:r>
      <w:r>
        <w:rPr>
          <w:lang w:val="en-US"/>
        </w:rPr>
        <w:t xml:space="preserve">Explanatory Memorandum, Criminal Code Amendment (Protecting Minors Online) Bill 2017 (Cth) 2. </w:t>
      </w:r>
    </w:p>
  </w:endnote>
  <w:endnote w:id="129">
    <w:p w:rsidR="00C3563C" w:rsidRPr="00817926" w:rsidRDefault="00C3563C" w:rsidP="00B87D45">
      <w:pPr>
        <w:pStyle w:val="Testonotadichiusura"/>
        <w:rPr>
          <w:lang w:val="en-US"/>
        </w:rPr>
      </w:pPr>
      <w:r>
        <w:rPr>
          <w:rStyle w:val="Rimandonotadichiusura"/>
        </w:rPr>
        <w:endnoteRef/>
      </w:r>
      <w:r>
        <w:t xml:space="preserve"> </w:t>
      </w:r>
      <w:r>
        <w:rPr>
          <w:lang w:val="en-US"/>
        </w:rPr>
        <w:t xml:space="preserve">Explanatory Memorandum, Criminal Code Amendment (Protecting Minors Online) Bill 2017 (Cth) 4. </w:t>
      </w:r>
    </w:p>
  </w:endnote>
  <w:endnote w:id="130">
    <w:p w:rsidR="00C3563C" w:rsidRPr="00817926" w:rsidRDefault="00C3563C" w:rsidP="00B87D45">
      <w:pPr>
        <w:pStyle w:val="Testonotadichiusura"/>
        <w:rPr>
          <w:lang w:val="en-US"/>
        </w:rPr>
      </w:pPr>
      <w:r>
        <w:rPr>
          <w:rStyle w:val="Rimandonotadichiusura"/>
        </w:rPr>
        <w:endnoteRef/>
      </w:r>
      <w:r>
        <w:t xml:space="preserve"> </w:t>
      </w:r>
      <w:r w:rsidRPr="00E1604D">
        <w:t xml:space="preserve">Parliamentary Joint Committee on Human Rights, Parliament of Australia, </w:t>
      </w:r>
      <w:r w:rsidRPr="00F17FD1">
        <w:rPr>
          <w:i/>
        </w:rPr>
        <w:t>Report 4 of 2017</w:t>
      </w:r>
      <w:r w:rsidRPr="00E1604D">
        <w:t xml:space="preserve"> (2017) 74. </w:t>
      </w:r>
      <w:r>
        <w:t xml:space="preserve">At </w:t>
      </w:r>
      <w:hyperlink r:id="rId83" w:history="1">
        <w:r w:rsidRPr="0031555A">
          <w:rPr>
            <w:rStyle w:val="Collegamentoipertestuale"/>
          </w:rPr>
          <w:t>http://www.aph.gov.au/Parliamentary_Business/Committees/Joint/Human_Rights/Scrutiny_reports/2017/Report_4_of_2017</w:t>
        </w:r>
      </w:hyperlink>
      <w:r>
        <w:t xml:space="preserve"> (viewed 12 September 2017).</w:t>
      </w:r>
    </w:p>
  </w:endnote>
  <w:endnote w:id="131">
    <w:p w:rsidR="00C3563C" w:rsidRPr="00817926" w:rsidRDefault="00C3563C" w:rsidP="00B87D45">
      <w:pPr>
        <w:pStyle w:val="Testonotadichiusura"/>
        <w:rPr>
          <w:lang w:val="en-US"/>
        </w:rPr>
      </w:pPr>
      <w:r>
        <w:rPr>
          <w:rStyle w:val="Rimandonotadichiusura"/>
        </w:rPr>
        <w:endnoteRef/>
      </w:r>
      <w:r>
        <w:t xml:space="preserve"> Senate Legal and Constitutional Affairs Committee, Parliament of Australia, Criminal Code Amendment (Protecting Minors Online) Bill 2017 (Cth) Recommendation 1, 19. At </w:t>
      </w:r>
      <w:hyperlink r:id="rId84" w:history="1">
        <w:r w:rsidRPr="0031555A">
          <w:rPr>
            <w:rStyle w:val="Collegamentoipertestuale"/>
            <w:lang w:val="en-US"/>
          </w:rPr>
          <w:t>http://www.aph.gov.au/Parliamentary_Business/Committees/Senate/Legal_and_Constitutional_Affairs/ProtectingMinorsonline/Report</w:t>
        </w:r>
      </w:hyperlink>
      <w:r>
        <w:rPr>
          <w:lang w:val="en-US"/>
        </w:rPr>
        <w:t xml:space="preserve"> (viewed 12 September 2017).</w:t>
      </w:r>
    </w:p>
  </w:endnote>
  <w:endnote w:id="132">
    <w:p w:rsidR="00C3563C" w:rsidRPr="00817926" w:rsidRDefault="00C3563C" w:rsidP="00B87D45">
      <w:pPr>
        <w:pStyle w:val="Testonotadichiusura"/>
        <w:rPr>
          <w:lang w:val="en-US"/>
        </w:rPr>
      </w:pPr>
      <w:r>
        <w:rPr>
          <w:rStyle w:val="Rimandonotadichiusura"/>
        </w:rPr>
        <w:endnoteRef/>
      </w:r>
      <w:r>
        <w:t xml:space="preserve"> Senate Legal and Constitutional Affairs Committee, Parliament of Australia, Criminal Code Amendment (Protecting Minors Online) Bill 2017 (Cth) Recommendation 1, 21. At </w:t>
      </w:r>
      <w:hyperlink r:id="rId85" w:history="1">
        <w:r w:rsidRPr="0031555A">
          <w:rPr>
            <w:rStyle w:val="Collegamentoipertestuale"/>
            <w:lang w:val="en-US"/>
          </w:rPr>
          <w:t>http://www.aph.gov.au/Parliamentary_Business/Committees/Senate/Legal_and_Constitutional_Affairs/ProtectingMinorsonline/Report</w:t>
        </w:r>
      </w:hyperlink>
      <w:r>
        <w:rPr>
          <w:lang w:val="en-US"/>
        </w:rPr>
        <w:t xml:space="preserve"> (viewed 12 September 2017).</w:t>
      </w:r>
    </w:p>
  </w:endnote>
  <w:endnote w:id="133">
    <w:p w:rsidR="00C3563C" w:rsidRPr="00817926" w:rsidRDefault="00C3563C" w:rsidP="00B87D45">
      <w:pPr>
        <w:pStyle w:val="Testonotadichiusura"/>
        <w:rPr>
          <w:lang w:val="en-US"/>
        </w:rPr>
      </w:pPr>
      <w:r>
        <w:rPr>
          <w:rStyle w:val="Rimandonotadichiusura"/>
        </w:rPr>
        <w:endnoteRef/>
      </w:r>
      <w:r>
        <w:t xml:space="preserve"> </w:t>
      </w:r>
      <w:r>
        <w:rPr>
          <w:lang w:val="en-US"/>
        </w:rPr>
        <w:t xml:space="preserve">Parliament of Australia, Criminal Code Amendment (Protecting Minors Online) Bill 2017 (Cth): Bill Progress 2017. At </w:t>
      </w:r>
      <w:hyperlink r:id="rId86" w:history="1">
        <w:r w:rsidRPr="0031555A">
          <w:rPr>
            <w:rStyle w:val="Collegamentoipertestuale"/>
            <w:lang w:val="en-US"/>
          </w:rPr>
          <w:t>http://www.aph.gov.au/Parliamentary_Business/Bills_LEGislation/Bills_Search_Results/Result?bId=r5857</w:t>
        </w:r>
      </w:hyperlink>
      <w:r>
        <w:rPr>
          <w:lang w:val="en-US"/>
        </w:rPr>
        <w:t xml:space="preserve"> (viewed 18 September 2017).</w:t>
      </w:r>
    </w:p>
  </w:endnote>
  <w:endnote w:id="134">
    <w:p w:rsidR="00C3563C" w:rsidRPr="00283BF6" w:rsidRDefault="00C3563C" w:rsidP="00B87D45">
      <w:pPr>
        <w:pStyle w:val="Testonotadichiusura"/>
      </w:pPr>
      <w:r>
        <w:rPr>
          <w:rStyle w:val="Rimandonotadichiusura"/>
        </w:rPr>
        <w:endnoteRef/>
      </w:r>
      <w:r>
        <w:t xml:space="preserve"> Parliament of Australia</w:t>
      </w:r>
      <w:r w:rsidRPr="00283BF6">
        <w:t>, Australian Citizenship Legislation Amendment (Strengthening the Requirements for Australian Citizenship and Other Measures) Bill 2017</w:t>
      </w:r>
      <w:r>
        <w:t xml:space="preserve"> (Cth): Bill Progress 2017. At </w:t>
      </w:r>
      <w:hyperlink r:id="rId87" w:history="1">
        <w:r w:rsidRPr="00532A79">
          <w:rPr>
            <w:rStyle w:val="Collegamentoipertestuale"/>
          </w:rPr>
          <w:t>http://www.aph.gov.au/Parliamentary_Business/Bills_Legislation/Bills_Search_Results/Result?bId=r5914</w:t>
        </w:r>
      </w:hyperlink>
      <w:r>
        <w:rPr>
          <w:i/>
        </w:rPr>
        <w:t xml:space="preserve"> </w:t>
      </w:r>
      <w:r>
        <w:t>(viewed 12 September 2017).</w:t>
      </w:r>
    </w:p>
  </w:endnote>
  <w:endnote w:id="135">
    <w:p w:rsidR="00C3563C" w:rsidRDefault="00C3563C" w:rsidP="00B87D45">
      <w:pPr>
        <w:pStyle w:val="Testonotadichiusura"/>
      </w:pPr>
      <w:r>
        <w:rPr>
          <w:rStyle w:val="Rimandonotadichiusura"/>
        </w:rPr>
        <w:endnoteRef/>
      </w:r>
      <w:r>
        <w:t xml:space="preserve"> Explanatory Memorandum, </w:t>
      </w:r>
      <w:r w:rsidRPr="00283BF6">
        <w:t>Australian Citizenship Legislation Amendment (Strengthening the Requirements for Australian Citizenship and Other Measures) Bill 2017</w:t>
      </w:r>
      <w:r>
        <w:t xml:space="preserve"> (Cth) 2.</w:t>
      </w:r>
    </w:p>
  </w:endnote>
  <w:endnote w:id="136">
    <w:p w:rsidR="00C3563C" w:rsidRDefault="00C3563C" w:rsidP="00B87D45">
      <w:pPr>
        <w:pStyle w:val="Testonotadichiusura"/>
      </w:pPr>
      <w:r>
        <w:rPr>
          <w:rStyle w:val="Rimandonotadichiusura"/>
        </w:rPr>
        <w:endnoteRef/>
      </w:r>
      <w:r>
        <w:t xml:space="preserve"> Australian Human Rights Commission, Submission No 447 to Senate Standing Committees on Legal and Constitutional Affairs, Parliament of Australia, </w:t>
      </w:r>
      <w:r w:rsidRPr="00347AFF">
        <w:rPr>
          <w:i/>
        </w:rPr>
        <w:t>Inquiry into the Australian Citizenship Legislation Amendment (Strengthening the Requirements for Australian Citizenship and Other Measures) Bill 2017</w:t>
      </w:r>
      <w:r>
        <w:t>, 21 July 2017, 4.</w:t>
      </w:r>
    </w:p>
  </w:endnote>
  <w:endnote w:id="137">
    <w:p w:rsidR="00C3563C" w:rsidRDefault="00C3563C" w:rsidP="00B87D45">
      <w:pPr>
        <w:pStyle w:val="Testonotadichiusura"/>
      </w:pPr>
      <w:r>
        <w:rPr>
          <w:rStyle w:val="Rimandonotadichiusura"/>
        </w:rPr>
        <w:endnoteRef/>
      </w:r>
      <w:r>
        <w:t xml:space="preserve"> Senate Standing Committees on Legal and Constitutional Affairs, Parliament of Australia, </w:t>
      </w:r>
      <w:r>
        <w:rPr>
          <w:i/>
        </w:rPr>
        <w:t xml:space="preserve">Australian Citizenship Legislation Amendment (Strengthening the Requirements for Australian Citizenship and Other Measures) Bill 2017 </w:t>
      </w:r>
      <w:r>
        <w:t xml:space="preserve">(2017). At </w:t>
      </w:r>
      <w:hyperlink r:id="rId88" w:history="1">
        <w:r w:rsidRPr="00A23C02">
          <w:rPr>
            <w:rStyle w:val="Collegamentoipertestuale"/>
          </w:rPr>
          <w:t>http://www.aph.gov.au/Parliamentary_Business/Committees/Senate/Legal_and_Constitutional_Affairs/CitizenshipBill2017/Report</w:t>
        </w:r>
      </w:hyperlink>
      <w:r>
        <w:t xml:space="preserve"> (viewed 21 September 2017).</w:t>
      </w:r>
    </w:p>
  </w:endnote>
  <w:endnote w:id="138">
    <w:p w:rsidR="00C3563C" w:rsidRDefault="00C3563C" w:rsidP="00B87D45">
      <w:pPr>
        <w:pStyle w:val="Testonotadichiusura"/>
      </w:pPr>
      <w:r>
        <w:rPr>
          <w:rStyle w:val="Rimandonotadichiusura"/>
        </w:rPr>
        <w:endnoteRef/>
      </w:r>
      <w:r>
        <w:t xml:space="preserve"> Parliament of Australia, </w:t>
      </w:r>
      <w:r w:rsidRPr="00283BF6">
        <w:t>Australian Citizenship Legislation Amendment (Strengthening the Requirements for Australian Citizenship and Other Measures) Bill 2017</w:t>
      </w:r>
      <w:r>
        <w:t xml:space="preserve"> (Cth): Bill Progress 2017. At</w:t>
      </w:r>
      <w:r w:rsidRPr="00532A79">
        <w:t xml:space="preserve"> </w:t>
      </w:r>
      <w:hyperlink r:id="rId89" w:history="1">
        <w:r w:rsidRPr="00532A79">
          <w:rPr>
            <w:rStyle w:val="Collegamentoipertestuale"/>
          </w:rPr>
          <w:t>http://www.aph.gov.au/Parliamentary_Business/Bills_Legislation/Bills_Search_Results/Result?bId=r5914</w:t>
        </w:r>
      </w:hyperlink>
      <w:r>
        <w:rPr>
          <w:i/>
        </w:rPr>
        <w:t xml:space="preserve"> </w:t>
      </w:r>
      <w:r w:rsidRPr="00283BF6">
        <w:t>(viewed 1</w:t>
      </w:r>
      <w:r>
        <w:t>6 October</w:t>
      </w:r>
      <w:r w:rsidRPr="00283BF6">
        <w:t xml:space="preserve"> 2017).</w:t>
      </w:r>
      <w:r>
        <w:rPr>
          <w:i/>
        </w:rPr>
        <w:t xml:space="preserve"> </w:t>
      </w:r>
    </w:p>
  </w:endnote>
  <w:endnote w:id="139">
    <w:p w:rsidR="00C3563C" w:rsidRPr="00B40D30" w:rsidRDefault="00C3563C" w:rsidP="00B87D45">
      <w:pPr>
        <w:pStyle w:val="Testonotadichiusura"/>
        <w:rPr>
          <w:lang w:val="en-US"/>
        </w:rPr>
      </w:pPr>
      <w:r>
        <w:rPr>
          <w:rStyle w:val="Rimandonotadichiusura"/>
        </w:rPr>
        <w:endnoteRef/>
      </w:r>
      <w:r>
        <w:t xml:space="preserve"> </w:t>
      </w:r>
      <w:r>
        <w:rPr>
          <w:lang w:val="en-US"/>
        </w:rPr>
        <w:t xml:space="preserve">Explanatory Memorandum, Guardian for Unaccompanied Children Bill 2. </w:t>
      </w:r>
    </w:p>
  </w:endnote>
  <w:endnote w:id="140">
    <w:p w:rsidR="00C3563C" w:rsidRPr="00BC5287" w:rsidRDefault="00C3563C" w:rsidP="00B87D45">
      <w:pPr>
        <w:pStyle w:val="Testonotadichiusura"/>
        <w:rPr>
          <w:lang w:val="en-US"/>
        </w:rPr>
      </w:pPr>
      <w:r>
        <w:rPr>
          <w:rStyle w:val="Rimandonotadichiusura"/>
        </w:rPr>
        <w:endnoteRef/>
      </w:r>
      <w:r>
        <w:t xml:space="preserve"> </w:t>
      </w:r>
      <w:r>
        <w:rPr>
          <w:lang w:val="en-US"/>
        </w:rPr>
        <w:t xml:space="preserve">Parliamentary Joint Committee on Human Rights, Parliament of Australia, </w:t>
      </w:r>
      <w:r w:rsidRPr="00A015F0">
        <w:rPr>
          <w:i/>
          <w:lang w:val="en-US"/>
        </w:rPr>
        <w:t>Tenth Report of the 44</w:t>
      </w:r>
      <w:r w:rsidRPr="00A015F0">
        <w:rPr>
          <w:i/>
          <w:vertAlign w:val="superscript"/>
          <w:lang w:val="en-US"/>
        </w:rPr>
        <w:t>th</w:t>
      </w:r>
      <w:r w:rsidRPr="00A015F0">
        <w:rPr>
          <w:i/>
          <w:lang w:val="en-US"/>
        </w:rPr>
        <w:t xml:space="preserve"> Parliament</w:t>
      </w:r>
      <w:r>
        <w:rPr>
          <w:lang w:val="en-US"/>
        </w:rPr>
        <w:t xml:space="preserve"> (2014) 34. At </w:t>
      </w:r>
      <w:hyperlink r:id="rId90" w:history="1">
        <w:r w:rsidRPr="0031555A">
          <w:rPr>
            <w:rStyle w:val="Collegamentoipertestuale"/>
            <w:lang w:val="en-US"/>
          </w:rPr>
          <w:t>http://www.aph.gov.au/Parliamentary_Business/Committees/Joint/Human_Rights/Scrutiny_reports/2014/1044</w:t>
        </w:r>
      </w:hyperlink>
      <w:r>
        <w:rPr>
          <w:lang w:val="en-US"/>
        </w:rPr>
        <w:t xml:space="preserve"> (viewed 12 September 2017). </w:t>
      </w:r>
    </w:p>
  </w:endnote>
  <w:endnote w:id="141">
    <w:p w:rsidR="00C3563C" w:rsidRPr="00BC5287" w:rsidRDefault="00C3563C" w:rsidP="00B87D45">
      <w:pPr>
        <w:pStyle w:val="Testonotadichiusura"/>
        <w:rPr>
          <w:lang w:val="en-US"/>
        </w:rPr>
      </w:pPr>
      <w:r>
        <w:rPr>
          <w:rStyle w:val="Rimandonotadichiusura"/>
        </w:rPr>
        <w:endnoteRef/>
      </w:r>
      <w:r>
        <w:t xml:space="preserve"> Senate Legal and Constitutional Affairs Committee, Parliament of Australia, </w:t>
      </w:r>
      <w:r w:rsidRPr="00283BF6">
        <w:rPr>
          <w:i/>
        </w:rPr>
        <w:t>Guardian for Unaccompanied Children Bill 2017</w:t>
      </w:r>
      <w:r>
        <w:t xml:space="preserve">, Recommendation 1,17. At </w:t>
      </w:r>
      <w:hyperlink r:id="rId91" w:history="1">
        <w:r w:rsidRPr="0031555A">
          <w:rPr>
            <w:rStyle w:val="Collegamentoipertestuale"/>
          </w:rPr>
          <w:t>http://www.aph.gov.au/Parliamentary_Business/Committees/Senate/Legal_and_Constitutional_Affairs/Guardian_for_children/Report</w:t>
        </w:r>
      </w:hyperlink>
      <w:r>
        <w:t xml:space="preserve"> (viewed 12 September 2017).</w:t>
      </w:r>
    </w:p>
  </w:endnote>
  <w:endnote w:id="142">
    <w:p w:rsidR="00C3563C" w:rsidRPr="00B40D30" w:rsidRDefault="00C3563C" w:rsidP="00B87D45">
      <w:pPr>
        <w:pStyle w:val="Testonotadichiusura"/>
        <w:rPr>
          <w:lang w:val="en-US"/>
        </w:rPr>
      </w:pPr>
      <w:r>
        <w:rPr>
          <w:rStyle w:val="Rimandonotadichiusura"/>
        </w:rPr>
        <w:endnoteRef/>
      </w:r>
      <w:r>
        <w:t xml:space="preserve"> </w:t>
      </w:r>
      <w:r>
        <w:rPr>
          <w:lang w:val="en-US"/>
        </w:rPr>
        <w:t xml:space="preserve">Parliament of Australia, Guardian for Unaccompanied Children Bill 2014: Bill Progress 2017. At </w:t>
      </w:r>
      <w:hyperlink r:id="rId92" w:history="1">
        <w:r w:rsidRPr="0031555A">
          <w:rPr>
            <w:rStyle w:val="Collegamentoipertestuale"/>
            <w:lang w:val="en-US"/>
          </w:rPr>
          <w:t>http://www.aph.gov.au/Parliamentary_Business/Bills_Legislation/Bills_Search_Results/Result?bId=s968</w:t>
        </w:r>
      </w:hyperlink>
      <w:r>
        <w:rPr>
          <w:lang w:val="en-US"/>
        </w:rPr>
        <w:t xml:space="preserve"> (viewed 12 September 2017).</w:t>
      </w:r>
    </w:p>
  </w:endnote>
  <w:endnote w:id="143">
    <w:p w:rsidR="00C3563C" w:rsidRPr="009A32B3" w:rsidRDefault="00C3563C" w:rsidP="00B87D45">
      <w:pPr>
        <w:pStyle w:val="Testonotadichiusura"/>
      </w:pPr>
      <w:r>
        <w:rPr>
          <w:rStyle w:val="Rimandonotadichiusura"/>
        </w:rPr>
        <w:endnoteRef/>
      </w:r>
      <w:r>
        <w:t xml:space="preserve"> Senate Legal and Constitutional Affairs Committee, Parliament of Australia, </w:t>
      </w:r>
      <w:r>
        <w:rPr>
          <w:i/>
        </w:rPr>
        <w:t>Serious allegations of abuse, self-harm and neglect of asylum seekers in relation to the Nauru Regional Processing Centre, and any like allegations in relation to the Manus Regional Processing Centre</w:t>
      </w:r>
      <w:r>
        <w:t xml:space="preserve"> (2017). At </w:t>
      </w:r>
      <w:hyperlink r:id="rId93" w:history="1">
        <w:r w:rsidRPr="00553B7E">
          <w:rPr>
            <w:rStyle w:val="Collegamentoipertestuale"/>
          </w:rPr>
          <w:t>http://www.aph.gov.au/Parliamentary_Business/Committees/Senate/Legal_and_Constitutional_Affairs/NauruandManusRPCs/Report</w:t>
        </w:r>
      </w:hyperlink>
      <w:r>
        <w:t xml:space="preserve"> (viewed 12 October 2017).</w:t>
      </w:r>
    </w:p>
  </w:endnote>
  <w:endnote w:id="144">
    <w:p w:rsidR="00C3563C" w:rsidRPr="00CA2641" w:rsidRDefault="00C3563C" w:rsidP="00B87D45">
      <w:pPr>
        <w:pStyle w:val="Testonotadichiusura"/>
        <w:rPr>
          <w:lang w:val="en-US"/>
        </w:rPr>
      </w:pPr>
      <w:r>
        <w:rPr>
          <w:rStyle w:val="Rimandonotadichiusura"/>
        </w:rPr>
        <w:endnoteRef/>
      </w:r>
      <w:r>
        <w:t xml:space="preserve"> </w:t>
      </w:r>
      <w:r>
        <w:rPr>
          <w:lang w:val="en-US"/>
        </w:rPr>
        <w:t xml:space="preserve">Parliament of Australia, Guardian for the Unaccompanied Children Bill 2014: Bill Progress 2017. At </w:t>
      </w:r>
      <w:hyperlink r:id="rId94" w:history="1">
        <w:r w:rsidRPr="0031555A">
          <w:rPr>
            <w:rStyle w:val="Collegamentoipertestuale"/>
            <w:lang w:val="en-US"/>
          </w:rPr>
          <w:t>http://www.aph.gov.au/Parliamentary_Business/Bills_Legislation/Bills_Search_Results/Result?bId=s968</w:t>
        </w:r>
      </w:hyperlink>
      <w:r>
        <w:rPr>
          <w:lang w:val="en-US"/>
        </w:rPr>
        <w:t xml:space="preserve"> </w:t>
      </w:r>
      <w:r>
        <w:t>(viewed 16 October 2017).</w:t>
      </w:r>
    </w:p>
  </w:endnote>
  <w:endnote w:id="145">
    <w:p w:rsidR="00C3563C" w:rsidRDefault="00C3563C" w:rsidP="00B87D45">
      <w:pPr>
        <w:pStyle w:val="Testonotadichiusura"/>
      </w:pPr>
      <w:r>
        <w:rPr>
          <w:rStyle w:val="Rimandonotadichiusura"/>
        </w:rPr>
        <w:endnoteRef/>
      </w:r>
      <w:r>
        <w:t xml:space="preserve"> Parliament of Australia, </w:t>
      </w:r>
      <w:r w:rsidRPr="00283BF6">
        <w:t>Enhancing Online Safety for Children Amendment Bill 2017</w:t>
      </w:r>
      <w:r>
        <w:t xml:space="preserve"> (Cth)</w:t>
      </w:r>
      <w:r w:rsidRPr="00283BF6">
        <w:t>:</w:t>
      </w:r>
      <w:r>
        <w:t xml:space="preserve"> Bill progress 2017. At </w:t>
      </w:r>
      <w:hyperlink r:id="rId95" w:history="1">
        <w:r w:rsidRPr="007D5093">
          <w:rPr>
            <w:rStyle w:val="Collegamentoipertestuale"/>
          </w:rPr>
          <w:t>http://www.aph.gov.au/Parliamentary_Business/Bills_Legislation/Bills_Search_Results/Result?bId=r5794</w:t>
        </w:r>
      </w:hyperlink>
      <w:r>
        <w:rPr>
          <w:rStyle w:val="Collegamentoipertestuale"/>
          <w:u w:val="none"/>
        </w:rPr>
        <w:t xml:space="preserve"> (viewed 16 October 2017). </w:t>
      </w:r>
    </w:p>
  </w:endnote>
  <w:endnote w:id="146">
    <w:p w:rsidR="00C3563C" w:rsidRPr="00BA04F5" w:rsidRDefault="00C3563C" w:rsidP="00B87D45">
      <w:pPr>
        <w:pStyle w:val="Testonotadichiusura"/>
        <w:rPr>
          <w:lang w:val="en-US"/>
        </w:rPr>
      </w:pPr>
      <w:r>
        <w:rPr>
          <w:rStyle w:val="Rimandonotadichiusura"/>
        </w:rPr>
        <w:endnoteRef/>
      </w:r>
      <w:r>
        <w:t xml:space="preserve"> Explanatory Memorandum, </w:t>
      </w:r>
      <w:r w:rsidRPr="00283BF6">
        <w:rPr>
          <w:lang w:val="en-US"/>
        </w:rPr>
        <w:t>Enhancing Online Safety for Children Amendment Bill 2017</w:t>
      </w:r>
      <w:r>
        <w:rPr>
          <w:lang w:val="en-US"/>
        </w:rPr>
        <w:t xml:space="preserve"> (Cth) 2.</w:t>
      </w:r>
    </w:p>
  </w:endnote>
  <w:endnote w:id="147">
    <w:p w:rsidR="00C3563C" w:rsidRDefault="00C3563C" w:rsidP="00B87D45">
      <w:pPr>
        <w:pStyle w:val="Testonotadichiusura"/>
      </w:pPr>
      <w:r>
        <w:rPr>
          <w:rStyle w:val="Rimandonotadichiusura"/>
        </w:rPr>
        <w:endnoteRef/>
      </w:r>
      <w:r>
        <w:t xml:space="preserve"> Parliamentary Joint Committee on Human Rights, Parliament of Australia,</w:t>
      </w:r>
      <w:r w:rsidRPr="009A32B3">
        <w:rPr>
          <w:i/>
        </w:rPr>
        <w:t xml:space="preserve"> Report 1 of 2017</w:t>
      </w:r>
      <w:r>
        <w:t xml:space="preserve"> (2017) 32 [1.133].</w:t>
      </w:r>
    </w:p>
  </w:endnote>
  <w:endnote w:id="148">
    <w:p w:rsidR="00C3563C" w:rsidRDefault="00C3563C" w:rsidP="00B87D45">
      <w:pPr>
        <w:pStyle w:val="Testonotadichiusura"/>
      </w:pPr>
      <w:r>
        <w:rPr>
          <w:rStyle w:val="Rimandonotadichiusura"/>
        </w:rPr>
        <w:endnoteRef/>
      </w:r>
      <w:r>
        <w:t xml:space="preserve"> Parliament of Australia, </w:t>
      </w:r>
      <w:r w:rsidRPr="00283BF6">
        <w:t>Enhancing Online Safety for Children Amendment Bill 2017</w:t>
      </w:r>
      <w:r>
        <w:t xml:space="preserve"> (Cth): Bill progress 2017. At </w:t>
      </w:r>
      <w:hyperlink r:id="rId96" w:history="1">
        <w:r w:rsidRPr="007D5093">
          <w:rPr>
            <w:rStyle w:val="Collegamentoipertestuale"/>
          </w:rPr>
          <w:t>http://www.aph.gov.au/Parliamentary_Business/Bills_Legislation/Bills_Search_Results/Result?bId=r5794</w:t>
        </w:r>
      </w:hyperlink>
      <w:r>
        <w:rPr>
          <w:rStyle w:val="Collegamentoipertestuale"/>
        </w:rPr>
        <w:t xml:space="preserve"> </w:t>
      </w:r>
      <w:r w:rsidRPr="00283BF6">
        <w:rPr>
          <w:rStyle w:val="Collegamentoipertestuale"/>
          <w:u w:val="none"/>
        </w:rPr>
        <w:t>(viewed 1</w:t>
      </w:r>
      <w:r>
        <w:rPr>
          <w:rStyle w:val="Collegamentoipertestuale"/>
          <w:u w:val="none"/>
        </w:rPr>
        <w:t xml:space="preserve">6 October </w:t>
      </w:r>
      <w:r w:rsidRPr="00283BF6">
        <w:rPr>
          <w:rStyle w:val="Collegamentoipertestuale"/>
          <w:u w:val="none"/>
        </w:rPr>
        <w:t>2017).</w:t>
      </w:r>
      <w:r w:rsidRPr="00283BF6">
        <w:rPr>
          <w:rStyle w:val="Collegamentoipertestuale"/>
        </w:rPr>
        <w:t xml:space="preserve"> </w:t>
      </w:r>
    </w:p>
  </w:endnote>
  <w:endnote w:id="149">
    <w:p w:rsidR="00C3563C" w:rsidRDefault="00C3563C" w:rsidP="00B87D45">
      <w:pPr>
        <w:pStyle w:val="Testonotadichiusura"/>
      </w:pPr>
      <w:r>
        <w:rPr>
          <w:rStyle w:val="Rimandonotadichiusura"/>
        </w:rPr>
        <w:endnoteRef/>
      </w:r>
      <w:r>
        <w:t xml:space="preserve"> Parliament of Australia</w:t>
      </w:r>
      <w:r w:rsidRPr="006C2CF4">
        <w:rPr>
          <w:i/>
        </w:rPr>
        <w:t xml:space="preserve">, </w:t>
      </w:r>
      <w:r w:rsidRPr="00283BF6">
        <w:t>Passports Legislation Amendment (Overseas Travel by Child Sex Offenders) Bill 2017 (</w:t>
      </w:r>
      <w:r>
        <w:t xml:space="preserve">Cth): Bill progress 2017. At </w:t>
      </w:r>
      <w:hyperlink r:id="rId97" w:history="1">
        <w:r w:rsidRPr="00245B06">
          <w:rPr>
            <w:rStyle w:val="Collegamentoipertestuale"/>
          </w:rPr>
          <w:t>http://www.aph.gov.au/Parliamentary_Business/Bills_Legislation/Bills_Search_Results/Result?bId=r5909</w:t>
        </w:r>
      </w:hyperlink>
      <w:r>
        <w:t xml:space="preserve"> (viewed 16 October 2017). </w:t>
      </w:r>
    </w:p>
  </w:endnote>
  <w:endnote w:id="150">
    <w:p w:rsidR="00C3563C" w:rsidRPr="009E256D" w:rsidRDefault="00C3563C" w:rsidP="00B87D45">
      <w:pPr>
        <w:pStyle w:val="Testonotadichiusura"/>
        <w:rPr>
          <w:lang w:val="en-US"/>
        </w:rPr>
      </w:pPr>
      <w:r>
        <w:rPr>
          <w:rStyle w:val="Rimandonotadichiusura"/>
        </w:rPr>
        <w:endnoteRef/>
      </w:r>
      <w:r>
        <w:rPr>
          <w:lang w:val="en-US"/>
        </w:rPr>
        <w:t xml:space="preserve"> Explanatory Memorandum, </w:t>
      </w:r>
      <w:r w:rsidRPr="00283BF6">
        <w:rPr>
          <w:lang w:val="en-US"/>
        </w:rPr>
        <w:t>Passports Legislation Amendment (Overseas Travel by Child Sex Offenders) Bill 2017</w:t>
      </w:r>
      <w:r>
        <w:rPr>
          <w:lang w:val="en-US"/>
        </w:rPr>
        <w:t xml:space="preserve"> (Cth) 2.</w:t>
      </w:r>
    </w:p>
  </w:endnote>
  <w:endnote w:id="151">
    <w:p w:rsidR="00C3563C" w:rsidRPr="00BA04F5" w:rsidRDefault="00C3563C" w:rsidP="00B87D45">
      <w:pPr>
        <w:pStyle w:val="Testonotadichiusura"/>
        <w:rPr>
          <w:lang w:val="en-US"/>
        </w:rPr>
      </w:pPr>
      <w:r>
        <w:rPr>
          <w:rStyle w:val="Rimandonotadichiusura"/>
        </w:rPr>
        <w:endnoteRef/>
      </w:r>
      <w:r>
        <w:t xml:space="preserve"> </w:t>
      </w:r>
      <w:r>
        <w:rPr>
          <w:lang w:val="en-US"/>
        </w:rPr>
        <w:t xml:space="preserve">Explanatory Memorandum </w:t>
      </w:r>
      <w:r w:rsidRPr="00283BF6">
        <w:rPr>
          <w:lang w:val="en-US"/>
        </w:rPr>
        <w:t>Passports Legislation Amendment (Overseas Travel by Child Sex Offenders) Bill 2017</w:t>
      </w:r>
      <w:r>
        <w:rPr>
          <w:lang w:val="en-US"/>
        </w:rPr>
        <w:t xml:space="preserve"> (Cth) 3. </w:t>
      </w:r>
    </w:p>
  </w:endnote>
  <w:endnote w:id="152">
    <w:p w:rsidR="00C3563C" w:rsidRDefault="00C3563C" w:rsidP="00B87D45">
      <w:pPr>
        <w:pStyle w:val="Testonotadichiusura"/>
      </w:pPr>
      <w:r>
        <w:rPr>
          <w:rStyle w:val="Rimandonotadichiusura"/>
        </w:rPr>
        <w:endnoteRef/>
      </w:r>
      <w:r>
        <w:t xml:space="preserve"> Explanatory Memorandum</w:t>
      </w:r>
      <w:r w:rsidRPr="00283BF6">
        <w:t>, Passports Legislation Amendment (Overseas Travel by Child Sex Offenders) Bill 2017</w:t>
      </w:r>
      <w:r>
        <w:t xml:space="preserve"> (Cth) 4.</w:t>
      </w:r>
    </w:p>
  </w:endnote>
  <w:endnote w:id="153">
    <w:p w:rsidR="00C3563C" w:rsidRPr="00BA04F5" w:rsidRDefault="00C3563C" w:rsidP="00B87D45">
      <w:pPr>
        <w:pStyle w:val="Testonotadichiusura"/>
        <w:rPr>
          <w:lang w:val="en-US"/>
        </w:rPr>
      </w:pPr>
      <w:r>
        <w:rPr>
          <w:rStyle w:val="Rimandonotadichiusura"/>
        </w:rPr>
        <w:endnoteRef/>
      </w:r>
      <w:r>
        <w:t xml:space="preserve"> </w:t>
      </w:r>
      <w:r>
        <w:rPr>
          <w:lang w:val="en-US"/>
        </w:rPr>
        <w:t>Parliament of Australia</w:t>
      </w:r>
      <w:r w:rsidRPr="00283BF6">
        <w:rPr>
          <w:lang w:val="en-US"/>
        </w:rPr>
        <w:t>, Passports Legislation Amendment (Overseas Travel by Child Sex Offenders) Bill 2017</w:t>
      </w:r>
      <w:r>
        <w:rPr>
          <w:lang w:val="en-US"/>
        </w:rPr>
        <w:t xml:space="preserve"> (Cth): Bill progress 2017. At</w:t>
      </w:r>
      <w:r w:rsidRPr="00BA04F5">
        <w:t xml:space="preserve"> </w:t>
      </w:r>
      <w:hyperlink r:id="rId98" w:history="1">
        <w:r w:rsidRPr="007C50AF">
          <w:rPr>
            <w:rStyle w:val="Collegamentoipertestuale"/>
            <w:lang w:val="en-US"/>
          </w:rPr>
          <w:t>http://www.aph.gov.au/Parliamentary_Business/Bills_Legislation/Bills_Search_Results/Result?bId=r5909</w:t>
        </w:r>
      </w:hyperlink>
      <w:r>
        <w:rPr>
          <w:lang w:val="en-US"/>
        </w:rPr>
        <w:t xml:space="preserve"> (viewed 16 October 2017). </w:t>
      </w:r>
    </w:p>
  </w:endnote>
  <w:endnote w:id="154">
    <w:p w:rsidR="00C3563C" w:rsidRDefault="00C3563C" w:rsidP="00B87D45">
      <w:pPr>
        <w:pStyle w:val="Testonotadichiusura"/>
      </w:pPr>
      <w:r>
        <w:rPr>
          <w:rStyle w:val="Rimandonotadichiusura"/>
        </w:rPr>
        <w:endnoteRef/>
      </w:r>
      <w:r>
        <w:t xml:space="preserve"> Parliament of Australia, </w:t>
      </w:r>
      <w:r w:rsidRPr="00283BF6">
        <w:t>Australian Education Amendment Bill 2017</w:t>
      </w:r>
      <w:r>
        <w:t xml:space="preserve"> (Cth): Bill progress 2017. At </w:t>
      </w:r>
      <w:hyperlink r:id="rId99" w:history="1">
        <w:r w:rsidRPr="00FF331F">
          <w:rPr>
            <w:rStyle w:val="Collegamentoipertestuale"/>
          </w:rPr>
          <w:t>http://www.aph.gov.au/Parliamentary_Business/Bills_Legislation/Bills_Search_Results/Result?bId=r5866</w:t>
        </w:r>
      </w:hyperlink>
      <w:r>
        <w:t xml:space="preserve"> (viewed 16 October 2017).</w:t>
      </w:r>
    </w:p>
  </w:endnote>
  <w:endnote w:id="155">
    <w:p w:rsidR="00C3563C" w:rsidRPr="00EE74A7" w:rsidRDefault="00C3563C" w:rsidP="00B87D45">
      <w:pPr>
        <w:pStyle w:val="Testonotadichiusura"/>
        <w:rPr>
          <w:lang w:val="en-US"/>
        </w:rPr>
      </w:pPr>
      <w:r>
        <w:rPr>
          <w:rStyle w:val="Rimandonotadichiusura"/>
        </w:rPr>
        <w:endnoteRef/>
      </w:r>
      <w:r>
        <w:t xml:space="preserve"> </w:t>
      </w:r>
      <w:r>
        <w:rPr>
          <w:lang w:val="en-US"/>
        </w:rPr>
        <w:t xml:space="preserve">Explanatory Memorandum, </w:t>
      </w:r>
      <w:r w:rsidRPr="00283BF6">
        <w:rPr>
          <w:lang w:val="en-US"/>
        </w:rPr>
        <w:t>Australian Education Amendment Bill 2017</w:t>
      </w:r>
      <w:r>
        <w:rPr>
          <w:lang w:val="en-US"/>
        </w:rPr>
        <w:t xml:space="preserve"> (Cth) 2.</w:t>
      </w:r>
    </w:p>
  </w:endnote>
  <w:endnote w:id="156">
    <w:p w:rsidR="00C3563C" w:rsidRDefault="00C3563C" w:rsidP="00B87D45">
      <w:pPr>
        <w:pStyle w:val="Testonotadichiusura"/>
      </w:pPr>
      <w:r>
        <w:rPr>
          <w:rStyle w:val="Rimandonotadichiusura"/>
        </w:rPr>
        <w:endnoteRef/>
      </w:r>
      <w:r>
        <w:t xml:space="preserve"> </w:t>
      </w:r>
      <w:r>
        <w:rPr>
          <w:lang w:val="en-US"/>
        </w:rPr>
        <w:t xml:space="preserve">Explanatory Memorandum, </w:t>
      </w:r>
      <w:r w:rsidRPr="00283BF6">
        <w:rPr>
          <w:lang w:val="en-US"/>
        </w:rPr>
        <w:t>Australian Education Amendment Bill 2017</w:t>
      </w:r>
      <w:r>
        <w:rPr>
          <w:lang w:val="en-US"/>
        </w:rPr>
        <w:t xml:space="preserve"> (Cth) 10. </w:t>
      </w:r>
    </w:p>
  </w:endnote>
  <w:endnote w:id="157">
    <w:p w:rsidR="00C3563C" w:rsidRPr="00A41077" w:rsidRDefault="00C3563C" w:rsidP="00B87D45">
      <w:pPr>
        <w:pStyle w:val="Testonotadichiusura"/>
        <w:rPr>
          <w:lang w:val="en-US"/>
        </w:rPr>
      </w:pPr>
      <w:r>
        <w:rPr>
          <w:rStyle w:val="Rimandonotadichiusura"/>
        </w:rPr>
        <w:endnoteRef/>
      </w:r>
      <w:r>
        <w:t xml:space="preserve"> </w:t>
      </w:r>
      <w:r w:rsidRPr="00363A1B">
        <w:rPr>
          <w:lang w:val="en-US"/>
        </w:rPr>
        <w:t>Senate Committee Education and Employment,</w:t>
      </w:r>
      <w:r>
        <w:rPr>
          <w:lang w:val="en-US"/>
        </w:rPr>
        <w:t xml:space="preserve"> Parliament of Australia, </w:t>
      </w:r>
      <w:r w:rsidRPr="00383C46">
        <w:rPr>
          <w:lang w:val="en-US"/>
        </w:rPr>
        <w:t>Australian Education Amendment Bill 2017</w:t>
      </w:r>
      <w:r w:rsidRPr="00363A1B">
        <w:rPr>
          <w:lang w:val="en-US"/>
        </w:rPr>
        <w:t xml:space="preserve"> [Provisions] (2017) 42</w:t>
      </w:r>
      <w:r>
        <w:rPr>
          <w:lang w:val="en-US"/>
        </w:rPr>
        <w:t>. At</w:t>
      </w:r>
      <w:r w:rsidRPr="00363A1B">
        <w:rPr>
          <w:lang w:val="en-US"/>
        </w:rPr>
        <w:t xml:space="preserve"> </w:t>
      </w:r>
      <w:hyperlink r:id="rId100" w:history="1">
        <w:r w:rsidRPr="0031555A">
          <w:rPr>
            <w:rStyle w:val="Collegamentoipertestuale"/>
            <w:lang w:val="en-US"/>
          </w:rPr>
          <w:t>http://www.aph.gov.au/Parliamentary_Business/Committees/Senate/Education_and_Employment/AustralianEducation2017/Report</w:t>
        </w:r>
      </w:hyperlink>
      <w:r>
        <w:rPr>
          <w:lang w:val="en-US"/>
        </w:rPr>
        <w:t xml:space="preserve"> (viewed 12 September 2017). </w:t>
      </w:r>
    </w:p>
  </w:endnote>
  <w:endnote w:id="158">
    <w:p w:rsidR="00C3563C" w:rsidRPr="00A41077" w:rsidRDefault="00C3563C" w:rsidP="00B87D45">
      <w:pPr>
        <w:pStyle w:val="Testonotadichiusura"/>
        <w:rPr>
          <w:lang w:val="en-US"/>
        </w:rPr>
      </w:pPr>
      <w:r>
        <w:rPr>
          <w:rStyle w:val="Rimandonotadichiusura"/>
        </w:rPr>
        <w:endnoteRef/>
      </w:r>
      <w:r>
        <w:t xml:space="preserve"> </w:t>
      </w:r>
      <w:r>
        <w:rPr>
          <w:lang w:val="en-US"/>
        </w:rPr>
        <w:t>Parliamentary Joint Committee on Human Rights, Parliament of Australia</w:t>
      </w:r>
      <w:r w:rsidRPr="00F17FD1">
        <w:rPr>
          <w:i/>
          <w:lang w:val="en-US"/>
        </w:rPr>
        <w:t>, Report 5 of 2017</w:t>
      </w:r>
      <w:r>
        <w:rPr>
          <w:lang w:val="en-US"/>
        </w:rPr>
        <w:t xml:space="preserve">. 49. At </w:t>
      </w:r>
      <w:hyperlink r:id="rId101" w:history="1">
        <w:r w:rsidRPr="007C50AF">
          <w:rPr>
            <w:rStyle w:val="Collegamentoipertestuale"/>
            <w:lang w:val="en-US"/>
          </w:rPr>
          <w:t>http://www.aph.gov.au/Parliamentary_Business/Committees/Joint/Human_Rights/Scrutiny_reports/2017/Report_5_of_2017</w:t>
        </w:r>
      </w:hyperlink>
      <w:r>
        <w:rPr>
          <w:lang w:val="en-US"/>
        </w:rPr>
        <w:t xml:space="preserve"> (viewed 12 September 2017). </w:t>
      </w:r>
    </w:p>
  </w:endnote>
  <w:endnote w:id="159">
    <w:p w:rsidR="00C3563C" w:rsidRDefault="00C3563C" w:rsidP="00B87D45">
      <w:pPr>
        <w:pStyle w:val="Testonotadichiusura"/>
      </w:pPr>
      <w:r>
        <w:rPr>
          <w:rStyle w:val="Rimandonotadichiusura"/>
        </w:rPr>
        <w:endnoteRef/>
      </w:r>
      <w:r>
        <w:t xml:space="preserve"> Parliament of Australia, </w:t>
      </w:r>
      <w:r w:rsidRPr="00283BF6">
        <w:t>Australian Education Amendment Bill 2017</w:t>
      </w:r>
      <w:r>
        <w:t xml:space="preserve"> (Cth): Bill progress 2017. At</w:t>
      </w:r>
      <w:r w:rsidRPr="00B743C5">
        <w:t xml:space="preserve"> </w:t>
      </w:r>
      <w:hyperlink r:id="rId102" w:history="1">
        <w:r w:rsidRPr="00FF331F">
          <w:rPr>
            <w:rStyle w:val="Collegamentoipertestuale"/>
          </w:rPr>
          <w:t>http://www.aph.gov.au/Parliamentary_Business/Bills_Legislation/Bills_Search_Results/Result?bId=r5866</w:t>
        </w:r>
      </w:hyperlink>
      <w:r>
        <w:t xml:space="preserve"> (viewed 16 October 2017). </w:t>
      </w:r>
    </w:p>
  </w:endnote>
  <w:endnote w:id="160">
    <w:p w:rsidR="00C3563C" w:rsidRDefault="00C3563C" w:rsidP="00B87D45">
      <w:pPr>
        <w:pStyle w:val="Testonotadichiusura"/>
      </w:pPr>
      <w:r>
        <w:rPr>
          <w:rStyle w:val="Rimandonotadichiusura"/>
        </w:rPr>
        <w:endnoteRef/>
      </w:r>
      <w:r>
        <w:t xml:space="preserve"> Parliament of Australia, </w:t>
      </w:r>
      <w:r w:rsidRPr="00283BF6">
        <w:t>Marriage Legislation Amendment Bill 2016</w:t>
      </w:r>
      <w:r>
        <w:t xml:space="preserve"> (Cth): Bill Progress 2017. At </w:t>
      </w:r>
      <w:hyperlink r:id="rId103" w:history="1">
        <w:r w:rsidRPr="000F68B0">
          <w:rPr>
            <w:rStyle w:val="Collegamentoipertestuale"/>
          </w:rPr>
          <w:t>http://www.aph.gov.au/Parliamentary_Business/Bills_Legislation/Bills_Search_Results/Result?bId=r5708</w:t>
        </w:r>
      </w:hyperlink>
      <w:r>
        <w:rPr>
          <w:rStyle w:val="Collegamentoipertestuale"/>
        </w:rPr>
        <w:t xml:space="preserve"> </w:t>
      </w:r>
      <w:r>
        <w:rPr>
          <w:rStyle w:val="Collegamentoipertestuale"/>
          <w:u w:val="none"/>
        </w:rPr>
        <w:t>(viewed 16 October</w:t>
      </w:r>
      <w:r w:rsidRPr="00283BF6">
        <w:rPr>
          <w:rStyle w:val="Collegamentoipertestuale"/>
          <w:u w:val="none"/>
        </w:rPr>
        <w:t xml:space="preserve"> 2017).</w:t>
      </w:r>
    </w:p>
  </w:endnote>
  <w:endnote w:id="161">
    <w:p w:rsidR="00C3563C" w:rsidRDefault="00C3563C" w:rsidP="00B87D45">
      <w:pPr>
        <w:pStyle w:val="Testonotadichiusura"/>
      </w:pPr>
      <w:r>
        <w:rPr>
          <w:rStyle w:val="Rimandonotadichiusura"/>
        </w:rPr>
        <w:endnoteRef/>
      </w:r>
      <w:r>
        <w:t xml:space="preserve"> Explanatory Memorandum, </w:t>
      </w:r>
      <w:r w:rsidRPr="00283BF6">
        <w:t>Marriage Legislation Amendment Bill 2016</w:t>
      </w:r>
      <w:r>
        <w:t xml:space="preserve"> (Cth) 10. </w:t>
      </w:r>
    </w:p>
  </w:endnote>
  <w:endnote w:id="162">
    <w:p w:rsidR="00C3563C" w:rsidRPr="00561E73" w:rsidRDefault="00C3563C" w:rsidP="00B87D45">
      <w:pPr>
        <w:pStyle w:val="Testonotadichiusura"/>
        <w:rPr>
          <w:lang w:val="en-US"/>
        </w:rPr>
      </w:pPr>
      <w:r w:rsidRPr="00896F8A">
        <w:rPr>
          <w:rStyle w:val="Rimandonotadichiusura"/>
        </w:rPr>
        <w:endnoteRef/>
      </w:r>
      <w:r w:rsidRPr="00896F8A">
        <w:t xml:space="preserve"> </w:t>
      </w:r>
      <w:r w:rsidRPr="00896F8A">
        <w:rPr>
          <w:lang w:val="en-US"/>
        </w:rPr>
        <w:t>Explanatory Memorandum, Marriage Legislation Amendment Bill 2016 (Cth) 6.</w:t>
      </w:r>
    </w:p>
  </w:endnote>
  <w:endnote w:id="163">
    <w:p w:rsidR="00C3563C" w:rsidRPr="006E690D" w:rsidRDefault="00C3563C" w:rsidP="00B87D45">
      <w:pPr>
        <w:pStyle w:val="Testonotadichiusura"/>
      </w:pPr>
      <w:r>
        <w:rPr>
          <w:rStyle w:val="Rimandonotadichiusura"/>
        </w:rPr>
        <w:endnoteRef/>
      </w:r>
      <w:r>
        <w:t xml:space="preserve"> Parliamentary Joint Committee on Human Rights, Parliament of Australia, </w:t>
      </w:r>
      <w:r w:rsidRPr="00283BF6">
        <w:t>Report 8 of 2016</w:t>
      </w:r>
      <w:r>
        <w:rPr>
          <w:i/>
        </w:rPr>
        <w:t xml:space="preserve"> </w:t>
      </w:r>
      <w:r>
        <w:t>41. At</w:t>
      </w:r>
      <w:r w:rsidRPr="006C2CF4">
        <w:t xml:space="preserve"> </w:t>
      </w:r>
      <w:hyperlink r:id="rId104" w:history="1">
        <w:r w:rsidRPr="0031555A">
          <w:rPr>
            <w:rStyle w:val="Collegamentoipertestuale"/>
          </w:rPr>
          <w:t>http://www.aph.gov.au/Parliamentary_Business/Committees/Joint/Human_Rights/Scrutiny_reports/2016/Report_8_of_2016</w:t>
        </w:r>
      </w:hyperlink>
      <w:r>
        <w:t xml:space="preserve"> (viewed 12 September 2017). </w:t>
      </w:r>
    </w:p>
  </w:endnote>
  <w:endnote w:id="164">
    <w:p w:rsidR="00C3563C" w:rsidRDefault="00C3563C" w:rsidP="00B87D45">
      <w:pPr>
        <w:pStyle w:val="Testonotadichiusura"/>
      </w:pPr>
      <w:r>
        <w:rPr>
          <w:rStyle w:val="Rimandonotadichiusura"/>
        </w:rPr>
        <w:endnoteRef/>
      </w:r>
      <w:r>
        <w:t xml:space="preserve"> Parliament of Australia, </w:t>
      </w:r>
      <w:r w:rsidRPr="00283BF6">
        <w:t>Marriage Legislation Amendment Bill 2016</w:t>
      </w:r>
      <w:r>
        <w:t xml:space="preserve"> (Cth): Bill Progress 2017. At </w:t>
      </w:r>
      <w:hyperlink r:id="rId105" w:history="1">
        <w:r w:rsidRPr="000F68B0">
          <w:rPr>
            <w:rStyle w:val="Collegamentoipertestuale"/>
          </w:rPr>
          <w:t>http://www.aph.gov.au/Parliamentary_Business/Bills_Legislation/Bills_Search_Results/Result?bId=r5708</w:t>
        </w:r>
      </w:hyperlink>
      <w:r>
        <w:t xml:space="preserve"> (viewed 16 October 2017).</w:t>
      </w:r>
    </w:p>
  </w:endnote>
  <w:endnote w:id="165">
    <w:p w:rsidR="00C3563C" w:rsidRPr="00363A1B" w:rsidRDefault="00C3563C" w:rsidP="00B87D45">
      <w:pPr>
        <w:pStyle w:val="Testonotadichiusura"/>
        <w:rPr>
          <w:lang w:val="en-US"/>
        </w:rPr>
      </w:pPr>
      <w:r>
        <w:rPr>
          <w:rStyle w:val="Rimandonotadichiusura"/>
        </w:rPr>
        <w:endnoteRef/>
      </w:r>
      <w:r>
        <w:t xml:space="preserve"> </w:t>
      </w:r>
      <w:r>
        <w:rPr>
          <w:lang w:val="en-US"/>
        </w:rPr>
        <w:t xml:space="preserve">Parliament of Australia, </w:t>
      </w:r>
      <w:r w:rsidRPr="00283BF6">
        <w:rPr>
          <w:lang w:val="en-US"/>
        </w:rPr>
        <w:t>Fairer Paid Parental Leave Bill 2016 (</w:t>
      </w:r>
      <w:r>
        <w:rPr>
          <w:lang w:val="en-US"/>
        </w:rPr>
        <w:t>Cth): Bill Progress 2017. At</w:t>
      </w:r>
      <w:r w:rsidRPr="00466D15">
        <w:t xml:space="preserve"> </w:t>
      </w:r>
      <w:hyperlink r:id="rId106" w:history="1">
        <w:r w:rsidRPr="007C50AF">
          <w:rPr>
            <w:rStyle w:val="Collegamentoipertestuale"/>
            <w:lang w:val="en-US"/>
          </w:rPr>
          <w:t>http://www.aph.gov.au/Parliamentary_Business/Bills_Legislation/Bills_Search_Results/Result?bId=r5752</w:t>
        </w:r>
      </w:hyperlink>
      <w:r>
        <w:rPr>
          <w:lang w:val="en-US"/>
        </w:rPr>
        <w:t xml:space="preserve"> (viewed 12 September 2017).</w:t>
      </w:r>
    </w:p>
  </w:endnote>
  <w:endnote w:id="166">
    <w:p w:rsidR="00C3563C" w:rsidRDefault="00C3563C" w:rsidP="00B87D45">
      <w:pPr>
        <w:pStyle w:val="Testonotadichiusura"/>
      </w:pPr>
      <w:r>
        <w:rPr>
          <w:rStyle w:val="Rimandonotadichiusura"/>
        </w:rPr>
        <w:endnoteRef/>
      </w:r>
      <w:r>
        <w:t xml:space="preserve"> Senate Community Affairs Legislation Committee, Parliament of Australia, </w:t>
      </w:r>
      <w:r w:rsidRPr="007C1B1E">
        <w:rPr>
          <w:i/>
        </w:rPr>
        <w:t>Fairer Paid Parental Leave Bill 2016</w:t>
      </w:r>
      <w:r>
        <w:t xml:space="preserve"> [Provisions] (2017) 2. At </w:t>
      </w:r>
      <w:hyperlink r:id="rId107" w:history="1">
        <w:r w:rsidRPr="0031555A">
          <w:rPr>
            <w:rStyle w:val="Collegamentoipertestuale"/>
          </w:rPr>
          <w:t>http://www.aph.gov.au/Parliamentary_Business/Committees/Senate/Community_Affairs/FairerParentalLeave2016/Report</w:t>
        </w:r>
      </w:hyperlink>
      <w:r>
        <w:t xml:space="preserve"> (viewed 12 September 2017). </w:t>
      </w:r>
    </w:p>
  </w:endnote>
  <w:endnote w:id="167">
    <w:p w:rsidR="00C3563C" w:rsidRDefault="00C3563C" w:rsidP="00B87D45">
      <w:pPr>
        <w:pStyle w:val="Testonotadichiusura"/>
      </w:pPr>
      <w:r>
        <w:rPr>
          <w:rStyle w:val="Rimandonotadichiusura"/>
        </w:rPr>
        <w:endnoteRef/>
      </w:r>
      <w:r>
        <w:t xml:space="preserve"> Explanatory Memorandum, </w:t>
      </w:r>
      <w:r w:rsidRPr="00283BF6">
        <w:t xml:space="preserve">Social Services Legislation Amendment (Omnibus Savings and Child </w:t>
      </w:r>
      <w:r w:rsidRPr="00896F8A">
        <w:t>Care Reform) 2017 (Cth) Bill 5.</w:t>
      </w:r>
    </w:p>
  </w:endnote>
  <w:endnote w:id="168">
    <w:p w:rsidR="00C3563C" w:rsidRPr="00C7542C" w:rsidRDefault="00C3563C" w:rsidP="00B87D45">
      <w:pPr>
        <w:pStyle w:val="Testonotadichiusura"/>
        <w:rPr>
          <w:lang w:val="en-US"/>
        </w:rPr>
      </w:pPr>
      <w:r>
        <w:rPr>
          <w:rStyle w:val="Rimandonotadichiusura"/>
        </w:rPr>
        <w:endnoteRef/>
      </w:r>
      <w:r>
        <w:t xml:space="preserve"> </w:t>
      </w:r>
      <w:r>
        <w:rPr>
          <w:lang w:val="en-US"/>
        </w:rPr>
        <w:t xml:space="preserve">Parliament of Australia, </w:t>
      </w:r>
      <w:r w:rsidRPr="00283BF6">
        <w:rPr>
          <w:lang w:val="en-US"/>
        </w:rPr>
        <w:t>Fairer Paid Parental Leave Bill 2016</w:t>
      </w:r>
      <w:r>
        <w:rPr>
          <w:lang w:val="en-US"/>
        </w:rPr>
        <w:t xml:space="preserve"> (Cth): Bill Progress 2017. At </w:t>
      </w:r>
      <w:hyperlink r:id="rId108" w:history="1">
        <w:r w:rsidRPr="007C50AF">
          <w:rPr>
            <w:rStyle w:val="Collegamentoipertestuale"/>
            <w:lang w:val="en-US"/>
          </w:rPr>
          <w:t>http://www.aph.gov.au/Parliamentary_Business/Bills_Legislation/Bills_Search_Results/Result?bId=r5752</w:t>
        </w:r>
      </w:hyperlink>
      <w:r>
        <w:rPr>
          <w:lang w:val="en-US"/>
        </w:rPr>
        <w:t xml:space="preserve"> (viewed 16 October 2017).</w:t>
      </w:r>
    </w:p>
  </w:endnote>
  <w:endnote w:id="169">
    <w:p w:rsidR="00C3563C" w:rsidRPr="00A015F0" w:rsidRDefault="00C3563C" w:rsidP="00B87D45">
      <w:pPr>
        <w:pStyle w:val="Testonotadichiusura"/>
        <w:rPr>
          <w:lang w:val="en-US"/>
        </w:rPr>
      </w:pPr>
      <w:r w:rsidRPr="00A51410">
        <w:rPr>
          <w:rStyle w:val="Rimandonotadichiusura"/>
        </w:rPr>
        <w:endnoteRef/>
      </w:r>
      <w:r w:rsidRPr="00A51410">
        <w:t xml:space="preserve"> </w:t>
      </w:r>
      <w:r w:rsidRPr="00A51410">
        <w:rPr>
          <w:lang w:val="en-US"/>
        </w:rPr>
        <w:t xml:space="preserve">Parliament of Australia, </w:t>
      </w:r>
      <w:r w:rsidRPr="00283BF6">
        <w:rPr>
          <w:lang w:val="en-US"/>
        </w:rPr>
        <w:t>VET Student Loans Bill 2016</w:t>
      </w:r>
      <w:r>
        <w:rPr>
          <w:lang w:val="en-US"/>
        </w:rPr>
        <w:t xml:space="preserve"> (Cth): </w:t>
      </w:r>
      <w:r w:rsidRPr="00A51410">
        <w:rPr>
          <w:lang w:val="en-US"/>
        </w:rPr>
        <w:t>Bill Progress 2017</w:t>
      </w:r>
      <w:r>
        <w:rPr>
          <w:lang w:val="en-US"/>
        </w:rPr>
        <w:t xml:space="preserve">. At </w:t>
      </w:r>
      <w:hyperlink r:id="rId109" w:history="1">
        <w:r w:rsidRPr="0031555A">
          <w:rPr>
            <w:rStyle w:val="Collegamentoipertestuale"/>
            <w:lang w:val="en-US"/>
          </w:rPr>
          <w:t>http://www.aph.gov.au/Parliamentary_Business/Bills_Legislation/Bills_Search_Results/Result?bId=r5744</w:t>
        </w:r>
      </w:hyperlink>
      <w:r>
        <w:rPr>
          <w:lang w:val="en-US"/>
        </w:rPr>
        <w:t xml:space="preserve"> (viewed 16 October 2017). </w:t>
      </w:r>
    </w:p>
  </w:endnote>
  <w:endnote w:id="170">
    <w:p w:rsidR="00C3563C" w:rsidRPr="0070126D" w:rsidRDefault="00C3563C" w:rsidP="00B87D45">
      <w:pPr>
        <w:pStyle w:val="Testonotadichiusura"/>
        <w:rPr>
          <w:lang w:val="en-US"/>
        </w:rPr>
      </w:pPr>
      <w:r>
        <w:rPr>
          <w:rStyle w:val="Rimandonotadichiusura"/>
        </w:rPr>
        <w:endnoteRef/>
      </w:r>
      <w:r>
        <w:t xml:space="preserve"> </w:t>
      </w:r>
      <w:r>
        <w:rPr>
          <w:lang w:val="en-US"/>
        </w:rPr>
        <w:t xml:space="preserve">Explanatory Memorandum </w:t>
      </w:r>
      <w:r w:rsidRPr="00283BF6">
        <w:rPr>
          <w:lang w:val="en-US"/>
        </w:rPr>
        <w:t>VET Student Loan Bill 2017</w:t>
      </w:r>
      <w:r>
        <w:rPr>
          <w:lang w:val="en-US"/>
        </w:rPr>
        <w:t xml:space="preserve"> (Cth) 9. </w:t>
      </w:r>
    </w:p>
  </w:endnote>
  <w:endnote w:id="171">
    <w:p w:rsidR="00C3563C" w:rsidRPr="00E26F89" w:rsidRDefault="00C3563C" w:rsidP="00B87D45">
      <w:pPr>
        <w:pStyle w:val="Testonotadichiusura"/>
        <w:rPr>
          <w:lang w:val="en-US"/>
        </w:rPr>
      </w:pPr>
      <w:r>
        <w:rPr>
          <w:rStyle w:val="Rimandonotadichiusura"/>
        </w:rPr>
        <w:endnoteRef/>
      </w:r>
      <w:r>
        <w:t xml:space="preserve"> </w:t>
      </w:r>
      <w:r w:rsidRPr="00752843">
        <w:rPr>
          <w:lang w:val="en-US"/>
        </w:rPr>
        <w:t xml:space="preserve">Senate Education and Employment Committee, </w:t>
      </w:r>
      <w:r>
        <w:rPr>
          <w:lang w:val="en-US"/>
        </w:rPr>
        <w:t xml:space="preserve">Parliament of Australia, </w:t>
      </w:r>
      <w:r w:rsidRPr="007C1B1E">
        <w:rPr>
          <w:i/>
          <w:lang w:val="en-US"/>
        </w:rPr>
        <w:t>VET Student Loans package</w:t>
      </w:r>
      <w:r w:rsidRPr="00752843">
        <w:rPr>
          <w:lang w:val="en-US"/>
        </w:rPr>
        <w:t xml:space="preserve"> (2017) 61. </w:t>
      </w:r>
      <w:r>
        <w:rPr>
          <w:lang w:val="en-US"/>
        </w:rPr>
        <w:t xml:space="preserve">At </w:t>
      </w:r>
      <w:hyperlink r:id="rId110" w:history="1">
        <w:r w:rsidRPr="0031555A">
          <w:rPr>
            <w:rStyle w:val="Collegamentoipertestuale"/>
            <w:lang w:val="en-US"/>
          </w:rPr>
          <w:t>http://www.aph.gov.au/Parliamentary_Business/Committees/Senate/Education_and_Employment/VETStudentLoans</w:t>
        </w:r>
      </w:hyperlink>
      <w:r>
        <w:rPr>
          <w:lang w:val="en-US"/>
        </w:rPr>
        <w:t xml:space="preserve"> (viewed 12 September 2017). </w:t>
      </w:r>
    </w:p>
  </w:endnote>
  <w:endnote w:id="172">
    <w:p w:rsidR="00C3563C" w:rsidRPr="0053448B" w:rsidRDefault="00C3563C" w:rsidP="00B87D45">
      <w:pPr>
        <w:pStyle w:val="Testonotadichiusura"/>
        <w:rPr>
          <w:lang w:val="en-US"/>
        </w:rPr>
      </w:pPr>
      <w:r>
        <w:rPr>
          <w:rStyle w:val="Rimandonotadichiusura"/>
        </w:rPr>
        <w:endnoteRef/>
      </w:r>
      <w:r>
        <w:t xml:space="preserve"> </w:t>
      </w:r>
      <w:r>
        <w:rPr>
          <w:lang w:val="en-US"/>
        </w:rPr>
        <w:t xml:space="preserve">Parliamentary Joint Committee on Human Rights, Parliament of Australia, </w:t>
      </w:r>
      <w:r w:rsidRPr="00F17FD1">
        <w:rPr>
          <w:i/>
          <w:lang w:val="en-US"/>
        </w:rPr>
        <w:t>Report 8 of 2016</w:t>
      </w:r>
      <w:r w:rsidRPr="00283BF6">
        <w:rPr>
          <w:lang w:val="en-US"/>
        </w:rPr>
        <w:t>,</w:t>
      </w:r>
      <w:r>
        <w:rPr>
          <w:lang w:val="en-US"/>
        </w:rPr>
        <w:t xml:space="preserve"> 55. At</w:t>
      </w:r>
      <w:r w:rsidRPr="00AF2C52">
        <w:t xml:space="preserve"> </w:t>
      </w:r>
      <w:hyperlink r:id="rId111" w:history="1">
        <w:r w:rsidRPr="0031555A">
          <w:rPr>
            <w:rStyle w:val="Collegamentoipertestuale"/>
            <w:lang w:val="en-US"/>
          </w:rPr>
          <w:t>http://www.aph.gov.au/Parliamentary_Business/Committees/Joint/Human_Rights/Scrutiny_reports/2016</w:t>
        </w:r>
      </w:hyperlink>
      <w:r>
        <w:rPr>
          <w:lang w:val="en-US"/>
        </w:rPr>
        <w:t xml:space="preserve"> (viewed 12 September 2017).</w:t>
      </w:r>
    </w:p>
  </w:endnote>
  <w:endnote w:id="173">
    <w:p w:rsidR="00C3563C" w:rsidRPr="007C2E22" w:rsidRDefault="00C3563C" w:rsidP="00B87D45">
      <w:pPr>
        <w:pStyle w:val="Testonotadichiusura"/>
        <w:rPr>
          <w:lang w:val="en-US"/>
        </w:rPr>
      </w:pPr>
      <w:r>
        <w:rPr>
          <w:rStyle w:val="Rimandonotadichiusura"/>
        </w:rPr>
        <w:endnoteRef/>
      </w:r>
      <w:r>
        <w:t xml:space="preserve"> </w:t>
      </w:r>
      <w:r>
        <w:rPr>
          <w:lang w:val="en-US"/>
        </w:rPr>
        <w:t xml:space="preserve">Parliament of Australia, </w:t>
      </w:r>
      <w:r w:rsidRPr="00283BF6">
        <w:rPr>
          <w:lang w:val="en-US"/>
        </w:rPr>
        <w:t>VET Student Loans Bill 2016</w:t>
      </w:r>
      <w:r>
        <w:rPr>
          <w:lang w:val="en-US"/>
        </w:rPr>
        <w:t xml:space="preserve"> (Cth): Bill Progress 2017. At</w:t>
      </w:r>
      <w:r w:rsidRPr="00AF2C52">
        <w:t xml:space="preserve"> </w:t>
      </w:r>
      <w:hyperlink r:id="rId112" w:history="1">
        <w:r w:rsidRPr="0031555A">
          <w:rPr>
            <w:rStyle w:val="Collegamentoipertestuale"/>
            <w:lang w:val="en-US"/>
          </w:rPr>
          <w:t>http://www.aph.gov.au/Parliamentary_Business/Bills_Legislation/Bills_Search_Results/Result?bId=r5744</w:t>
        </w:r>
      </w:hyperlink>
      <w:r>
        <w:rPr>
          <w:lang w:val="en-US"/>
        </w:rPr>
        <w:t xml:space="preserve"> (viewed 16 October 2017).</w:t>
      </w:r>
    </w:p>
  </w:endnote>
  <w:endnote w:id="174">
    <w:p w:rsidR="00C3563C" w:rsidRDefault="00C3563C" w:rsidP="00B87D45">
      <w:pPr>
        <w:pStyle w:val="Testonotadichiusura"/>
      </w:pPr>
      <w:r>
        <w:rPr>
          <w:rStyle w:val="Rimandonotadichiusura"/>
        </w:rPr>
        <w:endnoteRef/>
      </w:r>
      <w:r>
        <w:t xml:space="preserve"> Parliament of Australia, Crimes Legislation Amendment (Powers, Offences and Other Measures) Bill 2017 (Cth): Bill Progress 2017. At </w:t>
      </w:r>
      <w:hyperlink r:id="rId113" w:history="1">
        <w:r w:rsidRPr="006E3CE8">
          <w:rPr>
            <w:rStyle w:val="Collegamentoipertestuale"/>
          </w:rPr>
          <w:t>https://www.aph.gov.au/Parliamentary_Business/Bills_Legislation/Bills_Search_Results/Result?bId=r5838</w:t>
        </w:r>
      </w:hyperlink>
      <w:r>
        <w:t xml:space="preserve"> (viewed 16 October 2017).</w:t>
      </w:r>
    </w:p>
  </w:endnote>
  <w:endnote w:id="175">
    <w:p w:rsidR="00C3563C" w:rsidRPr="004D4284" w:rsidRDefault="00C3563C" w:rsidP="00B87D45">
      <w:pPr>
        <w:pStyle w:val="Testonotadichiusura"/>
        <w:rPr>
          <w:lang w:val="en-US"/>
        </w:rPr>
      </w:pPr>
      <w:r>
        <w:rPr>
          <w:rStyle w:val="Rimandonotadichiusura"/>
        </w:rPr>
        <w:endnoteRef/>
      </w:r>
      <w:r>
        <w:t xml:space="preserve"> </w:t>
      </w:r>
      <w:r>
        <w:rPr>
          <w:lang w:val="en-US"/>
        </w:rPr>
        <w:t xml:space="preserve">Explanatory Memorandum, </w:t>
      </w:r>
      <w:r w:rsidRPr="00283BF6">
        <w:rPr>
          <w:lang w:val="en-US"/>
        </w:rPr>
        <w:t>Crimes Legislation Amendment (Powers, Offences and Other Measures) Bill 2017</w:t>
      </w:r>
      <w:r>
        <w:rPr>
          <w:lang w:val="en-US"/>
        </w:rPr>
        <w:t xml:space="preserve"> (Cth) 2. </w:t>
      </w:r>
    </w:p>
  </w:endnote>
  <w:endnote w:id="176">
    <w:p w:rsidR="00C3563C" w:rsidRPr="004D4284" w:rsidRDefault="00C3563C" w:rsidP="00B87D45">
      <w:pPr>
        <w:pStyle w:val="Testonotadichiusura"/>
        <w:rPr>
          <w:lang w:val="en-US"/>
        </w:rPr>
      </w:pPr>
      <w:r>
        <w:rPr>
          <w:rStyle w:val="Rimandonotadichiusura"/>
        </w:rPr>
        <w:endnoteRef/>
      </w:r>
      <w:r>
        <w:t xml:space="preserve"> </w:t>
      </w:r>
      <w:r>
        <w:rPr>
          <w:lang w:val="en-US"/>
        </w:rPr>
        <w:t xml:space="preserve">Explanatory Memorandum, </w:t>
      </w:r>
      <w:r w:rsidRPr="00283BF6">
        <w:rPr>
          <w:lang w:val="en-US"/>
        </w:rPr>
        <w:t>Crimes Legislation Amendment (Powers, Offences and Other Measures) Bill 2017</w:t>
      </w:r>
      <w:r>
        <w:rPr>
          <w:lang w:val="en-US"/>
        </w:rPr>
        <w:t xml:space="preserve"> (Cth) 17. </w:t>
      </w:r>
    </w:p>
  </w:endnote>
  <w:endnote w:id="177">
    <w:p w:rsidR="00C3563C" w:rsidRPr="008E59C5" w:rsidRDefault="00C3563C" w:rsidP="00B87D45">
      <w:pPr>
        <w:pStyle w:val="Testonotadichiusura"/>
        <w:rPr>
          <w:lang w:val="en-US"/>
        </w:rPr>
      </w:pPr>
      <w:r>
        <w:rPr>
          <w:rStyle w:val="Rimandonotadichiusura"/>
        </w:rPr>
        <w:endnoteRef/>
      </w:r>
      <w:r>
        <w:t xml:space="preserve"> </w:t>
      </w:r>
      <w:r>
        <w:rPr>
          <w:lang w:val="en-US"/>
        </w:rPr>
        <w:t xml:space="preserve">Explanatory Memorandum, </w:t>
      </w:r>
      <w:r w:rsidRPr="00283BF6">
        <w:rPr>
          <w:lang w:val="en-US"/>
        </w:rPr>
        <w:t>Crimes Legislation Amendment (Powers, Offences and Other Measures) Bill 2017</w:t>
      </w:r>
      <w:r>
        <w:rPr>
          <w:lang w:val="en-US"/>
        </w:rPr>
        <w:t xml:space="preserve"> (Cth) 17.</w:t>
      </w:r>
    </w:p>
  </w:endnote>
  <w:endnote w:id="178">
    <w:p w:rsidR="00C3563C" w:rsidRPr="008E59C5" w:rsidRDefault="00C3563C" w:rsidP="00B87D45">
      <w:pPr>
        <w:pStyle w:val="Testonotadichiusura"/>
        <w:rPr>
          <w:lang w:val="en-US"/>
        </w:rPr>
      </w:pPr>
      <w:r>
        <w:rPr>
          <w:rStyle w:val="Rimandonotadichiusura"/>
        </w:rPr>
        <w:endnoteRef/>
      </w:r>
      <w:r>
        <w:t xml:space="preserve"> </w:t>
      </w:r>
      <w:r>
        <w:rPr>
          <w:lang w:val="en-US"/>
        </w:rPr>
        <w:t xml:space="preserve">United Nations Human Rights Committee, </w:t>
      </w:r>
      <w:r w:rsidRPr="0012056C">
        <w:rPr>
          <w:i/>
          <w:lang w:val="en-US"/>
        </w:rPr>
        <w:t>Concluding observations on the fifth periodic report of Australia</w:t>
      </w:r>
      <w:r>
        <w:rPr>
          <w:lang w:val="en-US"/>
        </w:rPr>
        <w:t xml:space="preserve">, UN Doc </w:t>
      </w:r>
      <w:r w:rsidRPr="0012056C">
        <w:rPr>
          <w:lang w:val="en-US"/>
        </w:rPr>
        <w:t>CCPR/C/AUS/CO/5</w:t>
      </w:r>
      <w:r>
        <w:rPr>
          <w:lang w:val="en-US"/>
        </w:rPr>
        <w:t xml:space="preserve"> (</w:t>
      </w:r>
      <w:r w:rsidRPr="0012056C">
        <w:rPr>
          <w:lang w:val="en-US"/>
        </w:rPr>
        <w:t>7 May 2009</w:t>
      </w:r>
      <w:r>
        <w:rPr>
          <w:lang w:val="en-US"/>
        </w:rPr>
        <w:t xml:space="preserve">) para </w:t>
      </w:r>
      <w:r w:rsidRPr="0012056C">
        <w:rPr>
          <w:lang w:val="en-US"/>
        </w:rPr>
        <w:t>20.</w:t>
      </w:r>
      <w:r>
        <w:rPr>
          <w:lang w:val="en-US"/>
        </w:rPr>
        <w:t xml:space="preserve"> At </w:t>
      </w:r>
      <w:hyperlink r:id="rId114" w:history="1">
        <w:r w:rsidRPr="00ED6B50">
          <w:rPr>
            <w:rStyle w:val="Collegamentoipertestuale"/>
          </w:rPr>
          <w:t>http://tbinternet.ohchr.org/_layouts/treatybodyexternal/Download.aspx?symbolno=CCPR%2fC%2fAUS%2fCO%2f5&amp;Lang=en</w:t>
        </w:r>
      </w:hyperlink>
      <w:r>
        <w:t xml:space="preserve"> </w:t>
      </w:r>
      <w:r>
        <w:rPr>
          <w:lang w:val="en-US"/>
        </w:rPr>
        <w:t xml:space="preserve">(viewed 26 September 2017). </w:t>
      </w:r>
    </w:p>
  </w:endnote>
  <w:endnote w:id="179">
    <w:p w:rsidR="00C3563C" w:rsidRDefault="00C3563C" w:rsidP="00B87D45">
      <w:pPr>
        <w:pStyle w:val="Testonotadichiusura"/>
      </w:pPr>
      <w:r>
        <w:rPr>
          <w:rStyle w:val="Rimandonotadichiusura"/>
        </w:rPr>
        <w:endnoteRef/>
      </w:r>
      <w:r>
        <w:t xml:space="preserve"> </w:t>
      </w:r>
      <w:r>
        <w:rPr>
          <w:lang w:val="en-US"/>
        </w:rPr>
        <w:t xml:space="preserve">Parliamentary Joint Committee on Human Rights, Parliament of Australia, </w:t>
      </w:r>
      <w:r w:rsidRPr="00F17FD1">
        <w:rPr>
          <w:i/>
          <w:lang w:val="en-US"/>
        </w:rPr>
        <w:t>Report 4 of 2017</w:t>
      </w:r>
      <w:r>
        <w:rPr>
          <w:lang w:val="en-US"/>
        </w:rPr>
        <w:t xml:space="preserve"> (2017) 5. At </w:t>
      </w:r>
      <w:hyperlink r:id="rId115" w:history="1">
        <w:r w:rsidRPr="0031555A">
          <w:rPr>
            <w:rStyle w:val="Collegamentoipertestuale"/>
            <w:lang w:val="en-US"/>
          </w:rPr>
          <w:t>http://www.aph.gov.au/Parliamentary_Business/Committees/Joint/Human_Rights/Scrutiny_reports/2017</w:t>
        </w:r>
      </w:hyperlink>
      <w:r>
        <w:rPr>
          <w:lang w:val="en-US"/>
        </w:rPr>
        <w:t xml:space="preserve"> (viewed 12 September 2017). </w:t>
      </w:r>
    </w:p>
  </w:endnote>
  <w:endnote w:id="180">
    <w:p w:rsidR="00C3563C" w:rsidRDefault="00C3563C" w:rsidP="00B87D45">
      <w:pPr>
        <w:pStyle w:val="Testonotadichiusura"/>
      </w:pPr>
      <w:r>
        <w:rPr>
          <w:rStyle w:val="Rimandonotadichiusura"/>
        </w:rPr>
        <w:endnoteRef/>
      </w:r>
      <w:r>
        <w:t xml:space="preserve"> </w:t>
      </w:r>
      <w:r>
        <w:rPr>
          <w:lang w:val="en-US"/>
        </w:rPr>
        <w:t xml:space="preserve">Parliamentary Joint Committee on Human Rights, Parliament of Australia, </w:t>
      </w:r>
      <w:r w:rsidRPr="00F17FD1">
        <w:rPr>
          <w:i/>
          <w:lang w:val="en-US"/>
        </w:rPr>
        <w:t>Report 5 of 2017</w:t>
      </w:r>
      <w:r>
        <w:rPr>
          <w:lang w:val="en-US"/>
        </w:rPr>
        <w:t xml:space="preserve"> (2017) 37. At </w:t>
      </w:r>
      <w:hyperlink r:id="rId116" w:history="1">
        <w:r w:rsidRPr="0031555A">
          <w:rPr>
            <w:rStyle w:val="Collegamentoipertestuale"/>
            <w:lang w:val="en-US"/>
          </w:rPr>
          <w:t>http://www.aph.gov.au/Parliamentary_Business/Committees/Joint/Human_Rights/Scrutiny_reports/2017/Report_5_of_2017</w:t>
        </w:r>
      </w:hyperlink>
      <w:r>
        <w:rPr>
          <w:lang w:val="en-US"/>
        </w:rPr>
        <w:t xml:space="preserve"> (viewed 12 September 2017).</w:t>
      </w:r>
    </w:p>
  </w:endnote>
  <w:endnote w:id="181">
    <w:p w:rsidR="00C3563C" w:rsidRPr="00792A9C" w:rsidRDefault="00C3563C" w:rsidP="00B87D45">
      <w:pPr>
        <w:pStyle w:val="Testonotadichiusura"/>
        <w:rPr>
          <w:lang w:val="en-US"/>
        </w:rPr>
      </w:pPr>
      <w:r>
        <w:rPr>
          <w:rStyle w:val="Rimandonotadichiusura"/>
        </w:rPr>
        <w:endnoteRef/>
      </w:r>
      <w:r>
        <w:t xml:space="preserve"> </w:t>
      </w:r>
      <w:r>
        <w:rPr>
          <w:lang w:val="en-US"/>
        </w:rPr>
        <w:t xml:space="preserve">Parliamentary Joint Committee on Human Rights, Parliament of Australia, </w:t>
      </w:r>
      <w:r w:rsidRPr="00F17FD1">
        <w:rPr>
          <w:i/>
          <w:lang w:val="en-US"/>
        </w:rPr>
        <w:t>Report 5 of 2017</w:t>
      </w:r>
      <w:r>
        <w:rPr>
          <w:lang w:val="en-US"/>
        </w:rPr>
        <w:t xml:space="preserve"> (2017) 41. At </w:t>
      </w:r>
      <w:hyperlink r:id="rId117" w:history="1">
        <w:r w:rsidRPr="0031555A">
          <w:rPr>
            <w:rStyle w:val="Collegamentoipertestuale"/>
            <w:lang w:val="en-US"/>
          </w:rPr>
          <w:t>http://www.aph.gov.au/Parliamentary_Business/Committees/Joint/Human_Rights/Scrutiny_reports/2017/Report_5_of_2017</w:t>
        </w:r>
      </w:hyperlink>
      <w:r>
        <w:rPr>
          <w:lang w:val="en-US"/>
        </w:rPr>
        <w:t xml:space="preserve"> (viewed 12 September 2017). </w:t>
      </w:r>
    </w:p>
  </w:endnote>
  <w:endnote w:id="182">
    <w:p w:rsidR="00C3563C" w:rsidRPr="00950466" w:rsidRDefault="00C3563C" w:rsidP="00B87D45">
      <w:pPr>
        <w:pStyle w:val="Testonotadichiusura"/>
        <w:rPr>
          <w:lang w:val="en-US"/>
        </w:rPr>
      </w:pPr>
      <w:r>
        <w:rPr>
          <w:rStyle w:val="Rimandonotadichiusura"/>
        </w:rPr>
        <w:endnoteRef/>
      </w:r>
      <w:r>
        <w:t xml:space="preserve"> </w:t>
      </w:r>
      <w:r>
        <w:rPr>
          <w:lang w:val="en-US"/>
        </w:rPr>
        <w:t xml:space="preserve">Parliament of Australia, </w:t>
      </w:r>
      <w:r w:rsidRPr="00283BF6">
        <w:rPr>
          <w:lang w:val="en-US"/>
        </w:rPr>
        <w:t xml:space="preserve">Crimes Legislation Amendment (Powers, Offences and Other Measures) Bill 2017 </w:t>
      </w:r>
      <w:r>
        <w:rPr>
          <w:lang w:val="en-US"/>
        </w:rPr>
        <w:t xml:space="preserve">(Cth): Bill Progress 2017. At </w:t>
      </w:r>
      <w:hyperlink r:id="rId118" w:history="1">
        <w:r w:rsidRPr="0031555A">
          <w:rPr>
            <w:rStyle w:val="Collegamentoipertestuale"/>
            <w:lang w:val="en-US"/>
          </w:rPr>
          <w:t>http://www.aph.gov.au/Parliamentary_Business/Bills_Legislation/Bills_Search_Results/Result?bId=r5838</w:t>
        </w:r>
      </w:hyperlink>
      <w:r>
        <w:rPr>
          <w:lang w:val="en-US"/>
        </w:rPr>
        <w:t xml:space="preserve"> (viewed 12 September 2017). </w:t>
      </w:r>
    </w:p>
  </w:endnote>
  <w:endnote w:id="183">
    <w:p w:rsidR="00C3563C" w:rsidRDefault="00C3563C" w:rsidP="00B87D45">
      <w:pPr>
        <w:pStyle w:val="Testonotadichiusura"/>
      </w:pPr>
      <w:r>
        <w:rPr>
          <w:rStyle w:val="Rimandonotadichiusura"/>
        </w:rPr>
        <w:endnoteRef/>
      </w:r>
      <w:r>
        <w:t xml:space="preserve"> Australian Human Rights Commission, Submission No 10 to Senate Standing Committee for Legal and Constitutional Affairs, Parliament of Australia, </w:t>
      </w:r>
      <w:r w:rsidRPr="00347AFF">
        <w:rPr>
          <w:i/>
        </w:rPr>
        <w:t>Inquiry into the</w:t>
      </w:r>
      <w:r>
        <w:rPr>
          <w:i/>
        </w:rPr>
        <w:t xml:space="preserve"> Crimes Legislation Amendment (Powers, Offences and Other Measures) Bill 2017</w:t>
      </w:r>
      <w:r>
        <w:t>, 21 June 2017, 3.</w:t>
      </w:r>
    </w:p>
  </w:endnote>
  <w:endnote w:id="184">
    <w:p w:rsidR="00C3563C" w:rsidRDefault="00C3563C" w:rsidP="00B87D45">
      <w:pPr>
        <w:pStyle w:val="Testonotadichiusura"/>
      </w:pPr>
      <w:r>
        <w:rPr>
          <w:rStyle w:val="Rimandonotadichiusura"/>
        </w:rPr>
        <w:endnoteRef/>
      </w:r>
      <w:r>
        <w:t xml:space="preserve"> Senate Standing Committee on Legal and Constitutional Affairs, Parliament of Australia, Crimes Legislation Amendment (Powers, Offences and Other Measures) Bill 2017, vii. At </w:t>
      </w:r>
      <w:hyperlink r:id="rId119" w:history="1">
        <w:r w:rsidRPr="000E0923">
          <w:rPr>
            <w:rStyle w:val="Collegamentoipertestuale"/>
          </w:rPr>
          <w:t>http://www.aph.gov.au/Parliamentary_Business/Committees/Senate/Legal_and_Constitutional_Affairs/CrimePowerOffences2017/Report</w:t>
        </w:r>
      </w:hyperlink>
      <w:r>
        <w:t xml:space="preserve"> (viewed 20 September 2017). </w:t>
      </w:r>
    </w:p>
  </w:endnote>
  <w:endnote w:id="185">
    <w:p w:rsidR="00C3563C" w:rsidRDefault="00C3563C" w:rsidP="00B87D45">
      <w:pPr>
        <w:pStyle w:val="Testonotadichiusura"/>
      </w:pPr>
      <w:r>
        <w:rPr>
          <w:rStyle w:val="Rimandonotadichiusura"/>
        </w:rPr>
        <w:endnoteRef/>
      </w:r>
      <w:r>
        <w:t xml:space="preserve"> Senate Standing Committee on Legal and Constitutional Affairs, Parliament of Australia, Crimes Legislation Amendment (Powers, Offences and Other Measures) Bill 2017 (Cth), Additional comments by Australian Labor Senators. At </w:t>
      </w:r>
      <w:hyperlink r:id="rId120" w:history="1">
        <w:r w:rsidRPr="000E0923">
          <w:rPr>
            <w:rStyle w:val="Collegamentoipertestuale"/>
          </w:rPr>
          <w:t>http://www.aph.gov.au/Parliamentary_Business/Committees/Senate/Legal_and_Constitutional_Affairs/CrimePowerOffences2017/Report</w:t>
        </w:r>
      </w:hyperlink>
      <w:r>
        <w:t xml:space="preserve"> (viewed 20 September 2017).</w:t>
      </w:r>
    </w:p>
  </w:endnote>
  <w:endnote w:id="186">
    <w:p w:rsidR="00C3563C" w:rsidRDefault="00C3563C" w:rsidP="00B87D45">
      <w:pPr>
        <w:pStyle w:val="Testonotadichiusura"/>
      </w:pPr>
      <w:r>
        <w:rPr>
          <w:rStyle w:val="Rimandonotadichiusura"/>
        </w:rPr>
        <w:endnoteRef/>
      </w:r>
      <w:r>
        <w:t xml:space="preserve"> Senate Standing Committee on Legal and Constitutional Affairs, Parliament of Australia, Crimes Legislation Amendment (Powers, Offences and Other Measures) Bill 2017 (Cth), Additional comments by Australian Greens Senators. At </w:t>
      </w:r>
      <w:hyperlink r:id="rId121" w:history="1">
        <w:r w:rsidRPr="000E0923">
          <w:rPr>
            <w:rStyle w:val="Collegamentoipertestuale"/>
          </w:rPr>
          <w:t>http://www.aph.gov.au/Parliamentary_Business/Committees/Senate/Legal_and_Constitutional_Affairs/CrimePowerOffences2017/Report</w:t>
        </w:r>
      </w:hyperlink>
      <w:r>
        <w:t xml:space="preserve"> (viewed 20 September 2017).</w:t>
      </w:r>
    </w:p>
  </w:endnote>
  <w:endnote w:id="187">
    <w:p w:rsidR="00C3563C" w:rsidRDefault="00C3563C" w:rsidP="00B87D45">
      <w:pPr>
        <w:pStyle w:val="Testonotadichiusura"/>
      </w:pPr>
      <w:r>
        <w:rPr>
          <w:rStyle w:val="Rimandonotadichiusura"/>
        </w:rPr>
        <w:endnoteRef/>
      </w:r>
      <w:r>
        <w:t xml:space="preserve"> Parliament of Australia, Crimes Legislation Amendment (Powers, Offences and Other Measures) Bill 2017 (Cth): Bill Progress 2017. At </w:t>
      </w:r>
      <w:hyperlink r:id="rId122" w:history="1">
        <w:r w:rsidRPr="006E3CE8">
          <w:rPr>
            <w:rStyle w:val="Collegamentoipertestuale"/>
          </w:rPr>
          <w:t>https://www.aph.gov.au/Parliamentary_Business/Bills_Legislation/Bills_Search_Results/Result?bId=r5838</w:t>
        </w:r>
      </w:hyperlink>
      <w:r>
        <w:t xml:space="preserve"> (viewed 16 October 2017).</w:t>
      </w:r>
    </w:p>
  </w:endnote>
  <w:endnote w:id="188">
    <w:p w:rsidR="00C3563C" w:rsidRPr="00063AB8" w:rsidRDefault="00C3563C" w:rsidP="00B87D45">
      <w:pPr>
        <w:autoSpaceDE w:val="0"/>
        <w:autoSpaceDN w:val="0"/>
        <w:adjustRightInd w:val="0"/>
        <w:spacing w:before="0" w:after="0"/>
        <w:rPr>
          <w:rFonts w:cs="Arial"/>
          <w:sz w:val="20"/>
          <w:szCs w:val="20"/>
        </w:rPr>
      </w:pPr>
      <w:r w:rsidRPr="00063AB8">
        <w:rPr>
          <w:rStyle w:val="Rimandonotadichiusura"/>
          <w:rFonts w:cs="Arial"/>
          <w:szCs w:val="20"/>
        </w:rPr>
        <w:endnoteRef/>
      </w:r>
      <w:r w:rsidRPr="00063AB8">
        <w:rPr>
          <w:rFonts w:cs="Arial"/>
          <w:sz w:val="20"/>
          <w:szCs w:val="20"/>
        </w:rPr>
        <w:t xml:space="preserve"> American Psychiatric Association. </w:t>
      </w:r>
      <w:r w:rsidRPr="00063AB8">
        <w:rPr>
          <w:rFonts w:cs="Arial"/>
          <w:i/>
          <w:iCs/>
          <w:sz w:val="20"/>
          <w:szCs w:val="20"/>
        </w:rPr>
        <w:t>Diagnostic and Statistical Manual of Mental Disorders</w:t>
      </w:r>
      <w:r w:rsidRPr="00063AB8">
        <w:rPr>
          <w:rFonts w:cs="Arial"/>
          <w:sz w:val="20"/>
          <w:szCs w:val="20"/>
        </w:rPr>
        <w:t xml:space="preserve"> (American Psychiatric Association, 5th ed, 2013) 302.6 (F64.2).</w:t>
      </w:r>
    </w:p>
  </w:endnote>
  <w:endnote w:id="189">
    <w:p w:rsidR="00C3563C" w:rsidRDefault="00C3563C" w:rsidP="00B87D45">
      <w:pPr>
        <w:pStyle w:val="Testonotadichiusura"/>
      </w:pPr>
      <w:r>
        <w:rPr>
          <w:rStyle w:val="Rimandonotadichiusura"/>
        </w:rPr>
        <w:endnoteRef/>
      </w:r>
      <w:r>
        <w:t xml:space="preserve"> </w:t>
      </w:r>
      <w:r w:rsidRPr="00063AB8">
        <w:rPr>
          <w:rFonts w:cs="Arial"/>
        </w:rPr>
        <w:t>Lynne Hillier et al, ‘Writing Themselves in 3: The third national study on the sexual health and wellbeing of same sex attracted and gender questioning young people’ (Monograph series No 78, Australian Research Centre in Sex, Health and Society, La Trobe, 2010)</w:t>
      </w:r>
      <w:r>
        <w:rPr>
          <w:rFonts w:cs="Arial"/>
        </w:rPr>
        <w:t>;</w:t>
      </w:r>
      <w:r w:rsidRPr="00C2705B">
        <w:rPr>
          <w:rFonts w:cs="Arial"/>
        </w:rPr>
        <w:t xml:space="preserve"> </w:t>
      </w:r>
      <w:r w:rsidRPr="00063AB8">
        <w:rPr>
          <w:rFonts w:cs="Arial"/>
        </w:rPr>
        <w:t>Elizabeth Smith</w:t>
      </w:r>
      <w:r>
        <w:rPr>
          <w:rFonts w:cs="Arial"/>
        </w:rPr>
        <w:t xml:space="preserve"> </w:t>
      </w:r>
      <w:r w:rsidRPr="00063AB8">
        <w:rPr>
          <w:rFonts w:cs="Arial"/>
        </w:rPr>
        <w:t>et al,</w:t>
      </w:r>
      <w:r w:rsidRPr="00063AB8">
        <w:rPr>
          <w:rFonts w:cs="Arial"/>
          <w:i/>
          <w:iCs/>
        </w:rPr>
        <w:t xml:space="preserve"> From Blues to Rainbows: Mental health and wellbeing of gender diverse and transgender young people in Australia </w:t>
      </w:r>
      <w:r>
        <w:rPr>
          <w:rFonts w:cs="Arial"/>
        </w:rPr>
        <w:t>(</w:t>
      </w:r>
      <w:r w:rsidRPr="00063AB8">
        <w:rPr>
          <w:rFonts w:cs="Arial"/>
        </w:rPr>
        <w:t>Australian Research Centre in Sex, Health and Society, 2014)</w:t>
      </w:r>
      <w:r>
        <w:rPr>
          <w:rFonts w:cs="Arial"/>
        </w:rPr>
        <w:t>.</w:t>
      </w:r>
    </w:p>
  </w:endnote>
  <w:endnote w:id="190">
    <w:p w:rsidR="00C3563C" w:rsidRPr="00860D06" w:rsidRDefault="00C3563C" w:rsidP="00B87D45">
      <w:pPr>
        <w:pStyle w:val="Testonotadichiusura"/>
      </w:pPr>
      <w:r w:rsidRPr="00860D06">
        <w:rPr>
          <w:rStyle w:val="Rimandonotadichiusura"/>
        </w:rPr>
        <w:endnoteRef/>
      </w:r>
      <w:r w:rsidRPr="00860D06">
        <w:t xml:space="preserve"> </w:t>
      </w:r>
      <w:r>
        <w:t xml:space="preserve">Penelope </w:t>
      </w:r>
      <w:r w:rsidRPr="00860D06">
        <w:rPr>
          <w:rFonts w:cs="Arial"/>
        </w:rPr>
        <w:t>Strauss</w:t>
      </w:r>
      <w:r>
        <w:rPr>
          <w:rFonts w:cs="Arial"/>
        </w:rPr>
        <w:t xml:space="preserve"> et al, </w:t>
      </w:r>
      <w:r w:rsidRPr="00860D06">
        <w:rPr>
          <w:rFonts w:cs="Arial"/>
          <w:i/>
        </w:rPr>
        <w:t>Trans Pathways: the mental health experiences and care pathways of trans young people. Summary of results</w:t>
      </w:r>
      <w:r w:rsidRPr="00860D06">
        <w:rPr>
          <w:rFonts w:cs="Arial"/>
        </w:rPr>
        <w:t>. (Telethon Kids Institute, 2017)</w:t>
      </w:r>
      <w:r>
        <w:rPr>
          <w:rFonts w:cs="Arial"/>
        </w:rPr>
        <w:t>,</w:t>
      </w:r>
      <w:r w:rsidRPr="00860D06">
        <w:rPr>
          <w:rFonts w:cs="Arial"/>
        </w:rPr>
        <w:t xml:space="preserve"> 45</w:t>
      </w:r>
      <w:r>
        <w:rPr>
          <w:rFonts w:cs="Arial"/>
        </w:rPr>
        <w:t>–</w:t>
      </w:r>
      <w:r w:rsidRPr="00860D06">
        <w:rPr>
          <w:rFonts w:cs="Arial"/>
        </w:rPr>
        <w:t>35;</w:t>
      </w:r>
      <w:r w:rsidRPr="00860D06">
        <w:rPr>
          <w:rFonts w:cs="Arial"/>
          <w:i/>
          <w:iCs/>
        </w:rPr>
        <w:t xml:space="preserve"> From Blues to Rainbows: Mental health and wellbeing of gender diverse and transgender young people in Australia </w:t>
      </w:r>
      <w:r w:rsidRPr="00860D06">
        <w:rPr>
          <w:rFonts w:cs="Arial"/>
        </w:rPr>
        <w:t>(Australian Research Centre in Sex, Health and Society, 2014)</w:t>
      </w:r>
      <w:r>
        <w:rPr>
          <w:rFonts w:cs="Arial"/>
        </w:rPr>
        <w:t>,</w:t>
      </w:r>
      <w:r w:rsidRPr="00860D06">
        <w:rPr>
          <w:rFonts w:cs="Arial"/>
        </w:rPr>
        <w:t xml:space="preserve"> 65</w:t>
      </w:r>
      <w:r>
        <w:rPr>
          <w:rFonts w:cs="Arial"/>
        </w:rPr>
        <w:t>–</w:t>
      </w:r>
      <w:r w:rsidRPr="00860D06">
        <w:rPr>
          <w:rFonts w:cs="Arial"/>
        </w:rPr>
        <w:t>68.</w:t>
      </w:r>
    </w:p>
  </w:endnote>
  <w:endnote w:id="191">
    <w:p w:rsidR="00C3563C" w:rsidRPr="00063AB8" w:rsidRDefault="00C3563C" w:rsidP="00B87D45">
      <w:pPr>
        <w:pStyle w:val="Testonotadichiusura"/>
        <w:rPr>
          <w:rFonts w:cs="Arial"/>
        </w:rPr>
      </w:pPr>
      <w:r w:rsidRPr="00860D06">
        <w:rPr>
          <w:rStyle w:val="Rimandonotadichiusura"/>
          <w:rFonts w:cs="Arial"/>
        </w:rPr>
        <w:endnoteRef/>
      </w:r>
      <w:r w:rsidRPr="00860D06">
        <w:rPr>
          <w:rFonts w:cs="Arial"/>
        </w:rPr>
        <w:t xml:space="preserve"> </w:t>
      </w:r>
      <w:r>
        <w:rPr>
          <w:rFonts w:cs="Arial"/>
        </w:rPr>
        <w:t xml:space="preserve">Penelope </w:t>
      </w:r>
      <w:r w:rsidRPr="00860D06">
        <w:rPr>
          <w:rFonts w:cs="Arial"/>
        </w:rPr>
        <w:t>Strauss</w:t>
      </w:r>
      <w:r>
        <w:rPr>
          <w:rFonts w:cs="Arial"/>
        </w:rPr>
        <w:t xml:space="preserve"> et al,</w:t>
      </w:r>
      <w:r w:rsidRPr="00860D06">
        <w:rPr>
          <w:rFonts w:cs="Arial"/>
        </w:rPr>
        <w:t xml:space="preserve"> </w:t>
      </w:r>
      <w:r w:rsidRPr="00860D06">
        <w:rPr>
          <w:rFonts w:cs="Arial"/>
          <w:i/>
        </w:rPr>
        <w:t>Trans Pathways: the mental health experiences and care pathways of trans young people. Summary of results</w:t>
      </w:r>
      <w:r w:rsidRPr="00860D06">
        <w:rPr>
          <w:rFonts w:cs="Arial"/>
        </w:rPr>
        <w:t xml:space="preserve">. </w:t>
      </w:r>
      <w:r>
        <w:rPr>
          <w:rFonts w:cs="Arial"/>
        </w:rPr>
        <w:t>(Telethon Kids Institute, 2017),</w:t>
      </w:r>
      <w:r w:rsidRPr="00860D06">
        <w:rPr>
          <w:rFonts w:cs="Arial"/>
        </w:rPr>
        <w:t xml:space="preserve"> 25</w:t>
      </w:r>
      <w:r>
        <w:rPr>
          <w:rFonts w:cs="Arial"/>
        </w:rPr>
        <w:t>–</w:t>
      </w:r>
      <w:r w:rsidRPr="00860D06">
        <w:rPr>
          <w:rFonts w:cs="Arial"/>
        </w:rPr>
        <w:t>26.</w:t>
      </w:r>
      <w:r w:rsidRPr="00063AB8">
        <w:rPr>
          <w:rFonts w:cs="Arial"/>
        </w:rPr>
        <w:t xml:space="preserve"> </w:t>
      </w:r>
    </w:p>
  </w:endnote>
  <w:endnote w:id="192">
    <w:p w:rsidR="00C3563C" w:rsidRDefault="00C3563C" w:rsidP="00B87D45">
      <w:pPr>
        <w:pStyle w:val="Testonotadichiusura"/>
      </w:pPr>
      <w:r>
        <w:rPr>
          <w:rStyle w:val="Rimandonotadichiusura"/>
        </w:rPr>
        <w:endnoteRef/>
      </w:r>
      <w:r>
        <w:t xml:space="preserve"> Michelle Telfer et al, </w:t>
      </w:r>
      <w:r>
        <w:rPr>
          <w:i/>
        </w:rPr>
        <w:t>Australian Standards of Care and Treatment Guidelines for Trans and Gender Diverse Children and Adolescents</w:t>
      </w:r>
      <w:r>
        <w:t xml:space="preserve"> (2017), 11.</w:t>
      </w:r>
    </w:p>
  </w:endnote>
  <w:endnote w:id="193">
    <w:p w:rsidR="00C3563C" w:rsidRPr="00063AB8" w:rsidRDefault="00C3563C" w:rsidP="00B87D45">
      <w:pPr>
        <w:pStyle w:val="Testonotadichiusura"/>
        <w:rPr>
          <w:rFonts w:cs="Arial"/>
        </w:rPr>
      </w:pPr>
      <w:r w:rsidRPr="00063AB8">
        <w:rPr>
          <w:rStyle w:val="Rimandonotadichiusura"/>
          <w:rFonts w:cs="Arial"/>
        </w:rPr>
        <w:endnoteRef/>
      </w:r>
      <w:r w:rsidRPr="00063AB8">
        <w:rPr>
          <w:rFonts w:cs="Arial"/>
        </w:rPr>
        <w:t xml:space="preserve"> Michelle Telfer, ‘Caring for young people experiencing gender dysphoria’ (Presentation delivered at Mental Health Professionals’ Network, webinar 9 November 2016).</w:t>
      </w:r>
    </w:p>
  </w:endnote>
  <w:endnote w:id="194">
    <w:p w:rsidR="00C3563C" w:rsidRPr="00063AB8" w:rsidRDefault="00C3563C" w:rsidP="00B87D45">
      <w:pPr>
        <w:autoSpaceDE w:val="0"/>
        <w:autoSpaceDN w:val="0"/>
        <w:adjustRightInd w:val="0"/>
        <w:spacing w:before="0" w:after="0"/>
        <w:rPr>
          <w:rFonts w:cs="Arial"/>
          <w:sz w:val="20"/>
          <w:szCs w:val="20"/>
        </w:rPr>
      </w:pPr>
      <w:r w:rsidRPr="00063AB8">
        <w:rPr>
          <w:rStyle w:val="Rimandonotadichiusura"/>
          <w:rFonts w:cs="Arial"/>
          <w:szCs w:val="20"/>
        </w:rPr>
        <w:endnoteRef/>
      </w:r>
      <w:r w:rsidRPr="00063AB8">
        <w:rPr>
          <w:rFonts w:cs="Arial"/>
          <w:sz w:val="20"/>
          <w:szCs w:val="20"/>
        </w:rPr>
        <w:t xml:space="preserve"> Annelou de Vries et al, ‘Young adult psychological outcome after puberty suppression and gender reassignment’, (2014) 134 </w:t>
      </w:r>
      <w:r w:rsidRPr="00063AB8">
        <w:rPr>
          <w:rFonts w:cs="Arial"/>
          <w:i/>
          <w:sz w:val="20"/>
          <w:szCs w:val="20"/>
        </w:rPr>
        <w:t>Pediatrics</w:t>
      </w:r>
      <w:r w:rsidRPr="00063AB8">
        <w:rPr>
          <w:rFonts w:cs="Arial"/>
          <w:sz w:val="20"/>
          <w:szCs w:val="20"/>
        </w:rPr>
        <w:t xml:space="preserve"> 696, 696.</w:t>
      </w:r>
    </w:p>
  </w:endnote>
  <w:endnote w:id="195">
    <w:p w:rsidR="00C3563C" w:rsidRPr="00063AB8" w:rsidRDefault="00C3563C" w:rsidP="00B87D45">
      <w:pPr>
        <w:autoSpaceDE w:val="0"/>
        <w:autoSpaceDN w:val="0"/>
        <w:adjustRightInd w:val="0"/>
        <w:spacing w:before="0" w:after="0"/>
        <w:rPr>
          <w:rFonts w:cs="Arial"/>
        </w:rPr>
      </w:pPr>
      <w:r w:rsidRPr="00063AB8">
        <w:rPr>
          <w:rStyle w:val="Rimandonotadichiusura"/>
          <w:rFonts w:cs="Arial"/>
        </w:rPr>
        <w:endnoteRef/>
      </w:r>
      <w:r w:rsidRPr="00063AB8">
        <w:rPr>
          <w:rFonts w:cs="Arial"/>
        </w:rPr>
        <w:t xml:space="preserve"> </w:t>
      </w:r>
      <w:r w:rsidRPr="00063AB8">
        <w:rPr>
          <w:rFonts w:cs="Arial"/>
          <w:sz w:val="20"/>
          <w:szCs w:val="20"/>
        </w:rPr>
        <w:t xml:space="preserve">Stacey Colton Meier et al, ‘The Effects of Hormonal Gender Affirmation Treatment on Mental Health in Female-to-Male Transsexuals’, (2011) 15(3) </w:t>
      </w:r>
      <w:r w:rsidRPr="00063AB8">
        <w:rPr>
          <w:rFonts w:cs="Arial"/>
          <w:i/>
          <w:sz w:val="20"/>
          <w:szCs w:val="20"/>
        </w:rPr>
        <w:t>Journal of Gay &amp; Lesbian Mental Health</w:t>
      </w:r>
      <w:r w:rsidRPr="00063AB8">
        <w:rPr>
          <w:rFonts w:cs="Arial"/>
          <w:sz w:val="20"/>
          <w:szCs w:val="20"/>
        </w:rPr>
        <w:t xml:space="preserve"> 281, 281.</w:t>
      </w:r>
    </w:p>
  </w:endnote>
  <w:endnote w:id="196">
    <w:p w:rsidR="00C3563C" w:rsidRPr="00091940" w:rsidRDefault="00C3563C" w:rsidP="00B87D45">
      <w:pPr>
        <w:pStyle w:val="Testonotadichiusura"/>
      </w:pPr>
      <w:r>
        <w:rPr>
          <w:rStyle w:val="Rimandonotadichiusura"/>
        </w:rPr>
        <w:endnoteRef/>
      </w:r>
      <w:r>
        <w:t xml:space="preserve"> Michelle Telfer et al, </w:t>
      </w:r>
      <w:r>
        <w:rPr>
          <w:i/>
        </w:rPr>
        <w:t>Australian Standards of Care and Treatment Guidelines for Trans and Gender Diverse Children and Adolescents</w:t>
      </w:r>
      <w:r>
        <w:t xml:space="preserve"> (2017) 23–24.</w:t>
      </w:r>
    </w:p>
  </w:endnote>
  <w:endnote w:id="197">
    <w:p w:rsidR="00C3563C" w:rsidRPr="00063AB8" w:rsidRDefault="00C3563C" w:rsidP="00B87D45">
      <w:pPr>
        <w:pStyle w:val="Testonotadichiusura"/>
        <w:rPr>
          <w:rFonts w:cs="Arial"/>
        </w:rPr>
      </w:pPr>
      <w:r w:rsidRPr="00063AB8">
        <w:rPr>
          <w:rStyle w:val="Rimandonotadichiusura"/>
          <w:rFonts w:cs="Arial"/>
        </w:rPr>
        <w:endnoteRef/>
      </w:r>
      <w:r w:rsidRPr="00063AB8">
        <w:rPr>
          <w:rFonts w:cs="Arial"/>
        </w:rPr>
        <w:t xml:space="preserve"> </w:t>
      </w:r>
      <w:r w:rsidRPr="00063AB8">
        <w:rPr>
          <w:rFonts w:cs="Arial"/>
          <w:i/>
        </w:rPr>
        <w:t>Re Jamie</w:t>
      </w:r>
      <w:r w:rsidRPr="00063AB8">
        <w:rPr>
          <w:rFonts w:cs="Arial"/>
        </w:rPr>
        <w:t xml:space="preserve"> </w:t>
      </w:r>
      <w:r>
        <w:rPr>
          <w:rFonts w:cs="Arial"/>
        </w:rPr>
        <w:t xml:space="preserve">[2013] FamCAFC 110 </w:t>
      </w:r>
      <w:r w:rsidRPr="00063AB8">
        <w:rPr>
          <w:rFonts w:cs="Arial"/>
        </w:rPr>
        <w:t xml:space="preserve">at [140(e)] (Bryant CJ). See also [186] (Finn J) and [196] (Strickland J); Michelle Telfer, ‘Stage Two Treatment, Social Medical and Legal Issues Facing Children with Gender Dysphoria’ (Department of Adolescent Medicine, The Royal Children’s Hospital Melbourne, 2015). Malcolm K Smith and Ben Mathews, ‘Treatment for Gender Dysphoria in Children: the New Legal, Ethical and Clinical Landscape’ (2015) 202(2) </w:t>
      </w:r>
      <w:r w:rsidRPr="00063AB8">
        <w:rPr>
          <w:rFonts w:cs="Arial"/>
          <w:i/>
        </w:rPr>
        <w:t xml:space="preserve">Medical Journal of Australia </w:t>
      </w:r>
      <w:r w:rsidRPr="00063AB8">
        <w:rPr>
          <w:rFonts w:cs="Arial"/>
        </w:rPr>
        <w:t>102, 103</w:t>
      </w:r>
      <w:r>
        <w:rPr>
          <w:rFonts w:cs="Arial"/>
        </w:rPr>
        <w:t>.</w:t>
      </w:r>
      <w:r w:rsidRPr="00063AB8">
        <w:rPr>
          <w:rFonts w:cs="Arial"/>
        </w:rPr>
        <w:t xml:space="preserve"> </w:t>
      </w:r>
    </w:p>
  </w:endnote>
  <w:endnote w:id="198">
    <w:p w:rsidR="00C3563C" w:rsidRDefault="00C3563C" w:rsidP="00B87D45">
      <w:pPr>
        <w:pStyle w:val="Testonotadichiusura"/>
      </w:pPr>
      <w:r>
        <w:rPr>
          <w:rStyle w:val="Rimandonotadichiusura"/>
        </w:rPr>
        <w:endnoteRef/>
      </w:r>
      <w:r>
        <w:t xml:space="preserve"> </w:t>
      </w:r>
      <w:r w:rsidRPr="00063AB8">
        <w:rPr>
          <w:rFonts w:cs="Arial"/>
        </w:rPr>
        <w:t xml:space="preserve">Fiona Kelly, </w:t>
      </w:r>
      <w:r w:rsidRPr="00063AB8">
        <w:rPr>
          <w:rFonts w:cs="Arial"/>
          <w:bCs/>
          <w:lang w:val="en-GB"/>
        </w:rPr>
        <w:t>'The court process is slow but biology is fast': assessing the impact of the Family Court approval process on transgender children and their families’</w:t>
      </w:r>
      <w:r w:rsidRPr="00063AB8">
        <w:rPr>
          <w:rFonts w:cs="Arial"/>
          <w:b/>
          <w:bCs/>
          <w:lang w:val="en-GB"/>
        </w:rPr>
        <w:t xml:space="preserve"> </w:t>
      </w:r>
      <w:r w:rsidRPr="00063AB8">
        <w:rPr>
          <w:rFonts w:cs="Arial"/>
          <w:bCs/>
          <w:lang w:val="en-GB"/>
        </w:rPr>
        <w:t>(2016)</w:t>
      </w:r>
      <w:r w:rsidRPr="00063AB8">
        <w:rPr>
          <w:rFonts w:cs="Arial"/>
        </w:rPr>
        <w:t xml:space="preserve"> </w:t>
      </w:r>
      <w:r w:rsidRPr="00063AB8">
        <w:rPr>
          <w:rFonts w:cs="Arial"/>
          <w:lang w:val="en-GB"/>
        </w:rPr>
        <w:t xml:space="preserve">30(2) </w:t>
      </w:r>
      <w:r w:rsidRPr="00063AB8">
        <w:rPr>
          <w:rFonts w:cs="Arial"/>
          <w:i/>
        </w:rPr>
        <w:t xml:space="preserve">Australian Journal of Family Law </w:t>
      </w:r>
      <w:r w:rsidRPr="00063AB8">
        <w:rPr>
          <w:rFonts w:cs="Arial"/>
        </w:rPr>
        <w:t>112</w:t>
      </w:r>
      <w:r>
        <w:rPr>
          <w:rFonts w:cs="Arial"/>
        </w:rPr>
        <w:t>, 113</w:t>
      </w:r>
      <w:r w:rsidRPr="00063AB8">
        <w:rPr>
          <w:rFonts w:cs="Arial"/>
        </w:rPr>
        <w:t>.</w:t>
      </w:r>
    </w:p>
  </w:endnote>
  <w:endnote w:id="199">
    <w:p w:rsidR="00C3563C" w:rsidRPr="00063AB8" w:rsidRDefault="00C3563C" w:rsidP="00B87D45">
      <w:pPr>
        <w:pStyle w:val="Testonotadichiusura"/>
        <w:rPr>
          <w:rFonts w:cs="Arial"/>
          <w:lang w:val="en-GB"/>
        </w:rPr>
      </w:pPr>
      <w:r w:rsidRPr="00063AB8">
        <w:rPr>
          <w:rStyle w:val="Rimandonotadichiusura"/>
          <w:rFonts w:cs="Arial"/>
        </w:rPr>
        <w:endnoteRef/>
      </w:r>
      <w:r w:rsidRPr="00063AB8">
        <w:rPr>
          <w:rFonts w:cs="Arial"/>
        </w:rPr>
        <w:t xml:space="preserve"> Fiona Kelly, </w:t>
      </w:r>
      <w:r w:rsidRPr="00063AB8">
        <w:rPr>
          <w:rFonts w:cs="Arial"/>
          <w:bCs/>
          <w:lang w:val="en-GB"/>
        </w:rPr>
        <w:t>'The court process is slow but biology is fast': assessing the impact of the Family Court approval process on transgender children and their families’</w:t>
      </w:r>
      <w:r w:rsidRPr="00063AB8">
        <w:rPr>
          <w:rFonts w:cs="Arial"/>
          <w:b/>
          <w:bCs/>
          <w:lang w:val="en-GB"/>
        </w:rPr>
        <w:t xml:space="preserve"> </w:t>
      </w:r>
      <w:r w:rsidRPr="00063AB8">
        <w:rPr>
          <w:rFonts w:cs="Arial"/>
          <w:bCs/>
          <w:lang w:val="en-GB"/>
        </w:rPr>
        <w:t>(2016)</w:t>
      </w:r>
      <w:r w:rsidRPr="00063AB8">
        <w:rPr>
          <w:rFonts w:cs="Arial"/>
        </w:rPr>
        <w:t xml:space="preserve"> </w:t>
      </w:r>
      <w:r w:rsidRPr="00063AB8">
        <w:rPr>
          <w:rFonts w:cs="Arial"/>
          <w:lang w:val="en-GB"/>
        </w:rPr>
        <w:t xml:space="preserve">30(2) </w:t>
      </w:r>
      <w:r w:rsidRPr="00063AB8">
        <w:rPr>
          <w:rFonts w:cs="Arial"/>
          <w:i/>
        </w:rPr>
        <w:t xml:space="preserve">Australian Journal of Family Law </w:t>
      </w:r>
      <w:r>
        <w:rPr>
          <w:rFonts w:cs="Arial"/>
        </w:rPr>
        <w:t>112, 121–135.</w:t>
      </w:r>
    </w:p>
  </w:endnote>
  <w:endnote w:id="200">
    <w:p w:rsidR="00C3563C" w:rsidRPr="00063AB8" w:rsidRDefault="00C3563C" w:rsidP="00B87D45">
      <w:pPr>
        <w:pStyle w:val="Testonotadichiusura"/>
        <w:rPr>
          <w:rFonts w:cs="Arial"/>
        </w:rPr>
      </w:pPr>
      <w:r w:rsidRPr="00063AB8">
        <w:rPr>
          <w:rStyle w:val="Rimandonotadichiusura"/>
          <w:rFonts w:cs="Arial"/>
        </w:rPr>
        <w:endnoteRef/>
      </w:r>
      <w:r w:rsidRPr="00063AB8">
        <w:rPr>
          <w:rFonts w:cs="Arial"/>
        </w:rPr>
        <w:t xml:space="preserve"> Fiona Kelly, </w:t>
      </w:r>
      <w:r w:rsidRPr="00063AB8">
        <w:rPr>
          <w:rFonts w:cs="Arial"/>
          <w:bCs/>
          <w:lang w:val="en-GB"/>
        </w:rPr>
        <w:t>'The court process is slow but biology is fast': assessing the impact of the Family Court approval process on transgender children and their families’</w:t>
      </w:r>
      <w:r w:rsidRPr="00063AB8">
        <w:rPr>
          <w:rFonts w:cs="Arial"/>
          <w:b/>
          <w:bCs/>
          <w:lang w:val="en-GB"/>
        </w:rPr>
        <w:t xml:space="preserve"> </w:t>
      </w:r>
      <w:r w:rsidRPr="00063AB8">
        <w:rPr>
          <w:rFonts w:cs="Arial"/>
          <w:bCs/>
          <w:lang w:val="en-GB"/>
        </w:rPr>
        <w:t>(2016)</w:t>
      </w:r>
      <w:r w:rsidRPr="00063AB8">
        <w:rPr>
          <w:rFonts w:cs="Arial"/>
        </w:rPr>
        <w:t xml:space="preserve"> </w:t>
      </w:r>
      <w:r w:rsidRPr="00063AB8">
        <w:rPr>
          <w:rFonts w:cs="Arial"/>
          <w:lang w:val="en-GB"/>
        </w:rPr>
        <w:t xml:space="preserve">30(2) </w:t>
      </w:r>
      <w:r w:rsidRPr="00063AB8">
        <w:rPr>
          <w:rFonts w:cs="Arial"/>
          <w:i/>
        </w:rPr>
        <w:t xml:space="preserve">Australian Journal of Family Law </w:t>
      </w:r>
      <w:r w:rsidRPr="00063AB8">
        <w:rPr>
          <w:rFonts w:cs="Arial"/>
        </w:rPr>
        <w:t xml:space="preserve">112, 121.  </w:t>
      </w:r>
    </w:p>
  </w:endnote>
  <w:endnote w:id="201">
    <w:p w:rsidR="00C3563C" w:rsidRPr="00063AB8" w:rsidRDefault="00C3563C" w:rsidP="00B87D45">
      <w:pPr>
        <w:pStyle w:val="Testonotadichiusura"/>
        <w:rPr>
          <w:rFonts w:cs="Arial"/>
        </w:rPr>
      </w:pPr>
      <w:r w:rsidRPr="00063AB8">
        <w:rPr>
          <w:rStyle w:val="Rimandonotadichiusura"/>
          <w:rFonts w:cs="Arial"/>
        </w:rPr>
        <w:endnoteRef/>
      </w:r>
      <w:r w:rsidRPr="00063AB8">
        <w:rPr>
          <w:rFonts w:cs="Arial"/>
        </w:rPr>
        <w:t xml:space="preserve"> Fiona Kelly, </w:t>
      </w:r>
      <w:r w:rsidRPr="00063AB8">
        <w:rPr>
          <w:rFonts w:cs="Arial"/>
          <w:bCs/>
          <w:lang w:val="en-GB"/>
        </w:rPr>
        <w:t>'The court process is slow but biology is fast': assessing the impact of the Family Court approval process on transgender children and their families’</w:t>
      </w:r>
      <w:r w:rsidRPr="00063AB8">
        <w:rPr>
          <w:rFonts w:cs="Arial"/>
          <w:b/>
          <w:bCs/>
          <w:lang w:val="en-GB"/>
        </w:rPr>
        <w:t xml:space="preserve"> </w:t>
      </w:r>
      <w:r w:rsidRPr="00063AB8">
        <w:rPr>
          <w:rFonts w:cs="Arial"/>
          <w:bCs/>
          <w:lang w:val="en-GB"/>
        </w:rPr>
        <w:t>(2016)</w:t>
      </w:r>
      <w:r w:rsidRPr="00063AB8">
        <w:rPr>
          <w:rFonts w:cs="Arial"/>
        </w:rPr>
        <w:t xml:space="preserve"> </w:t>
      </w:r>
      <w:r w:rsidRPr="00063AB8">
        <w:rPr>
          <w:rFonts w:cs="Arial"/>
          <w:lang w:val="en-GB"/>
        </w:rPr>
        <w:t xml:space="preserve">30(2) </w:t>
      </w:r>
      <w:r w:rsidRPr="00063AB8">
        <w:rPr>
          <w:rFonts w:cs="Arial"/>
          <w:i/>
        </w:rPr>
        <w:t xml:space="preserve">Australian Journal of Family Law </w:t>
      </w:r>
      <w:r w:rsidRPr="00063AB8">
        <w:rPr>
          <w:rFonts w:cs="Arial"/>
        </w:rPr>
        <w:t xml:space="preserve">112, 121. </w:t>
      </w:r>
    </w:p>
  </w:endnote>
  <w:endnote w:id="202">
    <w:p w:rsidR="00C3563C" w:rsidRPr="00063AB8" w:rsidRDefault="00C3563C" w:rsidP="00B87D45">
      <w:pPr>
        <w:pStyle w:val="Testonotadichiusura"/>
        <w:rPr>
          <w:rFonts w:cs="Arial"/>
        </w:rPr>
      </w:pPr>
      <w:r w:rsidRPr="00063AB8">
        <w:rPr>
          <w:rStyle w:val="Rimandonotadichiusura"/>
          <w:rFonts w:cs="Arial"/>
        </w:rPr>
        <w:endnoteRef/>
      </w:r>
      <w:r w:rsidRPr="00063AB8">
        <w:rPr>
          <w:rFonts w:cs="Arial"/>
        </w:rPr>
        <w:t xml:space="preserve"> Fiona Kelly, </w:t>
      </w:r>
      <w:r w:rsidRPr="00063AB8">
        <w:rPr>
          <w:rFonts w:cs="Arial"/>
          <w:bCs/>
          <w:lang w:val="en-GB"/>
        </w:rPr>
        <w:t>'The court process is slow but biology is fast': assessing the impact of the Family Court approval process on transgender children and their families’</w:t>
      </w:r>
      <w:r w:rsidRPr="00063AB8">
        <w:rPr>
          <w:rFonts w:cs="Arial"/>
          <w:b/>
          <w:bCs/>
          <w:lang w:val="en-GB"/>
        </w:rPr>
        <w:t xml:space="preserve"> </w:t>
      </w:r>
      <w:r w:rsidRPr="00063AB8">
        <w:rPr>
          <w:rFonts w:cs="Arial"/>
          <w:bCs/>
          <w:lang w:val="en-GB"/>
        </w:rPr>
        <w:t>(2016)</w:t>
      </w:r>
      <w:r w:rsidRPr="00063AB8">
        <w:rPr>
          <w:rFonts w:cs="Arial"/>
        </w:rPr>
        <w:t xml:space="preserve"> </w:t>
      </w:r>
      <w:r w:rsidRPr="00063AB8">
        <w:rPr>
          <w:rFonts w:cs="Arial"/>
          <w:lang w:val="en-GB"/>
        </w:rPr>
        <w:t xml:space="preserve">30(2) </w:t>
      </w:r>
      <w:r w:rsidRPr="00063AB8">
        <w:rPr>
          <w:rFonts w:cs="Arial"/>
          <w:i/>
        </w:rPr>
        <w:t xml:space="preserve">Australian Journal of Family Law </w:t>
      </w:r>
      <w:r w:rsidRPr="00063AB8">
        <w:rPr>
          <w:rFonts w:cs="Arial"/>
        </w:rPr>
        <w:t>112, 125.</w:t>
      </w:r>
    </w:p>
  </w:endnote>
  <w:endnote w:id="203">
    <w:p w:rsidR="00C3563C" w:rsidRPr="00BB4C28" w:rsidRDefault="00C3563C" w:rsidP="00B87D45">
      <w:pPr>
        <w:autoSpaceDE w:val="0"/>
        <w:autoSpaceDN w:val="0"/>
        <w:adjustRightInd w:val="0"/>
        <w:spacing w:before="0" w:after="0"/>
        <w:rPr>
          <w:rFonts w:ascii="Times-Roman" w:eastAsia="Times New Roman" w:hAnsi="Times-Roman" w:cs="Times-Roman"/>
          <w:sz w:val="16"/>
          <w:szCs w:val="16"/>
        </w:rPr>
      </w:pPr>
      <w:r>
        <w:rPr>
          <w:rStyle w:val="Rimandonotadichiusura"/>
        </w:rPr>
        <w:endnoteRef/>
      </w:r>
      <w:r>
        <w:t xml:space="preserve"> </w:t>
      </w:r>
      <w:r w:rsidRPr="00BB4C28">
        <w:rPr>
          <w:rFonts w:cs="Arial"/>
          <w:sz w:val="20"/>
          <w:szCs w:val="20"/>
        </w:rPr>
        <w:t xml:space="preserve">Josie Taylor, ‘Chief Justice demands change to “traumatic” court process for transgender children’, ABC News (online), 5 July 2016. At </w:t>
      </w:r>
      <w:hyperlink r:id="rId123" w:history="1">
        <w:r w:rsidRPr="00445BA6">
          <w:rPr>
            <w:rStyle w:val="Collegamentoipertestuale"/>
            <w:rFonts w:cs="Arial"/>
            <w:sz w:val="20"/>
            <w:szCs w:val="20"/>
          </w:rPr>
          <w:t>http://www.abc.net.au/news/2016–07–05/court-process-for-transgender-children-set-to-be-overhauled/7546884</w:t>
        </w:r>
      </w:hyperlink>
      <w:r>
        <w:rPr>
          <w:rFonts w:cs="Arial"/>
          <w:sz w:val="20"/>
          <w:szCs w:val="20"/>
        </w:rPr>
        <w:t xml:space="preserve"> </w:t>
      </w:r>
      <w:r w:rsidRPr="00BB4C28">
        <w:rPr>
          <w:rFonts w:cs="Arial"/>
          <w:sz w:val="20"/>
          <w:szCs w:val="20"/>
        </w:rPr>
        <w:t>(viewed 14 November 2017).</w:t>
      </w:r>
    </w:p>
  </w:endnote>
  <w:endnote w:id="204">
    <w:p w:rsidR="00C3563C" w:rsidRDefault="00C3563C" w:rsidP="00CA6163">
      <w:pPr>
        <w:spacing w:before="0" w:after="0"/>
      </w:pPr>
      <w:r>
        <w:rPr>
          <w:rStyle w:val="Rimandonotadichiusura"/>
        </w:rPr>
        <w:endnoteRef/>
      </w:r>
      <w:r w:rsidRPr="00FF3C3F">
        <w:rPr>
          <w:rFonts w:cs="Arial"/>
          <w:i/>
          <w:sz w:val="20"/>
          <w:szCs w:val="20"/>
        </w:rPr>
        <w:t xml:space="preserve"> </w:t>
      </w:r>
      <w:r w:rsidRPr="00BB4C28">
        <w:rPr>
          <w:rFonts w:cs="Arial"/>
          <w:sz w:val="20"/>
          <w:szCs w:val="20"/>
        </w:rPr>
        <w:t xml:space="preserve">See, for example, </w:t>
      </w:r>
      <w:r w:rsidRPr="00FF3C3F">
        <w:rPr>
          <w:rFonts w:cs="Arial"/>
          <w:i/>
          <w:sz w:val="20"/>
          <w:szCs w:val="20"/>
        </w:rPr>
        <w:t xml:space="preserve">Re Martin </w:t>
      </w:r>
      <w:r w:rsidRPr="00BB4C28">
        <w:rPr>
          <w:rFonts w:cs="Arial"/>
          <w:sz w:val="20"/>
          <w:szCs w:val="20"/>
        </w:rPr>
        <w:t xml:space="preserve">[2015] FamCA 1189 at [35] (Bennett J); </w:t>
      </w:r>
      <w:r w:rsidRPr="00FF3C3F">
        <w:rPr>
          <w:rFonts w:cs="Arial"/>
          <w:i/>
          <w:sz w:val="20"/>
          <w:szCs w:val="20"/>
        </w:rPr>
        <w:t xml:space="preserve">Re Harley </w:t>
      </w:r>
      <w:r w:rsidRPr="00BB4C28">
        <w:rPr>
          <w:rFonts w:cs="Arial"/>
          <w:sz w:val="20"/>
          <w:szCs w:val="20"/>
        </w:rPr>
        <w:t xml:space="preserve">[2016] FamCA 334 at [42] (Bennett J); </w:t>
      </w:r>
      <w:r w:rsidRPr="00FF3C3F">
        <w:rPr>
          <w:rFonts w:cs="Arial"/>
          <w:i/>
          <w:sz w:val="20"/>
          <w:szCs w:val="20"/>
        </w:rPr>
        <w:t>Re Lucas</w:t>
      </w:r>
      <w:r w:rsidRPr="00BB4C28">
        <w:rPr>
          <w:rFonts w:cs="Arial"/>
          <w:sz w:val="20"/>
          <w:szCs w:val="20"/>
        </w:rPr>
        <w:t xml:space="preserve"> [2016] FamCA 1129 at [68] (Tree J).</w:t>
      </w:r>
    </w:p>
  </w:endnote>
  <w:endnote w:id="205">
    <w:p w:rsidR="00C3563C" w:rsidRPr="000F205B" w:rsidRDefault="00C3563C" w:rsidP="00B87D45">
      <w:pPr>
        <w:pStyle w:val="Testonotadichiusura"/>
      </w:pPr>
      <w:r>
        <w:rPr>
          <w:rStyle w:val="Rimandonotadichiusura"/>
        </w:rPr>
        <w:endnoteRef/>
      </w:r>
      <w:r>
        <w:t xml:space="preserve"> Human Rights Committee, </w:t>
      </w:r>
      <w:r>
        <w:rPr>
          <w:i/>
        </w:rPr>
        <w:t>Concluding Observations on the sixth periodic report of Australia</w:t>
      </w:r>
      <w:r>
        <w:t>, 121</w:t>
      </w:r>
      <w:r w:rsidRPr="000F205B">
        <w:rPr>
          <w:vertAlign w:val="superscript"/>
        </w:rPr>
        <w:t>st</w:t>
      </w:r>
      <w:r>
        <w:t xml:space="preserve"> sess, UN Doc CCPR/C/AUS/CO/6 (9 November 2017) para 28. At </w:t>
      </w:r>
      <w:hyperlink r:id="rId124" w:history="1">
        <w:r w:rsidRPr="00445BA6">
          <w:rPr>
            <w:rStyle w:val="Collegamentoipertestuale"/>
          </w:rPr>
          <w:t>http://tbinternet.ohchr.org/_layouts/treatybodyexternal/Download.aspx?symbolno=INT%2fCCPR%2fCOC%2fAUS%2f29445&amp;Lang=en</w:t>
        </w:r>
      </w:hyperlink>
      <w:r>
        <w:t xml:space="preserve"> (viewed 16 November 2017.</w:t>
      </w:r>
    </w:p>
  </w:endnote>
  <w:endnote w:id="206">
    <w:p w:rsidR="00C3563C" w:rsidRDefault="00C3563C" w:rsidP="00B87D45">
      <w:pPr>
        <w:pStyle w:val="Testonotadichiusura"/>
      </w:pPr>
      <w:r>
        <w:rPr>
          <w:rStyle w:val="Rimandonotadichiusura"/>
        </w:rPr>
        <w:endnoteRef/>
      </w:r>
      <w:r>
        <w:t xml:space="preserve"> </w:t>
      </w:r>
      <w:r w:rsidRPr="004702AA">
        <w:rPr>
          <w:rFonts w:cs="Arial"/>
          <w:i/>
        </w:rPr>
        <w:t>Convention on the Rights of the Child</w:t>
      </w:r>
      <w:r w:rsidRPr="004702AA">
        <w:rPr>
          <w:rFonts w:cs="Arial"/>
        </w:rPr>
        <w:t>, opened for signature 20 November 1989, 1577 UNTS 3 (entered into f</w:t>
      </w:r>
      <w:r>
        <w:rPr>
          <w:rFonts w:cs="Arial"/>
        </w:rPr>
        <w:t>orce 2 September 1990) art</w:t>
      </w:r>
      <w:r w:rsidRPr="004702AA">
        <w:rPr>
          <w:rFonts w:cs="Arial"/>
        </w:rPr>
        <w:t xml:space="preserve"> </w:t>
      </w:r>
      <w:r>
        <w:rPr>
          <w:rFonts w:cs="Arial"/>
        </w:rPr>
        <w:t>2.</w:t>
      </w:r>
    </w:p>
  </w:endnote>
  <w:endnote w:id="207">
    <w:p w:rsidR="00C3563C" w:rsidRDefault="00C3563C" w:rsidP="00B87D45">
      <w:pPr>
        <w:pStyle w:val="Testonotadichiusura"/>
      </w:pPr>
      <w:r>
        <w:rPr>
          <w:rStyle w:val="Rimandonotadichiusura"/>
        </w:rPr>
        <w:endnoteRef/>
      </w:r>
      <w:r>
        <w:t xml:space="preserve"> </w:t>
      </w:r>
      <w:r w:rsidRPr="004702AA">
        <w:rPr>
          <w:rFonts w:cs="Arial"/>
          <w:i/>
        </w:rPr>
        <w:t>Convention on the Rights of the Child</w:t>
      </w:r>
      <w:r w:rsidRPr="004702AA">
        <w:rPr>
          <w:rFonts w:cs="Arial"/>
        </w:rPr>
        <w:t>, opened for signature 20 November 1989, 1577 UNTS 3 (entered into f</w:t>
      </w:r>
      <w:r>
        <w:rPr>
          <w:rFonts w:cs="Arial"/>
        </w:rPr>
        <w:t>orce 2 September 1990) art</w:t>
      </w:r>
      <w:r w:rsidRPr="004702AA">
        <w:rPr>
          <w:rFonts w:cs="Arial"/>
        </w:rPr>
        <w:t xml:space="preserve"> </w:t>
      </w:r>
      <w:r>
        <w:rPr>
          <w:rFonts w:cs="Arial"/>
        </w:rPr>
        <w:t>3.</w:t>
      </w:r>
    </w:p>
  </w:endnote>
  <w:endnote w:id="208">
    <w:p w:rsidR="00C3563C" w:rsidRDefault="00C3563C" w:rsidP="00B87D45">
      <w:pPr>
        <w:pStyle w:val="Testonotadichiusura"/>
      </w:pPr>
      <w:r>
        <w:rPr>
          <w:rStyle w:val="Rimandonotadichiusura"/>
        </w:rPr>
        <w:endnoteRef/>
      </w:r>
      <w:r>
        <w:t xml:space="preserve"> </w:t>
      </w:r>
      <w:r w:rsidRPr="004702AA">
        <w:rPr>
          <w:rFonts w:cs="Arial"/>
          <w:i/>
        </w:rPr>
        <w:t>Convention on the Rights of the Child</w:t>
      </w:r>
      <w:r w:rsidRPr="004702AA">
        <w:rPr>
          <w:rFonts w:cs="Arial"/>
        </w:rPr>
        <w:t>, opened for signature 20 November 1989, 1577 UNTS 3 (entered into f</w:t>
      </w:r>
      <w:r>
        <w:rPr>
          <w:rFonts w:cs="Arial"/>
        </w:rPr>
        <w:t>orce 2 September 1990) art 12.</w:t>
      </w:r>
    </w:p>
  </w:endnote>
  <w:endnote w:id="209">
    <w:p w:rsidR="00C3563C" w:rsidRDefault="00C3563C" w:rsidP="00B87D45">
      <w:pPr>
        <w:pStyle w:val="Testonotadichiusura"/>
      </w:pPr>
      <w:r>
        <w:rPr>
          <w:rStyle w:val="Rimandonotadichiusura"/>
        </w:rPr>
        <w:endnoteRef/>
      </w:r>
      <w:r>
        <w:t xml:space="preserve"> </w:t>
      </w:r>
      <w:r w:rsidRPr="004702AA">
        <w:rPr>
          <w:rFonts w:cs="Arial"/>
          <w:i/>
        </w:rPr>
        <w:t>Convention on the Rights of the Child</w:t>
      </w:r>
      <w:r w:rsidRPr="004702AA">
        <w:rPr>
          <w:rFonts w:cs="Arial"/>
        </w:rPr>
        <w:t>, opened for signature 20 November 1989, 1577 UNTS 3 (entered into f</w:t>
      </w:r>
      <w:r>
        <w:rPr>
          <w:rFonts w:cs="Arial"/>
        </w:rPr>
        <w:t>orce 2 September 1990) art 8.</w:t>
      </w:r>
    </w:p>
  </w:endnote>
  <w:endnote w:id="210">
    <w:p w:rsidR="00C3563C" w:rsidRDefault="00C3563C" w:rsidP="00B87D45">
      <w:pPr>
        <w:pStyle w:val="Testonotadichiusura"/>
      </w:pPr>
      <w:r>
        <w:rPr>
          <w:rStyle w:val="Rimandonotadichiusura"/>
        </w:rPr>
        <w:endnoteRef/>
      </w:r>
      <w:r>
        <w:t xml:space="preserve"> </w:t>
      </w:r>
      <w:r w:rsidRPr="004702AA">
        <w:rPr>
          <w:rFonts w:cs="Arial"/>
          <w:i/>
        </w:rPr>
        <w:t>Convention on the Rights of the Child</w:t>
      </w:r>
      <w:r w:rsidRPr="004702AA">
        <w:rPr>
          <w:rFonts w:cs="Arial"/>
        </w:rPr>
        <w:t>, opened for signature 20 November 1989, 1577 UNTS 3 (entered into f</w:t>
      </w:r>
      <w:r>
        <w:rPr>
          <w:rFonts w:cs="Arial"/>
        </w:rPr>
        <w:t>orce 2 September 1990) art 24.</w:t>
      </w:r>
    </w:p>
  </w:endnote>
  <w:endnote w:id="211">
    <w:p w:rsidR="00C3563C" w:rsidRPr="00D73F4A" w:rsidRDefault="00C3563C" w:rsidP="00B87D45">
      <w:pPr>
        <w:pStyle w:val="Testonotadichiusura"/>
        <w:rPr>
          <w:rFonts w:cs="Arial"/>
        </w:rPr>
      </w:pPr>
      <w:r>
        <w:rPr>
          <w:rStyle w:val="Rimandonotadichiusura"/>
        </w:rPr>
        <w:endnoteRef/>
      </w:r>
      <w:r>
        <w:t xml:space="preserve"> </w:t>
      </w:r>
      <w:r w:rsidRPr="004702AA">
        <w:rPr>
          <w:rFonts w:cs="Arial"/>
          <w:i/>
        </w:rPr>
        <w:t>Convention on the Rights of the Child</w:t>
      </w:r>
      <w:r w:rsidRPr="004702AA">
        <w:rPr>
          <w:rFonts w:cs="Arial"/>
        </w:rPr>
        <w:t xml:space="preserve">, opened for signature 20 November 1989, 1577 UNTS 3 (entered into force 2 September 1990) art </w:t>
      </w:r>
      <w:r>
        <w:rPr>
          <w:rFonts w:cs="Arial"/>
        </w:rPr>
        <w:t>6</w:t>
      </w:r>
      <w:r w:rsidRPr="004702AA">
        <w:rPr>
          <w:rFonts w:cs="Arial"/>
        </w:rPr>
        <w:t>.</w:t>
      </w:r>
    </w:p>
  </w:endnote>
  <w:endnote w:id="212">
    <w:p w:rsidR="00C3563C" w:rsidRPr="007F30D0" w:rsidRDefault="00C3563C" w:rsidP="00B87D45">
      <w:pPr>
        <w:pStyle w:val="Testonotadichiusura"/>
        <w:rPr>
          <w:rFonts w:cs="Arial"/>
        </w:rPr>
      </w:pPr>
      <w:r w:rsidRPr="00063AB8">
        <w:rPr>
          <w:rStyle w:val="Rimandonotadichiusura"/>
          <w:rFonts w:cs="Arial"/>
        </w:rPr>
        <w:endnoteRef/>
      </w:r>
      <w:r w:rsidRPr="00063AB8">
        <w:rPr>
          <w:rFonts w:cs="Arial"/>
        </w:rPr>
        <w:t xml:space="preserve"> </w:t>
      </w:r>
      <w:r w:rsidRPr="00063AB8">
        <w:rPr>
          <w:rFonts w:cs="Arial"/>
          <w:i/>
        </w:rPr>
        <w:t xml:space="preserve">Principles of the Application of International Human Rights Law in Relation to Sexual Orientation and Gender Identity </w:t>
      </w:r>
      <w:r w:rsidRPr="00063AB8">
        <w:rPr>
          <w:rFonts w:cs="Arial"/>
        </w:rPr>
        <w:t>(the Yogyakarta Principles), principle 3.</w:t>
      </w:r>
      <w:r>
        <w:rPr>
          <w:rFonts w:cs="Arial"/>
        </w:rPr>
        <w:t xml:space="preserve"> At </w:t>
      </w:r>
      <w:hyperlink r:id="rId125" w:history="1">
        <w:r w:rsidRPr="00A23C02">
          <w:rPr>
            <w:rStyle w:val="Collegamentoipertestuale"/>
            <w:rFonts w:cs="Arial"/>
          </w:rPr>
          <w:t>http://www.yogyakartaprinciples.org/wp/wp-content/uploads/2016/08/principles_en.pdf</w:t>
        </w:r>
      </w:hyperlink>
      <w:r>
        <w:rPr>
          <w:rFonts w:cs="Arial"/>
        </w:rPr>
        <w:t xml:space="preserve"> (viewed 2 August 2017).</w:t>
      </w:r>
      <w:r w:rsidRPr="00063AB8">
        <w:rPr>
          <w:rFonts w:cs="Arial"/>
        </w:rPr>
        <w:t xml:space="preserve"> </w:t>
      </w:r>
    </w:p>
  </w:endnote>
  <w:endnote w:id="213">
    <w:p w:rsidR="00C3563C" w:rsidRDefault="00C3563C" w:rsidP="00B87D45">
      <w:pPr>
        <w:pStyle w:val="Testonotadichiusura"/>
      </w:pPr>
      <w:r>
        <w:rPr>
          <w:rStyle w:val="Rimandonotadichiusura"/>
        </w:rPr>
        <w:endnoteRef/>
      </w:r>
      <w:r>
        <w:t xml:space="preserve"> </w:t>
      </w:r>
      <w:r w:rsidRPr="00E34166">
        <w:rPr>
          <w:i/>
        </w:rPr>
        <w:t>Australian Human Rights Commission Act 1986</w:t>
      </w:r>
      <w:r>
        <w:t xml:space="preserve"> (Cth), s 11(1)(o).</w:t>
      </w:r>
    </w:p>
  </w:endnote>
  <w:endnote w:id="214">
    <w:p w:rsidR="00C3563C" w:rsidRDefault="00C3563C" w:rsidP="00B87D45">
      <w:pPr>
        <w:pStyle w:val="Testonotadichiusura"/>
      </w:pPr>
      <w:r>
        <w:rPr>
          <w:rStyle w:val="Rimandonotadichiusura"/>
        </w:rPr>
        <w:endnoteRef/>
      </w:r>
      <w:r>
        <w:t xml:space="preserve"> [2004] FamCA 2.</w:t>
      </w:r>
    </w:p>
  </w:endnote>
  <w:endnote w:id="215">
    <w:p w:rsidR="00C3563C" w:rsidRDefault="00C3563C" w:rsidP="00B87D45">
      <w:pPr>
        <w:pStyle w:val="Testonotadichiusura"/>
      </w:pPr>
      <w:r>
        <w:rPr>
          <w:rStyle w:val="Rimandonotadichiusura"/>
        </w:rPr>
        <w:endnoteRef/>
      </w:r>
      <w:r>
        <w:t xml:space="preserve"> [2010] FamCA 9.</w:t>
      </w:r>
    </w:p>
  </w:endnote>
  <w:endnote w:id="216">
    <w:p w:rsidR="00C3563C" w:rsidRDefault="00C3563C" w:rsidP="00B87D45">
      <w:pPr>
        <w:pStyle w:val="Testonotadichiusura"/>
      </w:pPr>
      <w:r>
        <w:rPr>
          <w:rStyle w:val="Rimandonotadichiusura"/>
        </w:rPr>
        <w:endnoteRef/>
      </w:r>
      <w:r>
        <w:t xml:space="preserve"> [2013] FamCAFC110.</w:t>
      </w:r>
    </w:p>
  </w:endnote>
  <w:endnote w:id="217">
    <w:p w:rsidR="00C3563C" w:rsidRPr="00312474" w:rsidRDefault="00C3563C" w:rsidP="00B87D45">
      <w:pPr>
        <w:pStyle w:val="Testonotadichiusura"/>
        <w:rPr>
          <w:rFonts w:cs="Arial"/>
        </w:rPr>
      </w:pPr>
      <w:r>
        <w:rPr>
          <w:rStyle w:val="Rimandonotadichiusura"/>
        </w:rPr>
        <w:endnoteRef/>
      </w:r>
      <w:r>
        <w:t xml:space="preserve"> </w:t>
      </w:r>
      <w:r w:rsidRPr="00AB6E9E">
        <w:rPr>
          <w:rFonts w:cs="Arial"/>
        </w:rPr>
        <w:t xml:space="preserve">Australian Bureau of Statistics, ‘Aboriginal and Torres Strait Islander fertility, by age, by state,’ ABS.Stat. At </w:t>
      </w:r>
      <w:hyperlink r:id="rId126" w:history="1">
        <w:r w:rsidRPr="00AB6E9E">
          <w:rPr>
            <w:rStyle w:val="Collegamentoipertestuale"/>
            <w:rFonts w:cs="Arial"/>
          </w:rPr>
          <w:t>http://stat.data.abs.gov.au/Index.aspx?QueryId=503</w:t>
        </w:r>
      </w:hyperlink>
      <w:r>
        <w:rPr>
          <w:rFonts w:cs="Arial"/>
        </w:rPr>
        <w:t xml:space="preserve"> (viewed 28 August 2017).</w:t>
      </w:r>
    </w:p>
  </w:endnote>
  <w:endnote w:id="218">
    <w:p w:rsidR="00C3563C" w:rsidRPr="00EF3D94" w:rsidRDefault="00C3563C" w:rsidP="00B87D45">
      <w:pPr>
        <w:autoSpaceDE w:val="0"/>
        <w:autoSpaceDN w:val="0"/>
        <w:adjustRightInd w:val="0"/>
        <w:spacing w:before="0" w:after="0"/>
        <w:rPr>
          <w:rFonts w:cs="Arial"/>
          <w:sz w:val="20"/>
          <w:szCs w:val="20"/>
        </w:rPr>
      </w:pPr>
      <w:r>
        <w:rPr>
          <w:rStyle w:val="Rimandonotadichiusura"/>
        </w:rPr>
        <w:endnoteRef/>
      </w:r>
      <w:r>
        <w:t xml:space="preserve"> </w:t>
      </w:r>
      <w:r>
        <w:rPr>
          <w:rFonts w:cs="Arial"/>
          <w:sz w:val="20"/>
          <w:szCs w:val="20"/>
        </w:rPr>
        <w:t xml:space="preserve">Australian Institute of Health and Welfare, </w:t>
      </w:r>
      <w:r w:rsidRPr="00294C64">
        <w:rPr>
          <w:rFonts w:cs="Arial"/>
          <w:i/>
          <w:sz w:val="20"/>
          <w:szCs w:val="20"/>
        </w:rPr>
        <w:t>National Framework for Protecting Australia’s Children 2009</w:t>
      </w:r>
      <w:r w:rsidRPr="00294C64">
        <w:rPr>
          <w:rFonts w:ascii="ArialMT" w:hAnsi="ArialMT" w:cs="ArialMT"/>
          <w:i/>
          <w:sz w:val="20"/>
          <w:szCs w:val="20"/>
        </w:rPr>
        <w:t>‒</w:t>
      </w:r>
      <w:r w:rsidRPr="00294C64">
        <w:rPr>
          <w:rFonts w:cs="Arial"/>
          <w:i/>
          <w:sz w:val="20"/>
          <w:szCs w:val="20"/>
        </w:rPr>
        <w:t>2020: Technical paper on operational definitions and data issues for key national indicators</w:t>
      </w:r>
      <w:r>
        <w:rPr>
          <w:rFonts w:cs="Arial"/>
          <w:sz w:val="20"/>
          <w:szCs w:val="20"/>
        </w:rPr>
        <w:t xml:space="preserve">, 2013 (Catalogue No CWS 44. Canberra: AIHW) 8; Jennifer L Marino, Lucy N Lewis, Deborah Bateson, Martha Hickey and Rachel Skinner, ‘Teenage Mothers (Focus)’ (2016) 45(10) </w:t>
      </w:r>
      <w:r w:rsidRPr="00AD6AC2">
        <w:rPr>
          <w:rFonts w:cs="Arial"/>
          <w:i/>
          <w:sz w:val="20"/>
          <w:szCs w:val="20"/>
        </w:rPr>
        <w:t xml:space="preserve">Australian Family Physician </w:t>
      </w:r>
      <w:r>
        <w:rPr>
          <w:rFonts w:cs="Arial"/>
          <w:sz w:val="20"/>
          <w:szCs w:val="20"/>
        </w:rPr>
        <w:t xml:space="preserve">712, </w:t>
      </w:r>
      <w:r w:rsidRPr="00294C64">
        <w:rPr>
          <w:rFonts w:cs="Arial"/>
          <w:sz w:val="20"/>
          <w:szCs w:val="20"/>
        </w:rPr>
        <w:t>714</w:t>
      </w:r>
      <w:r>
        <w:rPr>
          <w:rFonts w:cs="Arial"/>
          <w:sz w:val="20"/>
          <w:szCs w:val="20"/>
        </w:rPr>
        <w:t>.</w:t>
      </w:r>
    </w:p>
  </w:endnote>
  <w:endnote w:id="219">
    <w:p w:rsidR="00C3563C" w:rsidRDefault="00C3563C" w:rsidP="00B87D45">
      <w:pPr>
        <w:pStyle w:val="Testonotadichiusura"/>
      </w:pPr>
      <w:r>
        <w:rPr>
          <w:rStyle w:val="Rimandonotadichiusura"/>
        </w:rPr>
        <w:endnoteRef/>
      </w:r>
      <w:r>
        <w:t xml:space="preserve"> Australian Institute of Health and Welfare, </w:t>
      </w:r>
      <w:hyperlink r:id="rId127" w:history="1">
        <w:r w:rsidRPr="00B71993">
          <w:rPr>
            <w:rStyle w:val="Collegamentoipertestuale"/>
          </w:rPr>
          <w:t>Children's Headline Indicators: Teenage Births</w:t>
        </w:r>
      </w:hyperlink>
      <w:r>
        <w:t xml:space="preserve">, 2016. </w:t>
      </w:r>
    </w:p>
  </w:endnote>
  <w:endnote w:id="220">
    <w:p w:rsidR="00C3563C" w:rsidRDefault="00C3563C" w:rsidP="00B87D45">
      <w:pPr>
        <w:pStyle w:val="Testonotadichiusura"/>
      </w:pPr>
      <w:r>
        <w:rPr>
          <w:rStyle w:val="Rimandonotadichiusura"/>
        </w:rPr>
        <w:endnoteRef/>
      </w:r>
      <w:r>
        <w:t xml:space="preserve"> </w:t>
      </w:r>
      <w:r w:rsidRPr="00D012AC">
        <w:t xml:space="preserve">The </w:t>
      </w:r>
      <w:r>
        <w:t xml:space="preserve">Department of Social Services’ </w:t>
      </w:r>
      <w:hyperlink r:id="rId128" w:history="1">
        <w:r w:rsidRPr="00B71993">
          <w:rPr>
            <w:rStyle w:val="Collegamentoipertestuale"/>
            <w:i/>
          </w:rPr>
          <w:t xml:space="preserve">Baseline Valuation </w:t>
        </w:r>
        <w:r>
          <w:rPr>
            <w:rStyle w:val="Collegamentoipertestuale"/>
            <w:i/>
          </w:rPr>
          <w:t xml:space="preserve">— Final </w:t>
        </w:r>
        <w:r w:rsidRPr="00B71993">
          <w:rPr>
            <w:rStyle w:val="Collegamentoipertestuale"/>
            <w:i/>
          </w:rPr>
          <w:t>Report</w:t>
        </w:r>
      </w:hyperlink>
      <w:r w:rsidRPr="00D012AC">
        <w:t xml:space="preserve"> stated that about 1,500 females entered the system as young parents between the ages of 14 and 18 during 2015. </w:t>
      </w:r>
      <w:r>
        <w:t>T</w:t>
      </w:r>
      <w:r w:rsidRPr="00D012AC">
        <w:t xml:space="preserve">his group </w:t>
      </w:r>
      <w:r>
        <w:t xml:space="preserve">is estimated to </w:t>
      </w:r>
      <w:r w:rsidRPr="00D012AC">
        <w:t xml:space="preserve">have an average lifetime welfare cost of </w:t>
      </w:r>
      <w:r>
        <w:t>approximately $540,000</w:t>
      </w:r>
      <w:r w:rsidRPr="00D012AC">
        <w:t>.</w:t>
      </w:r>
      <w:r>
        <w:t xml:space="preserve"> Department of Social Services: </w:t>
      </w:r>
      <w:r w:rsidRPr="002E0D10">
        <w:rPr>
          <w:i/>
        </w:rPr>
        <w:t>Baseline Valuation – Final Report</w:t>
      </w:r>
      <w:r>
        <w:rPr>
          <w:i/>
        </w:rPr>
        <w:t>,</w:t>
      </w:r>
      <w:r>
        <w:t xml:space="preserve"> 2016, 114.</w:t>
      </w:r>
    </w:p>
  </w:endnote>
  <w:endnote w:id="221">
    <w:p w:rsidR="00C3563C" w:rsidRDefault="00C3563C" w:rsidP="00B87D45">
      <w:pPr>
        <w:pStyle w:val="Testonotadichiusura"/>
      </w:pPr>
      <w:r>
        <w:rPr>
          <w:rStyle w:val="Rimandonotadichiusura"/>
        </w:rPr>
        <w:endnoteRef/>
      </w:r>
      <w:r>
        <w:t xml:space="preserve"> Kate Butler, Gail Winkworth, Morag McArthur and Judith Smyth, Institute of Child Protection Studies, Australian Catholic University, </w:t>
      </w:r>
      <w:r w:rsidRPr="008B7D2B">
        <w:rPr>
          <w:i/>
        </w:rPr>
        <w:t>Experiences and Aspirations of Younger Mothers</w:t>
      </w:r>
      <w:r>
        <w:t>, 2010, 40.</w:t>
      </w:r>
    </w:p>
  </w:endnote>
  <w:endnote w:id="222">
    <w:p w:rsidR="00C3563C" w:rsidRDefault="00C3563C" w:rsidP="00B87D45">
      <w:pPr>
        <w:pStyle w:val="Testonotadichiusura"/>
      </w:pPr>
      <w:r>
        <w:rPr>
          <w:rStyle w:val="Rimandonotadichiusura"/>
        </w:rPr>
        <w:endnoteRef/>
      </w:r>
      <w:r>
        <w:t xml:space="preserve"> Association of Women Educators: </w:t>
      </w:r>
      <w:hyperlink r:id="rId129" w:history="1">
        <w:r>
          <w:rPr>
            <w:rStyle w:val="Collegamentoipertestuale"/>
            <w:i/>
          </w:rPr>
          <w:t xml:space="preserve">What it Takes — </w:t>
        </w:r>
        <w:r w:rsidRPr="00506B57">
          <w:rPr>
            <w:rStyle w:val="Collegamentoipertestuale"/>
            <w:i/>
          </w:rPr>
          <w:t>supporting pregnant and parenting young people</w:t>
        </w:r>
      </w:hyperlink>
      <w:r>
        <w:t>, 2010, 29.</w:t>
      </w:r>
    </w:p>
  </w:endnote>
  <w:endnote w:id="223">
    <w:p w:rsidR="00C3563C" w:rsidRDefault="00C3563C" w:rsidP="00B87D45">
      <w:pPr>
        <w:autoSpaceDE w:val="0"/>
        <w:autoSpaceDN w:val="0"/>
        <w:adjustRightInd w:val="0"/>
        <w:spacing w:before="0" w:after="0"/>
      </w:pPr>
      <w:r>
        <w:rPr>
          <w:rStyle w:val="Rimandonotadichiusura"/>
        </w:rPr>
        <w:endnoteRef/>
      </w:r>
      <w:r>
        <w:t xml:space="preserve"> </w:t>
      </w:r>
      <w:r>
        <w:rPr>
          <w:rFonts w:cs="Arial"/>
          <w:sz w:val="20"/>
          <w:szCs w:val="20"/>
        </w:rPr>
        <w:t xml:space="preserve">Australian Institute of Health and Welfare, </w:t>
      </w:r>
      <w:r w:rsidRPr="00294C64">
        <w:rPr>
          <w:rFonts w:cs="Arial"/>
          <w:i/>
          <w:sz w:val="20"/>
          <w:szCs w:val="20"/>
        </w:rPr>
        <w:t>National Framework for Protecting Australia’s Children 2009</w:t>
      </w:r>
      <w:r w:rsidRPr="00294C64">
        <w:rPr>
          <w:rFonts w:ascii="ArialMT" w:hAnsi="ArialMT" w:cs="ArialMT"/>
          <w:i/>
          <w:sz w:val="20"/>
          <w:szCs w:val="20"/>
        </w:rPr>
        <w:t>‒</w:t>
      </w:r>
      <w:r w:rsidRPr="00294C64">
        <w:rPr>
          <w:rFonts w:cs="Arial"/>
          <w:i/>
          <w:sz w:val="20"/>
          <w:szCs w:val="20"/>
        </w:rPr>
        <w:t>2020: Technical paper on operational definitions and data issues for key national indicators</w:t>
      </w:r>
      <w:r>
        <w:rPr>
          <w:rFonts w:cs="Arial"/>
          <w:sz w:val="20"/>
          <w:szCs w:val="20"/>
        </w:rPr>
        <w:t>, 2013 (Catalogue No CWS 44. Canberra: AIHW) 8</w:t>
      </w:r>
      <w:r w:rsidRPr="009B36D4">
        <w:rPr>
          <w:rFonts w:cs="Arial"/>
          <w:sz w:val="20"/>
          <w:szCs w:val="20"/>
        </w:rPr>
        <w:t>.</w:t>
      </w:r>
    </w:p>
  </w:endnote>
  <w:endnote w:id="224">
    <w:p w:rsidR="00C3563C" w:rsidRDefault="00C3563C" w:rsidP="00B87D45">
      <w:pPr>
        <w:pStyle w:val="Testonotadichiusura"/>
      </w:pPr>
      <w:r>
        <w:rPr>
          <w:rStyle w:val="Rimandonotadichiusura"/>
        </w:rPr>
        <w:endnoteRef/>
      </w:r>
      <w:r>
        <w:t xml:space="preserve"> </w:t>
      </w:r>
      <w:r>
        <w:rPr>
          <w:rFonts w:cs="Arial"/>
        </w:rPr>
        <w:t>Jennifer Marino, Lucy Lewis, Deborah Bateson, Martha Hickey and Rachel Skinner</w:t>
      </w:r>
      <w:r w:rsidRPr="006361A8">
        <w:t xml:space="preserve">, ‘Teenage Mothers (Focus)’ (2016) 45(10) </w:t>
      </w:r>
      <w:r w:rsidRPr="006361A8">
        <w:rPr>
          <w:i/>
        </w:rPr>
        <w:t xml:space="preserve">Australian Family Physician </w:t>
      </w:r>
      <w:r w:rsidRPr="006361A8">
        <w:t xml:space="preserve">712, </w:t>
      </w:r>
      <w:r>
        <w:t>714</w:t>
      </w:r>
      <w:r w:rsidRPr="006361A8">
        <w:t>.</w:t>
      </w:r>
    </w:p>
  </w:endnote>
  <w:endnote w:id="225">
    <w:p w:rsidR="00C3563C" w:rsidRDefault="00C3563C" w:rsidP="00B87D45">
      <w:pPr>
        <w:pStyle w:val="Testonotadichiusura"/>
      </w:pPr>
      <w:r>
        <w:rPr>
          <w:rStyle w:val="Rimandonotadichiusura"/>
        </w:rPr>
        <w:endnoteRef/>
      </w:r>
      <w:r>
        <w:t xml:space="preserve"> Association of Women Educators: </w:t>
      </w:r>
      <w:hyperlink r:id="rId130" w:history="1">
        <w:r>
          <w:rPr>
            <w:rStyle w:val="Collegamentoipertestuale"/>
            <w:i/>
          </w:rPr>
          <w:t xml:space="preserve">What it Takes — </w:t>
        </w:r>
        <w:r w:rsidRPr="00506B57">
          <w:rPr>
            <w:rStyle w:val="Collegamentoipertestuale"/>
            <w:i/>
          </w:rPr>
          <w:t>supporting pregnant and parenting young people</w:t>
        </w:r>
      </w:hyperlink>
      <w:r>
        <w:t xml:space="preserve">, 2010, 3; Kate Butler, Gail Winkworth, Morag McArthur and Judith Smyth, Institute of Child Protection Studies, Australian Catholic University, </w:t>
      </w:r>
      <w:r w:rsidRPr="008B7D2B">
        <w:rPr>
          <w:i/>
        </w:rPr>
        <w:t>Experiences and Aspirations of Younger Mothers</w:t>
      </w:r>
      <w:r>
        <w:t>, 2010, 21.</w:t>
      </w:r>
    </w:p>
  </w:endnote>
  <w:endnote w:id="226">
    <w:p w:rsidR="00C3563C" w:rsidRDefault="00C3563C" w:rsidP="00B87D45">
      <w:pPr>
        <w:pStyle w:val="Testonotadichiusura"/>
      </w:pPr>
      <w:r>
        <w:rPr>
          <w:rStyle w:val="Rimandonotadichiusura"/>
        </w:rPr>
        <w:endnoteRef/>
      </w:r>
      <w:r>
        <w:t xml:space="preserve"> Kate Butler, Gail Winkworth, Morag McArthur and Judith Smyth, Institute of Child Protection Studies, Australian Catholic University, </w:t>
      </w:r>
      <w:r w:rsidRPr="008B7D2B">
        <w:rPr>
          <w:i/>
        </w:rPr>
        <w:t>Experiences and Aspirations of Younger Mothers</w:t>
      </w:r>
      <w:r>
        <w:t>, 2010, 21.</w:t>
      </w:r>
    </w:p>
  </w:endnote>
  <w:endnote w:id="227">
    <w:p w:rsidR="00C3563C" w:rsidRDefault="00C3563C" w:rsidP="00B87D45">
      <w:pPr>
        <w:pStyle w:val="Testonotadichiusura"/>
      </w:pPr>
      <w:r>
        <w:rPr>
          <w:rStyle w:val="Rimandonotadichiusura"/>
        </w:rPr>
        <w:endnoteRef/>
      </w:r>
      <w:r>
        <w:t xml:space="preserve"> Department of Social Services: </w:t>
      </w:r>
      <w:hyperlink r:id="rId131" w:history="1">
        <w:r w:rsidRPr="00B71993">
          <w:rPr>
            <w:rStyle w:val="Collegamentoipertestuale"/>
            <w:i/>
          </w:rPr>
          <w:t>Baseline Valuation – Final Report</w:t>
        </w:r>
      </w:hyperlink>
      <w:r w:rsidRPr="0051440D">
        <w:t>,</w:t>
      </w:r>
      <w:r>
        <w:t xml:space="preserve"> 2016, 114.</w:t>
      </w:r>
    </w:p>
  </w:endnote>
  <w:endnote w:id="228">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w:t>
      </w:r>
      <w:r w:rsidRPr="000760B9">
        <w:rPr>
          <w:rFonts w:cs="Arial"/>
          <w:i/>
        </w:rPr>
        <w:t>Convention on the Rights of the Child</w:t>
      </w:r>
      <w:r w:rsidRPr="000760B9">
        <w:rPr>
          <w:rFonts w:cs="Arial"/>
        </w:rPr>
        <w:t>, opened for signature 20 November 1989, 1577 UNTS 3 (entered into force 2 September 1990) art 3.</w:t>
      </w:r>
    </w:p>
  </w:endnote>
  <w:endnote w:id="229">
    <w:p w:rsidR="00C3563C" w:rsidRPr="00D55741" w:rsidRDefault="00C3563C" w:rsidP="00B87D45">
      <w:pPr>
        <w:pStyle w:val="Testonotadichiusura"/>
        <w:rPr>
          <w:rFonts w:cs="Arial"/>
        </w:rPr>
      </w:pPr>
      <w:r w:rsidRPr="00D55741">
        <w:rPr>
          <w:rStyle w:val="Rimandonotadichiusura"/>
          <w:rFonts w:cs="Arial"/>
        </w:rPr>
        <w:endnoteRef/>
      </w:r>
      <w:r w:rsidRPr="00D55741">
        <w:rPr>
          <w:rFonts w:cs="Arial"/>
        </w:rPr>
        <w:t xml:space="preserve"> Committee on the Rights of the Child, </w:t>
      </w:r>
      <w:r w:rsidRPr="000760B9">
        <w:rPr>
          <w:rFonts w:cs="Arial"/>
          <w:i/>
        </w:rPr>
        <w:t>General Comment No 20 on the implementation of the rights of the child during adolescence</w:t>
      </w:r>
      <w:r>
        <w:rPr>
          <w:rFonts w:cs="Arial"/>
        </w:rPr>
        <w:t xml:space="preserve">, </w:t>
      </w:r>
      <w:r w:rsidRPr="00D55741">
        <w:rPr>
          <w:rFonts w:cs="Arial"/>
        </w:rPr>
        <w:t>CRC/C/GC/20 (6 December 2016) [55].</w:t>
      </w:r>
    </w:p>
  </w:endnote>
  <w:endnote w:id="230">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w:t>
      </w:r>
      <w:r w:rsidRPr="000760B9">
        <w:rPr>
          <w:rFonts w:cs="Arial"/>
          <w:i/>
        </w:rPr>
        <w:t>Convention on the Rights of the Child</w:t>
      </w:r>
      <w:r w:rsidRPr="000760B9">
        <w:rPr>
          <w:rFonts w:cs="Arial"/>
        </w:rPr>
        <w:t xml:space="preserve">, opened for signature 20 November 1989, 1577 UNTS 3 (entered into force 2 September 1990) </w:t>
      </w:r>
      <w:r w:rsidRPr="000760B9">
        <w:rPr>
          <w:rFonts w:cs="Arial"/>
          <w:lang w:val="en-US"/>
        </w:rPr>
        <w:t xml:space="preserve">arts 28, 24, 27, 18(1); </w:t>
      </w:r>
      <w:r w:rsidRPr="000760B9">
        <w:rPr>
          <w:rFonts w:cs="Arial"/>
          <w:i/>
          <w:lang w:val="en-US"/>
        </w:rPr>
        <w:t xml:space="preserve">International Covenant on Economic, Social and Cultural Rights, </w:t>
      </w:r>
      <w:r w:rsidRPr="000760B9">
        <w:rPr>
          <w:rFonts w:cs="Arial"/>
          <w:lang w:val="en-US"/>
        </w:rPr>
        <w:t xml:space="preserve">opened for signature 16 December 1966, 993 UNTS 3 (entered into force 3 January 1976) arts 11, 12. </w:t>
      </w:r>
    </w:p>
  </w:endnote>
  <w:endnote w:id="231">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w:t>
      </w:r>
      <w:r w:rsidRPr="000760B9">
        <w:rPr>
          <w:rFonts w:cs="Arial"/>
          <w:i/>
        </w:rPr>
        <w:t>Convention on the Rights of the Child</w:t>
      </w:r>
      <w:r w:rsidRPr="000760B9">
        <w:rPr>
          <w:rFonts w:cs="Arial"/>
        </w:rPr>
        <w:t xml:space="preserve">, opened for signature 20 November 1989, 1577 UNTS 3 (entered into force 2 September 1990) </w:t>
      </w:r>
      <w:r w:rsidRPr="000760B9">
        <w:rPr>
          <w:rFonts w:cs="Arial"/>
          <w:lang w:val="en-US"/>
        </w:rPr>
        <w:t xml:space="preserve">arts 28, 24, 27, 18(1); </w:t>
      </w:r>
      <w:r w:rsidRPr="000760B9">
        <w:rPr>
          <w:rFonts w:cs="Arial"/>
          <w:i/>
          <w:lang w:val="en-US"/>
        </w:rPr>
        <w:t xml:space="preserve">International Covenant on Economic, Social and Cultural Rights, </w:t>
      </w:r>
      <w:r w:rsidRPr="000760B9">
        <w:rPr>
          <w:rFonts w:cs="Arial"/>
          <w:lang w:val="en-US"/>
        </w:rPr>
        <w:t>opened for signature 16 December 1966, 993 UNTS 3 (entered into force 3 January 1976) art 2(2).</w:t>
      </w:r>
    </w:p>
  </w:endnote>
  <w:endnote w:id="232">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w:t>
      </w:r>
      <w:r w:rsidRPr="000760B9">
        <w:rPr>
          <w:rFonts w:cs="Arial"/>
          <w:i/>
        </w:rPr>
        <w:t>Convention on the Rights of the Child</w:t>
      </w:r>
      <w:r w:rsidRPr="000760B9">
        <w:rPr>
          <w:rFonts w:cs="Arial"/>
        </w:rPr>
        <w:t>, opened for signature 20 November 1989, 1577 UNTS 3 (entered into force 2 September 1990) art 2(2).</w:t>
      </w:r>
    </w:p>
  </w:endnote>
  <w:endnote w:id="233">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w:t>
      </w:r>
      <w:r w:rsidRPr="000760B9">
        <w:rPr>
          <w:rFonts w:cs="Arial"/>
          <w:i/>
        </w:rPr>
        <w:t>Convention on the Rights of the Child</w:t>
      </w:r>
      <w:r w:rsidRPr="000760B9">
        <w:rPr>
          <w:rFonts w:cs="Arial"/>
        </w:rPr>
        <w:t xml:space="preserve">, opened for signature 20 November 1989, 1577 UNTS 3 (entered into force 2 September 1990) arts 28, 29. </w:t>
      </w:r>
    </w:p>
  </w:endnote>
  <w:endnote w:id="234">
    <w:p w:rsidR="00C3563C" w:rsidRPr="00D55741" w:rsidRDefault="00C3563C" w:rsidP="00B87D45">
      <w:pPr>
        <w:pStyle w:val="Testonotadichiusura"/>
        <w:rPr>
          <w:rFonts w:cs="Arial"/>
        </w:rPr>
      </w:pPr>
      <w:r w:rsidRPr="00D55741">
        <w:rPr>
          <w:rStyle w:val="Rimandonotadichiusura"/>
          <w:rFonts w:cs="Arial"/>
        </w:rPr>
        <w:endnoteRef/>
      </w:r>
      <w:r w:rsidRPr="00D55741">
        <w:rPr>
          <w:rFonts w:cs="Arial"/>
        </w:rPr>
        <w:t xml:space="preserve"> </w:t>
      </w:r>
      <w:r w:rsidRPr="00D55741">
        <w:rPr>
          <w:rFonts w:cs="Arial"/>
          <w:i/>
        </w:rPr>
        <w:t>Convention on the Rights of the Child</w:t>
      </w:r>
      <w:r w:rsidRPr="00D55741">
        <w:rPr>
          <w:rFonts w:cs="Arial"/>
        </w:rPr>
        <w:t xml:space="preserve">, opened for signature 20 November 1989, 1577 UNTS 3 (entered into force 2 September 1990) art 28. </w:t>
      </w:r>
    </w:p>
  </w:endnote>
  <w:endnote w:id="235">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Committee on the Rights of the Child, </w:t>
      </w:r>
      <w:r>
        <w:rPr>
          <w:rFonts w:cs="Arial"/>
          <w:i/>
        </w:rPr>
        <w:t>General Comment No</w:t>
      </w:r>
      <w:r w:rsidRPr="000760B9">
        <w:rPr>
          <w:rFonts w:cs="Arial"/>
          <w:i/>
        </w:rPr>
        <w:t xml:space="preserve"> 20 on the implementation of the rights of the child during adolescence</w:t>
      </w:r>
      <w:r>
        <w:rPr>
          <w:rFonts w:cs="Arial"/>
          <w:i/>
        </w:rPr>
        <w:t>,</w:t>
      </w:r>
      <w:r w:rsidRPr="000760B9">
        <w:rPr>
          <w:rFonts w:cs="Arial"/>
          <w:i/>
        </w:rPr>
        <w:t xml:space="preserve"> </w:t>
      </w:r>
      <w:r w:rsidRPr="000760B9">
        <w:rPr>
          <w:rFonts w:cs="Arial"/>
        </w:rPr>
        <w:t>CRC/C/GC/20 (6 December 2016) [68]</w:t>
      </w:r>
      <w:r>
        <w:rPr>
          <w:rFonts w:cs="Arial"/>
        </w:rPr>
        <w:t>.</w:t>
      </w:r>
    </w:p>
  </w:endnote>
  <w:endnote w:id="236">
    <w:p w:rsidR="00C3563C" w:rsidRPr="00D55741" w:rsidRDefault="00C3563C" w:rsidP="00B87D45">
      <w:pPr>
        <w:pStyle w:val="Testonotadichiusura"/>
        <w:rPr>
          <w:rFonts w:cs="Arial"/>
        </w:rPr>
      </w:pPr>
      <w:r w:rsidRPr="00D55741">
        <w:rPr>
          <w:rStyle w:val="Rimandonotadichiusura"/>
          <w:rFonts w:cs="Arial"/>
        </w:rPr>
        <w:endnoteRef/>
      </w:r>
      <w:r w:rsidRPr="00D55741">
        <w:rPr>
          <w:rFonts w:cs="Arial"/>
        </w:rPr>
        <w:t xml:space="preserve"> Guyonne Kalb, Trinh Le, Felix Leung, ‘Outcomes for Teenage Mothers in the First Years after Birth’ (2015) 18(3) </w:t>
      </w:r>
      <w:r w:rsidRPr="00D55741">
        <w:rPr>
          <w:rFonts w:cs="Arial"/>
          <w:i/>
        </w:rPr>
        <w:t>Australian Journal of Labour Economics</w:t>
      </w:r>
      <w:r w:rsidRPr="00D55741">
        <w:rPr>
          <w:rFonts w:cs="Arial"/>
        </w:rPr>
        <w:t xml:space="preserve"> 255, 270; Bruce Bradbury, ‘Disadvantage among Australian Young Mothers’ (2006) 9(2) </w:t>
      </w:r>
      <w:r w:rsidRPr="00D55741">
        <w:rPr>
          <w:rFonts w:cs="Arial"/>
          <w:i/>
        </w:rPr>
        <w:t xml:space="preserve">Australian Journal of Labour Economics </w:t>
      </w:r>
      <w:r w:rsidRPr="00D55741">
        <w:rPr>
          <w:rFonts w:cs="Arial"/>
        </w:rPr>
        <w:t>147, 169.</w:t>
      </w:r>
    </w:p>
  </w:endnote>
  <w:endnote w:id="237">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Committee on the Rights of the Child, </w:t>
      </w:r>
      <w:r w:rsidRPr="000760B9">
        <w:rPr>
          <w:rFonts w:cs="Arial"/>
          <w:i/>
        </w:rPr>
        <w:t>General Comment No 15 on the Right of the Child to the Enjoyment of the Highest Attainable Standard of Health (Art 24)</w:t>
      </w:r>
      <w:r w:rsidRPr="000760B9">
        <w:rPr>
          <w:rFonts w:cs="Arial"/>
        </w:rPr>
        <w:t xml:space="preserve">, CRC/C/GC/15 (17 April 2013) </w:t>
      </w:r>
      <w:r w:rsidRPr="00D55741">
        <w:rPr>
          <w:rFonts w:cs="Arial"/>
        </w:rPr>
        <w:t>[56].</w:t>
      </w:r>
      <w:r w:rsidRPr="000760B9">
        <w:rPr>
          <w:rFonts w:cs="Arial"/>
        </w:rPr>
        <w:t xml:space="preserve"> </w:t>
      </w:r>
    </w:p>
  </w:endnote>
  <w:endnote w:id="238">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Committee on the Rights of the Child, </w:t>
      </w:r>
      <w:r w:rsidRPr="000760B9">
        <w:rPr>
          <w:rFonts w:cs="Arial"/>
          <w:i/>
        </w:rPr>
        <w:t>General Comment No 4</w:t>
      </w:r>
      <w:r>
        <w:rPr>
          <w:rFonts w:cs="Arial"/>
          <w:i/>
        </w:rPr>
        <w:t>:</w:t>
      </w:r>
      <w:r w:rsidRPr="000760B9">
        <w:rPr>
          <w:rFonts w:cs="Arial"/>
          <w:i/>
        </w:rPr>
        <w:t xml:space="preserve"> Adolescent Health and Development in the Context of the Convention on the Rights of the Child</w:t>
      </w:r>
      <w:r w:rsidRPr="000760B9">
        <w:rPr>
          <w:rFonts w:cs="Arial"/>
        </w:rPr>
        <w:t xml:space="preserve">, UN Doc CRC/GC/2003/4 (21 July 2003) [27]. </w:t>
      </w:r>
    </w:p>
  </w:endnote>
  <w:endnote w:id="239">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w:t>
      </w:r>
      <w:r w:rsidRPr="000760B9">
        <w:rPr>
          <w:rFonts w:cs="Arial"/>
          <w:i/>
        </w:rPr>
        <w:t>Convention on the Elimination of All Forms of Discrimination against Women</w:t>
      </w:r>
      <w:r w:rsidRPr="000760B9">
        <w:rPr>
          <w:rFonts w:cs="Arial"/>
        </w:rPr>
        <w:t>, opened for signature, 18 December 1979, GA res 34/180 (entere</w:t>
      </w:r>
      <w:r>
        <w:rPr>
          <w:rFonts w:cs="Arial"/>
        </w:rPr>
        <w:t>d into force 3 September 1981) a</w:t>
      </w:r>
      <w:r w:rsidRPr="000760B9">
        <w:rPr>
          <w:rFonts w:cs="Arial"/>
        </w:rPr>
        <w:t>rt 10(f)</w:t>
      </w:r>
      <w:r>
        <w:rPr>
          <w:rFonts w:cs="Arial"/>
        </w:rPr>
        <w:t>.</w:t>
      </w:r>
    </w:p>
  </w:endnote>
  <w:endnote w:id="240">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Committee on the Elimination of Discrimination Against Women, </w:t>
      </w:r>
      <w:r w:rsidRPr="000760B9">
        <w:rPr>
          <w:rFonts w:cs="Arial"/>
          <w:i/>
        </w:rPr>
        <w:t xml:space="preserve">General Recommendation No 24: Article 12 of the Convention (Women </w:t>
      </w:r>
      <w:r w:rsidRPr="00DB1C2F">
        <w:rPr>
          <w:rFonts w:cs="Arial"/>
          <w:i/>
        </w:rPr>
        <w:t xml:space="preserve">and Health) </w:t>
      </w:r>
      <w:r w:rsidRPr="00DB1C2F">
        <w:rPr>
          <w:rFonts w:cs="Arial"/>
        </w:rPr>
        <w:t>A/54/38/Rev.1 ch. I (1999) [28].</w:t>
      </w:r>
    </w:p>
  </w:endnote>
  <w:endnote w:id="241">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w:t>
      </w:r>
      <w:r w:rsidRPr="000760B9">
        <w:rPr>
          <w:rFonts w:cs="Arial"/>
          <w:i/>
        </w:rPr>
        <w:t>Convention on the Elimination of All Forms of Discrimination against Women</w:t>
      </w:r>
      <w:r w:rsidRPr="000760B9">
        <w:rPr>
          <w:rFonts w:cs="Arial"/>
        </w:rPr>
        <w:t>, opened for signature, 18 December 1979, GA res 34/180 (entere</w:t>
      </w:r>
      <w:r>
        <w:rPr>
          <w:rFonts w:cs="Arial"/>
        </w:rPr>
        <w:t>d into force 3 September 1981) a</w:t>
      </w:r>
      <w:r w:rsidRPr="000760B9">
        <w:rPr>
          <w:rFonts w:cs="Arial"/>
        </w:rPr>
        <w:t xml:space="preserve">rt 10(e). </w:t>
      </w:r>
    </w:p>
  </w:endnote>
  <w:endnote w:id="242">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w:t>
      </w:r>
      <w:r w:rsidRPr="000760B9">
        <w:rPr>
          <w:rFonts w:cs="Arial"/>
          <w:i/>
        </w:rPr>
        <w:t>Convention on the Rights of the Child</w:t>
      </w:r>
      <w:r w:rsidRPr="000760B9">
        <w:rPr>
          <w:rFonts w:cs="Arial"/>
        </w:rPr>
        <w:t>, opened for signature 20 November 1989, 1577 UNTS 3 (entered into force 2 September 1990) art 6.</w:t>
      </w:r>
    </w:p>
  </w:endnote>
  <w:endnote w:id="243">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w:t>
      </w:r>
      <w:r w:rsidRPr="000760B9">
        <w:rPr>
          <w:rFonts w:cs="Arial"/>
          <w:i/>
          <w:lang w:val="en-US"/>
        </w:rPr>
        <w:t xml:space="preserve">International Covenant on Economic, Social and Cultural Rights, </w:t>
      </w:r>
      <w:r w:rsidRPr="000760B9">
        <w:rPr>
          <w:rFonts w:cs="Arial"/>
          <w:lang w:val="en-US"/>
        </w:rPr>
        <w:t>opened for signature 16 December 1966, 993 UNTS 3 (entered into force 3 January 1976) art 12(1)(a).</w:t>
      </w:r>
    </w:p>
  </w:endnote>
  <w:endnote w:id="244">
    <w:p w:rsidR="00C3563C" w:rsidRPr="00322497" w:rsidRDefault="00C3563C" w:rsidP="00322497">
      <w:pPr>
        <w:pStyle w:val="Testonotadichiusura"/>
        <w:rPr>
          <w:rFonts w:cs="Arial"/>
          <w:i/>
        </w:rPr>
      </w:pPr>
      <w:r w:rsidRPr="000760B9">
        <w:rPr>
          <w:rStyle w:val="Rimandonotadichiusura"/>
          <w:rFonts w:cs="Arial"/>
        </w:rPr>
        <w:endnoteRef/>
      </w:r>
      <w:r w:rsidRPr="000760B9">
        <w:rPr>
          <w:rFonts w:cs="Arial"/>
        </w:rPr>
        <w:t xml:space="preserve"> Committee on the Rights of the Child, </w:t>
      </w:r>
      <w:r w:rsidRPr="000760B9">
        <w:rPr>
          <w:rFonts w:cs="Arial"/>
          <w:i/>
        </w:rPr>
        <w:t xml:space="preserve">General </w:t>
      </w:r>
      <w:r>
        <w:rPr>
          <w:rFonts w:cs="Arial"/>
          <w:i/>
        </w:rPr>
        <w:t>C</w:t>
      </w:r>
      <w:r w:rsidRPr="000760B9">
        <w:rPr>
          <w:rFonts w:cs="Arial"/>
          <w:i/>
        </w:rPr>
        <w:t>omment No 14 on the right of the child to</w:t>
      </w:r>
      <w:r>
        <w:rPr>
          <w:rFonts w:cs="Arial"/>
          <w:i/>
        </w:rPr>
        <w:t xml:space="preserve"> </w:t>
      </w:r>
      <w:r w:rsidRPr="000760B9">
        <w:rPr>
          <w:rFonts w:cs="Arial"/>
          <w:i/>
        </w:rPr>
        <w:t>have his or her best interests taken as a primary consideration (art. 3, para. 1)</w:t>
      </w:r>
      <w:r>
        <w:rPr>
          <w:rFonts w:cs="Arial"/>
          <w:i/>
        </w:rPr>
        <w:t>,</w:t>
      </w:r>
      <w:r w:rsidRPr="000760B9">
        <w:rPr>
          <w:rFonts w:cs="Arial"/>
        </w:rPr>
        <w:t xml:space="preserve"> </w:t>
      </w:r>
      <w:r w:rsidRPr="000760B9">
        <w:rPr>
          <w:rFonts w:cs="Arial"/>
          <w:bCs/>
        </w:rPr>
        <w:t>CRC/C/GC/14</w:t>
      </w:r>
      <w:r w:rsidRPr="000760B9">
        <w:rPr>
          <w:rFonts w:cs="Arial"/>
        </w:rPr>
        <w:t xml:space="preserve"> (1 February 2013) [42].</w:t>
      </w:r>
    </w:p>
  </w:endnote>
  <w:endnote w:id="245">
    <w:p w:rsidR="00C3563C" w:rsidRPr="00322497" w:rsidRDefault="00C3563C" w:rsidP="00322497">
      <w:pPr>
        <w:pStyle w:val="Testonotadichiusura"/>
        <w:rPr>
          <w:rFonts w:cs="Arial"/>
          <w:i/>
        </w:rPr>
      </w:pPr>
      <w:r w:rsidRPr="000760B9">
        <w:rPr>
          <w:rStyle w:val="Rimandonotadichiusura"/>
          <w:rFonts w:cs="Arial"/>
        </w:rPr>
        <w:endnoteRef/>
      </w:r>
      <w:r w:rsidRPr="000760B9">
        <w:rPr>
          <w:rFonts w:cs="Arial"/>
        </w:rPr>
        <w:t xml:space="preserve"> Committee on the Rights of the Child, </w:t>
      </w:r>
      <w:r w:rsidRPr="000760B9">
        <w:rPr>
          <w:rFonts w:cs="Arial"/>
          <w:i/>
        </w:rPr>
        <w:t xml:space="preserve">General </w:t>
      </w:r>
      <w:r>
        <w:rPr>
          <w:rFonts w:cs="Arial"/>
          <w:i/>
        </w:rPr>
        <w:t>C</w:t>
      </w:r>
      <w:r w:rsidRPr="000760B9">
        <w:rPr>
          <w:rFonts w:cs="Arial"/>
          <w:i/>
        </w:rPr>
        <w:t>omment No 14 on the right of the child to</w:t>
      </w:r>
      <w:r>
        <w:rPr>
          <w:rFonts w:cs="Arial"/>
          <w:i/>
        </w:rPr>
        <w:t xml:space="preserve"> </w:t>
      </w:r>
      <w:r w:rsidRPr="000760B9">
        <w:rPr>
          <w:rFonts w:cs="Arial"/>
          <w:i/>
        </w:rPr>
        <w:t>have his or her best interests taken as a primary consideration (art. 3, para. 1)</w:t>
      </w:r>
      <w:r>
        <w:rPr>
          <w:rFonts w:cs="Arial"/>
          <w:i/>
        </w:rPr>
        <w:t>,</w:t>
      </w:r>
      <w:r w:rsidRPr="000760B9">
        <w:rPr>
          <w:rFonts w:cs="Arial"/>
        </w:rPr>
        <w:t xml:space="preserve"> </w:t>
      </w:r>
      <w:r w:rsidRPr="000760B9">
        <w:rPr>
          <w:rFonts w:cs="Arial"/>
          <w:bCs/>
        </w:rPr>
        <w:t>CRC/C/GC/14</w:t>
      </w:r>
      <w:r w:rsidRPr="000760B9">
        <w:rPr>
          <w:rFonts w:cs="Arial"/>
        </w:rPr>
        <w:t xml:space="preserve"> (1 February 2013) [42].</w:t>
      </w:r>
    </w:p>
  </w:endnote>
  <w:endnote w:id="246">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Committee on the Rights of the Child, </w:t>
      </w:r>
      <w:r w:rsidRPr="000760B9">
        <w:rPr>
          <w:rFonts w:cs="Arial"/>
          <w:i/>
        </w:rPr>
        <w:t xml:space="preserve">General Comment No 20 on the implementation of the rights of the child during adolescence, </w:t>
      </w:r>
      <w:r w:rsidRPr="000760B9">
        <w:rPr>
          <w:rFonts w:cs="Arial"/>
        </w:rPr>
        <w:t>CRC/C/GC/20</w:t>
      </w:r>
      <w:r w:rsidRPr="00EB2F92">
        <w:rPr>
          <w:rFonts w:cs="Arial"/>
        </w:rPr>
        <w:t xml:space="preserve"> (6 December 2016) [3].</w:t>
      </w:r>
    </w:p>
  </w:endnote>
  <w:endnote w:id="247">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Committee on the Rights of the Child, </w:t>
      </w:r>
      <w:r w:rsidRPr="000760B9">
        <w:rPr>
          <w:rFonts w:cs="Arial"/>
          <w:i/>
        </w:rPr>
        <w:t>General Comment No 20 on the implementation of the rights of the child during adolescence</w:t>
      </w:r>
      <w:r w:rsidRPr="00130A2A">
        <w:rPr>
          <w:rFonts w:cs="Arial"/>
        </w:rPr>
        <w:t>,</w:t>
      </w:r>
      <w:r w:rsidRPr="000760B9">
        <w:rPr>
          <w:rFonts w:cs="Arial"/>
        </w:rPr>
        <w:t xml:space="preserve"> CRC/C/GC/20</w:t>
      </w:r>
      <w:r w:rsidRPr="00130A2A">
        <w:rPr>
          <w:rFonts w:cs="Arial"/>
        </w:rPr>
        <w:t xml:space="preserve"> (6 December 2016) [3].</w:t>
      </w:r>
    </w:p>
  </w:endnote>
  <w:endnote w:id="248">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w:t>
      </w:r>
      <w:r w:rsidRPr="000760B9">
        <w:rPr>
          <w:rFonts w:cs="Arial"/>
          <w:i/>
        </w:rPr>
        <w:t>Convention on the Rights of the Child</w:t>
      </w:r>
      <w:r w:rsidRPr="000760B9">
        <w:rPr>
          <w:rFonts w:cs="Arial"/>
        </w:rPr>
        <w:t xml:space="preserve">, opened for signature 20 November 1989, 1577 UNTS 3 (entered into force 2 September 1990) art 24; </w:t>
      </w:r>
      <w:r w:rsidRPr="000760B9">
        <w:rPr>
          <w:rFonts w:cs="Arial"/>
          <w:i/>
          <w:lang w:val="en-US"/>
        </w:rPr>
        <w:t xml:space="preserve">International Covenant on Economic, Social and Cultural Rights, </w:t>
      </w:r>
      <w:r w:rsidRPr="000760B9">
        <w:rPr>
          <w:rFonts w:cs="Arial"/>
          <w:lang w:val="en-US"/>
        </w:rPr>
        <w:t>opened for signature 16 December 1966, 993 UNTS 3 (entered into force 3 January 1976) art 24.</w:t>
      </w:r>
    </w:p>
  </w:endnote>
  <w:endnote w:id="249">
    <w:p w:rsidR="00C3563C" w:rsidRPr="000760B9" w:rsidRDefault="00C3563C" w:rsidP="00B87D45">
      <w:pPr>
        <w:pStyle w:val="Testonotadichiusura"/>
        <w:rPr>
          <w:rFonts w:cs="Arial"/>
        </w:rPr>
      </w:pPr>
      <w:r w:rsidRPr="000760B9">
        <w:rPr>
          <w:rStyle w:val="Rimandonotadichiusura"/>
          <w:rFonts w:cs="Arial"/>
        </w:rPr>
        <w:endnoteRef/>
      </w:r>
      <w:r>
        <w:rPr>
          <w:rFonts w:cs="Arial"/>
        </w:rPr>
        <w:t xml:space="preserve"> </w:t>
      </w:r>
      <w:r w:rsidRPr="000760B9">
        <w:rPr>
          <w:rFonts w:cs="Arial"/>
          <w:i/>
        </w:rPr>
        <w:t>Convention on the Rights of the Child</w:t>
      </w:r>
      <w:r w:rsidRPr="000760B9">
        <w:rPr>
          <w:rFonts w:cs="Arial"/>
        </w:rPr>
        <w:t xml:space="preserve">, opened for signature 20 November 1989, 1577 UNTS 3 (entered into force 2 September 1990) art 24; </w:t>
      </w:r>
      <w:r w:rsidRPr="000760B9">
        <w:rPr>
          <w:rFonts w:cs="Arial"/>
          <w:i/>
          <w:lang w:val="en-US"/>
        </w:rPr>
        <w:t xml:space="preserve">International Covenant on Economic, Social and Cultural Rights, </w:t>
      </w:r>
      <w:r w:rsidRPr="000760B9">
        <w:rPr>
          <w:rFonts w:cs="Arial"/>
          <w:lang w:val="en-US"/>
        </w:rPr>
        <w:t>opened for signature 16 December 1966, 993 UNTS 3 (entered into force 3 January 1976) arts 12,</w:t>
      </w:r>
      <w:r w:rsidRPr="000760B9">
        <w:rPr>
          <w:rFonts w:cs="Arial"/>
        </w:rPr>
        <w:t xml:space="preserve"> 10(2); Committee on Economic, Social and Cultural Rights (CESCR), </w:t>
      </w:r>
      <w:r w:rsidRPr="000760B9">
        <w:rPr>
          <w:rFonts w:cs="Arial"/>
          <w:i/>
        </w:rPr>
        <w:t>General Comment No 14: The Right to the Highest Attainable Standard of Health (Art. 12</w:t>
      </w:r>
      <w:r w:rsidRPr="000760B9">
        <w:rPr>
          <w:rFonts w:cs="Arial"/>
        </w:rPr>
        <w:t xml:space="preserve">), </w:t>
      </w:r>
      <w:r w:rsidRPr="00B87D45">
        <w:rPr>
          <w:rFonts w:cs="Arial"/>
        </w:rPr>
        <w:t>UN Doc</w:t>
      </w:r>
      <w:r>
        <w:rPr>
          <w:rFonts w:cs="Arial"/>
        </w:rPr>
        <w:t xml:space="preserve"> </w:t>
      </w:r>
      <w:r w:rsidRPr="000760B9">
        <w:rPr>
          <w:rFonts w:cs="Arial"/>
        </w:rPr>
        <w:t>E/C.12/2000/4 (11 August 2000) [37].</w:t>
      </w:r>
    </w:p>
  </w:endnote>
  <w:endnote w:id="250">
    <w:p w:rsidR="00C3563C" w:rsidRDefault="00C3563C" w:rsidP="00B87D45">
      <w:pPr>
        <w:pStyle w:val="Testonotadichiusura"/>
      </w:pPr>
      <w:r>
        <w:rPr>
          <w:rStyle w:val="Rimandonotadichiusura"/>
        </w:rPr>
        <w:endnoteRef/>
      </w:r>
      <w:r>
        <w:t xml:space="preserve"> </w:t>
      </w:r>
      <w:r w:rsidRPr="000760B9">
        <w:rPr>
          <w:rFonts w:cs="Arial"/>
        </w:rPr>
        <w:t xml:space="preserve">Committee on the Rights of the Child, </w:t>
      </w:r>
      <w:r w:rsidRPr="000760B9">
        <w:rPr>
          <w:rFonts w:cs="Arial"/>
          <w:i/>
        </w:rPr>
        <w:t>General Comment No 4</w:t>
      </w:r>
      <w:r>
        <w:rPr>
          <w:rFonts w:cs="Arial"/>
          <w:i/>
        </w:rPr>
        <w:t>:</w:t>
      </w:r>
      <w:r w:rsidRPr="000760B9">
        <w:rPr>
          <w:rFonts w:cs="Arial"/>
          <w:i/>
        </w:rPr>
        <w:t xml:space="preserve"> Adolescent Health and Development in the Context of the Convention on the Rights of the Child</w:t>
      </w:r>
      <w:r w:rsidRPr="000760B9">
        <w:rPr>
          <w:rFonts w:cs="Arial"/>
        </w:rPr>
        <w:t>, CRC/GC/2003/4 (21 July 2003)</w:t>
      </w:r>
      <w:r w:rsidRPr="003218B1">
        <w:rPr>
          <w:rFonts w:cs="Arial"/>
        </w:rPr>
        <w:t xml:space="preserve"> [27].</w:t>
      </w:r>
    </w:p>
  </w:endnote>
  <w:endnote w:id="251">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w:t>
      </w:r>
      <w:r w:rsidRPr="00130A2A">
        <w:rPr>
          <w:rFonts w:cs="Arial"/>
        </w:rPr>
        <w:t>Committee on the Rights of the Child</w:t>
      </w:r>
      <w:r w:rsidRPr="000760B9">
        <w:rPr>
          <w:rFonts w:cs="Arial"/>
        </w:rPr>
        <w:t xml:space="preserve">, </w:t>
      </w:r>
      <w:r w:rsidRPr="000760B9">
        <w:rPr>
          <w:rFonts w:cs="Arial"/>
          <w:i/>
        </w:rPr>
        <w:t xml:space="preserve">General Comment No 20 on the implementation of the rights of the child during adolescence, </w:t>
      </w:r>
      <w:r w:rsidRPr="00130A2A">
        <w:rPr>
          <w:rFonts w:cs="Arial"/>
        </w:rPr>
        <w:t>CRC/C/GC/20 (6 December 2016)</w:t>
      </w:r>
      <w:r w:rsidRPr="000760B9">
        <w:rPr>
          <w:rFonts w:cs="Arial"/>
        </w:rPr>
        <w:t xml:space="preserve"> [59]</w:t>
      </w:r>
      <w:r w:rsidRPr="00130A2A">
        <w:rPr>
          <w:rFonts w:cs="Arial"/>
        </w:rPr>
        <w:t>.</w:t>
      </w:r>
    </w:p>
  </w:endnote>
  <w:endnote w:id="252">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w:t>
      </w:r>
      <w:r w:rsidRPr="00130A2A">
        <w:rPr>
          <w:rFonts w:cs="Arial"/>
        </w:rPr>
        <w:t>Committee on the Rights of the Child</w:t>
      </w:r>
      <w:r w:rsidRPr="000760B9">
        <w:rPr>
          <w:rFonts w:cs="Arial"/>
        </w:rPr>
        <w:t xml:space="preserve">, </w:t>
      </w:r>
      <w:r w:rsidRPr="000760B9">
        <w:rPr>
          <w:rFonts w:cs="Arial"/>
          <w:i/>
        </w:rPr>
        <w:t xml:space="preserve">General Comment No 20 on the implementation of the rights of the child during adolescence, </w:t>
      </w:r>
      <w:r w:rsidRPr="00130A2A">
        <w:rPr>
          <w:rFonts w:cs="Arial"/>
        </w:rPr>
        <w:t>CRC/C/GC/20 (6 December 2016)</w:t>
      </w:r>
      <w:r w:rsidRPr="000760B9">
        <w:rPr>
          <w:rFonts w:cs="Arial"/>
        </w:rPr>
        <w:t xml:space="preserve"> [59]</w:t>
      </w:r>
      <w:r w:rsidRPr="00130A2A">
        <w:rPr>
          <w:rFonts w:cs="Arial"/>
        </w:rPr>
        <w:t>.</w:t>
      </w:r>
    </w:p>
  </w:endnote>
  <w:endnote w:id="253">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Committee on the Rights of the Child, </w:t>
      </w:r>
      <w:r w:rsidRPr="000760B9">
        <w:rPr>
          <w:rFonts w:cs="Arial"/>
          <w:i/>
        </w:rPr>
        <w:t>General Comment No 15 on the Right of the Child to the Enjoyment of the Highest Attainable Standard of Health (Art 24)</w:t>
      </w:r>
      <w:r w:rsidRPr="000760B9">
        <w:rPr>
          <w:rFonts w:cs="Arial"/>
        </w:rPr>
        <w:t xml:space="preserve">, CRC/C/GC/15 (17 April 2013) </w:t>
      </w:r>
      <w:r w:rsidRPr="00D55741">
        <w:rPr>
          <w:rFonts w:cs="Arial"/>
        </w:rPr>
        <w:t>[56].</w:t>
      </w:r>
      <w:r w:rsidRPr="000760B9">
        <w:rPr>
          <w:rFonts w:cs="Arial"/>
        </w:rPr>
        <w:t xml:space="preserve"> </w:t>
      </w:r>
    </w:p>
  </w:endnote>
  <w:endnote w:id="254">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Committee on the Rights of the Child, </w:t>
      </w:r>
      <w:r w:rsidRPr="000760B9">
        <w:rPr>
          <w:rFonts w:cs="Arial"/>
          <w:i/>
        </w:rPr>
        <w:t>General Comment No 4 Adolescent Health and Development in the Context of the Convention on the Rights of the Child</w:t>
      </w:r>
      <w:r w:rsidRPr="000760B9">
        <w:rPr>
          <w:rFonts w:cs="Arial"/>
        </w:rPr>
        <w:t xml:space="preserve">, CRC/GC/2003/4 (21 July 2003) [27]. </w:t>
      </w:r>
    </w:p>
  </w:endnote>
  <w:endnote w:id="255">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w:t>
      </w:r>
      <w:r w:rsidRPr="000760B9">
        <w:rPr>
          <w:rFonts w:cs="Arial"/>
          <w:i/>
        </w:rPr>
        <w:t>Convention on the Rights of the Child</w:t>
      </w:r>
      <w:r w:rsidRPr="000760B9">
        <w:rPr>
          <w:rFonts w:cs="Arial"/>
        </w:rPr>
        <w:t>, opened for signature 20 November 1989, 1577 UNTS 3 (entered into force 2 September 1990) arts 24, 3, 17.</w:t>
      </w:r>
    </w:p>
  </w:endnote>
  <w:endnote w:id="256">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Committee on the Rights of the Child</w:t>
      </w:r>
      <w:r w:rsidRPr="00F47BAF">
        <w:rPr>
          <w:rFonts w:cs="Arial"/>
        </w:rPr>
        <w:t xml:space="preserve">, </w:t>
      </w:r>
      <w:r w:rsidRPr="00F47BAF">
        <w:rPr>
          <w:rFonts w:cs="Arial"/>
          <w:i/>
        </w:rPr>
        <w:t>General Comment No 4</w:t>
      </w:r>
      <w:r>
        <w:rPr>
          <w:rFonts w:cs="Arial"/>
          <w:i/>
        </w:rPr>
        <w:t>:</w:t>
      </w:r>
      <w:r w:rsidRPr="00F47BAF">
        <w:rPr>
          <w:rFonts w:cs="Arial"/>
          <w:i/>
        </w:rPr>
        <w:t xml:space="preserve"> Adolescent Health and Development in the Context of the Convention on the Ri</w:t>
      </w:r>
      <w:r w:rsidRPr="000760B9">
        <w:rPr>
          <w:rFonts w:cs="Arial"/>
          <w:i/>
        </w:rPr>
        <w:t>ghts of the Child</w:t>
      </w:r>
      <w:r w:rsidRPr="000760B9">
        <w:rPr>
          <w:rFonts w:cs="Arial"/>
        </w:rPr>
        <w:t>, CRC/GC/2003/4 (21 July 2003) [24].</w:t>
      </w:r>
    </w:p>
  </w:endnote>
  <w:endnote w:id="257">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w:t>
      </w:r>
      <w:r w:rsidRPr="00EB2F92">
        <w:rPr>
          <w:rFonts w:cs="Arial"/>
        </w:rPr>
        <w:t>Committee on the Rights of the Child</w:t>
      </w:r>
      <w:r w:rsidRPr="000760B9">
        <w:rPr>
          <w:rFonts w:cs="Arial"/>
        </w:rPr>
        <w:t xml:space="preserve">, </w:t>
      </w:r>
      <w:r w:rsidRPr="000760B9">
        <w:rPr>
          <w:rFonts w:cs="Arial"/>
          <w:i/>
        </w:rPr>
        <w:t xml:space="preserve">General Comment No 20 on the implementation of the rights of the child during adolescence, </w:t>
      </w:r>
      <w:r w:rsidRPr="00EB2F92">
        <w:rPr>
          <w:rFonts w:cs="Arial"/>
        </w:rPr>
        <w:t xml:space="preserve">CRC/C/GC/20 (6 December 2016) </w:t>
      </w:r>
      <w:r w:rsidRPr="000760B9">
        <w:rPr>
          <w:rFonts w:cs="Arial"/>
        </w:rPr>
        <w:t>[59]</w:t>
      </w:r>
      <w:r w:rsidRPr="00EB2F92">
        <w:rPr>
          <w:rFonts w:cs="Arial"/>
        </w:rPr>
        <w:t>.</w:t>
      </w:r>
    </w:p>
  </w:endnote>
  <w:endnote w:id="258">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w:t>
      </w:r>
      <w:r w:rsidRPr="00EB2F92">
        <w:rPr>
          <w:rFonts w:cs="Arial"/>
        </w:rPr>
        <w:t>Committee on the Rights of the Child</w:t>
      </w:r>
      <w:r w:rsidRPr="000760B9">
        <w:rPr>
          <w:rFonts w:cs="Arial"/>
        </w:rPr>
        <w:t xml:space="preserve">, </w:t>
      </w:r>
      <w:r w:rsidRPr="000760B9">
        <w:rPr>
          <w:rFonts w:cs="Arial"/>
          <w:i/>
        </w:rPr>
        <w:t xml:space="preserve">General Comment No 20 on the implementation of the rights of the child during adolescence, </w:t>
      </w:r>
      <w:r w:rsidRPr="00EB2F92">
        <w:rPr>
          <w:rFonts w:cs="Arial"/>
        </w:rPr>
        <w:t xml:space="preserve">CRC/C/GC/20 (6 December 2016) </w:t>
      </w:r>
      <w:r w:rsidRPr="000760B9">
        <w:rPr>
          <w:rFonts w:cs="Arial"/>
        </w:rPr>
        <w:t>[59]</w:t>
      </w:r>
      <w:r w:rsidRPr="00EB2F92">
        <w:rPr>
          <w:rFonts w:cs="Arial"/>
        </w:rPr>
        <w:t>.</w:t>
      </w:r>
    </w:p>
  </w:endnote>
  <w:endnote w:id="259">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w:t>
      </w:r>
      <w:r w:rsidRPr="000760B9">
        <w:rPr>
          <w:rFonts w:cs="Arial"/>
          <w:i/>
        </w:rPr>
        <w:t>Convention on the Elimination of All Forms of Discrimination against Women</w:t>
      </w:r>
      <w:r w:rsidRPr="000760B9">
        <w:rPr>
          <w:rFonts w:cs="Arial"/>
        </w:rPr>
        <w:t xml:space="preserve">, opened for signature, 18 December 1979, GA res 34/180 (entered into force 3 September 1981) art 12. </w:t>
      </w:r>
    </w:p>
  </w:endnote>
  <w:endnote w:id="260">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w:t>
      </w:r>
      <w:r w:rsidRPr="000760B9">
        <w:rPr>
          <w:rFonts w:cs="Arial"/>
          <w:i/>
        </w:rPr>
        <w:t>Convention on the Elimination of All Forms of Discrimination against Women</w:t>
      </w:r>
      <w:r w:rsidRPr="000760B9">
        <w:rPr>
          <w:rFonts w:cs="Arial"/>
        </w:rPr>
        <w:t>, opened for signature, 18 December 1979, GA res 34/180 (entered into force 3 September 1981) art</w:t>
      </w:r>
      <w:r>
        <w:rPr>
          <w:rFonts w:cs="Arial"/>
        </w:rPr>
        <w:t>s</w:t>
      </w:r>
      <w:r w:rsidRPr="000760B9">
        <w:rPr>
          <w:rFonts w:cs="Arial"/>
        </w:rPr>
        <w:t xml:space="preserve"> 10(h)</w:t>
      </w:r>
      <w:r>
        <w:rPr>
          <w:rFonts w:cs="Arial"/>
        </w:rPr>
        <w:t>, 16(e)</w:t>
      </w:r>
      <w:r w:rsidRPr="000760B9">
        <w:rPr>
          <w:rFonts w:cs="Arial"/>
        </w:rPr>
        <w:t xml:space="preserve">. </w:t>
      </w:r>
    </w:p>
  </w:endnote>
  <w:endnote w:id="261">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Committee on the Elimination of Discrimination Against Women, </w:t>
      </w:r>
      <w:r w:rsidRPr="00F47BAF">
        <w:rPr>
          <w:rFonts w:cs="Arial"/>
          <w:i/>
        </w:rPr>
        <w:t>General Recommendation No 21: Equality in marriage and family relations</w:t>
      </w:r>
      <w:r w:rsidRPr="00C0600E">
        <w:rPr>
          <w:rFonts w:cs="Arial"/>
          <w:i/>
        </w:rPr>
        <w:t xml:space="preserve">, </w:t>
      </w:r>
      <w:r w:rsidRPr="00C0600E">
        <w:rPr>
          <w:rFonts w:cs="Arial"/>
          <w:shd w:val="clear" w:color="auto" w:fill="F9F9F9"/>
        </w:rPr>
        <w:t>A/49/38</w:t>
      </w:r>
      <w:r w:rsidRPr="00C0600E">
        <w:rPr>
          <w:rFonts w:cs="Arial"/>
          <w:i/>
        </w:rPr>
        <w:t xml:space="preserve"> </w:t>
      </w:r>
      <w:r w:rsidRPr="00F47BAF">
        <w:rPr>
          <w:rFonts w:cs="Arial"/>
        </w:rPr>
        <w:t>(1994) [22].</w:t>
      </w:r>
    </w:p>
  </w:endnote>
  <w:endnote w:id="262">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Committee on the Rights of the Child, </w:t>
      </w:r>
      <w:r w:rsidRPr="000760B9">
        <w:rPr>
          <w:rFonts w:cs="Arial"/>
          <w:i/>
        </w:rPr>
        <w:t>General Comment No 15 on the Right of the Child to the Enjoyment of the Highest Attainable Standard of Health (Art 24)</w:t>
      </w:r>
      <w:r w:rsidRPr="000760B9">
        <w:rPr>
          <w:rFonts w:cs="Arial"/>
        </w:rPr>
        <w:t xml:space="preserve">, CRC/C/GC/15 (17 April 2013) </w:t>
      </w:r>
      <w:r w:rsidRPr="00D55741">
        <w:rPr>
          <w:rFonts w:cs="Arial"/>
        </w:rPr>
        <w:t>[57].</w:t>
      </w:r>
      <w:r w:rsidRPr="000760B9">
        <w:rPr>
          <w:rFonts w:cs="Arial"/>
        </w:rPr>
        <w:t xml:space="preserve"> </w:t>
      </w:r>
    </w:p>
  </w:endnote>
  <w:endnote w:id="263">
    <w:p w:rsidR="00C3563C" w:rsidRPr="008E0934" w:rsidRDefault="00C3563C" w:rsidP="00B87D45">
      <w:pPr>
        <w:pStyle w:val="Testonotadichiusura"/>
      </w:pPr>
      <w:r>
        <w:rPr>
          <w:rStyle w:val="Rimandonotadichiusura"/>
        </w:rPr>
        <w:endnoteRef/>
      </w:r>
      <w:r>
        <w:t xml:space="preserve"> </w:t>
      </w:r>
      <w:r w:rsidRPr="00D55741">
        <w:rPr>
          <w:rFonts w:cs="Arial"/>
        </w:rPr>
        <w:t xml:space="preserve">Committee on Economic, Social and Cultural Rights (CESCR), </w:t>
      </w:r>
      <w:r w:rsidRPr="00D55741">
        <w:rPr>
          <w:rFonts w:cs="Arial"/>
          <w:i/>
        </w:rPr>
        <w:t xml:space="preserve">General Comment No 14: The Right to the </w:t>
      </w:r>
      <w:r w:rsidRPr="008E0934">
        <w:rPr>
          <w:rFonts w:cs="Arial"/>
          <w:i/>
        </w:rPr>
        <w:t>Highest Attainable Standard of Health (Art 12</w:t>
      </w:r>
      <w:r w:rsidRPr="008E0934">
        <w:rPr>
          <w:rFonts w:cs="Arial"/>
        </w:rPr>
        <w:t>), UN Doc E/C 12/2000/4 (11 August 2000) [36].</w:t>
      </w:r>
    </w:p>
  </w:endnote>
  <w:endnote w:id="264">
    <w:p w:rsidR="00C3563C" w:rsidRPr="008E0934" w:rsidRDefault="00C3563C" w:rsidP="00B87D45">
      <w:pPr>
        <w:pStyle w:val="Testonotadichiusura"/>
      </w:pPr>
      <w:r w:rsidRPr="008E0934">
        <w:rPr>
          <w:rStyle w:val="Rimandonotadichiusura"/>
        </w:rPr>
        <w:endnoteRef/>
      </w:r>
      <w:r w:rsidRPr="008E0934">
        <w:t xml:space="preserve"> </w:t>
      </w:r>
      <w:r w:rsidRPr="008E0934">
        <w:rPr>
          <w:rFonts w:cs="Arial"/>
          <w:i/>
        </w:rPr>
        <w:t>Convention on the Elimination of All Forms of Discrimination against Women</w:t>
      </w:r>
      <w:r w:rsidRPr="008E0934">
        <w:rPr>
          <w:rFonts w:cs="Arial"/>
        </w:rPr>
        <w:t>, opened for signature, 18 December 1979, GA res 34/180 (entered into force 3 September 1981) art 14(b).</w:t>
      </w:r>
    </w:p>
  </w:endnote>
  <w:endnote w:id="265">
    <w:p w:rsidR="00C3563C" w:rsidRPr="008E0934" w:rsidRDefault="00C3563C" w:rsidP="00B87D45">
      <w:pPr>
        <w:pStyle w:val="Testonotadichiusura"/>
        <w:rPr>
          <w:rFonts w:cs="Arial"/>
        </w:rPr>
      </w:pPr>
      <w:r w:rsidRPr="008E0934">
        <w:rPr>
          <w:rStyle w:val="Rimandonotadichiusura"/>
          <w:rFonts w:cs="Arial"/>
        </w:rPr>
        <w:endnoteRef/>
      </w:r>
      <w:r w:rsidRPr="008E0934">
        <w:rPr>
          <w:rFonts w:cs="Arial"/>
        </w:rPr>
        <w:t xml:space="preserve"> </w:t>
      </w:r>
      <w:r w:rsidRPr="008E0934">
        <w:rPr>
          <w:rFonts w:cs="Arial"/>
          <w:i/>
        </w:rPr>
        <w:t>Convention on the Rights of the Child</w:t>
      </w:r>
      <w:r w:rsidRPr="008E0934">
        <w:rPr>
          <w:rFonts w:cs="Arial"/>
        </w:rPr>
        <w:t xml:space="preserve">, opened for signature 20 November 1989, 1577 UNTS 3 (entered into force 2 September 1990) art 27. </w:t>
      </w:r>
    </w:p>
  </w:endnote>
  <w:endnote w:id="266">
    <w:p w:rsidR="00C3563C" w:rsidRPr="008E0934" w:rsidRDefault="00C3563C" w:rsidP="00B87D45">
      <w:pPr>
        <w:pStyle w:val="Testonotadichiusura"/>
        <w:rPr>
          <w:rFonts w:cs="Arial"/>
        </w:rPr>
      </w:pPr>
      <w:r w:rsidRPr="008E0934">
        <w:rPr>
          <w:rStyle w:val="Rimandonotadichiusura"/>
          <w:rFonts w:cs="Arial"/>
        </w:rPr>
        <w:endnoteRef/>
      </w:r>
      <w:r w:rsidRPr="008E0934">
        <w:rPr>
          <w:rFonts w:cs="Arial"/>
        </w:rPr>
        <w:t xml:space="preserve"> </w:t>
      </w:r>
      <w:r w:rsidRPr="008E0934">
        <w:rPr>
          <w:rFonts w:cs="Arial"/>
          <w:i/>
          <w:lang w:val="en-US"/>
        </w:rPr>
        <w:t xml:space="preserve">International Covenant on Economic, Social and Cultural Rights, </w:t>
      </w:r>
      <w:r w:rsidRPr="008E0934">
        <w:rPr>
          <w:rFonts w:cs="Arial"/>
          <w:lang w:val="en-US"/>
        </w:rPr>
        <w:t xml:space="preserve">opened for signature 16 December 1966, 993 UNTS 3 (entered into force 3 January 1976) art 11. </w:t>
      </w:r>
    </w:p>
  </w:endnote>
  <w:endnote w:id="267">
    <w:p w:rsidR="00C3563C" w:rsidRPr="008E0934" w:rsidRDefault="00C3563C" w:rsidP="00B87D45">
      <w:pPr>
        <w:pStyle w:val="Testonotadichiusura"/>
        <w:rPr>
          <w:rFonts w:cs="Arial"/>
        </w:rPr>
      </w:pPr>
      <w:r w:rsidRPr="008E0934">
        <w:rPr>
          <w:rStyle w:val="Rimandonotadichiusura"/>
          <w:rFonts w:cs="Arial"/>
        </w:rPr>
        <w:endnoteRef/>
      </w:r>
      <w:r w:rsidRPr="008E0934">
        <w:rPr>
          <w:rFonts w:cs="Arial"/>
        </w:rPr>
        <w:t xml:space="preserve"> </w:t>
      </w:r>
      <w:r w:rsidRPr="008E0934">
        <w:rPr>
          <w:rFonts w:cs="Arial"/>
          <w:i/>
        </w:rPr>
        <w:t>Convention on the Rights of the Child</w:t>
      </w:r>
      <w:r w:rsidRPr="008E0934">
        <w:rPr>
          <w:rFonts w:cs="Arial"/>
        </w:rPr>
        <w:t xml:space="preserve">, opened for signature 20 November 1989, 1577 UNTS 3 (entered into force 2 September 1990) art 27(3). </w:t>
      </w:r>
    </w:p>
  </w:endnote>
  <w:endnote w:id="268">
    <w:p w:rsidR="00C3563C" w:rsidRPr="008E0934" w:rsidRDefault="00C3563C" w:rsidP="00B87D45">
      <w:pPr>
        <w:pStyle w:val="Testonotadichiusura"/>
        <w:rPr>
          <w:rFonts w:cs="Arial"/>
        </w:rPr>
      </w:pPr>
      <w:r w:rsidRPr="008E0934">
        <w:rPr>
          <w:rStyle w:val="Rimandonotadichiusura"/>
          <w:rFonts w:cs="Arial"/>
        </w:rPr>
        <w:endnoteRef/>
      </w:r>
      <w:r w:rsidRPr="008E0934">
        <w:rPr>
          <w:rFonts w:cs="Arial"/>
        </w:rPr>
        <w:t xml:space="preserve"> Ben Saul, David Kinley and Jacqueline Mowbray, </w:t>
      </w:r>
      <w:r w:rsidRPr="008E0934">
        <w:rPr>
          <w:rFonts w:cs="Arial"/>
          <w:i/>
        </w:rPr>
        <w:t>The International Covenant on Economic, Social and Cultural Rights: Commentary, Cases and Materials</w:t>
      </w:r>
      <w:r w:rsidRPr="008E0934">
        <w:rPr>
          <w:rFonts w:cs="Arial"/>
        </w:rPr>
        <w:t xml:space="preserve"> (Oxford University Press, 2014), 927.</w:t>
      </w:r>
    </w:p>
  </w:endnote>
  <w:endnote w:id="269">
    <w:p w:rsidR="00C3563C" w:rsidRPr="008E0934" w:rsidRDefault="00C3563C" w:rsidP="00B87D45">
      <w:pPr>
        <w:pStyle w:val="Testonotadichiusura"/>
        <w:rPr>
          <w:rFonts w:cs="Arial"/>
        </w:rPr>
      </w:pPr>
      <w:r w:rsidRPr="008E0934">
        <w:rPr>
          <w:rStyle w:val="Rimandonotadichiusura"/>
          <w:rFonts w:cs="Arial"/>
        </w:rPr>
        <w:endnoteRef/>
      </w:r>
      <w:r w:rsidRPr="008E0934">
        <w:rPr>
          <w:rFonts w:cs="Arial"/>
        </w:rPr>
        <w:t xml:space="preserve"> </w:t>
      </w:r>
      <w:r w:rsidRPr="008E0934">
        <w:rPr>
          <w:rFonts w:cs="Arial"/>
          <w:lang w:val="en"/>
        </w:rPr>
        <w:t>Committee on Economic Social and Cultural Rights</w:t>
      </w:r>
      <w:r w:rsidRPr="008E0934">
        <w:rPr>
          <w:rFonts w:cs="Arial"/>
          <w:i/>
          <w:lang w:val="en"/>
        </w:rPr>
        <w:t>, General Comment No 4</w:t>
      </w:r>
      <w:r>
        <w:rPr>
          <w:rFonts w:cs="Arial"/>
          <w:i/>
          <w:lang w:val="en"/>
        </w:rPr>
        <w:t>:</w:t>
      </w:r>
      <w:r w:rsidRPr="008E0934">
        <w:rPr>
          <w:rFonts w:cs="Arial"/>
          <w:i/>
          <w:lang w:val="en"/>
        </w:rPr>
        <w:t xml:space="preserve"> The right to adequate housing (Article 11(1))</w:t>
      </w:r>
      <w:r w:rsidRPr="008E0934">
        <w:rPr>
          <w:rFonts w:cs="Arial"/>
          <w:lang w:val="en"/>
        </w:rPr>
        <w:t>, E/1992/23 (13 December 1992)</w:t>
      </w:r>
      <w:r w:rsidRPr="008E0934">
        <w:rPr>
          <w:rFonts w:cs="Arial"/>
        </w:rPr>
        <w:t xml:space="preserve"> [11].</w:t>
      </w:r>
    </w:p>
  </w:endnote>
  <w:endnote w:id="270">
    <w:p w:rsidR="00C3563C" w:rsidRPr="008E0934" w:rsidRDefault="00C3563C" w:rsidP="00B87D45">
      <w:pPr>
        <w:pStyle w:val="Testonotadichiusura"/>
        <w:rPr>
          <w:rFonts w:cs="Arial"/>
        </w:rPr>
      </w:pPr>
      <w:r w:rsidRPr="008E0934">
        <w:rPr>
          <w:rStyle w:val="Rimandonotadichiusura"/>
          <w:rFonts w:cs="Arial"/>
        </w:rPr>
        <w:endnoteRef/>
      </w:r>
      <w:r w:rsidRPr="008E0934">
        <w:rPr>
          <w:rFonts w:cs="Arial"/>
        </w:rPr>
        <w:t xml:space="preserve"> </w:t>
      </w:r>
      <w:r w:rsidRPr="008E0934">
        <w:rPr>
          <w:rFonts w:cs="Arial"/>
          <w:i/>
        </w:rPr>
        <w:t>Convention on the Rights of the Child</w:t>
      </w:r>
      <w:r w:rsidRPr="008E0934">
        <w:rPr>
          <w:rFonts w:cs="Arial"/>
        </w:rPr>
        <w:t xml:space="preserve">, opened for signature 20 November 1989, 1577 UNTS 3 (entered into force 2 September 1990) art 18(2). </w:t>
      </w:r>
    </w:p>
  </w:endnote>
  <w:endnote w:id="271">
    <w:p w:rsidR="00C3563C" w:rsidRPr="008E0934" w:rsidRDefault="00C3563C" w:rsidP="00B87D45">
      <w:pPr>
        <w:pStyle w:val="Testonotadichiusura"/>
        <w:rPr>
          <w:rFonts w:cs="Arial"/>
        </w:rPr>
      </w:pPr>
      <w:r w:rsidRPr="008E0934">
        <w:rPr>
          <w:rStyle w:val="Rimandonotadichiusura"/>
          <w:rFonts w:cs="Arial"/>
        </w:rPr>
        <w:endnoteRef/>
      </w:r>
      <w:r w:rsidRPr="008E0934">
        <w:rPr>
          <w:rFonts w:cs="Arial"/>
        </w:rPr>
        <w:t xml:space="preserve"> Committee on the Rights of the Child, </w:t>
      </w:r>
      <w:r w:rsidRPr="008E0934">
        <w:rPr>
          <w:rFonts w:cs="Arial"/>
          <w:i/>
        </w:rPr>
        <w:t xml:space="preserve">General Comment No 20 on the implementation of the rights of the child during adolescence, </w:t>
      </w:r>
      <w:r w:rsidRPr="008E0934">
        <w:rPr>
          <w:rFonts w:cs="Arial"/>
        </w:rPr>
        <w:t>CRC/C/GC/20 (6 December 2016) [59].</w:t>
      </w:r>
    </w:p>
  </w:endnote>
  <w:endnote w:id="272">
    <w:p w:rsidR="00C3563C" w:rsidRPr="008E0934" w:rsidRDefault="00C3563C" w:rsidP="00B87D45">
      <w:pPr>
        <w:spacing w:before="0" w:after="0"/>
        <w:rPr>
          <w:rFonts w:ascii="Calibri" w:hAnsi="Calibri"/>
          <w:sz w:val="22"/>
          <w:szCs w:val="22"/>
        </w:rPr>
      </w:pPr>
      <w:r w:rsidRPr="008E0934">
        <w:rPr>
          <w:rStyle w:val="Rimandonotadichiusura"/>
        </w:rPr>
        <w:endnoteRef/>
      </w:r>
      <w:r w:rsidRPr="008E0934">
        <w:t xml:space="preserve"> </w:t>
      </w:r>
      <w:r w:rsidRPr="008E0934">
        <w:rPr>
          <w:sz w:val="20"/>
        </w:rPr>
        <w:t>Ben Saul, David Kinley and Jacqueline Mowbray, The International Covenant on Economic, Social &amp; Cultural Rights: Commentary, Cases and Materials (Oxford University Press, 2014), 772.</w:t>
      </w:r>
    </w:p>
  </w:endnote>
  <w:endnote w:id="273">
    <w:p w:rsidR="00C3563C" w:rsidRPr="008E0934" w:rsidRDefault="00C3563C" w:rsidP="00B87D45">
      <w:pPr>
        <w:pStyle w:val="Testonotadichiusura"/>
        <w:rPr>
          <w:rFonts w:cs="Arial"/>
        </w:rPr>
      </w:pPr>
      <w:r w:rsidRPr="008E0934">
        <w:rPr>
          <w:rStyle w:val="Rimandonotadichiusura"/>
          <w:rFonts w:cs="Arial"/>
        </w:rPr>
        <w:endnoteRef/>
      </w:r>
      <w:r w:rsidRPr="008E0934">
        <w:rPr>
          <w:rFonts w:cs="Arial"/>
        </w:rPr>
        <w:t xml:space="preserve"> </w:t>
      </w:r>
      <w:r w:rsidRPr="008E0934">
        <w:rPr>
          <w:rFonts w:cs="Arial"/>
          <w:i/>
        </w:rPr>
        <w:t>Convention on the Elimination of All Forms of Discrimination against Women</w:t>
      </w:r>
      <w:r w:rsidRPr="008E0934">
        <w:rPr>
          <w:rFonts w:cs="Arial"/>
        </w:rPr>
        <w:t>, opened for signature, 18 December 1979, GA res 34/180 (entered into force 3 September 1981) art 11(c).</w:t>
      </w:r>
    </w:p>
  </w:endnote>
  <w:endnote w:id="274">
    <w:p w:rsidR="00C3563C" w:rsidRPr="008E0934" w:rsidRDefault="00C3563C" w:rsidP="00B87D45">
      <w:pPr>
        <w:pStyle w:val="Testonotadichiusura"/>
        <w:rPr>
          <w:rFonts w:cs="Arial"/>
        </w:rPr>
      </w:pPr>
      <w:r w:rsidRPr="008E0934">
        <w:rPr>
          <w:rStyle w:val="Rimandonotadichiusura"/>
          <w:rFonts w:cs="Arial"/>
        </w:rPr>
        <w:endnoteRef/>
      </w:r>
      <w:r w:rsidRPr="008E0934">
        <w:rPr>
          <w:rFonts w:cs="Arial"/>
        </w:rPr>
        <w:t xml:space="preserve"> Committee on Economic, Social and Cultural Rights (CESCR), </w:t>
      </w:r>
      <w:r w:rsidRPr="008E0934">
        <w:rPr>
          <w:rFonts w:cs="Arial"/>
          <w:i/>
        </w:rPr>
        <w:t>General Comment No 14: The Right to the Highest Attainable Standard of Health (Art. 12</w:t>
      </w:r>
      <w:r w:rsidRPr="008E0934">
        <w:rPr>
          <w:rFonts w:cs="Arial"/>
        </w:rPr>
        <w:t>), UN Doc E/C.12/2000/4 (11 August 2000) [27].</w:t>
      </w:r>
    </w:p>
  </w:endnote>
  <w:endnote w:id="275">
    <w:p w:rsidR="00C3563C" w:rsidRPr="000760B9" w:rsidRDefault="00C3563C" w:rsidP="00B87D45">
      <w:pPr>
        <w:pStyle w:val="Testonotadichiusura"/>
        <w:rPr>
          <w:rFonts w:cs="Arial"/>
        </w:rPr>
      </w:pPr>
      <w:r w:rsidRPr="008E0934">
        <w:rPr>
          <w:rStyle w:val="Rimandonotadichiusura"/>
          <w:rFonts w:cs="Arial"/>
        </w:rPr>
        <w:endnoteRef/>
      </w:r>
      <w:r w:rsidRPr="008E0934">
        <w:rPr>
          <w:rFonts w:cs="Arial"/>
        </w:rPr>
        <w:t xml:space="preserve"> Committee on the Rights of the Child, </w:t>
      </w:r>
      <w:r w:rsidRPr="008E0934">
        <w:rPr>
          <w:rFonts w:cs="Arial"/>
          <w:i/>
        </w:rPr>
        <w:t>General Comment No 11</w:t>
      </w:r>
      <w:r>
        <w:rPr>
          <w:rFonts w:cs="Arial"/>
          <w:i/>
        </w:rPr>
        <w:t>:</w:t>
      </w:r>
      <w:r w:rsidRPr="008E0934">
        <w:rPr>
          <w:rFonts w:cs="Arial"/>
          <w:i/>
        </w:rPr>
        <w:t xml:space="preserve"> Indigenous children and their rights under the Convention</w:t>
      </w:r>
      <w:r w:rsidRPr="00E34166">
        <w:rPr>
          <w:rFonts w:cs="Arial"/>
        </w:rPr>
        <w:t>,</w:t>
      </w:r>
      <w:r w:rsidRPr="008E0934">
        <w:rPr>
          <w:rFonts w:cs="Arial"/>
        </w:rPr>
        <w:t xml:space="preserve"> CRC/C/GC/11 (12 February 2009) [51].</w:t>
      </w:r>
      <w:r w:rsidRPr="000760B9">
        <w:rPr>
          <w:rFonts w:cs="Arial"/>
        </w:rPr>
        <w:t xml:space="preserve"> </w:t>
      </w:r>
    </w:p>
  </w:endnote>
  <w:endnote w:id="276">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Committee on the Rights of the Child, </w:t>
      </w:r>
      <w:r w:rsidRPr="000760B9">
        <w:rPr>
          <w:rFonts w:cs="Arial"/>
          <w:i/>
        </w:rPr>
        <w:t>General Comment No 11</w:t>
      </w:r>
      <w:r>
        <w:rPr>
          <w:rFonts w:cs="Arial"/>
          <w:i/>
        </w:rPr>
        <w:t>:</w:t>
      </w:r>
      <w:r w:rsidRPr="000760B9">
        <w:rPr>
          <w:rFonts w:cs="Arial"/>
          <w:i/>
        </w:rPr>
        <w:t xml:space="preserve"> Indigenous children and their rights under the Convention</w:t>
      </w:r>
      <w:r w:rsidRPr="00E34166">
        <w:rPr>
          <w:rFonts w:cs="Arial"/>
        </w:rPr>
        <w:t>,</w:t>
      </w:r>
      <w:r w:rsidRPr="000760B9">
        <w:rPr>
          <w:rFonts w:cs="Arial"/>
        </w:rPr>
        <w:t xml:space="preserve"> CRC/C/GC/11 (12 February 2009) [54]</w:t>
      </w:r>
      <w:r>
        <w:rPr>
          <w:rFonts w:cs="Arial"/>
        </w:rPr>
        <w:t>.</w:t>
      </w:r>
      <w:r w:rsidRPr="000760B9">
        <w:rPr>
          <w:rFonts w:cs="Arial"/>
        </w:rPr>
        <w:t xml:space="preserve"> </w:t>
      </w:r>
    </w:p>
  </w:endnote>
  <w:endnote w:id="277">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Committee on the Rights of the Child, </w:t>
      </w:r>
      <w:r w:rsidRPr="000760B9">
        <w:rPr>
          <w:rFonts w:cs="Arial"/>
          <w:i/>
        </w:rPr>
        <w:t>General Comment No 11</w:t>
      </w:r>
      <w:r>
        <w:rPr>
          <w:rFonts w:cs="Arial"/>
          <w:i/>
        </w:rPr>
        <w:t>:</w:t>
      </w:r>
      <w:r w:rsidRPr="000760B9">
        <w:rPr>
          <w:rFonts w:cs="Arial"/>
          <w:i/>
        </w:rPr>
        <w:t xml:space="preserve"> Indigenous children and their rights under the Convention</w:t>
      </w:r>
      <w:r w:rsidRPr="00E34166">
        <w:rPr>
          <w:rFonts w:cs="Arial"/>
        </w:rPr>
        <w:t>,</w:t>
      </w:r>
      <w:r w:rsidRPr="000760B9">
        <w:rPr>
          <w:rFonts w:cs="Arial"/>
        </w:rPr>
        <w:t xml:space="preserve"> CRC/C/GC/11 (12 February 2009) [53]</w:t>
      </w:r>
      <w:r>
        <w:rPr>
          <w:rFonts w:cs="Arial"/>
        </w:rPr>
        <w:t>.</w:t>
      </w:r>
      <w:r w:rsidRPr="000760B9">
        <w:rPr>
          <w:rFonts w:cs="Arial"/>
        </w:rPr>
        <w:t xml:space="preserve"> </w:t>
      </w:r>
    </w:p>
  </w:endnote>
  <w:endnote w:id="278">
    <w:p w:rsidR="00C3563C" w:rsidRPr="000760B9" w:rsidRDefault="00C3563C" w:rsidP="00B87D45">
      <w:pPr>
        <w:pStyle w:val="Testonotadichiusura"/>
        <w:rPr>
          <w:rFonts w:cs="Arial"/>
        </w:rPr>
      </w:pPr>
      <w:r w:rsidRPr="000760B9">
        <w:rPr>
          <w:rStyle w:val="Rimandonotadichiusura"/>
          <w:rFonts w:cs="Arial"/>
        </w:rPr>
        <w:endnoteRef/>
      </w:r>
      <w:r w:rsidRPr="000760B9">
        <w:rPr>
          <w:rFonts w:cs="Arial"/>
        </w:rPr>
        <w:t xml:space="preserve"> Committee on the Rights of the Child, </w:t>
      </w:r>
      <w:r w:rsidRPr="000760B9">
        <w:rPr>
          <w:rFonts w:cs="Arial"/>
          <w:i/>
        </w:rPr>
        <w:t>General Comment No 11</w:t>
      </w:r>
      <w:r>
        <w:rPr>
          <w:rFonts w:cs="Arial"/>
          <w:i/>
        </w:rPr>
        <w:t>:</w:t>
      </w:r>
      <w:r w:rsidRPr="000760B9">
        <w:rPr>
          <w:rFonts w:cs="Arial"/>
          <w:i/>
        </w:rPr>
        <w:t xml:space="preserve"> Indigenous children and their rights under the Convention</w:t>
      </w:r>
      <w:r w:rsidRPr="00E34166">
        <w:rPr>
          <w:rFonts w:cs="Arial"/>
        </w:rPr>
        <w:t>,</w:t>
      </w:r>
      <w:r w:rsidRPr="000760B9">
        <w:rPr>
          <w:rFonts w:cs="Arial"/>
        </w:rPr>
        <w:t xml:space="preserve"> CRC/C/GC/11 (12 February 2009) [51]</w:t>
      </w:r>
      <w:r>
        <w:rPr>
          <w:rFonts w:cs="Arial"/>
        </w:rPr>
        <w:t>.</w:t>
      </w:r>
      <w:r w:rsidRPr="000760B9">
        <w:rPr>
          <w:rFonts w:cs="Arial"/>
        </w:rPr>
        <w:t xml:space="preserve"> </w:t>
      </w:r>
    </w:p>
  </w:endnote>
  <w:endnote w:id="279">
    <w:p w:rsidR="00C3563C" w:rsidRPr="00C0600E" w:rsidRDefault="00C3563C" w:rsidP="00B87D45">
      <w:pPr>
        <w:pStyle w:val="Testonotadichiusura"/>
        <w:rPr>
          <w:rFonts w:cs="Arial"/>
        </w:rPr>
      </w:pPr>
      <w:r w:rsidRPr="000760B9">
        <w:rPr>
          <w:rStyle w:val="Rimandonotadichiusura"/>
          <w:rFonts w:cs="Arial"/>
        </w:rPr>
        <w:endnoteRef/>
      </w:r>
      <w:r w:rsidRPr="000760B9">
        <w:rPr>
          <w:rFonts w:cs="Arial"/>
        </w:rPr>
        <w:t xml:space="preserve"> </w:t>
      </w:r>
      <w:r w:rsidRPr="000D318A">
        <w:rPr>
          <w:rFonts w:cs="Arial"/>
          <w:i/>
        </w:rPr>
        <w:t xml:space="preserve">United Nations </w:t>
      </w:r>
      <w:r w:rsidRPr="00C0600E">
        <w:rPr>
          <w:rFonts w:cs="Arial"/>
          <w:i/>
        </w:rPr>
        <w:t>Declaration on the Rights of Indigenous Peoples</w:t>
      </w:r>
      <w:r w:rsidRPr="00C0600E">
        <w:rPr>
          <w:rFonts w:cs="Arial"/>
        </w:rPr>
        <w:t>, GA Res 61/295, UN GAOR, 61</w:t>
      </w:r>
      <w:r w:rsidRPr="00C0600E">
        <w:rPr>
          <w:rFonts w:cs="Arial"/>
          <w:vertAlign w:val="superscript"/>
        </w:rPr>
        <w:t>st</w:t>
      </w:r>
      <w:r w:rsidRPr="00C0600E">
        <w:rPr>
          <w:rFonts w:cs="Arial"/>
        </w:rPr>
        <w:t xml:space="preserve"> sess, 107</w:t>
      </w:r>
      <w:r w:rsidRPr="00C0600E">
        <w:rPr>
          <w:rFonts w:cs="Arial"/>
          <w:vertAlign w:val="superscript"/>
        </w:rPr>
        <w:t>th</w:t>
      </w:r>
      <w:r w:rsidRPr="00C0600E">
        <w:rPr>
          <w:rFonts w:cs="Arial"/>
        </w:rPr>
        <w:t xml:space="preserve"> plen mtg, Supp No 49, UN Doc A/RES/61/</w:t>
      </w:r>
      <w:r>
        <w:rPr>
          <w:rFonts w:cs="Arial"/>
        </w:rPr>
        <w:t>295 (13 September 2007) arts 21–</w:t>
      </w:r>
      <w:r w:rsidRPr="00C0600E">
        <w:rPr>
          <w:rFonts w:cs="Arial"/>
        </w:rPr>
        <w:t xml:space="preserve">24. </w:t>
      </w:r>
    </w:p>
  </w:endnote>
  <w:endnote w:id="280">
    <w:p w:rsidR="00C3563C" w:rsidRPr="00C0600E" w:rsidRDefault="00C3563C" w:rsidP="00B87D45">
      <w:pPr>
        <w:pStyle w:val="Testonotadichiusura"/>
        <w:rPr>
          <w:rFonts w:cs="Arial"/>
        </w:rPr>
      </w:pPr>
      <w:r w:rsidRPr="00C0600E">
        <w:rPr>
          <w:rStyle w:val="Rimandonotadichiusura"/>
          <w:rFonts w:cs="Arial"/>
        </w:rPr>
        <w:endnoteRef/>
      </w:r>
      <w:r w:rsidRPr="00C0600E">
        <w:rPr>
          <w:rFonts w:cs="Arial"/>
        </w:rPr>
        <w:t xml:space="preserve"> </w:t>
      </w:r>
      <w:r w:rsidRPr="00C0600E">
        <w:rPr>
          <w:rFonts w:cs="Arial"/>
          <w:i/>
        </w:rPr>
        <w:t>United Nations Declaration on the Rights of Indigenous Peoples</w:t>
      </w:r>
      <w:r w:rsidRPr="00C0600E">
        <w:rPr>
          <w:rFonts w:cs="Arial"/>
        </w:rPr>
        <w:t>, GA Res 61/295, UN GAOR, 61</w:t>
      </w:r>
      <w:r w:rsidRPr="00C0600E">
        <w:rPr>
          <w:rFonts w:cs="Arial"/>
          <w:vertAlign w:val="superscript"/>
        </w:rPr>
        <w:t>st</w:t>
      </w:r>
      <w:r w:rsidRPr="00C0600E">
        <w:rPr>
          <w:rFonts w:cs="Arial"/>
        </w:rPr>
        <w:t xml:space="preserve"> sess, 107</w:t>
      </w:r>
      <w:r w:rsidRPr="00C0600E">
        <w:rPr>
          <w:rFonts w:cs="Arial"/>
          <w:vertAlign w:val="superscript"/>
        </w:rPr>
        <w:t>th</w:t>
      </w:r>
      <w:r w:rsidRPr="00C0600E">
        <w:rPr>
          <w:rFonts w:cs="Arial"/>
        </w:rPr>
        <w:t xml:space="preserve"> plen mtg, Supp No 49, UN Doc A/RES/61/295 (13 September 2007) art 22. </w:t>
      </w:r>
    </w:p>
  </w:endnote>
  <w:endnote w:id="281">
    <w:p w:rsidR="00C3563C" w:rsidRPr="00AB6E9E" w:rsidRDefault="00C3563C" w:rsidP="00B87D45">
      <w:pPr>
        <w:pStyle w:val="Testonotadichiusura"/>
        <w:rPr>
          <w:rFonts w:cs="Arial"/>
        </w:rPr>
      </w:pPr>
      <w:r w:rsidRPr="00C0600E">
        <w:rPr>
          <w:rStyle w:val="Rimandonotadichiusura"/>
          <w:rFonts w:cs="Arial"/>
        </w:rPr>
        <w:endnoteRef/>
      </w:r>
      <w:r w:rsidRPr="00C0600E">
        <w:rPr>
          <w:rFonts w:cs="Arial"/>
        </w:rPr>
        <w:t xml:space="preserve"> Heidi Hoffman and Sergi Vidal, ‘Supporting Teen Families: An Assessment of Youth Childbearing in Australia and Early Interventions to Improve Education Outcomes of Young Parents’ (Working Paper No 12, Australian Research Council Centre of Excellence for Children and Families over the Life Course, June 2017) 3; Australian Bureau of Statistics, Media Release, ‘Teenage fertility rate lowest on record’, (November 206). At</w:t>
      </w:r>
      <w:r w:rsidRPr="00AB6E9E">
        <w:rPr>
          <w:rFonts w:cs="Arial"/>
        </w:rPr>
        <w:t xml:space="preserve"> </w:t>
      </w:r>
      <w:hyperlink r:id="rId132" w:history="1">
        <w:r w:rsidRPr="00AB6E9E">
          <w:rPr>
            <w:rStyle w:val="Collegamentoipertestuale"/>
            <w:rFonts w:cs="Arial"/>
          </w:rPr>
          <w:t>http://www.abs.gov.au/AUSSTATS/abs@.nsf/Latestproducts/3301.0Media%20Release12015</w:t>
        </w:r>
      </w:hyperlink>
      <w:r w:rsidRPr="00AB6E9E">
        <w:rPr>
          <w:rStyle w:val="Collegamentoipertestuale"/>
          <w:rFonts w:cs="Arial"/>
        </w:rPr>
        <w:t xml:space="preserve"> </w:t>
      </w:r>
      <w:r w:rsidRPr="00AB6E9E">
        <w:rPr>
          <w:rFonts w:cs="Arial"/>
        </w:rPr>
        <w:t>(viewed 28 August 2017).</w:t>
      </w:r>
    </w:p>
  </w:endnote>
  <w:endnote w:id="282">
    <w:p w:rsidR="00C3563C" w:rsidRPr="00AB6E9E" w:rsidRDefault="00C3563C" w:rsidP="00B87D45">
      <w:pPr>
        <w:pStyle w:val="Testonotaapidipagina"/>
        <w:rPr>
          <w:rFonts w:cs="Arial"/>
        </w:rPr>
      </w:pPr>
      <w:r w:rsidRPr="00AB6E9E">
        <w:rPr>
          <w:rStyle w:val="Rimandonotadichiusura"/>
          <w:rFonts w:cs="Arial"/>
        </w:rPr>
        <w:endnoteRef/>
      </w:r>
      <w:r w:rsidRPr="00AB6E9E">
        <w:rPr>
          <w:rFonts w:cs="Arial"/>
        </w:rPr>
        <w:t xml:space="preserve"> Australian Bureau of Statistics, ‘Fe</w:t>
      </w:r>
      <w:r>
        <w:rPr>
          <w:rFonts w:cs="Arial"/>
        </w:rPr>
        <w:t>rtility, by age, by state’, ABS Stat</w:t>
      </w:r>
      <w:r w:rsidRPr="00AB6E9E">
        <w:rPr>
          <w:rFonts w:cs="Arial"/>
        </w:rPr>
        <w:t xml:space="preserve"> At </w:t>
      </w:r>
      <w:hyperlink r:id="rId133" w:history="1">
        <w:r w:rsidRPr="00AB6E9E">
          <w:rPr>
            <w:rStyle w:val="Collegamentoipertestuale"/>
            <w:rFonts w:cs="Arial"/>
          </w:rPr>
          <w:t>http://stat.data.abs.gov.au/Index.aspx?QueryId=494</w:t>
        </w:r>
      </w:hyperlink>
      <w:r w:rsidRPr="00AB6E9E">
        <w:rPr>
          <w:rFonts w:cs="Arial"/>
        </w:rPr>
        <w:t xml:space="preserve"> (viewed 28 August 2017).</w:t>
      </w:r>
    </w:p>
  </w:endnote>
  <w:endnote w:id="283">
    <w:p w:rsidR="00C3563C" w:rsidRPr="00AB6E9E" w:rsidRDefault="00C3563C" w:rsidP="00B87D45">
      <w:pPr>
        <w:pStyle w:val="Testonotadichiusura"/>
        <w:rPr>
          <w:rFonts w:cs="Arial"/>
        </w:rPr>
      </w:pPr>
      <w:r>
        <w:rPr>
          <w:rStyle w:val="Rimandonotadichiusura"/>
        </w:rPr>
        <w:endnoteRef/>
      </w:r>
      <w:r>
        <w:t xml:space="preserve"> </w:t>
      </w:r>
      <w:r w:rsidRPr="00AB6E9E">
        <w:rPr>
          <w:rFonts w:cs="Arial"/>
        </w:rPr>
        <w:t>Heidi Hoffman and Sergi Vidal, ‘Supporting Teen Families: An Assessment of Youth Childbearing in Australia and Early Interventions to Improve Education Outcomes of Young Parents’ (Working Paper No 12, Australian Research Council Centre of Excellence for Children and Families over the Life Course, June 2017) 3.</w:t>
      </w:r>
    </w:p>
  </w:endnote>
  <w:endnote w:id="284">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Jennifer Marino, Lucy Lewis, Deborah Bateson, Martha Hickey and Rachel Skinner,</w:t>
      </w:r>
      <w:r w:rsidRPr="00AB6E9E">
        <w:rPr>
          <w:rFonts w:cs="Arial"/>
        </w:rPr>
        <w:t xml:space="preserve"> ‘Teenage Mothers’ (2016) 45(10) </w:t>
      </w:r>
      <w:r w:rsidRPr="00AB6E9E">
        <w:rPr>
          <w:rFonts w:cs="Arial"/>
          <w:i/>
        </w:rPr>
        <w:t>Australian Family Physician</w:t>
      </w:r>
      <w:r w:rsidRPr="00AB6E9E">
        <w:rPr>
          <w:rFonts w:cs="Arial"/>
        </w:rPr>
        <w:t xml:space="preserve"> 712, 712.</w:t>
      </w:r>
    </w:p>
  </w:endnote>
  <w:endnote w:id="285">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w:t>
      </w:r>
      <w:r>
        <w:rPr>
          <w:rFonts w:cs="Arial"/>
        </w:rPr>
        <w:t>Jennifer Marino, Lucy Lewis, Deborah Bateson, Martha Hickey and Rachel Skinner,</w:t>
      </w:r>
      <w:r w:rsidRPr="00AB6E9E">
        <w:rPr>
          <w:rFonts w:cs="Arial"/>
        </w:rPr>
        <w:t xml:space="preserve"> ‘Teenage Mothers’ (2016) 45(10) </w:t>
      </w:r>
      <w:r w:rsidRPr="00AB6E9E">
        <w:rPr>
          <w:rFonts w:cs="Arial"/>
          <w:i/>
        </w:rPr>
        <w:t>Australian Family Physician</w:t>
      </w:r>
      <w:r w:rsidRPr="00AB6E9E">
        <w:rPr>
          <w:rFonts w:cs="Arial"/>
        </w:rPr>
        <w:t xml:space="preserve"> 712, 712; Australian Institute of Health and Welfare, ‘A Picture of Australia’s Children 2012’ (Report, Australian Institute of Health and Welfare, 2012) 51-52.   </w:t>
      </w:r>
    </w:p>
  </w:endnote>
  <w:endnote w:id="286">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w:t>
      </w:r>
      <w:r>
        <w:rPr>
          <w:rFonts w:cs="Arial"/>
        </w:rPr>
        <w:t>Jennifer Marino, Lucy Lewis, Deborah Bateson, Martha Hickey and Rachel Skinner</w:t>
      </w:r>
      <w:r w:rsidRPr="00AB6E9E">
        <w:rPr>
          <w:rFonts w:cs="Arial"/>
        </w:rPr>
        <w:t xml:space="preserve">, ‘Teenage Mothers’ (2016) 45(10) </w:t>
      </w:r>
      <w:r w:rsidRPr="00AB6E9E">
        <w:rPr>
          <w:rFonts w:cs="Arial"/>
          <w:i/>
        </w:rPr>
        <w:t>Australian Family Physician</w:t>
      </w:r>
      <w:r w:rsidRPr="00AB6E9E">
        <w:rPr>
          <w:rFonts w:cs="Arial"/>
        </w:rPr>
        <w:t xml:space="preserve"> 712, 712; Australian Bureau of Statistics, ‘Births, Australia, 2015’, ABS </w:t>
      </w:r>
      <w:r>
        <w:rPr>
          <w:rFonts w:cs="Arial"/>
        </w:rPr>
        <w:t>Catalogue</w:t>
      </w:r>
      <w:r w:rsidRPr="00AB6E9E">
        <w:rPr>
          <w:rFonts w:cs="Arial"/>
        </w:rPr>
        <w:t xml:space="preserve"> </w:t>
      </w:r>
      <w:r>
        <w:rPr>
          <w:rFonts w:cs="Arial"/>
        </w:rPr>
        <w:t>No</w:t>
      </w:r>
      <w:r w:rsidRPr="00AB6E9E">
        <w:rPr>
          <w:rFonts w:cs="Arial"/>
        </w:rPr>
        <w:t xml:space="preserve"> 3301.0 (7 February 2017)</w:t>
      </w:r>
      <w:r>
        <w:rPr>
          <w:rFonts w:cs="Arial"/>
        </w:rPr>
        <w:t>. At</w:t>
      </w:r>
      <w:r w:rsidRPr="00AB6E9E">
        <w:rPr>
          <w:rFonts w:cs="Arial"/>
        </w:rPr>
        <w:t xml:space="preserve"> </w:t>
      </w:r>
      <w:hyperlink r:id="rId134" w:history="1">
        <w:r w:rsidRPr="00AB6E9E">
          <w:rPr>
            <w:rStyle w:val="Collegamentoipertestuale"/>
            <w:rFonts w:cs="Arial"/>
          </w:rPr>
          <w:t>http://www.abs.gov.au/ausstats/abs@.nsf/mf/3301.0</w:t>
        </w:r>
      </w:hyperlink>
      <w:r w:rsidRPr="00AB6E9E">
        <w:rPr>
          <w:rFonts w:cs="Arial"/>
        </w:rPr>
        <w:t xml:space="preserve"> (viewed 27 July 2017)</w:t>
      </w:r>
      <w:r>
        <w:rPr>
          <w:rFonts w:cs="Arial"/>
        </w:rPr>
        <w:t>.</w:t>
      </w:r>
      <w:r w:rsidRPr="00AB6E9E">
        <w:rPr>
          <w:rFonts w:cs="Arial"/>
        </w:rPr>
        <w:t xml:space="preserve"> </w:t>
      </w:r>
    </w:p>
  </w:endnote>
  <w:endnote w:id="287">
    <w:p w:rsidR="00C3563C" w:rsidRPr="00AB6E9E" w:rsidRDefault="00C3563C" w:rsidP="00B87D45">
      <w:pPr>
        <w:pStyle w:val="Testonotaapidipagina"/>
        <w:rPr>
          <w:rFonts w:cs="Arial"/>
        </w:rPr>
      </w:pPr>
      <w:r w:rsidRPr="00AB6E9E">
        <w:rPr>
          <w:rStyle w:val="Rimandonotadichiusura"/>
          <w:rFonts w:cs="Arial"/>
        </w:rPr>
        <w:endnoteRef/>
      </w:r>
      <w:r w:rsidRPr="00AB6E9E">
        <w:rPr>
          <w:rFonts w:cs="Arial"/>
        </w:rPr>
        <w:t xml:space="preserve"> </w:t>
      </w:r>
      <w:r>
        <w:rPr>
          <w:rFonts w:cs="Arial"/>
        </w:rPr>
        <w:t xml:space="preserve">Derived from </w:t>
      </w:r>
      <w:r w:rsidRPr="00AB6E9E">
        <w:rPr>
          <w:rFonts w:cs="Arial"/>
        </w:rPr>
        <w:t xml:space="preserve">Australian Bureau of Statistics, ‘Fertility, by age, by state’, ABS.Stat. At </w:t>
      </w:r>
      <w:hyperlink r:id="rId135" w:history="1">
        <w:r w:rsidRPr="00CB411D">
          <w:rPr>
            <w:rStyle w:val="Collegamentoipertestuale"/>
          </w:rPr>
          <w:t>http://stat.data.abs.gov.au//Index.aspx?QueryId=524</w:t>
        </w:r>
      </w:hyperlink>
      <w:r w:rsidRPr="00AB6E9E">
        <w:rPr>
          <w:rFonts w:cs="Arial"/>
        </w:rPr>
        <w:t xml:space="preserve"> (viewed 28 August 2017). </w:t>
      </w:r>
    </w:p>
  </w:endnote>
  <w:endnote w:id="288">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w:t>
      </w:r>
      <w:r>
        <w:rPr>
          <w:rFonts w:cs="Arial"/>
        </w:rPr>
        <w:t xml:space="preserve">Derived from </w:t>
      </w:r>
      <w:r w:rsidRPr="00AB6E9E">
        <w:rPr>
          <w:rFonts w:cs="Arial"/>
        </w:rPr>
        <w:t xml:space="preserve">Australian Bureau of Statistics, ‘Births, Australia, 2015’, ABS </w:t>
      </w:r>
      <w:r>
        <w:rPr>
          <w:rFonts w:cs="Arial"/>
        </w:rPr>
        <w:t>Catalogue</w:t>
      </w:r>
      <w:r w:rsidRPr="00AB6E9E">
        <w:rPr>
          <w:rFonts w:cs="Arial"/>
        </w:rPr>
        <w:t xml:space="preserve"> </w:t>
      </w:r>
      <w:r>
        <w:rPr>
          <w:rFonts w:cs="Arial"/>
        </w:rPr>
        <w:t>No</w:t>
      </w:r>
      <w:r w:rsidRPr="00AB6E9E">
        <w:rPr>
          <w:rFonts w:cs="Arial"/>
        </w:rPr>
        <w:t xml:space="preserve"> 3301.0 (7 February 2017). At </w:t>
      </w:r>
      <w:hyperlink r:id="rId136" w:history="1">
        <w:r w:rsidRPr="00AB6E9E">
          <w:rPr>
            <w:rStyle w:val="Collegamentoipertestuale"/>
            <w:rFonts w:cs="Arial"/>
          </w:rPr>
          <w:t>http://www.abs.gov.au/ausstats/abs@.nsf/mf/3301.0</w:t>
        </w:r>
      </w:hyperlink>
      <w:r w:rsidRPr="00AB6E9E">
        <w:rPr>
          <w:rFonts w:cs="Arial"/>
        </w:rPr>
        <w:t xml:space="preserve"> (viewed 28 August 2017).</w:t>
      </w:r>
    </w:p>
  </w:endnote>
  <w:endnote w:id="289">
    <w:p w:rsidR="00C3563C" w:rsidRPr="00AB6E9E" w:rsidRDefault="00C3563C" w:rsidP="00B87D45">
      <w:pPr>
        <w:pStyle w:val="Testonotaapidipagina"/>
        <w:rPr>
          <w:rFonts w:cs="Arial"/>
        </w:rPr>
      </w:pPr>
      <w:r w:rsidRPr="00AB6E9E">
        <w:rPr>
          <w:rStyle w:val="Rimandonotadichiusura"/>
          <w:rFonts w:cs="Arial"/>
        </w:rPr>
        <w:endnoteRef/>
      </w:r>
      <w:r w:rsidRPr="00AB6E9E">
        <w:rPr>
          <w:rFonts w:cs="Arial"/>
        </w:rPr>
        <w:t xml:space="preserve"> Australian Bureau of Statistics, ‘Fertility, by age, by state’, ABS.Stat. At </w:t>
      </w:r>
      <w:hyperlink r:id="rId137" w:history="1">
        <w:r w:rsidRPr="00AB6E9E">
          <w:rPr>
            <w:rStyle w:val="Collegamentoipertestuale"/>
            <w:rFonts w:cs="Arial"/>
          </w:rPr>
          <w:t>http://stat.data.abs.gov.au/Index.aspx?QueryId=494</w:t>
        </w:r>
      </w:hyperlink>
      <w:r w:rsidRPr="00AB6E9E">
        <w:rPr>
          <w:rFonts w:cs="Arial"/>
        </w:rPr>
        <w:t xml:space="preserve"> (viewed 28 August 2017).</w:t>
      </w:r>
    </w:p>
  </w:endnote>
  <w:endnote w:id="290">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Heidi Hoffman and Sergi Vidal, ‘Supporting Teen Families: An Assessment of Youth Childbearing in Australia and Early Interventions to Improve Education Outcomes of Young Parents’ (Working Paper No 12, Australian Research Council Centre of Excellence for Children and Families over the Life Course, June 2017) 7</w:t>
      </w:r>
      <w:r>
        <w:rPr>
          <w:rFonts w:cs="Arial"/>
        </w:rPr>
        <w:t>.</w:t>
      </w:r>
      <w:r w:rsidRPr="00AB6E9E">
        <w:rPr>
          <w:rFonts w:cs="Arial"/>
        </w:rPr>
        <w:t xml:space="preserve"> </w:t>
      </w:r>
    </w:p>
  </w:endnote>
  <w:endnote w:id="291">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Heidi Hoffman and Sergi Vidal, ‘Supporting Teen Families: An Assessment of Youth Childbearing in Australia and Early Interventions to Improve Education Outcomes of Young Parents’ (Working Paper No 12, Australian Research Council Centre of Excellence for Children and Families over the Life Course, June 2017) 7; K</w:t>
      </w:r>
      <w:r>
        <w:rPr>
          <w:rFonts w:cs="Arial"/>
        </w:rPr>
        <w:t>im</w:t>
      </w:r>
      <w:r w:rsidRPr="00AB6E9E">
        <w:rPr>
          <w:rFonts w:cs="Arial"/>
        </w:rPr>
        <w:t xml:space="preserve"> Johnstone, ‘Indigenous Fertility in the Northern Territory of Australia: what do we know? (and what can we know?)</w:t>
      </w:r>
      <w:r>
        <w:rPr>
          <w:rFonts w:cs="Arial"/>
        </w:rPr>
        <w:t>’</w:t>
      </w:r>
      <w:r w:rsidRPr="00AB6E9E">
        <w:rPr>
          <w:rFonts w:cs="Arial"/>
        </w:rPr>
        <w:t xml:space="preserve"> (2010) 27(3) </w:t>
      </w:r>
      <w:r w:rsidRPr="00AB6E9E">
        <w:rPr>
          <w:rFonts w:cs="Arial"/>
          <w:i/>
        </w:rPr>
        <w:t xml:space="preserve">Journal of Population Research </w:t>
      </w:r>
      <w:r>
        <w:rPr>
          <w:rFonts w:cs="Arial"/>
        </w:rPr>
        <w:t>169; Sarah</w:t>
      </w:r>
      <w:r w:rsidRPr="00AB6E9E">
        <w:rPr>
          <w:rFonts w:cs="Arial"/>
        </w:rPr>
        <w:t xml:space="preserve"> Larkins</w:t>
      </w:r>
      <w:r>
        <w:rPr>
          <w:rFonts w:cs="Arial"/>
        </w:rPr>
        <w:t xml:space="preserve">, Priscilla Page, Kathryn Panaretto, Melvina Mitchell, Valerie Alberts, Suzanne McGinty and Craig Veitch, </w:t>
      </w:r>
      <w:r w:rsidRPr="00AB6E9E">
        <w:rPr>
          <w:rFonts w:cs="Arial"/>
        </w:rPr>
        <w:t xml:space="preserve">‘The Transformative potential of young motherhood for disadvantaged </w:t>
      </w:r>
      <w:r>
        <w:rPr>
          <w:rFonts w:cs="Arial"/>
        </w:rPr>
        <w:t>A</w:t>
      </w:r>
      <w:r w:rsidRPr="00AB6E9E">
        <w:rPr>
          <w:rFonts w:cs="Arial"/>
        </w:rPr>
        <w:t xml:space="preserve">boriginal and </w:t>
      </w:r>
      <w:r>
        <w:rPr>
          <w:rFonts w:cs="Arial"/>
        </w:rPr>
        <w:t>T</w:t>
      </w:r>
      <w:r w:rsidRPr="00AB6E9E">
        <w:rPr>
          <w:rFonts w:cs="Arial"/>
        </w:rPr>
        <w:t xml:space="preserve">orres </w:t>
      </w:r>
      <w:r>
        <w:rPr>
          <w:rFonts w:cs="Arial"/>
        </w:rPr>
        <w:t>S</w:t>
      </w:r>
      <w:r w:rsidRPr="00AB6E9E">
        <w:rPr>
          <w:rFonts w:cs="Arial"/>
        </w:rPr>
        <w:t xml:space="preserve">trait Islander women in Townsville, Australia’ (2011) 194(10) </w:t>
      </w:r>
      <w:r w:rsidRPr="00AB6E9E">
        <w:rPr>
          <w:rFonts w:cs="Arial"/>
          <w:i/>
        </w:rPr>
        <w:t>Medical Journal of Australia</w:t>
      </w:r>
      <w:r>
        <w:rPr>
          <w:rFonts w:cs="Arial"/>
        </w:rPr>
        <w:t xml:space="preserve"> 551; Lucy</w:t>
      </w:r>
      <w:r w:rsidRPr="00AB6E9E">
        <w:rPr>
          <w:rFonts w:cs="Arial"/>
        </w:rPr>
        <w:t xml:space="preserve"> Lewis</w:t>
      </w:r>
      <w:r>
        <w:rPr>
          <w:rFonts w:cs="Arial"/>
        </w:rPr>
        <w:t xml:space="preserve">, Martha Hickey, Dorota Doherty and Rachel Skinner, </w:t>
      </w:r>
      <w:r w:rsidRPr="00AB6E9E">
        <w:rPr>
          <w:rFonts w:cs="Arial"/>
        </w:rPr>
        <w:t xml:space="preserve">‘How do pregnancy outcomes differ in teenage mothers? A Western Australian study’ (2009) 190(10) </w:t>
      </w:r>
      <w:r w:rsidRPr="00AB6E9E">
        <w:rPr>
          <w:rFonts w:cs="Arial"/>
          <w:i/>
        </w:rPr>
        <w:t>Medical Journal of Australia</w:t>
      </w:r>
      <w:r w:rsidRPr="00AB6E9E">
        <w:rPr>
          <w:rFonts w:cs="Arial"/>
        </w:rPr>
        <w:t xml:space="preserve"> 537; L</w:t>
      </w:r>
      <w:r>
        <w:rPr>
          <w:rFonts w:cs="Arial"/>
        </w:rPr>
        <w:t xml:space="preserve">ucy Lewis and </w:t>
      </w:r>
      <w:r w:rsidRPr="00AB6E9E">
        <w:rPr>
          <w:rFonts w:cs="Arial"/>
        </w:rPr>
        <w:t>R</w:t>
      </w:r>
      <w:r>
        <w:rPr>
          <w:rFonts w:cs="Arial"/>
        </w:rPr>
        <w:t>achel</w:t>
      </w:r>
      <w:r w:rsidRPr="00AB6E9E">
        <w:rPr>
          <w:rFonts w:cs="Arial"/>
        </w:rPr>
        <w:t xml:space="preserve"> Skinner ‘Adolescen</w:t>
      </w:r>
      <w:r>
        <w:rPr>
          <w:rFonts w:cs="Arial"/>
        </w:rPr>
        <w:t xml:space="preserve">t Pregnancy in Australia’ in </w:t>
      </w:r>
      <w:r w:rsidRPr="00AB6E9E">
        <w:rPr>
          <w:rFonts w:cs="Arial"/>
        </w:rPr>
        <w:t>A</w:t>
      </w:r>
      <w:r>
        <w:rPr>
          <w:rFonts w:cs="Arial"/>
        </w:rPr>
        <w:t xml:space="preserve">ndrew Cherry and </w:t>
      </w:r>
      <w:r w:rsidRPr="00AB6E9E">
        <w:rPr>
          <w:rFonts w:cs="Arial"/>
        </w:rPr>
        <w:t>M</w:t>
      </w:r>
      <w:r>
        <w:rPr>
          <w:rFonts w:cs="Arial"/>
        </w:rPr>
        <w:t>ary</w:t>
      </w:r>
      <w:r w:rsidRPr="00AB6E9E">
        <w:rPr>
          <w:rFonts w:cs="Arial"/>
        </w:rPr>
        <w:t xml:space="preserve"> Dillon (eds) </w:t>
      </w:r>
      <w:r w:rsidRPr="00AB6E9E">
        <w:rPr>
          <w:rFonts w:cs="Arial"/>
          <w:i/>
        </w:rPr>
        <w:t>International Handbook of Adolescent Pregnancy: Medical Psychosocial, and Public Health Responses</w:t>
      </w:r>
      <w:r w:rsidRPr="00AB6E9E">
        <w:rPr>
          <w:rFonts w:cs="Arial"/>
        </w:rPr>
        <w:t xml:space="preserve"> (Springer US: 2014</w:t>
      </w:r>
      <w:r>
        <w:rPr>
          <w:rFonts w:cs="Arial"/>
        </w:rPr>
        <w:t>) 191; Julie Quinlivan and Sharon</w:t>
      </w:r>
      <w:r w:rsidRPr="00AB6E9E">
        <w:rPr>
          <w:rFonts w:cs="Arial"/>
        </w:rPr>
        <w:t xml:space="preserve"> Evans, ‘A Prospective Cohort Study of the Impact of Domestic Violence on Young Teenage Pregnancy Outcomes’ (2001) 14(1) </w:t>
      </w:r>
      <w:r w:rsidRPr="00AB6E9E">
        <w:rPr>
          <w:rFonts w:cs="Arial"/>
          <w:i/>
        </w:rPr>
        <w:t xml:space="preserve">Journal of Pediatric and Adolescent Gynaecology </w:t>
      </w:r>
      <w:r w:rsidRPr="00AB6E9E">
        <w:rPr>
          <w:rFonts w:cs="Arial"/>
        </w:rPr>
        <w:t xml:space="preserve">273; </w:t>
      </w:r>
      <w:r>
        <w:rPr>
          <w:rFonts w:cs="Arial"/>
        </w:rPr>
        <w:t>Julie Quinlivan and Sharon</w:t>
      </w:r>
      <w:r w:rsidRPr="00AB6E9E">
        <w:rPr>
          <w:rFonts w:cs="Arial"/>
        </w:rPr>
        <w:t xml:space="preserve"> Evans, ‘The impact of continuing illegal drug use on teenage pregnancy outcomes – a prospective cohort study’ (2002) 109(10) </w:t>
      </w:r>
      <w:r w:rsidRPr="00AB6E9E">
        <w:rPr>
          <w:rFonts w:cs="Arial"/>
          <w:i/>
        </w:rPr>
        <w:t>BJOG: An International Journal of Obstetrics and Gynaecology</w:t>
      </w:r>
      <w:r w:rsidRPr="00AB6E9E">
        <w:rPr>
          <w:rFonts w:cs="Arial"/>
        </w:rPr>
        <w:t xml:space="preserve"> 1148; </w:t>
      </w:r>
      <w:r>
        <w:rPr>
          <w:rFonts w:cs="Arial"/>
        </w:rPr>
        <w:t>Lixia Qu, Grace Soriano and Ruth Weston,</w:t>
      </w:r>
      <w:r w:rsidRPr="00AB6E9E">
        <w:rPr>
          <w:rFonts w:cs="Arial"/>
        </w:rPr>
        <w:t xml:space="preserve"> ‘Starting </w:t>
      </w:r>
      <w:r>
        <w:rPr>
          <w:rFonts w:cs="Arial"/>
        </w:rPr>
        <w:t>e</w:t>
      </w:r>
      <w:r w:rsidRPr="00AB6E9E">
        <w:rPr>
          <w:rFonts w:cs="Arial"/>
        </w:rPr>
        <w:t xml:space="preserve">arly, </w:t>
      </w:r>
      <w:r>
        <w:rPr>
          <w:rFonts w:cs="Arial"/>
        </w:rPr>
        <w:t>s</w:t>
      </w:r>
      <w:r w:rsidRPr="00AB6E9E">
        <w:rPr>
          <w:rFonts w:cs="Arial"/>
        </w:rPr>
        <w:t xml:space="preserve">tarting </w:t>
      </w:r>
      <w:r>
        <w:rPr>
          <w:rFonts w:cs="Arial"/>
        </w:rPr>
        <w:t>l</w:t>
      </w:r>
      <w:r w:rsidRPr="00AB6E9E">
        <w:rPr>
          <w:rFonts w:cs="Arial"/>
        </w:rPr>
        <w:t xml:space="preserve">ate: The </w:t>
      </w:r>
      <w:r>
        <w:rPr>
          <w:rFonts w:cs="Arial"/>
        </w:rPr>
        <w:t>h</w:t>
      </w:r>
      <w:r w:rsidRPr="00AB6E9E">
        <w:rPr>
          <w:rFonts w:cs="Arial"/>
        </w:rPr>
        <w:t xml:space="preserve">ealth and </w:t>
      </w:r>
      <w:r>
        <w:rPr>
          <w:rFonts w:cs="Arial"/>
        </w:rPr>
        <w:t>w</w:t>
      </w:r>
      <w:r w:rsidRPr="00AB6E9E">
        <w:rPr>
          <w:rFonts w:cs="Arial"/>
        </w:rPr>
        <w:t xml:space="preserve">ellbeing of </w:t>
      </w:r>
      <w:r>
        <w:rPr>
          <w:rFonts w:cs="Arial"/>
        </w:rPr>
        <w:t>m</w:t>
      </w:r>
      <w:r w:rsidRPr="00AB6E9E">
        <w:rPr>
          <w:rFonts w:cs="Arial"/>
        </w:rPr>
        <w:t xml:space="preserve">other and </w:t>
      </w:r>
      <w:r>
        <w:rPr>
          <w:rFonts w:cs="Arial"/>
        </w:rPr>
        <w:t>c</w:t>
      </w:r>
      <w:r w:rsidRPr="00AB6E9E">
        <w:rPr>
          <w:rFonts w:cs="Arial"/>
        </w:rPr>
        <w:t xml:space="preserve">hild’ (2006) 74 </w:t>
      </w:r>
      <w:r w:rsidRPr="00AB6E9E">
        <w:rPr>
          <w:rFonts w:cs="Arial"/>
          <w:i/>
        </w:rPr>
        <w:t xml:space="preserve">Family Matters </w:t>
      </w:r>
      <w:r w:rsidRPr="00AB6E9E">
        <w:rPr>
          <w:rFonts w:cs="Arial"/>
        </w:rPr>
        <w:t xml:space="preserve">4. </w:t>
      </w:r>
    </w:p>
  </w:endnote>
  <w:endnote w:id="292">
    <w:p w:rsidR="00C3563C" w:rsidRDefault="00C3563C" w:rsidP="00B87D45">
      <w:pPr>
        <w:pStyle w:val="Testonotadichiusura"/>
      </w:pPr>
      <w:r>
        <w:rPr>
          <w:rStyle w:val="Rimandonotadichiusura"/>
        </w:rPr>
        <w:endnoteRef/>
      </w:r>
      <w:r>
        <w:t xml:space="preserve"> Australian Bureau of Statistics, Submission No 69 to the Australian Human Rights Commission, </w:t>
      </w:r>
      <w:r w:rsidRPr="00952D83">
        <w:rPr>
          <w:i/>
        </w:rPr>
        <w:t>Nati</w:t>
      </w:r>
      <w:r>
        <w:rPr>
          <w:i/>
        </w:rPr>
        <w:t>onal Children’s Commissioner’s I</w:t>
      </w:r>
      <w:r w:rsidRPr="00952D83">
        <w:rPr>
          <w:i/>
        </w:rPr>
        <w:t>nvestigatio</w:t>
      </w:r>
      <w:r>
        <w:rPr>
          <w:i/>
        </w:rPr>
        <w:t>n into Young Parents and their C</w:t>
      </w:r>
      <w:r w:rsidRPr="00952D83">
        <w:rPr>
          <w:i/>
        </w:rPr>
        <w:t>hildren</w:t>
      </w:r>
      <w:r>
        <w:t>, 1.</w:t>
      </w:r>
    </w:p>
  </w:endnote>
  <w:endnote w:id="293">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Australian Bureau of Statistics, ‘Aboriginal and Torres Strait Islander fertility, by age, by state,’ ABS.Stat. At </w:t>
      </w:r>
      <w:hyperlink r:id="rId138" w:history="1">
        <w:r w:rsidRPr="00AB6E9E">
          <w:rPr>
            <w:rStyle w:val="Collegamentoipertestuale"/>
            <w:rFonts w:cs="Arial"/>
          </w:rPr>
          <w:t>http://stat.data.abs.gov.au/Index.aspx?QueryId=503</w:t>
        </w:r>
      </w:hyperlink>
      <w:r w:rsidRPr="00AB6E9E">
        <w:rPr>
          <w:rFonts w:cs="Arial"/>
        </w:rPr>
        <w:t xml:space="preserve"> (viewed 28 August 2017).</w:t>
      </w:r>
    </w:p>
  </w:endnote>
  <w:endnote w:id="294">
    <w:p w:rsidR="00C3563C" w:rsidRDefault="00C3563C" w:rsidP="00B87D45">
      <w:pPr>
        <w:pStyle w:val="Testonotadichiusura"/>
      </w:pPr>
      <w:r>
        <w:rPr>
          <w:rStyle w:val="Rimandonotadichiusura"/>
        </w:rPr>
        <w:endnoteRef/>
      </w:r>
      <w:r>
        <w:t xml:space="preserve"> Derived from </w:t>
      </w:r>
      <w:r w:rsidRPr="00C8631A">
        <w:t>Australian Bureau of Statistics, ‘Aboriginal and Torres Strait Islander fertility, by age, by state’, ‘Fertility, By Age, By State’, ABS.</w:t>
      </w:r>
      <w:r>
        <w:t xml:space="preserve"> </w:t>
      </w:r>
      <w:r w:rsidRPr="00C8631A">
        <w:t xml:space="preserve">Stat. At </w:t>
      </w:r>
      <w:hyperlink r:id="rId139" w:history="1">
        <w:r w:rsidRPr="00C8631A">
          <w:rPr>
            <w:rStyle w:val="Collegamentoipertestuale"/>
          </w:rPr>
          <w:t>http://stat.data.abs.gov.au/Index.aspx?QueryId=503</w:t>
        </w:r>
      </w:hyperlink>
      <w:r>
        <w:t xml:space="preserve"> </w:t>
      </w:r>
      <w:r w:rsidRPr="00C8631A">
        <w:t>(viewed 28 August 2017)</w:t>
      </w:r>
      <w:r>
        <w:t>.</w:t>
      </w:r>
    </w:p>
  </w:endnote>
  <w:endnote w:id="295">
    <w:p w:rsidR="00C3563C" w:rsidRPr="00AB6E9E" w:rsidRDefault="00C3563C" w:rsidP="00B87D45">
      <w:pPr>
        <w:spacing w:before="0" w:after="0"/>
        <w:rPr>
          <w:rFonts w:cs="Arial"/>
          <w:sz w:val="20"/>
          <w:szCs w:val="20"/>
        </w:rPr>
      </w:pPr>
      <w:r w:rsidRPr="00AB6E9E">
        <w:rPr>
          <w:rStyle w:val="Rimandonotadichiusura"/>
          <w:rFonts w:cs="Arial"/>
          <w:szCs w:val="20"/>
        </w:rPr>
        <w:endnoteRef/>
      </w:r>
      <w:r w:rsidRPr="00AB6E9E">
        <w:rPr>
          <w:rFonts w:cs="Arial"/>
          <w:sz w:val="20"/>
          <w:szCs w:val="20"/>
        </w:rPr>
        <w:t xml:space="preserve"> Australian Bureau of Statistics, ‘Aboriginal and Torres Strait Islander Births and Fertility’, ABS </w:t>
      </w:r>
      <w:r>
        <w:rPr>
          <w:rFonts w:cs="Arial"/>
          <w:sz w:val="20"/>
          <w:szCs w:val="20"/>
        </w:rPr>
        <w:t>Catalogue</w:t>
      </w:r>
      <w:r w:rsidRPr="00AB6E9E">
        <w:rPr>
          <w:rFonts w:cs="Arial"/>
          <w:sz w:val="20"/>
          <w:szCs w:val="20"/>
        </w:rPr>
        <w:t xml:space="preserve"> </w:t>
      </w:r>
      <w:r>
        <w:rPr>
          <w:rFonts w:cs="Arial"/>
          <w:sz w:val="20"/>
          <w:szCs w:val="20"/>
        </w:rPr>
        <w:t>No</w:t>
      </w:r>
      <w:r w:rsidRPr="00AB6E9E">
        <w:rPr>
          <w:rFonts w:cs="Arial"/>
          <w:sz w:val="20"/>
          <w:szCs w:val="20"/>
        </w:rPr>
        <w:t xml:space="preserve"> 3301.0, (February, 2017). At</w:t>
      </w:r>
    </w:p>
    <w:p w:rsidR="00C3563C" w:rsidRPr="00AB6E9E" w:rsidRDefault="00C3029C" w:rsidP="00B87D45">
      <w:pPr>
        <w:pStyle w:val="Testonotadichiusura"/>
        <w:rPr>
          <w:rFonts w:cs="Arial"/>
        </w:rPr>
      </w:pPr>
      <w:hyperlink r:id="rId140" w:history="1">
        <w:r w:rsidR="00C3563C" w:rsidRPr="00AB6E9E">
          <w:rPr>
            <w:rStyle w:val="Collegamentoipertestuale"/>
            <w:rFonts w:cs="Arial"/>
          </w:rPr>
          <w:t>http://www.abs.gov.au/ausstats/abs@.nsf/Latestproducts/3301.0Main%20Features62015?opendocument&amp;tabname=Summary&amp;prodno=3301.0&amp;issue=2015&amp;num=&amp;view</w:t>
        </w:r>
      </w:hyperlink>
      <w:r w:rsidR="00C3563C" w:rsidRPr="00AB6E9E">
        <w:rPr>
          <w:rFonts w:cs="Arial"/>
        </w:rPr>
        <w:t xml:space="preserve"> (viewed 28 August 2017).</w:t>
      </w:r>
    </w:p>
  </w:endnote>
  <w:endnote w:id="296">
    <w:p w:rsidR="00C3563C" w:rsidRDefault="00C3563C" w:rsidP="00B87D45">
      <w:pPr>
        <w:pStyle w:val="Testonotadichiusura"/>
      </w:pPr>
      <w:r>
        <w:rPr>
          <w:rStyle w:val="Rimandonotadichiusura"/>
        </w:rPr>
        <w:endnoteRef/>
      </w:r>
      <w:r>
        <w:t xml:space="preserve"> Derived from </w:t>
      </w:r>
      <w:r w:rsidRPr="00C8631A">
        <w:rPr>
          <w:rFonts w:cs="Arial"/>
        </w:rPr>
        <w:t xml:space="preserve">Australian Bureau of Statistics, ‘Aboriginal and Torres Strait Islander Births and Fertility’ and ‘Fertility, by age, by state’, ABS.stat. At </w:t>
      </w:r>
      <w:hyperlink r:id="rId141" w:history="1">
        <w:r w:rsidRPr="00C8631A">
          <w:rPr>
            <w:rStyle w:val="Collegamentoipertestuale"/>
          </w:rPr>
          <w:t>http://stat.data.abs.gov.au/Index.aspx?QueryId=494</w:t>
        </w:r>
      </w:hyperlink>
      <w:r w:rsidRPr="00C8631A">
        <w:t xml:space="preserve"> </w:t>
      </w:r>
      <w:r w:rsidRPr="00C8631A">
        <w:rPr>
          <w:rFonts w:cs="Arial"/>
        </w:rPr>
        <w:t>(viewed 28 August 2017).</w:t>
      </w:r>
    </w:p>
  </w:endnote>
  <w:endnote w:id="297">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Kim Johnstone, ‘Indigenous Fertility in the Northern Territory of Australia: what do we know? (and what can we know?) (2010) 27(3) </w:t>
      </w:r>
      <w:r w:rsidRPr="00AB6E9E">
        <w:rPr>
          <w:rFonts w:cs="Arial"/>
          <w:i/>
        </w:rPr>
        <w:t xml:space="preserve">Journal of Population Research </w:t>
      </w:r>
      <w:r w:rsidRPr="00AB6E9E">
        <w:rPr>
          <w:rFonts w:cs="Arial"/>
        </w:rPr>
        <w:t xml:space="preserve">169, 170; Kim Johnstone, ‘Indigenous fertility rates – how reliable are they?’ (2009) 17(4) </w:t>
      </w:r>
      <w:r w:rsidRPr="00AB6E9E">
        <w:rPr>
          <w:rFonts w:cs="Arial"/>
          <w:i/>
        </w:rPr>
        <w:t>People and Place</w:t>
      </w:r>
      <w:r w:rsidRPr="00AB6E9E">
        <w:rPr>
          <w:rFonts w:cs="Arial"/>
        </w:rPr>
        <w:t xml:space="preserve"> 17</w:t>
      </w:r>
      <w:r>
        <w:rPr>
          <w:rFonts w:cs="Arial"/>
        </w:rPr>
        <w:t>,</w:t>
      </w:r>
      <w:r w:rsidRPr="00AB6E9E">
        <w:rPr>
          <w:rFonts w:cs="Arial"/>
        </w:rPr>
        <w:t xml:space="preserve"> cited in Kim Johnstone, ‘Indigenous Fertility in the Northern Territory of Australia: what do we know? (and what can we know?) (2010) 27(3) </w:t>
      </w:r>
      <w:r w:rsidRPr="00AB6E9E">
        <w:rPr>
          <w:rFonts w:cs="Arial"/>
          <w:i/>
        </w:rPr>
        <w:t xml:space="preserve">Journal of Population Research </w:t>
      </w:r>
      <w:r w:rsidRPr="00AB6E9E">
        <w:rPr>
          <w:rFonts w:cs="Arial"/>
        </w:rPr>
        <w:t>169, 170</w:t>
      </w:r>
      <w:r>
        <w:rPr>
          <w:rFonts w:cs="Arial"/>
        </w:rPr>
        <w:t>.</w:t>
      </w:r>
      <w:r w:rsidRPr="00AB6E9E">
        <w:rPr>
          <w:rFonts w:cs="Arial"/>
        </w:rPr>
        <w:t xml:space="preserve"> </w:t>
      </w:r>
    </w:p>
  </w:endnote>
  <w:endnote w:id="298">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Productivity Commission, </w:t>
      </w:r>
      <w:r w:rsidRPr="00AB6E9E">
        <w:rPr>
          <w:rFonts w:cs="Arial"/>
          <w:i/>
        </w:rPr>
        <w:t xml:space="preserve">Overcoming Indigenous Disadvantage: Key Indicators 2016 </w:t>
      </w:r>
      <w:r w:rsidRPr="00CD4641">
        <w:rPr>
          <w:rFonts w:cs="Arial"/>
        </w:rPr>
        <w:t>(Commonwealth of Australia,</w:t>
      </w:r>
      <w:r w:rsidRPr="00AB6E9E">
        <w:rPr>
          <w:rFonts w:cs="Arial"/>
          <w:i/>
        </w:rPr>
        <w:t xml:space="preserve"> </w:t>
      </w:r>
      <w:r w:rsidRPr="00AB6E9E">
        <w:rPr>
          <w:rFonts w:cs="Arial"/>
        </w:rPr>
        <w:t>2016</w:t>
      </w:r>
      <w:r w:rsidRPr="00AB6E9E">
        <w:rPr>
          <w:rFonts w:cs="Arial"/>
          <w:i/>
        </w:rPr>
        <w:t xml:space="preserve">) </w:t>
      </w:r>
      <w:r w:rsidRPr="00AB6E9E">
        <w:rPr>
          <w:rFonts w:cs="Arial"/>
        </w:rPr>
        <w:t>6.19.</w:t>
      </w:r>
    </w:p>
  </w:endnote>
  <w:endnote w:id="299">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Productivity Commission, </w:t>
      </w:r>
      <w:r w:rsidRPr="00AB6E9E">
        <w:rPr>
          <w:rFonts w:cs="Arial"/>
          <w:i/>
        </w:rPr>
        <w:t xml:space="preserve">Overcoming Indigenous Disadvantage: Key Indicators 2016 </w:t>
      </w:r>
      <w:r w:rsidRPr="00CD4641">
        <w:rPr>
          <w:rFonts w:cs="Arial"/>
        </w:rPr>
        <w:t>(Commonwealth of Australia,</w:t>
      </w:r>
      <w:r w:rsidRPr="00AB6E9E">
        <w:rPr>
          <w:rFonts w:cs="Arial"/>
          <w:i/>
        </w:rPr>
        <w:t xml:space="preserve"> </w:t>
      </w:r>
      <w:r w:rsidRPr="00AB6E9E">
        <w:rPr>
          <w:rFonts w:cs="Arial"/>
        </w:rPr>
        <w:t>2016</w:t>
      </w:r>
      <w:r w:rsidRPr="00AB6E9E">
        <w:rPr>
          <w:rFonts w:cs="Arial"/>
          <w:i/>
        </w:rPr>
        <w:t xml:space="preserve">) </w:t>
      </w:r>
      <w:r w:rsidRPr="00AB6E9E">
        <w:rPr>
          <w:rFonts w:cs="Arial"/>
        </w:rPr>
        <w:t>6.19.</w:t>
      </w:r>
    </w:p>
  </w:endnote>
  <w:endnote w:id="300">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Productivity Commission, </w:t>
      </w:r>
      <w:r w:rsidRPr="00AB6E9E">
        <w:rPr>
          <w:rFonts w:cs="Arial"/>
          <w:i/>
        </w:rPr>
        <w:t xml:space="preserve">Overcoming Indigenous Disadvantage: Key Indicators 2016 </w:t>
      </w:r>
      <w:r w:rsidRPr="00CD4641">
        <w:rPr>
          <w:rFonts w:cs="Arial"/>
        </w:rPr>
        <w:t>(Commonwealth of Australia,</w:t>
      </w:r>
      <w:r w:rsidRPr="00AB6E9E">
        <w:rPr>
          <w:rFonts w:cs="Arial"/>
          <w:i/>
        </w:rPr>
        <w:t xml:space="preserve"> </w:t>
      </w:r>
      <w:r w:rsidRPr="00AB6E9E">
        <w:rPr>
          <w:rFonts w:cs="Arial"/>
        </w:rPr>
        <w:t>2016</w:t>
      </w:r>
      <w:r w:rsidRPr="00AB6E9E">
        <w:rPr>
          <w:rFonts w:cs="Arial"/>
          <w:i/>
        </w:rPr>
        <w:t xml:space="preserve">) </w:t>
      </w:r>
      <w:r w:rsidRPr="00AB6E9E">
        <w:rPr>
          <w:rFonts w:cs="Arial"/>
        </w:rPr>
        <w:t>6.19.</w:t>
      </w:r>
    </w:p>
  </w:endnote>
  <w:endnote w:id="301">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Kim Johnstone, ‘Indigenous Fertility in the Northern Territory of Australia: what do we know? (and what can we know?) (2010) 27(3) </w:t>
      </w:r>
      <w:r w:rsidRPr="00AB6E9E">
        <w:rPr>
          <w:rFonts w:cs="Arial"/>
          <w:i/>
        </w:rPr>
        <w:t xml:space="preserve">Journal of Population Research </w:t>
      </w:r>
      <w:r w:rsidRPr="00AB6E9E">
        <w:rPr>
          <w:rFonts w:cs="Arial"/>
        </w:rPr>
        <w:t xml:space="preserve">169, 172; </w:t>
      </w:r>
      <w:r w:rsidRPr="00CD4641">
        <w:rPr>
          <w:rFonts w:cs="Arial"/>
        </w:rPr>
        <w:t xml:space="preserve">Tony Barnes, Len Smith, Yuejen Zhao, Steven </w:t>
      </w:r>
      <w:r>
        <w:rPr>
          <w:rFonts w:cs="Arial"/>
        </w:rPr>
        <w:t>Guthridge</w:t>
      </w:r>
      <w:r w:rsidRPr="00CD4641">
        <w:rPr>
          <w:rFonts w:cs="Arial"/>
        </w:rPr>
        <w:t>,</w:t>
      </w:r>
      <w:r w:rsidRPr="00AB6E9E">
        <w:rPr>
          <w:rFonts w:cs="Arial"/>
        </w:rPr>
        <w:t xml:space="preserve"> </w:t>
      </w:r>
      <w:r w:rsidRPr="00AB6E9E">
        <w:rPr>
          <w:rFonts w:cs="Arial"/>
          <w:i/>
        </w:rPr>
        <w:t xml:space="preserve">A comparative analysis of indirect methodologies for estimating Indigenous Life expectancies </w:t>
      </w:r>
      <w:r w:rsidRPr="00AB6E9E">
        <w:rPr>
          <w:rFonts w:cs="Arial"/>
        </w:rPr>
        <w:t xml:space="preserve">(Charles Darwin University, Darwin, 2008) cited in Kim Johnstone, ‘Indigenous Fertility in the Northern Territory of Australia: what do we know? (and what can we know?) (2010) 27(3) </w:t>
      </w:r>
      <w:r w:rsidRPr="00AB6E9E">
        <w:rPr>
          <w:rFonts w:cs="Arial"/>
          <w:i/>
        </w:rPr>
        <w:t xml:space="preserve">Journal of Population Research </w:t>
      </w:r>
      <w:r w:rsidRPr="00AB6E9E">
        <w:rPr>
          <w:rFonts w:cs="Arial"/>
        </w:rPr>
        <w:t xml:space="preserve">169, 172. </w:t>
      </w:r>
    </w:p>
  </w:endnote>
  <w:endnote w:id="302">
    <w:p w:rsidR="00C3563C" w:rsidRPr="007B448B" w:rsidRDefault="00C3563C" w:rsidP="00B87D45">
      <w:pPr>
        <w:pStyle w:val="Testonotadichiusura"/>
        <w:rPr>
          <w:rFonts w:cs="Arial"/>
        </w:rPr>
      </w:pPr>
      <w:r>
        <w:rPr>
          <w:rStyle w:val="Rimandonotadichiusura"/>
        </w:rPr>
        <w:endnoteRef/>
      </w:r>
      <w:r>
        <w:t xml:space="preserve"> </w:t>
      </w:r>
      <w:r w:rsidRPr="00AB6E9E">
        <w:rPr>
          <w:rFonts w:cs="Arial"/>
        </w:rPr>
        <w:t xml:space="preserve">Kim Johnstone, ‘Indigenous fertility rates – how reliable are they?’ (2009) 17(4) </w:t>
      </w:r>
      <w:r w:rsidRPr="00AB6E9E">
        <w:rPr>
          <w:rFonts w:cs="Arial"/>
          <w:i/>
        </w:rPr>
        <w:t>People and Place</w:t>
      </w:r>
      <w:r w:rsidRPr="00AB6E9E">
        <w:rPr>
          <w:rFonts w:cs="Arial"/>
        </w:rPr>
        <w:t xml:space="preserve"> 17 cited in Kim Johnstone, ‘Indigenous Fertility in the Northern Territory of Australia: what do we know? (and what can we know?) (2010) 27(3) </w:t>
      </w:r>
      <w:r w:rsidRPr="00AB6E9E">
        <w:rPr>
          <w:rFonts w:cs="Arial"/>
          <w:i/>
        </w:rPr>
        <w:t xml:space="preserve">Journal of Population Research </w:t>
      </w:r>
      <w:r>
        <w:rPr>
          <w:rFonts w:cs="Arial"/>
        </w:rPr>
        <w:t>169, 173.</w:t>
      </w:r>
    </w:p>
  </w:endnote>
  <w:endnote w:id="303">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Kim Johnstone, ‘Indigenous fertility rates – how reliable are they?’ (2009) 17(4) </w:t>
      </w:r>
      <w:r w:rsidRPr="00AB6E9E">
        <w:rPr>
          <w:rFonts w:cs="Arial"/>
          <w:i/>
        </w:rPr>
        <w:t>People and Place</w:t>
      </w:r>
      <w:r w:rsidRPr="00AB6E9E">
        <w:rPr>
          <w:rFonts w:cs="Arial"/>
        </w:rPr>
        <w:t xml:space="preserve"> 17 cited in Kim Johnstone, ‘Indigenous Fertility in the Northern Territory of Australia: what do we know? (and what can we know?) (2010) 27(3) </w:t>
      </w:r>
      <w:r w:rsidRPr="00AB6E9E">
        <w:rPr>
          <w:rFonts w:cs="Arial"/>
          <w:i/>
        </w:rPr>
        <w:t xml:space="preserve">Journal of Population Research </w:t>
      </w:r>
      <w:r>
        <w:rPr>
          <w:rFonts w:cs="Arial"/>
        </w:rPr>
        <w:t>169, 173.</w:t>
      </w:r>
    </w:p>
  </w:endnote>
  <w:endnote w:id="304">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K</w:t>
      </w:r>
      <w:r>
        <w:rPr>
          <w:rFonts w:cs="Arial"/>
        </w:rPr>
        <w:t xml:space="preserve">im Johnston, </w:t>
      </w:r>
      <w:r w:rsidRPr="00F21E9D">
        <w:rPr>
          <w:rFonts w:cs="Arial"/>
        </w:rPr>
        <w:t>Tony Barnes</w:t>
      </w:r>
      <w:r>
        <w:rPr>
          <w:rFonts w:cs="Arial"/>
        </w:rPr>
        <w:t xml:space="preserve"> and </w:t>
      </w:r>
      <w:r w:rsidRPr="00F21E9D">
        <w:rPr>
          <w:rFonts w:cs="Arial"/>
        </w:rPr>
        <w:t xml:space="preserve">Paul </w:t>
      </w:r>
      <w:r>
        <w:rPr>
          <w:rFonts w:cs="Arial"/>
        </w:rPr>
        <w:t>Peters,</w:t>
      </w:r>
      <w:r w:rsidRPr="00AB6E9E">
        <w:rPr>
          <w:rFonts w:cs="Arial"/>
        </w:rPr>
        <w:t xml:space="preserve"> ‘Indigenous vitals – trends and measurements’ in D</w:t>
      </w:r>
      <w:r>
        <w:rPr>
          <w:rFonts w:cs="Arial"/>
        </w:rPr>
        <w:t xml:space="preserve">ean Carson, </w:t>
      </w:r>
      <w:r w:rsidRPr="00CD4641">
        <w:rPr>
          <w:rFonts w:cs="Arial"/>
        </w:rPr>
        <w:t>Rasmus Ole Rasmussen</w:t>
      </w:r>
      <w:r>
        <w:rPr>
          <w:rFonts w:cs="Arial"/>
        </w:rPr>
        <w:t xml:space="preserve">, </w:t>
      </w:r>
      <w:r w:rsidRPr="003C4E4B">
        <w:rPr>
          <w:rFonts w:cs="Arial"/>
        </w:rPr>
        <w:t>Prescott Ensign</w:t>
      </w:r>
      <w:r>
        <w:rPr>
          <w:rFonts w:cs="Arial"/>
        </w:rPr>
        <w:t xml:space="preserve">, </w:t>
      </w:r>
      <w:r w:rsidRPr="003C4E4B">
        <w:rPr>
          <w:rFonts w:cs="Arial"/>
        </w:rPr>
        <w:t xml:space="preserve">Lee Huskey </w:t>
      </w:r>
      <w:r w:rsidRPr="00AB6E9E">
        <w:rPr>
          <w:rFonts w:cs="Arial"/>
        </w:rPr>
        <w:t xml:space="preserve">(eds), </w:t>
      </w:r>
      <w:r w:rsidRPr="00AB6E9E">
        <w:rPr>
          <w:rFonts w:cs="Arial"/>
          <w:i/>
        </w:rPr>
        <w:t>Demography at the edge: Remote human populations in developed nations</w:t>
      </w:r>
      <w:r w:rsidRPr="00AB6E9E">
        <w:rPr>
          <w:rFonts w:cs="Arial"/>
        </w:rPr>
        <w:t xml:space="preserve"> (Farnham, Ashgate Publishing 2011) cited in Kim Johnstone, ‘Indigenous Fertility in the Northern Territory of Australia: what do we know? (and what can we know?) (2010) 27(3) </w:t>
      </w:r>
      <w:r w:rsidRPr="00AB6E9E">
        <w:rPr>
          <w:rFonts w:cs="Arial"/>
          <w:i/>
        </w:rPr>
        <w:t xml:space="preserve">Journal of Population Research </w:t>
      </w:r>
      <w:r w:rsidRPr="00AB6E9E">
        <w:rPr>
          <w:rFonts w:cs="Arial"/>
        </w:rPr>
        <w:t>169, 173.</w:t>
      </w:r>
    </w:p>
  </w:endnote>
  <w:endnote w:id="305">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Kim Johnstone, ‘Indigenous Fertility in the Northern Territory of Australia: what do we know? (and what can we know?)</w:t>
      </w:r>
      <w:r>
        <w:rPr>
          <w:rFonts w:cs="Arial"/>
        </w:rPr>
        <w:t>’</w:t>
      </w:r>
      <w:r w:rsidRPr="00AB6E9E">
        <w:rPr>
          <w:rFonts w:cs="Arial"/>
        </w:rPr>
        <w:t xml:space="preserve"> (2010) 27(3) </w:t>
      </w:r>
      <w:r w:rsidRPr="00AB6E9E">
        <w:rPr>
          <w:rFonts w:cs="Arial"/>
          <w:i/>
        </w:rPr>
        <w:t xml:space="preserve">Journal of Population Research </w:t>
      </w:r>
      <w:r w:rsidRPr="00AB6E9E">
        <w:rPr>
          <w:rFonts w:cs="Arial"/>
        </w:rPr>
        <w:t>169, 179-181.</w:t>
      </w:r>
    </w:p>
  </w:endnote>
  <w:endnote w:id="306">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Kim Johnstone, ‘Indigenous Fertility in the Northern Territory of Australia: what do we know? (and what can we know?)</w:t>
      </w:r>
      <w:r>
        <w:rPr>
          <w:rFonts w:cs="Arial"/>
        </w:rPr>
        <w:t>’</w:t>
      </w:r>
      <w:r w:rsidRPr="00AB6E9E">
        <w:rPr>
          <w:rFonts w:cs="Arial"/>
        </w:rPr>
        <w:t xml:space="preserve"> (2010) 27(3) </w:t>
      </w:r>
      <w:r w:rsidRPr="00AB6E9E">
        <w:rPr>
          <w:rFonts w:cs="Arial"/>
          <w:i/>
        </w:rPr>
        <w:t xml:space="preserve">Journal of Population Research </w:t>
      </w:r>
      <w:r w:rsidRPr="00AB6E9E">
        <w:rPr>
          <w:rFonts w:cs="Arial"/>
        </w:rPr>
        <w:t>169, 185.</w:t>
      </w:r>
    </w:p>
  </w:endnote>
  <w:endnote w:id="307">
    <w:p w:rsidR="00C3563C" w:rsidRDefault="00C3563C" w:rsidP="00B87D45">
      <w:pPr>
        <w:pStyle w:val="Testonotadichiusura"/>
      </w:pPr>
      <w:r>
        <w:rPr>
          <w:rStyle w:val="Rimandonotadichiusura"/>
        </w:rPr>
        <w:endnoteRef/>
      </w:r>
      <w:r>
        <w:t xml:space="preserve"> Australian Bureau of Statistics, ‘The Australian Statistical Geography Standard (ASGS) Remoteness Structure’. At </w:t>
      </w:r>
      <w:hyperlink r:id="rId142" w:history="1">
        <w:r w:rsidRPr="003B4689">
          <w:rPr>
            <w:rStyle w:val="Collegamentoipertestuale"/>
          </w:rPr>
          <w:t>http://www.abs.gov.au/websitedbs/d3310114.nsf/home/remoteness+structure</w:t>
        </w:r>
      </w:hyperlink>
      <w:r>
        <w:t xml:space="preserve"> (viewed 7 November 2017).</w:t>
      </w:r>
    </w:p>
  </w:endnote>
  <w:endnote w:id="308">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Lily Lee</w:t>
      </w:r>
      <w:r>
        <w:rPr>
          <w:rFonts w:cs="Arial"/>
        </w:rPr>
        <w:t>, Chryne Griffiths, Patricia Glossop and Valsamma Eapen</w:t>
      </w:r>
      <w:r w:rsidRPr="00AB6E9E">
        <w:rPr>
          <w:rFonts w:cs="Arial"/>
        </w:rPr>
        <w:t xml:space="preserve">, ‘The Boomerangs Parenting Program for Aboriginal parents and their young children’ (2010) 18(6) </w:t>
      </w:r>
      <w:r w:rsidRPr="00AB6E9E">
        <w:rPr>
          <w:rFonts w:cs="Arial"/>
          <w:i/>
        </w:rPr>
        <w:t xml:space="preserve">The Royal Australian and New Zealand College of Psychiatrists </w:t>
      </w:r>
      <w:r w:rsidRPr="00AB6E9E">
        <w:rPr>
          <w:rFonts w:cs="Arial"/>
        </w:rPr>
        <w:t>527, 528.</w:t>
      </w:r>
    </w:p>
  </w:endnote>
  <w:endnote w:id="309">
    <w:p w:rsidR="00C3563C" w:rsidRPr="00AB6E9E" w:rsidRDefault="00C3563C" w:rsidP="00B87D45">
      <w:pPr>
        <w:autoSpaceDE w:val="0"/>
        <w:autoSpaceDN w:val="0"/>
        <w:adjustRightInd w:val="0"/>
        <w:spacing w:before="0" w:after="0"/>
        <w:rPr>
          <w:rFonts w:cs="Arial"/>
          <w:sz w:val="20"/>
          <w:szCs w:val="20"/>
        </w:rPr>
      </w:pPr>
      <w:r w:rsidRPr="00AB6E9E">
        <w:rPr>
          <w:rStyle w:val="Rimandonotadichiusura"/>
          <w:rFonts w:cs="Arial"/>
          <w:szCs w:val="20"/>
        </w:rPr>
        <w:endnoteRef/>
      </w:r>
      <w:r w:rsidRPr="00AB6E9E">
        <w:rPr>
          <w:rFonts w:cs="Arial"/>
          <w:sz w:val="20"/>
          <w:szCs w:val="20"/>
        </w:rPr>
        <w:t xml:space="preserve"> Healing Foundation, Submission to the Department of Health, </w:t>
      </w:r>
      <w:r w:rsidRPr="00AB6E9E">
        <w:rPr>
          <w:rFonts w:cs="Arial"/>
          <w:i/>
          <w:sz w:val="20"/>
          <w:szCs w:val="20"/>
        </w:rPr>
        <w:t>Social and Cultural Determinants of Aboriginal and Torres Strait Islander Health</w:t>
      </w:r>
      <w:r w:rsidRPr="00E77FA6">
        <w:rPr>
          <w:rFonts w:cs="Arial"/>
          <w:i/>
          <w:sz w:val="20"/>
          <w:szCs w:val="20"/>
        </w:rPr>
        <w:t xml:space="preserve">, </w:t>
      </w:r>
      <w:r w:rsidRPr="00E77FA6">
        <w:rPr>
          <w:rFonts w:cs="Arial"/>
          <w:sz w:val="20"/>
          <w:szCs w:val="20"/>
        </w:rPr>
        <w:t>2017,</w:t>
      </w:r>
      <w:r>
        <w:rPr>
          <w:rFonts w:cs="Arial"/>
          <w:sz w:val="20"/>
          <w:szCs w:val="20"/>
        </w:rPr>
        <w:t xml:space="preserve"> 4, 8; Kai </w:t>
      </w:r>
      <w:r w:rsidRPr="00AB6E9E">
        <w:rPr>
          <w:rFonts w:cs="Arial"/>
          <w:sz w:val="20"/>
          <w:szCs w:val="20"/>
        </w:rPr>
        <w:t xml:space="preserve">Erikson, ‘Loss of communality at Buffalo Creek’ (1976) 133 </w:t>
      </w:r>
      <w:r w:rsidRPr="00AB6E9E">
        <w:rPr>
          <w:rFonts w:cs="Arial"/>
          <w:i/>
          <w:sz w:val="20"/>
          <w:szCs w:val="20"/>
        </w:rPr>
        <w:t xml:space="preserve">American Journal of Psychiatry, 302 </w:t>
      </w:r>
      <w:r w:rsidRPr="00AB6E9E">
        <w:rPr>
          <w:rFonts w:cs="Arial"/>
          <w:sz w:val="20"/>
          <w:szCs w:val="20"/>
        </w:rPr>
        <w:t>cited in Anthea Krieg, ‘The experience of collective trauma in Australian Indigenous communities’ (2009) 17 Supplement</w:t>
      </w:r>
      <w:r>
        <w:rPr>
          <w:rFonts w:cs="Arial"/>
          <w:sz w:val="20"/>
          <w:szCs w:val="20"/>
        </w:rPr>
        <w:t xml:space="preserve"> 1</w:t>
      </w:r>
      <w:r w:rsidRPr="00AB6E9E">
        <w:rPr>
          <w:rFonts w:cs="Arial"/>
          <w:sz w:val="20"/>
          <w:szCs w:val="20"/>
        </w:rPr>
        <w:t xml:space="preserve"> </w:t>
      </w:r>
      <w:r w:rsidRPr="00AB6E9E">
        <w:rPr>
          <w:rFonts w:cs="Arial"/>
          <w:i/>
          <w:sz w:val="20"/>
          <w:szCs w:val="20"/>
        </w:rPr>
        <w:t xml:space="preserve">The Royal Australian and New Zealand College of Psychiatrists, </w:t>
      </w:r>
      <w:r>
        <w:rPr>
          <w:rFonts w:cs="Arial"/>
          <w:sz w:val="20"/>
          <w:szCs w:val="20"/>
        </w:rPr>
        <w:t xml:space="preserve">s28, </w:t>
      </w:r>
      <w:r w:rsidRPr="00AB6E9E">
        <w:rPr>
          <w:rFonts w:cs="Arial"/>
          <w:sz w:val="20"/>
          <w:szCs w:val="20"/>
        </w:rPr>
        <w:t xml:space="preserve">s29. </w:t>
      </w:r>
    </w:p>
  </w:endnote>
  <w:endnote w:id="310">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Richard Weston, ‘We won’t close the gap if we put an Indigenous spin on western approaches’, </w:t>
      </w:r>
      <w:r w:rsidRPr="00AB6E9E">
        <w:rPr>
          <w:rFonts w:cs="Arial"/>
          <w:i/>
        </w:rPr>
        <w:t>The Guardian</w:t>
      </w:r>
      <w:r w:rsidRPr="00AB6E9E">
        <w:rPr>
          <w:rFonts w:cs="Arial"/>
        </w:rPr>
        <w:t xml:space="preserve"> (online)</w:t>
      </w:r>
      <w:r>
        <w:rPr>
          <w:rFonts w:cs="Arial"/>
        </w:rPr>
        <w:t>,</w:t>
      </w:r>
      <w:r w:rsidRPr="00AB6E9E">
        <w:rPr>
          <w:rFonts w:cs="Arial"/>
        </w:rPr>
        <w:t xml:space="preserve"> 16 March 2017 quoted in Healing Foundation, Submission to the Department of Health, </w:t>
      </w:r>
      <w:r w:rsidRPr="00AB6E9E">
        <w:rPr>
          <w:rFonts w:cs="Arial"/>
          <w:i/>
        </w:rPr>
        <w:t xml:space="preserve">Social and Cultural Determinants of Aboriginal and Torres Strait Islander </w:t>
      </w:r>
      <w:r w:rsidRPr="00E77FA6">
        <w:rPr>
          <w:rFonts w:cs="Arial"/>
          <w:i/>
        </w:rPr>
        <w:t xml:space="preserve">Health, </w:t>
      </w:r>
      <w:r w:rsidRPr="00E77FA6">
        <w:rPr>
          <w:rFonts w:cs="Arial"/>
        </w:rPr>
        <w:t>2017,</w:t>
      </w:r>
      <w:r w:rsidRPr="00AB6E9E">
        <w:rPr>
          <w:rFonts w:cs="Arial"/>
        </w:rPr>
        <w:t xml:space="preserve"> 11.</w:t>
      </w:r>
    </w:p>
  </w:endnote>
  <w:endnote w:id="311">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Healing Foundation, Submission to the Department of Health, </w:t>
      </w:r>
      <w:r w:rsidRPr="00AB6E9E">
        <w:rPr>
          <w:rFonts w:cs="Arial"/>
          <w:i/>
        </w:rPr>
        <w:t xml:space="preserve">Social and Cultural Determinants of Aboriginal and Torres Strait Islander </w:t>
      </w:r>
      <w:r w:rsidRPr="00E77FA6">
        <w:rPr>
          <w:rFonts w:cs="Arial"/>
          <w:i/>
        </w:rPr>
        <w:t xml:space="preserve">Health, </w:t>
      </w:r>
      <w:r w:rsidRPr="00E77FA6">
        <w:rPr>
          <w:rFonts w:cs="Arial"/>
        </w:rPr>
        <w:t>2017,</w:t>
      </w:r>
      <w:r w:rsidRPr="00AB6E9E">
        <w:rPr>
          <w:rFonts w:cs="Arial"/>
        </w:rPr>
        <w:t xml:space="preserve"> 4. </w:t>
      </w:r>
    </w:p>
  </w:endnote>
  <w:endnote w:id="312">
    <w:p w:rsidR="00C3563C" w:rsidRDefault="00C3563C" w:rsidP="00B87D45">
      <w:pPr>
        <w:pStyle w:val="Testonotadichiusura"/>
      </w:pPr>
      <w:r>
        <w:rPr>
          <w:rStyle w:val="Rimandonotadichiusura"/>
        </w:rPr>
        <w:endnoteRef/>
      </w:r>
      <w:r>
        <w:t xml:space="preserve"> </w:t>
      </w:r>
      <w:r w:rsidRPr="00C51CD6">
        <w:t>NSW Corrective Services,</w:t>
      </w:r>
      <w:r>
        <w:rPr>
          <w:b/>
        </w:rPr>
        <w:t xml:space="preserve"> </w:t>
      </w:r>
      <w:r w:rsidRPr="00C51CD6">
        <w:rPr>
          <w:i/>
        </w:rPr>
        <w:t>Women Offenders</w:t>
      </w:r>
      <w:r w:rsidRPr="00C51CD6">
        <w:t>. At</w:t>
      </w:r>
      <w:r>
        <w:rPr>
          <w:i/>
        </w:rPr>
        <w:t xml:space="preserve"> </w:t>
      </w:r>
      <w:hyperlink r:id="rId143" w:history="1">
        <w:r w:rsidRPr="00375C2A">
          <w:rPr>
            <w:rStyle w:val="Collegamentoipertestuale"/>
          </w:rPr>
          <w:t>http://www.correctiveservices.justice.nsw.gov.au/Pages/CorrectiveServices/programs/women-offenders/women-offenders.aspx</w:t>
        </w:r>
      </w:hyperlink>
      <w:r>
        <w:t xml:space="preserve"> (viewed 21 September 2017).</w:t>
      </w:r>
    </w:p>
  </w:endnote>
  <w:endnote w:id="313">
    <w:p w:rsidR="00C3563C" w:rsidRDefault="00C3563C" w:rsidP="00B87D45">
      <w:pPr>
        <w:pStyle w:val="Testonotadichiusura"/>
      </w:pPr>
      <w:r>
        <w:rPr>
          <w:rStyle w:val="Rimandonotadichiusura"/>
        </w:rPr>
        <w:endnoteRef/>
      </w:r>
      <w:r>
        <w:t xml:space="preserve"> Victoria Perry, Cathrine Fowler, Kyleigh Heggie and Karen Barbara, ‘The Impact of a Correctional-based Parenting Program in Strengthening Parenting Skills of Incarcerated Mothers’ (2011) 22 (3) </w:t>
      </w:r>
      <w:r w:rsidRPr="00901AB7">
        <w:rPr>
          <w:i/>
        </w:rPr>
        <w:t>Current Issues in Criminal Justice</w:t>
      </w:r>
      <w:r>
        <w:t xml:space="preserve"> 457, 458.</w:t>
      </w:r>
    </w:p>
  </w:endnote>
  <w:endnote w:id="314">
    <w:p w:rsidR="00C3563C" w:rsidRDefault="00C3563C" w:rsidP="00B87D45">
      <w:pPr>
        <w:pStyle w:val="Testonotadichiusura"/>
      </w:pPr>
      <w:r>
        <w:rPr>
          <w:rStyle w:val="Rimandonotadichiusura"/>
        </w:rPr>
        <w:endnoteRef/>
      </w:r>
      <w:r>
        <w:t xml:space="preserve"> Victoria Perry, Cathrine Fowler, Kyleigh Heggie and Karen Barbara, ‘The Impact of a Correctional-based Parenting Program in Strengthening Parenting Skills of Incarcerated Mothers’ (2011) 22 (3) </w:t>
      </w:r>
      <w:r w:rsidRPr="00901AB7">
        <w:rPr>
          <w:i/>
        </w:rPr>
        <w:t>Current Issues in Criminal Justice</w:t>
      </w:r>
      <w:r>
        <w:t xml:space="preserve"> 457, 458.</w:t>
      </w:r>
    </w:p>
  </w:endnote>
  <w:endnote w:id="315">
    <w:p w:rsidR="00C3563C" w:rsidRDefault="00C3563C" w:rsidP="00B87D45">
      <w:pPr>
        <w:pStyle w:val="Testonotadichiusura"/>
      </w:pPr>
      <w:r>
        <w:rPr>
          <w:rStyle w:val="Rimandonotadichiusura"/>
        </w:rPr>
        <w:endnoteRef/>
      </w:r>
      <w:r>
        <w:t xml:space="preserve"> Human Rights Law Centre and Change the Record Coalition, </w:t>
      </w:r>
      <w:r w:rsidRPr="00D55A63">
        <w:rPr>
          <w:i/>
        </w:rPr>
        <w:t>Over-represented and Overlooked: the crisis of Aboriginal and Torres Strait Islander women’s growing over-imprisonment,</w:t>
      </w:r>
      <w:r>
        <w:t xml:space="preserve"> Report (May 2017) 4.</w:t>
      </w:r>
    </w:p>
  </w:endnote>
  <w:endnote w:id="316">
    <w:p w:rsidR="00C3563C" w:rsidRDefault="00C3563C" w:rsidP="00B87D45">
      <w:pPr>
        <w:pStyle w:val="Testonotadichiusura"/>
      </w:pPr>
      <w:r>
        <w:rPr>
          <w:rStyle w:val="Rimandonotadichiusura"/>
        </w:rPr>
        <w:endnoteRef/>
      </w:r>
      <w:r>
        <w:t xml:space="preserve"> Victoria Perry, Cathrine Fowler, Kyleigh Heggie and Karen Barbara, ‘The Impact of a Correctional-based Parenting Program in Strengthening Parenting Skills of Incarcerated Mothers’ (2011) 22 (3) </w:t>
      </w:r>
      <w:r w:rsidRPr="00901AB7">
        <w:rPr>
          <w:i/>
        </w:rPr>
        <w:t>Current Issues in Criminal Justice</w:t>
      </w:r>
      <w:r>
        <w:t xml:space="preserve"> 457, 461. </w:t>
      </w:r>
    </w:p>
  </w:endnote>
  <w:endnote w:id="317">
    <w:p w:rsidR="00C3563C" w:rsidRDefault="00C3563C" w:rsidP="00B87D45">
      <w:pPr>
        <w:pStyle w:val="Testonotadichiusura"/>
      </w:pPr>
      <w:r>
        <w:rPr>
          <w:rStyle w:val="Rimandonotadichiusura"/>
        </w:rPr>
        <w:endnoteRef/>
      </w:r>
      <w:r>
        <w:t xml:space="preserve"> Aboriginal and Torres Strait Islander Social Justice Commissioner June Oscar (September 2017) for </w:t>
      </w:r>
      <w:r w:rsidRPr="00781769">
        <w:rPr>
          <w:i/>
        </w:rPr>
        <w:t>National Children’s Commissioner’s Investigation into Young Parents and their Children.</w:t>
      </w:r>
    </w:p>
  </w:endnote>
  <w:endnote w:id="318">
    <w:p w:rsidR="00C3563C" w:rsidRDefault="00C3563C" w:rsidP="00B87D45">
      <w:pPr>
        <w:spacing w:before="0" w:after="0"/>
      </w:pPr>
      <w:r>
        <w:rPr>
          <w:rStyle w:val="Rimandonotadichiusura"/>
        </w:rPr>
        <w:endnoteRef/>
      </w:r>
      <w:r>
        <w:t xml:space="preserve"> </w:t>
      </w:r>
      <w:r w:rsidRPr="006E49E0">
        <w:rPr>
          <w:sz w:val="20"/>
        </w:rPr>
        <w:t xml:space="preserve">Department of Corrective Services, </w:t>
      </w:r>
      <w:r w:rsidRPr="006E49E0">
        <w:rPr>
          <w:i/>
          <w:sz w:val="20"/>
        </w:rPr>
        <w:t xml:space="preserve">Mother and Children’s Program Overview </w:t>
      </w:r>
      <w:r w:rsidRPr="00945CE1">
        <w:rPr>
          <w:sz w:val="20"/>
        </w:rPr>
        <w:t>(August 2017)</w:t>
      </w:r>
      <w:r w:rsidRPr="006E49E0">
        <w:rPr>
          <w:i/>
          <w:sz w:val="20"/>
        </w:rPr>
        <w:t xml:space="preserve">. </w:t>
      </w:r>
    </w:p>
  </w:endnote>
  <w:endnote w:id="319">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w:t>
      </w:r>
      <w:r>
        <w:rPr>
          <w:rFonts w:cs="Arial"/>
        </w:rPr>
        <w:t>Lucy</w:t>
      </w:r>
      <w:r w:rsidRPr="00AB6E9E">
        <w:rPr>
          <w:rFonts w:cs="Arial"/>
        </w:rPr>
        <w:t xml:space="preserve"> Lewis</w:t>
      </w:r>
      <w:r>
        <w:rPr>
          <w:rFonts w:cs="Arial"/>
        </w:rPr>
        <w:t>, Martha Hickey, Dorota Doherty and Rachel Skinner</w:t>
      </w:r>
      <w:r w:rsidRPr="00AB6E9E">
        <w:rPr>
          <w:rFonts w:cs="Arial"/>
        </w:rPr>
        <w:t xml:space="preserve">, ‘How do Pregnancy Outcomes differ in teenage mothers? A Western Australian Study’ (2009) 190(10) </w:t>
      </w:r>
      <w:r w:rsidRPr="00AB6E9E">
        <w:rPr>
          <w:rFonts w:cs="Arial"/>
          <w:i/>
        </w:rPr>
        <w:t>Medical Journal of Australia</w:t>
      </w:r>
      <w:r w:rsidRPr="00AB6E9E">
        <w:rPr>
          <w:rFonts w:cs="Arial"/>
        </w:rPr>
        <w:t xml:space="preserve"> 537, 539; </w:t>
      </w:r>
      <w:r w:rsidRPr="0015609F">
        <w:rPr>
          <w:rFonts w:cs="Arial"/>
        </w:rPr>
        <w:t>Karin van der Klis,</w:t>
      </w:r>
      <w:r>
        <w:rPr>
          <w:rFonts w:cs="Arial"/>
        </w:rPr>
        <w:t xml:space="preserve"> </w:t>
      </w:r>
      <w:r w:rsidRPr="0015609F">
        <w:rPr>
          <w:rFonts w:cs="Arial"/>
        </w:rPr>
        <w:t>Leontine Westenberg,</w:t>
      </w:r>
      <w:r>
        <w:rPr>
          <w:rFonts w:cs="Arial"/>
        </w:rPr>
        <w:t xml:space="preserve"> </w:t>
      </w:r>
      <w:r w:rsidRPr="0015609F">
        <w:rPr>
          <w:rFonts w:cs="Arial"/>
        </w:rPr>
        <w:t>Annabelle Chan,</w:t>
      </w:r>
      <w:r>
        <w:rPr>
          <w:rFonts w:cs="Arial"/>
        </w:rPr>
        <w:t xml:space="preserve"> Gustaaf Dekker and Rosemary </w:t>
      </w:r>
      <w:r w:rsidRPr="0015609F">
        <w:rPr>
          <w:rFonts w:cs="Arial"/>
        </w:rPr>
        <w:t>Keane</w:t>
      </w:r>
      <w:r w:rsidRPr="00AB6E9E">
        <w:rPr>
          <w:rFonts w:cs="Arial"/>
        </w:rPr>
        <w:t xml:space="preserve">, ‘Teenage Pregnancy: Trends, characteristics and outcomes in South Australia and Australia’ (2002) 26(2) </w:t>
      </w:r>
      <w:r w:rsidRPr="00AB6E9E">
        <w:rPr>
          <w:rFonts w:cs="Arial"/>
          <w:i/>
        </w:rPr>
        <w:t xml:space="preserve">Australian and New Zealand Journal of Public Health </w:t>
      </w:r>
      <w:r w:rsidRPr="00AB6E9E">
        <w:rPr>
          <w:rFonts w:cs="Arial"/>
        </w:rPr>
        <w:t xml:space="preserve">125.  </w:t>
      </w:r>
    </w:p>
  </w:endnote>
  <w:endnote w:id="320">
    <w:p w:rsidR="00C3563C" w:rsidRPr="00AB6E9E" w:rsidRDefault="00C3563C" w:rsidP="00B87D45">
      <w:pPr>
        <w:autoSpaceDE w:val="0"/>
        <w:autoSpaceDN w:val="0"/>
        <w:adjustRightInd w:val="0"/>
        <w:spacing w:before="0" w:after="0"/>
        <w:rPr>
          <w:rFonts w:cs="Arial"/>
          <w:sz w:val="20"/>
          <w:szCs w:val="20"/>
        </w:rPr>
      </w:pPr>
      <w:r w:rsidRPr="00AB6E9E">
        <w:rPr>
          <w:rStyle w:val="Rimandonotadichiusura"/>
          <w:rFonts w:cs="Arial"/>
          <w:szCs w:val="20"/>
        </w:rPr>
        <w:endnoteRef/>
      </w:r>
      <w:r>
        <w:rPr>
          <w:rFonts w:cs="Arial"/>
          <w:sz w:val="20"/>
          <w:szCs w:val="20"/>
        </w:rPr>
        <w:t xml:space="preserve"> Lucy</w:t>
      </w:r>
      <w:r w:rsidRPr="00AB6E9E">
        <w:rPr>
          <w:rFonts w:cs="Arial"/>
          <w:sz w:val="20"/>
          <w:szCs w:val="20"/>
        </w:rPr>
        <w:t xml:space="preserve"> Lewis</w:t>
      </w:r>
      <w:r>
        <w:rPr>
          <w:rFonts w:cs="Arial"/>
          <w:sz w:val="20"/>
          <w:szCs w:val="20"/>
        </w:rPr>
        <w:t>,</w:t>
      </w:r>
      <w:r w:rsidRPr="007056C5">
        <w:rPr>
          <w:rFonts w:cs="Arial"/>
        </w:rPr>
        <w:t xml:space="preserve"> </w:t>
      </w:r>
      <w:r>
        <w:rPr>
          <w:rFonts w:cs="Arial"/>
          <w:sz w:val="20"/>
          <w:szCs w:val="20"/>
        </w:rPr>
        <w:t>Martha Hickey, Dorota</w:t>
      </w:r>
      <w:r w:rsidRPr="007056C5">
        <w:rPr>
          <w:rFonts w:cs="Arial"/>
          <w:sz w:val="20"/>
          <w:szCs w:val="20"/>
        </w:rPr>
        <w:t xml:space="preserve"> Doherty and Rachel Skinner</w:t>
      </w:r>
      <w:r w:rsidRPr="00AB6E9E">
        <w:rPr>
          <w:rFonts w:cs="Arial"/>
          <w:sz w:val="20"/>
          <w:szCs w:val="20"/>
        </w:rPr>
        <w:t xml:space="preserve">, ‘How do Pregnancy Outcomes differ in teenage mothers? A Western Australian Study’ (2009) 190(10) </w:t>
      </w:r>
      <w:r w:rsidRPr="00AB6E9E">
        <w:rPr>
          <w:rFonts w:cs="Arial"/>
          <w:i/>
          <w:sz w:val="20"/>
          <w:szCs w:val="20"/>
        </w:rPr>
        <w:t>Medical Journal of Australia</w:t>
      </w:r>
      <w:r w:rsidRPr="00AB6E9E">
        <w:rPr>
          <w:rFonts w:cs="Arial"/>
          <w:sz w:val="20"/>
          <w:szCs w:val="20"/>
        </w:rPr>
        <w:t xml:space="preserve"> 537, 539; </w:t>
      </w:r>
      <w:r w:rsidRPr="00C0397E">
        <w:rPr>
          <w:rFonts w:cs="Arial"/>
          <w:sz w:val="20"/>
          <w:szCs w:val="20"/>
        </w:rPr>
        <w:t>Karin van der Klis, Leontine Westenberg, Annabelle Chan, Gu</w:t>
      </w:r>
      <w:r>
        <w:rPr>
          <w:rFonts w:cs="Arial"/>
          <w:sz w:val="20"/>
          <w:szCs w:val="20"/>
        </w:rPr>
        <w:t>staaf Dekker and Rosemary Keane</w:t>
      </w:r>
      <w:r w:rsidRPr="00AB6E9E">
        <w:rPr>
          <w:rFonts w:cs="Arial"/>
          <w:sz w:val="20"/>
          <w:szCs w:val="20"/>
        </w:rPr>
        <w:t xml:space="preserve">, ‘Teenage Pregnancy: Trends, characteristics and outcomes in South Australia and Australia’ (2002) 26(2) </w:t>
      </w:r>
      <w:r w:rsidRPr="00AB6E9E">
        <w:rPr>
          <w:rFonts w:cs="Arial"/>
          <w:i/>
          <w:sz w:val="20"/>
          <w:szCs w:val="20"/>
        </w:rPr>
        <w:t xml:space="preserve">Australian and New Zealand Journal of Public Health </w:t>
      </w:r>
      <w:r w:rsidRPr="00AB6E9E">
        <w:rPr>
          <w:rFonts w:cs="Arial"/>
          <w:sz w:val="20"/>
          <w:szCs w:val="20"/>
        </w:rPr>
        <w:t>125; Leontine Westernberg et al, ‘Aboriginal teenage pregnancies compared with non-Aboriginal in South Australia 1</w:t>
      </w:r>
      <w:r>
        <w:rPr>
          <w:rFonts w:cs="Arial"/>
          <w:sz w:val="20"/>
          <w:szCs w:val="20"/>
        </w:rPr>
        <w:t>995–</w:t>
      </w:r>
      <w:r w:rsidRPr="00AB6E9E">
        <w:rPr>
          <w:rFonts w:cs="Arial"/>
          <w:sz w:val="20"/>
          <w:szCs w:val="20"/>
        </w:rPr>
        <w:t xml:space="preserve">1999’ (2002) 42(2) </w:t>
      </w:r>
      <w:r w:rsidRPr="00AB6E9E">
        <w:rPr>
          <w:rFonts w:cs="Arial"/>
          <w:i/>
          <w:sz w:val="20"/>
          <w:szCs w:val="20"/>
        </w:rPr>
        <w:t>Australian and New Zealand Journal of Obstetrics and Gynaecology</w:t>
      </w:r>
      <w:r w:rsidRPr="00AB6E9E">
        <w:rPr>
          <w:rFonts w:cs="Arial"/>
          <w:sz w:val="20"/>
          <w:szCs w:val="20"/>
        </w:rPr>
        <w:t xml:space="preserve"> 187; Mohammed Mohsin and Adrian Bauman, ‘Socio-demographic factors associated with smoking and smoking cessationamong 426,344 pregnant women in New South Wales, Australia’ (2005)  5(138) </w:t>
      </w:r>
      <w:r w:rsidRPr="007D2538">
        <w:rPr>
          <w:rFonts w:cs="Arial"/>
          <w:i/>
          <w:sz w:val="20"/>
          <w:szCs w:val="20"/>
        </w:rPr>
        <w:t>BMC Public Health</w:t>
      </w:r>
      <w:r w:rsidRPr="00AB6E9E">
        <w:rPr>
          <w:rFonts w:cs="Arial"/>
          <w:i/>
          <w:sz w:val="20"/>
          <w:szCs w:val="20"/>
        </w:rPr>
        <w:t>.</w:t>
      </w:r>
    </w:p>
  </w:endnote>
  <w:endnote w:id="321">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Lucy</w:t>
      </w:r>
      <w:r w:rsidRPr="00AB6E9E">
        <w:rPr>
          <w:rFonts w:cs="Arial"/>
        </w:rPr>
        <w:t xml:space="preserve"> Lewis</w:t>
      </w:r>
      <w:r>
        <w:rPr>
          <w:rFonts w:cs="Arial"/>
        </w:rPr>
        <w:t>, Martha Hickey, Dorota Doherty and Rachel Skinner</w:t>
      </w:r>
      <w:r w:rsidRPr="00AB6E9E">
        <w:rPr>
          <w:rFonts w:cs="Arial"/>
        </w:rPr>
        <w:t xml:space="preserve">, ‘How do Pregnancy Outcomes differ in teenage mothers? A Western Australian Study’ (2009) 190(10) </w:t>
      </w:r>
      <w:r w:rsidRPr="00AB6E9E">
        <w:rPr>
          <w:rFonts w:cs="Arial"/>
          <w:i/>
        </w:rPr>
        <w:t>Medical Journal of Australia</w:t>
      </w:r>
      <w:r w:rsidRPr="00AB6E9E">
        <w:rPr>
          <w:rFonts w:cs="Arial"/>
        </w:rPr>
        <w:t xml:space="preserve"> 537, 539; Denise Chan and Elizabeth Sullivan, ‘Teenage smoking in Pregnancy and Birthw</w:t>
      </w:r>
      <w:r>
        <w:rPr>
          <w:rFonts w:cs="Arial"/>
        </w:rPr>
        <w:t>eight: A Population Study, 2001–</w:t>
      </w:r>
      <w:r w:rsidRPr="00AB6E9E">
        <w:rPr>
          <w:rFonts w:cs="Arial"/>
        </w:rPr>
        <w:t xml:space="preserve">2004’ (2008) 188(7) </w:t>
      </w:r>
      <w:r w:rsidRPr="00AB6E9E">
        <w:rPr>
          <w:rFonts w:cs="Arial"/>
          <w:i/>
        </w:rPr>
        <w:t xml:space="preserve">Medical Journal of Australia </w:t>
      </w:r>
      <w:r w:rsidRPr="00AB6E9E">
        <w:rPr>
          <w:rFonts w:cs="Arial"/>
        </w:rPr>
        <w:t xml:space="preserve">392; </w:t>
      </w:r>
      <w:r w:rsidRPr="00AE7DCC">
        <w:rPr>
          <w:rFonts w:cs="Arial"/>
        </w:rPr>
        <w:t>N Dewan, B Brabin, L Wood, S Dramond,</w:t>
      </w:r>
      <w:r>
        <w:rPr>
          <w:rFonts w:cs="Arial"/>
        </w:rPr>
        <w:t xml:space="preserve"> and C Cooper</w:t>
      </w:r>
      <w:r w:rsidRPr="00AB6E9E">
        <w:rPr>
          <w:rFonts w:cs="Arial"/>
        </w:rPr>
        <w:t xml:space="preserve">, ‘The Effects of Smoking on birthweight-for-gestational-age curves in Teenage and Adult Primigravidae’ (2003) 117(1) </w:t>
      </w:r>
      <w:r w:rsidRPr="00AB6E9E">
        <w:rPr>
          <w:rFonts w:cs="Arial"/>
          <w:i/>
        </w:rPr>
        <w:t>Public Health</w:t>
      </w:r>
      <w:r w:rsidRPr="00AB6E9E">
        <w:rPr>
          <w:rFonts w:cs="Arial"/>
        </w:rPr>
        <w:t xml:space="preserve"> 31; J</w:t>
      </w:r>
      <w:r>
        <w:rPr>
          <w:rFonts w:cs="Arial"/>
        </w:rPr>
        <w:t>udith</w:t>
      </w:r>
      <w:r w:rsidRPr="00AB6E9E">
        <w:rPr>
          <w:rFonts w:cs="Arial"/>
        </w:rPr>
        <w:t xml:space="preserve"> Lumley</w:t>
      </w:r>
      <w:r>
        <w:rPr>
          <w:rFonts w:cs="Arial"/>
        </w:rPr>
        <w:t>, Catherine Chamberlain, Therese Dowsell, Sandy Oliver, Laura Oakley and Lyndsey Watson,</w:t>
      </w:r>
      <w:r w:rsidRPr="00AB6E9E">
        <w:rPr>
          <w:rFonts w:cs="Arial"/>
        </w:rPr>
        <w:t xml:space="preserve"> </w:t>
      </w:r>
      <w:r w:rsidRPr="00AB6E9E">
        <w:rPr>
          <w:rFonts w:cs="Arial"/>
          <w:i/>
        </w:rPr>
        <w:t xml:space="preserve">Interventions for Promoting Smoking Cessation during Pregnancy (Review) </w:t>
      </w:r>
      <w:r w:rsidRPr="00AB6E9E">
        <w:rPr>
          <w:rFonts w:cs="Arial"/>
        </w:rPr>
        <w:t xml:space="preserve">2006, The Cochrane Collaboration. </w:t>
      </w:r>
    </w:p>
  </w:endnote>
  <w:endnote w:id="322">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Mary Shaw, Debbie Lawlor and Jake</w:t>
      </w:r>
      <w:r w:rsidRPr="00AB6E9E">
        <w:rPr>
          <w:rFonts w:cs="Arial"/>
        </w:rPr>
        <w:t xml:space="preserve"> Najman, ‘Teenage children of teenage mothers: Psychological, behavioural and health outcomes from an Australian prospective longitudinal study’ (2006) 62(10) </w:t>
      </w:r>
      <w:r w:rsidRPr="00AB6E9E">
        <w:rPr>
          <w:rFonts w:cs="Arial"/>
          <w:i/>
        </w:rPr>
        <w:t>Social Science and Medicine</w:t>
      </w:r>
      <w:r w:rsidRPr="00AB6E9E">
        <w:rPr>
          <w:rFonts w:cs="Arial"/>
        </w:rPr>
        <w:t xml:space="preserve"> 2526 cited in Heidi Hoffman and Sergi Vidal, ‘Supporting Teen Families: An Assessment of Youth Childbearing in Australia and Early Interventions to Improve Education Outcomes of Young Parents’ (Working Paper No 12, Australian Research Council Centre of Excellence for Children and Families over the Life Course, June 2017) 13.</w:t>
      </w:r>
    </w:p>
  </w:endnote>
  <w:endnote w:id="323">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Lixia Qu, Grace Soriano and Ruth Weston, Australian Institute of Family Services, ‘Starting early, starting late: The health and wellbeing of mother and child</w:t>
      </w:r>
      <w:r>
        <w:rPr>
          <w:rFonts w:cs="Arial"/>
        </w:rPr>
        <w:t>’, (2006)</w:t>
      </w:r>
      <w:r w:rsidRPr="00AB6E9E">
        <w:rPr>
          <w:rFonts w:cs="Arial"/>
        </w:rPr>
        <w:t xml:space="preserve"> 74 </w:t>
      </w:r>
      <w:r w:rsidRPr="00AB6E9E">
        <w:rPr>
          <w:rFonts w:cs="Arial"/>
          <w:i/>
        </w:rPr>
        <w:t>Family Matters</w:t>
      </w:r>
      <w:r w:rsidRPr="00AB6E9E">
        <w:rPr>
          <w:rFonts w:cs="Arial"/>
        </w:rPr>
        <w:t xml:space="preserve"> 4, 6; Australian Institute of Health and Welfare, </w:t>
      </w:r>
      <w:r w:rsidRPr="00AB6E9E">
        <w:rPr>
          <w:rFonts w:cs="Arial"/>
          <w:i/>
        </w:rPr>
        <w:t>Australia’s mothers and babies 2014: in brief</w:t>
      </w:r>
      <w:r w:rsidRPr="00AB6E9E">
        <w:rPr>
          <w:rFonts w:cs="Arial"/>
        </w:rPr>
        <w:t>, (2016), Australian Institute of Health and Welfare, 10; Australian and New Zealand Child Death Review and Prevention Group, ‘Information on Teenage Pregnancy Outcomes: Information provided to the National Children’s Commissioner Teenage Pregnancy Project by the Australian and New Zealand Child Dea</w:t>
      </w:r>
      <w:r>
        <w:rPr>
          <w:rFonts w:cs="Arial"/>
        </w:rPr>
        <w:t xml:space="preserve">th Review and Prevention Group’ </w:t>
      </w:r>
      <w:r w:rsidRPr="00AB6E9E">
        <w:rPr>
          <w:rFonts w:cs="Arial"/>
        </w:rPr>
        <w:t>(7 July 2017), 10.</w:t>
      </w:r>
    </w:p>
  </w:endnote>
  <w:endnote w:id="324">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Australian and New Zealand Child Death Review and Prevention Group, ‘Information on Teenage Pregnancy Outcomes: Information provided to the National Children’s Commissioner Teenage Pregnancy Project by the Australian and New Zealand Child Dea</w:t>
      </w:r>
      <w:r>
        <w:rPr>
          <w:rFonts w:cs="Arial"/>
        </w:rPr>
        <w:t>th Review and Prevention Group’</w:t>
      </w:r>
      <w:r w:rsidRPr="00AB6E9E">
        <w:rPr>
          <w:rFonts w:cs="Arial"/>
        </w:rPr>
        <w:t xml:space="preserve"> (7 July 2017), 10.</w:t>
      </w:r>
    </w:p>
  </w:endnote>
  <w:endnote w:id="325">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Australian Bureau of Statistics, ‘National He</w:t>
      </w:r>
      <w:r>
        <w:rPr>
          <w:rFonts w:cs="Arial"/>
        </w:rPr>
        <w:t>alth Survey: First Results 2014–</w:t>
      </w:r>
      <w:r w:rsidRPr="00AB6E9E">
        <w:rPr>
          <w:rFonts w:cs="Arial"/>
        </w:rPr>
        <w:t xml:space="preserve">15’, ABS </w:t>
      </w:r>
      <w:r>
        <w:rPr>
          <w:rFonts w:cs="Arial"/>
        </w:rPr>
        <w:t>Catalogue</w:t>
      </w:r>
      <w:r w:rsidRPr="00AB6E9E">
        <w:rPr>
          <w:rFonts w:cs="Arial"/>
        </w:rPr>
        <w:t xml:space="preserve"> No 4364.0.55.001 (8 December 2015). At </w:t>
      </w:r>
      <w:hyperlink r:id="rId144" w:history="1">
        <w:r w:rsidRPr="00AB6E9E">
          <w:rPr>
            <w:rStyle w:val="Collegamentoipertestuale"/>
            <w:rFonts w:cs="Arial"/>
          </w:rPr>
          <w:t>http://www.abs.gov.au/ausstats/abs@.nsf/Lookup/by%20Subject/4364.0.55.001~2014-15~Main%20Features~Smoking~24</w:t>
        </w:r>
      </w:hyperlink>
      <w:r w:rsidRPr="00AB6E9E">
        <w:rPr>
          <w:rFonts w:cs="Arial"/>
        </w:rPr>
        <w:t xml:space="preserve"> (viewed 28 August 2017).</w:t>
      </w:r>
    </w:p>
  </w:endnote>
  <w:endnote w:id="326">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Australian Institute of Health and Welfare, </w:t>
      </w:r>
      <w:r w:rsidRPr="00AB6E9E">
        <w:rPr>
          <w:rFonts w:cs="Arial"/>
          <w:i/>
        </w:rPr>
        <w:t>Australia’s mothers and babies 2014: in brief</w:t>
      </w:r>
      <w:r>
        <w:rPr>
          <w:rFonts w:cs="Arial"/>
        </w:rPr>
        <w:t xml:space="preserve"> (2016)</w:t>
      </w:r>
      <w:r w:rsidRPr="00AB6E9E">
        <w:rPr>
          <w:rFonts w:cs="Arial"/>
        </w:rPr>
        <w:t xml:space="preserve"> Australian Institute of Health and Welfare, 10.</w:t>
      </w:r>
    </w:p>
  </w:endnote>
  <w:endnote w:id="327">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Australian Institute of Health and Welfare, </w:t>
      </w:r>
      <w:r w:rsidRPr="00AB6E9E">
        <w:rPr>
          <w:rFonts w:cs="Arial"/>
          <w:i/>
        </w:rPr>
        <w:t>Australia’s mothers and babies 2014: in brief</w:t>
      </w:r>
      <w:r>
        <w:rPr>
          <w:rFonts w:cs="Arial"/>
        </w:rPr>
        <w:t xml:space="preserve"> (2016)</w:t>
      </w:r>
      <w:r w:rsidRPr="00AB6E9E">
        <w:rPr>
          <w:rFonts w:cs="Arial"/>
        </w:rPr>
        <w:t xml:space="preserve"> Australian Institute of Health and Welfare, 10.</w:t>
      </w:r>
    </w:p>
  </w:endnote>
  <w:endnote w:id="328">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Sung-Hee Jeon, Guyonne Kalb</w:t>
      </w:r>
      <w:r>
        <w:rPr>
          <w:rFonts w:cs="Arial"/>
        </w:rPr>
        <w:t xml:space="preserve"> and</w:t>
      </w:r>
      <w:r w:rsidRPr="00AB6E9E">
        <w:rPr>
          <w:rFonts w:cs="Arial"/>
        </w:rPr>
        <w:t xml:space="preserve"> Ha Vu, ‘The Dynamics of Welfare Participation among Women Who Experienced Teenage Motherhood in Australia’ (2011) 87(277) </w:t>
      </w:r>
      <w:r w:rsidRPr="00AB6E9E">
        <w:rPr>
          <w:rFonts w:cs="Arial"/>
          <w:i/>
        </w:rPr>
        <w:t>The Economic Record</w:t>
      </w:r>
      <w:r w:rsidRPr="00AB6E9E">
        <w:rPr>
          <w:rFonts w:cs="Arial"/>
        </w:rPr>
        <w:t xml:space="preserve"> 235, 246</w:t>
      </w:r>
      <w:r>
        <w:rPr>
          <w:rFonts w:cs="Arial"/>
        </w:rPr>
        <w:t>–</w:t>
      </w:r>
      <w:r w:rsidRPr="00AB6E9E">
        <w:rPr>
          <w:rFonts w:cs="Arial"/>
        </w:rPr>
        <w:t>247.</w:t>
      </w:r>
    </w:p>
  </w:endnote>
  <w:endnote w:id="329">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Lixia Qu, Grace Soriano and Ruth Weston, Australian Institute of Family Services, ‘Starting early, starting late: The health and wellbe</w:t>
      </w:r>
      <w:r>
        <w:rPr>
          <w:rFonts w:cs="Arial"/>
        </w:rPr>
        <w:t>ing of mother and child (2006) 74</w:t>
      </w:r>
      <w:r w:rsidRPr="00AB6E9E">
        <w:rPr>
          <w:rFonts w:cs="Arial"/>
        </w:rPr>
        <w:t xml:space="preserve"> </w:t>
      </w:r>
      <w:r w:rsidRPr="00AB6E9E">
        <w:rPr>
          <w:rFonts w:cs="Arial"/>
          <w:i/>
        </w:rPr>
        <w:t>Family Matters</w:t>
      </w:r>
      <w:r w:rsidRPr="00AB6E9E">
        <w:rPr>
          <w:rFonts w:cs="Arial"/>
        </w:rPr>
        <w:t xml:space="preserve"> 4, 6.</w:t>
      </w:r>
    </w:p>
  </w:endnote>
  <w:endnote w:id="330">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Diane Brage Hudson, Susan </w:t>
      </w:r>
      <w:r w:rsidRPr="00AB6E9E">
        <w:rPr>
          <w:rFonts w:cs="Arial"/>
        </w:rPr>
        <w:t xml:space="preserve">Elek and Christie Campell-Grossman, ‘Depression, self-esteem, loneliness, and social support among adolescent mothers participating in the </w:t>
      </w:r>
      <w:r>
        <w:rPr>
          <w:rFonts w:cs="Arial"/>
        </w:rPr>
        <w:t>new parents project, (2000) 35(</w:t>
      </w:r>
      <w:r w:rsidRPr="00AB6E9E">
        <w:rPr>
          <w:rFonts w:cs="Arial"/>
        </w:rPr>
        <w:t>139</w:t>
      </w:r>
      <w:r>
        <w:rPr>
          <w:rFonts w:cs="Arial"/>
        </w:rPr>
        <w:t>)</w:t>
      </w:r>
      <w:r w:rsidRPr="00AB6E9E">
        <w:rPr>
          <w:rFonts w:cs="Arial"/>
        </w:rPr>
        <w:t xml:space="preserve"> </w:t>
      </w:r>
      <w:r w:rsidRPr="00AB6E9E">
        <w:rPr>
          <w:rFonts w:cs="Arial"/>
          <w:i/>
        </w:rPr>
        <w:t>Adolescence</w:t>
      </w:r>
      <w:r w:rsidRPr="00C62A7C">
        <w:rPr>
          <w:rFonts w:cs="Arial"/>
        </w:rPr>
        <w:t xml:space="preserve"> 454,</w:t>
      </w:r>
      <w:r>
        <w:rPr>
          <w:rFonts w:cs="Arial"/>
          <w:i/>
        </w:rPr>
        <w:t xml:space="preserve"> </w:t>
      </w:r>
      <w:r w:rsidRPr="00AB6E9E">
        <w:rPr>
          <w:rFonts w:cs="Arial"/>
        </w:rPr>
        <w:t>450.</w:t>
      </w:r>
    </w:p>
  </w:endnote>
  <w:endnote w:id="331">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Diane Brage Hudson, Susan Elek and Christie Campell-Grossman, ‘Depression, self-esteem, loneliness, and social support among adolescent mothers participating in </w:t>
      </w:r>
      <w:r>
        <w:rPr>
          <w:rFonts w:cs="Arial"/>
        </w:rPr>
        <w:t>the new parents project (2000)</w:t>
      </w:r>
      <w:r w:rsidRPr="00AB6E9E">
        <w:rPr>
          <w:rFonts w:cs="Arial"/>
        </w:rPr>
        <w:t xml:space="preserve"> </w:t>
      </w:r>
      <w:r>
        <w:rPr>
          <w:rFonts w:cs="Arial"/>
        </w:rPr>
        <w:t>35(</w:t>
      </w:r>
      <w:r w:rsidRPr="00AB6E9E">
        <w:rPr>
          <w:rFonts w:cs="Arial"/>
        </w:rPr>
        <w:t>139</w:t>
      </w:r>
      <w:r>
        <w:rPr>
          <w:rFonts w:cs="Arial"/>
        </w:rPr>
        <w:t>)</w:t>
      </w:r>
      <w:r w:rsidRPr="00AB6E9E">
        <w:rPr>
          <w:rFonts w:cs="Arial"/>
        </w:rPr>
        <w:t xml:space="preserve"> </w:t>
      </w:r>
      <w:r w:rsidRPr="00AB6E9E">
        <w:rPr>
          <w:rFonts w:cs="Arial"/>
          <w:i/>
        </w:rPr>
        <w:t>Adolescence</w:t>
      </w:r>
      <w:r w:rsidRPr="00C62A7C">
        <w:rPr>
          <w:rFonts w:cs="Arial"/>
        </w:rPr>
        <w:t xml:space="preserve"> 454,</w:t>
      </w:r>
      <w:r>
        <w:rPr>
          <w:rFonts w:cs="Arial"/>
          <w:i/>
        </w:rPr>
        <w:t xml:space="preserve"> </w:t>
      </w:r>
      <w:r w:rsidRPr="00AB6E9E">
        <w:rPr>
          <w:rFonts w:cs="Arial"/>
        </w:rPr>
        <w:t>450.</w:t>
      </w:r>
    </w:p>
  </w:endnote>
  <w:endnote w:id="332">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Sung-Hee Jeon, Guyonne Kalb</w:t>
      </w:r>
      <w:r>
        <w:rPr>
          <w:rFonts w:cs="Arial"/>
        </w:rPr>
        <w:t xml:space="preserve"> and</w:t>
      </w:r>
      <w:r w:rsidRPr="00AB6E9E">
        <w:rPr>
          <w:rFonts w:cs="Arial"/>
        </w:rPr>
        <w:t xml:space="preserve"> Ha Vu, ‘The Dynamics of Welfare Participation among Women Who Experienced Teenage Motherhood in Australia’ (2011) 87(277) </w:t>
      </w:r>
      <w:r w:rsidRPr="00AB6E9E">
        <w:rPr>
          <w:rFonts w:cs="Arial"/>
          <w:i/>
        </w:rPr>
        <w:t>The Economic Record</w:t>
      </w:r>
      <w:r w:rsidRPr="00AB6E9E">
        <w:rPr>
          <w:rFonts w:cs="Arial"/>
        </w:rPr>
        <w:t xml:space="preserve"> 235, 247.</w:t>
      </w:r>
    </w:p>
  </w:endnote>
  <w:endnote w:id="333">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Sung-Hee Jeon, Guyonne Kalb </w:t>
      </w:r>
      <w:r>
        <w:rPr>
          <w:rFonts w:cs="Arial"/>
        </w:rPr>
        <w:t xml:space="preserve">and </w:t>
      </w:r>
      <w:r w:rsidRPr="00AB6E9E">
        <w:rPr>
          <w:rFonts w:cs="Arial"/>
        </w:rPr>
        <w:t xml:space="preserve">Ha Vu, ‘The Dynamics of Welfare Participation among Women Who Experienced Teenage Motherhood in Australia’ (2011) 87(277) </w:t>
      </w:r>
      <w:r w:rsidRPr="00AB6E9E">
        <w:rPr>
          <w:rFonts w:cs="Arial"/>
          <w:i/>
        </w:rPr>
        <w:t>The Economic Record</w:t>
      </w:r>
      <w:r w:rsidRPr="00AB6E9E">
        <w:rPr>
          <w:rFonts w:cs="Arial"/>
        </w:rPr>
        <w:t xml:space="preserve"> 235, 247.</w:t>
      </w:r>
    </w:p>
  </w:endnote>
  <w:endnote w:id="334">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Heidi Hoffman and Sergi Vidal, ‘Supporting Teen Families: An Assessment of Youth Childbearing in Australia and Early Interventions to Improve Education Outcomes of Young Parents’ (Working Paper No 12, Australian Research Council Centre of Excellence for Children and Families over the Life Course, June 2017) 12.</w:t>
      </w:r>
    </w:p>
  </w:endnote>
  <w:endnote w:id="335">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Guyonne Kalb, Trinh Le </w:t>
      </w:r>
      <w:r>
        <w:rPr>
          <w:rFonts w:cs="Arial"/>
        </w:rPr>
        <w:t xml:space="preserve">and </w:t>
      </w:r>
      <w:r w:rsidRPr="00AB6E9E">
        <w:rPr>
          <w:rFonts w:cs="Arial"/>
        </w:rPr>
        <w:t xml:space="preserve">Felix Leung, ‘Outcomes for Teenage Mothers in the first Years after Birth’ (2015) 18(3) </w:t>
      </w:r>
      <w:r w:rsidRPr="00AB6E9E">
        <w:rPr>
          <w:rFonts w:cs="Arial"/>
          <w:i/>
        </w:rPr>
        <w:t>Australian Journal of Labour Economics</w:t>
      </w:r>
      <w:r w:rsidRPr="00AB6E9E">
        <w:rPr>
          <w:rFonts w:cs="Arial"/>
        </w:rPr>
        <w:t xml:space="preserve"> 255, 264; Bruce Bradbury, ‘Disadvantage among Australian Young Mothers’ (2006) 9(2) </w:t>
      </w:r>
      <w:r w:rsidRPr="00AB6E9E">
        <w:rPr>
          <w:rFonts w:cs="Arial"/>
          <w:i/>
        </w:rPr>
        <w:t>Australian Journal of Labour Economics</w:t>
      </w:r>
      <w:r w:rsidRPr="00AB6E9E">
        <w:rPr>
          <w:rFonts w:cs="Arial"/>
        </w:rPr>
        <w:t xml:space="preserve"> 147, 147. </w:t>
      </w:r>
    </w:p>
  </w:endnote>
  <w:endnote w:id="336">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Sung-Hee Jeon, Guyonne Kalb </w:t>
      </w:r>
      <w:r>
        <w:rPr>
          <w:rFonts w:cs="Arial"/>
        </w:rPr>
        <w:t xml:space="preserve">and </w:t>
      </w:r>
      <w:r w:rsidRPr="00AB6E9E">
        <w:rPr>
          <w:rFonts w:cs="Arial"/>
        </w:rPr>
        <w:t xml:space="preserve">Ha Vu, ‘The Dynamics of Welfare Participation among Women Who Experienced Teenage Motherhood in Australia’ (2011) 87(277) </w:t>
      </w:r>
      <w:r w:rsidRPr="00AB6E9E">
        <w:rPr>
          <w:rFonts w:cs="Arial"/>
          <w:i/>
        </w:rPr>
        <w:t>The Economic Record</w:t>
      </w:r>
      <w:r w:rsidRPr="00AB6E9E">
        <w:rPr>
          <w:rFonts w:cs="Arial"/>
        </w:rPr>
        <w:t xml:space="preserve"> 235, 236</w:t>
      </w:r>
      <w:r>
        <w:rPr>
          <w:rFonts w:cs="Arial"/>
        </w:rPr>
        <w:t>.</w:t>
      </w:r>
    </w:p>
  </w:endnote>
  <w:endnote w:id="337">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Sung-Hee Jeon, Guyonne Kalb</w:t>
      </w:r>
      <w:r>
        <w:rPr>
          <w:rFonts w:cs="Arial"/>
        </w:rPr>
        <w:t xml:space="preserve"> and</w:t>
      </w:r>
      <w:r w:rsidRPr="00AB6E9E">
        <w:rPr>
          <w:rFonts w:cs="Arial"/>
        </w:rPr>
        <w:t xml:space="preserve"> Ha Vu, ‘The Dynamics of Welfare Participation among Women Who Experienced Teenage Motherhood in Australia’ (2011) 87(277) </w:t>
      </w:r>
      <w:r w:rsidRPr="00AB6E9E">
        <w:rPr>
          <w:rFonts w:cs="Arial"/>
          <w:i/>
        </w:rPr>
        <w:t>The Economic Record</w:t>
      </w:r>
      <w:r w:rsidRPr="00AB6E9E">
        <w:rPr>
          <w:rFonts w:cs="Arial"/>
        </w:rPr>
        <w:t xml:space="preserve"> 235, 236; Alison Morehead and Grace Soriano, ‘Teenage mothers: Constructing Family: what are the Supports, Pressures and Additional labour that shape Decisions Teenage Mothers Make about Family Life?’ (2005) </w:t>
      </w:r>
      <w:r w:rsidRPr="00C946A3">
        <w:rPr>
          <w:rFonts w:cs="Arial"/>
        </w:rPr>
        <w:t xml:space="preserve">72 </w:t>
      </w:r>
      <w:r w:rsidRPr="00C946A3">
        <w:rPr>
          <w:rFonts w:cs="Arial"/>
          <w:i/>
        </w:rPr>
        <w:t>Family Matters</w:t>
      </w:r>
      <w:r w:rsidRPr="00C946A3">
        <w:rPr>
          <w:rFonts w:cs="Arial"/>
        </w:rPr>
        <w:t xml:space="preserve"> 64, 65.</w:t>
      </w:r>
      <w:r w:rsidRPr="00AB6E9E">
        <w:rPr>
          <w:rFonts w:cs="Arial"/>
        </w:rPr>
        <w:t xml:space="preserve"> </w:t>
      </w:r>
    </w:p>
  </w:endnote>
  <w:endnote w:id="338">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Sung-Hee Jeon, Guyonne Kalb and</w:t>
      </w:r>
      <w:r w:rsidRPr="00AB6E9E">
        <w:rPr>
          <w:rFonts w:cs="Arial"/>
        </w:rPr>
        <w:t xml:space="preserve"> Ha Vu, ‘The Dynamics of Welfare Participation among Women Who Experienced Teenage Motherhood in Australia’ (2011) 87(277) </w:t>
      </w:r>
      <w:r w:rsidRPr="00AB6E9E">
        <w:rPr>
          <w:rFonts w:cs="Arial"/>
          <w:i/>
        </w:rPr>
        <w:t>The Economic Record</w:t>
      </w:r>
      <w:r w:rsidRPr="00AB6E9E">
        <w:rPr>
          <w:rFonts w:cs="Arial"/>
        </w:rPr>
        <w:t xml:space="preserve"> 235, 237.</w:t>
      </w:r>
    </w:p>
  </w:endnote>
  <w:endnote w:id="339">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Sung-Hee Jeon, Guyonne Kalb and</w:t>
      </w:r>
      <w:r w:rsidRPr="00AB6E9E">
        <w:rPr>
          <w:rFonts w:cs="Arial"/>
        </w:rPr>
        <w:t xml:space="preserve"> Ha Vu, ‘The Dynamics of Welfare Participation among Women Who Experienced Teenage Motherhood in Australia’ (2011) 87(277) </w:t>
      </w:r>
      <w:r w:rsidRPr="00AB6E9E">
        <w:rPr>
          <w:rFonts w:cs="Arial"/>
          <w:i/>
        </w:rPr>
        <w:t>The Economic Record</w:t>
      </w:r>
      <w:r w:rsidRPr="00AB6E9E">
        <w:rPr>
          <w:rFonts w:cs="Arial"/>
        </w:rPr>
        <w:t xml:space="preserve"> 235, 236</w:t>
      </w:r>
      <w:r>
        <w:rPr>
          <w:rFonts w:cs="Arial"/>
        </w:rPr>
        <w:t>–</w:t>
      </w:r>
      <w:r w:rsidRPr="00AB6E9E">
        <w:rPr>
          <w:rFonts w:cs="Arial"/>
        </w:rPr>
        <w:t>237.</w:t>
      </w:r>
    </w:p>
  </w:endnote>
  <w:endnote w:id="340">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Sung-Hee Jeon, Guyonne Kalb and</w:t>
      </w:r>
      <w:r w:rsidRPr="00AB6E9E">
        <w:rPr>
          <w:rFonts w:cs="Arial"/>
        </w:rPr>
        <w:t xml:space="preserve"> Ha Vu, ‘The Dynamics of Welfare Participation among Women Who Experienced Teenage Motherhood in Australia’ (2011) 87(277) </w:t>
      </w:r>
      <w:r w:rsidRPr="00AB6E9E">
        <w:rPr>
          <w:rFonts w:cs="Arial"/>
          <w:i/>
        </w:rPr>
        <w:t>The Economic Record</w:t>
      </w:r>
      <w:r w:rsidRPr="00AB6E9E">
        <w:rPr>
          <w:rFonts w:cs="Arial"/>
        </w:rPr>
        <w:t xml:space="preserve"> 235, 246.</w:t>
      </w:r>
    </w:p>
  </w:endnote>
  <w:endnote w:id="341">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Sung-Hee Jeon, Guyonne Kalb and</w:t>
      </w:r>
      <w:r w:rsidRPr="00AB6E9E">
        <w:rPr>
          <w:rFonts w:cs="Arial"/>
        </w:rPr>
        <w:t xml:space="preserve"> Ha Vu, ‘The Dynamics of Welfare Participation among Women Who Experienced Teenage Motherhood in Australia’ (2011) 87(277) </w:t>
      </w:r>
      <w:r w:rsidRPr="00AB6E9E">
        <w:rPr>
          <w:rFonts w:cs="Arial"/>
          <w:i/>
        </w:rPr>
        <w:t>The Economic Record</w:t>
      </w:r>
      <w:r w:rsidRPr="00AB6E9E">
        <w:rPr>
          <w:rFonts w:cs="Arial"/>
        </w:rPr>
        <w:t xml:space="preserve"> 235, 246.</w:t>
      </w:r>
    </w:p>
  </w:endnote>
  <w:endnote w:id="342">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Sung-Hee Jeon, Guyonne Kalb</w:t>
      </w:r>
      <w:r>
        <w:rPr>
          <w:rFonts w:cs="Arial"/>
        </w:rPr>
        <w:t xml:space="preserve"> and</w:t>
      </w:r>
      <w:r w:rsidRPr="00AB6E9E">
        <w:rPr>
          <w:rFonts w:cs="Arial"/>
        </w:rPr>
        <w:t xml:space="preserve"> Ha Vu, ‘The Dynamics of Welfare Participation among Women Who Experienced Teenage Motherhood in Australia’ (2011) 87(277) </w:t>
      </w:r>
      <w:r w:rsidRPr="00AB6E9E">
        <w:rPr>
          <w:rFonts w:cs="Arial"/>
          <w:i/>
        </w:rPr>
        <w:t>The Economic Record</w:t>
      </w:r>
      <w:r w:rsidRPr="00AB6E9E">
        <w:rPr>
          <w:rFonts w:cs="Arial"/>
        </w:rPr>
        <w:t xml:space="preserve"> 235, 239.</w:t>
      </w:r>
    </w:p>
  </w:endnote>
  <w:endnote w:id="343">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Sung-Hee Jeon, Guyonne Kalb</w:t>
      </w:r>
      <w:r>
        <w:rPr>
          <w:rFonts w:cs="Arial"/>
        </w:rPr>
        <w:t xml:space="preserve"> and</w:t>
      </w:r>
      <w:r w:rsidRPr="00AB6E9E">
        <w:rPr>
          <w:rFonts w:cs="Arial"/>
        </w:rPr>
        <w:t xml:space="preserve"> Ha Vu, ‘The Dynamics of Welfare Participation among Women Who Experienced Teenage Motherhood in Australia’ (2011) 87(277) </w:t>
      </w:r>
      <w:r w:rsidRPr="00AB6E9E">
        <w:rPr>
          <w:rFonts w:cs="Arial"/>
          <w:i/>
        </w:rPr>
        <w:t>The Economic Record</w:t>
      </w:r>
      <w:r w:rsidRPr="00AB6E9E">
        <w:rPr>
          <w:rFonts w:cs="Arial"/>
        </w:rPr>
        <w:t xml:space="preserve"> 235, 247.</w:t>
      </w:r>
    </w:p>
  </w:endnote>
  <w:endnote w:id="344">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Sung-Hee Jeon, Guyonne Kalb</w:t>
      </w:r>
      <w:r>
        <w:rPr>
          <w:rFonts w:cs="Arial"/>
        </w:rPr>
        <w:t xml:space="preserve"> and</w:t>
      </w:r>
      <w:r w:rsidRPr="00AB6E9E">
        <w:rPr>
          <w:rFonts w:cs="Arial"/>
        </w:rPr>
        <w:t xml:space="preserve"> Ha Vu, ‘The Dynamics of Welfare Participation among Women Who Experienced Teenage Motherhood in Australia’ (2011) 87(277) </w:t>
      </w:r>
      <w:r w:rsidRPr="00AB6E9E">
        <w:rPr>
          <w:rFonts w:cs="Arial"/>
          <w:i/>
        </w:rPr>
        <w:t>The Economic Record</w:t>
      </w:r>
      <w:r w:rsidRPr="00AB6E9E">
        <w:rPr>
          <w:rFonts w:cs="Arial"/>
        </w:rPr>
        <w:t xml:space="preserve"> 235, 246.</w:t>
      </w:r>
    </w:p>
  </w:endnote>
  <w:endnote w:id="345">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Sung-Hee Jeon, Guyonne Kalb and</w:t>
      </w:r>
      <w:r w:rsidRPr="00AB6E9E">
        <w:rPr>
          <w:rFonts w:cs="Arial"/>
        </w:rPr>
        <w:t xml:space="preserve"> Ha Vu, ‘The Dynamics of Welfare Participation among Women Who Experienced Teenage Motherhood in Australia’ (2011) 87(277) </w:t>
      </w:r>
      <w:r w:rsidRPr="00AB6E9E">
        <w:rPr>
          <w:rFonts w:cs="Arial"/>
          <w:i/>
        </w:rPr>
        <w:t>The Economic Record</w:t>
      </w:r>
      <w:r w:rsidRPr="00AB6E9E">
        <w:rPr>
          <w:rFonts w:cs="Arial"/>
        </w:rPr>
        <w:t xml:space="preserve"> 235, 247.</w:t>
      </w:r>
    </w:p>
  </w:endnote>
  <w:endnote w:id="346">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Sung-Hee Jeon, Guyonne Kalb</w:t>
      </w:r>
      <w:r>
        <w:rPr>
          <w:rFonts w:cs="Arial"/>
        </w:rPr>
        <w:t xml:space="preserve"> and</w:t>
      </w:r>
      <w:r w:rsidRPr="00AB6E9E">
        <w:rPr>
          <w:rFonts w:cs="Arial"/>
        </w:rPr>
        <w:t xml:space="preserve"> Ha Vu, ‘The Dynamics of Welfare Participation among Women Who Experienced Teenage Motherhood in Australia’ (2011) 87(277) </w:t>
      </w:r>
      <w:r w:rsidRPr="00AB6E9E">
        <w:rPr>
          <w:rFonts w:cs="Arial"/>
          <w:i/>
        </w:rPr>
        <w:t>The Economic Record</w:t>
      </w:r>
      <w:r w:rsidRPr="00AB6E9E">
        <w:rPr>
          <w:rFonts w:cs="Arial"/>
        </w:rPr>
        <w:t xml:space="preserve"> 235, 246</w:t>
      </w:r>
      <w:r>
        <w:rPr>
          <w:rFonts w:cs="Arial"/>
        </w:rPr>
        <w:t>–</w:t>
      </w:r>
      <w:r w:rsidRPr="00AB6E9E">
        <w:rPr>
          <w:rFonts w:cs="Arial"/>
        </w:rPr>
        <w:t>247.</w:t>
      </w:r>
    </w:p>
  </w:endnote>
  <w:endnote w:id="347">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Sung-Hee Jeon, Guyonne Kalb</w:t>
      </w:r>
      <w:r>
        <w:rPr>
          <w:rFonts w:cs="Arial"/>
        </w:rPr>
        <w:t xml:space="preserve"> and</w:t>
      </w:r>
      <w:r w:rsidRPr="00AB6E9E">
        <w:rPr>
          <w:rFonts w:cs="Arial"/>
        </w:rPr>
        <w:t xml:space="preserve"> Ha Vu, ‘The Dynamics of Welfare Participation among Women Who Experienced Teenage Motherhood in Australia’ (2011) 87(277) </w:t>
      </w:r>
      <w:r w:rsidRPr="00AB6E9E">
        <w:rPr>
          <w:rFonts w:cs="Arial"/>
          <w:i/>
        </w:rPr>
        <w:t>The Economic Record</w:t>
      </w:r>
      <w:r w:rsidRPr="00AB6E9E">
        <w:rPr>
          <w:rFonts w:cs="Arial"/>
        </w:rPr>
        <w:t xml:space="preserve"> 235, 247.</w:t>
      </w:r>
    </w:p>
  </w:endnote>
  <w:endnote w:id="348">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Ruth Weston, Grace Soriano and Lixia Qu, Australian Institute of Family Services, ‘Starting early, starting late: Socio-demographic characteristics and parenting of new mothers of different ages’,</w:t>
      </w:r>
      <w:r w:rsidRPr="00AB6E9E">
        <w:rPr>
          <w:rFonts w:cs="Arial"/>
          <w:i/>
        </w:rPr>
        <w:t xml:space="preserve"> </w:t>
      </w:r>
      <w:r>
        <w:rPr>
          <w:rFonts w:cs="Arial"/>
        </w:rPr>
        <w:t>(2006) 73</w:t>
      </w:r>
      <w:r w:rsidRPr="00AB6E9E">
        <w:rPr>
          <w:rFonts w:cs="Arial"/>
        </w:rPr>
        <w:t xml:space="preserve"> </w:t>
      </w:r>
      <w:r>
        <w:rPr>
          <w:rFonts w:cs="Arial"/>
          <w:i/>
        </w:rPr>
        <w:t>Family Matters</w:t>
      </w:r>
      <w:r w:rsidRPr="00AB6E9E">
        <w:rPr>
          <w:rFonts w:cs="Arial"/>
        </w:rPr>
        <w:t xml:space="preserve"> 52, 55.</w:t>
      </w:r>
    </w:p>
  </w:endnote>
  <w:endnote w:id="349">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Ruth Weston, Grace Soriano and Lixia Qu, Australian Institute of Family Services, ‘Starting early, starting late: Socio-demographic characteristics and parenting of new mothers of different ages’</w:t>
      </w:r>
      <w:r w:rsidRPr="00AB6E9E">
        <w:rPr>
          <w:rFonts w:cs="Arial"/>
          <w:i/>
        </w:rPr>
        <w:t xml:space="preserve"> </w:t>
      </w:r>
      <w:r w:rsidRPr="00AB6E9E">
        <w:rPr>
          <w:rFonts w:cs="Arial"/>
        </w:rPr>
        <w:t xml:space="preserve">(2006) 73 </w:t>
      </w:r>
      <w:r w:rsidRPr="00AB6E9E">
        <w:rPr>
          <w:rFonts w:cs="Arial"/>
          <w:i/>
        </w:rPr>
        <w:t>Family Matters</w:t>
      </w:r>
      <w:r w:rsidRPr="00AB6E9E">
        <w:rPr>
          <w:rFonts w:cs="Arial"/>
        </w:rPr>
        <w:t xml:space="preserve"> 52, 57.</w:t>
      </w:r>
    </w:p>
  </w:endnote>
  <w:endnote w:id="350">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Ruth Weston, Grace Soriano and Lixia Qu, Australian Institute of Family Services, ‘Starting early, starting late: Socio-demographic characteristics and parenting of</w:t>
      </w:r>
      <w:r>
        <w:rPr>
          <w:rFonts w:cs="Arial"/>
        </w:rPr>
        <w:t xml:space="preserve"> new mothers of different ages’</w:t>
      </w:r>
      <w:r w:rsidRPr="00AB6E9E">
        <w:rPr>
          <w:rFonts w:cs="Arial"/>
          <w:i/>
        </w:rPr>
        <w:t xml:space="preserve"> </w:t>
      </w:r>
      <w:r>
        <w:rPr>
          <w:rFonts w:cs="Arial"/>
        </w:rPr>
        <w:t>(2006) 73</w:t>
      </w:r>
      <w:r w:rsidRPr="00AB6E9E">
        <w:rPr>
          <w:rFonts w:cs="Arial"/>
        </w:rPr>
        <w:t xml:space="preserve"> </w:t>
      </w:r>
      <w:r>
        <w:rPr>
          <w:rFonts w:cs="Arial"/>
          <w:i/>
        </w:rPr>
        <w:t>Family Matters</w:t>
      </w:r>
      <w:r w:rsidRPr="00AB6E9E">
        <w:rPr>
          <w:rFonts w:cs="Arial"/>
        </w:rPr>
        <w:t xml:space="preserve"> 52, 55.</w:t>
      </w:r>
    </w:p>
  </w:endnote>
  <w:endnote w:id="351">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Ruth Weston, Grace Soriano and Lixia Qu, Australian Institute of Family Services, ‘Starting early, starting late: Socio-demographic characteristics and parenting of</w:t>
      </w:r>
      <w:r>
        <w:rPr>
          <w:rFonts w:cs="Arial"/>
        </w:rPr>
        <w:t xml:space="preserve"> new mothers of different ages’</w:t>
      </w:r>
      <w:r w:rsidRPr="00AB6E9E">
        <w:rPr>
          <w:rFonts w:cs="Arial"/>
          <w:i/>
        </w:rPr>
        <w:t xml:space="preserve"> </w:t>
      </w:r>
      <w:r>
        <w:rPr>
          <w:rFonts w:cs="Arial"/>
        </w:rPr>
        <w:t>(2006) 73</w:t>
      </w:r>
      <w:r w:rsidRPr="00AB6E9E">
        <w:rPr>
          <w:rFonts w:cs="Arial"/>
        </w:rPr>
        <w:t xml:space="preserve"> </w:t>
      </w:r>
      <w:r>
        <w:rPr>
          <w:rFonts w:cs="Arial"/>
          <w:i/>
        </w:rPr>
        <w:t>Family Matters</w:t>
      </w:r>
      <w:r w:rsidRPr="00AB6E9E">
        <w:rPr>
          <w:rFonts w:cs="Arial"/>
        </w:rPr>
        <w:t xml:space="preserve"> 52, 55.</w:t>
      </w:r>
    </w:p>
  </w:endnote>
  <w:endnote w:id="352">
    <w:p w:rsidR="00C3563C" w:rsidRDefault="00C3563C" w:rsidP="00B87D45">
      <w:pPr>
        <w:pStyle w:val="Testonotadichiusura"/>
      </w:pPr>
      <w:r>
        <w:rPr>
          <w:rStyle w:val="Rimandonotadichiusura"/>
        </w:rPr>
        <w:endnoteRef/>
      </w:r>
      <w:r>
        <w:t xml:space="preserve"> </w:t>
      </w:r>
      <w:r>
        <w:rPr>
          <w:rFonts w:cs="Arial"/>
        </w:rPr>
        <w:t>Guyonne Kalb, Trinh Le and</w:t>
      </w:r>
      <w:r w:rsidRPr="00AB6E9E">
        <w:rPr>
          <w:rFonts w:cs="Arial"/>
        </w:rPr>
        <w:t xml:space="preserve"> Felix Leung, ‘Outcomes for Teenage Mothers in the First Years after Birth’ (2015) 18(3) </w:t>
      </w:r>
      <w:r w:rsidRPr="00AB6E9E">
        <w:rPr>
          <w:rFonts w:cs="Arial"/>
          <w:i/>
        </w:rPr>
        <w:t>Australian Journal of Labour Economics</w:t>
      </w:r>
      <w:r w:rsidRPr="00AB6E9E">
        <w:rPr>
          <w:rFonts w:cs="Arial"/>
        </w:rPr>
        <w:t xml:space="preserve"> 255, 257.</w:t>
      </w:r>
    </w:p>
  </w:endnote>
  <w:endnote w:id="353">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Guyonne Kalb, Trinh Le</w:t>
      </w:r>
      <w:r>
        <w:rPr>
          <w:rFonts w:cs="Arial"/>
        </w:rPr>
        <w:t xml:space="preserve"> and</w:t>
      </w:r>
      <w:r w:rsidRPr="00AB6E9E">
        <w:rPr>
          <w:rFonts w:cs="Arial"/>
        </w:rPr>
        <w:t xml:space="preserve"> Felix Leung, ‘Outcomes for Teenage Mothers in the First Years after Birth’ (2015) 18(3) </w:t>
      </w:r>
      <w:r w:rsidRPr="00AB6E9E">
        <w:rPr>
          <w:rFonts w:cs="Arial"/>
          <w:i/>
        </w:rPr>
        <w:t>Australian Journal of Labour Economics</w:t>
      </w:r>
      <w:r w:rsidRPr="00AB6E9E">
        <w:rPr>
          <w:rFonts w:cs="Arial"/>
        </w:rPr>
        <w:t xml:space="preserve"> 255, 257.</w:t>
      </w:r>
    </w:p>
  </w:endnote>
  <w:endnote w:id="354">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Guyonne Kalb, Trinh Le</w:t>
      </w:r>
      <w:r>
        <w:rPr>
          <w:rFonts w:cs="Arial"/>
        </w:rPr>
        <w:t xml:space="preserve"> and</w:t>
      </w:r>
      <w:r w:rsidRPr="00AB6E9E">
        <w:rPr>
          <w:rFonts w:cs="Arial"/>
        </w:rPr>
        <w:t xml:space="preserve"> Felix Leung, ‘Outcomes for Teenage Mothers in the First Years after Birth’ (2015) 18(3) </w:t>
      </w:r>
      <w:r w:rsidRPr="00AB6E9E">
        <w:rPr>
          <w:rFonts w:cs="Arial"/>
          <w:i/>
        </w:rPr>
        <w:t>Australian Journal of Labour Economics</w:t>
      </w:r>
      <w:r w:rsidRPr="00AB6E9E">
        <w:rPr>
          <w:rFonts w:cs="Arial"/>
        </w:rPr>
        <w:t xml:space="preserve"> 255, 257; Bruce Bradbury, ‘The Impact of Young Motherhood on Education, Employment and Marriage’ (2006) </w:t>
      </w:r>
      <w:r w:rsidRPr="00AB6E9E">
        <w:rPr>
          <w:rFonts w:cs="Arial"/>
          <w:i/>
        </w:rPr>
        <w:t>SPRC Discussion Paper No 148</w:t>
      </w:r>
      <w:r w:rsidRPr="00AB6E9E">
        <w:rPr>
          <w:rFonts w:cs="Arial"/>
        </w:rPr>
        <w:t>, cited in Guyonne Kalb, Trinh Le</w:t>
      </w:r>
      <w:r>
        <w:rPr>
          <w:rFonts w:cs="Arial"/>
        </w:rPr>
        <w:t xml:space="preserve"> and</w:t>
      </w:r>
      <w:r w:rsidRPr="00AB6E9E">
        <w:rPr>
          <w:rFonts w:cs="Arial"/>
        </w:rPr>
        <w:t xml:space="preserve"> Felix Leung, ‘Outcomes for Teenage Mothers in the First Years after Birth’ (2015) 18(3) </w:t>
      </w:r>
      <w:r w:rsidRPr="00AB6E9E">
        <w:rPr>
          <w:rFonts w:cs="Arial"/>
          <w:i/>
        </w:rPr>
        <w:t>Australian Journal of Labour Economics</w:t>
      </w:r>
      <w:r w:rsidRPr="00AB6E9E">
        <w:rPr>
          <w:rFonts w:cs="Arial"/>
        </w:rPr>
        <w:t xml:space="preserve"> 255, 257.</w:t>
      </w:r>
    </w:p>
  </w:endnote>
  <w:endnote w:id="355">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John Ermisch, David </w:t>
      </w:r>
      <w:r w:rsidRPr="00AB6E9E">
        <w:rPr>
          <w:rFonts w:cs="Arial"/>
        </w:rPr>
        <w:t xml:space="preserve">Pevalin, ‘Early Motherhood and Later Partnerships’ (2005) 18(3) </w:t>
      </w:r>
      <w:r w:rsidRPr="000B78C6">
        <w:rPr>
          <w:rFonts w:cs="Arial"/>
          <w:i/>
        </w:rPr>
        <w:t>Journal of Population Economics</w:t>
      </w:r>
      <w:r w:rsidRPr="00AB6E9E">
        <w:rPr>
          <w:rFonts w:cs="Arial"/>
        </w:rPr>
        <w:t xml:space="preserve"> 469 cited in Guyonne Kalb, Trinh Le, Felix Leung, ‘Outcomes for Teenage Mothers in the First Years after Birth’ (2015) 18(3) </w:t>
      </w:r>
      <w:r w:rsidRPr="00AB6E9E">
        <w:rPr>
          <w:rFonts w:cs="Arial"/>
          <w:i/>
        </w:rPr>
        <w:t>Australian Journal of Labour Economics</w:t>
      </w:r>
      <w:r w:rsidRPr="00AB6E9E">
        <w:rPr>
          <w:rFonts w:cs="Arial"/>
        </w:rPr>
        <w:t xml:space="preserve"> 255, 257; Bruce Bradbury, ‘Disadvantage among Australian Young Mothers’ (2006) 9(2) </w:t>
      </w:r>
      <w:r w:rsidRPr="00AB6E9E">
        <w:rPr>
          <w:rFonts w:cs="Arial"/>
          <w:i/>
        </w:rPr>
        <w:t xml:space="preserve">Australian Journal of Labour Economics </w:t>
      </w:r>
      <w:r w:rsidRPr="00AB6E9E">
        <w:rPr>
          <w:rFonts w:cs="Arial"/>
        </w:rPr>
        <w:t>147, 169.</w:t>
      </w:r>
    </w:p>
  </w:endnote>
  <w:endnote w:id="356">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Lixia Qu, Grace Soriano and Ruth Weston, Australian Institute of Family Services, ‘Starting early, starting late: The health an</w:t>
      </w:r>
      <w:r>
        <w:rPr>
          <w:rFonts w:cs="Arial"/>
        </w:rPr>
        <w:t>d wellbeing of mother and child (2006) 74</w:t>
      </w:r>
      <w:r w:rsidRPr="00AB6E9E">
        <w:rPr>
          <w:rFonts w:cs="Arial"/>
        </w:rPr>
        <w:t xml:space="preserve"> </w:t>
      </w:r>
      <w:r w:rsidRPr="00AB6E9E">
        <w:rPr>
          <w:rFonts w:cs="Arial"/>
          <w:i/>
        </w:rPr>
        <w:t>Family Matters</w:t>
      </w:r>
      <w:r w:rsidRPr="00AB6E9E">
        <w:rPr>
          <w:rFonts w:cs="Arial"/>
        </w:rPr>
        <w:t xml:space="preserve"> 4, 7.</w:t>
      </w:r>
    </w:p>
  </w:endnote>
  <w:endnote w:id="357">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Lixia Qu, Grace Soriano and Ruth Weston, Australian Institute of Family Services, ‘Starting early, starting late: The health an</w:t>
      </w:r>
      <w:r>
        <w:rPr>
          <w:rFonts w:cs="Arial"/>
        </w:rPr>
        <w:t>d wellbeing of mother and child (2006)</w:t>
      </w:r>
      <w:r w:rsidRPr="00AB6E9E">
        <w:rPr>
          <w:rFonts w:cs="Arial"/>
        </w:rPr>
        <w:t xml:space="preserve"> 74 </w:t>
      </w:r>
      <w:r w:rsidRPr="00AB6E9E">
        <w:rPr>
          <w:rFonts w:cs="Arial"/>
          <w:i/>
        </w:rPr>
        <w:t>Family Matters</w:t>
      </w:r>
      <w:r w:rsidRPr="00AB6E9E">
        <w:rPr>
          <w:rFonts w:cs="Arial"/>
        </w:rPr>
        <w:t xml:space="preserve"> 4, 8.</w:t>
      </w:r>
    </w:p>
  </w:endnote>
  <w:endnote w:id="358">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Guyonne Kalb, Trinh Le</w:t>
      </w:r>
      <w:r>
        <w:rPr>
          <w:rFonts w:cs="Arial"/>
        </w:rPr>
        <w:t xml:space="preserve"> and</w:t>
      </w:r>
      <w:r w:rsidRPr="00AB6E9E">
        <w:rPr>
          <w:rFonts w:cs="Arial"/>
        </w:rPr>
        <w:t xml:space="preserve"> Felix Leung, ‘Outcomes for Teenage Mothers in the First Years after Birth’ (2015) 18(3) </w:t>
      </w:r>
      <w:r w:rsidRPr="00AB6E9E">
        <w:rPr>
          <w:rFonts w:cs="Arial"/>
          <w:i/>
        </w:rPr>
        <w:t>Australian Journal of Labour Economics</w:t>
      </w:r>
      <w:r w:rsidRPr="00AB6E9E">
        <w:rPr>
          <w:rFonts w:cs="Arial"/>
        </w:rPr>
        <w:t xml:space="preserve"> 255, 270; Bruce Bradbury, ‘Disadvantage among Australian Young Mothers’ (2006) 9(2) </w:t>
      </w:r>
      <w:r w:rsidRPr="00AB6E9E">
        <w:rPr>
          <w:rFonts w:cs="Arial"/>
          <w:i/>
        </w:rPr>
        <w:t xml:space="preserve">Australian Journal of Labour Economics </w:t>
      </w:r>
      <w:r w:rsidRPr="00AB6E9E">
        <w:rPr>
          <w:rFonts w:cs="Arial"/>
        </w:rPr>
        <w:t>147, 169.</w:t>
      </w:r>
    </w:p>
  </w:endnote>
  <w:endnote w:id="359">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Sung-Hee Jeon, Guyonne Kalb</w:t>
      </w:r>
      <w:r>
        <w:rPr>
          <w:rFonts w:cs="Arial"/>
        </w:rPr>
        <w:t xml:space="preserve"> and</w:t>
      </w:r>
      <w:r w:rsidRPr="00AB6E9E">
        <w:rPr>
          <w:rFonts w:cs="Arial"/>
        </w:rPr>
        <w:t xml:space="preserve"> Ha Vu, ‘The Dynamics of Welfare Participation among Women Who Experienced Teenage Motherhood in Australia’ (2011) 87(277) </w:t>
      </w:r>
      <w:r w:rsidRPr="00AB6E9E">
        <w:rPr>
          <w:rFonts w:cs="Arial"/>
          <w:i/>
        </w:rPr>
        <w:t>The Economic Record</w:t>
      </w:r>
      <w:r w:rsidRPr="00AB6E9E">
        <w:rPr>
          <w:rFonts w:cs="Arial"/>
        </w:rPr>
        <w:t xml:space="preserve"> 235, 239; Ann Evans, ‘Education and the resolution of teenage pregnancy in Australia’ (2004)13</w:t>
      </w:r>
      <w:r w:rsidRPr="00AB6E9E">
        <w:rPr>
          <w:rFonts w:cs="Arial"/>
          <w:i/>
        </w:rPr>
        <w:t xml:space="preserve"> Health Sociology Review</w:t>
      </w:r>
      <w:r w:rsidRPr="00AB6E9E">
        <w:rPr>
          <w:rFonts w:cs="Arial"/>
        </w:rPr>
        <w:t xml:space="preserve"> 27. </w:t>
      </w:r>
    </w:p>
  </w:endnote>
  <w:endnote w:id="360">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Heidi Hoffman and Sergi Vidal, ‘Supporting Teen Families: An Assessment of Youth Childbearing in Australia and Early Interventions to Improve Education Outcomes of Young Parents’ (Working Paper No 12, Australian Research Council Centre of Excellence for Children and Families over the Life Course, June 2017) 11; Ann Evans, ‘Education and the resolution of teenage pregnancy in Australia’ (2004)13</w:t>
      </w:r>
      <w:r w:rsidRPr="00AB6E9E">
        <w:rPr>
          <w:rFonts w:cs="Arial"/>
          <w:i/>
        </w:rPr>
        <w:t xml:space="preserve"> Health Sociology Review</w:t>
      </w:r>
      <w:r>
        <w:rPr>
          <w:rFonts w:cs="Arial"/>
        </w:rPr>
        <w:t xml:space="preserve"> 27; Lucy </w:t>
      </w:r>
      <w:r w:rsidRPr="00AB6E9E">
        <w:rPr>
          <w:rFonts w:cs="Arial"/>
        </w:rPr>
        <w:t>Lewis</w:t>
      </w:r>
      <w:r>
        <w:rPr>
          <w:rFonts w:cs="Arial"/>
        </w:rPr>
        <w:t>, Dorota Doherty, Martha Hickey and Rachel Skinner</w:t>
      </w:r>
      <w:r w:rsidRPr="00AB6E9E">
        <w:rPr>
          <w:rFonts w:cs="Arial"/>
        </w:rPr>
        <w:t xml:space="preserve">, ‘Predictors of sexual intercourse and rapid-repeat pregnancy among teenage mothers: An Australian prospective longitudinal study’ (2010) 193(6) </w:t>
      </w:r>
      <w:r w:rsidRPr="00AB6E9E">
        <w:rPr>
          <w:rFonts w:cs="Arial"/>
          <w:i/>
        </w:rPr>
        <w:t>Medical Journal of Australia</w:t>
      </w:r>
      <w:r>
        <w:rPr>
          <w:rFonts w:cs="Arial"/>
        </w:rPr>
        <w:t xml:space="preserve"> 338; Lauren Miller-Lewis, Tracey</w:t>
      </w:r>
      <w:r w:rsidRPr="00AB6E9E">
        <w:rPr>
          <w:rFonts w:cs="Arial"/>
        </w:rPr>
        <w:t xml:space="preserve"> Wade and C</w:t>
      </w:r>
      <w:r>
        <w:rPr>
          <w:rFonts w:cs="Arial"/>
        </w:rPr>
        <w:t>hristina</w:t>
      </w:r>
      <w:r w:rsidRPr="00AB6E9E">
        <w:rPr>
          <w:rFonts w:cs="Arial"/>
        </w:rPr>
        <w:t xml:space="preserve"> Lee, ‘Risk factors for pregnancy and child bearing in single young women: Evidence from the Australian Longitudinal Study on Women’s Health’, (2005) 29(4) </w:t>
      </w:r>
      <w:r w:rsidRPr="00AB6E9E">
        <w:rPr>
          <w:rFonts w:cs="Arial"/>
          <w:i/>
        </w:rPr>
        <w:t>International Journal of Behavioural Development</w:t>
      </w:r>
      <w:r>
        <w:rPr>
          <w:rFonts w:cs="Arial"/>
        </w:rPr>
        <w:t xml:space="preserve"> 292; Julie</w:t>
      </w:r>
      <w:r w:rsidRPr="00AB6E9E">
        <w:rPr>
          <w:rFonts w:cs="Arial"/>
        </w:rPr>
        <w:t xml:space="preserve"> Quinlivan, </w:t>
      </w:r>
      <w:r>
        <w:rPr>
          <w:rFonts w:cs="Arial"/>
        </w:rPr>
        <w:t>‘Teenagers who plan parenthood’</w:t>
      </w:r>
      <w:r w:rsidRPr="00AB6E9E">
        <w:rPr>
          <w:rFonts w:cs="Arial"/>
        </w:rPr>
        <w:t xml:space="preserve"> (2004) 1(4) </w:t>
      </w:r>
      <w:r w:rsidRPr="00AB6E9E">
        <w:rPr>
          <w:rFonts w:cs="Arial"/>
          <w:i/>
        </w:rPr>
        <w:t>Sexual Health</w:t>
      </w:r>
      <w:r w:rsidRPr="00AB6E9E">
        <w:rPr>
          <w:rFonts w:cs="Arial"/>
        </w:rPr>
        <w:t xml:space="preserve"> 201. </w:t>
      </w:r>
    </w:p>
  </w:endnote>
  <w:endnote w:id="361">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Kay Boulden, </w:t>
      </w:r>
      <w:r w:rsidRPr="00AB6E9E">
        <w:rPr>
          <w:rFonts w:cs="Arial"/>
          <w:i/>
        </w:rPr>
        <w:t>What it Takes: Supporting pregnant and parenting young people</w:t>
      </w:r>
      <w:r w:rsidRPr="00AB6E9E">
        <w:rPr>
          <w:rFonts w:cs="Arial"/>
        </w:rPr>
        <w:t xml:space="preserve"> </w:t>
      </w:r>
      <w:r>
        <w:rPr>
          <w:rFonts w:cs="Arial"/>
        </w:rPr>
        <w:t>(</w:t>
      </w:r>
      <w:r w:rsidRPr="00AB6E9E">
        <w:rPr>
          <w:rFonts w:cs="Arial"/>
        </w:rPr>
        <w:t>September 2010</w:t>
      </w:r>
      <w:r>
        <w:rPr>
          <w:rFonts w:cs="Arial"/>
        </w:rPr>
        <w:t>)</w:t>
      </w:r>
      <w:r w:rsidRPr="00AB6E9E">
        <w:rPr>
          <w:rFonts w:cs="Arial"/>
        </w:rPr>
        <w:t>, Association of W</w:t>
      </w:r>
      <w:r>
        <w:rPr>
          <w:rFonts w:cs="Arial"/>
        </w:rPr>
        <w:t>omen Educators Incorporated, 14–</w:t>
      </w:r>
      <w:r w:rsidRPr="00AB6E9E">
        <w:rPr>
          <w:rFonts w:cs="Arial"/>
        </w:rPr>
        <w:t>15</w:t>
      </w:r>
      <w:r>
        <w:rPr>
          <w:rFonts w:cs="Arial"/>
        </w:rPr>
        <w:t>.</w:t>
      </w:r>
    </w:p>
  </w:endnote>
  <w:endnote w:id="362">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Heidi Hoffman and Sergi Vidal, ‘Supporting Teen Families: An Assessment of Youth Childbearing in Australia and Early Interventions to Improve Education Outcomes of Young Parents’ (Working Paper No 12, Australian Research Council Centre of Excellence for Ch</w:t>
      </w:r>
      <w:r>
        <w:rPr>
          <w:rFonts w:cs="Arial"/>
        </w:rPr>
        <w:t>il</w:t>
      </w:r>
      <w:r w:rsidRPr="00AB6E9E">
        <w:rPr>
          <w:rFonts w:cs="Arial"/>
        </w:rPr>
        <w:t>dren and Families over the Life Course, June 2017) 10</w:t>
      </w:r>
      <w:r>
        <w:rPr>
          <w:rFonts w:cs="Arial"/>
        </w:rPr>
        <w:t>, 13.</w:t>
      </w:r>
    </w:p>
  </w:endnote>
  <w:endnote w:id="363">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Kay Boulden, </w:t>
      </w:r>
      <w:r w:rsidRPr="00AB6E9E">
        <w:rPr>
          <w:rFonts w:cs="Arial"/>
          <w:i/>
        </w:rPr>
        <w:t>What it Takes: Supporting pregnant and parenting young people</w:t>
      </w:r>
      <w:r w:rsidRPr="00AB6E9E">
        <w:rPr>
          <w:rFonts w:cs="Arial"/>
        </w:rPr>
        <w:t xml:space="preserve"> </w:t>
      </w:r>
      <w:r>
        <w:rPr>
          <w:rFonts w:cs="Arial"/>
        </w:rPr>
        <w:t>(</w:t>
      </w:r>
      <w:r w:rsidRPr="00AB6E9E">
        <w:rPr>
          <w:rFonts w:cs="Arial"/>
        </w:rPr>
        <w:t>September 2010</w:t>
      </w:r>
      <w:r>
        <w:rPr>
          <w:rFonts w:cs="Arial"/>
        </w:rPr>
        <w:t>)</w:t>
      </w:r>
      <w:r w:rsidRPr="00AB6E9E">
        <w:rPr>
          <w:rFonts w:cs="Arial"/>
        </w:rPr>
        <w:t>, Association of Women Edu</w:t>
      </w:r>
      <w:r>
        <w:rPr>
          <w:rFonts w:cs="Arial"/>
        </w:rPr>
        <w:t>cators Incorporated, 10–</w:t>
      </w:r>
      <w:r w:rsidRPr="00AB6E9E">
        <w:rPr>
          <w:rFonts w:cs="Arial"/>
        </w:rPr>
        <w:t>11</w:t>
      </w:r>
      <w:r>
        <w:rPr>
          <w:rFonts w:cs="Arial"/>
        </w:rPr>
        <w:t>,</w:t>
      </w:r>
      <w:r w:rsidRPr="00AB6E9E">
        <w:rPr>
          <w:rFonts w:cs="Arial"/>
        </w:rPr>
        <w:t xml:space="preserve"> cited in Heidi Hoffman and Sergi Vidal, ‘Supporting Teen Families: An Assessment of Youth Childbearing in Australia and Early Interventions to Improve Education Outcomes of Young Parents’ (Working Paper No 12, Australian Research Council Centre of Excellence for Ch</w:t>
      </w:r>
      <w:r>
        <w:rPr>
          <w:rFonts w:cs="Arial"/>
        </w:rPr>
        <w:t>il</w:t>
      </w:r>
      <w:r w:rsidRPr="00AB6E9E">
        <w:rPr>
          <w:rFonts w:cs="Arial"/>
        </w:rPr>
        <w:t>dren and Families over the Life Course, June 2017) 10.</w:t>
      </w:r>
    </w:p>
  </w:endnote>
  <w:endnote w:id="364">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Kay Boulden, </w:t>
      </w:r>
      <w:r w:rsidRPr="00AB6E9E">
        <w:rPr>
          <w:rFonts w:cs="Arial"/>
          <w:i/>
        </w:rPr>
        <w:t>What it Takes: Supporting pregnant and parenting young people</w:t>
      </w:r>
      <w:r>
        <w:rPr>
          <w:rFonts w:cs="Arial"/>
        </w:rPr>
        <w:t xml:space="preserve"> (</w:t>
      </w:r>
      <w:r w:rsidRPr="00AB6E9E">
        <w:rPr>
          <w:rFonts w:cs="Arial"/>
        </w:rPr>
        <w:t>September 2010</w:t>
      </w:r>
      <w:r>
        <w:rPr>
          <w:rFonts w:cs="Arial"/>
        </w:rPr>
        <w:t>)</w:t>
      </w:r>
      <w:r w:rsidRPr="00AB6E9E">
        <w:rPr>
          <w:rFonts w:cs="Arial"/>
        </w:rPr>
        <w:t>, Association of Wo</w:t>
      </w:r>
      <w:r>
        <w:rPr>
          <w:rFonts w:cs="Arial"/>
        </w:rPr>
        <w:t xml:space="preserve">men Educators Incorporated, 11 </w:t>
      </w:r>
      <w:r w:rsidRPr="00AB6E9E">
        <w:rPr>
          <w:rFonts w:cs="Arial"/>
        </w:rPr>
        <w:t>cited in Heidi Hoffman and Sergi Vidal, ‘Supporting Teen Families: An Assessment of Youth Childbearing in Australia and Early Interventions to Improve Education Outcomes of Young Parents’ (Working Paper No 12, Australian Research Council Centre of Excellence for Ch</w:t>
      </w:r>
      <w:r>
        <w:rPr>
          <w:rFonts w:cs="Arial"/>
        </w:rPr>
        <w:t>il</w:t>
      </w:r>
      <w:r w:rsidRPr="00AB6E9E">
        <w:rPr>
          <w:rFonts w:cs="Arial"/>
        </w:rPr>
        <w:t>dren and Families over the Life Course, June 2017) 10.</w:t>
      </w:r>
    </w:p>
  </w:endnote>
  <w:endnote w:id="365">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w:t>
      </w:r>
      <w:r>
        <w:rPr>
          <w:rFonts w:cs="Arial"/>
        </w:rPr>
        <w:t>Jennifer Marino, Lucy Lewis, Deborah Bateson, Martha Hickey and Rachel Skinner,</w:t>
      </w:r>
      <w:r w:rsidRPr="00AB6E9E">
        <w:rPr>
          <w:rFonts w:cs="Arial"/>
        </w:rPr>
        <w:t xml:space="preserve"> ‘Teenage Mothers’ (2016) 45(10) </w:t>
      </w:r>
      <w:r w:rsidRPr="00AB6E9E">
        <w:rPr>
          <w:rFonts w:cs="Arial"/>
          <w:i/>
        </w:rPr>
        <w:t>Australian Family Physician</w:t>
      </w:r>
      <w:r w:rsidRPr="00AB6E9E">
        <w:rPr>
          <w:rFonts w:cs="Arial"/>
        </w:rPr>
        <w:t xml:space="preserve"> 712, 714; </w:t>
      </w:r>
      <w:r w:rsidRPr="00AB6E9E">
        <w:rPr>
          <w:rFonts w:cs="Arial"/>
          <w:shd w:val="clear" w:color="auto" w:fill="FFFFFF"/>
        </w:rPr>
        <w:t>T</w:t>
      </w:r>
      <w:r>
        <w:rPr>
          <w:rFonts w:cs="Arial"/>
          <w:shd w:val="clear" w:color="auto" w:fill="FFFFFF"/>
        </w:rPr>
        <w:t>odd</w:t>
      </w:r>
      <w:r w:rsidRPr="00AB6E9E">
        <w:rPr>
          <w:rFonts w:cs="Arial"/>
          <w:shd w:val="clear" w:color="auto" w:fill="FFFFFF"/>
        </w:rPr>
        <w:t xml:space="preserve"> Ritter, A</w:t>
      </w:r>
      <w:r>
        <w:rPr>
          <w:rFonts w:cs="Arial"/>
          <w:shd w:val="clear" w:color="auto" w:fill="FFFFFF"/>
        </w:rPr>
        <w:t>nne</w:t>
      </w:r>
      <w:r w:rsidRPr="00AB6E9E">
        <w:rPr>
          <w:rFonts w:cs="Arial"/>
          <w:shd w:val="clear" w:color="auto" w:fill="FFFFFF"/>
        </w:rPr>
        <w:t xml:space="preserve"> Dore and K</w:t>
      </w:r>
      <w:r>
        <w:rPr>
          <w:rFonts w:cs="Arial"/>
          <w:shd w:val="clear" w:color="auto" w:fill="FFFFFF"/>
        </w:rPr>
        <w:t>evin</w:t>
      </w:r>
      <w:r w:rsidRPr="00AB6E9E">
        <w:rPr>
          <w:rFonts w:cs="Arial"/>
          <w:shd w:val="clear" w:color="auto" w:fill="FFFFFF"/>
        </w:rPr>
        <w:t xml:space="preserve"> McGeechan, ‘Contraceptive knowledge and attitudes among 14–24 year-olds in New South Wales, Australia’ (2015) 39(3) </w:t>
      </w:r>
      <w:r w:rsidRPr="00AB6E9E">
        <w:rPr>
          <w:rFonts w:cs="Arial"/>
          <w:i/>
          <w:shd w:val="clear" w:color="auto" w:fill="FFFFFF"/>
        </w:rPr>
        <w:t>Australian and New Zealand Journal of Public Health</w:t>
      </w:r>
      <w:r w:rsidRPr="00AB6E9E">
        <w:rPr>
          <w:rFonts w:cs="Arial"/>
          <w:shd w:val="clear" w:color="auto" w:fill="FFFFFF"/>
        </w:rPr>
        <w:t xml:space="preserve"> 267; </w:t>
      </w:r>
      <w:r w:rsidRPr="00383CDA">
        <w:rPr>
          <w:rFonts w:cs="Arial"/>
          <w:shd w:val="clear" w:color="auto" w:fill="FFFFFF"/>
        </w:rPr>
        <w:t>Anne Mitchell, Kent Patrick, Wendy Haywood, Pamela Blackman and Marian Pitts</w:t>
      </w:r>
      <w:r>
        <w:rPr>
          <w:rFonts w:cs="Arial"/>
          <w:shd w:val="clear" w:color="auto" w:fill="FFFFFF"/>
        </w:rPr>
        <w:t>,</w:t>
      </w:r>
      <w:r w:rsidRPr="00AB6E9E">
        <w:rPr>
          <w:rFonts w:cs="Arial"/>
          <w:shd w:val="clear" w:color="auto" w:fill="FFFFFF"/>
        </w:rPr>
        <w:t xml:space="preserve"> </w:t>
      </w:r>
      <w:r w:rsidRPr="00AB6E9E">
        <w:rPr>
          <w:rFonts w:cs="Arial"/>
          <w:i/>
          <w:shd w:val="clear" w:color="auto" w:fill="FFFFFF"/>
        </w:rPr>
        <w:t>5th National Survey of Australian Secondary Students and Sexual Health 2013</w:t>
      </w:r>
      <w:r>
        <w:rPr>
          <w:rFonts w:cs="Arial"/>
          <w:shd w:val="clear" w:color="auto" w:fill="FFFFFF"/>
        </w:rPr>
        <w:t>,</w:t>
      </w:r>
      <w:r w:rsidRPr="00AB6E9E">
        <w:rPr>
          <w:rFonts w:cs="Arial"/>
          <w:shd w:val="clear" w:color="auto" w:fill="FFFFFF"/>
        </w:rPr>
        <w:t xml:space="preserve"> April 2014, Melbourne: Australian Research Centre in Sex, Health and Society; </w:t>
      </w:r>
      <w:r>
        <w:rPr>
          <w:rFonts w:cs="Arial"/>
          <w:shd w:val="clear" w:color="auto" w:fill="FFFFFF"/>
        </w:rPr>
        <w:t xml:space="preserve">Michael Booth, Diana Bernard, Susan Quine and David Bennett, </w:t>
      </w:r>
      <w:r w:rsidRPr="00AB6E9E">
        <w:rPr>
          <w:rFonts w:cs="Arial"/>
          <w:shd w:val="clear" w:color="auto" w:fill="FFFFFF"/>
        </w:rPr>
        <w:t xml:space="preserve">‘Access to Health Care Among Australian Adolescents Young People’s Perspectives and their Sociodemographic Distribution’ (2004) 34(1) </w:t>
      </w:r>
      <w:r w:rsidRPr="00AB6E9E">
        <w:rPr>
          <w:rFonts w:cs="Arial"/>
          <w:i/>
          <w:shd w:val="clear" w:color="auto" w:fill="FFFFFF"/>
        </w:rPr>
        <w:t>Journal of Adolescent Health</w:t>
      </w:r>
      <w:r w:rsidRPr="00AB6E9E">
        <w:rPr>
          <w:rFonts w:cs="Arial"/>
          <w:shd w:val="clear" w:color="auto" w:fill="FFFFFF"/>
        </w:rPr>
        <w:t xml:space="preserve"> 97. </w:t>
      </w:r>
    </w:p>
  </w:endnote>
  <w:endnote w:id="366">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Kay Boulden, </w:t>
      </w:r>
      <w:r w:rsidRPr="00AB6E9E">
        <w:rPr>
          <w:rFonts w:cs="Arial"/>
          <w:i/>
        </w:rPr>
        <w:t>What it Takes: Supporting pregnant and parenting young people</w:t>
      </w:r>
      <w:r w:rsidRPr="00AB6E9E">
        <w:rPr>
          <w:rFonts w:cs="Arial"/>
        </w:rPr>
        <w:t xml:space="preserve"> </w:t>
      </w:r>
      <w:r>
        <w:rPr>
          <w:rFonts w:cs="Arial"/>
        </w:rPr>
        <w:t>(</w:t>
      </w:r>
      <w:r w:rsidRPr="00AB6E9E">
        <w:rPr>
          <w:rFonts w:cs="Arial"/>
        </w:rPr>
        <w:t>September 2010</w:t>
      </w:r>
      <w:r>
        <w:rPr>
          <w:rFonts w:cs="Arial"/>
        </w:rPr>
        <w:t>)</w:t>
      </w:r>
      <w:r w:rsidRPr="00AB6E9E">
        <w:rPr>
          <w:rFonts w:cs="Arial"/>
        </w:rPr>
        <w:t>, Association of Women Educators Incorporated, 15; Guyonne Kalb, Trinh Le</w:t>
      </w:r>
      <w:r>
        <w:rPr>
          <w:rFonts w:cs="Arial"/>
        </w:rPr>
        <w:t xml:space="preserve"> and </w:t>
      </w:r>
      <w:r w:rsidRPr="00AB6E9E">
        <w:rPr>
          <w:rFonts w:cs="Arial"/>
        </w:rPr>
        <w:t xml:space="preserve">Felix Leung, ‘Outcomes for Teenage Mothers in the First Years after Birth’ (2015) 18(3) </w:t>
      </w:r>
      <w:r w:rsidRPr="00AB6E9E">
        <w:rPr>
          <w:rFonts w:cs="Arial"/>
          <w:i/>
        </w:rPr>
        <w:t>Australian Journal of Labour Economics</w:t>
      </w:r>
      <w:r w:rsidRPr="00AB6E9E">
        <w:rPr>
          <w:rFonts w:cs="Arial"/>
        </w:rPr>
        <w:t xml:space="preserve"> 255, 271.</w:t>
      </w:r>
    </w:p>
  </w:endnote>
  <w:endnote w:id="367">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Guyonne Kalb, Trinh Le and</w:t>
      </w:r>
      <w:r w:rsidRPr="00AB6E9E">
        <w:rPr>
          <w:rFonts w:cs="Arial"/>
        </w:rPr>
        <w:t xml:space="preserve"> Felix Leung, ‘Outcomes for Teenage Mothers in the First Years after Birth’ (2015) 18(3) </w:t>
      </w:r>
      <w:r w:rsidRPr="00AB6E9E">
        <w:rPr>
          <w:rFonts w:cs="Arial"/>
          <w:i/>
        </w:rPr>
        <w:t>Australian Journal of Labour Economics</w:t>
      </w:r>
      <w:r>
        <w:rPr>
          <w:rFonts w:cs="Arial"/>
        </w:rPr>
        <w:t xml:space="preserve"> 255, 270–</w:t>
      </w:r>
      <w:r w:rsidRPr="00AB6E9E">
        <w:rPr>
          <w:rFonts w:cs="Arial"/>
        </w:rPr>
        <w:t>1.</w:t>
      </w:r>
    </w:p>
  </w:endnote>
  <w:endnote w:id="368">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Ann Evans, ‘Social disadvantage and teenage motherhood: A Cohort Perspective’ (Paper presented at HILDA Survey Res</w:t>
      </w:r>
      <w:r>
        <w:rPr>
          <w:rFonts w:cs="Arial"/>
        </w:rPr>
        <w:t>earch Conference, Melbourne, 19–</w:t>
      </w:r>
      <w:r w:rsidRPr="00AB6E9E">
        <w:rPr>
          <w:rFonts w:cs="Arial"/>
        </w:rPr>
        <w:t xml:space="preserve">20 July 2007) 9. </w:t>
      </w:r>
    </w:p>
  </w:endnote>
  <w:endnote w:id="369">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Ann Evans, ‘Social disadvantage and teenage motherhood: A Cohort Perspective’ (Paper presented at HILDA Survey Research </w:t>
      </w:r>
      <w:r>
        <w:rPr>
          <w:rFonts w:cs="Arial"/>
        </w:rPr>
        <w:t>Conference, Melbourne, 19–</w:t>
      </w:r>
      <w:r w:rsidRPr="00AB6E9E">
        <w:rPr>
          <w:rFonts w:cs="Arial"/>
        </w:rPr>
        <w:t>20 July 2007) 9.</w:t>
      </w:r>
    </w:p>
  </w:endnote>
  <w:endnote w:id="370">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Heidi Hoffman and Sergi Vidal, ‘Supporting Teen Families: An Assessment of Youth Childbearing in Australia and Early Interventions to Improve Education Outcomes of Young Parents’ (Working Paper No 12, Australian Research Council Centre of Excellence for Children and Families over the Life Course, June 2017) 14; Jennifer Smith et al, ‘How Australian Female Adolescents Prioritise Pregnancy Protection: A Grounded Theory Study of Contraceptive Histories’ (2011) 26(5) </w:t>
      </w:r>
      <w:r w:rsidRPr="00AB6E9E">
        <w:rPr>
          <w:rFonts w:cs="Arial"/>
          <w:i/>
        </w:rPr>
        <w:t>Journal of Adolescent Research</w:t>
      </w:r>
      <w:r w:rsidRPr="00AB6E9E">
        <w:rPr>
          <w:rFonts w:cs="Arial"/>
        </w:rPr>
        <w:t xml:space="preserve"> 617 cited in Heidi Hoffman and Sergi Vidal, ‘Supporting Teen Families: An Assessment of Youth Childbearing in Australia and Early Interventions to Improve Education Outcomes of Young Parents’ (Working Paper No 12, Australian Research Council Centre of Excellence for Children and Families over the Life Course, June 2017) 14.</w:t>
      </w:r>
    </w:p>
  </w:endnote>
  <w:endnote w:id="371">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Ruth Weston, Grace Soriano and Lixia Qu, Australian Institute of Family Services, ‘Starting early, starting late: Socio-demographic characteristics and parenting of</w:t>
      </w:r>
      <w:r>
        <w:rPr>
          <w:rFonts w:cs="Arial"/>
        </w:rPr>
        <w:t xml:space="preserve"> new mothers of different ages’</w:t>
      </w:r>
      <w:r w:rsidRPr="00AB6E9E">
        <w:rPr>
          <w:rFonts w:cs="Arial"/>
          <w:i/>
        </w:rPr>
        <w:t xml:space="preserve"> </w:t>
      </w:r>
      <w:r w:rsidRPr="00AB6E9E">
        <w:rPr>
          <w:rFonts w:cs="Arial"/>
        </w:rPr>
        <w:t xml:space="preserve">(2006) 73 </w:t>
      </w:r>
      <w:r w:rsidRPr="00AB6E9E">
        <w:rPr>
          <w:rFonts w:cs="Arial"/>
          <w:i/>
        </w:rPr>
        <w:t>Family Matters</w:t>
      </w:r>
      <w:r w:rsidRPr="00AB6E9E">
        <w:rPr>
          <w:rFonts w:cs="Arial"/>
        </w:rPr>
        <w:t xml:space="preserve"> 52, 56.</w:t>
      </w:r>
    </w:p>
  </w:endnote>
  <w:endnote w:id="372">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Ruth Weston, Grace Soriano and Lixia Qu, Australian Institute of Family Services, ‘Starting early, starting late: Socio-demographic characteristics and parenting of new mot</w:t>
      </w:r>
      <w:r>
        <w:rPr>
          <w:rFonts w:cs="Arial"/>
        </w:rPr>
        <w:t>hers of different ages’</w:t>
      </w:r>
      <w:r w:rsidRPr="00AB6E9E">
        <w:rPr>
          <w:rFonts w:cs="Arial"/>
          <w:i/>
        </w:rPr>
        <w:t xml:space="preserve"> </w:t>
      </w:r>
      <w:r w:rsidRPr="00AB6E9E">
        <w:rPr>
          <w:rFonts w:cs="Arial"/>
        </w:rPr>
        <w:t xml:space="preserve">(2006) 73 </w:t>
      </w:r>
      <w:r w:rsidRPr="00AB6E9E">
        <w:rPr>
          <w:rFonts w:cs="Arial"/>
          <w:i/>
        </w:rPr>
        <w:t>Family Matters</w:t>
      </w:r>
      <w:r w:rsidRPr="00AB6E9E">
        <w:rPr>
          <w:rFonts w:cs="Arial"/>
        </w:rPr>
        <w:t xml:space="preserve"> 52, 55.</w:t>
      </w:r>
    </w:p>
  </w:endnote>
  <w:endnote w:id="373">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Ruth Weston, Grace Soriano and Lixia Qu, Australian Institute of Family Services, ‘Starting early, starting late: Socio-demographic characteristics and parenting of new mothers of different ages</w:t>
      </w:r>
      <w:r>
        <w:rPr>
          <w:rFonts w:cs="Arial"/>
        </w:rPr>
        <w:t>’</w:t>
      </w:r>
      <w:r w:rsidRPr="00AB6E9E">
        <w:rPr>
          <w:rFonts w:cs="Arial"/>
          <w:i/>
        </w:rPr>
        <w:t xml:space="preserve"> </w:t>
      </w:r>
      <w:r w:rsidRPr="00AB6E9E">
        <w:rPr>
          <w:rFonts w:cs="Arial"/>
        </w:rPr>
        <w:t xml:space="preserve">(2006) 73 </w:t>
      </w:r>
      <w:r w:rsidRPr="00AB6E9E">
        <w:rPr>
          <w:rFonts w:cs="Arial"/>
          <w:i/>
        </w:rPr>
        <w:t>Family Matters</w:t>
      </w:r>
      <w:r w:rsidRPr="00AB6E9E">
        <w:rPr>
          <w:rFonts w:cs="Arial"/>
        </w:rPr>
        <w:t xml:space="preserve"> 52, 55.</w:t>
      </w:r>
    </w:p>
  </w:endnote>
  <w:endnote w:id="374">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Ann Evans, ‘Social disadvantage and teenage motherhood: A Cohort Perspective’ (Paper presented at HILDA Survey Research Conference, Melbourne, 19-20 July 2007) 9.</w:t>
      </w:r>
    </w:p>
  </w:endnote>
  <w:endnote w:id="375">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Guyonne Kalb, Trinh Le and</w:t>
      </w:r>
      <w:r w:rsidRPr="00AB6E9E">
        <w:rPr>
          <w:rFonts w:cs="Arial"/>
        </w:rPr>
        <w:t xml:space="preserve"> Felix Leung, ‘Outcomes for Teenage Mothers in the First Years after Birth’ (2015) 18(3) </w:t>
      </w:r>
      <w:r w:rsidRPr="00AB6E9E">
        <w:rPr>
          <w:rFonts w:cs="Arial"/>
          <w:i/>
        </w:rPr>
        <w:t>Australian Journal of Labour Economics</w:t>
      </w:r>
      <w:r w:rsidRPr="00AB6E9E">
        <w:rPr>
          <w:rFonts w:cs="Arial"/>
        </w:rPr>
        <w:t xml:space="preserve"> 255, 271.</w:t>
      </w:r>
    </w:p>
  </w:endnote>
  <w:endnote w:id="376">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Guyonne Kalb, Trinh Le and</w:t>
      </w:r>
      <w:r w:rsidRPr="00AB6E9E">
        <w:rPr>
          <w:rFonts w:cs="Arial"/>
        </w:rPr>
        <w:t xml:space="preserve"> Felix Leung, ‘Outcomes for Teenage Mothers in the First Years after Birth’ (2015) 18(3) </w:t>
      </w:r>
      <w:r w:rsidRPr="00AB6E9E">
        <w:rPr>
          <w:rFonts w:cs="Arial"/>
          <w:i/>
        </w:rPr>
        <w:t>Australian Journal of Labour Economics</w:t>
      </w:r>
      <w:r w:rsidRPr="00AB6E9E">
        <w:rPr>
          <w:rFonts w:cs="Arial"/>
        </w:rPr>
        <w:t xml:space="preserve"> 255, 271</w:t>
      </w:r>
      <w:r>
        <w:rPr>
          <w:rFonts w:cs="Arial"/>
        </w:rPr>
        <w:t>.</w:t>
      </w:r>
    </w:p>
  </w:endnote>
  <w:endnote w:id="377">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Heidi Hoffman and Sergi Vidal, ‘Supporting Teen Families: An Assessment of Youth Childbearing in Australia and Early Interventions to Improve Education Outcomes of Young Parents’ (Working Paper No 12, Australian Research Council Centre of Excellence for Children and Families over the Life Course, June 2017) 11. </w:t>
      </w:r>
    </w:p>
  </w:endnote>
  <w:endnote w:id="378">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Sung-Hee Jeon, Guyonne Kalb and</w:t>
      </w:r>
      <w:r w:rsidRPr="00AB6E9E">
        <w:rPr>
          <w:rFonts w:cs="Arial"/>
        </w:rPr>
        <w:t xml:space="preserve"> Ha Vu, ‘The Dynamics of Welfare Participation among Women Who Experienced Teenage Motherhood in Australia’ (2011) 87(277) </w:t>
      </w:r>
      <w:r w:rsidRPr="00AB6E9E">
        <w:rPr>
          <w:rFonts w:cs="Arial"/>
          <w:i/>
        </w:rPr>
        <w:t>The Economic Record</w:t>
      </w:r>
      <w:r w:rsidRPr="00AB6E9E">
        <w:rPr>
          <w:rFonts w:cs="Arial"/>
        </w:rPr>
        <w:t xml:space="preserve"> 2</w:t>
      </w:r>
      <w:r>
        <w:rPr>
          <w:rFonts w:cs="Arial"/>
        </w:rPr>
        <w:t>35, 246; Guyonne Kalb, Trinh Le and</w:t>
      </w:r>
      <w:r w:rsidRPr="00AB6E9E">
        <w:rPr>
          <w:rFonts w:cs="Arial"/>
        </w:rPr>
        <w:t xml:space="preserve"> Felix Leung, ‘Outcomes for Teenage Mothers in the First Years after Birth’ (2015) 18(3) </w:t>
      </w:r>
      <w:r w:rsidRPr="00AB6E9E">
        <w:rPr>
          <w:rFonts w:cs="Arial"/>
          <w:i/>
        </w:rPr>
        <w:t>Australian Journal of Labour Economics</w:t>
      </w:r>
      <w:r w:rsidRPr="00AB6E9E">
        <w:rPr>
          <w:rFonts w:cs="Arial"/>
        </w:rPr>
        <w:t xml:space="preserve"> 2</w:t>
      </w:r>
      <w:r>
        <w:rPr>
          <w:rFonts w:cs="Arial"/>
        </w:rPr>
        <w:t xml:space="preserve">55, 271. </w:t>
      </w:r>
    </w:p>
  </w:endnote>
  <w:endnote w:id="379">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Sung-Hee Jeon, G</w:t>
      </w:r>
      <w:r>
        <w:rPr>
          <w:rFonts w:cs="Arial"/>
        </w:rPr>
        <w:t>uyonne Kalb and</w:t>
      </w:r>
      <w:r w:rsidRPr="00AB6E9E">
        <w:rPr>
          <w:rFonts w:cs="Arial"/>
        </w:rPr>
        <w:t xml:space="preserve"> Ha Vu, ‘The Dynamics of Welfare Participation among Women Who Experienced Teenage Motherhood in Australia’ (2011) 87(277) </w:t>
      </w:r>
      <w:r w:rsidRPr="00AB6E9E">
        <w:rPr>
          <w:rFonts w:cs="Arial"/>
          <w:i/>
        </w:rPr>
        <w:t>The Economic Record</w:t>
      </w:r>
      <w:r w:rsidRPr="00AB6E9E">
        <w:rPr>
          <w:rFonts w:cs="Arial"/>
        </w:rPr>
        <w:t xml:space="preserve"> 235, 246. </w:t>
      </w:r>
    </w:p>
  </w:endnote>
  <w:endnote w:id="380">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Ruth Weston, Grace Soriano and Lixia Qu, Australian Institute of Family Services, ‘Starting early, starting late: Socio-demographic characteristics and parenting of</w:t>
      </w:r>
      <w:r>
        <w:rPr>
          <w:rFonts w:cs="Arial"/>
        </w:rPr>
        <w:t xml:space="preserve"> new mothers of different ages’</w:t>
      </w:r>
      <w:r w:rsidRPr="00AB6E9E">
        <w:rPr>
          <w:rFonts w:cs="Arial"/>
          <w:i/>
        </w:rPr>
        <w:t xml:space="preserve"> </w:t>
      </w:r>
      <w:r w:rsidRPr="00AB6E9E">
        <w:rPr>
          <w:rFonts w:cs="Arial"/>
        </w:rPr>
        <w:t xml:space="preserve">(2006) 73 </w:t>
      </w:r>
      <w:r w:rsidRPr="00AB6E9E">
        <w:rPr>
          <w:rFonts w:cs="Arial"/>
          <w:i/>
        </w:rPr>
        <w:t>Family Matters</w:t>
      </w:r>
      <w:r w:rsidRPr="00AB6E9E">
        <w:rPr>
          <w:rFonts w:cs="Arial"/>
        </w:rPr>
        <w:t xml:space="preserve"> 52, 57.</w:t>
      </w:r>
    </w:p>
  </w:endnote>
  <w:endnote w:id="381">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Ruth Weston, Grace Soriano and Lixia Qu, Australian Institute of Family Services, ‘Starting early, starting late: Socio-demographic characteristics and parenting of new mothers of different ages’,</w:t>
      </w:r>
      <w:r w:rsidRPr="00AB6E9E">
        <w:rPr>
          <w:rFonts w:cs="Arial"/>
          <w:i/>
        </w:rPr>
        <w:t xml:space="preserve"> </w:t>
      </w:r>
      <w:r w:rsidRPr="00AB6E9E">
        <w:rPr>
          <w:rFonts w:cs="Arial"/>
        </w:rPr>
        <w:t xml:space="preserve">(2006) 73 </w:t>
      </w:r>
      <w:r w:rsidRPr="00AB6E9E">
        <w:rPr>
          <w:rFonts w:cs="Arial"/>
          <w:i/>
        </w:rPr>
        <w:t>Family Matters</w:t>
      </w:r>
      <w:r w:rsidRPr="00AB6E9E">
        <w:rPr>
          <w:rFonts w:cs="Arial"/>
        </w:rPr>
        <w:t xml:space="preserve"> 52, 57.</w:t>
      </w:r>
    </w:p>
  </w:endnote>
  <w:endnote w:id="382">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Morag McArthur and Gail Winkworth, ‘The Hopes and Dreams of Australian Young Mothers in Receipt of Income Support’ (2013) 7(1) </w:t>
      </w:r>
      <w:r w:rsidRPr="00AB6E9E">
        <w:rPr>
          <w:rFonts w:cs="Arial"/>
          <w:i/>
        </w:rPr>
        <w:t xml:space="preserve">Communities, Children and Families Australia </w:t>
      </w:r>
      <w:r>
        <w:rPr>
          <w:rFonts w:cs="Arial"/>
        </w:rPr>
        <w:t>47, 58; Sarah</w:t>
      </w:r>
      <w:r w:rsidRPr="00AB6E9E">
        <w:rPr>
          <w:rFonts w:cs="Arial"/>
        </w:rPr>
        <w:t xml:space="preserve"> Larkins</w:t>
      </w:r>
      <w:r>
        <w:rPr>
          <w:rFonts w:cs="Arial"/>
        </w:rPr>
        <w:t xml:space="preserve">, Priscilla Page, Kathryn Panaretto, Melvina Mitchell, Valerie Alberts, Suzanne McGinty and P Craig Veitch, </w:t>
      </w:r>
      <w:r w:rsidRPr="00AB6E9E">
        <w:rPr>
          <w:rFonts w:cs="Arial"/>
        </w:rPr>
        <w:t xml:space="preserve">‘The Transformative Potential of Young Motherhood for disadvantaged Aboriginal and Torres Strait Islander women in Townsville, Australia’ (2011) 194(10) </w:t>
      </w:r>
      <w:r w:rsidRPr="00AB6E9E">
        <w:rPr>
          <w:rFonts w:cs="Arial"/>
          <w:i/>
        </w:rPr>
        <w:t xml:space="preserve">Medical Journal of Australia </w:t>
      </w:r>
      <w:r w:rsidRPr="00AB6E9E">
        <w:rPr>
          <w:rFonts w:cs="Arial"/>
        </w:rPr>
        <w:t xml:space="preserve">551, 553. </w:t>
      </w:r>
    </w:p>
  </w:endnote>
  <w:endnote w:id="383">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Morag McArthur and Gail Winkworth, ‘The Hopes and Dreams of Australian Young Mothers in Receipt of Income Support’ (2013) 7(1) </w:t>
      </w:r>
      <w:r w:rsidRPr="00AB6E9E">
        <w:rPr>
          <w:rFonts w:cs="Arial"/>
          <w:i/>
        </w:rPr>
        <w:t xml:space="preserve">Communities, Children and Families Australia </w:t>
      </w:r>
      <w:r>
        <w:rPr>
          <w:rFonts w:cs="Arial"/>
        </w:rPr>
        <w:t>47, 58.</w:t>
      </w:r>
    </w:p>
  </w:endnote>
  <w:endnote w:id="384">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Morag McArthur and Gail Winkworth, ‘The Hopes and Dreams of Australian Young Mothers in Receipt of Income Support’ (2013) 7(1) </w:t>
      </w:r>
      <w:r w:rsidRPr="00AB6E9E">
        <w:rPr>
          <w:rFonts w:cs="Arial"/>
          <w:i/>
        </w:rPr>
        <w:t xml:space="preserve">Communities, Children and Families Australia </w:t>
      </w:r>
      <w:r w:rsidRPr="00AB6E9E">
        <w:rPr>
          <w:rFonts w:cs="Arial"/>
        </w:rPr>
        <w:t>47, 58.</w:t>
      </w:r>
    </w:p>
  </w:endnote>
  <w:endnote w:id="385">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Anne Scappaticci and Sergio Blay, ‘Homeless teen mothers: Social and Psychological aspects’ (2009) 17(1) </w:t>
      </w:r>
      <w:r w:rsidRPr="00AB6E9E">
        <w:rPr>
          <w:rFonts w:cs="Arial"/>
          <w:i/>
        </w:rPr>
        <w:t>Journal of Public Health</w:t>
      </w:r>
      <w:r w:rsidRPr="00AB6E9E">
        <w:rPr>
          <w:rFonts w:cs="Arial"/>
        </w:rPr>
        <w:t xml:space="preserve"> 19</w:t>
      </w:r>
      <w:r>
        <w:rPr>
          <w:rFonts w:cs="Arial"/>
        </w:rPr>
        <w:t>,</w:t>
      </w:r>
      <w:r w:rsidRPr="00AB6E9E">
        <w:rPr>
          <w:rFonts w:cs="Arial"/>
        </w:rPr>
        <w:t xml:space="preserve"> cited in Ella Kuskoff and Shelley Mallett, ‘Young, Homeless, and Raising a Child: A Review of Existing Approaches to Addressing the Needs of Young Australian Parents Experiencing Homelessness’ (Working Paper No 13, Australian Research Council Centre of Excellence for Children and Families over the Life Course, July 2016) 8. </w:t>
      </w:r>
    </w:p>
  </w:endnote>
  <w:endnote w:id="386">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Ella Kuskoff and Shelley Mallett, ‘Young, Homeless, and Raising a Child: A Review of Existing Approaches to Addressing the Needs of Young Australian Parents Experiencing Homelessness’ (Working Paper No 13, Australian Research Council Centre of Excellence for Children and Families over the Life Course, July 2016) 12.</w:t>
      </w:r>
    </w:p>
  </w:endnote>
  <w:endnote w:id="387">
    <w:p w:rsidR="00C3563C" w:rsidRPr="00AB6E9E" w:rsidRDefault="00C3563C" w:rsidP="00B87D45">
      <w:pPr>
        <w:pStyle w:val="Testonotadichiusura"/>
        <w:rPr>
          <w:rFonts w:cs="Arial"/>
          <w:i/>
        </w:rPr>
      </w:pPr>
      <w:r w:rsidRPr="00AB6E9E">
        <w:rPr>
          <w:rStyle w:val="Rimandonotadichiusura"/>
          <w:rFonts w:cs="Arial"/>
        </w:rPr>
        <w:endnoteRef/>
      </w:r>
      <w:r w:rsidRPr="00AB6E9E">
        <w:rPr>
          <w:rFonts w:cs="Arial"/>
        </w:rPr>
        <w:t xml:space="preserve"> Heidi Hoffman and Sergi Vidal, ‘Supporting Teen Families: An Assessment of Youth Childbearing in Australia and Early Interventions to Improve Education Outcomes of Young Parents’ (Working Paper No 12, Australian Research Council Centre of Excellence for Children and Families over the Life Course, June 2017) 6; Frances Doran and Julie Hornibrook, ‘Rural New South Wales women’s access to abortion services: highlights from an exploratory qualitative study’ (2014) 22 </w:t>
      </w:r>
      <w:r w:rsidRPr="00AB6E9E">
        <w:rPr>
          <w:rFonts w:cs="Arial"/>
          <w:i/>
        </w:rPr>
        <w:t>The Australian Journal of Rural Health</w:t>
      </w:r>
      <w:r>
        <w:rPr>
          <w:rFonts w:cs="Arial"/>
        </w:rPr>
        <w:t xml:space="preserve"> 121, 125; Angela</w:t>
      </w:r>
      <w:r w:rsidRPr="00AB6E9E">
        <w:rPr>
          <w:rFonts w:cs="Arial"/>
        </w:rPr>
        <w:t xml:space="preserve"> Taft</w:t>
      </w:r>
      <w:r>
        <w:rPr>
          <w:rFonts w:cs="Arial"/>
        </w:rPr>
        <w:t xml:space="preserve"> and Lyndsey </w:t>
      </w:r>
      <w:r w:rsidRPr="00AB6E9E">
        <w:rPr>
          <w:rFonts w:cs="Arial"/>
        </w:rPr>
        <w:t xml:space="preserve">Watson, ‘Termination of pregnancy: associations with partner violence and other factors in a national cohort of young Australian women’ (2007) 31(2) </w:t>
      </w:r>
      <w:r w:rsidRPr="00AB6E9E">
        <w:rPr>
          <w:rFonts w:cs="Arial"/>
          <w:i/>
        </w:rPr>
        <w:t>Australian and New Zealand Journal of Public Health</w:t>
      </w:r>
      <w:r w:rsidRPr="00AB6E9E">
        <w:rPr>
          <w:rFonts w:cs="Arial"/>
        </w:rPr>
        <w:t xml:space="preserve"> 135, 141; </w:t>
      </w:r>
      <w:r>
        <w:rPr>
          <w:rFonts w:cs="Arial"/>
          <w:color w:val="222222"/>
          <w:shd w:val="clear" w:color="auto" w:fill="FFFFFF"/>
        </w:rPr>
        <w:t>Karen Johnston, Caroline Harvey, Paula Matich, Priscilla Page, Clare Jukka, Jane Hollins, and Sarah Larkins</w:t>
      </w:r>
      <w:r w:rsidRPr="00AB6E9E">
        <w:rPr>
          <w:rFonts w:cs="Arial"/>
        </w:rPr>
        <w:t>, ‘Increasing access to sexual health care for rural and regional young people: similarities and differences in the views of young people and service providers</w:t>
      </w:r>
      <w:r>
        <w:rPr>
          <w:rFonts w:cs="Arial"/>
        </w:rPr>
        <w:t>’</w:t>
      </w:r>
      <w:r w:rsidRPr="00AB6E9E">
        <w:rPr>
          <w:rFonts w:cs="Arial"/>
        </w:rPr>
        <w:t xml:space="preserve"> (2015) 23 </w:t>
      </w:r>
      <w:r w:rsidRPr="00AB6E9E">
        <w:rPr>
          <w:rFonts w:cs="Arial"/>
          <w:i/>
        </w:rPr>
        <w:t xml:space="preserve">The Australian Journal of Rural Health </w:t>
      </w:r>
      <w:r>
        <w:rPr>
          <w:rFonts w:cs="Arial"/>
        </w:rPr>
        <w:t>257, 259–</w:t>
      </w:r>
      <w:r w:rsidRPr="00AB6E9E">
        <w:rPr>
          <w:rFonts w:cs="Arial"/>
        </w:rPr>
        <w:t>262.</w:t>
      </w:r>
    </w:p>
  </w:endnote>
  <w:endnote w:id="388">
    <w:p w:rsidR="00C3563C" w:rsidRPr="00AB6E9E" w:rsidRDefault="00C3563C" w:rsidP="00B87D45">
      <w:pPr>
        <w:pStyle w:val="Testonotadichiusura"/>
        <w:rPr>
          <w:rFonts w:cs="Arial"/>
          <w:i/>
        </w:rPr>
      </w:pPr>
      <w:r w:rsidRPr="00AB6E9E">
        <w:rPr>
          <w:rStyle w:val="Rimandonotadichiusura"/>
          <w:rFonts w:cs="Arial"/>
        </w:rPr>
        <w:endnoteRef/>
      </w:r>
      <w:r w:rsidRPr="00AB6E9E">
        <w:rPr>
          <w:rFonts w:cs="Arial"/>
        </w:rPr>
        <w:t xml:space="preserve"> </w:t>
      </w:r>
      <w:r>
        <w:rPr>
          <w:rFonts w:cs="Arial"/>
          <w:color w:val="222222"/>
          <w:shd w:val="clear" w:color="auto" w:fill="FFFFFF"/>
        </w:rPr>
        <w:t>Karen Johnston, Caroline Harvey, Paula Matich, Priscilla Page, Clare Jukka, Jane Hollins, and Sarah Larkins</w:t>
      </w:r>
      <w:r>
        <w:rPr>
          <w:rFonts w:cs="Arial"/>
        </w:rPr>
        <w:t xml:space="preserve">, </w:t>
      </w:r>
      <w:r w:rsidRPr="00AB6E9E">
        <w:rPr>
          <w:rFonts w:cs="Arial"/>
        </w:rPr>
        <w:t>‘Increasing access to sexual health care for rural and regional young people: similarities and differences in the views of young people and service providers</w:t>
      </w:r>
      <w:r>
        <w:rPr>
          <w:rFonts w:cs="Arial"/>
        </w:rPr>
        <w:t>’</w:t>
      </w:r>
      <w:r w:rsidRPr="00AB6E9E">
        <w:rPr>
          <w:rFonts w:cs="Arial"/>
        </w:rPr>
        <w:t xml:space="preserve"> (2015) 23 </w:t>
      </w:r>
      <w:r w:rsidRPr="00AB6E9E">
        <w:rPr>
          <w:rFonts w:cs="Arial"/>
          <w:i/>
        </w:rPr>
        <w:t xml:space="preserve">The Australian Journal of Rural Health </w:t>
      </w:r>
      <w:r w:rsidRPr="00AB6E9E">
        <w:rPr>
          <w:rFonts w:cs="Arial"/>
        </w:rPr>
        <w:t xml:space="preserve">257. </w:t>
      </w:r>
    </w:p>
  </w:endnote>
  <w:endnote w:id="389">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w:t>
      </w:r>
      <w:r>
        <w:rPr>
          <w:rFonts w:cs="Arial"/>
          <w:color w:val="222222"/>
          <w:shd w:val="clear" w:color="auto" w:fill="FFFFFF"/>
        </w:rPr>
        <w:t>Karen Johnston, Caroline Harvey, Paula Matich, Priscilla Page, Clare Jukka, Jane Hollins, and Sarah Larkins</w:t>
      </w:r>
      <w:r>
        <w:rPr>
          <w:rFonts w:cs="Arial"/>
        </w:rPr>
        <w:t xml:space="preserve">, </w:t>
      </w:r>
      <w:r w:rsidRPr="00AB6E9E">
        <w:rPr>
          <w:rFonts w:cs="Arial"/>
        </w:rPr>
        <w:t>‘Increasing access to sexual health care for rural and regional young people: similarities and differences in the views of young people and service providers</w:t>
      </w:r>
      <w:r>
        <w:rPr>
          <w:rFonts w:cs="Arial"/>
        </w:rPr>
        <w:t>’</w:t>
      </w:r>
      <w:r w:rsidRPr="00AB6E9E">
        <w:rPr>
          <w:rFonts w:cs="Arial"/>
        </w:rPr>
        <w:t xml:space="preserve"> (2015) 23 </w:t>
      </w:r>
      <w:r w:rsidRPr="00AB6E9E">
        <w:rPr>
          <w:rFonts w:cs="Arial"/>
          <w:i/>
        </w:rPr>
        <w:t xml:space="preserve">The Australian Journal of Rural Health </w:t>
      </w:r>
      <w:r>
        <w:rPr>
          <w:rFonts w:cs="Arial"/>
        </w:rPr>
        <w:t>257, 259–</w:t>
      </w:r>
      <w:r w:rsidRPr="00AB6E9E">
        <w:rPr>
          <w:rFonts w:cs="Arial"/>
        </w:rPr>
        <w:t>262.</w:t>
      </w:r>
    </w:p>
  </w:endnote>
  <w:endnote w:id="390">
    <w:p w:rsidR="00C3563C" w:rsidRDefault="00C3563C" w:rsidP="00B87D45">
      <w:pPr>
        <w:pStyle w:val="Testonotadichiusura"/>
      </w:pPr>
      <w:r>
        <w:rPr>
          <w:rStyle w:val="Rimandonotadichiusura"/>
        </w:rPr>
        <w:endnoteRef/>
      </w:r>
      <w:r>
        <w:t xml:space="preserve"> </w:t>
      </w:r>
      <w:r w:rsidRPr="009C790C">
        <w:rPr>
          <w:rFonts w:cs="Arial"/>
        </w:rPr>
        <w:t xml:space="preserve">Karen Johnston, Caroline Harvey, Paula Matich, Priscilla Page, Clare Jukka, Jane Hollins, and Sarah Larkins, </w:t>
      </w:r>
      <w:r w:rsidRPr="00AB6E9E">
        <w:rPr>
          <w:rFonts w:cs="Arial"/>
        </w:rPr>
        <w:t>‘Increasing access to sexual health care for rural and regional young people: similarities and differences in the views of young people and service providers</w:t>
      </w:r>
      <w:r>
        <w:rPr>
          <w:rFonts w:cs="Arial"/>
        </w:rPr>
        <w:t>’</w:t>
      </w:r>
      <w:r w:rsidRPr="00AB6E9E">
        <w:rPr>
          <w:rFonts w:cs="Arial"/>
        </w:rPr>
        <w:t xml:space="preserve"> (2015) 23 </w:t>
      </w:r>
      <w:r w:rsidRPr="00AB6E9E">
        <w:rPr>
          <w:rFonts w:cs="Arial"/>
          <w:i/>
        </w:rPr>
        <w:t xml:space="preserve">The Australian Journal of Rural Health </w:t>
      </w:r>
      <w:r w:rsidRPr="00AB6E9E">
        <w:rPr>
          <w:rFonts w:cs="Arial"/>
        </w:rPr>
        <w:t>257, 262.</w:t>
      </w:r>
    </w:p>
  </w:endnote>
  <w:endnote w:id="391">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w:t>
      </w:r>
      <w:r>
        <w:rPr>
          <w:rFonts w:cs="Arial"/>
          <w:color w:val="222222"/>
          <w:shd w:val="clear" w:color="auto" w:fill="FFFFFF"/>
        </w:rPr>
        <w:t>Karen Johnston, Caroline Harvey, Paula Matich, Priscilla Page, Clare Jukka, Jane Hollins, and Sarah Larkins</w:t>
      </w:r>
      <w:r>
        <w:rPr>
          <w:rFonts w:cs="Arial"/>
        </w:rPr>
        <w:t>,</w:t>
      </w:r>
      <w:r w:rsidRPr="00AB6E9E">
        <w:rPr>
          <w:rFonts w:cs="Arial"/>
        </w:rPr>
        <w:t xml:space="preserve"> ‘Increasing access to sexual health care for rural and regional young people: similarities and differences in the views of young people and service providers</w:t>
      </w:r>
      <w:r>
        <w:rPr>
          <w:rFonts w:cs="Arial"/>
        </w:rPr>
        <w:t>’</w:t>
      </w:r>
      <w:r w:rsidRPr="00AB6E9E">
        <w:rPr>
          <w:rFonts w:cs="Arial"/>
        </w:rPr>
        <w:t xml:space="preserve"> (2015) 23 </w:t>
      </w:r>
      <w:r w:rsidRPr="00AB6E9E">
        <w:rPr>
          <w:rFonts w:cs="Arial"/>
          <w:i/>
        </w:rPr>
        <w:t xml:space="preserve">The Australian Journal of Rural Health </w:t>
      </w:r>
      <w:r w:rsidRPr="00AB6E9E">
        <w:rPr>
          <w:rFonts w:cs="Arial"/>
        </w:rPr>
        <w:t>257, 262.</w:t>
      </w:r>
    </w:p>
  </w:endnote>
  <w:endnote w:id="392">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w:t>
      </w:r>
      <w:r>
        <w:rPr>
          <w:rFonts w:cs="Arial"/>
        </w:rPr>
        <w:t>usan</w:t>
      </w:r>
      <w:r w:rsidRPr="00AB6E9E">
        <w:rPr>
          <w:rFonts w:cs="Arial"/>
        </w:rPr>
        <w:t xml:space="preserve"> Quine</w:t>
      </w:r>
      <w:r>
        <w:rPr>
          <w:rFonts w:cs="Arial"/>
        </w:rPr>
        <w:t>, Diana Bernard, Michael Booth, Melissa Kang, Tim Usherwood, Garth Alperstein and David Bennett,</w:t>
      </w:r>
      <w:r w:rsidRPr="00AB6E9E">
        <w:rPr>
          <w:rFonts w:cs="Arial"/>
        </w:rPr>
        <w:t xml:space="preserve"> ‘Health and access issues among Australian adolescents: A rural-urban comparison’ (2003) 3(245) </w:t>
      </w:r>
      <w:r w:rsidRPr="00AB6E9E">
        <w:rPr>
          <w:rFonts w:cs="Arial"/>
          <w:i/>
        </w:rPr>
        <w:t xml:space="preserve">Rural Remote Health </w:t>
      </w:r>
      <w:r w:rsidRPr="00AB6E9E">
        <w:rPr>
          <w:rFonts w:cs="Arial"/>
        </w:rPr>
        <w:t>1</w:t>
      </w:r>
      <w:r w:rsidRPr="00AB6E9E">
        <w:rPr>
          <w:rFonts w:cs="Arial"/>
          <w:i/>
        </w:rPr>
        <w:t>.</w:t>
      </w:r>
      <w:r w:rsidRPr="00AB6E9E">
        <w:rPr>
          <w:rFonts w:cs="Arial"/>
        </w:rPr>
        <w:t xml:space="preserve"> </w:t>
      </w:r>
    </w:p>
  </w:endnote>
  <w:endnote w:id="393">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w:t>
      </w:r>
      <w:r>
        <w:rPr>
          <w:rFonts w:cs="Arial"/>
        </w:rPr>
        <w:t>usan</w:t>
      </w:r>
      <w:r w:rsidRPr="00AB6E9E">
        <w:rPr>
          <w:rFonts w:cs="Arial"/>
        </w:rPr>
        <w:t xml:space="preserve"> Quine</w:t>
      </w:r>
      <w:r>
        <w:rPr>
          <w:rFonts w:cs="Arial"/>
        </w:rPr>
        <w:t>, Diana Bernard, Michael Booth, Melissa Kang, Tim Usherwood, Garth Alperstein and David Bennett</w:t>
      </w:r>
      <w:r w:rsidRPr="00AB6E9E">
        <w:rPr>
          <w:rFonts w:cs="Arial"/>
        </w:rPr>
        <w:t xml:space="preserve">, ‘Health and access issues among Australian adolescents: A rural-urban comparison’ (2003) 3(245) </w:t>
      </w:r>
      <w:r w:rsidRPr="00AB6E9E">
        <w:rPr>
          <w:rFonts w:cs="Arial"/>
          <w:i/>
        </w:rPr>
        <w:t>Rural Remote Health</w:t>
      </w:r>
      <w:r w:rsidRPr="00AB6E9E">
        <w:rPr>
          <w:rFonts w:cs="Arial"/>
        </w:rPr>
        <w:t xml:space="preserve"> 1, 5.</w:t>
      </w:r>
    </w:p>
  </w:endnote>
  <w:endnote w:id="394">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w:t>
      </w:r>
      <w:r>
        <w:rPr>
          <w:rFonts w:cs="Arial"/>
        </w:rPr>
        <w:t>usan</w:t>
      </w:r>
      <w:r w:rsidRPr="00AB6E9E">
        <w:rPr>
          <w:rFonts w:cs="Arial"/>
        </w:rPr>
        <w:t xml:space="preserve"> Quine</w:t>
      </w:r>
      <w:r>
        <w:rPr>
          <w:rFonts w:cs="Arial"/>
        </w:rPr>
        <w:t>, Diana Bernard, Michael Booth, Melissa Kang, Tim Usherwood, Garth Alperstein and David Bennett</w:t>
      </w:r>
      <w:r w:rsidRPr="00AB6E9E">
        <w:rPr>
          <w:rFonts w:cs="Arial"/>
        </w:rPr>
        <w:t xml:space="preserve">, ‘Health and access issues among Australian adolescents: A rural-urban comparison’ (2003) 3(245) </w:t>
      </w:r>
      <w:r w:rsidRPr="00AB6E9E">
        <w:rPr>
          <w:rFonts w:cs="Arial"/>
          <w:i/>
        </w:rPr>
        <w:t>Rural Remote Health</w:t>
      </w:r>
      <w:r w:rsidRPr="00AB6E9E">
        <w:rPr>
          <w:rFonts w:cs="Arial"/>
        </w:rPr>
        <w:t xml:space="preserve"> 1, 8.</w:t>
      </w:r>
    </w:p>
  </w:endnote>
  <w:endnote w:id="395">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w:t>
      </w:r>
      <w:r>
        <w:rPr>
          <w:rFonts w:cs="Arial"/>
        </w:rPr>
        <w:t>usan</w:t>
      </w:r>
      <w:r w:rsidRPr="00AB6E9E">
        <w:rPr>
          <w:rFonts w:cs="Arial"/>
        </w:rPr>
        <w:t xml:space="preserve"> Quine</w:t>
      </w:r>
      <w:r>
        <w:rPr>
          <w:rFonts w:cs="Arial"/>
        </w:rPr>
        <w:t>, Diana Bernard, Michael Booth, Melissa Kang, Tim Usherwood, Garth Alperstein and David Bennett</w:t>
      </w:r>
      <w:r w:rsidRPr="00AB6E9E">
        <w:rPr>
          <w:rFonts w:cs="Arial"/>
        </w:rPr>
        <w:t xml:space="preserve">, ‘Health and access issues among Australian adolescents: A rural-urban comparison’ (2003) 3(245) </w:t>
      </w:r>
      <w:r w:rsidRPr="00AB6E9E">
        <w:rPr>
          <w:rFonts w:cs="Arial"/>
          <w:i/>
        </w:rPr>
        <w:t>Rural Remote Health</w:t>
      </w:r>
      <w:r w:rsidRPr="00AB6E9E">
        <w:rPr>
          <w:rFonts w:cs="Arial"/>
        </w:rPr>
        <w:t xml:space="preserve"> 1, 5.</w:t>
      </w:r>
    </w:p>
  </w:endnote>
  <w:endnote w:id="396">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w:t>
      </w:r>
      <w:r>
        <w:rPr>
          <w:rFonts w:cs="Arial"/>
        </w:rPr>
        <w:t>usan</w:t>
      </w:r>
      <w:r w:rsidRPr="00AB6E9E">
        <w:rPr>
          <w:rFonts w:cs="Arial"/>
        </w:rPr>
        <w:t xml:space="preserve"> Quine</w:t>
      </w:r>
      <w:r>
        <w:rPr>
          <w:rFonts w:cs="Arial"/>
        </w:rPr>
        <w:t>, Diana Bernard, Michael Booth, Melissa Kang, Tim Usherwood, Garth Alperstein and David Bennett</w:t>
      </w:r>
      <w:r w:rsidRPr="00AB6E9E">
        <w:rPr>
          <w:rFonts w:cs="Arial"/>
        </w:rPr>
        <w:t xml:space="preserve">, ‘Health and access issues among Australian adolescents: A rural-urban comparison’ (2003) 3(245) </w:t>
      </w:r>
      <w:r w:rsidRPr="00AB6E9E">
        <w:rPr>
          <w:rFonts w:cs="Arial"/>
          <w:i/>
        </w:rPr>
        <w:t>Rural Remote Health</w:t>
      </w:r>
      <w:r w:rsidRPr="00AB6E9E">
        <w:rPr>
          <w:rFonts w:cs="Arial"/>
        </w:rPr>
        <w:t xml:space="preserve"> 1, 7.</w:t>
      </w:r>
    </w:p>
  </w:endnote>
  <w:endnote w:id="397">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w:t>
      </w:r>
      <w:r>
        <w:rPr>
          <w:rFonts w:cs="Arial"/>
        </w:rPr>
        <w:t>usan</w:t>
      </w:r>
      <w:r w:rsidRPr="00AB6E9E">
        <w:rPr>
          <w:rFonts w:cs="Arial"/>
        </w:rPr>
        <w:t xml:space="preserve"> Quine</w:t>
      </w:r>
      <w:r>
        <w:rPr>
          <w:rFonts w:cs="Arial"/>
        </w:rPr>
        <w:t>, Diana Bernard, Michael Booth, Melissa Kang, Tim Usherwood, Garth Alperstein and David Bennett</w:t>
      </w:r>
      <w:r w:rsidRPr="00AB6E9E">
        <w:rPr>
          <w:rFonts w:cs="Arial"/>
        </w:rPr>
        <w:t xml:space="preserve">, ‘Health and access issues among Australian adolescents: A rural-urban comparison’ (2003) 3(245) </w:t>
      </w:r>
      <w:r w:rsidRPr="00AB6E9E">
        <w:rPr>
          <w:rFonts w:cs="Arial"/>
          <w:i/>
        </w:rPr>
        <w:t>Rural Remote Health</w:t>
      </w:r>
      <w:r w:rsidRPr="00AB6E9E">
        <w:rPr>
          <w:rFonts w:cs="Arial"/>
        </w:rPr>
        <w:t xml:space="preserve"> 1, 5.</w:t>
      </w:r>
    </w:p>
  </w:endnote>
  <w:endnote w:id="398">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w:t>
      </w:r>
      <w:r>
        <w:rPr>
          <w:rFonts w:cs="Arial"/>
        </w:rPr>
        <w:t>usan</w:t>
      </w:r>
      <w:r w:rsidRPr="00AB6E9E">
        <w:rPr>
          <w:rFonts w:cs="Arial"/>
        </w:rPr>
        <w:t xml:space="preserve"> Quine</w:t>
      </w:r>
      <w:r>
        <w:rPr>
          <w:rFonts w:cs="Arial"/>
        </w:rPr>
        <w:t>, Diana Bernard, Michael Booth, Melissa Kang, Tim Usherwood, Garth Alperstein and David Bennett</w:t>
      </w:r>
      <w:r w:rsidRPr="00AB6E9E">
        <w:rPr>
          <w:rFonts w:cs="Arial"/>
        </w:rPr>
        <w:t xml:space="preserve">, ‘Health and access issues among Australian adolescents: A rural-urban comparison’ (2003) 3(245) </w:t>
      </w:r>
      <w:r w:rsidRPr="00AB6E9E">
        <w:rPr>
          <w:rFonts w:cs="Arial"/>
          <w:i/>
        </w:rPr>
        <w:t>Rural Remote Health</w:t>
      </w:r>
      <w:r w:rsidRPr="00AB6E9E">
        <w:rPr>
          <w:rFonts w:cs="Arial"/>
        </w:rPr>
        <w:t xml:space="preserve"> 1, 5</w:t>
      </w:r>
      <w:r>
        <w:rPr>
          <w:rFonts w:cs="Arial"/>
        </w:rPr>
        <w:t>–</w:t>
      </w:r>
      <w:r w:rsidRPr="00AB6E9E">
        <w:rPr>
          <w:rFonts w:cs="Arial"/>
        </w:rPr>
        <w:t>6.</w:t>
      </w:r>
    </w:p>
  </w:endnote>
  <w:endnote w:id="399">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w:t>
      </w:r>
      <w:r>
        <w:rPr>
          <w:rFonts w:cs="Arial"/>
        </w:rPr>
        <w:t>usan</w:t>
      </w:r>
      <w:r w:rsidRPr="00AB6E9E">
        <w:rPr>
          <w:rFonts w:cs="Arial"/>
        </w:rPr>
        <w:t xml:space="preserve"> Quine</w:t>
      </w:r>
      <w:r>
        <w:rPr>
          <w:rFonts w:cs="Arial"/>
        </w:rPr>
        <w:t>, Diana Bernard, Michael Booth, Melissa Kang, Tim Usherwood, Garth Alperstein and David Bennett</w:t>
      </w:r>
      <w:r w:rsidRPr="00AB6E9E">
        <w:rPr>
          <w:rFonts w:cs="Arial"/>
        </w:rPr>
        <w:t xml:space="preserve">, ‘Health and access issues among Australian adolescents: A rural-urban comparison’ (2003) 3(245) </w:t>
      </w:r>
      <w:r w:rsidRPr="00AB6E9E">
        <w:rPr>
          <w:rFonts w:cs="Arial"/>
          <w:i/>
        </w:rPr>
        <w:t>Rural Remote Health</w:t>
      </w:r>
      <w:r w:rsidRPr="00AB6E9E">
        <w:rPr>
          <w:rFonts w:cs="Arial"/>
        </w:rPr>
        <w:t xml:space="preserve"> 1, 6.</w:t>
      </w:r>
    </w:p>
  </w:endnote>
  <w:endnote w:id="400">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S</w:t>
      </w:r>
      <w:r>
        <w:rPr>
          <w:rFonts w:cs="Arial"/>
        </w:rPr>
        <w:t>usan</w:t>
      </w:r>
      <w:r w:rsidRPr="00AB6E9E">
        <w:rPr>
          <w:rFonts w:cs="Arial"/>
        </w:rPr>
        <w:t xml:space="preserve"> Quine</w:t>
      </w:r>
      <w:r>
        <w:rPr>
          <w:rFonts w:cs="Arial"/>
        </w:rPr>
        <w:t>, Diana Bernard, Michael Booth, Melissa Kang, Tim Usherwood, Garth Alperstein and David Bennett</w:t>
      </w:r>
      <w:r w:rsidRPr="00AB6E9E">
        <w:rPr>
          <w:rFonts w:cs="Arial"/>
        </w:rPr>
        <w:t xml:space="preserve">, ‘Health and access issues among Australian adolescents: A rural-urban comparison’ (2003) 3(245) </w:t>
      </w:r>
      <w:r w:rsidRPr="00AB6E9E">
        <w:rPr>
          <w:rFonts w:cs="Arial"/>
          <w:i/>
        </w:rPr>
        <w:t>Rural Remote Health</w:t>
      </w:r>
      <w:r>
        <w:rPr>
          <w:rFonts w:cs="Arial"/>
        </w:rPr>
        <w:t xml:space="preserve"> 1, 8–</w:t>
      </w:r>
      <w:r w:rsidRPr="00AB6E9E">
        <w:rPr>
          <w:rFonts w:cs="Arial"/>
        </w:rPr>
        <w:t>9</w:t>
      </w:r>
      <w:r w:rsidRPr="001A2BEB">
        <w:rPr>
          <w:rFonts w:cs="Arial"/>
        </w:rPr>
        <w:t>; Lynne Hillier, Lyn Harrison and Deborah Warr,</w:t>
      </w:r>
      <w:r w:rsidRPr="00AB6E9E">
        <w:rPr>
          <w:rFonts w:cs="Arial"/>
        </w:rPr>
        <w:t xml:space="preserve"> ‘When you carry condoms all the boys think you want it: negotiating competing discourses about safe sex’ (1998) (21) </w:t>
      </w:r>
      <w:r w:rsidRPr="00AB6E9E">
        <w:rPr>
          <w:rFonts w:cs="Arial"/>
          <w:i/>
        </w:rPr>
        <w:t>Journal of Adolescence</w:t>
      </w:r>
      <w:r w:rsidRPr="00AB6E9E">
        <w:rPr>
          <w:rFonts w:cs="Arial"/>
        </w:rPr>
        <w:t xml:space="preserve"> 15 cited in S Quine</w:t>
      </w:r>
      <w:r>
        <w:rPr>
          <w:rFonts w:cs="Arial"/>
        </w:rPr>
        <w:t>, D Bernard, M Booth, M Kang, T Usherwood, G Alperstein and D Bennett</w:t>
      </w:r>
      <w:r w:rsidRPr="00AB6E9E">
        <w:rPr>
          <w:rFonts w:cs="Arial"/>
        </w:rPr>
        <w:t xml:space="preserve">, ‘Health and access issues among Australian adolescents: A rural-urban comparison’ (2003) 3(245) </w:t>
      </w:r>
      <w:r w:rsidRPr="00AB6E9E">
        <w:rPr>
          <w:rFonts w:cs="Arial"/>
          <w:i/>
        </w:rPr>
        <w:t>Rural Remote Health</w:t>
      </w:r>
      <w:r w:rsidRPr="00AB6E9E">
        <w:rPr>
          <w:rFonts w:cs="Arial"/>
        </w:rPr>
        <w:t xml:space="preserve"> 1, 8. </w:t>
      </w:r>
    </w:p>
  </w:endnote>
  <w:endnote w:id="401">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Jennifer </w:t>
      </w:r>
      <w:r w:rsidRPr="00AB6E9E">
        <w:rPr>
          <w:rFonts w:cs="Arial"/>
        </w:rPr>
        <w:t>Marino</w:t>
      </w:r>
      <w:r>
        <w:rPr>
          <w:rFonts w:cs="Arial"/>
        </w:rPr>
        <w:t>, Lucy Lewis, Deborah Bateson, Martha Hickey and Rachel Skinner</w:t>
      </w:r>
      <w:r w:rsidRPr="00AB6E9E">
        <w:rPr>
          <w:rFonts w:cs="Arial"/>
        </w:rPr>
        <w:t xml:space="preserve">, ‘Teenage Mothers’ (2016) 45(10) </w:t>
      </w:r>
      <w:r w:rsidRPr="00AB6E9E">
        <w:rPr>
          <w:rFonts w:cs="Arial"/>
          <w:i/>
        </w:rPr>
        <w:t>Australian Family Physician</w:t>
      </w:r>
      <w:r w:rsidRPr="00AB6E9E">
        <w:rPr>
          <w:rFonts w:cs="Arial"/>
        </w:rPr>
        <w:t xml:space="preserve"> 712, 714; </w:t>
      </w:r>
      <w:r>
        <w:rPr>
          <w:rFonts w:cs="Arial"/>
          <w:shd w:val="clear" w:color="auto" w:fill="FFFFFF"/>
        </w:rPr>
        <w:t xml:space="preserve">Michael Booth, Diana Bernard, Susan Quine and David Bennett, </w:t>
      </w:r>
      <w:r w:rsidRPr="00AB6E9E">
        <w:rPr>
          <w:rFonts w:cs="Arial"/>
          <w:shd w:val="clear" w:color="auto" w:fill="FFFFFF"/>
        </w:rPr>
        <w:t xml:space="preserve">‘Access to Health Care Among Australian Adolescents Young People’s Perspectives and their Sociodemographic Distribution’ (2004) 34(1) </w:t>
      </w:r>
      <w:r w:rsidRPr="00AB6E9E">
        <w:rPr>
          <w:rFonts w:cs="Arial"/>
          <w:i/>
          <w:shd w:val="clear" w:color="auto" w:fill="FFFFFF"/>
        </w:rPr>
        <w:t>Journal of Adolescent Health</w:t>
      </w:r>
      <w:r w:rsidRPr="00AB6E9E">
        <w:rPr>
          <w:rFonts w:cs="Arial"/>
          <w:shd w:val="clear" w:color="auto" w:fill="FFFFFF"/>
        </w:rPr>
        <w:t xml:space="preserve"> 97. </w:t>
      </w:r>
    </w:p>
  </w:endnote>
  <w:endnote w:id="402">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w:t>
      </w:r>
      <w:r w:rsidRPr="00AB6E9E">
        <w:rPr>
          <w:rFonts w:cs="Arial"/>
        </w:rPr>
        <w:t>Jennifer Marino</w:t>
      </w:r>
      <w:r>
        <w:rPr>
          <w:rFonts w:cs="Arial"/>
        </w:rPr>
        <w:t>, Lucy Lewis, Deborah Bateson, Martha Hickey and Rachel Skinner</w:t>
      </w:r>
      <w:r w:rsidRPr="00AB6E9E">
        <w:rPr>
          <w:rFonts w:cs="Arial"/>
        </w:rPr>
        <w:t xml:space="preserve">, ‘Teenage Mothers’ (2016) 45(10) </w:t>
      </w:r>
      <w:r w:rsidRPr="00AB6E9E">
        <w:rPr>
          <w:rFonts w:cs="Arial"/>
          <w:i/>
        </w:rPr>
        <w:t>Australian Family Physician</w:t>
      </w:r>
      <w:r w:rsidRPr="00AB6E9E">
        <w:rPr>
          <w:rFonts w:cs="Arial"/>
        </w:rPr>
        <w:t xml:space="preserve"> 712, 714; </w:t>
      </w:r>
      <w:r>
        <w:rPr>
          <w:rFonts w:cs="Arial"/>
          <w:shd w:val="clear" w:color="auto" w:fill="FFFFFF"/>
        </w:rPr>
        <w:t>Michael Booth, Diana Bernard, Susan Quine and David Bennett,</w:t>
      </w:r>
      <w:r w:rsidRPr="00AB6E9E">
        <w:rPr>
          <w:rFonts w:cs="Arial"/>
          <w:shd w:val="clear" w:color="auto" w:fill="FFFFFF"/>
        </w:rPr>
        <w:t xml:space="preserve"> ‘Access to Health Care Among Australian Adolescents Young People’s Perspectives and their Sociodemographic Distribution’ (2004) 34(1) </w:t>
      </w:r>
      <w:r w:rsidRPr="00AB6E9E">
        <w:rPr>
          <w:rFonts w:cs="Arial"/>
          <w:i/>
          <w:shd w:val="clear" w:color="auto" w:fill="FFFFFF"/>
        </w:rPr>
        <w:t>Journal of Adolescent Health</w:t>
      </w:r>
      <w:r w:rsidRPr="00AB6E9E">
        <w:rPr>
          <w:rFonts w:cs="Arial"/>
          <w:shd w:val="clear" w:color="auto" w:fill="FFFFFF"/>
        </w:rPr>
        <w:t xml:space="preserve"> 97. </w:t>
      </w:r>
    </w:p>
  </w:endnote>
  <w:endnote w:id="403">
    <w:p w:rsidR="00C3563C" w:rsidRPr="00E77FA6" w:rsidRDefault="00C3563C" w:rsidP="00B87D45">
      <w:pPr>
        <w:pStyle w:val="Testonotadichiusura"/>
        <w:rPr>
          <w:rFonts w:cs="Arial"/>
        </w:rPr>
      </w:pPr>
      <w:r w:rsidRPr="00AB6E9E">
        <w:rPr>
          <w:rStyle w:val="Rimandonotadichiusura"/>
          <w:rFonts w:cs="Arial"/>
        </w:rPr>
        <w:endnoteRef/>
      </w:r>
      <w:r>
        <w:rPr>
          <w:rFonts w:cs="Arial"/>
        </w:rPr>
        <w:t xml:space="preserve"> Jennifer </w:t>
      </w:r>
      <w:r w:rsidRPr="00AB6E9E">
        <w:rPr>
          <w:rFonts w:cs="Arial"/>
        </w:rPr>
        <w:t>Marino</w:t>
      </w:r>
      <w:r>
        <w:rPr>
          <w:rFonts w:cs="Arial"/>
        </w:rPr>
        <w:t>, Lucy Lewis, Deborah Bateson, Martha Hickey and Rachel Skinner</w:t>
      </w:r>
      <w:r w:rsidRPr="00AB6E9E">
        <w:rPr>
          <w:rFonts w:cs="Arial"/>
        </w:rPr>
        <w:t xml:space="preserve">, ‘Teenage Mothers’ (2016) 45(10) </w:t>
      </w:r>
      <w:r w:rsidRPr="00AB6E9E">
        <w:rPr>
          <w:rFonts w:cs="Arial"/>
          <w:i/>
        </w:rPr>
        <w:t>Australian Family Physician</w:t>
      </w:r>
      <w:r w:rsidRPr="00AB6E9E">
        <w:rPr>
          <w:rFonts w:cs="Arial"/>
        </w:rPr>
        <w:t xml:space="preserve"> 712, 712; Heidi Hoffman and Sergi Vidal, ‘Supporting Teen Families: An Assessment of Youth Childbearing in Australia and Early Interventions to Improve Education Outcomes of Young Parents’ (Working Paper </w:t>
      </w:r>
      <w:r w:rsidRPr="00E77FA6">
        <w:rPr>
          <w:rFonts w:cs="Arial"/>
        </w:rPr>
        <w:t>No 12, Australian Research Council Centre of Excellence for Children and Families over the Life Course, June 2017) 5.</w:t>
      </w:r>
    </w:p>
  </w:endnote>
  <w:endnote w:id="404">
    <w:p w:rsidR="00C3563C" w:rsidRPr="00AB6E9E" w:rsidRDefault="00C3563C" w:rsidP="00B87D45">
      <w:pPr>
        <w:pStyle w:val="Testonotadichiusura"/>
        <w:rPr>
          <w:rFonts w:cs="Arial"/>
        </w:rPr>
      </w:pPr>
      <w:r w:rsidRPr="00E77FA6">
        <w:rPr>
          <w:rStyle w:val="Rimandonotadichiusura"/>
          <w:rFonts w:cs="Arial"/>
        </w:rPr>
        <w:endnoteRef/>
      </w:r>
      <w:r w:rsidRPr="00E77FA6">
        <w:rPr>
          <w:rFonts w:cs="Arial"/>
        </w:rPr>
        <w:t xml:space="preserve"> Heidi Hoffman and Sergi Vidal, ‘Supporting Teen Families: An Assessment of Youth Childbearing in Australia and Early Interventions to Improve Education Outcomes of Young Parents’ (Working Paper No 12, Australian Research Council Centre of Excellence for Children and Families over the Life Course, June 2017) 4; C</w:t>
      </w:r>
      <w:r>
        <w:rPr>
          <w:rFonts w:cs="Arial"/>
        </w:rPr>
        <w:t>arolinede</w:t>
      </w:r>
      <w:r w:rsidRPr="00E77FA6">
        <w:rPr>
          <w:rFonts w:cs="Arial"/>
        </w:rPr>
        <w:t xml:space="preserve"> Costa</w:t>
      </w:r>
      <w:r>
        <w:rPr>
          <w:rFonts w:cs="Arial"/>
        </w:rPr>
        <w:t>, Heather Douglas, Julie Hamblin, Philippa Ramsay and Mandy Shircore,</w:t>
      </w:r>
      <w:r w:rsidRPr="00E77FA6">
        <w:rPr>
          <w:rFonts w:cs="Arial"/>
        </w:rPr>
        <w:t xml:space="preserve"> ‘Abortion law across Australia </w:t>
      </w:r>
      <w:r>
        <w:rPr>
          <w:rFonts w:cs="Arial"/>
        </w:rPr>
        <w:t>—</w:t>
      </w:r>
      <w:r w:rsidRPr="00E77FA6">
        <w:rPr>
          <w:rFonts w:cs="Arial"/>
        </w:rPr>
        <w:t xml:space="preserve"> a review of nine jurisdictions’, (2015) 55(2) </w:t>
      </w:r>
      <w:r w:rsidRPr="00E77FA6">
        <w:rPr>
          <w:rFonts w:cs="Arial"/>
          <w:i/>
        </w:rPr>
        <w:t>Australian and New Zealand Journal of Obstetrics and Gynaecology</w:t>
      </w:r>
      <w:r w:rsidRPr="00E77FA6">
        <w:rPr>
          <w:rFonts w:cs="Arial"/>
        </w:rPr>
        <w:t>, 105 cited in Heidi Hoffman and Sergi Vidal, ‘Supporting Teen Families: An Assessment of Youth Childbearing in Australia and Early Interventions to Improve Education Outcomes of Young Parents’ (Working Paper No 12, Australian Research Council Centre of Excellence for Children and Families over the Life Course, June 2017) 5</w:t>
      </w:r>
      <w:r>
        <w:rPr>
          <w:rFonts w:cs="Arial"/>
        </w:rPr>
        <w:t>.</w:t>
      </w:r>
    </w:p>
  </w:endnote>
  <w:endnote w:id="405">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Caroline de Moel-Mandel and Julia Shelley, ‘The legal and non-legal barriers to abortion access in Austr</w:t>
      </w:r>
      <w:r>
        <w:rPr>
          <w:rFonts w:cs="Arial"/>
        </w:rPr>
        <w:t>alia: a review of the evidence’</w:t>
      </w:r>
      <w:r w:rsidRPr="00DD3E2C">
        <w:rPr>
          <w:rFonts w:cs="Arial"/>
        </w:rPr>
        <w:t xml:space="preserve"> </w:t>
      </w:r>
      <w:r w:rsidRPr="00AB6E9E">
        <w:rPr>
          <w:rFonts w:cs="Arial"/>
        </w:rPr>
        <w:t>(2017</w:t>
      </w:r>
      <w:r>
        <w:rPr>
          <w:rFonts w:cs="Arial"/>
        </w:rPr>
        <w:t>) 22 (2)</w:t>
      </w:r>
      <w:r w:rsidRPr="00AB6E9E">
        <w:rPr>
          <w:rFonts w:cs="Arial"/>
        </w:rPr>
        <w:t xml:space="preserve"> </w:t>
      </w:r>
      <w:r w:rsidRPr="00AB6E9E">
        <w:rPr>
          <w:rFonts w:cs="Arial"/>
          <w:i/>
        </w:rPr>
        <w:t xml:space="preserve">The European Journal of Contraception </w:t>
      </w:r>
      <w:r>
        <w:rPr>
          <w:rFonts w:cs="Arial"/>
          <w:i/>
        </w:rPr>
        <w:t>and</w:t>
      </w:r>
      <w:r w:rsidRPr="00AB6E9E">
        <w:rPr>
          <w:rFonts w:cs="Arial"/>
          <w:i/>
        </w:rPr>
        <w:t xml:space="preserve"> Reproductive Health Care</w:t>
      </w:r>
      <w:r>
        <w:rPr>
          <w:rFonts w:cs="Arial"/>
        </w:rPr>
        <w:t xml:space="preserve"> 114</w:t>
      </w:r>
      <w:r w:rsidRPr="00AB6E9E">
        <w:rPr>
          <w:rFonts w:cs="Arial"/>
        </w:rPr>
        <w:t xml:space="preserve">,116. </w:t>
      </w:r>
    </w:p>
  </w:endnote>
  <w:endnote w:id="406">
    <w:p w:rsidR="00C3563C" w:rsidRPr="00AB6E9E" w:rsidRDefault="00C3563C" w:rsidP="00B87D45">
      <w:pPr>
        <w:pStyle w:val="Pa12"/>
        <w:rPr>
          <w:rFonts w:ascii="Arial" w:hAnsi="Arial" w:cs="Arial"/>
          <w:color w:val="000000"/>
          <w:sz w:val="20"/>
          <w:szCs w:val="20"/>
        </w:rPr>
      </w:pPr>
      <w:r w:rsidRPr="00AB6E9E">
        <w:rPr>
          <w:rStyle w:val="Rimandonotadichiusura"/>
          <w:rFonts w:cs="Arial"/>
          <w:szCs w:val="20"/>
        </w:rPr>
        <w:endnoteRef/>
      </w:r>
      <w:r w:rsidRPr="00AB6E9E">
        <w:rPr>
          <w:rFonts w:ascii="Arial" w:hAnsi="Arial" w:cs="Arial"/>
          <w:sz w:val="20"/>
          <w:szCs w:val="20"/>
        </w:rPr>
        <w:t xml:space="preserve"> </w:t>
      </w:r>
      <w:r w:rsidRPr="00AB6E9E">
        <w:rPr>
          <w:rFonts w:ascii="Arial" w:hAnsi="Arial" w:cs="Arial"/>
          <w:color w:val="000000"/>
          <w:sz w:val="20"/>
          <w:szCs w:val="20"/>
        </w:rPr>
        <w:t xml:space="preserve">Wendy Scheil, Kerry Jolly, Joan Scott, Britt Catcheside, Leonie Sage and Robyn Kennare </w:t>
      </w:r>
      <w:r w:rsidRPr="00AB6E9E">
        <w:rPr>
          <w:rFonts w:ascii="Arial" w:hAnsi="Arial" w:cs="Arial"/>
          <w:sz w:val="20"/>
          <w:szCs w:val="20"/>
        </w:rPr>
        <w:t xml:space="preserve">‘Pregnancy Outcome in South Australia in 2014’, Government of South Australia, (2016), 12. </w:t>
      </w:r>
    </w:p>
  </w:endnote>
  <w:endnote w:id="407">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Victorian Law Reform Commission, ‘Law of Abortion: Final Report’, Victorian Law Reform Commission, (2008), 32.</w:t>
      </w:r>
    </w:p>
  </w:endnote>
  <w:endnote w:id="408">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Annabelle Chan and Leonie Sage, ‘Estimating </w:t>
      </w:r>
      <w:r>
        <w:rPr>
          <w:rFonts w:cs="Arial"/>
        </w:rPr>
        <w:t>Australia’s abortion rates 1985–2003’</w:t>
      </w:r>
      <w:r w:rsidRPr="00AB6E9E">
        <w:rPr>
          <w:rFonts w:cs="Arial"/>
        </w:rPr>
        <w:t xml:space="preserve"> </w:t>
      </w:r>
      <w:r>
        <w:rPr>
          <w:rFonts w:cs="Arial"/>
        </w:rPr>
        <w:t xml:space="preserve">(2005) 182(9) </w:t>
      </w:r>
      <w:r w:rsidRPr="00AB6E9E">
        <w:rPr>
          <w:rFonts w:cs="Arial"/>
          <w:i/>
        </w:rPr>
        <w:t>Medical Journal of Australia</w:t>
      </w:r>
      <w:r>
        <w:rPr>
          <w:rFonts w:cs="Arial"/>
        </w:rPr>
        <w:t xml:space="preserve"> 447, 450</w:t>
      </w:r>
      <w:r w:rsidRPr="00AB6E9E">
        <w:rPr>
          <w:rFonts w:cs="Arial"/>
        </w:rPr>
        <w:t>.</w:t>
      </w:r>
    </w:p>
  </w:endnote>
  <w:endnote w:id="409">
    <w:p w:rsidR="00C3563C" w:rsidRDefault="00C3563C" w:rsidP="00B87D45">
      <w:pPr>
        <w:pStyle w:val="Testonotadichiusura"/>
      </w:pPr>
      <w:r>
        <w:rPr>
          <w:rStyle w:val="Rimandonotadichiusura"/>
        </w:rPr>
        <w:endnoteRef/>
      </w:r>
      <w:r>
        <w:t xml:space="preserve"> </w:t>
      </w:r>
      <w:r w:rsidRPr="00AB6E9E">
        <w:rPr>
          <w:rFonts w:cs="Arial"/>
        </w:rPr>
        <w:t xml:space="preserve">Annabelle Chan and Leonie Sage, ‘Estimating </w:t>
      </w:r>
      <w:r>
        <w:rPr>
          <w:rFonts w:cs="Arial"/>
        </w:rPr>
        <w:t>Australia’s abortion rates 1985–2003’</w:t>
      </w:r>
      <w:r w:rsidRPr="00AB6E9E">
        <w:rPr>
          <w:rFonts w:cs="Arial"/>
        </w:rPr>
        <w:t xml:space="preserve"> </w:t>
      </w:r>
      <w:r>
        <w:rPr>
          <w:rFonts w:cs="Arial"/>
        </w:rPr>
        <w:t xml:space="preserve">(2005) 182(9) </w:t>
      </w:r>
      <w:r w:rsidRPr="00AB6E9E">
        <w:rPr>
          <w:rFonts w:cs="Arial"/>
          <w:i/>
        </w:rPr>
        <w:t>Medical Journal of Australia</w:t>
      </w:r>
      <w:r>
        <w:rPr>
          <w:rFonts w:cs="Arial"/>
        </w:rPr>
        <w:t xml:space="preserve"> 447, 450</w:t>
      </w:r>
      <w:r w:rsidRPr="00AB6E9E">
        <w:rPr>
          <w:rFonts w:cs="Arial"/>
        </w:rPr>
        <w:t>.</w:t>
      </w:r>
    </w:p>
  </w:endnote>
  <w:endnote w:id="410">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Annabelle Chan and Leonie Sage, ‘Estimating </w:t>
      </w:r>
      <w:r>
        <w:rPr>
          <w:rFonts w:cs="Arial"/>
        </w:rPr>
        <w:t>Australia’s abortion rates 1985–2003’</w:t>
      </w:r>
      <w:r w:rsidRPr="00AB6E9E">
        <w:rPr>
          <w:rFonts w:cs="Arial"/>
        </w:rPr>
        <w:t xml:space="preserve"> </w:t>
      </w:r>
      <w:r>
        <w:rPr>
          <w:rFonts w:cs="Arial"/>
        </w:rPr>
        <w:t xml:space="preserve">(2005) 182(9) </w:t>
      </w:r>
      <w:r w:rsidRPr="00AB6E9E">
        <w:rPr>
          <w:rFonts w:cs="Arial"/>
          <w:i/>
        </w:rPr>
        <w:t>Medical Journal of Australia</w:t>
      </w:r>
      <w:r>
        <w:rPr>
          <w:rFonts w:cs="Arial"/>
        </w:rPr>
        <w:t xml:space="preserve"> 447, 450</w:t>
      </w:r>
      <w:r w:rsidRPr="00AB6E9E">
        <w:rPr>
          <w:rFonts w:cs="Arial"/>
        </w:rPr>
        <w:t>.</w:t>
      </w:r>
    </w:p>
  </w:endnote>
  <w:endnote w:id="411">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Angela Taft and Lyndsey </w:t>
      </w:r>
      <w:r w:rsidRPr="00AB6E9E">
        <w:rPr>
          <w:rFonts w:cs="Arial"/>
        </w:rPr>
        <w:t xml:space="preserve">Watson, ‘Termination of pregnancy: associations with partner violence and other factors in a national cohort of young Australian women’ (2007) 31(2) </w:t>
      </w:r>
      <w:r w:rsidRPr="00AB6E9E">
        <w:rPr>
          <w:rFonts w:cs="Arial"/>
          <w:i/>
        </w:rPr>
        <w:t>Australian and New Zealand Journal of Public Health</w:t>
      </w:r>
      <w:r w:rsidRPr="00AB6E9E">
        <w:rPr>
          <w:rFonts w:cs="Arial"/>
        </w:rPr>
        <w:t xml:space="preserve"> 135, 141.</w:t>
      </w:r>
    </w:p>
  </w:endnote>
  <w:endnote w:id="412">
    <w:p w:rsidR="00C3563C" w:rsidRDefault="00C3563C" w:rsidP="00B87D45">
      <w:pPr>
        <w:pStyle w:val="Testonotadichiusura"/>
      </w:pPr>
      <w:r>
        <w:rPr>
          <w:rStyle w:val="Rimandonotadichiusura"/>
        </w:rPr>
        <w:endnoteRef/>
      </w:r>
      <w:r>
        <w:t xml:space="preserve"> </w:t>
      </w:r>
      <w:r>
        <w:rPr>
          <w:rFonts w:cs="Arial"/>
        </w:rPr>
        <w:t xml:space="preserve">Angela Taft and Lyndsey </w:t>
      </w:r>
      <w:r w:rsidRPr="00AB6E9E">
        <w:rPr>
          <w:rFonts w:cs="Arial"/>
        </w:rPr>
        <w:t xml:space="preserve">Watson, ‘Termination of pregnancy: associations with partner violence and other factors in a national cohort of young Australian women’ (2007) 31(2) </w:t>
      </w:r>
      <w:r w:rsidRPr="00AB6E9E">
        <w:rPr>
          <w:rFonts w:cs="Arial"/>
          <w:i/>
        </w:rPr>
        <w:t>Australian and New Zealand Journal of Public Health</w:t>
      </w:r>
      <w:r w:rsidRPr="00AB6E9E">
        <w:rPr>
          <w:rFonts w:cs="Arial"/>
        </w:rPr>
        <w:t xml:space="preserve"> 135, 141.</w:t>
      </w:r>
    </w:p>
  </w:endnote>
  <w:endnote w:id="413">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K</w:t>
      </w:r>
      <w:r>
        <w:rPr>
          <w:rFonts w:cs="Arial"/>
        </w:rPr>
        <w:t>im</w:t>
      </w:r>
      <w:r w:rsidRPr="00AB6E9E">
        <w:rPr>
          <w:rFonts w:cs="Arial"/>
        </w:rPr>
        <w:t xml:space="preserve"> Johnstone, ‘Indigenous Fertility in the Northern Territory of Australia: what do we know? (and what can we know?) (2010) 27(3) </w:t>
      </w:r>
      <w:r w:rsidRPr="00AB6E9E">
        <w:rPr>
          <w:rFonts w:cs="Arial"/>
          <w:i/>
        </w:rPr>
        <w:t xml:space="preserve">Journal of Population Research </w:t>
      </w:r>
      <w:r>
        <w:rPr>
          <w:rFonts w:cs="Arial"/>
        </w:rPr>
        <w:t>169, 187; Kerry</w:t>
      </w:r>
      <w:r w:rsidRPr="00AB6E9E">
        <w:rPr>
          <w:rFonts w:cs="Arial"/>
        </w:rPr>
        <w:t xml:space="preserve"> Arabena ‘Preachers, policies and power: The reproductive health of adolescent Aboriginal and Torres Strait Islander peoples in Australia’ (2006) 17(2) Health Promotion Journal of Australia 85</w:t>
      </w:r>
      <w:r>
        <w:rPr>
          <w:rFonts w:cs="Arial"/>
        </w:rPr>
        <w:t>,</w:t>
      </w:r>
      <w:r w:rsidRPr="00AB6E9E">
        <w:rPr>
          <w:rFonts w:cs="Arial"/>
        </w:rPr>
        <w:t xml:space="preserve"> cited in K</w:t>
      </w:r>
      <w:r>
        <w:rPr>
          <w:rFonts w:cs="Arial"/>
        </w:rPr>
        <w:t>im</w:t>
      </w:r>
      <w:r w:rsidRPr="00AB6E9E">
        <w:rPr>
          <w:rFonts w:cs="Arial"/>
        </w:rPr>
        <w:t xml:space="preserve"> Johnstone, ‘Indigenous Fertility in the Northern Territory of Australia: what do we know? (and what can we know?) (2010) 27(3) </w:t>
      </w:r>
      <w:r w:rsidRPr="00AB6E9E">
        <w:rPr>
          <w:rFonts w:cs="Arial"/>
          <w:i/>
        </w:rPr>
        <w:t xml:space="preserve">Journal of Population Research </w:t>
      </w:r>
      <w:r w:rsidRPr="00AB6E9E">
        <w:rPr>
          <w:rFonts w:cs="Arial"/>
        </w:rPr>
        <w:t xml:space="preserve">169, 187. </w:t>
      </w:r>
    </w:p>
  </w:endnote>
  <w:endnote w:id="414">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Angela Taft and Lyndsey</w:t>
      </w:r>
      <w:r w:rsidRPr="00AB6E9E">
        <w:rPr>
          <w:rFonts w:cs="Arial"/>
        </w:rPr>
        <w:t xml:space="preserve"> Watson, ‘Termination of pregnancy: associations with partner violence and other factors in a national cohort of young Australian women’ (2007) 31(2) </w:t>
      </w:r>
      <w:r w:rsidRPr="00AB6E9E">
        <w:rPr>
          <w:rFonts w:cs="Arial"/>
          <w:i/>
        </w:rPr>
        <w:t>Australian and New Zealand Journal of Public Health</w:t>
      </w:r>
      <w:r w:rsidRPr="00AB6E9E">
        <w:rPr>
          <w:rFonts w:cs="Arial"/>
        </w:rPr>
        <w:t xml:space="preserve"> 135, 142.</w:t>
      </w:r>
    </w:p>
  </w:endnote>
  <w:endnote w:id="415">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Jennifer </w:t>
      </w:r>
      <w:r w:rsidRPr="00AB6E9E">
        <w:rPr>
          <w:rFonts w:cs="Arial"/>
        </w:rPr>
        <w:t xml:space="preserve">Smith, Rachel Skinner and Jennifer Fenwick, ‘How Australian Female Adolescents Prioritize Pregnancy Protection: A Grounded Theory Study of Contraceptive Histories’ (2011) 26(5) </w:t>
      </w:r>
      <w:r w:rsidRPr="00AB6E9E">
        <w:rPr>
          <w:rFonts w:cs="Arial"/>
          <w:i/>
        </w:rPr>
        <w:t>Journal of Adolescent Research</w:t>
      </w:r>
      <w:r>
        <w:rPr>
          <w:rFonts w:cs="Arial"/>
        </w:rPr>
        <w:t xml:space="preserve"> 617, 634.</w:t>
      </w:r>
      <w:r w:rsidRPr="00AB6E9E">
        <w:rPr>
          <w:rFonts w:cs="Arial"/>
        </w:rPr>
        <w:t xml:space="preserve"> </w:t>
      </w:r>
    </w:p>
  </w:endnote>
  <w:endnote w:id="416">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Jennifer </w:t>
      </w:r>
      <w:r w:rsidRPr="00AB6E9E">
        <w:rPr>
          <w:rFonts w:cs="Arial"/>
        </w:rPr>
        <w:t xml:space="preserve">Smith, Rachel Skinner and Jennifer Fenwick, ‘How Australian Female Adolescents Prioritize Pregnancy Protection: A Grounded Theory Study of Contraceptive Histories’ (2011) 26(5) </w:t>
      </w:r>
      <w:r w:rsidRPr="00AB6E9E">
        <w:rPr>
          <w:rFonts w:cs="Arial"/>
          <w:i/>
        </w:rPr>
        <w:t>Journal of Adolescent Research</w:t>
      </w:r>
      <w:r w:rsidRPr="00AB6E9E">
        <w:rPr>
          <w:rFonts w:cs="Arial"/>
        </w:rPr>
        <w:t xml:space="preserve"> 617, 634.</w:t>
      </w:r>
    </w:p>
  </w:endnote>
  <w:endnote w:id="417">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Jennifer </w:t>
      </w:r>
      <w:r w:rsidRPr="00AB6E9E">
        <w:rPr>
          <w:rFonts w:cs="Arial"/>
        </w:rPr>
        <w:t xml:space="preserve">Smith, Rachel Skinner and Jennifer Fenwick, ‘How Australian Female Adolescents Prioritize Pregnancy Protection: A Grounded Theory Study of Contraceptive Histories’ (2011) 26(5) </w:t>
      </w:r>
      <w:r w:rsidRPr="00AB6E9E">
        <w:rPr>
          <w:rFonts w:cs="Arial"/>
          <w:i/>
        </w:rPr>
        <w:t>Journal of Adolescent Research</w:t>
      </w:r>
      <w:r>
        <w:rPr>
          <w:rFonts w:cs="Arial"/>
        </w:rPr>
        <w:t xml:space="preserve"> 617, 626–</w:t>
      </w:r>
      <w:r w:rsidRPr="00AB6E9E">
        <w:rPr>
          <w:rFonts w:cs="Arial"/>
        </w:rPr>
        <w:t xml:space="preserve">627, 633. </w:t>
      </w:r>
    </w:p>
  </w:endnote>
  <w:endnote w:id="418">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Jennifer </w:t>
      </w:r>
      <w:r w:rsidRPr="00AB6E9E">
        <w:rPr>
          <w:rFonts w:cs="Arial"/>
        </w:rPr>
        <w:t xml:space="preserve">Smith, Rachel Skinner and Jennifer Fenwick, ‘How Australian Female Adolescents Prioritize Pregnancy Protection: A Grounded Theory Study of Contraceptive Histories’ (2011) 26(5) </w:t>
      </w:r>
      <w:r w:rsidRPr="00AB6E9E">
        <w:rPr>
          <w:rFonts w:cs="Arial"/>
          <w:i/>
        </w:rPr>
        <w:t>Journal of Adolescent Research</w:t>
      </w:r>
      <w:r w:rsidRPr="00AB6E9E">
        <w:rPr>
          <w:rFonts w:cs="Arial"/>
        </w:rPr>
        <w:t xml:space="preserve"> 617, 617, 626.</w:t>
      </w:r>
    </w:p>
  </w:endnote>
  <w:endnote w:id="419">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Jennifer </w:t>
      </w:r>
      <w:r w:rsidRPr="00AB6E9E">
        <w:rPr>
          <w:rFonts w:cs="Arial"/>
        </w:rPr>
        <w:t xml:space="preserve">Smith, Rachel Skinner and Jennifer Fenwick, ‘How Australian Female Adolescents Prioritize Pregnancy Protection: A Grounded Theory Study of Contraceptive Histories’ (2011) 26(5) </w:t>
      </w:r>
      <w:r w:rsidRPr="00AB6E9E">
        <w:rPr>
          <w:rFonts w:cs="Arial"/>
          <w:i/>
        </w:rPr>
        <w:t>Journal of Adolescent Research</w:t>
      </w:r>
      <w:r w:rsidRPr="00AB6E9E">
        <w:rPr>
          <w:rFonts w:cs="Arial"/>
        </w:rPr>
        <w:t xml:space="preserve"> 617, 626. </w:t>
      </w:r>
    </w:p>
  </w:endnote>
  <w:endnote w:id="420">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Jennifer </w:t>
      </w:r>
      <w:r w:rsidRPr="00AB6E9E">
        <w:rPr>
          <w:rFonts w:cs="Arial"/>
        </w:rPr>
        <w:t xml:space="preserve">Smith, Rachel Skinner and Jennifer Fenwick, ‘How Australian Female Adolescents Prioritize Pregnancy Protection: A Grounded Theory Study of Contraceptive Histories’ (2011) 26(5) </w:t>
      </w:r>
      <w:r w:rsidRPr="00AB6E9E">
        <w:rPr>
          <w:rFonts w:cs="Arial"/>
          <w:i/>
        </w:rPr>
        <w:t>Journal of Adolescent Research</w:t>
      </w:r>
      <w:r w:rsidRPr="00AB6E9E">
        <w:rPr>
          <w:rFonts w:cs="Arial"/>
        </w:rPr>
        <w:t xml:space="preserve"> 617, 617, 626.</w:t>
      </w:r>
    </w:p>
  </w:endnote>
  <w:endnote w:id="421">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Jenn</w:t>
      </w:r>
      <w:r>
        <w:rPr>
          <w:rFonts w:cs="Arial"/>
        </w:rPr>
        <w:t xml:space="preserve">ifer </w:t>
      </w:r>
      <w:r w:rsidRPr="00AB6E9E">
        <w:rPr>
          <w:rFonts w:cs="Arial"/>
        </w:rPr>
        <w:t xml:space="preserve">Smith, Rachel Skinner and Jennifer Fenwick, ‘How Australian Female Adolescents Prioritize Pregnancy Protection: A Grounded Theory Study of Contraceptive Histories’ (2011) 26(5) </w:t>
      </w:r>
      <w:r w:rsidRPr="00AB6E9E">
        <w:rPr>
          <w:rFonts w:cs="Arial"/>
          <w:i/>
        </w:rPr>
        <w:t>Journal of Adolescent Research</w:t>
      </w:r>
      <w:r w:rsidRPr="00AB6E9E">
        <w:rPr>
          <w:rFonts w:cs="Arial"/>
        </w:rPr>
        <w:t xml:space="preserve"> 617, 627.</w:t>
      </w:r>
    </w:p>
  </w:endnote>
  <w:endnote w:id="422">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Sarah </w:t>
      </w:r>
      <w:r w:rsidRPr="00AB6E9E">
        <w:rPr>
          <w:rFonts w:cs="Arial"/>
        </w:rPr>
        <w:t>Larkins</w:t>
      </w:r>
      <w:r>
        <w:rPr>
          <w:rFonts w:cs="Arial"/>
        </w:rPr>
        <w:t>, Priscilla Page, Kathryn Panaretto, Melvina Mitchell, Valerie Alberts, Suzanne McGinty and P Craig Veitch</w:t>
      </w:r>
      <w:r w:rsidRPr="00AB6E9E">
        <w:rPr>
          <w:rFonts w:cs="Arial"/>
        </w:rPr>
        <w:t xml:space="preserve">, ‘The Transformative Potential of Young Motherhood for disadvantaged Aboriginal and Torres Strait Islander women in Townsville, Australia’ (2011) 194(10) </w:t>
      </w:r>
      <w:r w:rsidRPr="00AB6E9E">
        <w:rPr>
          <w:rFonts w:cs="Arial"/>
          <w:i/>
        </w:rPr>
        <w:t xml:space="preserve">Medical Journal of Australia </w:t>
      </w:r>
      <w:r w:rsidRPr="00AB6E9E">
        <w:rPr>
          <w:rFonts w:cs="Arial"/>
        </w:rPr>
        <w:t xml:space="preserve">551, 553. </w:t>
      </w:r>
    </w:p>
  </w:endnote>
  <w:endnote w:id="423">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Sarah </w:t>
      </w:r>
      <w:r w:rsidRPr="00AB6E9E">
        <w:rPr>
          <w:rFonts w:cs="Arial"/>
        </w:rPr>
        <w:t>Larkins</w:t>
      </w:r>
      <w:r>
        <w:rPr>
          <w:rFonts w:cs="Arial"/>
        </w:rPr>
        <w:t>, Priscilla Page, Kathryn Panaretto, Melvina Mitchell, Valerie Alberts, Suzanne McGinty and P Craig Veitch</w:t>
      </w:r>
      <w:r w:rsidRPr="00AB6E9E">
        <w:rPr>
          <w:rFonts w:cs="Arial"/>
        </w:rPr>
        <w:t xml:space="preserve">, ‘The Transformative Potential of Young Motherhood for disadvantaged Aboriginal and Torres Strait Islander women in Townsville, Australia’ (2011) 194(10) </w:t>
      </w:r>
      <w:r w:rsidRPr="00AB6E9E">
        <w:rPr>
          <w:rFonts w:cs="Arial"/>
          <w:i/>
        </w:rPr>
        <w:t xml:space="preserve">Medical Journal of Australia </w:t>
      </w:r>
      <w:r w:rsidRPr="00AB6E9E">
        <w:rPr>
          <w:rFonts w:cs="Arial"/>
        </w:rPr>
        <w:t>551, 553.</w:t>
      </w:r>
    </w:p>
  </w:endnote>
  <w:endnote w:id="424">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Sarah </w:t>
      </w:r>
      <w:r w:rsidRPr="00AB6E9E">
        <w:rPr>
          <w:rFonts w:cs="Arial"/>
        </w:rPr>
        <w:t>Larkins</w:t>
      </w:r>
      <w:r>
        <w:rPr>
          <w:rFonts w:cs="Arial"/>
        </w:rPr>
        <w:t>, Priscilla Page, Kathryn S Panaretto, Melvina Mitchell, Valerie Alberts, Suzanne McGinty and P Craig Veitch</w:t>
      </w:r>
      <w:r w:rsidRPr="00AB6E9E">
        <w:rPr>
          <w:rFonts w:cs="Arial"/>
        </w:rPr>
        <w:t xml:space="preserve">, ‘The Transformative Potential of Young Motherhood for disadvantaged Aboriginal and Torres Strait Islander women in Townsville, Australia’ (2011) 194(10) </w:t>
      </w:r>
      <w:r w:rsidRPr="00AB6E9E">
        <w:rPr>
          <w:rFonts w:cs="Arial"/>
          <w:i/>
        </w:rPr>
        <w:t xml:space="preserve">Medical Journal of Australia </w:t>
      </w:r>
      <w:r w:rsidRPr="00AB6E9E">
        <w:rPr>
          <w:rFonts w:cs="Arial"/>
        </w:rPr>
        <w:t>551, 554.</w:t>
      </w:r>
    </w:p>
  </w:endnote>
  <w:endnote w:id="425">
    <w:p w:rsidR="00C3563C" w:rsidRPr="00AB6E9E" w:rsidRDefault="00C3563C" w:rsidP="00B87D45">
      <w:pPr>
        <w:pStyle w:val="Testonotadichiusura"/>
        <w:rPr>
          <w:rFonts w:cs="Arial"/>
        </w:rPr>
      </w:pPr>
      <w:r w:rsidRPr="00AB6E9E">
        <w:rPr>
          <w:rStyle w:val="Rimandonotadichiusura"/>
          <w:rFonts w:cs="Arial"/>
        </w:rPr>
        <w:endnoteRef/>
      </w:r>
      <w:r>
        <w:rPr>
          <w:rFonts w:cs="Arial"/>
        </w:rPr>
        <w:t xml:space="preserve"> Sarah </w:t>
      </w:r>
      <w:r w:rsidRPr="00AB6E9E">
        <w:rPr>
          <w:rFonts w:cs="Arial"/>
        </w:rPr>
        <w:t>Larkins</w:t>
      </w:r>
      <w:r>
        <w:rPr>
          <w:rFonts w:cs="Arial"/>
        </w:rPr>
        <w:t>, Priscilla Page, Kathryn S Panaretto, Melvina Mitchell, Valerie Alberts, Suzanne McGinty and P Craig Veitch</w:t>
      </w:r>
      <w:r w:rsidRPr="00AB6E9E">
        <w:rPr>
          <w:rFonts w:cs="Arial"/>
        </w:rPr>
        <w:t xml:space="preserve">, ‘The Transformative Potential of Young Motherhood for disadvantaged Aboriginal and Torres Strait Islander women in Townsville, Australia’ (2011) 194(10) </w:t>
      </w:r>
      <w:r w:rsidRPr="00AB6E9E">
        <w:rPr>
          <w:rFonts w:cs="Arial"/>
          <w:i/>
        </w:rPr>
        <w:t xml:space="preserve">Medical Journal of Australia </w:t>
      </w:r>
      <w:r w:rsidRPr="00AB6E9E">
        <w:rPr>
          <w:rFonts w:cs="Arial"/>
        </w:rPr>
        <w:t>551, 554.</w:t>
      </w:r>
    </w:p>
  </w:endnote>
  <w:endnote w:id="426">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Ella Kuskoff and Shelley Mallett, ‘Young, Homeless, and Raising a Child: A Review of Existing Approaches to Addressing the Needs of Young Australian Parents Experiencing Homelessness’ (Working Paper No 13, Australian Research Council Centre of Excellence for Children and Families over the Life Course, July 2016) 12.</w:t>
      </w:r>
    </w:p>
  </w:endnote>
  <w:endnote w:id="427">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Philip Mendes, ‘Improving outcomes for teenage pregnancy and early parenthood for young people in out-of-home care: A review of the literature’ (2009) 28(4) </w:t>
      </w:r>
      <w:r w:rsidRPr="00AB6E9E">
        <w:rPr>
          <w:rFonts w:cs="Arial"/>
          <w:i/>
        </w:rPr>
        <w:t>Youth Studies Australia</w:t>
      </w:r>
      <w:r w:rsidRPr="00AB6E9E">
        <w:rPr>
          <w:rFonts w:cs="Arial"/>
        </w:rPr>
        <w:t xml:space="preserve"> 11, 15.</w:t>
      </w:r>
    </w:p>
  </w:endnote>
  <w:endnote w:id="428">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Bruce Bradbury, ‘Disadvantage among Australian Young Mothers’ (2006) 9(2) </w:t>
      </w:r>
      <w:r w:rsidRPr="00AB6E9E">
        <w:rPr>
          <w:rFonts w:cs="Arial"/>
          <w:i/>
        </w:rPr>
        <w:t>Australian Journal of Labour Economics</w:t>
      </w:r>
      <w:r w:rsidRPr="00AB6E9E">
        <w:rPr>
          <w:rFonts w:cs="Arial"/>
        </w:rPr>
        <w:t xml:space="preserve"> 147, 148; J</w:t>
      </w:r>
      <w:r>
        <w:rPr>
          <w:rFonts w:cs="Arial"/>
        </w:rPr>
        <w:t>ennifer</w:t>
      </w:r>
      <w:r w:rsidRPr="00AB6E9E">
        <w:rPr>
          <w:rFonts w:cs="Arial"/>
        </w:rPr>
        <w:t xml:space="preserve"> Stewart, ‘The Mommy Track: The Consequences of Gender Ideology and Aspirations on Age at First Motherhood’ (2003) 30 </w:t>
      </w:r>
      <w:r w:rsidRPr="00AB6E9E">
        <w:rPr>
          <w:rFonts w:cs="Arial"/>
          <w:i/>
        </w:rPr>
        <w:t>Journal of Sociology and Social Welfare</w:t>
      </w:r>
      <w:r w:rsidRPr="00AB6E9E">
        <w:rPr>
          <w:rFonts w:cs="Arial"/>
        </w:rPr>
        <w:t xml:space="preserve"> 3. </w:t>
      </w:r>
    </w:p>
  </w:endnote>
  <w:endnote w:id="429">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Heidi Hoffman and Sergi Vidal, ‘Supporting Teen Families: An Assessment of Youth Childbearing in Australia and Early Interventions to Improve Education Outcomes of Young Parents’ (Working Paper No 12, Australian Research Council Centre of Excellence for Children and Families over the Life Course, June 2017) 3; Australian Bureau of Statistics, Media Release, ‘Teenage fertility rate lowe</w:t>
      </w:r>
      <w:r>
        <w:rPr>
          <w:rFonts w:cs="Arial"/>
        </w:rPr>
        <w:t>st on record’, (November 206). A</w:t>
      </w:r>
      <w:r w:rsidRPr="00AB6E9E">
        <w:rPr>
          <w:rFonts w:cs="Arial"/>
        </w:rPr>
        <w:t xml:space="preserve">t </w:t>
      </w:r>
      <w:hyperlink r:id="rId145" w:history="1">
        <w:r w:rsidRPr="00AB6E9E">
          <w:rPr>
            <w:rStyle w:val="Collegamentoipertestuale"/>
            <w:rFonts w:cs="Arial"/>
          </w:rPr>
          <w:t>http://www.abs.gov.au/AUSSTATS/abs@.nsf/Latestproducts/3301.0Media%20Release12015</w:t>
        </w:r>
      </w:hyperlink>
      <w:r w:rsidRPr="00AB6E9E">
        <w:rPr>
          <w:rStyle w:val="Collegamentoipertestuale"/>
          <w:rFonts w:cs="Arial"/>
        </w:rPr>
        <w:t xml:space="preserve"> </w:t>
      </w:r>
      <w:r w:rsidRPr="00AB6E9E">
        <w:rPr>
          <w:rFonts w:cs="Arial"/>
        </w:rPr>
        <w:t>(viewed 28 August 2017).</w:t>
      </w:r>
    </w:p>
  </w:endnote>
  <w:endnote w:id="430">
    <w:p w:rsidR="00C3563C" w:rsidRPr="00AB6E9E" w:rsidRDefault="00C3563C" w:rsidP="00B87D45">
      <w:pPr>
        <w:pStyle w:val="Testonotaapidipagina"/>
        <w:rPr>
          <w:rFonts w:cs="Arial"/>
        </w:rPr>
      </w:pPr>
      <w:r w:rsidRPr="00AB6E9E">
        <w:rPr>
          <w:rStyle w:val="Rimandonotadichiusura"/>
          <w:rFonts w:cs="Arial"/>
        </w:rPr>
        <w:endnoteRef/>
      </w:r>
      <w:r w:rsidRPr="00AB6E9E">
        <w:rPr>
          <w:rFonts w:cs="Arial"/>
        </w:rPr>
        <w:t xml:space="preserve"> Australian Bureau of Statistics, ‘Fertility, by age, by state’, ABS.Stat. At </w:t>
      </w:r>
      <w:hyperlink r:id="rId146" w:history="1">
        <w:r w:rsidRPr="00AB6E9E">
          <w:rPr>
            <w:rStyle w:val="Collegamentoipertestuale"/>
            <w:rFonts w:cs="Arial"/>
          </w:rPr>
          <w:t>http://stat.data.abs.gov.au/Index.aspx?QueryId=494</w:t>
        </w:r>
      </w:hyperlink>
      <w:r w:rsidRPr="00AB6E9E">
        <w:rPr>
          <w:rFonts w:cs="Arial"/>
        </w:rPr>
        <w:t xml:space="preserve"> (viewed 28 August 2017).</w:t>
      </w:r>
    </w:p>
  </w:endnote>
  <w:endnote w:id="431">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w:t>
      </w:r>
      <w:r>
        <w:rPr>
          <w:rFonts w:cs="Arial"/>
        </w:rPr>
        <w:t>Jennifer Marino, Lucy Lewis, Deborah Bateson, Martha Hickey and Rachel Skinner</w:t>
      </w:r>
      <w:r w:rsidRPr="00AB6E9E">
        <w:rPr>
          <w:rFonts w:cs="Arial"/>
        </w:rPr>
        <w:t xml:space="preserve">, ‘Teenage Mothers’ (2016) 45(10) </w:t>
      </w:r>
      <w:r w:rsidRPr="00AB6E9E">
        <w:rPr>
          <w:rFonts w:cs="Arial"/>
          <w:i/>
        </w:rPr>
        <w:t>Australian Family Physician</w:t>
      </w:r>
      <w:r w:rsidRPr="00AB6E9E">
        <w:rPr>
          <w:rFonts w:cs="Arial"/>
        </w:rPr>
        <w:t xml:space="preserve"> 712, 712; Australian Bureau of Statistics, ‘Births, Australia, 2015’, ABS </w:t>
      </w:r>
      <w:r>
        <w:rPr>
          <w:rFonts w:cs="Arial"/>
        </w:rPr>
        <w:t>Catalogue</w:t>
      </w:r>
      <w:r w:rsidRPr="00AB6E9E">
        <w:rPr>
          <w:rFonts w:cs="Arial"/>
        </w:rPr>
        <w:t xml:space="preserve"> </w:t>
      </w:r>
      <w:r>
        <w:rPr>
          <w:rFonts w:cs="Arial"/>
        </w:rPr>
        <w:t>No</w:t>
      </w:r>
      <w:r w:rsidRPr="00AB6E9E">
        <w:rPr>
          <w:rFonts w:cs="Arial"/>
        </w:rPr>
        <w:t xml:space="preserve"> 3301.0 (7 February 2017)</w:t>
      </w:r>
      <w:r>
        <w:rPr>
          <w:rFonts w:cs="Arial"/>
        </w:rPr>
        <w:t>.</w:t>
      </w:r>
      <w:hyperlink r:id="rId147" w:history="1">
        <w:r w:rsidRPr="00AB6E9E">
          <w:rPr>
            <w:rStyle w:val="Collegamentoipertestuale"/>
            <w:rFonts w:cs="Arial"/>
          </w:rPr>
          <w:t>http://www.abs.gov.au/ausstats/abs@.nsf/mf/3301.0</w:t>
        </w:r>
      </w:hyperlink>
      <w:r w:rsidRPr="00AB6E9E">
        <w:rPr>
          <w:rFonts w:cs="Arial"/>
        </w:rPr>
        <w:t xml:space="preserve"> (viewed 27 July 2017)</w:t>
      </w:r>
      <w:r>
        <w:rPr>
          <w:rFonts w:cs="Arial"/>
        </w:rPr>
        <w:t>,</w:t>
      </w:r>
      <w:r w:rsidRPr="00AB6E9E">
        <w:rPr>
          <w:rFonts w:cs="Arial"/>
        </w:rPr>
        <w:t xml:space="preserve"> cited in </w:t>
      </w:r>
      <w:r>
        <w:rPr>
          <w:rFonts w:cs="Arial"/>
        </w:rPr>
        <w:t>Jennifer Marino, Lucy Lewis, Deborah Bateson, Martha Hickey and Rachel Skinner</w:t>
      </w:r>
      <w:r w:rsidRPr="00AB6E9E">
        <w:rPr>
          <w:rFonts w:cs="Arial"/>
        </w:rPr>
        <w:t xml:space="preserve">, ‘Teenage Mothers’ (2016) 45(10) </w:t>
      </w:r>
      <w:r w:rsidRPr="00AB6E9E">
        <w:rPr>
          <w:rFonts w:cs="Arial"/>
          <w:i/>
        </w:rPr>
        <w:t>Australian Family Physician</w:t>
      </w:r>
      <w:r w:rsidRPr="00AB6E9E">
        <w:rPr>
          <w:rFonts w:cs="Arial"/>
        </w:rPr>
        <w:t xml:space="preserve"> 712, 712; Australian Bureau of Statistics, ‘Births, Australia, 2015’, ABS </w:t>
      </w:r>
      <w:r>
        <w:rPr>
          <w:rFonts w:cs="Arial"/>
        </w:rPr>
        <w:t>Catalogue</w:t>
      </w:r>
      <w:r w:rsidRPr="00AB6E9E">
        <w:rPr>
          <w:rFonts w:cs="Arial"/>
        </w:rPr>
        <w:t xml:space="preserve"> </w:t>
      </w:r>
      <w:r>
        <w:rPr>
          <w:rFonts w:cs="Arial"/>
        </w:rPr>
        <w:t>No</w:t>
      </w:r>
      <w:r w:rsidRPr="00AB6E9E">
        <w:rPr>
          <w:rFonts w:cs="Arial"/>
        </w:rPr>
        <w:t xml:space="preserve"> 3301.0 (7 February 2017)</w:t>
      </w:r>
      <w:r>
        <w:rPr>
          <w:rFonts w:cs="Arial"/>
        </w:rPr>
        <w:t>. At</w:t>
      </w:r>
      <w:r w:rsidRPr="00AB6E9E">
        <w:rPr>
          <w:rFonts w:cs="Arial"/>
        </w:rPr>
        <w:t xml:space="preserve"> </w:t>
      </w:r>
      <w:hyperlink r:id="rId148" w:history="1">
        <w:r w:rsidRPr="00AB6E9E">
          <w:rPr>
            <w:rStyle w:val="Collegamentoipertestuale"/>
            <w:rFonts w:cs="Arial"/>
          </w:rPr>
          <w:t>http://www.abs.gov.au/ausstats/abs@.nsf/mf/3301.0</w:t>
        </w:r>
      </w:hyperlink>
      <w:r>
        <w:rPr>
          <w:rFonts w:cs="Arial"/>
        </w:rPr>
        <w:t xml:space="preserve"> (viewed 27 July 2017); </w:t>
      </w:r>
      <w:r w:rsidRPr="00AB6E9E">
        <w:rPr>
          <w:rFonts w:cs="Arial"/>
        </w:rPr>
        <w:t xml:space="preserve">Australian Bureau of Statistics, ‘Aboriginal and Torres Strait Islander fertility, by age, by state,’ ABS.Stat. At </w:t>
      </w:r>
      <w:hyperlink r:id="rId149" w:history="1">
        <w:r w:rsidRPr="00AB6E9E">
          <w:rPr>
            <w:rStyle w:val="Collegamentoipertestuale"/>
            <w:rFonts w:cs="Arial"/>
          </w:rPr>
          <w:t>http://stat.data.abs.gov.au/Index.aspx?QueryId=503</w:t>
        </w:r>
      </w:hyperlink>
      <w:r>
        <w:rPr>
          <w:rFonts w:cs="Arial"/>
        </w:rPr>
        <w:t xml:space="preserve"> (viewed 28 August 2017).</w:t>
      </w:r>
      <w:r w:rsidRPr="00AB6E9E">
        <w:rPr>
          <w:rFonts w:cs="Arial"/>
        </w:rPr>
        <w:t xml:space="preserve"> </w:t>
      </w:r>
    </w:p>
  </w:endnote>
  <w:endnote w:id="432">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Australian and New Zealand Child Death Review and Prevention Group, ‘Information on Teenage Pregnancy Outcomes: Information provided to the National Children’s Commissioner Teenage Pregnancy Project by the Australian and New Zealand Child Dea</w:t>
      </w:r>
      <w:r>
        <w:rPr>
          <w:rFonts w:cs="Arial"/>
        </w:rPr>
        <w:t>th Review and Prevention Group’</w:t>
      </w:r>
      <w:r w:rsidRPr="00AB6E9E">
        <w:rPr>
          <w:rFonts w:cs="Arial"/>
        </w:rPr>
        <w:t xml:space="preserve"> (7 July 2017), 6. </w:t>
      </w:r>
    </w:p>
  </w:endnote>
  <w:endnote w:id="433">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Australian Institute of Health and Welfare, </w:t>
      </w:r>
      <w:r w:rsidRPr="00AB6E9E">
        <w:rPr>
          <w:rFonts w:cs="Arial"/>
          <w:i/>
        </w:rPr>
        <w:t>Australia’s mothers and babies 2014: in brief</w:t>
      </w:r>
      <w:r>
        <w:rPr>
          <w:rFonts w:cs="Arial"/>
        </w:rPr>
        <w:t xml:space="preserve"> (2016)</w:t>
      </w:r>
      <w:r w:rsidRPr="00AB6E9E">
        <w:rPr>
          <w:rFonts w:cs="Arial"/>
        </w:rPr>
        <w:t xml:space="preserve"> Australian Institute of Health and Welfare, 38. </w:t>
      </w:r>
    </w:p>
  </w:endnote>
  <w:endnote w:id="434">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Australian Institute of Health and Welfare, ‘Perinatal data portal: Baby outcomes, Bir</w:t>
      </w:r>
      <w:r>
        <w:rPr>
          <w:rFonts w:cs="Arial"/>
        </w:rPr>
        <w:t>th status and Perinatal deaths’ (2016)</w:t>
      </w:r>
      <w:r w:rsidRPr="00AB6E9E">
        <w:rPr>
          <w:rFonts w:cs="Arial"/>
        </w:rPr>
        <w:t xml:space="preserve"> SAS Visual Analytics Viewer. At </w:t>
      </w:r>
      <w:hyperlink r:id="rId150" w:history="1">
        <w:r w:rsidRPr="00AB6E9E">
          <w:rPr>
            <w:rStyle w:val="Collegamentoipertestuale"/>
            <w:rFonts w:cs="Arial"/>
          </w:rPr>
          <w:t>http://analytics.aihw.gov.au/Viewer/VisualAnalyticsViewer_guest.jsp?reportPath=%2FAIHW%2FReleasedPublic%2FPerinatal%2FReports%2FNOV2016&amp;reportName=Baby%20outcomes%20-%20Deaths&amp;reportViewOnly=true&amp;viewerMode=modern&amp;commentsEnabled=false&amp;propertiesEnabled=false&amp;appSwitcherDisabled=true</w:t>
        </w:r>
      </w:hyperlink>
      <w:r w:rsidRPr="00AB6E9E">
        <w:rPr>
          <w:rFonts w:cs="Arial"/>
        </w:rPr>
        <w:t xml:space="preserve"> (viewed 28 August 2017).</w:t>
      </w:r>
    </w:p>
  </w:endnote>
  <w:endnote w:id="435">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Australian Institute of Health and Welfare, ‘Perinatal data portal: Baby outcomes, Birth status and Perinatal deaths’, (2016), SAS Visual Analytics Viewer. At </w:t>
      </w:r>
      <w:hyperlink r:id="rId151" w:history="1">
        <w:r w:rsidRPr="00AB6E9E">
          <w:rPr>
            <w:rStyle w:val="Collegamentoipertestuale"/>
            <w:rFonts w:cs="Arial"/>
          </w:rPr>
          <w:t>http://analytics.aihw.gov.au/Viewer/VisualAnalyticsViewer_guest.jsp?reportPath=%2FAIHW%2FReleasedPublic%2FPerinatal%2FReports%2FNOV2016&amp;reportName=Baby%20outcomes%20-%20Deaths&amp;reportViewOnly=true&amp;viewerMode=modern&amp;commentsEnabled=false&amp;propertiesEnabled=false&amp;appSwitcherDisabled=true</w:t>
        </w:r>
      </w:hyperlink>
      <w:r w:rsidRPr="00AB6E9E">
        <w:rPr>
          <w:rFonts w:cs="Arial"/>
        </w:rPr>
        <w:t xml:space="preserve"> (viewed 28 August 2017).</w:t>
      </w:r>
    </w:p>
  </w:endnote>
  <w:endnote w:id="436">
    <w:p w:rsidR="00C3563C" w:rsidRDefault="00C3563C" w:rsidP="00B87D45">
      <w:pPr>
        <w:pStyle w:val="Testonotadichiusura"/>
      </w:pPr>
      <w:r>
        <w:rPr>
          <w:rStyle w:val="Rimandonotadichiusura"/>
        </w:rPr>
        <w:endnoteRef/>
      </w:r>
      <w:r>
        <w:t xml:space="preserve"> Derived from </w:t>
      </w:r>
      <w:r w:rsidRPr="00C8631A">
        <w:t>Australian and New Zealand Child Dea</w:t>
      </w:r>
      <w:r>
        <w:t>th Review and Prevention Group</w:t>
      </w:r>
      <w:r w:rsidRPr="00C8631A">
        <w:t>, ‘Information on Teenage Pregnancy Outcomes: Information provided to the National Children’s Commissioner Teenage Pregnancy Project by the Australian and New Zealand Child Dea</w:t>
      </w:r>
      <w:r>
        <w:t>th Review and Prevention Group’ (7 July 2017)</w:t>
      </w:r>
      <w:r w:rsidRPr="00C8631A">
        <w:t xml:space="preserve"> 10.</w:t>
      </w:r>
    </w:p>
  </w:endnote>
  <w:endnote w:id="437">
    <w:p w:rsidR="00C3563C" w:rsidRDefault="00C3563C" w:rsidP="00B87D45">
      <w:pPr>
        <w:pStyle w:val="Testonotadichiusura"/>
      </w:pPr>
      <w:r>
        <w:rPr>
          <w:rStyle w:val="Rimandonotadichiusura"/>
        </w:rPr>
        <w:endnoteRef/>
      </w:r>
      <w:r>
        <w:t xml:space="preserve"> Derived from </w:t>
      </w:r>
      <w:r w:rsidRPr="00C8631A">
        <w:t xml:space="preserve">Australian Institute of Health and Welfare, ‘Perinatal data portal: Baby outcomes, Birth status and Perinatal deaths’, (2016), SAS Visual Analytics Viewer. At </w:t>
      </w:r>
      <w:hyperlink r:id="rId152" w:history="1">
        <w:r w:rsidRPr="00C8631A">
          <w:rPr>
            <w:rStyle w:val="Collegamentoipertestuale"/>
          </w:rPr>
          <w:t>http://analytics.aihw.gov.au/Viewer/VisualAnalyticsViewer_guest.jsp?reportPath=%2FAIHW%2FReleasedPublic%2FPerinatal%2FReports%2FNOV2016&amp;reportName=Baby%20outcomes%20-%20Deaths&amp;reportViewOnly=true&amp;viewerMode=modern&amp;commentsEnabled=false&amp;propertiesEnabled=false&amp;appSwitcherDisabled=true</w:t>
        </w:r>
      </w:hyperlink>
      <w:r w:rsidRPr="00C8631A">
        <w:t xml:space="preserve"> (viewed 28 August 2017).</w:t>
      </w:r>
    </w:p>
  </w:endnote>
  <w:endnote w:id="438">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Australian and New Zealand Child De</w:t>
      </w:r>
      <w:r>
        <w:rPr>
          <w:rFonts w:cs="Arial"/>
        </w:rPr>
        <w:t xml:space="preserve">ath Review and Prevention Group, </w:t>
      </w:r>
      <w:r w:rsidRPr="00AB6E9E">
        <w:rPr>
          <w:rFonts w:cs="Arial"/>
        </w:rPr>
        <w:t xml:space="preserve">‘Information on Teenage Pregnancy Outcomes: Information provided </w:t>
      </w:r>
      <w:r>
        <w:rPr>
          <w:rFonts w:cs="Arial"/>
        </w:rPr>
        <w:t xml:space="preserve">by the child death registers in ACT, NSW, QLD, SA, TAS, VIC, WA and NZ and may be subject to change by that register as new information is received, </w:t>
      </w:r>
      <w:r w:rsidRPr="00AB6E9E">
        <w:rPr>
          <w:rFonts w:cs="Arial"/>
        </w:rPr>
        <w:t>National Children’s Commissioner Teenage Pregnancy Project by the Australian and New Zealand Child Dea</w:t>
      </w:r>
      <w:r>
        <w:rPr>
          <w:rFonts w:cs="Arial"/>
        </w:rPr>
        <w:t>th Review and Prevention Group’ (7 July 2017)</w:t>
      </w:r>
      <w:r w:rsidRPr="00AB6E9E">
        <w:rPr>
          <w:rFonts w:cs="Arial"/>
        </w:rPr>
        <w:t xml:space="preserve"> 2. </w:t>
      </w:r>
      <w:r>
        <w:rPr>
          <w:rFonts w:cs="Arial"/>
        </w:rPr>
        <w:t xml:space="preserve">SUDI is defined as the death of an infant, aged less than 12 months, that is sudden and unexpected, and where the cause of death was not immediately apparent at the time of death. There are minor variations in the application of the definition of SUDI in each jurisdiction. </w:t>
      </w:r>
    </w:p>
  </w:endnote>
  <w:endnote w:id="439">
    <w:p w:rsidR="00C3563C" w:rsidRDefault="00C3563C" w:rsidP="00B87D45">
      <w:pPr>
        <w:pStyle w:val="Testonotadichiusura"/>
      </w:pPr>
      <w:r>
        <w:rPr>
          <w:rStyle w:val="Rimandonotadichiusura"/>
        </w:rPr>
        <w:endnoteRef/>
      </w:r>
      <w:r>
        <w:t xml:space="preserve"> </w:t>
      </w:r>
      <w:r w:rsidRPr="00AB6E9E">
        <w:rPr>
          <w:rFonts w:cs="Arial"/>
        </w:rPr>
        <w:t>Australian and New Zealand Child Death Re</w:t>
      </w:r>
      <w:r>
        <w:rPr>
          <w:rFonts w:cs="Arial"/>
        </w:rPr>
        <w:t>view and Prevention Group,</w:t>
      </w:r>
      <w:r w:rsidRPr="00AB6E9E">
        <w:rPr>
          <w:rFonts w:cs="Arial"/>
        </w:rPr>
        <w:t xml:space="preserve"> ‘Information on Teenage Pregnancy Outcomes: Information provided to the National Children’s Commissioner Teenage Pregnancy Project by the Australian and New Zealand Child Death Review and Prev</w:t>
      </w:r>
      <w:r>
        <w:rPr>
          <w:rFonts w:cs="Arial"/>
        </w:rPr>
        <w:t>ention Group’ (7 July 2017) 16.</w:t>
      </w:r>
    </w:p>
  </w:endnote>
  <w:endnote w:id="440">
    <w:p w:rsidR="00C3563C" w:rsidRPr="006413DF" w:rsidRDefault="00C3563C" w:rsidP="00B87D45">
      <w:pPr>
        <w:pStyle w:val="Testonotadichiusura"/>
        <w:rPr>
          <w:rFonts w:cs="Arial"/>
        </w:rPr>
      </w:pPr>
      <w:r>
        <w:rPr>
          <w:rStyle w:val="Rimandonotadichiusura"/>
        </w:rPr>
        <w:endnoteRef/>
      </w:r>
      <w:r>
        <w:t xml:space="preserve"> </w:t>
      </w:r>
      <w:r w:rsidRPr="00AB6E9E">
        <w:rPr>
          <w:rFonts w:cs="Arial"/>
        </w:rPr>
        <w:t>Australian and New Zealand Child Death Review and Prevention Group, ‘Information on Teenage Pregnancy Outcomes: Information provided to the National Children’s Commissioner Teenage Pregnancy Project by the Australian and New Zealand Child Death Review and Preven</w:t>
      </w:r>
      <w:r>
        <w:rPr>
          <w:rFonts w:cs="Arial"/>
        </w:rPr>
        <w:t>tion Group’ (7 July 2017) 16.</w:t>
      </w:r>
    </w:p>
  </w:endnote>
  <w:endnote w:id="441">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Australian and New Zealand Child Death Review and Prevention Group, ‘Information on Teenage Pregnancy Outcomes: Information provided to the National Children’s Commissioner Teenage Pregnancy Project by the Australian and New Zealand Child Dea</w:t>
      </w:r>
      <w:r>
        <w:rPr>
          <w:rFonts w:cs="Arial"/>
        </w:rPr>
        <w:t>th Review and Prevention Group’ (7 July 2017)</w:t>
      </w:r>
      <w:r w:rsidRPr="00AB6E9E">
        <w:rPr>
          <w:rFonts w:cs="Arial"/>
        </w:rPr>
        <w:t xml:space="preserve"> 16.</w:t>
      </w:r>
    </w:p>
  </w:endnote>
  <w:endnote w:id="442">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Australian and New Zealand Child De</w:t>
      </w:r>
      <w:r>
        <w:rPr>
          <w:rFonts w:cs="Arial"/>
        </w:rPr>
        <w:t>ath Review and Prevention Group</w:t>
      </w:r>
      <w:r w:rsidRPr="00AB6E9E">
        <w:rPr>
          <w:rFonts w:cs="Arial"/>
        </w:rPr>
        <w:t>, ‘Information on Teenage Pregnancy Outcomes: Information provided to the National Children’s Commissioner Teenage Pregnancy Project by the Australian and New Zealand Child Death Review and P</w:t>
      </w:r>
      <w:r>
        <w:rPr>
          <w:rFonts w:cs="Arial"/>
        </w:rPr>
        <w:t>revention Group’ (7 July 2017)</w:t>
      </w:r>
      <w:r w:rsidRPr="00AB6E9E">
        <w:rPr>
          <w:rFonts w:cs="Arial"/>
        </w:rPr>
        <w:t xml:space="preserve"> 12; Australian Institute of Health and Welfare, </w:t>
      </w:r>
      <w:r w:rsidRPr="00AB6E9E">
        <w:rPr>
          <w:rFonts w:cs="Arial"/>
          <w:i/>
        </w:rPr>
        <w:t>Australia’s mothers and babies 2014: in brief</w:t>
      </w:r>
      <w:r w:rsidRPr="00AB6E9E">
        <w:rPr>
          <w:rFonts w:cs="Arial"/>
        </w:rPr>
        <w:t xml:space="preserve"> </w:t>
      </w:r>
      <w:r>
        <w:rPr>
          <w:rFonts w:cs="Arial"/>
        </w:rPr>
        <w:t>(2016)</w:t>
      </w:r>
      <w:r w:rsidRPr="00AB6E9E">
        <w:rPr>
          <w:rFonts w:cs="Arial"/>
        </w:rPr>
        <w:t xml:space="preserve"> Australian Institute of Health and Welfare, 24.</w:t>
      </w:r>
      <w:r>
        <w:rPr>
          <w:rFonts w:cs="Arial"/>
        </w:rPr>
        <w:t xml:space="preserve"> Pre-term is defined as less than 37 weeks. </w:t>
      </w:r>
    </w:p>
  </w:endnote>
  <w:endnote w:id="443">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Australian Institute of Health and Welfare, </w:t>
      </w:r>
      <w:r w:rsidRPr="00AB6E9E">
        <w:rPr>
          <w:rFonts w:cs="Arial"/>
          <w:i/>
        </w:rPr>
        <w:t>Australia’s mothers and babies 2014: in brief</w:t>
      </w:r>
      <w:r w:rsidRPr="00AB6E9E">
        <w:rPr>
          <w:rFonts w:cs="Arial"/>
        </w:rPr>
        <w:t xml:space="preserve"> (2016) Australian Institute of Health and Welfare, 24.</w:t>
      </w:r>
    </w:p>
  </w:endnote>
  <w:endnote w:id="444">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Australian Institute of Health and Welfare, </w:t>
      </w:r>
      <w:r w:rsidRPr="00AB6E9E">
        <w:rPr>
          <w:rFonts w:cs="Arial"/>
          <w:i/>
        </w:rPr>
        <w:t>Australia’s mothers and babies 2014: in brief</w:t>
      </w:r>
      <w:r w:rsidRPr="00AB6E9E">
        <w:rPr>
          <w:rFonts w:cs="Arial"/>
        </w:rPr>
        <w:t xml:space="preserve"> (2016) Australian Institute of Health and Welfare, 30. </w:t>
      </w:r>
    </w:p>
  </w:endnote>
  <w:endnote w:id="445">
    <w:p w:rsidR="00C3563C" w:rsidRPr="00AB6E9E" w:rsidRDefault="00C3563C" w:rsidP="00B87D45">
      <w:pPr>
        <w:pStyle w:val="Testonotadichiusura"/>
        <w:rPr>
          <w:rFonts w:cs="Arial"/>
        </w:rPr>
      </w:pPr>
      <w:r w:rsidRPr="00AB6E9E">
        <w:rPr>
          <w:rStyle w:val="Rimandonotadichiusura"/>
          <w:rFonts w:cs="Arial"/>
        </w:rPr>
        <w:endnoteRef/>
      </w:r>
      <w:r w:rsidRPr="00AB6E9E">
        <w:rPr>
          <w:rFonts w:cs="Arial"/>
        </w:rPr>
        <w:t xml:space="preserve"> Australian Institute of Health and Welfare, </w:t>
      </w:r>
      <w:r w:rsidRPr="00AB6E9E">
        <w:rPr>
          <w:rFonts w:cs="Arial"/>
          <w:i/>
        </w:rPr>
        <w:t>Australia’s mothers and babies 2014: in brief</w:t>
      </w:r>
      <w:r w:rsidRPr="00AB6E9E">
        <w:rPr>
          <w:rFonts w:cs="Arial"/>
        </w:rPr>
        <w:t xml:space="preserve"> (2016) Australian Institute of Health and Welfare, 30. </w:t>
      </w:r>
    </w:p>
  </w:endnote>
  <w:endnote w:id="446">
    <w:p w:rsidR="00C3563C" w:rsidRDefault="00C3563C" w:rsidP="00B87D45">
      <w:pPr>
        <w:pStyle w:val="Testonotadichiusura"/>
      </w:pPr>
      <w:r w:rsidRPr="00AB6E9E">
        <w:rPr>
          <w:rStyle w:val="Rimandonotadichiusura"/>
          <w:rFonts w:cs="Arial"/>
        </w:rPr>
        <w:endnoteRef/>
      </w:r>
      <w:r w:rsidRPr="00AB6E9E">
        <w:rPr>
          <w:rFonts w:cs="Arial"/>
        </w:rPr>
        <w:t xml:space="preserve"> Australian Institute of Health and Welfare, </w:t>
      </w:r>
      <w:r w:rsidRPr="00AB6E9E">
        <w:rPr>
          <w:rFonts w:cs="Arial"/>
          <w:i/>
        </w:rPr>
        <w:t>Australia’s mothers and babies 2014: in brief</w:t>
      </w:r>
      <w:r w:rsidRPr="00AB6E9E">
        <w:rPr>
          <w:rFonts w:cs="Arial"/>
        </w:rPr>
        <w:t xml:space="preserve"> (2016) Australian Institute of Health and Welfare, 30.</w:t>
      </w:r>
    </w:p>
  </w:endnote>
  <w:endnote w:id="447">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rsidRPr="00B33EDE">
        <w:t>,</w:t>
      </w:r>
      <w:r>
        <w:rPr>
          <w:i/>
        </w:rPr>
        <w:t xml:space="preserve"> </w:t>
      </w:r>
      <w:r>
        <w:t>21, 23, 39, 46</w:t>
      </w:r>
      <w:r w:rsidRPr="002E6174">
        <w:t>.</w:t>
      </w:r>
    </w:p>
  </w:endnote>
  <w:endnote w:id="448">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Young Parents and their Children</w:t>
      </w:r>
      <w:r>
        <w:t>,</w:t>
      </w:r>
      <w:r>
        <w:rPr>
          <w:i/>
        </w:rPr>
        <w:t xml:space="preserve"> </w:t>
      </w:r>
      <w:r w:rsidRPr="004A27BB">
        <w:t>2</w:t>
      </w:r>
      <w:r>
        <w:t>4</w:t>
      </w:r>
      <w:r>
        <w:rPr>
          <w:i/>
        </w:rPr>
        <w:t>.</w:t>
      </w:r>
    </w:p>
  </w:endnote>
  <w:endnote w:id="449">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Young Parents and their Children</w:t>
      </w:r>
      <w:r w:rsidRPr="00B33EDE">
        <w:t>,</w:t>
      </w:r>
      <w:r>
        <w:rPr>
          <w:i/>
        </w:rPr>
        <w:t xml:space="preserve"> </w:t>
      </w:r>
      <w:r w:rsidRPr="004A27BB">
        <w:t>25</w:t>
      </w:r>
      <w:r>
        <w:rPr>
          <w:i/>
        </w:rPr>
        <w:t xml:space="preserve">. </w:t>
      </w:r>
    </w:p>
  </w:endnote>
  <w:endnote w:id="450">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rsidRPr="00B33EDE">
        <w:t>,</w:t>
      </w:r>
      <w:r>
        <w:rPr>
          <w:i/>
        </w:rPr>
        <w:t xml:space="preserve"> </w:t>
      </w:r>
      <w:r>
        <w:t>24–</w:t>
      </w:r>
      <w:r w:rsidRPr="00A322FD">
        <w:t>25.</w:t>
      </w:r>
      <w:r>
        <w:rPr>
          <w:i/>
        </w:rPr>
        <w:t xml:space="preserve"> </w:t>
      </w:r>
    </w:p>
  </w:endnote>
  <w:endnote w:id="451">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rsidRPr="00B33EDE">
        <w:t>,</w:t>
      </w:r>
      <w:r>
        <w:rPr>
          <w:i/>
        </w:rPr>
        <w:t xml:space="preserve"> </w:t>
      </w:r>
      <w:r>
        <w:t>30</w:t>
      </w:r>
      <w:r w:rsidRPr="00A322FD">
        <w:t>.</w:t>
      </w:r>
    </w:p>
  </w:endnote>
  <w:endnote w:id="452">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rsidRPr="00B33EDE">
        <w:t xml:space="preserve">, </w:t>
      </w:r>
      <w:r>
        <w:t>30</w:t>
      </w:r>
      <w:r w:rsidRPr="00A322FD">
        <w:t>.</w:t>
      </w:r>
    </w:p>
  </w:endnote>
  <w:endnote w:id="453">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rsidRPr="00B33EDE">
        <w:t>,</w:t>
      </w:r>
      <w:r>
        <w:rPr>
          <w:i/>
        </w:rPr>
        <w:t xml:space="preserve"> </w:t>
      </w:r>
      <w:r>
        <w:t>30</w:t>
      </w:r>
      <w:r w:rsidRPr="00A322FD">
        <w:t>.</w:t>
      </w:r>
    </w:p>
  </w:endnote>
  <w:endnote w:id="454">
    <w:p w:rsidR="00C3563C" w:rsidRPr="0020492E" w:rsidRDefault="00C3563C" w:rsidP="00B87D45">
      <w:pPr>
        <w:pStyle w:val="Testonotadichiusura"/>
      </w:pPr>
      <w:r>
        <w:rPr>
          <w:rStyle w:val="Rimandonotadichiusura"/>
        </w:rPr>
        <w:endnoteRef/>
      </w:r>
      <w:r>
        <w:t xml:space="preserve"> yourtown, Submission No 16 to the Australian Human Rights Commission, </w:t>
      </w:r>
      <w:r w:rsidRPr="00E34166">
        <w:rPr>
          <w:i/>
        </w:rPr>
        <w:t>National Children’s Commissioner’s Investigation into Young Parents and their Children</w:t>
      </w:r>
      <w:r>
        <w:rPr>
          <w:i/>
        </w:rPr>
        <w:t>,</w:t>
      </w:r>
      <w:r>
        <w:t xml:space="preserve"> citing Maria Lohan, Maria Giulia Olivari, Carolyn Corkindale, Luca Milani, Emanuela Confalonieri, Sharon Cruise, Peter O'Halloran, Fiona Alderdice and Abbey Hyde, ‘Adolescent Men’s Pregnancy Resolution Choices in Relation to an Unintended Pregnancy’ (2013)  34 (8) </w:t>
      </w:r>
      <w:r>
        <w:rPr>
          <w:i/>
        </w:rPr>
        <w:t xml:space="preserve">Journal of Family Issues </w:t>
      </w:r>
      <w:r>
        <w:t>1037–1058.</w:t>
      </w:r>
    </w:p>
  </w:endnote>
  <w:endnote w:id="455">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rsidRPr="00DE4217">
        <w:t xml:space="preserve">, </w:t>
      </w:r>
      <w:r w:rsidRPr="00A96121">
        <w:t>30.</w:t>
      </w:r>
      <w:r>
        <w:rPr>
          <w:i/>
        </w:rPr>
        <w:t xml:space="preserve"> </w:t>
      </w:r>
    </w:p>
  </w:endnote>
  <w:endnote w:id="456">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t>, 24.</w:t>
      </w:r>
    </w:p>
  </w:endnote>
  <w:endnote w:id="457">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t>, 24.</w:t>
      </w:r>
    </w:p>
  </w:endnote>
  <w:endnote w:id="458">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t>, 24.</w:t>
      </w:r>
    </w:p>
  </w:endnote>
  <w:endnote w:id="459">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rsidRPr="00CB114F">
        <w:t>, 38.</w:t>
      </w:r>
    </w:p>
  </w:endnote>
  <w:endnote w:id="460">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t xml:space="preserve">, 31 </w:t>
      </w:r>
    </w:p>
  </w:endnote>
  <w:endnote w:id="461">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t>, 32.</w:t>
      </w:r>
    </w:p>
  </w:endnote>
  <w:endnote w:id="462">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rsidRPr="00DE4217">
        <w:t>,</w:t>
      </w:r>
      <w:r>
        <w:rPr>
          <w:i/>
        </w:rPr>
        <w:t xml:space="preserve"> </w:t>
      </w:r>
      <w:r w:rsidRPr="00615C1A">
        <w:t>31.</w:t>
      </w:r>
    </w:p>
  </w:endnote>
  <w:endnote w:id="463">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 xml:space="preserve">oung Parents and their Children, </w:t>
      </w:r>
      <w:r w:rsidRPr="00615C1A">
        <w:t>31.</w:t>
      </w:r>
    </w:p>
  </w:endnote>
  <w:endnote w:id="464">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rsidRPr="00CB114F">
        <w:t>, 38.</w:t>
      </w:r>
    </w:p>
  </w:endnote>
  <w:endnote w:id="465">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rsidRPr="00CB114F">
        <w:t>, 38.</w:t>
      </w:r>
    </w:p>
  </w:endnote>
  <w:endnote w:id="466">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t>, 33.</w:t>
      </w:r>
    </w:p>
  </w:endnote>
  <w:endnote w:id="467">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t>, 33.</w:t>
      </w:r>
    </w:p>
  </w:endnote>
  <w:endnote w:id="468">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rsidRPr="00CB114F">
        <w:t>, 38.</w:t>
      </w:r>
    </w:p>
  </w:endnote>
  <w:endnote w:id="469">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t>, 39</w:t>
      </w:r>
      <w:r w:rsidRPr="00CB114F">
        <w:t>.</w:t>
      </w:r>
    </w:p>
  </w:endnote>
  <w:endnote w:id="470">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t>, 39</w:t>
      </w:r>
      <w:r w:rsidRPr="00CB114F">
        <w:t>.</w:t>
      </w:r>
    </w:p>
  </w:endnote>
  <w:endnote w:id="471">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t>, 39.</w:t>
      </w:r>
    </w:p>
  </w:endnote>
  <w:endnote w:id="472">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t>, 40.</w:t>
      </w:r>
    </w:p>
  </w:endnote>
  <w:endnote w:id="473">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t>, 40.</w:t>
      </w:r>
    </w:p>
  </w:endnote>
  <w:endnote w:id="474">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t>, 40.</w:t>
      </w:r>
    </w:p>
  </w:endnote>
  <w:endnote w:id="475">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t>, 46.</w:t>
      </w:r>
    </w:p>
  </w:endnote>
  <w:endnote w:id="476">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t>, 46.</w:t>
      </w:r>
    </w:p>
  </w:endnote>
  <w:endnote w:id="477">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t>, 46.</w:t>
      </w:r>
    </w:p>
  </w:endnote>
  <w:endnote w:id="478">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t>, 48.</w:t>
      </w:r>
    </w:p>
  </w:endnote>
  <w:endnote w:id="479">
    <w:p w:rsidR="00C3563C" w:rsidRDefault="00C3563C" w:rsidP="00B87D45">
      <w:pPr>
        <w:pStyle w:val="Testonotadichiusura"/>
      </w:pPr>
      <w:r>
        <w:rPr>
          <w:rStyle w:val="Rimandonotadichiusura"/>
        </w:rPr>
        <w:endnoteRef/>
      </w:r>
      <w:r>
        <w:t xml:space="preserve"> yourtown</w:t>
      </w:r>
      <w:r w:rsidRPr="000C43D1">
        <w:t xml:space="preserve">, Submission No 16 to the Australian Human Rights Commission, </w:t>
      </w:r>
      <w:r w:rsidRPr="000C43D1">
        <w:rPr>
          <w:i/>
        </w:rPr>
        <w:t>National Children’s Commissioner’s Investigation into Y</w:t>
      </w:r>
      <w:r>
        <w:rPr>
          <w:i/>
        </w:rPr>
        <w:t>oung Parents and their Children</w:t>
      </w:r>
      <w:r>
        <w:t>, 49.</w:t>
      </w:r>
    </w:p>
  </w:endnote>
  <w:endnote w:id="480">
    <w:p w:rsidR="00C3563C" w:rsidRPr="00C033AC" w:rsidRDefault="00C3563C" w:rsidP="00B87D45">
      <w:pPr>
        <w:spacing w:before="0" w:after="0"/>
        <w:rPr>
          <w:sz w:val="20"/>
        </w:rPr>
      </w:pPr>
      <w:r>
        <w:rPr>
          <w:rStyle w:val="Rimandonotadichiusura"/>
        </w:rPr>
        <w:endnoteRef/>
      </w:r>
      <w:r>
        <w:t xml:space="preserve"> </w:t>
      </w:r>
      <w:r w:rsidRPr="00DE4217">
        <w:rPr>
          <w:sz w:val="20"/>
          <w:szCs w:val="20"/>
        </w:rPr>
        <w:t>yo</w:t>
      </w:r>
      <w:r>
        <w:rPr>
          <w:sz w:val="20"/>
        </w:rPr>
        <w:t>urtown</w:t>
      </w:r>
      <w:r w:rsidRPr="00C033AC">
        <w:rPr>
          <w:sz w:val="20"/>
        </w:rPr>
        <w:t xml:space="preserve">, Submission No 16 to the Australian Human Rights Commission, </w:t>
      </w:r>
      <w:r w:rsidRPr="00C033AC">
        <w:rPr>
          <w:i/>
          <w:sz w:val="20"/>
        </w:rPr>
        <w:t>National Children’s Commissioner’s Investigation into Young Parents and their Children</w:t>
      </w:r>
      <w:r w:rsidRPr="00C033AC">
        <w:rPr>
          <w:sz w:val="20"/>
        </w:rPr>
        <w:t>, 49</w:t>
      </w:r>
      <w:r>
        <w:rPr>
          <w:sz w:val="20"/>
        </w:rPr>
        <w:t>.</w:t>
      </w:r>
    </w:p>
  </w:endnote>
  <w:endnote w:id="481">
    <w:p w:rsidR="00C3563C" w:rsidRPr="00822AE4" w:rsidRDefault="00C3563C" w:rsidP="00B87D45">
      <w:pPr>
        <w:pStyle w:val="Testonotadichiusura"/>
        <w:rPr>
          <w:highlight w:val="yellow"/>
        </w:rPr>
      </w:pPr>
      <w:r w:rsidRPr="00822AE4">
        <w:rPr>
          <w:rStyle w:val="Rimandonotadichiusura"/>
        </w:rPr>
        <w:endnoteRef/>
      </w:r>
      <w:r w:rsidRPr="00822AE4">
        <w:t xml:space="preserve"> Department of Social Services, Submission No 49 to the Australian Human Rights Commission, </w:t>
      </w:r>
      <w:r w:rsidRPr="00822AE4">
        <w:rPr>
          <w:i/>
        </w:rPr>
        <w:t>National Children’s Commissioner’s Investigation into Young Parents and their Children.</w:t>
      </w:r>
    </w:p>
  </w:endnote>
  <w:endnote w:id="482">
    <w:p w:rsidR="00C3563C" w:rsidRDefault="00C3563C" w:rsidP="00B87D45">
      <w:pPr>
        <w:pStyle w:val="Testonotadichiusura"/>
      </w:pPr>
      <w:r>
        <w:rPr>
          <w:rStyle w:val="Rimandonotadichiusura"/>
        </w:rPr>
        <w:endnoteRef/>
      </w:r>
      <w:r>
        <w:t xml:space="preserve"> Derived from </w:t>
      </w:r>
      <w:r w:rsidRPr="00C8631A">
        <w:t xml:space="preserve">Department of Social Services, Submission No 49 to the Australian Human Rights Commission, </w:t>
      </w:r>
      <w:r w:rsidRPr="00C8631A">
        <w:rPr>
          <w:i/>
        </w:rPr>
        <w:t>National Children’s Commissioner’s Investigation into Young Parents and their Children</w:t>
      </w:r>
      <w:r>
        <w:t>.</w:t>
      </w:r>
    </w:p>
  </w:endnote>
  <w:endnote w:id="483">
    <w:p w:rsidR="00C3563C" w:rsidRDefault="00C3563C" w:rsidP="00B87D45">
      <w:pPr>
        <w:pStyle w:val="Testonotadichiusura"/>
      </w:pPr>
      <w:r>
        <w:rPr>
          <w:rStyle w:val="Rimandonotadichiusura"/>
        </w:rPr>
        <w:endnoteRef/>
      </w:r>
      <w:r>
        <w:t xml:space="preserve"> </w:t>
      </w:r>
      <w:r w:rsidRPr="006B6128">
        <w:t>Department of Social Services, Submission No 49 to</w:t>
      </w:r>
      <w:r w:rsidRPr="00C568AE">
        <w:t xml:space="preserve"> the Australian Human Rights Commission, </w:t>
      </w:r>
      <w:r w:rsidRPr="00C568AE">
        <w:rPr>
          <w:i/>
        </w:rPr>
        <w:t>National Children’s Commissioner’s Investigation into Young Parents and their Children</w:t>
      </w:r>
      <w:r>
        <w:rPr>
          <w:i/>
        </w:rPr>
        <w:t>.</w:t>
      </w:r>
    </w:p>
  </w:endnote>
  <w:endnote w:id="484">
    <w:p w:rsidR="00C3563C" w:rsidRPr="00530538" w:rsidRDefault="00C3563C" w:rsidP="00B87D45">
      <w:pPr>
        <w:pStyle w:val="Testonotadichiusura"/>
        <w:rPr>
          <w:rFonts w:cs="Arial"/>
        </w:rPr>
      </w:pPr>
      <w:r>
        <w:rPr>
          <w:rStyle w:val="Rimandonotadichiusura"/>
        </w:rPr>
        <w:endnoteRef/>
      </w:r>
      <w:r>
        <w:t xml:space="preserve"> </w:t>
      </w:r>
      <w:r w:rsidRPr="00AB6E9E">
        <w:rPr>
          <w:rFonts w:cs="Arial"/>
        </w:rPr>
        <w:t xml:space="preserve">Australian Bureau of Statistics, ‘Aboriginal and Torres Strait Islander fertility, by age, by state,’ ABS.Stat. At </w:t>
      </w:r>
      <w:hyperlink r:id="rId153" w:history="1">
        <w:r w:rsidRPr="00AB6E9E">
          <w:rPr>
            <w:rStyle w:val="Collegamentoipertestuale"/>
            <w:rFonts w:cs="Arial"/>
          </w:rPr>
          <w:t>http://stat.data.abs.gov.au/Index.aspx?QueryId=503</w:t>
        </w:r>
      </w:hyperlink>
      <w:r>
        <w:rPr>
          <w:rFonts w:cs="Arial"/>
        </w:rPr>
        <w:t xml:space="preserve"> (viewed 28 August 2017).</w:t>
      </w:r>
    </w:p>
  </w:endnote>
  <w:endnote w:id="485">
    <w:p w:rsidR="00C3563C" w:rsidRDefault="00C3563C" w:rsidP="00B87D45">
      <w:pPr>
        <w:pStyle w:val="Testonotadichiusura"/>
      </w:pPr>
      <w:r>
        <w:rPr>
          <w:rStyle w:val="Rimandonotadichiusura"/>
        </w:rPr>
        <w:endnoteRef/>
      </w:r>
      <w:r>
        <w:t xml:space="preserve"> </w:t>
      </w:r>
      <w:r w:rsidRPr="006B6128">
        <w:t>Department of Social Services, Submission No 49 to</w:t>
      </w:r>
      <w:r w:rsidRPr="00C568AE">
        <w:t xml:space="preserve"> the Australian Human Rights Commission, </w:t>
      </w:r>
      <w:r w:rsidRPr="00C568AE">
        <w:rPr>
          <w:i/>
        </w:rPr>
        <w:t>National Children’s Commissioner’s Investigation into Young Parents and their Children.</w:t>
      </w:r>
    </w:p>
  </w:endnote>
  <w:endnote w:id="486">
    <w:p w:rsidR="00C3563C" w:rsidRDefault="00C3563C" w:rsidP="00B87D45">
      <w:pPr>
        <w:pStyle w:val="Testonotadichiusura"/>
      </w:pPr>
      <w:r>
        <w:rPr>
          <w:rStyle w:val="Rimandonotadichiusura"/>
        </w:rPr>
        <w:endnoteRef/>
      </w:r>
      <w:r>
        <w:t xml:space="preserve"> </w:t>
      </w:r>
      <w:r w:rsidRPr="006B6128">
        <w:t>Department of Social Services, Submission No 49 to</w:t>
      </w:r>
      <w:r w:rsidRPr="00C568AE">
        <w:t xml:space="preserve"> the Australian Human Rights Commission, </w:t>
      </w:r>
      <w:r w:rsidRPr="00C568AE">
        <w:rPr>
          <w:i/>
        </w:rPr>
        <w:t>National Children’s Commissioner’s Investigation into Young Parents and their Children.</w:t>
      </w:r>
    </w:p>
  </w:endnote>
  <w:endnote w:id="487">
    <w:p w:rsidR="00C3563C" w:rsidRDefault="00C3563C" w:rsidP="00B87D45">
      <w:pPr>
        <w:pStyle w:val="Testonotadichiusura"/>
      </w:pPr>
      <w:r>
        <w:rPr>
          <w:rStyle w:val="Rimandonotadichiusura"/>
        </w:rPr>
        <w:endnoteRef/>
      </w:r>
      <w:r>
        <w:t xml:space="preserve"> </w:t>
      </w:r>
      <w:r w:rsidRPr="006B6128">
        <w:t>Department of Social Services, Submission No 49 to</w:t>
      </w:r>
      <w:r w:rsidRPr="00C568AE">
        <w:t xml:space="preserve"> the Australian Human Rights Commission, </w:t>
      </w:r>
      <w:r w:rsidRPr="00C568AE">
        <w:rPr>
          <w:i/>
        </w:rPr>
        <w:t>National Children’s Commissioner’s Investigation into Young Parents and their Children.</w:t>
      </w:r>
    </w:p>
  </w:endnote>
  <w:endnote w:id="488">
    <w:p w:rsidR="00C3563C" w:rsidRDefault="00C3563C" w:rsidP="00B87D45">
      <w:pPr>
        <w:pStyle w:val="Testonotadichiusura"/>
      </w:pPr>
      <w:r>
        <w:rPr>
          <w:rStyle w:val="Rimandonotadichiusura"/>
        </w:rPr>
        <w:endnoteRef/>
      </w:r>
      <w:r>
        <w:t xml:space="preserve"> Derived from </w:t>
      </w:r>
      <w:r w:rsidRPr="00C8631A">
        <w:t xml:space="preserve">Department of Social Services, Submission 49 to the Australian Human Rights Commission, </w:t>
      </w:r>
      <w:r w:rsidRPr="00C8631A">
        <w:rPr>
          <w:i/>
        </w:rPr>
        <w:t>National Children’s Commissioner’s Investigation into Young Parents and their Children</w:t>
      </w:r>
      <w:r>
        <w:rPr>
          <w:i/>
        </w:rPr>
        <w:t>.</w:t>
      </w:r>
    </w:p>
  </w:endnote>
  <w:endnote w:id="489">
    <w:p w:rsidR="00C3563C" w:rsidRDefault="00C3563C" w:rsidP="00B87D45">
      <w:pPr>
        <w:pStyle w:val="Testonotadichiusura"/>
      </w:pPr>
      <w:r>
        <w:rPr>
          <w:rStyle w:val="Rimandonotadichiusura"/>
        </w:rPr>
        <w:endnoteRef/>
      </w:r>
      <w:r>
        <w:t xml:space="preserve"> </w:t>
      </w:r>
      <w:r w:rsidRPr="006B6128">
        <w:t>Department of Social Services, Submission No 49 to</w:t>
      </w:r>
      <w:r w:rsidRPr="00C568AE">
        <w:t xml:space="preserve"> the Australian Human Rights Commission, </w:t>
      </w:r>
      <w:r w:rsidRPr="00C568AE">
        <w:rPr>
          <w:i/>
        </w:rPr>
        <w:t>National Children’s Commissioner’s Investigation into Young Parents and their Children</w:t>
      </w:r>
      <w:r>
        <w:rPr>
          <w:i/>
        </w:rPr>
        <w:t>.</w:t>
      </w:r>
    </w:p>
  </w:endnote>
  <w:endnote w:id="490">
    <w:p w:rsidR="00C3563C" w:rsidRDefault="00C3563C" w:rsidP="00B87D45">
      <w:pPr>
        <w:pStyle w:val="Testonotadichiusura"/>
      </w:pPr>
      <w:r>
        <w:rPr>
          <w:rStyle w:val="Rimandonotadichiusura"/>
        </w:rPr>
        <w:endnoteRef/>
      </w:r>
      <w:r>
        <w:t xml:space="preserve"> </w:t>
      </w:r>
      <w:r w:rsidRPr="000D2C2C">
        <w:t>Department of Education, Western Australia</w:t>
      </w:r>
      <w:r>
        <w:t xml:space="preserve">, Submission No 50 to the Australian Human Rights Commission, </w:t>
      </w:r>
      <w:r w:rsidRPr="005930A0">
        <w:rPr>
          <w:i/>
        </w:rPr>
        <w:t>National Children’s Commissioner’s Investigation into Young Parents and their Children</w:t>
      </w:r>
      <w:r>
        <w:t xml:space="preserve">; </w:t>
      </w:r>
      <w:r w:rsidRPr="00A27EC6">
        <w:t>Department of Education and Training, Victoria</w:t>
      </w:r>
      <w:r>
        <w:t xml:space="preserve">, Submission No 51 to the Australian Human Rights Commission, </w:t>
      </w:r>
      <w:r w:rsidRPr="005930A0">
        <w:rPr>
          <w:i/>
        </w:rPr>
        <w:t>National Children’s Commissioner’s Investigation into Young Parents and their Children</w:t>
      </w:r>
      <w:r>
        <w:rPr>
          <w:i/>
        </w:rPr>
        <w:t xml:space="preserve">; </w:t>
      </w:r>
      <w:r w:rsidRPr="00A27EC6">
        <w:t>Department of Education and Training, Queensland</w:t>
      </w:r>
      <w:r>
        <w:t xml:space="preserve">, Submission No 52 to the Australian Human Rights Commission, </w:t>
      </w:r>
      <w:r w:rsidRPr="005930A0">
        <w:rPr>
          <w:i/>
        </w:rPr>
        <w:t>National Children’s Commissioner’s Investigation into Young Parents and their Children</w:t>
      </w:r>
      <w:r>
        <w:rPr>
          <w:i/>
        </w:rPr>
        <w:t xml:space="preserve">; </w:t>
      </w:r>
      <w:r w:rsidRPr="00A27EC6">
        <w:t>NSW Department of Education</w:t>
      </w:r>
      <w:r>
        <w:t xml:space="preserve">, Submission No 53 to the Australian Human Rights Commission, </w:t>
      </w:r>
      <w:r w:rsidRPr="005930A0">
        <w:rPr>
          <w:i/>
        </w:rPr>
        <w:t>National Children’s Commissioner’s Investigation into Young Parents and their Children</w:t>
      </w:r>
      <w:r>
        <w:rPr>
          <w:i/>
        </w:rPr>
        <w:t xml:space="preserve">; </w:t>
      </w:r>
      <w:r w:rsidRPr="00A27EC6">
        <w:t>Department of Education, Tasmania</w:t>
      </w:r>
      <w:r>
        <w:t xml:space="preserve">, Submission No 54 to the Australian Human Rights Commission, </w:t>
      </w:r>
      <w:r w:rsidRPr="005930A0">
        <w:rPr>
          <w:i/>
        </w:rPr>
        <w:t>National Children’s Commissioner’s Investigation into Young Parents and their Children</w:t>
      </w:r>
      <w:r>
        <w:rPr>
          <w:i/>
        </w:rPr>
        <w:t>.</w:t>
      </w:r>
    </w:p>
  </w:endnote>
  <w:endnote w:id="491">
    <w:p w:rsidR="00C3563C" w:rsidRPr="00545F0C" w:rsidRDefault="00C3563C" w:rsidP="00B87D45">
      <w:pPr>
        <w:pStyle w:val="Testonotadichiusura"/>
        <w:rPr>
          <w:i/>
        </w:rPr>
      </w:pPr>
      <w:r>
        <w:rPr>
          <w:rStyle w:val="Rimandonotadichiusura"/>
        </w:rPr>
        <w:endnoteRef/>
      </w:r>
      <w:r>
        <w:t xml:space="preserve"> Department of Education and Training, Queensland, Submission No 52 to the Australian Human Rights Commission, </w:t>
      </w:r>
      <w:r w:rsidRPr="005930A0">
        <w:rPr>
          <w:i/>
        </w:rPr>
        <w:t>National Children’s Commissioner’s Investigation into Young Parents and their Children</w:t>
      </w:r>
      <w:r>
        <w:t xml:space="preserve">; Department of Education and Training, Victoria, Submission No 51 to the Australian Human Rights Commission, </w:t>
      </w:r>
      <w:r w:rsidRPr="00545F0C">
        <w:rPr>
          <w:i/>
        </w:rPr>
        <w:t>National Children’s Commissioner’s Investigation into Young Parents and their Children.</w:t>
      </w:r>
    </w:p>
  </w:endnote>
  <w:endnote w:id="492">
    <w:p w:rsidR="00C3563C" w:rsidRPr="00EF484F" w:rsidRDefault="00C3563C" w:rsidP="00B87D45">
      <w:pPr>
        <w:pStyle w:val="Testonotadichiusura"/>
        <w:rPr>
          <w:rFonts w:cs="Arial"/>
        </w:rPr>
      </w:pPr>
      <w:r>
        <w:rPr>
          <w:rStyle w:val="Rimandonotadichiusura"/>
        </w:rPr>
        <w:endnoteRef/>
      </w:r>
      <w:r>
        <w:t xml:space="preserve"> </w:t>
      </w:r>
      <w:r w:rsidRPr="00D97726">
        <w:rPr>
          <w:rFonts w:cs="Arial"/>
          <w:i/>
          <w:color w:val="000000"/>
          <w:shd w:val="clear" w:color="auto" w:fill="FFFFFF"/>
        </w:rPr>
        <w:t>Convention on the Rights of the Child</w:t>
      </w:r>
      <w:r w:rsidRPr="00D97726">
        <w:rPr>
          <w:rFonts w:cs="Arial"/>
          <w:color w:val="000000"/>
          <w:shd w:val="clear" w:color="auto" w:fill="FFFFFF"/>
        </w:rPr>
        <w:t xml:space="preserve">, opened for signature 20 November 1989, 1577 UNTS 3 (entered into force 2 September 1990). At </w:t>
      </w:r>
      <w:hyperlink r:id="rId154" w:history="1">
        <w:r w:rsidRPr="00E86C4D">
          <w:rPr>
            <w:rStyle w:val="Collegamentoipertestuale"/>
          </w:rPr>
          <w:t>http://www.ohchr.org/EN/ProfessionalInterest/Pages/CRC.aspx</w:t>
        </w:r>
      </w:hyperlink>
      <w:r>
        <w:rPr>
          <w:rFonts w:cs="Arial"/>
          <w:color w:val="000000"/>
          <w:shd w:val="clear" w:color="auto" w:fill="FFFFFF"/>
        </w:rPr>
        <w:t xml:space="preserve"> (viewed 19 September 2017</w:t>
      </w:r>
      <w:r w:rsidRPr="00D97726">
        <w:rPr>
          <w:rFonts w:cs="Arial"/>
          <w:color w:val="000000"/>
          <w:shd w:val="clear" w:color="auto" w:fill="FFFFFF"/>
        </w:rPr>
        <w:t>).</w:t>
      </w:r>
    </w:p>
  </w:endnote>
  <w:endnote w:id="493">
    <w:p w:rsidR="00C3563C" w:rsidRDefault="00C3563C" w:rsidP="00B87D45">
      <w:pPr>
        <w:pStyle w:val="Testonotadichiusura"/>
      </w:pPr>
      <w:r>
        <w:rPr>
          <w:rStyle w:val="Rimandonotadichiusura"/>
        </w:rPr>
        <w:endnoteRef/>
      </w:r>
      <w:r>
        <w:t xml:space="preserve"> </w:t>
      </w:r>
      <w:r w:rsidRPr="00792E55">
        <w:t xml:space="preserve">The Royal Women’s Hospital Submission No 36 to the Australian Human Rights Commission, </w:t>
      </w:r>
      <w:r w:rsidRPr="00792E55">
        <w:rPr>
          <w:i/>
        </w:rPr>
        <w:t xml:space="preserve">National Children’s Commissioner’s Investigation into Young Parents and their Children, </w:t>
      </w:r>
      <w:r w:rsidRPr="00792E55">
        <w:t>2</w:t>
      </w:r>
      <w:r>
        <w:t>.</w:t>
      </w:r>
    </w:p>
  </w:endnote>
  <w:endnote w:id="494">
    <w:p w:rsidR="00C3563C" w:rsidRPr="000447FF" w:rsidRDefault="00C3563C" w:rsidP="00B87D45">
      <w:pPr>
        <w:pStyle w:val="Testonotadichiusura"/>
        <w:rPr>
          <w:color w:val="0070C0"/>
        </w:rPr>
      </w:pPr>
      <w:r w:rsidRPr="000447FF">
        <w:rPr>
          <w:rStyle w:val="Rimandonotadichiusura"/>
        </w:rPr>
        <w:endnoteRef/>
      </w:r>
      <w:r w:rsidRPr="000447FF">
        <w:t xml:space="preserve"> </w:t>
      </w:r>
      <w:r>
        <w:t>Richard Fletcher and Jennifer</w:t>
      </w:r>
      <w:r w:rsidRPr="000447FF">
        <w:t xml:space="preserve"> StGeorge,</w:t>
      </w:r>
      <w:r>
        <w:t xml:space="preserve"> </w:t>
      </w:r>
      <w:r w:rsidRPr="000447FF">
        <w:t xml:space="preserve">Submission No 30 to </w:t>
      </w:r>
      <w:r>
        <w:t xml:space="preserve">the </w:t>
      </w:r>
      <w:r w:rsidRPr="000447FF">
        <w:t xml:space="preserve">Australian Human Rights Commission, </w:t>
      </w:r>
      <w:r w:rsidRPr="000447FF">
        <w:rPr>
          <w:i/>
          <w:iCs/>
        </w:rPr>
        <w:t xml:space="preserve">National Children’s Commissioner’s </w:t>
      </w:r>
      <w:r>
        <w:rPr>
          <w:i/>
          <w:iCs/>
        </w:rPr>
        <w:t>I</w:t>
      </w:r>
      <w:r w:rsidRPr="000447FF">
        <w:rPr>
          <w:i/>
          <w:iCs/>
        </w:rPr>
        <w:t>nvestigation into Young Parents and their Children</w:t>
      </w:r>
      <w:r w:rsidRPr="000447FF">
        <w:rPr>
          <w:iCs/>
        </w:rPr>
        <w:t>, 2</w:t>
      </w:r>
      <w:r>
        <w:rPr>
          <w:iCs/>
        </w:rPr>
        <w:t>.</w:t>
      </w:r>
    </w:p>
  </w:endnote>
  <w:endnote w:id="495">
    <w:p w:rsidR="00C3563C" w:rsidRPr="00B14F99" w:rsidRDefault="00C3563C" w:rsidP="00B87D45">
      <w:pPr>
        <w:pStyle w:val="Testonotadichiusura"/>
      </w:pPr>
      <w:r>
        <w:rPr>
          <w:rStyle w:val="Rimandonotadichiusura"/>
        </w:rPr>
        <w:endnoteRef/>
      </w:r>
      <w:r>
        <w:t xml:space="preserve"> Department of Family and Community Services (FaCS) NSW, Submission No 39 to the Australian Human Rights Commission, </w:t>
      </w:r>
      <w:r>
        <w:rPr>
          <w:i/>
          <w:iCs/>
        </w:rPr>
        <w:t>National Children’s Commissioner’s investigation into Young Parents and their Children</w:t>
      </w:r>
      <w:r>
        <w:t xml:space="preserve">, 4; The Association of Women Educators Inc, Submission No 37 to the Australian Human Rights Commission, </w:t>
      </w:r>
      <w:r>
        <w:rPr>
          <w:i/>
          <w:iCs/>
        </w:rPr>
        <w:t>National Children’s Commissioner’s Investigation into Young Parents and their Children</w:t>
      </w:r>
      <w:r>
        <w:t xml:space="preserve">, 2; Commission for Children and Young people, Western Australia, </w:t>
      </w:r>
      <w:r w:rsidRPr="00BD1E50">
        <w:t xml:space="preserve">Submission No 31 to </w:t>
      </w:r>
      <w:r>
        <w:t xml:space="preserve">the </w:t>
      </w:r>
      <w:r w:rsidRPr="00BD1E50">
        <w:t xml:space="preserve">Australian Human Rights Commission, </w:t>
      </w:r>
      <w:r w:rsidRPr="00BD1E50">
        <w:rPr>
          <w:i/>
          <w:iCs/>
        </w:rPr>
        <w:t xml:space="preserve">National Children’s Commissioner’s </w:t>
      </w:r>
      <w:r>
        <w:rPr>
          <w:i/>
          <w:iCs/>
        </w:rPr>
        <w:t>I</w:t>
      </w:r>
      <w:r w:rsidRPr="00BD1E50">
        <w:rPr>
          <w:i/>
          <w:iCs/>
        </w:rPr>
        <w:t>nvestigation into Young Parents and their Children</w:t>
      </w:r>
      <w:r>
        <w:rPr>
          <w:iCs/>
        </w:rPr>
        <w:t xml:space="preserve">, 2; </w:t>
      </w:r>
      <w:r w:rsidRPr="00030D01">
        <w:t xml:space="preserve">Advocate for Children and Young People NSW, Submission No 35 to </w:t>
      </w:r>
      <w:r>
        <w:t xml:space="preserve">the </w:t>
      </w:r>
      <w:r w:rsidRPr="00030D01">
        <w:t xml:space="preserve">Australian Human Rights Commission, </w:t>
      </w:r>
      <w:r w:rsidRPr="00030D01">
        <w:rPr>
          <w:i/>
          <w:iCs/>
        </w:rPr>
        <w:t>National Children’s Commissioner’s investigation into Young Parents and their Children</w:t>
      </w:r>
      <w:r>
        <w:rPr>
          <w:iCs/>
        </w:rPr>
        <w:t>, 2.</w:t>
      </w:r>
    </w:p>
  </w:endnote>
  <w:endnote w:id="496">
    <w:p w:rsidR="00C3563C" w:rsidRPr="001E55CE" w:rsidRDefault="00C3563C" w:rsidP="00B87D45">
      <w:pPr>
        <w:pStyle w:val="Testonotadichiusura"/>
      </w:pPr>
      <w:r>
        <w:rPr>
          <w:rStyle w:val="Rimandonotadichiusura"/>
        </w:rPr>
        <w:endnoteRef/>
      </w:r>
      <w:r>
        <w:t xml:space="preserve"> Victorian Aboriginal Child Care Agency (VACCA), Submission No 42 to the Australian Human Rights Commission, </w:t>
      </w:r>
      <w:r>
        <w:rPr>
          <w:i/>
          <w:iCs/>
        </w:rPr>
        <w:t>National Children’s Commissioner’s Investigation into Young Parents and their Children</w:t>
      </w:r>
      <w:r>
        <w:rPr>
          <w:iCs/>
        </w:rPr>
        <w:t>, 2.</w:t>
      </w:r>
    </w:p>
  </w:endnote>
  <w:endnote w:id="497">
    <w:p w:rsidR="00C3563C" w:rsidRPr="00AF020C" w:rsidRDefault="00C3563C" w:rsidP="00B87D45">
      <w:pPr>
        <w:pStyle w:val="Testonotadichiusura"/>
      </w:pPr>
      <w:r>
        <w:rPr>
          <w:rStyle w:val="Rimandonotadichiusura"/>
        </w:rPr>
        <w:endnoteRef/>
      </w:r>
      <w:r>
        <w:t xml:space="preserve"> </w:t>
      </w:r>
      <w:r w:rsidRPr="009C15B5">
        <w:t xml:space="preserve">Philip Mendes and Jade Purtell, Submission No 4 to </w:t>
      </w:r>
      <w:r>
        <w:t xml:space="preserve">the </w:t>
      </w:r>
      <w:r w:rsidRPr="009C15B5">
        <w:t xml:space="preserve">Australian Human Rights Commission, </w:t>
      </w:r>
      <w:r w:rsidRPr="009C15B5">
        <w:rPr>
          <w:i/>
          <w:iCs/>
        </w:rPr>
        <w:t xml:space="preserve">National Children’s Commissioner’s </w:t>
      </w:r>
      <w:r>
        <w:rPr>
          <w:i/>
          <w:iCs/>
        </w:rPr>
        <w:t>I</w:t>
      </w:r>
      <w:r w:rsidRPr="009C15B5">
        <w:rPr>
          <w:i/>
          <w:iCs/>
        </w:rPr>
        <w:t>nvestigation into Young Parents and their Children</w:t>
      </w:r>
      <w:r>
        <w:rPr>
          <w:iCs/>
        </w:rPr>
        <w:t xml:space="preserve">, 3-4; </w:t>
      </w:r>
      <w:r w:rsidRPr="00AF020C">
        <w:t xml:space="preserve">SYC </w:t>
      </w:r>
      <w:r>
        <w:t>Limited</w:t>
      </w:r>
      <w:r w:rsidRPr="00AF020C">
        <w:t xml:space="preserve">, Submission No 31 to </w:t>
      </w:r>
      <w:r>
        <w:t xml:space="preserve">the </w:t>
      </w:r>
      <w:r w:rsidRPr="00AF020C">
        <w:t xml:space="preserve">Australian Human Rights Commission, </w:t>
      </w:r>
      <w:r w:rsidRPr="00AF020C">
        <w:rPr>
          <w:i/>
          <w:iCs/>
        </w:rPr>
        <w:t xml:space="preserve">National Children’s Commissioner’s </w:t>
      </w:r>
      <w:r>
        <w:rPr>
          <w:i/>
          <w:iCs/>
        </w:rPr>
        <w:t>I</w:t>
      </w:r>
      <w:r w:rsidRPr="00AF020C">
        <w:rPr>
          <w:i/>
          <w:iCs/>
        </w:rPr>
        <w:t>nvestigation into Young Parents and their Children</w:t>
      </w:r>
      <w:r w:rsidRPr="009968DA">
        <w:rPr>
          <w:iCs/>
        </w:rPr>
        <w:t>,</w:t>
      </w:r>
      <w:r w:rsidRPr="00EF273F">
        <w:rPr>
          <w:iCs/>
        </w:rPr>
        <w:t>1</w:t>
      </w:r>
      <w:r>
        <w:rPr>
          <w:iCs/>
        </w:rPr>
        <w:t>.</w:t>
      </w:r>
    </w:p>
  </w:endnote>
  <w:endnote w:id="498">
    <w:p w:rsidR="00C3563C" w:rsidRPr="000056B3" w:rsidRDefault="00C3563C" w:rsidP="00B87D45">
      <w:pPr>
        <w:pStyle w:val="Testonotadichiusura"/>
      </w:pPr>
      <w:r>
        <w:rPr>
          <w:rStyle w:val="Rimandonotadichiusura"/>
        </w:rPr>
        <w:endnoteRef/>
      </w:r>
      <w:r>
        <w:t xml:space="preserve"> yourtown</w:t>
      </w:r>
      <w:r w:rsidRPr="00F64CA6">
        <w:t xml:space="preserve">, Submission No 16 to </w:t>
      </w:r>
      <w:r>
        <w:t xml:space="preserve">the </w:t>
      </w:r>
      <w:r w:rsidRPr="00F64CA6">
        <w:t xml:space="preserve">Australian Human Rights Commission, </w:t>
      </w:r>
      <w:r w:rsidRPr="00F64CA6">
        <w:rPr>
          <w:i/>
          <w:iCs/>
        </w:rPr>
        <w:t xml:space="preserve">National Children’s Commissioner’s </w:t>
      </w:r>
      <w:r>
        <w:rPr>
          <w:i/>
          <w:iCs/>
        </w:rPr>
        <w:t>I</w:t>
      </w:r>
      <w:r w:rsidRPr="00F64CA6">
        <w:rPr>
          <w:i/>
          <w:iCs/>
        </w:rPr>
        <w:t>nvestigation into Young Parents and their Children</w:t>
      </w:r>
      <w:r w:rsidRPr="00F64CA6">
        <w:rPr>
          <w:iCs/>
        </w:rPr>
        <w:t>, 16</w:t>
      </w:r>
      <w:r w:rsidRPr="000056B3">
        <w:t xml:space="preserve">; NSW Family Planning, Submission No 23 to </w:t>
      </w:r>
      <w:r>
        <w:t xml:space="preserve">the </w:t>
      </w:r>
      <w:r w:rsidRPr="000056B3">
        <w:t xml:space="preserve">Australian Human Rights Commission, </w:t>
      </w:r>
      <w:r w:rsidRPr="000056B3">
        <w:rPr>
          <w:i/>
          <w:iCs/>
        </w:rPr>
        <w:t xml:space="preserve">National Children’s Commissioner’s </w:t>
      </w:r>
      <w:r>
        <w:rPr>
          <w:i/>
          <w:iCs/>
        </w:rPr>
        <w:t>I</w:t>
      </w:r>
      <w:r w:rsidRPr="000056B3">
        <w:rPr>
          <w:i/>
          <w:iCs/>
        </w:rPr>
        <w:t>nvestigation into Young Parents and their Children</w:t>
      </w:r>
      <w:r w:rsidRPr="000056B3">
        <w:rPr>
          <w:iCs/>
        </w:rPr>
        <w:t>, 2</w:t>
      </w:r>
      <w:r>
        <w:rPr>
          <w:iCs/>
        </w:rPr>
        <w:t>.</w:t>
      </w:r>
      <w:r w:rsidRPr="000056B3">
        <w:rPr>
          <w:iCs/>
        </w:rPr>
        <w:t xml:space="preserve"> </w:t>
      </w:r>
    </w:p>
  </w:endnote>
  <w:endnote w:id="499">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(2017).</w:t>
      </w:r>
    </w:p>
  </w:endnote>
  <w:endnote w:id="500">
    <w:p w:rsidR="00C3563C" w:rsidRPr="000056B3" w:rsidRDefault="00C3563C" w:rsidP="00B87D45">
      <w:pPr>
        <w:pStyle w:val="Testonotadichiusura"/>
      </w:pPr>
      <w:r>
        <w:rPr>
          <w:rStyle w:val="Rimandonotadichiusura"/>
        </w:rPr>
        <w:endnoteRef/>
      </w:r>
      <w:r>
        <w:t xml:space="preserve"> </w:t>
      </w:r>
      <w:r w:rsidRPr="00000533">
        <w:t>Rachel Skinner, Jennifer Marino, Martha Hickey, Deborah Bateson, and Lucy Lewis, Submission No 32 to</w:t>
      </w:r>
      <w:r w:rsidRPr="00C1125C">
        <w:t xml:space="preserve"> </w:t>
      </w:r>
      <w:r>
        <w:t>the</w:t>
      </w:r>
      <w:r w:rsidRPr="00000533">
        <w:t xml:space="preserve"> Australian Human Rights Commission, </w:t>
      </w:r>
      <w:r w:rsidRPr="00000533">
        <w:rPr>
          <w:i/>
          <w:iCs/>
        </w:rPr>
        <w:t xml:space="preserve">National Children’s Commissioner’s </w:t>
      </w:r>
      <w:r>
        <w:rPr>
          <w:i/>
          <w:iCs/>
        </w:rPr>
        <w:t>I</w:t>
      </w:r>
      <w:r w:rsidRPr="00000533">
        <w:rPr>
          <w:i/>
          <w:iCs/>
        </w:rPr>
        <w:t>nvestigation into Young Parents and their Children,</w:t>
      </w:r>
      <w:r w:rsidRPr="00000533">
        <w:rPr>
          <w:iCs/>
        </w:rPr>
        <w:t xml:space="preserve"> 9 citing S Madigan</w:t>
      </w:r>
      <w:r>
        <w:rPr>
          <w:iCs/>
        </w:rPr>
        <w:t xml:space="preserve"> </w:t>
      </w:r>
      <w:r w:rsidRPr="00000533">
        <w:rPr>
          <w:iCs/>
        </w:rPr>
        <w:t xml:space="preserve">et al ‘Association between abuse history and adolescent pregnancy: a metaanalysis’ (2014) 55(2) </w:t>
      </w:r>
      <w:r w:rsidRPr="00000533">
        <w:rPr>
          <w:i/>
          <w:iCs/>
        </w:rPr>
        <w:t>Journal of Adolescent Health</w:t>
      </w:r>
      <w:r>
        <w:rPr>
          <w:iCs/>
        </w:rPr>
        <w:t xml:space="preserve"> 151–</w:t>
      </w:r>
      <w:r w:rsidRPr="00000533">
        <w:rPr>
          <w:iCs/>
        </w:rPr>
        <w:t>159;</w:t>
      </w:r>
      <w:r w:rsidRPr="00000533">
        <w:rPr>
          <w:i/>
          <w:iCs/>
        </w:rPr>
        <w:t xml:space="preserve"> </w:t>
      </w:r>
      <w:r w:rsidRPr="00000533">
        <w:t xml:space="preserve">NSW Family Planning, Submission No 23 to </w:t>
      </w:r>
      <w:r>
        <w:t xml:space="preserve">the </w:t>
      </w:r>
      <w:r w:rsidRPr="00000533">
        <w:t xml:space="preserve">Australian Human Rights Commission, </w:t>
      </w:r>
      <w:r w:rsidRPr="00000533">
        <w:rPr>
          <w:i/>
          <w:iCs/>
        </w:rPr>
        <w:t xml:space="preserve">National Children’s </w:t>
      </w:r>
      <w:r w:rsidRPr="000056B3">
        <w:rPr>
          <w:i/>
          <w:iCs/>
        </w:rPr>
        <w:t>Commissioner’s investigation into Young Parents and their Children</w:t>
      </w:r>
      <w:r w:rsidRPr="000056B3">
        <w:rPr>
          <w:iCs/>
        </w:rPr>
        <w:t>, 2</w:t>
      </w:r>
      <w:r>
        <w:rPr>
          <w:iCs/>
        </w:rPr>
        <w:t>.</w:t>
      </w:r>
    </w:p>
  </w:endnote>
  <w:endnote w:id="501">
    <w:p w:rsidR="00C3563C" w:rsidRDefault="00C3563C" w:rsidP="00B87D45">
      <w:pPr>
        <w:pStyle w:val="Testonotadichiusura"/>
      </w:pPr>
      <w:r w:rsidRPr="00526F78">
        <w:rPr>
          <w:rStyle w:val="Rimandonotadichiusura"/>
        </w:rPr>
        <w:endnoteRef/>
      </w:r>
      <w:r w:rsidRPr="00526F78">
        <w:t xml:space="preserve"> Gail Winkworth and Morag McArthur, Submission No 12 to </w:t>
      </w:r>
      <w:r>
        <w:t xml:space="preserve">the </w:t>
      </w:r>
      <w:r w:rsidRPr="00526F78">
        <w:t xml:space="preserve">Australian Human Rights Commission, </w:t>
      </w:r>
      <w:r w:rsidRPr="00526F78">
        <w:rPr>
          <w:i/>
          <w:iCs/>
        </w:rPr>
        <w:t xml:space="preserve">National Children’s Commissioner’s </w:t>
      </w:r>
      <w:r>
        <w:rPr>
          <w:i/>
          <w:iCs/>
        </w:rPr>
        <w:t>I</w:t>
      </w:r>
      <w:r w:rsidRPr="00526F78">
        <w:rPr>
          <w:i/>
          <w:iCs/>
        </w:rPr>
        <w:t>nvestigation into Young Parents and their Children</w:t>
      </w:r>
      <w:r>
        <w:rPr>
          <w:iCs/>
        </w:rPr>
        <w:t>, 2</w:t>
      </w:r>
      <w:r w:rsidRPr="00526F78">
        <w:rPr>
          <w:i/>
          <w:iCs/>
        </w:rPr>
        <w:t>.</w:t>
      </w:r>
    </w:p>
  </w:endnote>
  <w:endnote w:id="502">
    <w:p w:rsidR="00C3563C" w:rsidRPr="008A70F3" w:rsidRDefault="00C3563C" w:rsidP="00B87D45">
      <w:pPr>
        <w:pStyle w:val="Testonotadichiusura"/>
      </w:pPr>
      <w:r>
        <w:rPr>
          <w:rStyle w:val="Rimandonotadichiusura"/>
        </w:rPr>
        <w:endnoteRef/>
      </w:r>
      <w:r>
        <w:t xml:space="preserve"> </w:t>
      </w:r>
      <w:r w:rsidRPr="008A70F3">
        <w:t xml:space="preserve">SYC Limited, Submission No 31 to </w:t>
      </w:r>
      <w:r>
        <w:t xml:space="preserve">the </w:t>
      </w:r>
      <w:r w:rsidRPr="008A70F3">
        <w:t xml:space="preserve">Australian Human Rights Commission, </w:t>
      </w:r>
      <w:r w:rsidRPr="008A70F3">
        <w:rPr>
          <w:i/>
          <w:iCs/>
        </w:rPr>
        <w:t xml:space="preserve">National Children’s Commissioner’s </w:t>
      </w:r>
      <w:r>
        <w:rPr>
          <w:i/>
          <w:iCs/>
        </w:rPr>
        <w:t>I</w:t>
      </w:r>
      <w:r w:rsidRPr="008A70F3">
        <w:rPr>
          <w:i/>
          <w:iCs/>
        </w:rPr>
        <w:t>nvestigation into Young Parents and their Children</w:t>
      </w:r>
      <w:r w:rsidRPr="008A70F3">
        <w:rPr>
          <w:iCs/>
        </w:rPr>
        <w:t>, 3</w:t>
      </w:r>
      <w:r>
        <w:rPr>
          <w:iCs/>
        </w:rPr>
        <w:t>.</w:t>
      </w:r>
    </w:p>
  </w:endnote>
  <w:endnote w:id="503">
    <w:p w:rsidR="00C3563C" w:rsidRDefault="00C3563C" w:rsidP="00B87D45">
      <w:pPr>
        <w:pStyle w:val="Testonotadichiusura"/>
      </w:pPr>
      <w:r>
        <w:rPr>
          <w:rStyle w:val="Rimandonotadichiusura"/>
        </w:rPr>
        <w:endnoteRef/>
      </w:r>
      <w:r>
        <w:t xml:space="preserve"> Advocate for Children and Young People NSW, Submission No 35 to the Australian Human Rights Commission, </w:t>
      </w:r>
      <w:r>
        <w:rPr>
          <w:i/>
          <w:iCs/>
        </w:rPr>
        <w:t>National Children’s Commissioner’s Investigation into Young Parents and their Children</w:t>
      </w:r>
      <w:r>
        <w:t>, 2.</w:t>
      </w:r>
    </w:p>
  </w:endnote>
  <w:endnote w:id="504">
    <w:p w:rsidR="00C3563C" w:rsidRDefault="00C3563C" w:rsidP="00B87D45">
      <w:pPr>
        <w:pStyle w:val="Testonotadichiusura"/>
      </w:pPr>
      <w:r>
        <w:rPr>
          <w:rStyle w:val="Rimandonotadichiusura"/>
        </w:rPr>
        <w:endnoteRef/>
      </w:r>
      <w:r>
        <w:t xml:space="preserve"> yourtown, Submission No 16 to the Australian Human Rights Commission, </w:t>
      </w:r>
      <w:r>
        <w:rPr>
          <w:i/>
          <w:iCs/>
        </w:rPr>
        <w:t>National Children’s Commissioner’s Investigation into Young Parents and their Children</w:t>
      </w:r>
      <w:r w:rsidRPr="009968DA">
        <w:rPr>
          <w:iCs/>
        </w:rPr>
        <w:t>;</w:t>
      </w:r>
      <w:r>
        <w:rPr>
          <w:i/>
          <w:iCs/>
        </w:rPr>
        <w:t xml:space="preserve"> </w:t>
      </w:r>
      <w:r w:rsidRPr="00526F78">
        <w:t>Gail Winkworth and Morag McArthur</w:t>
      </w:r>
      <w:r>
        <w:t xml:space="preserve">, Submission No 12 to the Australian Human Rights Commission, </w:t>
      </w:r>
      <w:r>
        <w:rPr>
          <w:i/>
          <w:iCs/>
        </w:rPr>
        <w:t>National Children’s Commissioner’s Investigation into Young Parents and their Children</w:t>
      </w:r>
      <w:r w:rsidRPr="000A7B2E">
        <w:rPr>
          <w:iCs/>
        </w:rPr>
        <w:t>, 2.</w:t>
      </w:r>
    </w:p>
  </w:endnote>
  <w:endnote w:id="505">
    <w:p w:rsidR="00C3563C" w:rsidRPr="009D0C48" w:rsidRDefault="00C3563C" w:rsidP="00B87D45">
      <w:pPr>
        <w:pStyle w:val="Testonotadichiusura"/>
        <w:rPr>
          <w:color w:val="FF0000"/>
        </w:rPr>
      </w:pPr>
      <w:r w:rsidRPr="00FF6402">
        <w:rPr>
          <w:rStyle w:val="Rimandonotadichiusura"/>
        </w:rPr>
        <w:endnoteRef/>
      </w:r>
      <w:r w:rsidRPr="00FF6402">
        <w:t xml:space="preserve"> Parenting </w:t>
      </w:r>
      <w:r w:rsidRPr="00C1125C">
        <w:t>Research Centre</w:t>
      </w:r>
      <w:r>
        <w:t>:</w:t>
      </w:r>
      <w:r w:rsidRPr="00C1125C">
        <w:t xml:space="preserve"> Murdoch Children’s Research Institute, Submission No 13 to the Australian Human Rights Commission, </w:t>
      </w:r>
      <w:r w:rsidRPr="00C1125C">
        <w:rPr>
          <w:i/>
        </w:rPr>
        <w:t>National Children’s Commissioner’s Investigation into Young Parents and their Children</w:t>
      </w:r>
      <w:r w:rsidRPr="009968DA">
        <w:t>,</w:t>
      </w:r>
      <w:r w:rsidRPr="00C1125C">
        <w:rPr>
          <w:i/>
        </w:rPr>
        <w:t xml:space="preserve"> </w:t>
      </w:r>
      <w:r w:rsidRPr="00C1125C">
        <w:t>6.</w:t>
      </w:r>
    </w:p>
  </w:endnote>
  <w:endnote w:id="506">
    <w:p w:rsidR="00C3563C" w:rsidRPr="000631B8" w:rsidRDefault="00C3563C" w:rsidP="00B87D45">
      <w:pPr>
        <w:pStyle w:val="Testonotadichiusura"/>
      </w:pPr>
      <w:r w:rsidRPr="000631B8">
        <w:rPr>
          <w:rStyle w:val="Rimandonotadichiusura"/>
        </w:rPr>
        <w:endnoteRef/>
      </w:r>
      <w:r w:rsidRPr="000631B8">
        <w:t xml:space="preserve"> Victorian Aboriginal Child Care Agency</w:t>
      </w:r>
      <w:r>
        <w:t xml:space="preserve"> (VACCA)</w:t>
      </w:r>
      <w:r w:rsidRPr="000631B8">
        <w:t xml:space="preserve">, Submission No 42 to the Australian Human Rights Commission, </w:t>
      </w:r>
      <w:r w:rsidRPr="000631B8">
        <w:rPr>
          <w:i/>
        </w:rPr>
        <w:t>National Children’s Commissioner’s Investigation into Young Parents and their Children</w:t>
      </w:r>
      <w:r w:rsidRPr="009968DA">
        <w:t xml:space="preserve">, </w:t>
      </w:r>
      <w:r w:rsidRPr="000631B8">
        <w:t>12</w:t>
      </w:r>
      <w:r w:rsidRPr="000631B8">
        <w:rPr>
          <w:i/>
        </w:rPr>
        <w:t xml:space="preserve">; </w:t>
      </w:r>
      <w:r w:rsidRPr="000631B8">
        <w:t>Advocate for Children and Young People</w:t>
      </w:r>
      <w:r>
        <w:t xml:space="preserve"> NSW</w:t>
      </w:r>
      <w:r w:rsidRPr="000631B8">
        <w:t xml:space="preserve">, Submission No 35 to the Australian Human Rights Commission, </w:t>
      </w:r>
      <w:r w:rsidRPr="000631B8">
        <w:rPr>
          <w:i/>
        </w:rPr>
        <w:t>National Children’s Commissioner’s Investigation into Y</w:t>
      </w:r>
      <w:r>
        <w:rPr>
          <w:i/>
        </w:rPr>
        <w:t>oung Parents and their Children</w:t>
      </w:r>
      <w:r w:rsidRPr="009968DA">
        <w:t xml:space="preserve">, </w:t>
      </w:r>
      <w:r w:rsidRPr="000631B8">
        <w:t>3</w:t>
      </w:r>
      <w:r w:rsidRPr="000631B8">
        <w:rPr>
          <w:i/>
        </w:rPr>
        <w:t>.</w:t>
      </w:r>
    </w:p>
  </w:endnote>
  <w:endnote w:id="507">
    <w:p w:rsidR="00C3563C" w:rsidRPr="00894D83" w:rsidRDefault="00C3563C" w:rsidP="00B87D45">
      <w:pPr>
        <w:pStyle w:val="Testonotadichiusura"/>
      </w:pPr>
      <w:r w:rsidRPr="00894D83">
        <w:rPr>
          <w:rStyle w:val="Rimandonotadichiusura"/>
        </w:rPr>
        <w:endnoteRef/>
      </w:r>
      <w:r w:rsidRPr="00894D83">
        <w:t xml:space="preserve"> CREATE Foundation, Submission No 24 to the Australian Human Rights Commission, </w:t>
      </w:r>
      <w:r w:rsidRPr="00894D83">
        <w:rPr>
          <w:i/>
        </w:rPr>
        <w:t>National Children’s Commissioner’s Investigation into Young Parents and their Children</w:t>
      </w:r>
      <w:r w:rsidRPr="009968DA">
        <w:t>,</w:t>
      </w:r>
      <w:r w:rsidRPr="00894D83">
        <w:rPr>
          <w:i/>
        </w:rPr>
        <w:t xml:space="preserve"> </w:t>
      </w:r>
      <w:r w:rsidRPr="00894D83">
        <w:t>2.</w:t>
      </w:r>
    </w:p>
  </w:endnote>
  <w:endnote w:id="508">
    <w:p w:rsidR="00C3563C" w:rsidRPr="009D0C48" w:rsidRDefault="00C3563C" w:rsidP="00B87D45">
      <w:pPr>
        <w:pStyle w:val="Testonotadichiusura"/>
        <w:rPr>
          <w:color w:val="FF0000"/>
        </w:rPr>
      </w:pPr>
      <w:r w:rsidRPr="00894D83">
        <w:rPr>
          <w:rStyle w:val="Rimandonotadichiusura"/>
        </w:rPr>
        <w:endnoteRef/>
      </w:r>
      <w:r w:rsidRPr="00894D83">
        <w:t xml:space="preserve"> Roundtable</w:t>
      </w:r>
      <w:r>
        <w:t xml:space="preserve"> Discussion</w:t>
      </w:r>
      <w:r w:rsidRPr="00894D83">
        <w:t xml:space="preserve">, </w:t>
      </w:r>
      <w:r w:rsidRPr="00E34166">
        <w:rPr>
          <w:i/>
        </w:rPr>
        <w:t>National Children’s Commissioner’s Investigation into Young Parents and their Children</w:t>
      </w:r>
      <w:r w:rsidRPr="00894D83">
        <w:t xml:space="preserve"> (2017).</w:t>
      </w:r>
    </w:p>
  </w:endnote>
  <w:endnote w:id="509">
    <w:p w:rsidR="00C3563C" w:rsidRPr="00FF6402" w:rsidRDefault="00C3563C" w:rsidP="00B87D45">
      <w:pPr>
        <w:pStyle w:val="Testonotadichiusura"/>
      </w:pPr>
      <w:r w:rsidRPr="00FF6402">
        <w:rPr>
          <w:rStyle w:val="Rimandonotadichiusura"/>
        </w:rPr>
        <w:endnoteRef/>
      </w:r>
      <w:r w:rsidRPr="00FF6402">
        <w:t xml:space="preserve"> New South Wales Family Planning, Submission No 23 to the Australian Human Rights Commission, </w:t>
      </w:r>
      <w:r w:rsidRPr="00FF6402">
        <w:rPr>
          <w:i/>
        </w:rPr>
        <w:t xml:space="preserve">National Children’s Commissioner’s Investigation into Young Parents and their Children, </w:t>
      </w:r>
      <w:r w:rsidRPr="00FF6402">
        <w:t>2</w:t>
      </w:r>
      <w:r w:rsidRPr="00FF6402">
        <w:rPr>
          <w:i/>
        </w:rPr>
        <w:t xml:space="preserve">; </w:t>
      </w:r>
      <w:r w:rsidRPr="00FF6402">
        <w:t xml:space="preserve">CREATE Foundation, Submission No 24 to the Australian Human Rights Commission, </w:t>
      </w:r>
      <w:r w:rsidRPr="00FF6402">
        <w:rPr>
          <w:i/>
        </w:rPr>
        <w:t>National Children’s Commissioner’s Investigation into Young Parents and their Children</w:t>
      </w:r>
      <w:r w:rsidRPr="00D35FDE">
        <w:t>,</w:t>
      </w:r>
      <w:r w:rsidRPr="00FF6402">
        <w:rPr>
          <w:i/>
        </w:rPr>
        <w:t xml:space="preserve"> </w:t>
      </w:r>
      <w:r w:rsidRPr="00FF6402">
        <w:t>2</w:t>
      </w:r>
      <w:r w:rsidRPr="00FF6402">
        <w:rPr>
          <w:i/>
        </w:rPr>
        <w:t xml:space="preserve">; </w:t>
      </w:r>
      <w:r w:rsidRPr="00FF6402">
        <w:t>Parenting Research Centre</w:t>
      </w:r>
      <w:r>
        <w:t>:</w:t>
      </w:r>
      <w:r w:rsidRPr="00FF6402">
        <w:t xml:space="preserve"> Murdoch Children’s Research Institute, Submission No 13 to the Australian Human Rights Commission, </w:t>
      </w:r>
      <w:r w:rsidRPr="00FF6402">
        <w:rPr>
          <w:i/>
        </w:rPr>
        <w:t xml:space="preserve">National Children’s Commissioner’s Investigation into Young Parents and their Children, </w:t>
      </w:r>
      <w:r w:rsidRPr="00FF6402">
        <w:t>9.</w:t>
      </w:r>
    </w:p>
  </w:endnote>
  <w:endnote w:id="510">
    <w:p w:rsidR="00C3563C" w:rsidRDefault="00C3563C" w:rsidP="00B87D45">
      <w:pPr>
        <w:pStyle w:val="Testonotadichiusura"/>
      </w:pPr>
      <w:r>
        <w:rPr>
          <w:rStyle w:val="Rimandonotadichiusura"/>
        </w:rPr>
        <w:endnoteRef/>
      </w:r>
      <w:r>
        <w:t xml:space="preserve"> </w:t>
      </w:r>
      <w:r w:rsidRPr="00894D83">
        <w:t xml:space="preserve">CREATE Foundation, Submission No 24 to the Australian Human Rights Commission, </w:t>
      </w:r>
      <w:r w:rsidRPr="00894D83">
        <w:rPr>
          <w:i/>
        </w:rPr>
        <w:t>National Children’s Commissioner’s Investigation into Young Parents and their Children</w:t>
      </w:r>
      <w:r w:rsidRPr="00D35FDE">
        <w:t>,</w:t>
      </w:r>
      <w:r w:rsidRPr="00894D83">
        <w:rPr>
          <w:i/>
        </w:rPr>
        <w:t xml:space="preserve"> </w:t>
      </w:r>
      <w:r>
        <w:t xml:space="preserve">2, citing </w:t>
      </w:r>
      <w:r w:rsidRPr="00010CE7">
        <w:t>Morag McArt</w:t>
      </w:r>
      <w:r>
        <w:t>hur and Erin Barry,</w:t>
      </w:r>
      <w:r w:rsidRPr="00010CE7">
        <w:t xml:space="preserve"> </w:t>
      </w:r>
      <w:r>
        <w:t>‘</w:t>
      </w:r>
      <w:r w:rsidRPr="00010CE7">
        <w:t>Y</w:t>
      </w:r>
      <w:r>
        <w:t>ounger mothers: Stigma and Support’ (</w:t>
      </w:r>
      <w:r w:rsidRPr="00355B4F">
        <w:t>Research to Practice Series</w:t>
      </w:r>
      <w:r>
        <w:t xml:space="preserve">, 3, 1–6 Canberra: Institute of Child Protection Studies, ACU, 2013) </w:t>
      </w:r>
    </w:p>
  </w:endnote>
  <w:endnote w:id="511">
    <w:p w:rsidR="00C3563C" w:rsidRDefault="00C3563C" w:rsidP="00B87D45">
      <w:pPr>
        <w:pStyle w:val="Testonotadichiusura"/>
      </w:pPr>
      <w:r>
        <w:rPr>
          <w:rStyle w:val="Rimandonotadichiusura"/>
        </w:rPr>
        <w:endnoteRef/>
      </w:r>
      <w:r>
        <w:t xml:space="preserve"> </w:t>
      </w:r>
      <w:r w:rsidRPr="00894D83">
        <w:t xml:space="preserve">CREATE Foundation, Submission No 24 to the Australian Human Rights Commission, </w:t>
      </w:r>
      <w:r w:rsidRPr="00894D83">
        <w:rPr>
          <w:i/>
        </w:rPr>
        <w:t>National Children’s Commissioner’s Investigation into Young Parents and their Children</w:t>
      </w:r>
      <w:r w:rsidRPr="00E34166">
        <w:t>,</w:t>
      </w:r>
      <w:r w:rsidRPr="00894D83">
        <w:rPr>
          <w:i/>
        </w:rPr>
        <w:t xml:space="preserve"> </w:t>
      </w:r>
      <w:r>
        <w:t xml:space="preserve">2, citing </w:t>
      </w:r>
      <w:r w:rsidRPr="00010CE7">
        <w:t>Morag McArt</w:t>
      </w:r>
      <w:r>
        <w:t>hur and Erin Barry,</w:t>
      </w:r>
      <w:r w:rsidRPr="00010CE7">
        <w:t xml:space="preserve"> </w:t>
      </w:r>
      <w:r>
        <w:t>‘</w:t>
      </w:r>
      <w:r w:rsidRPr="00010CE7">
        <w:t>Y</w:t>
      </w:r>
      <w:r>
        <w:t>ounger mothers: Stigma and Support’ (</w:t>
      </w:r>
      <w:r w:rsidRPr="00355B4F">
        <w:t>Research to Practice Series</w:t>
      </w:r>
      <w:r>
        <w:t xml:space="preserve">, 3, 1–6 Canberra: Institute of Child Protection Studies, ACU, 2013) </w:t>
      </w:r>
      <w:r w:rsidRPr="00E33777">
        <w:t>3</w:t>
      </w:r>
      <w:r>
        <w:t>.</w:t>
      </w:r>
    </w:p>
  </w:endnote>
  <w:endnote w:id="512">
    <w:p w:rsidR="00C3563C" w:rsidRPr="000D08D0" w:rsidRDefault="00C3563C" w:rsidP="00B87D45">
      <w:pPr>
        <w:pStyle w:val="Testonotadichiusura"/>
        <w:rPr>
          <w:color w:val="7030A0"/>
        </w:rPr>
      </w:pPr>
      <w:r w:rsidRPr="00FF6402">
        <w:rPr>
          <w:rStyle w:val="Rimandonotadichiusura"/>
        </w:rPr>
        <w:endnoteRef/>
      </w:r>
      <w:r w:rsidRPr="00FF6402">
        <w:t xml:space="preserve"> CREATE Foundation, Submission No 24 to the Australian Human Rights Commission, </w:t>
      </w:r>
      <w:r w:rsidRPr="00FF6402">
        <w:rPr>
          <w:i/>
        </w:rPr>
        <w:t>National Children’s Commissioner’s Investigation into Young Parents and their Children</w:t>
      </w:r>
      <w:r w:rsidRPr="00D35FDE">
        <w:t>,</w:t>
      </w:r>
      <w:r w:rsidRPr="00FF6402">
        <w:rPr>
          <w:i/>
        </w:rPr>
        <w:t xml:space="preserve"> </w:t>
      </w:r>
      <w:r>
        <w:t>2–</w:t>
      </w:r>
      <w:r w:rsidRPr="00FF6402">
        <w:t>3</w:t>
      </w:r>
      <w:r w:rsidRPr="00FF6402">
        <w:rPr>
          <w:i/>
        </w:rPr>
        <w:t xml:space="preserve">; </w:t>
      </w:r>
      <w:r>
        <w:t xml:space="preserve">Parenting Research Centre: </w:t>
      </w:r>
      <w:r w:rsidRPr="00FF6402">
        <w:t xml:space="preserve">Murdoch Children’s Research Institute, Submission No 13 to the Australian Human Rights Commission, </w:t>
      </w:r>
      <w:r w:rsidRPr="00FF6402">
        <w:rPr>
          <w:i/>
        </w:rPr>
        <w:t>National Children’s Commissioner’s Investigation into Young Parents and their Children</w:t>
      </w:r>
      <w:r w:rsidRPr="00D35FDE">
        <w:t>,</w:t>
      </w:r>
      <w:r w:rsidRPr="00FF6402">
        <w:rPr>
          <w:i/>
        </w:rPr>
        <w:t xml:space="preserve"> </w:t>
      </w:r>
      <w:r w:rsidRPr="00FF6402">
        <w:t>12.</w:t>
      </w:r>
    </w:p>
  </w:endnote>
  <w:endnote w:id="513">
    <w:p w:rsidR="00C3563C" w:rsidRPr="009D0C48" w:rsidRDefault="00C3563C" w:rsidP="00B87D45">
      <w:pPr>
        <w:pStyle w:val="Testonotadichiusura"/>
        <w:rPr>
          <w:color w:val="FF0000"/>
        </w:rPr>
      </w:pPr>
      <w:r w:rsidRPr="00EE5EF6">
        <w:rPr>
          <w:rStyle w:val="Rimandonotadichiusura"/>
        </w:rPr>
        <w:endnoteRef/>
      </w:r>
      <w:r w:rsidRPr="00EE5EF6">
        <w:t xml:space="preserve"> Gabrielle Brand, Paul Morrison and Be Westbrook, Submission No 26 to the Australian Human Rights Commission, </w:t>
      </w:r>
      <w:r w:rsidRPr="00EE5EF6">
        <w:rPr>
          <w:i/>
        </w:rPr>
        <w:t>National Children’s Commissioner’s Investigation into Young Parents and their Children</w:t>
      </w:r>
      <w:r w:rsidRPr="00EE5EF6">
        <w:t>, 2</w:t>
      </w:r>
      <w:r w:rsidRPr="00D35FDE">
        <w:t>;</w:t>
      </w:r>
      <w:r w:rsidRPr="00EE5EF6">
        <w:rPr>
          <w:i/>
        </w:rPr>
        <w:t xml:space="preserve"> </w:t>
      </w:r>
      <w:r w:rsidRPr="001E2EDB">
        <w:rPr>
          <w:i/>
        </w:rPr>
        <w:t>Discussion</w:t>
      </w:r>
      <w:r w:rsidRPr="00D35FDE">
        <w:t>,</w:t>
      </w:r>
      <w:r w:rsidRPr="001E2EDB">
        <w:rPr>
          <w:i/>
        </w:rPr>
        <w:t xml:space="preserve"> </w:t>
      </w:r>
      <w:r w:rsidRPr="001E2EDB">
        <w:t>Roundtables, National Children’s Commissioner’s Investigation into Young Parents and their Children (2017).</w:t>
      </w:r>
    </w:p>
  </w:endnote>
  <w:endnote w:id="514">
    <w:p w:rsidR="00C3563C" w:rsidRPr="009D0C48" w:rsidRDefault="00C3563C" w:rsidP="00B87D45">
      <w:pPr>
        <w:pStyle w:val="Testonotadichiusura"/>
        <w:rPr>
          <w:color w:val="FF0000"/>
        </w:rPr>
      </w:pPr>
      <w:r w:rsidRPr="001E2EDB">
        <w:rPr>
          <w:rStyle w:val="Rimandonotadichiusura"/>
        </w:rPr>
        <w:endnoteRef/>
      </w:r>
      <w:r w:rsidRPr="001E2EDB">
        <w:t xml:space="preserve"> Commissioner for Children and Young People Western Australia, Submission No 6 to the Australian Human Rights Commission, </w:t>
      </w:r>
      <w:r w:rsidRPr="001E2EDB">
        <w:rPr>
          <w:i/>
        </w:rPr>
        <w:t xml:space="preserve">National Children’s Commissioner’s Investigation into Young Parents and their Children, </w:t>
      </w:r>
      <w:r>
        <w:t>2–</w:t>
      </w:r>
      <w:r w:rsidRPr="001E2EDB">
        <w:t>3.</w:t>
      </w:r>
    </w:p>
  </w:endnote>
  <w:endnote w:id="515">
    <w:p w:rsidR="00C3563C" w:rsidRPr="003B7E1C" w:rsidRDefault="00C3563C" w:rsidP="00B87D45">
      <w:pPr>
        <w:pStyle w:val="Testonotadichiusura"/>
        <w:rPr>
          <w:color w:val="FF0000"/>
        </w:rPr>
      </w:pPr>
      <w:r w:rsidRPr="00FC5773">
        <w:rPr>
          <w:rStyle w:val="Rimandonotadichiusura"/>
        </w:rPr>
        <w:endnoteRef/>
      </w:r>
      <w:r w:rsidRPr="00FC5773">
        <w:t xml:space="preserve"> Gabrielle Brand, Paul Morrison and Be Westbrook, Submission No 26 to the Australian Human Rights Commission, </w:t>
      </w:r>
      <w:r w:rsidRPr="00FC5773">
        <w:rPr>
          <w:i/>
        </w:rPr>
        <w:t xml:space="preserve">National Children’s Commissioner’s Investigation into Young Parents and their Children, </w:t>
      </w:r>
      <w:r>
        <w:t>1–</w:t>
      </w:r>
      <w:r w:rsidRPr="00FC5773">
        <w:t>2.</w:t>
      </w:r>
    </w:p>
  </w:endnote>
  <w:endnote w:id="516">
    <w:p w:rsidR="00C3563C" w:rsidRPr="001E2EDB" w:rsidRDefault="00C3563C" w:rsidP="00B87D45">
      <w:pPr>
        <w:pStyle w:val="Testonotadichiusura"/>
      </w:pPr>
      <w:r w:rsidRPr="00FC5773">
        <w:rPr>
          <w:rStyle w:val="Rimandonotadichiusura"/>
        </w:rPr>
        <w:endnoteRef/>
      </w:r>
      <w:r w:rsidRPr="00FC5773">
        <w:t xml:space="preserve"> Gabrielle Brand, Paul Morrison and Be Westbrook, Submission No 26 to the Australian Human Rights Commission, </w:t>
      </w:r>
      <w:r w:rsidRPr="00FC5773">
        <w:rPr>
          <w:i/>
        </w:rPr>
        <w:t xml:space="preserve">National Children’s Commissioner’s Investigation into Young Parents and their Children, </w:t>
      </w:r>
      <w:r w:rsidRPr="00FC5773">
        <w:t>2;</w:t>
      </w:r>
      <w:r w:rsidRPr="00FC5773">
        <w:rPr>
          <w:i/>
        </w:rPr>
        <w:t xml:space="preserve"> </w:t>
      </w:r>
      <w:r w:rsidRPr="003B7E1C">
        <w:t>Roundtable</w:t>
      </w:r>
      <w:r>
        <w:t xml:space="preserve"> Discussion</w:t>
      </w:r>
      <w:r w:rsidRPr="003B7E1C">
        <w:t xml:space="preserve">, </w:t>
      </w:r>
      <w:r w:rsidRPr="00E34166">
        <w:rPr>
          <w:i/>
        </w:rPr>
        <w:t>National Children’s Commissioner’s Investigation into Young Parents and their Children</w:t>
      </w:r>
      <w:r w:rsidRPr="001E2EDB">
        <w:t xml:space="preserve"> (2017).</w:t>
      </w:r>
    </w:p>
  </w:endnote>
  <w:endnote w:id="517">
    <w:p w:rsidR="00C3563C" w:rsidRPr="009D0C48" w:rsidRDefault="00C3563C" w:rsidP="00B87D45">
      <w:pPr>
        <w:pStyle w:val="Testonotadichiusura"/>
        <w:rPr>
          <w:color w:val="FF0000"/>
        </w:rPr>
      </w:pPr>
      <w:r w:rsidRPr="00005294">
        <w:rPr>
          <w:rStyle w:val="Rimandonotadichiusura"/>
        </w:rPr>
        <w:endnoteRef/>
      </w:r>
      <w:r w:rsidRPr="00005294">
        <w:t xml:space="preserve"> Brave Foundation, Submission No 2 to the Australian Human Rights Commission, </w:t>
      </w:r>
      <w:r w:rsidRPr="00005294">
        <w:rPr>
          <w:i/>
        </w:rPr>
        <w:t xml:space="preserve">National Children’s Commissioner’s Investigation into Young Parents and their Children, </w:t>
      </w:r>
      <w:r>
        <w:t>4–</w:t>
      </w:r>
      <w:r w:rsidRPr="00005294">
        <w:t>5</w:t>
      </w:r>
      <w:r w:rsidRPr="00005294">
        <w:rPr>
          <w:i/>
        </w:rPr>
        <w:t xml:space="preserve">; </w:t>
      </w:r>
      <w:r w:rsidRPr="00526F78">
        <w:t>Gail Winkworth and Morag McArthur</w:t>
      </w:r>
      <w:r w:rsidRPr="00005294">
        <w:t xml:space="preserve">, Submission No 12 to the Australian Human Rights Commission, </w:t>
      </w:r>
      <w:r w:rsidRPr="00005294">
        <w:rPr>
          <w:i/>
        </w:rPr>
        <w:t xml:space="preserve">National Children’s Commissioner’s Investigation into Young Parents and their Children, </w:t>
      </w:r>
      <w:r w:rsidRPr="00005294">
        <w:t>3</w:t>
      </w:r>
      <w:r w:rsidRPr="00D35FDE">
        <w:t>;</w:t>
      </w:r>
      <w:r w:rsidRPr="001E2EDB">
        <w:rPr>
          <w:i/>
          <w:color w:val="7030A0"/>
        </w:rPr>
        <w:t xml:space="preserve"> </w:t>
      </w:r>
      <w:r w:rsidRPr="001E2EDB">
        <w:t>Roundtable</w:t>
      </w:r>
      <w:r>
        <w:t xml:space="preserve"> Discussion</w:t>
      </w:r>
      <w:r w:rsidRPr="001E2EDB">
        <w:t xml:space="preserve">, </w:t>
      </w:r>
      <w:r w:rsidRPr="00E34166">
        <w:rPr>
          <w:i/>
        </w:rPr>
        <w:t>National Children’s Commissioner’s Investigation into Young Parents and their Children</w:t>
      </w:r>
      <w:r w:rsidRPr="001E2EDB">
        <w:t xml:space="preserve"> (2017).</w:t>
      </w:r>
    </w:p>
  </w:endnote>
  <w:endnote w:id="518">
    <w:p w:rsidR="00C3563C" w:rsidRPr="009D0C48" w:rsidRDefault="00C3563C" w:rsidP="00B87D45">
      <w:pPr>
        <w:pStyle w:val="Testonotadichiusura"/>
        <w:rPr>
          <w:color w:val="FF0000"/>
        </w:rPr>
      </w:pPr>
      <w:r w:rsidRPr="00A3757A">
        <w:rPr>
          <w:rStyle w:val="Rimandonotadichiusura"/>
        </w:rPr>
        <w:endnoteRef/>
      </w:r>
      <w:r w:rsidRPr="00A3757A">
        <w:t xml:space="preserve"> Brave Foundation, Submission No 2 to the Australian Human Rights Commission, </w:t>
      </w:r>
      <w:r w:rsidRPr="00A3757A">
        <w:rPr>
          <w:i/>
        </w:rPr>
        <w:t>National Children’s Commissioner’s Investigation into Young Parents and their Children</w:t>
      </w:r>
      <w:r w:rsidRPr="00D35FDE">
        <w:t xml:space="preserve">, </w:t>
      </w:r>
      <w:r w:rsidRPr="00A3757A">
        <w:t>6-7.</w:t>
      </w:r>
    </w:p>
  </w:endnote>
  <w:endnote w:id="519">
    <w:p w:rsidR="00C3563C" w:rsidRDefault="00C3563C" w:rsidP="00B87D45">
      <w:pPr>
        <w:pStyle w:val="Testonotadichiusura"/>
      </w:pPr>
      <w:r>
        <w:rPr>
          <w:rStyle w:val="Rimandonotadichiusura"/>
        </w:rPr>
        <w:endnoteRef/>
      </w:r>
      <w:r>
        <w:t xml:space="preserve"> </w:t>
      </w:r>
      <w:r w:rsidRPr="00A73BC0">
        <w:t xml:space="preserve">Brave Foundation, Submission No 2 to </w:t>
      </w:r>
      <w:r w:rsidRPr="00BF556C">
        <w:t>the</w:t>
      </w:r>
      <w:r>
        <w:t xml:space="preserve"> </w:t>
      </w:r>
      <w:r w:rsidRPr="00A73BC0">
        <w:t xml:space="preserve">Australian Human Rights Commission, </w:t>
      </w:r>
      <w:r w:rsidRPr="00A73BC0">
        <w:rPr>
          <w:i/>
        </w:rPr>
        <w:t>National Children’s Commissioner’s investigation into Young Parents and their Children</w:t>
      </w:r>
      <w:r w:rsidRPr="00D35FDE">
        <w:rPr>
          <w:i/>
        </w:rPr>
        <w:t xml:space="preserve">; </w:t>
      </w:r>
      <w:r w:rsidRPr="00A73BC0">
        <w:t xml:space="preserve">Brave Foundation, </w:t>
      </w:r>
      <w:r w:rsidRPr="00005294">
        <w:rPr>
          <w:i/>
        </w:rPr>
        <w:t>Expecting and Parenting Teens:</w:t>
      </w:r>
      <w:r w:rsidRPr="00005294">
        <w:t xml:space="preserve"> </w:t>
      </w:r>
      <w:r w:rsidRPr="00005294">
        <w:rPr>
          <w:i/>
        </w:rPr>
        <w:t xml:space="preserve">The Brave Village and Beyond </w:t>
      </w:r>
      <w:r w:rsidRPr="00005294">
        <w:t>(Fact Sheet, 2017).</w:t>
      </w:r>
    </w:p>
  </w:endnote>
  <w:endnote w:id="520">
    <w:p w:rsidR="00C3563C" w:rsidRPr="001E2EDB" w:rsidRDefault="00C3563C" w:rsidP="00B87D45">
      <w:pPr>
        <w:pStyle w:val="Testonotadichiusura"/>
        <w:rPr>
          <w:b/>
        </w:rPr>
      </w:pPr>
      <w:r w:rsidRPr="00005294">
        <w:rPr>
          <w:rStyle w:val="Rimandonotadichiusura"/>
        </w:rPr>
        <w:endnoteRef/>
      </w:r>
      <w:r w:rsidRPr="00005294">
        <w:t xml:space="preserve"> CREATE Foundation, Submission No 24 to the Australian Human Rights Commission, </w:t>
      </w:r>
      <w:r w:rsidRPr="00005294">
        <w:rPr>
          <w:i/>
        </w:rPr>
        <w:t>National Children’s Commissioner’s Investigation into Young Parents and their Children</w:t>
      </w:r>
      <w:r w:rsidRPr="00D35FDE">
        <w:t>,</w:t>
      </w:r>
      <w:r w:rsidRPr="00005294">
        <w:rPr>
          <w:i/>
        </w:rPr>
        <w:t xml:space="preserve"> </w:t>
      </w:r>
      <w:r w:rsidRPr="00005294">
        <w:t>2</w:t>
      </w:r>
      <w:r w:rsidRPr="00D35FDE">
        <w:t xml:space="preserve">; </w:t>
      </w:r>
      <w:r w:rsidRPr="00005294">
        <w:t xml:space="preserve">Uniting Communities, Submission No 25 to the Australian Human Rights Commission, </w:t>
      </w:r>
      <w:r w:rsidRPr="00005294">
        <w:rPr>
          <w:i/>
        </w:rPr>
        <w:t xml:space="preserve">National Children’s Commissioner’s Investigation into Young Parents and their Children, </w:t>
      </w:r>
      <w:r w:rsidRPr="00005294">
        <w:t>6</w:t>
      </w:r>
      <w:r w:rsidRPr="00005294">
        <w:rPr>
          <w:i/>
        </w:rPr>
        <w:t xml:space="preserve">; </w:t>
      </w:r>
      <w:r w:rsidRPr="00005294">
        <w:t xml:space="preserve">Philip Mendes and Jade Purtell, Submission </w:t>
      </w:r>
      <w:r>
        <w:t xml:space="preserve">No </w:t>
      </w:r>
      <w:r w:rsidRPr="00005294">
        <w:t xml:space="preserve">4 to the Australian Human Rights Commission, </w:t>
      </w:r>
      <w:r w:rsidRPr="00005294">
        <w:rPr>
          <w:i/>
        </w:rPr>
        <w:t>National Children’s Commissioner’s Investigation into Young Parents and their Children</w:t>
      </w:r>
      <w:r w:rsidRPr="00D35FDE">
        <w:t>,</w:t>
      </w:r>
      <w:r w:rsidRPr="00005294">
        <w:rPr>
          <w:i/>
        </w:rPr>
        <w:t xml:space="preserve"> </w:t>
      </w:r>
      <w:r w:rsidRPr="00005294">
        <w:t>10</w:t>
      </w:r>
      <w:r w:rsidRPr="00005294">
        <w:rPr>
          <w:i/>
        </w:rPr>
        <w:t xml:space="preserve">; </w:t>
      </w:r>
      <w:r w:rsidRPr="001E2EDB">
        <w:t>Roundtable</w:t>
      </w:r>
      <w:r>
        <w:t xml:space="preserve"> Discussion</w:t>
      </w:r>
      <w:r w:rsidRPr="001E2EDB">
        <w:t xml:space="preserve">, </w:t>
      </w:r>
      <w:r w:rsidRPr="00E34166">
        <w:rPr>
          <w:i/>
        </w:rPr>
        <w:t>National Children’s Commissioner’s Investigation into Young Parents and their Children</w:t>
      </w:r>
      <w:r w:rsidRPr="001E2EDB">
        <w:t xml:space="preserve"> (2017).</w:t>
      </w:r>
    </w:p>
  </w:endnote>
  <w:endnote w:id="521">
    <w:p w:rsidR="00C3563C" w:rsidRDefault="00C3563C" w:rsidP="00B87D45">
      <w:pPr>
        <w:pStyle w:val="Testonotadichiusura"/>
      </w:pPr>
      <w:r>
        <w:rPr>
          <w:rStyle w:val="Rimandonotadichiusura"/>
        </w:rPr>
        <w:endnoteRef/>
      </w:r>
      <w:r>
        <w:t xml:space="preserve"> </w:t>
      </w:r>
      <w:r w:rsidRPr="00B145BA">
        <w:t>Roundtable</w:t>
      </w:r>
      <w:r>
        <w:t xml:space="preserve"> Discussion</w:t>
      </w:r>
      <w:r w:rsidRPr="00B145BA">
        <w:t>, National Children’s Commissioner’s Investigation into Young Parents and their Children (2017).</w:t>
      </w:r>
    </w:p>
  </w:endnote>
  <w:endnote w:id="522">
    <w:p w:rsidR="00C3563C" w:rsidRDefault="00C3563C" w:rsidP="00B87D45">
      <w:pPr>
        <w:pStyle w:val="Testonotadichiusura"/>
      </w:pPr>
      <w:r>
        <w:rPr>
          <w:rStyle w:val="Rimandonotadichiusura"/>
        </w:rPr>
        <w:endnoteRef/>
      </w:r>
      <w:r>
        <w:t xml:space="preserve"> </w:t>
      </w:r>
      <w:r w:rsidRPr="00B145BA">
        <w:t>Roundtable</w:t>
      </w:r>
      <w:r>
        <w:t xml:space="preserve"> Discussion</w:t>
      </w:r>
      <w:r w:rsidRPr="00B145BA">
        <w:t>, National Children’s Commissioner’s Investigation into Young Parents and their Children (2017).</w:t>
      </w:r>
    </w:p>
  </w:endnote>
  <w:endnote w:id="523">
    <w:p w:rsidR="00C3563C" w:rsidRDefault="00C3563C" w:rsidP="00B87D45">
      <w:pPr>
        <w:pStyle w:val="Testonotadichiusura"/>
      </w:pPr>
      <w:r>
        <w:rPr>
          <w:rStyle w:val="Rimandonotadichiusura"/>
        </w:rPr>
        <w:endnoteRef/>
      </w:r>
      <w:r>
        <w:t xml:space="preserve"> </w:t>
      </w:r>
      <w:r w:rsidRPr="009C15B5">
        <w:t xml:space="preserve">Philip Mendes and Jade Purtell, Submission No 4 to </w:t>
      </w:r>
      <w:r>
        <w:t xml:space="preserve">the </w:t>
      </w:r>
      <w:r w:rsidRPr="009C15B5">
        <w:t xml:space="preserve">Australian Human Rights Commission, </w:t>
      </w:r>
      <w:r w:rsidRPr="009C15B5">
        <w:rPr>
          <w:i/>
          <w:iCs/>
        </w:rPr>
        <w:t xml:space="preserve">National Children’s Commissioner’s </w:t>
      </w:r>
      <w:r>
        <w:rPr>
          <w:i/>
          <w:iCs/>
        </w:rPr>
        <w:t>I</w:t>
      </w:r>
      <w:r w:rsidRPr="009C15B5">
        <w:rPr>
          <w:i/>
          <w:iCs/>
        </w:rPr>
        <w:t>nvestigation into Young Parents and their Children</w:t>
      </w:r>
      <w:r>
        <w:rPr>
          <w:iCs/>
        </w:rPr>
        <w:t>, 7.</w:t>
      </w:r>
    </w:p>
  </w:endnote>
  <w:endnote w:id="524">
    <w:p w:rsidR="00C3563C" w:rsidRPr="001E2EDB" w:rsidRDefault="00C3563C" w:rsidP="00B87D45">
      <w:pPr>
        <w:pStyle w:val="Testonotadichiusura"/>
      </w:pPr>
      <w:r w:rsidRPr="001E2EDB">
        <w:rPr>
          <w:rStyle w:val="Rimandonotadichiusura"/>
        </w:rPr>
        <w:endnoteRef/>
      </w:r>
      <w:r w:rsidRPr="001E2EDB">
        <w:t xml:space="preserve"> Philip Mendes and Jade Purtell, Submission </w:t>
      </w:r>
      <w:r>
        <w:t xml:space="preserve">No </w:t>
      </w:r>
      <w:r w:rsidRPr="001E2EDB">
        <w:t xml:space="preserve">4 to the Australian Human Rights Commission, </w:t>
      </w:r>
      <w:r w:rsidRPr="001E2EDB">
        <w:rPr>
          <w:i/>
        </w:rPr>
        <w:t xml:space="preserve">National Children’s Commissioner’s Investigation into Young Parents and their Children, </w:t>
      </w:r>
      <w:r w:rsidRPr="001E2EDB">
        <w:t>7.</w:t>
      </w:r>
    </w:p>
  </w:endnote>
  <w:endnote w:id="525">
    <w:p w:rsidR="00C3563C" w:rsidRPr="00B145BA" w:rsidRDefault="00C3563C" w:rsidP="00B87D45">
      <w:pPr>
        <w:pStyle w:val="Testonotadichiusura"/>
      </w:pPr>
      <w:r w:rsidRPr="00B145BA">
        <w:rPr>
          <w:rStyle w:val="Rimandonotadichiusura"/>
        </w:rPr>
        <w:endnoteRef/>
      </w:r>
      <w:r w:rsidRPr="00B145BA">
        <w:t xml:space="preserve"> Roundtable</w:t>
      </w:r>
      <w:r>
        <w:t xml:space="preserve"> Discussion</w:t>
      </w:r>
      <w:r w:rsidRPr="00B145BA">
        <w:t xml:space="preserve">, </w:t>
      </w:r>
      <w:r w:rsidRPr="00E34166">
        <w:rPr>
          <w:i/>
        </w:rPr>
        <w:t>National Children’s Commissioner’s Investigation into Young Parents and their Children</w:t>
      </w:r>
      <w:r w:rsidRPr="00B145BA">
        <w:t xml:space="preserve"> (2017).</w:t>
      </w:r>
    </w:p>
  </w:endnote>
  <w:endnote w:id="526">
    <w:p w:rsidR="00C3563C" w:rsidRPr="00B145BA" w:rsidRDefault="00C3563C" w:rsidP="00B87D45">
      <w:pPr>
        <w:pStyle w:val="Testonotadichiusura"/>
        <w:rPr>
          <w:color w:val="7030A0"/>
        </w:rPr>
      </w:pPr>
      <w:r w:rsidRPr="004263D1">
        <w:rPr>
          <w:rStyle w:val="Rimandonotadichiusura"/>
        </w:rPr>
        <w:endnoteRef/>
      </w:r>
      <w:r w:rsidRPr="004263D1">
        <w:t xml:space="preserve"> Genesis Pregnancy Support, Submission No 9 to the Australian Human Rights Commission, </w:t>
      </w:r>
      <w:r w:rsidRPr="008429CE">
        <w:rPr>
          <w:i/>
        </w:rPr>
        <w:t xml:space="preserve">National Children’s Commissioner’s Investigation into Young Parents and their Children, </w:t>
      </w:r>
      <w:r>
        <w:t>3–</w:t>
      </w:r>
      <w:r w:rsidRPr="008429CE">
        <w:t>4</w:t>
      </w:r>
      <w:r w:rsidRPr="008429CE">
        <w:rPr>
          <w:i/>
        </w:rPr>
        <w:t xml:space="preserve">; </w:t>
      </w:r>
      <w:r w:rsidRPr="008429CE">
        <w:t xml:space="preserve">Uniting Communities, Submission No 25 to the Australian Human Rights Commission, </w:t>
      </w:r>
      <w:r w:rsidRPr="008429CE">
        <w:rPr>
          <w:i/>
        </w:rPr>
        <w:t>National Children’s Commissioner’s Investigation into Young Parents and their Children</w:t>
      </w:r>
      <w:r w:rsidRPr="002F4F73">
        <w:t>,</w:t>
      </w:r>
      <w:r w:rsidRPr="008429CE">
        <w:rPr>
          <w:i/>
        </w:rPr>
        <w:t xml:space="preserve"> </w:t>
      </w:r>
      <w:r>
        <w:t>5–</w:t>
      </w:r>
      <w:r w:rsidRPr="008429CE">
        <w:t>6.</w:t>
      </w:r>
    </w:p>
  </w:endnote>
  <w:endnote w:id="527">
    <w:p w:rsidR="00C3563C" w:rsidRPr="0039025A" w:rsidRDefault="00C3563C" w:rsidP="00B87D45">
      <w:pPr>
        <w:pStyle w:val="Testonotadichiusura"/>
        <w:rPr>
          <w:color w:val="FF0000"/>
        </w:rPr>
      </w:pPr>
      <w:r w:rsidRPr="00A22A06">
        <w:rPr>
          <w:rStyle w:val="Rimandonotadichiusura"/>
        </w:rPr>
        <w:endnoteRef/>
      </w:r>
      <w:r w:rsidRPr="00A22A06">
        <w:t xml:space="preserve"> </w:t>
      </w:r>
      <w:r w:rsidRPr="00792E55">
        <w:t xml:space="preserve">The Royal Women’s Hospital Submission No 36 to the Australian Human Rights Commission, </w:t>
      </w:r>
      <w:r w:rsidRPr="00792E55">
        <w:rPr>
          <w:i/>
        </w:rPr>
        <w:t xml:space="preserve">National Children’s Commissioner’s Investigation into Young Parents and their Children, </w:t>
      </w:r>
      <w:r w:rsidRPr="00792E55">
        <w:t>2;</w:t>
      </w:r>
      <w:r w:rsidRPr="009D0C48">
        <w:rPr>
          <w:i/>
          <w:color w:val="FF0000"/>
        </w:rPr>
        <w:t xml:space="preserve"> </w:t>
      </w:r>
      <w:r w:rsidRPr="00792E55">
        <w:t xml:space="preserve">New South Wales Family Planning, Submission No 23 to the Australian Human Rights Commission, </w:t>
      </w:r>
      <w:r w:rsidRPr="00792E55">
        <w:rPr>
          <w:i/>
        </w:rPr>
        <w:t>National Children’s Commissioner’s Investigation into Young Parents and their Children</w:t>
      </w:r>
      <w:r w:rsidRPr="002F4F73">
        <w:t>,</w:t>
      </w:r>
      <w:r w:rsidRPr="00792E55">
        <w:rPr>
          <w:i/>
        </w:rPr>
        <w:t xml:space="preserve"> </w:t>
      </w:r>
      <w:r w:rsidRPr="00792E55">
        <w:t>1</w:t>
      </w:r>
      <w:r w:rsidRPr="00392221">
        <w:t>; J</w:t>
      </w:r>
      <w:r>
        <w:t>essica</w:t>
      </w:r>
      <w:r w:rsidRPr="00392221">
        <w:t xml:space="preserve"> Bartlett</w:t>
      </w:r>
      <w:r>
        <w:t>,</w:t>
      </w:r>
      <w:r w:rsidRPr="00392221">
        <w:t xml:space="preserve"> </w:t>
      </w:r>
      <w:r>
        <w:t>Chie Kotake, Rebecca Fauth and Ann Eastbrooks,</w:t>
      </w:r>
      <w:r w:rsidRPr="0089375B">
        <w:t xml:space="preserve"> ‘Intergenerational transmission of child abuse and neglect: Do maltreatment type, perpetrator, and substantiation status matter?</w:t>
      </w:r>
      <w:r>
        <w:t>’</w:t>
      </w:r>
      <w:r w:rsidRPr="0089375B">
        <w:t xml:space="preserve"> (2017) 63 </w:t>
      </w:r>
      <w:r w:rsidRPr="0089375B">
        <w:rPr>
          <w:i/>
        </w:rPr>
        <w:t>Child Abuse &amp; Neglect</w:t>
      </w:r>
      <w:r w:rsidRPr="0089375B">
        <w:t xml:space="preserve"> 84</w:t>
      </w:r>
      <w:r>
        <w:t>,</w:t>
      </w:r>
      <w:r w:rsidRPr="0089375B">
        <w:t xml:space="preserve"> cited in Rachel Skinner, Jennifer Marino, Martha Hickey, Deborah Bateson and Lucy Lewis, Submission No 32 to the Australian Human Rights Commission, </w:t>
      </w:r>
      <w:r w:rsidRPr="0089375B">
        <w:rPr>
          <w:i/>
        </w:rPr>
        <w:t xml:space="preserve">National Children’s Commissioner’s </w:t>
      </w:r>
      <w:r w:rsidRPr="0039025A">
        <w:rPr>
          <w:i/>
        </w:rPr>
        <w:t>Investigation into Young Parents and their Children</w:t>
      </w:r>
      <w:r w:rsidRPr="0039025A">
        <w:t>, 9.</w:t>
      </w:r>
    </w:p>
  </w:endnote>
  <w:endnote w:id="528">
    <w:p w:rsidR="00C3563C" w:rsidRPr="0039025A" w:rsidRDefault="00C3563C" w:rsidP="00B87D45">
      <w:pPr>
        <w:pStyle w:val="Testonotadichiusura"/>
        <w:rPr>
          <w:color w:val="FF0000"/>
        </w:rPr>
      </w:pPr>
      <w:r w:rsidRPr="0039025A">
        <w:rPr>
          <w:rStyle w:val="Rimandonotadichiusura"/>
        </w:rPr>
        <w:endnoteRef/>
      </w:r>
      <w:r w:rsidRPr="0039025A">
        <w:rPr>
          <w:color w:val="FF0000"/>
        </w:rPr>
        <w:t xml:space="preserve"> </w:t>
      </w:r>
      <w:r w:rsidRPr="0039025A">
        <w:t>Julie Quinlivan, Rodney Petersen and Lyle Gurrin,</w:t>
      </w:r>
      <w:r w:rsidRPr="007E7358">
        <w:t xml:space="preserve"> ‘Adolescent pregnancy psychopathology missed’ (</w:t>
      </w:r>
      <w:r>
        <w:t>1</w:t>
      </w:r>
      <w:r w:rsidRPr="007E7358">
        <w:t xml:space="preserve">999) 33(6) </w:t>
      </w:r>
      <w:r w:rsidRPr="007E7358">
        <w:rPr>
          <w:i/>
        </w:rPr>
        <w:t>Australian and New Zealand Journal of Psychiatry</w:t>
      </w:r>
      <w:r>
        <w:rPr>
          <w:i/>
        </w:rPr>
        <w:t xml:space="preserve"> </w:t>
      </w:r>
      <w:r w:rsidRPr="00D5073B">
        <w:t>864</w:t>
      </w:r>
      <w:r>
        <w:t>,</w:t>
      </w:r>
      <w:r w:rsidRPr="007E7358">
        <w:t xml:space="preserve"> cited in Rachel Skinner, Jennifer Marino, Martha Hickey, Deborah Bateson and Lucy Lewis, Submission No 32 to the Australian Human Rights Commission, </w:t>
      </w:r>
      <w:r w:rsidRPr="007E7358">
        <w:rPr>
          <w:i/>
        </w:rPr>
        <w:t xml:space="preserve">National Children’s Commissioner’s Investigation into Young </w:t>
      </w:r>
      <w:r w:rsidRPr="0039025A">
        <w:rPr>
          <w:i/>
        </w:rPr>
        <w:t>Parents and their Children</w:t>
      </w:r>
      <w:r w:rsidRPr="0039025A">
        <w:t>, 9.</w:t>
      </w:r>
    </w:p>
  </w:endnote>
  <w:endnote w:id="529">
    <w:p w:rsidR="00C3563C" w:rsidRPr="00BB4CB8" w:rsidRDefault="00C3563C" w:rsidP="00B87D45">
      <w:pPr>
        <w:pStyle w:val="Testonotadichiusura"/>
        <w:rPr>
          <w:color w:val="FF0000"/>
        </w:rPr>
      </w:pPr>
      <w:r w:rsidRPr="0039025A">
        <w:rPr>
          <w:rStyle w:val="Rimandonotadichiusura"/>
        </w:rPr>
        <w:endnoteRef/>
      </w:r>
      <w:r w:rsidRPr="0039025A">
        <w:t xml:space="preserve"> Wendi Johnson, Wendi Manning, Peggy</w:t>
      </w:r>
      <w:r>
        <w:t xml:space="preserve"> Giordano and Monica Longmore, ‘Relationship context and intimate partner violence from adolescence to young adulthood’ (2015) 57(6) </w:t>
      </w:r>
      <w:r w:rsidRPr="00BF145E">
        <w:rPr>
          <w:i/>
        </w:rPr>
        <w:t>Journal of Adolescent Health</w:t>
      </w:r>
      <w:r>
        <w:t xml:space="preserve"> 631</w:t>
      </w:r>
      <w:r w:rsidRPr="00BF145E">
        <w:t xml:space="preserve"> </w:t>
      </w:r>
      <w:r w:rsidRPr="007E7358">
        <w:t xml:space="preserve">cited in Rachel Skinner, Jennifer Marino, Martha Hickey, Deborah Bateson and Lucy Lewis, Submission No 32 to the Australian Human Rights Commission, </w:t>
      </w:r>
      <w:r w:rsidRPr="007E7358">
        <w:rPr>
          <w:i/>
        </w:rPr>
        <w:t>National Children’s Commissioner’s Investigation into Young Parents and their Children</w:t>
      </w:r>
      <w:r>
        <w:t xml:space="preserve">, 9; </w:t>
      </w:r>
      <w:r w:rsidRPr="000714E2">
        <w:t>Ann Coker</w:t>
      </w:r>
      <w:r>
        <w:t xml:space="preserve">, </w:t>
      </w:r>
      <w:r w:rsidRPr="000714E2">
        <w:t>Emily</w:t>
      </w:r>
      <w:r>
        <w:t xml:space="preserve"> </w:t>
      </w:r>
      <w:r w:rsidRPr="000714E2">
        <w:t xml:space="preserve">Clear, Lisandra Garcia, Ibitola Asaolu, Patricia Cook-Craig, Candace Brancato, Corrine Williams, Heather </w:t>
      </w:r>
      <w:r>
        <w:t>Bush and</w:t>
      </w:r>
      <w:r w:rsidRPr="000714E2">
        <w:t xml:space="preserve"> Bonnie Fisher, </w:t>
      </w:r>
      <w:r>
        <w:t xml:space="preserve">‘Dating Violence victimization and perpetration rates among high school students’ (2014) 20(10) </w:t>
      </w:r>
      <w:r w:rsidRPr="00BB4CB8">
        <w:rPr>
          <w:i/>
        </w:rPr>
        <w:t>Violence Against Women</w:t>
      </w:r>
      <w:r>
        <w:t xml:space="preserve"> 1220, </w:t>
      </w:r>
      <w:r w:rsidRPr="007E7358">
        <w:t xml:space="preserve">cited in Rachel Skinner, Jennifer Marino, Martha Hickey, Deborah Bateson and Lucy Lewis, Submission No 32 to the Australian Human Rights Commission, </w:t>
      </w:r>
      <w:r w:rsidRPr="007E7358">
        <w:rPr>
          <w:i/>
        </w:rPr>
        <w:t>N</w:t>
      </w:r>
      <w:r w:rsidRPr="00123337">
        <w:rPr>
          <w:i/>
        </w:rPr>
        <w:t>ational Children’s Commissioner’s Investigation into Young Parents and their Children</w:t>
      </w:r>
      <w:r w:rsidRPr="00123337">
        <w:t>, 9; Marsha Wood and Christine Barter, ‘Hopes</w:t>
      </w:r>
      <w:r>
        <w:t xml:space="preserve"> and Fears: Teenage mothers’ experiences of intimate partner violence’ (2015) 29(6) </w:t>
      </w:r>
      <w:r w:rsidRPr="00BB4CB8">
        <w:rPr>
          <w:i/>
        </w:rPr>
        <w:t>Children &amp; Society</w:t>
      </w:r>
      <w:r>
        <w:t xml:space="preserve"> 558, </w:t>
      </w:r>
      <w:r w:rsidRPr="007E7358">
        <w:t xml:space="preserve">cited in Rachel Skinner, Jennifer Marino, Martha Hickey, Deborah Bateson and Lucy Lewis, Submission No 32 to the Australian Human Rights Commission, </w:t>
      </w:r>
      <w:r w:rsidRPr="007E7358">
        <w:rPr>
          <w:i/>
        </w:rPr>
        <w:t>National Children’s Commissioner’s Investigation into Young Parents and their Children</w:t>
      </w:r>
      <w:r w:rsidRPr="007E7358">
        <w:t>, 9.</w:t>
      </w:r>
    </w:p>
  </w:endnote>
  <w:endnote w:id="530">
    <w:p w:rsidR="00C3563C" w:rsidRPr="009D0C48" w:rsidRDefault="00C3563C" w:rsidP="00B87D45">
      <w:pPr>
        <w:pStyle w:val="Testonotadichiusura"/>
        <w:rPr>
          <w:color w:val="FF0000"/>
        </w:rPr>
      </w:pPr>
      <w:r w:rsidRPr="00123337">
        <w:rPr>
          <w:rStyle w:val="Rimandonotadichiusura"/>
        </w:rPr>
        <w:endnoteRef/>
      </w:r>
      <w:r w:rsidRPr="00123337">
        <w:t xml:space="preserve"> Aubrey Madkour, Yiqiong Xie and Emily Harville,</w:t>
      </w:r>
      <w:r w:rsidRPr="00034DB0">
        <w:t xml:space="preserve"> ‘Pre-pregnancy dating violence and birth outcomes among adolescent mothers in a national sample’ (2014) 29(10) </w:t>
      </w:r>
      <w:r w:rsidRPr="00034DB0">
        <w:rPr>
          <w:i/>
        </w:rPr>
        <w:t>Journal of Interpersonal</w:t>
      </w:r>
      <w:r w:rsidRPr="00034DB0">
        <w:t xml:space="preserve"> Violence 1894</w:t>
      </w:r>
      <w:r>
        <w:t>,</w:t>
      </w:r>
      <w:r w:rsidRPr="00034DB0">
        <w:t xml:space="preserve"> cited in Rachel Skinner, Jennifer Marino, Martha Hickey, Deborah Bateson and Lucy Lewis, Submission No 32 to the Australian Human Rights Commission, </w:t>
      </w:r>
      <w:r w:rsidRPr="00034DB0">
        <w:rPr>
          <w:i/>
        </w:rPr>
        <w:t xml:space="preserve">National Children’s Commissioner’s Investigation </w:t>
      </w:r>
      <w:r w:rsidRPr="007E7358">
        <w:rPr>
          <w:i/>
        </w:rPr>
        <w:t>into Young Parents and their Children</w:t>
      </w:r>
      <w:r>
        <w:t>, 9</w:t>
      </w:r>
      <w:r w:rsidRPr="00123337">
        <w:t xml:space="preserve">; Jill McTavish, Jen MacGregor, Nadine Wathen and Harriet MacMillan, ‘Children’s exposure to intimate partner violence: an overview’ (2016) 28(5) </w:t>
      </w:r>
      <w:r w:rsidRPr="00123337">
        <w:rPr>
          <w:i/>
        </w:rPr>
        <w:t>International Review of Psychiatry</w:t>
      </w:r>
      <w:r w:rsidRPr="00123337">
        <w:t xml:space="preserve"> 504</w:t>
      </w:r>
      <w:r>
        <w:t>,</w:t>
      </w:r>
      <w:r w:rsidRPr="00123337">
        <w:t xml:space="preserve"> cited in Rachel Skinne</w:t>
      </w:r>
      <w:r w:rsidRPr="007E7358">
        <w:t xml:space="preserve">r, Jennifer Marino, Martha Hickey, Deborah Bateson and Lucy Lewis, Submission No 32 to the Australian Human Rights Commission, </w:t>
      </w:r>
      <w:r w:rsidRPr="007E7358">
        <w:rPr>
          <w:i/>
        </w:rPr>
        <w:t>National Children’s Commissioner’s Investigation into Young Parents and their Children</w:t>
      </w:r>
      <w:r w:rsidRPr="007E7358">
        <w:t>, 9.</w:t>
      </w:r>
    </w:p>
  </w:endnote>
  <w:endnote w:id="531">
    <w:p w:rsidR="00C3563C" w:rsidRPr="009D0C48" w:rsidRDefault="00C3563C" w:rsidP="00B87D45">
      <w:pPr>
        <w:pStyle w:val="Testonotadichiusura"/>
        <w:rPr>
          <w:color w:val="FF0000"/>
        </w:rPr>
      </w:pPr>
      <w:r w:rsidRPr="0089375B">
        <w:rPr>
          <w:rStyle w:val="Rimandonotadichiusura"/>
        </w:rPr>
        <w:endnoteRef/>
      </w:r>
      <w:r>
        <w:t xml:space="preserve"> Jessica Dym Bartlett, Chie Kotake, Rebecca Fauth and M. Ann Easterbrooks</w:t>
      </w:r>
      <w:r w:rsidRPr="0089375B">
        <w:t xml:space="preserve">, ‘Intergenerational transmission of child abuse and neglect: Do maltreatment type, perpetrator, and substantiation status matter? (2017) 63 </w:t>
      </w:r>
      <w:r w:rsidRPr="0089375B">
        <w:rPr>
          <w:i/>
        </w:rPr>
        <w:t>Child Abuse &amp; Neglect</w:t>
      </w:r>
      <w:r w:rsidRPr="0089375B">
        <w:t xml:space="preserve"> 84</w:t>
      </w:r>
      <w:r>
        <w:t>,</w:t>
      </w:r>
      <w:r w:rsidRPr="0089375B">
        <w:t xml:space="preserve"> cited in Rachel Skinner, Jennifer Marino, Martha Hickey, Deborah Bateson and Lucy Lewis, Submission No 32 to the Australian Human Rights Commission, </w:t>
      </w:r>
      <w:r w:rsidRPr="0089375B">
        <w:rPr>
          <w:i/>
        </w:rPr>
        <w:t>National Children’s Commissioner’s Investigation into Y</w:t>
      </w:r>
      <w:r>
        <w:rPr>
          <w:i/>
        </w:rPr>
        <w:t>oung Parents and their Children</w:t>
      </w:r>
      <w:r w:rsidRPr="0089375B">
        <w:t>, 9.</w:t>
      </w:r>
      <w:r>
        <w:rPr>
          <w:i/>
        </w:rPr>
        <w:t xml:space="preserve"> </w:t>
      </w:r>
    </w:p>
  </w:endnote>
  <w:endnote w:id="532">
    <w:p w:rsidR="00C3563C" w:rsidRPr="00A03F79" w:rsidRDefault="00C3563C" w:rsidP="00B87D45">
      <w:pPr>
        <w:pStyle w:val="Testonotadichiusura"/>
        <w:rPr>
          <w:color w:val="FF0000"/>
        </w:rPr>
      </w:pPr>
      <w:r>
        <w:rPr>
          <w:rStyle w:val="Rimandonotadichiusura"/>
        </w:rPr>
        <w:endnoteRef/>
      </w:r>
      <w:r>
        <w:t xml:space="preserve"> </w:t>
      </w:r>
      <w:r w:rsidRPr="007E7358">
        <w:t xml:space="preserve">Rachel Skinner, Jennifer Marino, Martha Hickey, Deborah Bateson and Lucy Lewis, Submission No 32 to the Australian Human Rights Commission, </w:t>
      </w:r>
      <w:r w:rsidRPr="007E7358">
        <w:rPr>
          <w:i/>
        </w:rPr>
        <w:t>National Children’s Commissioner’s Investigation into Young Parents and their Children</w:t>
      </w:r>
      <w:r w:rsidRPr="007E7358">
        <w:t>, 9.</w:t>
      </w:r>
    </w:p>
  </w:endnote>
  <w:endnote w:id="533">
    <w:p w:rsidR="00C3563C" w:rsidRPr="00B145BA" w:rsidRDefault="00C3563C" w:rsidP="00B87D45">
      <w:pPr>
        <w:pStyle w:val="Testonotadichiusura"/>
        <w:rPr>
          <w:color w:val="7030A0"/>
        </w:rPr>
      </w:pPr>
      <w:r w:rsidRPr="00A03F79">
        <w:rPr>
          <w:rStyle w:val="Rimandonotadichiusura"/>
        </w:rPr>
        <w:endnoteRef/>
      </w:r>
      <w:r w:rsidRPr="00A03F79">
        <w:t xml:space="preserve"> Uniting Communities, Submission No 25 to the Australian Human Rights Commission, </w:t>
      </w:r>
      <w:r w:rsidRPr="00A03F79">
        <w:rPr>
          <w:i/>
        </w:rPr>
        <w:t>National Children’s Commissioner’s Investigation into Young Parents and their Children</w:t>
      </w:r>
      <w:r w:rsidRPr="00C45B68">
        <w:t>,</w:t>
      </w:r>
      <w:r w:rsidRPr="00A03F79">
        <w:rPr>
          <w:i/>
        </w:rPr>
        <w:t xml:space="preserve"> </w:t>
      </w:r>
      <w:r w:rsidRPr="00A03F79">
        <w:t>8.</w:t>
      </w:r>
    </w:p>
  </w:endnote>
  <w:endnote w:id="534">
    <w:p w:rsidR="00C3563C" w:rsidRPr="00B145BA" w:rsidRDefault="00C3563C" w:rsidP="00B87D45">
      <w:pPr>
        <w:pStyle w:val="Testonotadichiusura"/>
        <w:rPr>
          <w:color w:val="7030A0"/>
        </w:rPr>
      </w:pPr>
      <w:r w:rsidRPr="00C85C49">
        <w:rPr>
          <w:rStyle w:val="Rimandonotadichiusura"/>
        </w:rPr>
        <w:endnoteRef/>
      </w:r>
      <w:r w:rsidRPr="00C85C49">
        <w:t xml:space="preserve"> Uniting Communities, Submission No 25 to the Australian Human Rights Commission, </w:t>
      </w:r>
      <w:r w:rsidRPr="00C85C49">
        <w:rPr>
          <w:i/>
        </w:rPr>
        <w:t>National Children’s Commissioner’s Investigation into Young Parents and their Children</w:t>
      </w:r>
      <w:r w:rsidRPr="00C45B68">
        <w:t>,</w:t>
      </w:r>
      <w:r w:rsidRPr="00C85C49">
        <w:rPr>
          <w:i/>
        </w:rPr>
        <w:t xml:space="preserve"> </w:t>
      </w:r>
      <w:r w:rsidRPr="00C85C49">
        <w:t>8.</w:t>
      </w:r>
    </w:p>
  </w:endnote>
  <w:endnote w:id="535">
    <w:p w:rsidR="00C3563C" w:rsidRPr="005F1489" w:rsidRDefault="00C3563C" w:rsidP="00B87D45">
      <w:pPr>
        <w:pStyle w:val="Testonotadichiusura"/>
      </w:pPr>
      <w:r w:rsidRPr="005F1489">
        <w:rPr>
          <w:rStyle w:val="Rimandonotadichiusura"/>
        </w:rPr>
        <w:endnoteRef/>
      </w:r>
      <w:r w:rsidRPr="005F1489">
        <w:t xml:space="preserve"> Multicultural Youth South Australia Inc, Submission No 27 to the Australian Human Rights Commission, </w:t>
      </w:r>
      <w:r w:rsidRPr="005F1489">
        <w:rPr>
          <w:i/>
        </w:rPr>
        <w:t>National Children’s Commissioner’s Investigation into Young Parents and their Children</w:t>
      </w:r>
      <w:r w:rsidRPr="00C45B68">
        <w:t xml:space="preserve">, </w:t>
      </w:r>
      <w:r w:rsidRPr="005F1489">
        <w:t>2.</w:t>
      </w:r>
    </w:p>
  </w:endnote>
  <w:endnote w:id="536">
    <w:p w:rsidR="00C3563C" w:rsidRPr="005F1489" w:rsidRDefault="00C3563C" w:rsidP="00B87D45">
      <w:pPr>
        <w:pStyle w:val="Testonotadichiusura"/>
      </w:pPr>
      <w:r w:rsidRPr="005F1489">
        <w:rPr>
          <w:rStyle w:val="Rimandonotadichiusura"/>
        </w:rPr>
        <w:endnoteRef/>
      </w:r>
      <w:r w:rsidRPr="005F1489">
        <w:t xml:space="preserve"> Multicultural Youth South Australia Inc, Submission No 27 to the Australian Human Rights Commission, </w:t>
      </w:r>
      <w:r w:rsidRPr="005F1489">
        <w:rPr>
          <w:i/>
        </w:rPr>
        <w:t>National Children’s Commissioner’s Investigation into Young Parents and their Children</w:t>
      </w:r>
      <w:r w:rsidRPr="00C45B68">
        <w:t xml:space="preserve">, </w:t>
      </w:r>
      <w:r w:rsidRPr="005F1489">
        <w:t>2.</w:t>
      </w:r>
    </w:p>
  </w:endnote>
  <w:endnote w:id="537">
    <w:p w:rsidR="00C3563C" w:rsidRPr="005F1489" w:rsidRDefault="00C3563C" w:rsidP="00B87D45">
      <w:pPr>
        <w:pStyle w:val="Testonotadichiusura"/>
      </w:pPr>
      <w:r w:rsidRPr="005F1489">
        <w:rPr>
          <w:rStyle w:val="Rimandonotadichiusura"/>
        </w:rPr>
        <w:endnoteRef/>
      </w:r>
      <w:r w:rsidRPr="005F1489">
        <w:t xml:space="preserve"> Multicultural Youth South Australia Inc, Submission No 27 to the Australian Human Rights Commission, </w:t>
      </w:r>
      <w:r w:rsidRPr="005F1489">
        <w:rPr>
          <w:i/>
        </w:rPr>
        <w:t>National Children’s Commissioner’s Investigation into Young Parents and their Children</w:t>
      </w:r>
      <w:r w:rsidRPr="00C45B68">
        <w:t xml:space="preserve">, </w:t>
      </w:r>
      <w:r w:rsidRPr="005F1489">
        <w:rPr>
          <w:i/>
        </w:rPr>
        <w:t xml:space="preserve"> </w:t>
      </w:r>
      <w:r w:rsidRPr="005F1489">
        <w:t>2.</w:t>
      </w:r>
    </w:p>
  </w:endnote>
  <w:endnote w:id="538">
    <w:p w:rsidR="00C3563C" w:rsidRPr="005F1489" w:rsidRDefault="00C3563C" w:rsidP="00B87D45">
      <w:pPr>
        <w:pStyle w:val="Testonotadichiusura"/>
      </w:pPr>
      <w:r w:rsidRPr="005F1489">
        <w:rPr>
          <w:rStyle w:val="Rimandonotadichiusura"/>
        </w:rPr>
        <w:endnoteRef/>
      </w:r>
      <w:r w:rsidRPr="005F1489">
        <w:t xml:space="preserve"> Multicultural Youth South Australia Inc, Submission No 27 to the Australian Human Rights Commission, </w:t>
      </w:r>
      <w:r w:rsidRPr="005F1489">
        <w:rPr>
          <w:i/>
        </w:rPr>
        <w:t>National Children’s Commissioner’s Investigation into Young Parents and their Children</w:t>
      </w:r>
      <w:r w:rsidRPr="00C45B68">
        <w:t xml:space="preserve">, </w:t>
      </w:r>
      <w:r w:rsidRPr="005F1489">
        <w:rPr>
          <w:i/>
        </w:rPr>
        <w:t xml:space="preserve"> </w:t>
      </w:r>
      <w:r w:rsidRPr="005F1489">
        <w:t>2.</w:t>
      </w:r>
    </w:p>
  </w:endnote>
  <w:endnote w:id="539">
    <w:p w:rsidR="00C3563C" w:rsidRPr="005F1489" w:rsidRDefault="00C3563C" w:rsidP="00B87D45">
      <w:pPr>
        <w:pStyle w:val="Testonotadichiusura"/>
      </w:pPr>
      <w:r w:rsidRPr="005F1489">
        <w:rPr>
          <w:rStyle w:val="Rimandonotadichiusura"/>
        </w:rPr>
        <w:endnoteRef/>
      </w:r>
      <w:r w:rsidRPr="005F1489">
        <w:t xml:space="preserve"> Multicultural Youth South Australia Inc, Submission No 27 to the Australian Human Rights Commission, </w:t>
      </w:r>
      <w:r w:rsidRPr="005F1489">
        <w:rPr>
          <w:i/>
        </w:rPr>
        <w:t>National Children’s Commissioner’s Investigation into Young Parents and their Children</w:t>
      </w:r>
      <w:r w:rsidRPr="00C45B68">
        <w:t xml:space="preserve">, </w:t>
      </w:r>
      <w:r w:rsidRPr="005F1489">
        <w:rPr>
          <w:i/>
        </w:rPr>
        <w:t xml:space="preserve"> </w:t>
      </w:r>
      <w:r>
        <w:t>3–</w:t>
      </w:r>
      <w:r w:rsidRPr="005F1489">
        <w:t>4.</w:t>
      </w:r>
    </w:p>
  </w:endnote>
  <w:endnote w:id="540">
    <w:p w:rsidR="00C3563C" w:rsidRPr="005F1489" w:rsidRDefault="00C3563C" w:rsidP="00B87D45">
      <w:pPr>
        <w:pStyle w:val="Testonotadichiusura"/>
      </w:pPr>
      <w:r w:rsidRPr="005F1489">
        <w:rPr>
          <w:rStyle w:val="Rimandonotadichiusura"/>
        </w:rPr>
        <w:endnoteRef/>
      </w:r>
      <w:r w:rsidRPr="005F1489">
        <w:t xml:space="preserve"> Multicultural Youth South Australia Inc, Submission No 27 to the Australian Human Rights Commission, </w:t>
      </w:r>
      <w:r w:rsidRPr="005F1489">
        <w:rPr>
          <w:i/>
        </w:rPr>
        <w:t>National Children’s Commissioner’s Investigation into Young Parents and their Children</w:t>
      </w:r>
      <w:r w:rsidRPr="00C45B68">
        <w:t xml:space="preserve">, </w:t>
      </w:r>
      <w:r>
        <w:t>3–</w:t>
      </w:r>
      <w:r w:rsidRPr="005F1489">
        <w:t>4.</w:t>
      </w:r>
    </w:p>
  </w:endnote>
  <w:endnote w:id="541">
    <w:p w:rsidR="00C3563C" w:rsidRPr="006D71E7" w:rsidRDefault="00C3563C" w:rsidP="00B87D45">
      <w:pPr>
        <w:pStyle w:val="Testonotadichiusura"/>
      </w:pPr>
      <w:r>
        <w:rPr>
          <w:rStyle w:val="Rimandonotadichiusura"/>
        </w:rPr>
        <w:endnoteRef/>
      </w:r>
      <w:r>
        <w:t xml:space="preserve"> </w:t>
      </w:r>
      <w:r w:rsidRPr="005F1489">
        <w:t xml:space="preserve">Multicultural Youth South Australia Inc, Submission No 27 to the Australian Human Rights Commission, </w:t>
      </w:r>
      <w:r w:rsidRPr="005F1489">
        <w:rPr>
          <w:i/>
        </w:rPr>
        <w:t>National Children’s Commissioner’s Investigation into Young Parents and their Children</w:t>
      </w:r>
      <w:r>
        <w:t>, 4.</w:t>
      </w:r>
    </w:p>
  </w:endnote>
  <w:endnote w:id="542">
    <w:p w:rsidR="00C3563C" w:rsidRPr="005F1489" w:rsidRDefault="00C3563C" w:rsidP="00B87D45">
      <w:pPr>
        <w:pStyle w:val="Testonotadichiusura"/>
      </w:pPr>
      <w:r w:rsidRPr="005F1489">
        <w:rPr>
          <w:rStyle w:val="Rimandonotadichiusura"/>
        </w:rPr>
        <w:endnoteRef/>
      </w:r>
      <w:r w:rsidRPr="005F1489">
        <w:t xml:space="preserve"> Multicultural Youth South Australia Inc, Submission No 27 to the Australian Human Rights Commission, </w:t>
      </w:r>
      <w:r w:rsidRPr="005F1489">
        <w:rPr>
          <w:i/>
        </w:rPr>
        <w:t>National Children’s Commissioner’s Investigation into Young Parents and their Children</w:t>
      </w:r>
      <w:r w:rsidRPr="00C45B68">
        <w:t xml:space="preserve">, </w:t>
      </w:r>
      <w:r w:rsidRPr="005F1489">
        <w:rPr>
          <w:i/>
        </w:rPr>
        <w:t xml:space="preserve"> </w:t>
      </w:r>
      <w:r w:rsidRPr="005F1489">
        <w:t>5.</w:t>
      </w:r>
    </w:p>
  </w:endnote>
  <w:endnote w:id="543">
    <w:p w:rsidR="00C3563C" w:rsidRPr="005F1489" w:rsidRDefault="00C3563C" w:rsidP="00B87D45">
      <w:pPr>
        <w:pStyle w:val="Testonotadichiusura"/>
      </w:pPr>
      <w:r w:rsidRPr="005F1489">
        <w:rPr>
          <w:rStyle w:val="Rimandonotadichiusura"/>
        </w:rPr>
        <w:endnoteRef/>
      </w:r>
      <w:r w:rsidRPr="005F1489">
        <w:t xml:space="preserve"> Multicultural Youth South Australia Inc, Submission No 27 to the Australian Human Rights Commission, </w:t>
      </w:r>
      <w:r w:rsidRPr="005F1489">
        <w:rPr>
          <w:i/>
        </w:rPr>
        <w:t xml:space="preserve">National Children’s Commissioner’s Investigation into Young Parents and their Children, </w:t>
      </w:r>
      <w:r w:rsidRPr="005F1489">
        <w:t>5.</w:t>
      </w:r>
    </w:p>
  </w:endnote>
  <w:endnote w:id="544">
    <w:p w:rsidR="00C3563C" w:rsidRPr="005F1489" w:rsidRDefault="00C3563C" w:rsidP="00B87D45">
      <w:pPr>
        <w:pStyle w:val="Testonotadichiusura"/>
      </w:pPr>
      <w:r w:rsidRPr="005F1489">
        <w:rPr>
          <w:rStyle w:val="Rimandonotadichiusura"/>
        </w:rPr>
        <w:endnoteRef/>
      </w:r>
      <w:r w:rsidRPr="005F1489">
        <w:t xml:space="preserve"> Multicultural Youth South Australia Inc, Submission No 27 to the Australian Human Rights Commission, </w:t>
      </w:r>
      <w:r w:rsidRPr="005F1489">
        <w:rPr>
          <w:i/>
        </w:rPr>
        <w:t>National Children’s Commissioner’s Investigation into Young Parents and their Children</w:t>
      </w:r>
      <w:r w:rsidRPr="00C45B68">
        <w:t xml:space="preserve">, </w:t>
      </w:r>
      <w:r w:rsidRPr="005F1489">
        <w:t>5.</w:t>
      </w:r>
    </w:p>
  </w:endnote>
  <w:endnote w:id="545">
    <w:p w:rsidR="00C3563C" w:rsidRPr="005F1489" w:rsidRDefault="00C3563C" w:rsidP="00B87D45">
      <w:pPr>
        <w:pStyle w:val="Testonotadichiusura"/>
      </w:pPr>
      <w:r w:rsidRPr="005F1489">
        <w:rPr>
          <w:rStyle w:val="Rimandonotadichiusura"/>
        </w:rPr>
        <w:endnoteRef/>
      </w:r>
      <w:r w:rsidRPr="005F1489">
        <w:t xml:space="preserve"> Multicultural Youth South Australia Inc, Submission No 27 to the Australian Human Rights Commission, </w:t>
      </w:r>
      <w:r w:rsidRPr="005F1489">
        <w:rPr>
          <w:i/>
        </w:rPr>
        <w:t>National Children’s Commissioner’s Investigation into Young Parents and their Children</w:t>
      </w:r>
      <w:r w:rsidRPr="00C45B68">
        <w:t xml:space="preserve">, </w:t>
      </w:r>
      <w:r w:rsidRPr="005F1489">
        <w:t xml:space="preserve">2. </w:t>
      </w:r>
    </w:p>
  </w:endnote>
  <w:endnote w:id="546">
    <w:p w:rsidR="00C3563C" w:rsidRPr="005F1489" w:rsidRDefault="00C3563C" w:rsidP="00B87D45">
      <w:pPr>
        <w:pStyle w:val="Testonotadichiusura"/>
      </w:pPr>
      <w:r w:rsidRPr="005F1489">
        <w:rPr>
          <w:rStyle w:val="Rimandonotadichiusura"/>
        </w:rPr>
        <w:endnoteRef/>
      </w:r>
      <w:r w:rsidRPr="005F1489">
        <w:t xml:space="preserve"> Multicultural Youth South Australia Inc, Submission No 27 to the Australian Human Rights Commission, </w:t>
      </w:r>
      <w:r w:rsidRPr="005F1489">
        <w:rPr>
          <w:i/>
        </w:rPr>
        <w:t>National Children’s Commissioner’s Investigation into Young Parents and their Children</w:t>
      </w:r>
      <w:r w:rsidRPr="00C45B68">
        <w:t xml:space="preserve">, </w:t>
      </w:r>
      <w:r w:rsidRPr="005F1489">
        <w:t>2.</w:t>
      </w:r>
    </w:p>
  </w:endnote>
  <w:endnote w:id="547">
    <w:p w:rsidR="00C3563C" w:rsidRDefault="00C3563C" w:rsidP="00B87D45">
      <w:pPr>
        <w:pStyle w:val="Testonotadichiusura"/>
      </w:pPr>
      <w:r>
        <w:rPr>
          <w:rStyle w:val="Rimandonotadichiusura"/>
        </w:rPr>
        <w:endnoteRef/>
      </w:r>
      <w:r>
        <w:t xml:space="preserve"> </w:t>
      </w:r>
      <w:r w:rsidRPr="005F1489">
        <w:t xml:space="preserve">The Association of Women Educators, Submission No 37 to the Australian Human Rights Commission, </w:t>
      </w:r>
      <w:r w:rsidRPr="005F1489">
        <w:rPr>
          <w:i/>
          <w:iCs/>
        </w:rPr>
        <w:t xml:space="preserve">National Children’s Commissioner’s </w:t>
      </w:r>
      <w:r>
        <w:rPr>
          <w:i/>
          <w:iCs/>
        </w:rPr>
        <w:t>Investigation into Young Parents and their Children</w:t>
      </w:r>
      <w:r>
        <w:t>, 4.</w:t>
      </w:r>
    </w:p>
  </w:endnote>
  <w:endnote w:id="548">
    <w:p w:rsidR="00C3563C" w:rsidRDefault="00C3563C" w:rsidP="00B87D45">
      <w:pPr>
        <w:pStyle w:val="Testonotadichiusura"/>
      </w:pPr>
      <w:r w:rsidRPr="005F1489">
        <w:rPr>
          <w:rStyle w:val="Rimandonotadichiusura"/>
        </w:rPr>
        <w:endnoteRef/>
      </w:r>
      <w:r w:rsidRPr="005F1489">
        <w:t xml:space="preserve"> The Association of Women Educators, Submission No 37 to the Australian Human Rights Commission, </w:t>
      </w:r>
      <w:r w:rsidRPr="005F1489">
        <w:rPr>
          <w:i/>
          <w:iCs/>
        </w:rPr>
        <w:t xml:space="preserve">National Children’s Commissioner’s </w:t>
      </w:r>
      <w:r>
        <w:rPr>
          <w:i/>
          <w:iCs/>
        </w:rPr>
        <w:t>Investigation into Young Parents and their Children</w:t>
      </w:r>
      <w:r>
        <w:t>, 4.</w:t>
      </w:r>
    </w:p>
  </w:endnote>
  <w:endnote w:id="549">
    <w:p w:rsidR="00C3563C" w:rsidRPr="0005230D" w:rsidRDefault="00C3563C" w:rsidP="00B87D45">
      <w:pPr>
        <w:pStyle w:val="Testonotadichiusura"/>
      </w:pPr>
      <w:r>
        <w:rPr>
          <w:rStyle w:val="Rimandonotadichiusura"/>
        </w:rPr>
        <w:endnoteRef/>
      </w:r>
      <w:r>
        <w:t xml:space="preserve"> </w:t>
      </w:r>
      <w:r w:rsidRPr="00DF493D">
        <w:t>Uniting Communities</w:t>
      </w:r>
      <w:r>
        <w:t xml:space="preserve">, Submission No 25 to the Australian Human Rights Commission, </w:t>
      </w:r>
      <w:r>
        <w:rPr>
          <w:i/>
          <w:iCs/>
        </w:rPr>
        <w:t>National Children’s Commissioner’s Investigation into Young Parents and their Children</w:t>
      </w:r>
      <w:r w:rsidRPr="004C389D">
        <w:rPr>
          <w:iCs/>
        </w:rPr>
        <w:t>,</w:t>
      </w:r>
      <w:r>
        <w:rPr>
          <w:i/>
          <w:iCs/>
        </w:rPr>
        <w:t xml:space="preserve"> </w:t>
      </w:r>
      <w:r>
        <w:rPr>
          <w:iCs/>
        </w:rPr>
        <w:t>8</w:t>
      </w:r>
    </w:p>
  </w:endnote>
  <w:endnote w:id="550">
    <w:p w:rsidR="00C3563C" w:rsidRDefault="00C3563C" w:rsidP="00B87D45">
      <w:pPr>
        <w:pStyle w:val="Testonotadichiusura"/>
      </w:pPr>
      <w:r>
        <w:rPr>
          <w:rStyle w:val="Rimandonotadichiusura"/>
        </w:rPr>
        <w:endnoteRef/>
      </w:r>
      <w:r>
        <w:t xml:space="preserve">The Association of Women Educators, Submission No 37 to the Australian Human Rights Commission, </w:t>
      </w:r>
      <w:r>
        <w:rPr>
          <w:i/>
          <w:iCs/>
        </w:rPr>
        <w:t>National Children’s Commissioner’s Investigation into Young Parents and their Children</w:t>
      </w:r>
      <w:r>
        <w:t>, 4.</w:t>
      </w:r>
    </w:p>
  </w:endnote>
  <w:endnote w:id="551">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 xml:space="preserve">National Children’s Commissioner’s Investigation into Young Parents and their Children </w:t>
      </w:r>
      <w:r w:rsidRPr="009C0CE1">
        <w:t>(2017).</w:t>
      </w:r>
    </w:p>
  </w:endnote>
  <w:endnote w:id="552">
    <w:p w:rsidR="00C3563C" w:rsidRDefault="00C3563C" w:rsidP="00B87D45">
      <w:pPr>
        <w:pStyle w:val="Testonotadichiusura"/>
      </w:pPr>
      <w:r>
        <w:rPr>
          <w:rStyle w:val="Rimandonotadichiusura"/>
        </w:rPr>
        <w:endnoteRef/>
      </w:r>
      <w:r>
        <w:t xml:space="preserve"> </w:t>
      </w:r>
      <w:r w:rsidRPr="00073689">
        <w:t xml:space="preserve">Gail Winkworth and Morag McArthur, Submission No 12 to the Australian Human Rights Commission, </w:t>
      </w:r>
      <w:r w:rsidRPr="00073689">
        <w:rPr>
          <w:i/>
        </w:rPr>
        <w:t>National Children’s Commissioner’s Investigation into Young Parents and their Children</w:t>
      </w:r>
      <w:r w:rsidRPr="00C45B68">
        <w:t xml:space="preserve">, </w:t>
      </w:r>
      <w:r w:rsidRPr="00073689">
        <w:rPr>
          <w:i/>
        </w:rPr>
        <w:t xml:space="preserve"> </w:t>
      </w:r>
      <w:r>
        <w:t>4.</w:t>
      </w:r>
    </w:p>
  </w:endnote>
  <w:endnote w:id="553">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 xml:space="preserve">National Children’s Commissioner’s Investigation into Young Parents and their Children </w:t>
      </w:r>
      <w:r w:rsidRPr="009C0CE1">
        <w:t>(2017).</w:t>
      </w:r>
    </w:p>
  </w:endnote>
  <w:endnote w:id="554">
    <w:p w:rsidR="00C3563C" w:rsidRDefault="00C3563C" w:rsidP="00B87D45">
      <w:pPr>
        <w:pStyle w:val="Testonotadichiusura"/>
      </w:pPr>
      <w:r>
        <w:rPr>
          <w:rStyle w:val="Rimandonotadichiusura"/>
        </w:rPr>
        <w:endnoteRef/>
      </w:r>
      <w:r>
        <w:t xml:space="preserve"> Australian Human Rights Commission, </w:t>
      </w:r>
      <w:r w:rsidRPr="009A2B60">
        <w:t>Submission No 44</w:t>
      </w:r>
      <w:r>
        <w:t xml:space="preserve"> to the Senate Education and Employment Legislation Committee, Inquiry into the Family Assistance Legislation Amendment (Jobs for Families Child Care Package) Bill 2016, 2 February 2016. At </w:t>
      </w:r>
      <w:hyperlink r:id="rId155" w:history="1">
        <w:r w:rsidRPr="000F68B0">
          <w:rPr>
            <w:rStyle w:val="Collegamentoipertestuale"/>
          </w:rPr>
          <w:t>http://www.aph.gov.au/Parliamentary_Business/Committees/Senate/Education_and_Employment/JobsforFamilies45th/Submissions</w:t>
        </w:r>
      </w:hyperlink>
      <w:r>
        <w:t xml:space="preserve"> (viewed 24 November 2017).</w:t>
      </w:r>
    </w:p>
  </w:endnote>
  <w:endnote w:id="555">
    <w:p w:rsidR="00C3563C" w:rsidRDefault="00C3563C" w:rsidP="00B87D45">
      <w:pPr>
        <w:pStyle w:val="Testonotadichiusura"/>
      </w:pPr>
      <w:r>
        <w:rPr>
          <w:rStyle w:val="Rimandonotadichiusura"/>
        </w:rPr>
        <w:endnoteRef/>
      </w:r>
      <w:r>
        <w:t xml:space="preserve"> </w:t>
      </w:r>
      <w:r w:rsidRPr="00DF493D">
        <w:t>Uniting Communities</w:t>
      </w:r>
      <w:r>
        <w:t xml:space="preserve">, Submission No 25 to the Australian Human Rights Commission, </w:t>
      </w:r>
      <w:r>
        <w:rPr>
          <w:i/>
          <w:iCs/>
        </w:rPr>
        <w:t>National Children’s Commissioner’s investigation into Young Parents and their Children</w:t>
      </w:r>
      <w:r w:rsidRPr="007F1960">
        <w:rPr>
          <w:iCs/>
        </w:rPr>
        <w:t>,</w:t>
      </w:r>
      <w:r>
        <w:rPr>
          <w:i/>
          <w:iCs/>
        </w:rPr>
        <w:t xml:space="preserve"> </w:t>
      </w:r>
      <w:r>
        <w:rPr>
          <w:iCs/>
        </w:rPr>
        <w:t xml:space="preserve">8; </w:t>
      </w:r>
      <w:r w:rsidRPr="009C0CE1">
        <w:rPr>
          <w:i/>
          <w:iCs/>
        </w:rPr>
        <w:t>Discussion</w:t>
      </w:r>
      <w:r w:rsidRPr="009C0CE1">
        <w:t>, Roundtables, National Children’s Commissioner’s investigation into Young Parents and their Children, (2017).</w:t>
      </w:r>
    </w:p>
  </w:endnote>
  <w:endnote w:id="556">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xml:space="preserve"> (2017).</w:t>
      </w:r>
    </w:p>
  </w:endnote>
  <w:endnote w:id="557">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(2017).</w:t>
      </w:r>
    </w:p>
  </w:endnote>
  <w:endnote w:id="558">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(2017).</w:t>
      </w:r>
    </w:p>
  </w:endnote>
  <w:endnote w:id="559">
    <w:p w:rsidR="00C3563C" w:rsidRPr="009840A7" w:rsidRDefault="00C3563C" w:rsidP="00B87D45">
      <w:pPr>
        <w:pStyle w:val="Testonotadichiusura"/>
        <w:rPr>
          <w:color w:val="0070C0"/>
        </w:rPr>
      </w:pPr>
      <w:r w:rsidRPr="00B145BA">
        <w:rPr>
          <w:rStyle w:val="Rimandonotadichiusura"/>
        </w:rPr>
        <w:endnoteRef/>
      </w:r>
      <w:r w:rsidRPr="00B145BA">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xml:space="preserve"> (2017).</w:t>
      </w:r>
    </w:p>
  </w:endnote>
  <w:endnote w:id="560">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xml:space="preserve"> (2017).</w:t>
      </w:r>
    </w:p>
  </w:endnote>
  <w:endnote w:id="561">
    <w:p w:rsidR="00C3563C" w:rsidRDefault="00C3563C" w:rsidP="00B87D45">
      <w:pPr>
        <w:pStyle w:val="Testonotadichiusura"/>
      </w:pPr>
      <w:r w:rsidRPr="005A3DB4">
        <w:rPr>
          <w:rStyle w:val="Rimandonotadichiusura"/>
        </w:rPr>
        <w:endnoteRef/>
      </w:r>
      <w:r w:rsidRPr="005A3DB4">
        <w:t xml:space="preserve"> Gail Winkworth and Morag McArthur, Submission No 12 to</w:t>
      </w:r>
      <w:r>
        <w:t xml:space="preserve"> the</w:t>
      </w:r>
      <w:r w:rsidRPr="005A3DB4">
        <w:t xml:space="preserve"> Australian Human Rights Commission, </w:t>
      </w:r>
      <w:r w:rsidRPr="005A3DB4">
        <w:rPr>
          <w:i/>
          <w:iCs/>
        </w:rPr>
        <w:t xml:space="preserve">National Children’s Commissioner’s </w:t>
      </w:r>
      <w:r>
        <w:rPr>
          <w:i/>
          <w:iCs/>
        </w:rPr>
        <w:t>I</w:t>
      </w:r>
      <w:r w:rsidRPr="005A3DB4">
        <w:rPr>
          <w:i/>
          <w:iCs/>
        </w:rPr>
        <w:t>nvestigation into Young Parents and their Children</w:t>
      </w:r>
      <w:r w:rsidRPr="005A3DB4">
        <w:rPr>
          <w:iCs/>
        </w:rPr>
        <w:t>, 4</w:t>
      </w:r>
      <w:r w:rsidRPr="005A3DB4">
        <w:rPr>
          <w:i/>
          <w:iCs/>
        </w:rPr>
        <w:t>.</w:t>
      </w:r>
      <w:r w:rsidRPr="005A3DB4">
        <w:t xml:space="preserve"> </w:t>
      </w:r>
    </w:p>
  </w:endnote>
  <w:endnote w:id="562">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xml:space="preserve"> (2017).</w:t>
      </w:r>
    </w:p>
  </w:endnote>
  <w:endnote w:id="563">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xml:space="preserve"> (2017).</w:t>
      </w:r>
    </w:p>
  </w:endnote>
  <w:endnote w:id="564">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xml:space="preserve"> (2017).</w:t>
      </w:r>
    </w:p>
  </w:endnote>
  <w:endnote w:id="565">
    <w:p w:rsidR="00C3563C" w:rsidRDefault="00C3563C" w:rsidP="00B87D45">
      <w:pPr>
        <w:spacing w:before="0" w:after="0"/>
      </w:pPr>
      <w:r>
        <w:rPr>
          <w:rStyle w:val="Rimandonotadichiusura"/>
        </w:rPr>
        <w:endnoteRef/>
      </w:r>
      <w:r w:rsidRPr="00E34166">
        <w:rPr>
          <w:lang w:val="it-IT"/>
        </w:rPr>
        <w:t xml:space="preserve"> </w:t>
      </w:r>
      <w:r w:rsidRPr="00E34166">
        <w:rPr>
          <w:sz w:val="20"/>
          <w:lang w:val="it-IT"/>
        </w:rPr>
        <w:t xml:space="preserve">Canberra College, </w:t>
      </w:r>
      <w:r w:rsidRPr="00E34166">
        <w:rPr>
          <w:i/>
          <w:sz w:val="20"/>
          <w:lang w:val="it-IT"/>
        </w:rPr>
        <w:t xml:space="preserve">CCCares @ Canberra College. </w:t>
      </w:r>
      <w:r w:rsidRPr="00C512C5">
        <w:rPr>
          <w:sz w:val="20"/>
        </w:rPr>
        <w:t xml:space="preserve">At </w:t>
      </w:r>
      <w:hyperlink r:id="rId156" w:history="1">
        <w:r w:rsidRPr="00162F20">
          <w:rPr>
            <w:rStyle w:val="Collegamentoipertestuale"/>
            <w:sz w:val="20"/>
            <w:szCs w:val="20"/>
          </w:rPr>
          <w:t>www.canberrac.act.edu.au/information/programs/cc_cares</w:t>
        </w:r>
      </w:hyperlink>
      <w:r>
        <w:rPr>
          <w:sz w:val="20"/>
          <w:szCs w:val="20"/>
        </w:rPr>
        <w:t xml:space="preserve"> (viewed 7 September 2017); </w:t>
      </w:r>
      <w:r w:rsidRPr="00646588">
        <w:rPr>
          <w:sz w:val="20"/>
          <w:szCs w:val="20"/>
        </w:rPr>
        <w:t xml:space="preserve">CCCares, Submission No 7 to Australian Human Rights Commission, </w:t>
      </w:r>
      <w:r w:rsidRPr="00646588">
        <w:rPr>
          <w:i/>
          <w:sz w:val="20"/>
          <w:szCs w:val="20"/>
        </w:rPr>
        <w:t xml:space="preserve">National Children’s Commissioner’s </w:t>
      </w:r>
      <w:r>
        <w:rPr>
          <w:i/>
          <w:sz w:val="20"/>
          <w:szCs w:val="20"/>
        </w:rPr>
        <w:t>I</w:t>
      </w:r>
      <w:r w:rsidRPr="00646588">
        <w:rPr>
          <w:i/>
          <w:sz w:val="20"/>
          <w:szCs w:val="20"/>
        </w:rPr>
        <w:t>nvestigation into Young Parents and their Children</w:t>
      </w:r>
      <w:r w:rsidRPr="007F1960">
        <w:rPr>
          <w:sz w:val="20"/>
          <w:szCs w:val="20"/>
        </w:rPr>
        <w:t>;</w:t>
      </w:r>
      <w:r>
        <w:rPr>
          <w:i/>
          <w:sz w:val="20"/>
          <w:szCs w:val="20"/>
        </w:rPr>
        <w:t xml:space="preserve"> </w:t>
      </w:r>
      <w:r w:rsidRPr="00646588">
        <w:rPr>
          <w:sz w:val="20"/>
          <w:szCs w:val="20"/>
        </w:rPr>
        <w:t xml:space="preserve">CCCares, Submission No 8 to </w:t>
      </w:r>
      <w:r w:rsidRPr="00C1125C">
        <w:rPr>
          <w:sz w:val="20"/>
          <w:szCs w:val="20"/>
        </w:rPr>
        <w:t xml:space="preserve">the </w:t>
      </w:r>
      <w:r w:rsidRPr="00646588">
        <w:rPr>
          <w:sz w:val="20"/>
          <w:szCs w:val="20"/>
        </w:rPr>
        <w:t xml:space="preserve">Australian Human Rights Commission, </w:t>
      </w:r>
      <w:r w:rsidRPr="00646588">
        <w:rPr>
          <w:i/>
          <w:sz w:val="20"/>
          <w:szCs w:val="20"/>
        </w:rPr>
        <w:t xml:space="preserve">National Children’s Commissioner’s </w:t>
      </w:r>
      <w:r>
        <w:rPr>
          <w:i/>
          <w:sz w:val="20"/>
          <w:szCs w:val="20"/>
        </w:rPr>
        <w:t>I</w:t>
      </w:r>
      <w:r w:rsidRPr="00646588">
        <w:rPr>
          <w:i/>
          <w:sz w:val="20"/>
          <w:szCs w:val="20"/>
        </w:rPr>
        <w:t>nvestigation into Young Parents and their Children.</w:t>
      </w:r>
    </w:p>
  </w:endnote>
  <w:endnote w:id="566">
    <w:p w:rsidR="00C3563C" w:rsidRPr="0041376D" w:rsidRDefault="00C3563C" w:rsidP="00B87D45">
      <w:pPr>
        <w:pStyle w:val="Testonotadichiusura"/>
      </w:pPr>
      <w:r w:rsidRPr="00310B08">
        <w:rPr>
          <w:rStyle w:val="Rimandonotadichiusura"/>
        </w:rPr>
        <w:endnoteRef/>
      </w:r>
      <w:r w:rsidRPr="00310B08">
        <w:t xml:space="preserve"> Rachel Skinner, Jennifer Marino, Martha Hickey, Deborah Bateson and Lucy Lewis, Submission No 32 to the Australian Human Rights Commission, </w:t>
      </w:r>
      <w:r w:rsidRPr="00310B08">
        <w:rPr>
          <w:i/>
        </w:rPr>
        <w:t>National Children’s Commissioner’s Investigation into Young Parents and their Children</w:t>
      </w:r>
      <w:r w:rsidRPr="007F1960">
        <w:t>,</w:t>
      </w:r>
      <w:r w:rsidRPr="00310B08">
        <w:rPr>
          <w:i/>
        </w:rPr>
        <w:t xml:space="preserve"> </w:t>
      </w:r>
      <w:r w:rsidRPr="00310B08">
        <w:t>6</w:t>
      </w:r>
      <w:r>
        <w:t>.</w:t>
      </w:r>
    </w:p>
  </w:endnote>
  <w:endnote w:id="567">
    <w:p w:rsidR="00C3563C" w:rsidRPr="00456CFE" w:rsidRDefault="00C3563C" w:rsidP="00B87D45">
      <w:pPr>
        <w:pStyle w:val="Testonotadichiusura"/>
        <w:rPr>
          <w:color w:val="7030A0"/>
        </w:rPr>
      </w:pPr>
      <w:r w:rsidRPr="003F3C75">
        <w:rPr>
          <w:rStyle w:val="Rimandonotadichiusura"/>
        </w:rPr>
        <w:endnoteRef/>
      </w:r>
      <w:r w:rsidRPr="003F3C75">
        <w:t xml:space="preserve"> Rachel Skinner, Jennifer Marino, Martha Hickey, Deborah Bateson and Lucy Lewis, Submission No 32 to the Australian Hum</w:t>
      </w:r>
      <w:r w:rsidRPr="009E1C98">
        <w:t xml:space="preserve">an Rights Commission, </w:t>
      </w:r>
      <w:r w:rsidRPr="009E1C98">
        <w:rPr>
          <w:i/>
        </w:rPr>
        <w:t xml:space="preserve">National Children’s Commissioner’s Investigation into Young Parents and their Children, </w:t>
      </w:r>
      <w:r w:rsidRPr="009E1C98">
        <w:t>6; Laureen Lopez, Alissa Bernholc, Mario Chen and Elizabeth Tolley</w:t>
      </w:r>
      <w:r>
        <w:t>, ‘</w:t>
      </w:r>
      <w:r w:rsidRPr="00456CFE">
        <w:t>School-based interventions for improving contraceptive use in adolescents</w:t>
      </w:r>
      <w:r>
        <w:t xml:space="preserve">’ (2016) 6 </w:t>
      </w:r>
      <w:r w:rsidRPr="00456CFE">
        <w:rPr>
          <w:i/>
        </w:rPr>
        <w:t>Cochrane Database of Systematic Reviews</w:t>
      </w:r>
      <w:r>
        <w:t xml:space="preserve"> cited in </w:t>
      </w:r>
      <w:r w:rsidRPr="00310B08">
        <w:t xml:space="preserve">Rachel Skinner, Jennifer Marino, Martha Hickey, Deborah Bateson and Lucy Lewis, Submission No 32 to the Australian Human Rights Commission, </w:t>
      </w:r>
      <w:r w:rsidRPr="00310B08">
        <w:rPr>
          <w:i/>
        </w:rPr>
        <w:t xml:space="preserve">National Children’s Commissioner’s Investigation into Young Parents and their Children, </w:t>
      </w:r>
      <w:r>
        <w:t xml:space="preserve">6; </w:t>
      </w:r>
      <w:r w:rsidRPr="009E1C98">
        <w:t xml:space="preserve">HB Chin, TA Sipe, R Elder, SL Mercer, SK Chattopadhyay, V Jacob, HR Wethington, D Kirby, DB Elliston, M Griffith, SO Chuke, SC Briss, </w:t>
      </w:r>
      <w:r>
        <w:t>I Ericksen</w:t>
      </w:r>
      <w:r w:rsidRPr="009E1C98">
        <w:t xml:space="preserve">, JS Galbraith, JH Herbst, RL Johnson, JM Kraft, SM Noar, LM Romero, </w:t>
      </w:r>
      <w:r>
        <w:t>J Santelli and</w:t>
      </w:r>
      <w:r w:rsidRPr="009E1C98">
        <w:t xml:space="preserve"> Community Preventive Services Task Force</w:t>
      </w:r>
      <w:r>
        <w:t>, ‘</w:t>
      </w:r>
      <w:r w:rsidRPr="00DB1C2F">
        <w:t>The effectiveness of group-based comprehensive risk-reduction and abstinence education interventions to prevent or reduce the risk of adolescent pregnancy, human immunodeficiency virus, and sexually transmitted infections two systematic reviews for the guide to community preventive services</w:t>
      </w:r>
      <w:r>
        <w:t>’ (2012)</w:t>
      </w:r>
      <w:r w:rsidRPr="00DC5661">
        <w:t xml:space="preserve"> </w:t>
      </w:r>
      <w:r w:rsidRPr="00DB1C2F">
        <w:t xml:space="preserve">42(3) </w:t>
      </w:r>
      <w:r w:rsidRPr="00DC5661">
        <w:rPr>
          <w:i/>
        </w:rPr>
        <w:t>American Journal of Preventive Medicine</w:t>
      </w:r>
      <w:r>
        <w:rPr>
          <w:i/>
        </w:rPr>
        <w:t xml:space="preserve"> </w:t>
      </w:r>
      <w:r>
        <w:t xml:space="preserve"> 272 cited in </w:t>
      </w:r>
      <w:r w:rsidRPr="00310B08">
        <w:t xml:space="preserve">Rachel Skinner, Jennifer Marino, Martha Hickey, Deborah Bateson and Lucy Lewis, Submission No 32 to the Australian Human Rights Commission, </w:t>
      </w:r>
      <w:r w:rsidRPr="00310B08">
        <w:rPr>
          <w:i/>
        </w:rPr>
        <w:t xml:space="preserve">National Children’s Commissioner’s Investigation into Young Parents and their Children, </w:t>
      </w:r>
      <w:r>
        <w:t>6.</w:t>
      </w:r>
    </w:p>
  </w:endnote>
  <w:endnote w:id="568">
    <w:p w:rsidR="00C3563C" w:rsidRPr="00BC1F2E" w:rsidRDefault="00C3563C" w:rsidP="00B87D45">
      <w:pPr>
        <w:pStyle w:val="Testonotadichiusura"/>
      </w:pPr>
      <w:r w:rsidRPr="00BC1F2E">
        <w:rPr>
          <w:rStyle w:val="Rimandonotadichiusura"/>
        </w:rPr>
        <w:endnoteRef/>
      </w:r>
      <w:r w:rsidRPr="00BC1F2E">
        <w:t xml:space="preserve"> Advocate for Children and Young People</w:t>
      </w:r>
      <w:r>
        <w:t xml:space="preserve"> NSW</w:t>
      </w:r>
      <w:r w:rsidRPr="00BC1F2E">
        <w:t xml:space="preserve">, Submission No 35 to the Australian Human Rights Commission, </w:t>
      </w:r>
      <w:r w:rsidRPr="00BC1F2E">
        <w:rPr>
          <w:i/>
        </w:rPr>
        <w:t>National Children’s Commissioner’s Investigation into Young Parents and their Children</w:t>
      </w:r>
      <w:r w:rsidRPr="00DC5661">
        <w:t>,</w:t>
      </w:r>
      <w:r w:rsidRPr="00BC1F2E">
        <w:rPr>
          <w:i/>
        </w:rPr>
        <w:t xml:space="preserve"> </w:t>
      </w:r>
      <w:r w:rsidRPr="00BC1F2E">
        <w:t>4;</w:t>
      </w:r>
      <w:r w:rsidRPr="00BC1F2E">
        <w:rPr>
          <w:i/>
        </w:rPr>
        <w:t xml:space="preserve"> </w:t>
      </w:r>
      <w:r w:rsidRPr="00BC1F2E">
        <w:t xml:space="preserve">Association of Women Educators Inc, Submission No 37 to the Australian Human Rights Commission, </w:t>
      </w:r>
      <w:r w:rsidRPr="00BC1F2E">
        <w:rPr>
          <w:i/>
        </w:rPr>
        <w:t xml:space="preserve">National Children’s Commissioner’s Investigation into Young Parents and their Children </w:t>
      </w:r>
      <w:r w:rsidRPr="00BC1F2E">
        <w:t>6</w:t>
      </w:r>
      <w:r w:rsidRPr="00BC1F2E">
        <w:rPr>
          <w:i/>
        </w:rPr>
        <w:t xml:space="preserve">; </w:t>
      </w:r>
      <w:r w:rsidRPr="00BC1F2E">
        <w:t xml:space="preserve">Genesis Pregnancy Support, Submission </w:t>
      </w:r>
      <w:r>
        <w:t xml:space="preserve">No </w:t>
      </w:r>
      <w:r w:rsidRPr="00BC1F2E">
        <w:t xml:space="preserve">9 to the Australian Human Rights Commission, </w:t>
      </w:r>
      <w:r w:rsidRPr="00BC1F2E">
        <w:rPr>
          <w:i/>
        </w:rPr>
        <w:t>National Children’s Commissioner’s Investigation into Young Parents and their Children</w:t>
      </w:r>
      <w:r w:rsidRPr="00DC5661">
        <w:t xml:space="preserve">, </w:t>
      </w:r>
      <w:r w:rsidRPr="00BC1F2E">
        <w:t>2.</w:t>
      </w:r>
    </w:p>
  </w:endnote>
  <w:endnote w:id="569">
    <w:p w:rsidR="00C3563C" w:rsidRPr="00E05505" w:rsidRDefault="00C3563C" w:rsidP="00B87D45">
      <w:pPr>
        <w:pStyle w:val="Testonotadichiusura"/>
        <w:rPr>
          <w:color w:val="7030A0"/>
        </w:rPr>
      </w:pPr>
      <w:r w:rsidRPr="00FD72EA">
        <w:rPr>
          <w:rStyle w:val="Rimandonotadichiusura"/>
        </w:rPr>
        <w:endnoteRef/>
      </w:r>
      <w:r w:rsidRPr="00FD72EA">
        <w:t xml:space="preserve"> Philip Mendes and Jade Purtell, Submission </w:t>
      </w:r>
      <w:r>
        <w:t xml:space="preserve">No </w:t>
      </w:r>
      <w:r w:rsidRPr="00FD72EA">
        <w:t xml:space="preserve">4 to the Australian Human Rights Commission, </w:t>
      </w:r>
      <w:r w:rsidRPr="00FD72EA">
        <w:rPr>
          <w:i/>
        </w:rPr>
        <w:t>National Children’s Commissioner’s Investigation into Young Parents and their Children</w:t>
      </w:r>
      <w:r w:rsidRPr="00DC5661">
        <w:t>,</w:t>
      </w:r>
      <w:r w:rsidRPr="00FD72EA">
        <w:rPr>
          <w:i/>
        </w:rPr>
        <w:t xml:space="preserve"> </w:t>
      </w:r>
      <w:r w:rsidRPr="00FD72EA">
        <w:t>4.</w:t>
      </w:r>
    </w:p>
  </w:endnote>
  <w:endnote w:id="570">
    <w:p w:rsidR="00C3563C" w:rsidRPr="006B4897" w:rsidRDefault="00C3563C" w:rsidP="00B87D45">
      <w:pPr>
        <w:pStyle w:val="Testonotadichiusura"/>
      </w:pPr>
      <w:r w:rsidRPr="006B4897">
        <w:rPr>
          <w:rStyle w:val="Rimandonotadichiusura"/>
        </w:rPr>
        <w:endnoteRef/>
      </w:r>
      <w:r w:rsidRPr="006B4897">
        <w:t xml:space="preserve"> </w:t>
      </w:r>
      <w:r>
        <w:t>yourtown</w:t>
      </w:r>
      <w:r w:rsidRPr="006B4897">
        <w:t xml:space="preserve">, Submission </w:t>
      </w:r>
      <w:r>
        <w:t xml:space="preserve">No </w:t>
      </w:r>
      <w:r w:rsidRPr="006B4897">
        <w:t xml:space="preserve">16 to the Australian Human Rights Commission, </w:t>
      </w:r>
      <w:r w:rsidRPr="006B4897">
        <w:rPr>
          <w:i/>
        </w:rPr>
        <w:t>National Children’s Commissioner’s Investigation into Young Parents and their Children</w:t>
      </w:r>
      <w:r w:rsidRPr="00DC5661">
        <w:t>,</w:t>
      </w:r>
      <w:r w:rsidRPr="006B4897">
        <w:rPr>
          <w:i/>
        </w:rPr>
        <w:t xml:space="preserve"> </w:t>
      </w:r>
      <w:r w:rsidRPr="006B4897">
        <w:t>45.</w:t>
      </w:r>
    </w:p>
  </w:endnote>
  <w:endnote w:id="571">
    <w:p w:rsidR="00C3563C" w:rsidRPr="006B4897" w:rsidRDefault="00C3563C" w:rsidP="00B87D45">
      <w:pPr>
        <w:pStyle w:val="Testonotadichiusura"/>
      </w:pPr>
      <w:r w:rsidRPr="006B4897">
        <w:rPr>
          <w:rStyle w:val="Rimandonotadichiusura"/>
        </w:rPr>
        <w:endnoteRef/>
      </w:r>
      <w:r w:rsidRPr="006B4897">
        <w:t xml:space="preserve"> </w:t>
      </w:r>
      <w:r>
        <w:t>yourtown</w:t>
      </w:r>
      <w:r w:rsidRPr="006B4897">
        <w:t xml:space="preserve">, Submission </w:t>
      </w:r>
      <w:r>
        <w:t xml:space="preserve">No </w:t>
      </w:r>
      <w:r w:rsidRPr="006B4897">
        <w:t xml:space="preserve">16 to the Australian Human Rights Commission, </w:t>
      </w:r>
      <w:r w:rsidRPr="006B4897">
        <w:rPr>
          <w:i/>
        </w:rPr>
        <w:t>National Children’s Commissioner’s Investigation into Young Parents and their Children</w:t>
      </w:r>
      <w:r w:rsidRPr="00DC5661">
        <w:t>,</w:t>
      </w:r>
      <w:r w:rsidRPr="006B4897">
        <w:rPr>
          <w:i/>
        </w:rPr>
        <w:t xml:space="preserve"> </w:t>
      </w:r>
      <w:r w:rsidRPr="006B4897">
        <w:t>30, 45.</w:t>
      </w:r>
    </w:p>
  </w:endnote>
  <w:endnote w:id="572">
    <w:p w:rsidR="00C3563C" w:rsidRPr="006B4897" w:rsidRDefault="00C3563C" w:rsidP="00B87D45">
      <w:pPr>
        <w:pStyle w:val="Testonotadichiusura"/>
      </w:pPr>
      <w:r w:rsidRPr="006B4897">
        <w:rPr>
          <w:rStyle w:val="Rimandonotadichiusura"/>
        </w:rPr>
        <w:endnoteRef/>
      </w:r>
      <w:r w:rsidRPr="006B4897">
        <w:t xml:space="preserve"> Women’s and Children’s Health Network, Submission No 20 to the Australian Human Rights Commission, </w:t>
      </w:r>
      <w:r w:rsidRPr="006B4897">
        <w:rPr>
          <w:i/>
        </w:rPr>
        <w:t>National Children’s Commissioner’s Investigation into Young Parents and their Children</w:t>
      </w:r>
      <w:r w:rsidRPr="00DC5661">
        <w:t xml:space="preserve">, </w:t>
      </w:r>
      <w:r w:rsidRPr="006B4897">
        <w:t>10; Advocate for Children and Young People</w:t>
      </w:r>
      <w:r>
        <w:t xml:space="preserve"> NSW</w:t>
      </w:r>
      <w:r w:rsidRPr="006B4897">
        <w:t xml:space="preserve">, Submission No 35 to the Australian Human Rights Commission, </w:t>
      </w:r>
      <w:r w:rsidRPr="006B4897">
        <w:rPr>
          <w:i/>
        </w:rPr>
        <w:t xml:space="preserve">National Children’s Commissioner’s Investigation into Young Parents and their Children, </w:t>
      </w:r>
      <w:r w:rsidRPr="006B4897">
        <w:t>4; Victorian Aboriginal Child Care Agen</w:t>
      </w:r>
      <w:r>
        <w:t>cy (VACCA),</w:t>
      </w:r>
      <w:r w:rsidRPr="006B4897">
        <w:t xml:space="preserve"> Submission No 42 to the Australian Human Rights Commission, </w:t>
      </w:r>
      <w:r w:rsidRPr="006B4897">
        <w:rPr>
          <w:i/>
        </w:rPr>
        <w:t>National Children’s Commissioner’s Investigation into Young Parents and their Children</w:t>
      </w:r>
      <w:r w:rsidRPr="00DC5661">
        <w:t>,</w:t>
      </w:r>
      <w:r w:rsidRPr="006B4897">
        <w:rPr>
          <w:i/>
        </w:rPr>
        <w:t xml:space="preserve"> </w:t>
      </w:r>
      <w:r>
        <w:t>7–</w:t>
      </w:r>
      <w:r w:rsidRPr="006B4897">
        <w:t>8.</w:t>
      </w:r>
    </w:p>
  </w:endnote>
  <w:endnote w:id="573">
    <w:p w:rsidR="00C3563C" w:rsidRPr="006B4897" w:rsidRDefault="00C3563C" w:rsidP="00B87D45">
      <w:pPr>
        <w:pStyle w:val="Testonotadichiusura"/>
      </w:pPr>
      <w:r w:rsidRPr="006B4897">
        <w:rPr>
          <w:rStyle w:val="Rimandonotadichiusura"/>
        </w:rPr>
        <w:endnoteRef/>
      </w:r>
      <w:r w:rsidRPr="006B4897">
        <w:t xml:space="preserve"> </w:t>
      </w:r>
      <w:r>
        <w:t>yourtown</w:t>
      </w:r>
      <w:r w:rsidRPr="006B4897">
        <w:t xml:space="preserve">, Submission </w:t>
      </w:r>
      <w:r>
        <w:t xml:space="preserve">No </w:t>
      </w:r>
      <w:r w:rsidRPr="006B4897">
        <w:t xml:space="preserve">16 to the Australian Human Rights Commission, </w:t>
      </w:r>
      <w:r w:rsidRPr="006B4897">
        <w:rPr>
          <w:i/>
        </w:rPr>
        <w:t>National Children’s Commissioner’s Investigation into Young Parents and their Children</w:t>
      </w:r>
      <w:r w:rsidRPr="00DC5661">
        <w:t>,</w:t>
      </w:r>
      <w:r w:rsidRPr="006B4897">
        <w:rPr>
          <w:i/>
        </w:rPr>
        <w:t xml:space="preserve"> </w:t>
      </w:r>
      <w:r w:rsidRPr="006B4897">
        <w:t>38.</w:t>
      </w:r>
    </w:p>
  </w:endnote>
  <w:endnote w:id="574">
    <w:p w:rsidR="00C3563C" w:rsidRPr="006B4897" w:rsidRDefault="00C3563C" w:rsidP="00B87D45">
      <w:pPr>
        <w:pStyle w:val="Testonotadichiusura"/>
      </w:pPr>
      <w:r w:rsidRPr="006B4897">
        <w:rPr>
          <w:rStyle w:val="Rimandonotadichiusura"/>
        </w:rPr>
        <w:endnoteRef/>
      </w:r>
      <w:r w:rsidRPr="006B4897">
        <w:t xml:space="preserve"> Philip Mendes and Jade Purtell, Submission </w:t>
      </w:r>
      <w:r>
        <w:t xml:space="preserve">No </w:t>
      </w:r>
      <w:r w:rsidRPr="006B4897">
        <w:t xml:space="preserve">4 to the Australian Human Rights Commission, </w:t>
      </w:r>
      <w:r w:rsidRPr="006B4897">
        <w:rPr>
          <w:i/>
        </w:rPr>
        <w:t>National Children’s Commissioner’s Investigation into Young Parents and their Children</w:t>
      </w:r>
      <w:r w:rsidRPr="00DC5661">
        <w:t>,</w:t>
      </w:r>
      <w:r w:rsidRPr="006B4897">
        <w:rPr>
          <w:i/>
        </w:rPr>
        <w:t xml:space="preserve"> </w:t>
      </w:r>
      <w:r w:rsidRPr="006B4897">
        <w:t>18.</w:t>
      </w:r>
    </w:p>
  </w:endnote>
  <w:endnote w:id="575">
    <w:p w:rsidR="00C3563C" w:rsidRPr="00E05505" w:rsidRDefault="00C3563C" w:rsidP="00B87D45">
      <w:pPr>
        <w:pStyle w:val="Testonotadichiusura"/>
        <w:rPr>
          <w:color w:val="7030A0"/>
        </w:rPr>
      </w:pPr>
      <w:r w:rsidRPr="006B4897">
        <w:rPr>
          <w:rStyle w:val="Rimandonotadichiusura"/>
        </w:rPr>
        <w:endnoteRef/>
      </w:r>
      <w:r w:rsidRPr="006B4897">
        <w:t xml:space="preserve"> Philip Mendes and Jade Purtell, Submission No 4 to the Australian Human Rights Commission, </w:t>
      </w:r>
      <w:r w:rsidRPr="006B4897">
        <w:rPr>
          <w:i/>
        </w:rPr>
        <w:t>National Children’s Commissioner’s Investigation into Young Parents and their Children</w:t>
      </w:r>
      <w:r w:rsidRPr="006B4897">
        <w:t>, 4.</w:t>
      </w:r>
    </w:p>
  </w:endnote>
  <w:endnote w:id="576">
    <w:p w:rsidR="00C3563C" w:rsidRPr="00E05505" w:rsidRDefault="00C3563C" w:rsidP="00B87D45">
      <w:pPr>
        <w:pStyle w:val="Testonotadichiusura"/>
        <w:rPr>
          <w:color w:val="7030A0"/>
        </w:rPr>
      </w:pPr>
      <w:r w:rsidRPr="006F5881">
        <w:rPr>
          <w:rStyle w:val="Rimandonotadichiusura"/>
        </w:rPr>
        <w:endnoteRef/>
      </w:r>
      <w:r w:rsidRPr="006F5881">
        <w:t xml:space="preserve"> Commission for Children and Young People, Victoria, Submission No 17 to the Australian Human Rights Commission, </w:t>
      </w:r>
      <w:r w:rsidRPr="006F5881">
        <w:rPr>
          <w:i/>
        </w:rPr>
        <w:t>National Children’s Commissioner’s Investigation into Young Parents and their Children</w:t>
      </w:r>
      <w:r w:rsidRPr="00473110">
        <w:t>,</w:t>
      </w:r>
      <w:r>
        <w:rPr>
          <w:i/>
        </w:rPr>
        <w:t xml:space="preserve"> </w:t>
      </w:r>
      <w:r w:rsidRPr="006F5881">
        <w:t>3;</w:t>
      </w:r>
      <w:r>
        <w:rPr>
          <w:i/>
        </w:rPr>
        <w:t xml:space="preserve"> </w:t>
      </w:r>
      <w:r w:rsidRPr="006F5881">
        <w:t>Commission for Children and Young Pe</w:t>
      </w:r>
      <w:r>
        <w:t>ople</w:t>
      </w:r>
      <w:r w:rsidRPr="006F5881">
        <w:t xml:space="preserve"> Victoria, </w:t>
      </w:r>
      <w:r w:rsidRPr="006F5881">
        <w:rPr>
          <w:i/>
        </w:rPr>
        <w:t>As a good parent would. Inquiry into the adequacy of the provision of residential care services to Victorian Children and young people who have been subject to sexual abuse or sexual exploitation whilst residing in residential care</w:t>
      </w:r>
      <w:r w:rsidRPr="00473110">
        <w:t>,</w:t>
      </w:r>
      <w:r w:rsidRPr="006F5881">
        <w:rPr>
          <w:i/>
        </w:rPr>
        <w:t xml:space="preserve"> </w:t>
      </w:r>
      <w:r w:rsidRPr="006F5881">
        <w:t xml:space="preserve">(2015), 30. </w:t>
      </w:r>
    </w:p>
  </w:endnote>
  <w:endnote w:id="577">
    <w:p w:rsidR="00C3563C" w:rsidRPr="005742A0" w:rsidRDefault="00C3563C" w:rsidP="00B87D45">
      <w:pPr>
        <w:pStyle w:val="Testonotadichiusura"/>
      </w:pPr>
      <w:r w:rsidRPr="0079212D">
        <w:rPr>
          <w:rStyle w:val="Rimandonotadichiusura"/>
        </w:rPr>
        <w:endnoteRef/>
      </w:r>
      <w:r w:rsidRPr="0079212D">
        <w:t xml:space="preserve"> Philip Mendes and Jade Purtell, Submission No 4 to the Australian Human Rights Commission, </w:t>
      </w:r>
      <w:r w:rsidRPr="0079212D">
        <w:rPr>
          <w:i/>
        </w:rPr>
        <w:t xml:space="preserve">National Children’s Commissioner’s Investigation into Young Parents and their Children, </w:t>
      </w:r>
      <w:r w:rsidRPr="0079212D">
        <w:t>18</w:t>
      </w:r>
      <w:r w:rsidRPr="005742A0">
        <w:rPr>
          <w:i/>
        </w:rPr>
        <w:t xml:space="preserve">; </w:t>
      </w:r>
      <w:r w:rsidRPr="005742A0">
        <w:t>Victorian Aboriginal Child Care Agency</w:t>
      </w:r>
      <w:r>
        <w:t xml:space="preserve"> (VACCA)</w:t>
      </w:r>
      <w:r w:rsidRPr="005742A0">
        <w:t xml:space="preserve">, Submission No 42 to the Australian Human Rights Commission, </w:t>
      </w:r>
      <w:r w:rsidRPr="005742A0">
        <w:rPr>
          <w:i/>
        </w:rPr>
        <w:t>National Children’s Commissioner’s Investigation into Young Parents and their Children</w:t>
      </w:r>
      <w:r w:rsidRPr="0041549E">
        <w:t>,</w:t>
      </w:r>
      <w:r w:rsidRPr="005742A0">
        <w:rPr>
          <w:i/>
        </w:rPr>
        <w:t xml:space="preserve"> </w:t>
      </w:r>
      <w:r w:rsidRPr="005742A0">
        <w:t>7.</w:t>
      </w:r>
    </w:p>
  </w:endnote>
  <w:endnote w:id="578">
    <w:p w:rsidR="00C3563C" w:rsidRPr="00E05505" w:rsidRDefault="00C3563C" w:rsidP="00B87D45">
      <w:pPr>
        <w:pStyle w:val="Testonotadichiusura"/>
        <w:rPr>
          <w:color w:val="7030A0"/>
        </w:rPr>
      </w:pPr>
      <w:r w:rsidRPr="00051926">
        <w:rPr>
          <w:rStyle w:val="Rimandonotadichiusura"/>
        </w:rPr>
        <w:endnoteRef/>
      </w:r>
      <w:r w:rsidRPr="00051926">
        <w:t xml:space="preserve"> Roundtable</w:t>
      </w:r>
      <w:r>
        <w:t xml:space="preserve"> Discussion</w:t>
      </w:r>
      <w:r w:rsidRPr="00051926">
        <w:t xml:space="preserve">, </w:t>
      </w:r>
      <w:r w:rsidRPr="00E34166">
        <w:rPr>
          <w:i/>
        </w:rPr>
        <w:t>National Children’s Commissioner’s Investigation into Young Parents and their Children</w:t>
      </w:r>
      <w:r w:rsidRPr="00051926">
        <w:t xml:space="preserve"> (2017); Victorian Aboriginal Child Care Agency</w:t>
      </w:r>
      <w:r>
        <w:t xml:space="preserve"> (VACCA)</w:t>
      </w:r>
      <w:r w:rsidRPr="00051926">
        <w:t xml:space="preserve">, Submission No 42 to the Australian Human Rights Commission, </w:t>
      </w:r>
      <w:r w:rsidRPr="00051926">
        <w:rPr>
          <w:i/>
        </w:rPr>
        <w:t>National Children’s Commissioner’s Investigation into Young Parents and their Children</w:t>
      </w:r>
      <w:r w:rsidRPr="0041549E">
        <w:t>,</w:t>
      </w:r>
      <w:r w:rsidRPr="00051926">
        <w:rPr>
          <w:i/>
        </w:rPr>
        <w:t xml:space="preserve"> </w:t>
      </w:r>
      <w:r w:rsidRPr="00051926">
        <w:t>7;</w:t>
      </w:r>
      <w:r w:rsidRPr="00051926">
        <w:rPr>
          <w:i/>
        </w:rPr>
        <w:t xml:space="preserve"> </w:t>
      </w:r>
      <w:r w:rsidRPr="00051926">
        <w:t>Ass</w:t>
      </w:r>
      <w:r>
        <w:t>ociation of Women Educators Inc</w:t>
      </w:r>
      <w:r w:rsidRPr="00051926">
        <w:t xml:space="preserve">, Submission No 37 to the Australian Human Rights Commission, </w:t>
      </w:r>
      <w:r w:rsidRPr="00051926">
        <w:rPr>
          <w:i/>
        </w:rPr>
        <w:t>National Children’s Commissioner’s Investigation into Young Parents and their Children</w:t>
      </w:r>
      <w:r w:rsidRPr="0041549E">
        <w:t>,</w:t>
      </w:r>
      <w:r w:rsidRPr="00051926">
        <w:rPr>
          <w:i/>
        </w:rPr>
        <w:t xml:space="preserve"> </w:t>
      </w:r>
      <w:r w:rsidRPr="00051926">
        <w:t>7.</w:t>
      </w:r>
    </w:p>
  </w:endnote>
  <w:endnote w:id="579">
    <w:p w:rsidR="00C3563C" w:rsidRPr="00E05505" w:rsidRDefault="00C3563C" w:rsidP="00B87D45">
      <w:pPr>
        <w:pStyle w:val="Testonotadichiusura"/>
        <w:rPr>
          <w:color w:val="7030A0"/>
        </w:rPr>
      </w:pPr>
      <w:r w:rsidRPr="009969D6">
        <w:rPr>
          <w:rStyle w:val="Rimandonotadichiusura"/>
        </w:rPr>
        <w:endnoteRef/>
      </w:r>
      <w:r w:rsidRPr="009969D6">
        <w:t xml:space="preserve"> Commissioner for Children and Young People Western Australia, Submission No 6 to the Australian Human Rights Commission, </w:t>
      </w:r>
      <w:r w:rsidRPr="009969D6">
        <w:rPr>
          <w:i/>
        </w:rPr>
        <w:t>National Children’s Commissioner’s Investigation into Young Parents and their Children</w:t>
      </w:r>
      <w:r w:rsidRPr="0041549E">
        <w:t xml:space="preserve">, </w:t>
      </w:r>
      <w:r w:rsidRPr="009969D6">
        <w:t>5.</w:t>
      </w:r>
    </w:p>
  </w:endnote>
  <w:endnote w:id="580">
    <w:p w:rsidR="00C3563C" w:rsidRDefault="00C3563C" w:rsidP="00B87D45">
      <w:pPr>
        <w:pStyle w:val="Testonotadichiusura"/>
      </w:pPr>
      <w:r>
        <w:rPr>
          <w:rStyle w:val="Rimandonotadichiusura"/>
        </w:rPr>
        <w:endnoteRef/>
      </w:r>
      <w:r>
        <w:t xml:space="preserve"> Aboriginal and Torres Strait Islander Social Justice Commissioner June Oscar (September 2017) for </w:t>
      </w:r>
      <w:r w:rsidRPr="00781769">
        <w:rPr>
          <w:i/>
        </w:rPr>
        <w:t>National Children’s Commissioner’s Investigation into Young Parents and their Children.</w:t>
      </w:r>
    </w:p>
  </w:endnote>
  <w:endnote w:id="581">
    <w:p w:rsidR="00C3563C" w:rsidRPr="00E05505" w:rsidRDefault="00C3563C" w:rsidP="00B87D45">
      <w:pPr>
        <w:pStyle w:val="Testonotadichiusura"/>
      </w:pPr>
      <w:r w:rsidRPr="00E05505">
        <w:rPr>
          <w:rStyle w:val="Rimandonotadichiusura"/>
        </w:rPr>
        <w:endnoteRef/>
      </w:r>
      <w:r w:rsidRPr="00E05505">
        <w:t xml:space="preserve"> Roundtable</w:t>
      </w:r>
      <w:r>
        <w:t xml:space="preserve"> Discussion</w:t>
      </w:r>
      <w:r w:rsidRPr="00E05505">
        <w:t xml:space="preserve">, </w:t>
      </w:r>
      <w:r w:rsidRPr="00E34166">
        <w:rPr>
          <w:i/>
        </w:rPr>
        <w:t>National Children’s Commissioner’s Investigation into Young Parents and their Children</w:t>
      </w:r>
      <w:r w:rsidRPr="00E05505">
        <w:t xml:space="preserve"> (2017).</w:t>
      </w:r>
    </w:p>
  </w:endnote>
  <w:endnote w:id="582">
    <w:p w:rsidR="00C3563C" w:rsidRPr="00E05505" w:rsidRDefault="00C3563C" w:rsidP="00B87D45">
      <w:pPr>
        <w:pStyle w:val="Testonotadichiusura"/>
      </w:pPr>
      <w:r w:rsidRPr="00E05505">
        <w:rPr>
          <w:rStyle w:val="Rimandonotadichiusura"/>
        </w:rPr>
        <w:endnoteRef/>
      </w:r>
      <w:r w:rsidRPr="00E05505">
        <w:t xml:space="preserve"> Roundtable</w:t>
      </w:r>
      <w:r>
        <w:t xml:space="preserve"> Discussion</w:t>
      </w:r>
      <w:r w:rsidRPr="00E05505">
        <w:t xml:space="preserve">, </w:t>
      </w:r>
      <w:r w:rsidRPr="00E34166">
        <w:rPr>
          <w:i/>
        </w:rPr>
        <w:t>National Children’s Commissioner’s Investigation into Young Parents and their Children</w:t>
      </w:r>
      <w:r w:rsidRPr="00E05505">
        <w:t xml:space="preserve"> (2017).</w:t>
      </w:r>
    </w:p>
  </w:endnote>
  <w:endnote w:id="583">
    <w:p w:rsidR="00C3563C" w:rsidRPr="00E05505" w:rsidRDefault="00C3563C" w:rsidP="00B87D45">
      <w:pPr>
        <w:pStyle w:val="Testonotadichiusura"/>
        <w:rPr>
          <w:color w:val="7030A0"/>
        </w:rPr>
      </w:pPr>
      <w:r w:rsidRPr="009969D6">
        <w:rPr>
          <w:rStyle w:val="Rimandonotadichiusura"/>
        </w:rPr>
        <w:endnoteRef/>
      </w:r>
      <w:r w:rsidRPr="009969D6">
        <w:t xml:space="preserve"> </w:t>
      </w:r>
      <w:r w:rsidRPr="007C4F10">
        <w:t>Roundtable</w:t>
      </w:r>
      <w:r>
        <w:t xml:space="preserve"> Discussion</w:t>
      </w:r>
      <w:r w:rsidRPr="007C4F10">
        <w:t xml:space="preserve">, </w:t>
      </w:r>
      <w:r w:rsidRPr="00E34166">
        <w:rPr>
          <w:i/>
        </w:rPr>
        <w:t>National Children’s Commissioner’s Investigation into Young Parents and their Children</w:t>
      </w:r>
      <w:r w:rsidRPr="007C4F10">
        <w:t xml:space="preserve"> (2017)</w:t>
      </w:r>
      <w:r>
        <w:t xml:space="preserve">; </w:t>
      </w:r>
      <w:r w:rsidRPr="009969D6">
        <w:t xml:space="preserve">New South Wales Family Planning, Submission No 23 to the Australian Human Rights Commission, </w:t>
      </w:r>
      <w:r w:rsidRPr="009969D6">
        <w:rPr>
          <w:i/>
        </w:rPr>
        <w:t>National Children’s Commissioner’s Investigation into Young Parents and their Children</w:t>
      </w:r>
      <w:r w:rsidRPr="0041549E">
        <w:t>,</w:t>
      </w:r>
      <w:r w:rsidRPr="009969D6">
        <w:rPr>
          <w:i/>
        </w:rPr>
        <w:t xml:space="preserve"> </w:t>
      </w:r>
      <w:r w:rsidRPr="009969D6">
        <w:t>2.</w:t>
      </w:r>
    </w:p>
  </w:endnote>
  <w:endnote w:id="584">
    <w:p w:rsidR="00C3563C" w:rsidRPr="00FC5773" w:rsidRDefault="00C3563C" w:rsidP="00B87D45">
      <w:pPr>
        <w:pStyle w:val="Testonotadichiusura"/>
      </w:pPr>
      <w:r w:rsidRPr="00FC5773">
        <w:rPr>
          <w:rStyle w:val="Rimandonotadichiusura"/>
        </w:rPr>
        <w:endnoteRef/>
      </w:r>
      <w:r w:rsidRPr="00FC5773">
        <w:t xml:space="preserve"> New South Wales Family Planning, Submission No 23 to the Australian Human Rights Commission, </w:t>
      </w:r>
      <w:r w:rsidRPr="00FC5773">
        <w:rPr>
          <w:i/>
        </w:rPr>
        <w:t>National Children’s Commissioner’s Investigation into Young Parents and their Children</w:t>
      </w:r>
      <w:r w:rsidRPr="0041549E">
        <w:t>,</w:t>
      </w:r>
      <w:r w:rsidRPr="00FC5773">
        <w:rPr>
          <w:i/>
        </w:rPr>
        <w:t xml:space="preserve"> </w:t>
      </w:r>
      <w:r w:rsidRPr="00FC5773">
        <w:t>2</w:t>
      </w:r>
      <w:r w:rsidRPr="00FC5773">
        <w:rPr>
          <w:i/>
        </w:rPr>
        <w:t xml:space="preserve">; </w:t>
      </w:r>
      <w:r w:rsidRPr="00FC5773">
        <w:t xml:space="preserve">Rachel Skinner, Jennifer Marino, Martha Hickey, Deborah Bateson and Lucy Lewis, Submission No 32 to the Australian Human Rights Commission, </w:t>
      </w:r>
      <w:r w:rsidRPr="00FC5773">
        <w:rPr>
          <w:i/>
        </w:rPr>
        <w:t>National Children’s Commissioner’s Investigation into Young Parents and their Children</w:t>
      </w:r>
      <w:r w:rsidRPr="0041549E">
        <w:t>,</w:t>
      </w:r>
      <w:r w:rsidRPr="00FC5773">
        <w:rPr>
          <w:i/>
        </w:rPr>
        <w:t xml:space="preserve"> </w:t>
      </w:r>
      <w:r w:rsidRPr="00FC5773">
        <w:t>2</w:t>
      </w:r>
      <w:r>
        <w:t>, 6</w:t>
      </w:r>
      <w:r w:rsidRPr="0041549E">
        <w:t>;</w:t>
      </w:r>
      <w:r w:rsidRPr="00E05505">
        <w:rPr>
          <w:i/>
          <w:color w:val="7030A0"/>
        </w:rPr>
        <w:t xml:space="preserve"> </w:t>
      </w:r>
      <w:r w:rsidRPr="00E05505">
        <w:t>Roundtable</w:t>
      </w:r>
      <w:r>
        <w:t xml:space="preserve"> Discussion</w:t>
      </w:r>
      <w:r w:rsidRPr="00E34166">
        <w:rPr>
          <w:i/>
        </w:rPr>
        <w:t>, National Children’s Commissioner’s Investigation into Young Parents and their Children</w:t>
      </w:r>
      <w:r w:rsidRPr="00FC5773">
        <w:t xml:space="preserve"> (2017).</w:t>
      </w:r>
    </w:p>
  </w:endnote>
  <w:endnote w:id="585">
    <w:p w:rsidR="00C3563C" w:rsidRPr="0041549E" w:rsidRDefault="00C3563C" w:rsidP="00B87D45">
      <w:pPr>
        <w:pStyle w:val="Testonotadichiusura"/>
      </w:pPr>
      <w:r w:rsidRPr="00FC5773">
        <w:rPr>
          <w:rStyle w:val="Rimandonotadichiusura"/>
        </w:rPr>
        <w:endnoteRef/>
      </w:r>
      <w:r w:rsidRPr="00FC5773">
        <w:t xml:space="preserve"> New South Wales Family Planning, Submission No 23 to the Australian Human Rights Commission, </w:t>
      </w:r>
      <w:r w:rsidRPr="00FC5773">
        <w:rPr>
          <w:i/>
        </w:rPr>
        <w:t xml:space="preserve">National Children’s Commissioner’s Investigation into Young Parents and their Children, </w:t>
      </w:r>
      <w:r w:rsidRPr="0041549E">
        <w:t xml:space="preserve">2. </w:t>
      </w:r>
    </w:p>
  </w:endnote>
  <w:endnote w:id="586">
    <w:p w:rsidR="00C3563C" w:rsidRPr="009D0C48" w:rsidRDefault="00C3563C" w:rsidP="00B87D45">
      <w:pPr>
        <w:pStyle w:val="Testonotadichiusura"/>
        <w:rPr>
          <w:color w:val="FF0000"/>
        </w:rPr>
      </w:pPr>
      <w:r w:rsidRPr="009969D6">
        <w:rPr>
          <w:rStyle w:val="Rimandonotadichiusura"/>
        </w:rPr>
        <w:endnoteRef/>
      </w:r>
      <w:r w:rsidRPr="009969D6">
        <w:t xml:space="preserve"> Family Planning Alliance Australia cited in Professor Danielle Mazza (Monash University) presentation at</w:t>
      </w:r>
      <w:r w:rsidRPr="009969D6">
        <w:rPr>
          <w:i/>
        </w:rPr>
        <w:t xml:space="preserve"> </w:t>
      </w:r>
      <w:r w:rsidRPr="009969D6">
        <w:t>Roundtable</w:t>
      </w:r>
      <w:r>
        <w:t xml:space="preserve"> Discussion</w:t>
      </w:r>
      <w:r w:rsidRPr="009969D6">
        <w:t xml:space="preserve">, </w:t>
      </w:r>
      <w:r w:rsidRPr="009969D6">
        <w:rPr>
          <w:i/>
        </w:rPr>
        <w:t>National Children’s Commissioner’s Investigation into Young Parents and their Children</w:t>
      </w:r>
      <w:r w:rsidRPr="009969D6">
        <w:t xml:space="preserve"> (30, June 2017).</w:t>
      </w:r>
    </w:p>
  </w:endnote>
  <w:endnote w:id="587">
    <w:p w:rsidR="00C3563C" w:rsidRPr="004A0112" w:rsidRDefault="00C3563C" w:rsidP="00B87D45">
      <w:pPr>
        <w:pStyle w:val="Testonotadichiusura"/>
        <w:rPr>
          <w:color w:val="FF0000"/>
        </w:rPr>
      </w:pPr>
      <w:r w:rsidRPr="00FC5773">
        <w:rPr>
          <w:rStyle w:val="Rimandonotadichiusura"/>
        </w:rPr>
        <w:endnoteRef/>
      </w:r>
      <w:r w:rsidRPr="00FC5773">
        <w:t xml:space="preserve"> </w:t>
      </w:r>
      <w:r w:rsidRPr="00FC5773">
        <w:rPr>
          <w:i/>
        </w:rPr>
        <w:t xml:space="preserve"> </w:t>
      </w:r>
      <w:r w:rsidRPr="00FC5773">
        <w:t>Roundtable</w:t>
      </w:r>
      <w:r>
        <w:t xml:space="preserve"> Discussion</w:t>
      </w:r>
      <w:r w:rsidRPr="00FC5773">
        <w:t xml:space="preserve">, </w:t>
      </w:r>
      <w:r w:rsidRPr="00E34166">
        <w:rPr>
          <w:i/>
        </w:rPr>
        <w:t>National Children’s Commissioner’s Investigation into Young Parents and their Children</w:t>
      </w:r>
      <w:r w:rsidRPr="00FC5773">
        <w:t xml:space="preserve"> (2017);</w:t>
      </w:r>
      <w:r w:rsidRPr="00FC5773">
        <w:rPr>
          <w:i/>
        </w:rPr>
        <w:t xml:space="preserve"> </w:t>
      </w:r>
      <w:r w:rsidRPr="00FC5773">
        <w:t xml:space="preserve">Rachel Skinner, Jennifer Marino, Martha Hickey, Deborah Bateson and Lucy Lewis, Submission No 32 to the Australian Human </w:t>
      </w:r>
      <w:r w:rsidRPr="00430FCA">
        <w:t xml:space="preserve">Rights Commission, </w:t>
      </w:r>
      <w:r w:rsidRPr="00430FCA">
        <w:rPr>
          <w:i/>
        </w:rPr>
        <w:t>National Children’s Commissioner’s Investigation into Young Parents and their Children</w:t>
      </w:r>
      <w:r w:rsidRPr="00430FCA">
        <w:t>,</w:t>
      </w:r>
      <w:r w:rsidRPr="00430FCA">
        <w:rPr>
          <w:i/>
        </w:rPr>
        <w:t xml:space="preserve"> </w:t>
      </w:r>
      <w:r w:rsidRPr="00430FCA">
        <w:t>2, 6; Danielle Mazza, Deborah Bateson, Meredith Frearson, Philip Goldstone, Gab Kovacs and Rodney Baber, ‘Current Barriers and potential strategies to increase the use of long-acting reversible contraception (LARC)</w:t>
      </w:r>
      <w:r>
        <w:t xml:space="preserve"> to reduce the rate of unintended pregnancies in Australia: An expert roundtable discussion’ (2017) 57(2) Australian and New Zealand Journal of Obstetrics and Gynaecology 206, cited in </w:t>
      </w:r>
      <w:r w:rsidRPr="009969D6">
        <w:t>Professor Danielle Mazza (Monash University) presentation at</w:t>
      </w:r>
      <w:r w:rsidRPr="009969D6">
        <w:rPr>
          <w:i/>
        </w:rPr>
        <w:t xml:space="preserve"> </w:t>
      </w:r>
      <w:r w:rsidRPr="009969D6">
        <w:t>Roundtable</w:t>
      </w:r>
      <w:r>
        <w:t xml:space="preserve"> Discussion</w:t>
      </w:r>
      <w:r w:rsidRPr="009969D6">
        <w:t xml:space="preserve">, </w:t>
      </w:r>
      <w:r w:rsidRPr="009969D6">
        <w:rPr>
          <w:i/>
        </w:rPr>
        <w:t>National Children’s Commissioner’s Investigation into Young Parents and their Children</w:t>
      </w:r>
      <w:r>
        <w:t xml:space="preserve"> (30 June 2017).</w:t>
      </w:r>
    </w:p>
  </w:endnote>
  <w:endnote w:id="588">
    <w:p w:rsidR="00C3563C" w:rsidRPr="00F833E7" w:rsidRDefault="00C3563C" w:rsidP="00B87D45">
      <w:pPr>
        <w:pStyle w:val="Testonotadichiusura"/>
      </w:pPr>
      <w:r>
        <w:rPr>
          <w:rStyle w:val="Rimandonotadichiusura"/>
        </w:rPr>
        <w:endnoteRef/>
      </w:r>
      <w:r>
        <w:t xml:space="preserve"> Kumiyo Inoue, Marguerite Kelly, Alexandra Barratt, </w:t>
      </w:r>
      <w:r w:rsidRPr="00F833E7">
        <w:t xml:space="preserve">Deborah Bateson, Kirsten I Black, Mary Stewart and Juliet Richters, ‘Australian women’s experiences of the subdermal contraceptive implant: A qualitative perspective’ (2016) 45(10) </w:t>
      </w:r>
      <w:r w:rsidRPr="00F833E7">
        <w:rPr>
          <w:i/>
        </w:rPr>
        <w:t>Australian Family Physician</w:t>
      </w:r>
      <w:r w:rsidRPr="00F833E7">
        <w:t xml:space="preserve"> 734; Christine Roke, Helen Roberts and Anna Whitehead, ‘New Zealand women’s experience during their first year of Jadelle contraceptive implant’ (2016) 8(1) </w:t>
      </w:r>
      <w:r w:rsidRPr="00F833E7">
        <w:rPr>
          <w:i/>
        </w:rPr>
        <w:t>Journal of Primary Health Care</w:t>
      </w:r>
      <w:r w:rsidRPr="00F833E7">
        <w:t xml:space="preserve"> 13. </w:t>
      </w:r>
    </w:p>
  </w:endnote>
  <w:endnote w:id="589">
    <w:p w:rsidR="00C3563C" w:rsidRPr="00E05505" w:rsidRDefault="00C3563C" w:rsidP="00B87D45">
      <w:pPr>
        <w:pStyle w:val="Testonotadichiusura"/>
        <w:rPr>
          <w:color w:val="7030A0"/>
        </w:rPr>
      </w:pPr>
      <w:r w:rsidRPr="00F833E7">
        <w:rPr>
          <w:rStyle w:val="Rimandonotadichiusura"/>
        </w:rPr>
        <w:endnoteRef/>
      </w:r>
      <w:r w:rsidRPr="00F833E7">
        <w:t xml:space="preserve"> Commissioner for Children and Young People Western Australia,</w:t>
      </w:r>
      <w:r w:rsidRPr="00FC5773">
        <w:t xml:space="preserve"> Submission No 6 to the Australian Human Rights Commission, </w:t>
      </w:r>
      <w:r w:rsidRPr="00FC5773">
        <w:rPr>
          <w:i/>
        </w:rPr>
        <w:t>National Children’s Commissioner’s Investigation into Young Parents and their Children</w:t>
      </w:r>
      <w:r w:rsidRPr="00286EC9">
        <w:t xml:space="preserve">, </w:t>
      </w:r>
      <w:r w:rsidRPr="00FC5773">
        <w:t>15.</w:t>
      </w:r>
    </w:p>
  </w:endnote>
  <w:endnote w:id="590">
    <w:p w:rsidR="00C3563C" w:rsidRPr="00E05505" w:rsidRDefault="00C3563C" w:rsidP="00B87D45">
      <w:pPr>
        <w:pStyle w:val="Testonotadichiusura"/>
        <w:rPr>
          <w:color w:val="7030A0"/>
        </w:rPr>
      </w:pPr>
      <w:r w:rsidRPr="00FC5773">
        <w:rPr>
          <w:rStyle w:val="Rimandonotadichiusura"/>
        </w:rPr>
        <w:endnoteRef/>
      </w:r>
      <w:r w:rsidRPr="00FC5773">
        <w:t xml:space="preserve"> New South Wales Family Planning, Submission No 23 to the Australian Human Rights Commission, </w:t>
      </w:r>
      <w:r w:rsidRPr="00FC5773">
        <w:rPr>
          <w:i/>
        </w:rPr>
        <w:t xml:space="preserve">National Children’s Commissioner’s Investigation into Young Parents and their Children, </w:t>
      </w:r>
      <w:r w:rsidRPr="00FC5773">
        <w:t>2</w:t>
      </w:r>
      <w:r w:rsidRPr="00FC5773">
        <w:rPr>
          <w:i/>
        </w:rPr>
        <w:t xml:space="preserve">; </w:t>
      </w:r>
      <w:r w:rsidRPr="00FC5773">
        <w:t xml:space="preserve">Commissioner for Children and Young People Western Australia, Submission No 6 to the Australian Human Rights Commission, </w:t>
      </w:r>
      <w:r w:rsidRPr="00FC5773">
        <w:rPr>
          <w:i/>
        </w:rPr>
        <w:t>National Children’s Commissioner’s Investigation into Young Parents and their Children</w:t>
      </w:r>
      <w:r w:rsidRPr="00992037">
        <w:t>,</w:t>
      </w:r>
      <w:r w:rsidRPr="00FC5773">
        <w:rPr>
          <w:i/>
        </w:rPr>
        <w:t xml:space="preserve"> </w:t>
      </w:r>
      <w:r w:rsidRPr="00FC5773">
        <w:t>15</w:t>
      </w:r>
      <w:r>
        <w:t xml:space="preserve">; </w:t>
      </w:r>
      <w:r w:rsidRPr="00073689">
        <w:t xml:space="preserve">Rachel Skinner, Jennifer Marino, Martha Hickey, Deborah Bateson and Lucy Lewis, Submission No 32 to the Australian Human Rights Commission, </w:t>
      </w:r>
      <w:r w:rsidRPr="00073689">
        <w:rPr>
          <w:i/>
        </w:rPr>
        <w:t>National Children’s Commissioner’s Investigation into Young Parents and their Children</w:t>
      </w:r>
      <w:r w:rsidRPr="00992037">
        <w:t>,</w:t>
      </w:r>
      <w:r w:rsidRPr="00073689">
        <w:rPr>
          <w:i/>
        </w:rPr>
        <w:t xml:space="preserve"> </w:t>
      </w:r>
      <w:r>
        <w:t>6.</w:t>
      </w:r>
    </w:p>
  </w:endnote>
  <w:endnote w:id="591">
    <w:p w:rsidR="00C3563C" w:rsidRPr="00E05505" w:rsidRDefault="00C3563C" w:rsidP="00B87D45">
      <w:pPr>
        <w:pStyle w:val="Testonotadichiusura"/>
      </w:pPr>
      <w:r w:rsidRPr="00073689">
        <w:rPr>
          <w:rStyle w:val="Rimandonotadichiusura"/>
        </w:rPr>
        <w:endnoteRef/>
      </w:r>
      <w:r w:rsidRPr="00073689">
        <w:t xml:space="preserve"> Rachel Skinner, Jennifer Marino, Martha Hickey, Deborah Bateson and Lucy Lewis, Submission No 32 to the Australian Human Rights Commission, </w:t>
      </w:r>
      <w:r w:rsidRPr="00073689">
        <w:rPr>
          <w:i/>
        </w:rPr>
        <w:t>National Children’s Commissioner’s Investigation into Young Parents and their Children</w:t>
      </w:r>
      <w:r w:rsidRPr="00992037">
        <w:t>,</w:t>
      </w:r>
      <w:r w:rsidRPr="00073689">
        <w:rPr>
          <w:i/>
        </w:rPr>
        <w:t xml:space="preserve"> </w:t>
      </w:r>
      <w:r w:rsidRPr="00073689">
        <w:t>2</w:t>
      </w:r>
      <w:r w:rsidRPr="00992037">
        <w:t>;</w:t>
      </w:r>
      <w:r w:rsidRPr="00073689">
        <w:rPr>
          <w:i/>
        </w:rPr>
        <w:t xml:space="preserve"> </w:t>
      </w:r>
      <w:r w:rsidRPr="00073689">
        <w:t xml:space="preserve">New South Wales Family Planning, Submission No 23 to the Australian Human Rights Commission, </w:t>
      </w:r>
      <w:r w:rsidRPr="00073689">
        <w:rPr>
          <w:i/>
        </w:rPr>
        <w:t xml:space="preserve">National Children’s Commissioner’s Investigation into Young Parents and their Children, </w:t>
      </w:r>
      <w:r>
        <w:t>2–</w:t>
      </w:r>
      <w:r w:rsidRPr="00073689">
        <w:t>3</w:t>
      </w:r>
      <w:r w:rsidRPr="00E34166">
        <w:t xml:space="preserve">; </w:t>
      </w:r>
      <w:r w:rsidRPr="00E05505">
        <w:t>Roundtable</w:t>
      </w:r>
      <w:r>
        <w:t xml:space="preserve"> Discussion</w:t>
      </w:r>
      <w:r w:rsidRPr="00E05505">
        <w:t xml:space="preserve">, </w:t>
      </w:r>
      <w:r w:rsidRPr="00E34166">
        <w:rPr>
          <w:i/>
        </w:rPr>
        <w:t>National Children’s Commissioner’s Investigation into Young Parents and their Children</w:t>
      </w:r>
      <w:r w:rsidRPr="00E05505">
        <w:t xml:space="preserve"> (2017).</w:t>
      </w:r>
    </w:p>
  </w:endnote>
  <w:endnote w:id="592">
    <w:p w:rsidR="00C3563C" w:rsidRPr="004A0112" w:rsidRDefault="00C3563C" w:rsidP="00B87D45">
      <w:pPr>
        <w:pStyle w:val="Testonotadichiusura"/>
        <w:rPr>
          <w:color w:val="7030A0"/>
        </w:rPr>
      </w:pPr>
      <w:r>
        <w:rPr>
          <w:rStyle w:val="Rimandonotadichiusura"/>
        </w:rPr>
        <w:endnoteRef/>
      </w:r>
      <w:r>
        <w:t xml:space="preserve"> </w:t>
      </w:r>
      <w:r w:rsidRPr="00051926">
        <w:t>Roundtable</w:t>
      </w:r>
      <w:r>
        <w:t xml:space="preserve"> Discussion</w:t>
      </w:r>
      <w:r w:rsidRPr="00051926">
        <w:t xml:space="preserve">, </w:t>
      </w:r>
      <w:r w:rsidRPr="00E34166">
        <w:rPr>
          <w:i/>
        </w:rPr>
        <w:t>National Children’s Commissioner’s Investigation into Young Parents and their Children</w:t>
      </w:r>
      <w:r w:rsidRPr="00051926">
        <w:t xml:space="preserve"> (2017); Victorian Aboriginal Child Care Agency</w:t>
      </w:r>
      <w:r>
        <w:t xml:space="preserve"> (VACCA)</w:t>
      </w:r>
      <w:r w:rsidRPr="00051926">
        <w:t xml:space="preserve">, Submission No 42 to the Australian Human Rights Commission, </w:t>
      </w:r>
      <w:r w:rsidRPr="00051926">
        <w:rPr>
          <w:i/>
        </w:rPr>
        <w:t>National Children’s Commissioner’s Investigation into Young Parents and their Children</w:t>
      </w:r>
      <w:r w:rsidRPr="00FD6164">
        <w:t>,</w:t>
      </w:r>
      <w:r w:rsidRPr="00051926">
        <w:rPr>
          <w:i/>
        </w:rPr>
        <w:t xml:space="preserve"> </w:t>
      </w:r>
      <w:r w:rsidRPr="00051926">
        <w:t>7;</w:t>
      </w:r>
      <w:r w:rsidRPr="00051926">
        <w:rPr>
          <w:i/>
        </w:rPr>
        <w:t xml:space="preserve"> </w:t>
      </w:r>
      <w:r w:rsidRPr="00051926">
        <w:t>Ass</w:t>
      </w:r>
      <w:r>
        <w:t>ociation of Women Educators Inc</w:t>
      </w:r>
      <w:r w:rsidRPr="00051926">
        <w:t xml:space="preserve">, Submission No 37 to the Australian Human Rights Commission, </w:t>
      </w:r>
      <w:r w:rsidRPr="00051926">
        <w:rPr>
          <w:i/>
        </w:rPr>
        <w:t>National Children’s Commissioner’s Investigation into Young Parents and their Children</w:t>
      </w:r>
      <w:r w:rsidRPr="00FD6164">
        <w:t>,</w:t>
      </w:r>
      <w:r w:rsidRPr="00051926">
        <w:rPr>
          <w:i/>
        </w:rPr>
        <w:t xml:space="preserve"> </w:t>
      </w:r>
      <w:r w:rsidRPr="00051926">
        <w:t>7.</w:t>
      </w:r>
    </w:p>
  </w:endnote>
  <w:endnote w:id="593">
    <w:p w:rsidR="00C3563C" w:rsidRPr="004A0112" w:rsidRDefault="00C3563C" w:rsidP="00B87D45">
      <w:pPr>
        <w:pStyle w:val="Testonotadichiusura"/>
        <w:rPr>
          <w:color w:val="7030A0"/>
        </w:rPr>
      </w:pPr>
      <w:r>
        <w:rPr>
          <w:rStyle w:val="Rimandonotadichiusura"/>
        </w:rPr>
        <w:endnoteRef/>
      </w:r>
      <w:r>
        <w:t xml:space="preserve"> </w:t>
      </w:r>
      <w:r w:rsidRPr="007C4F10">
        <w:t>Roundtable</w:t>
      </w:r>
      <w:r>
        <w:t xml:space="preserve"> Discussion</w:t>
      </w:r>
      <w:r w:rsidRPr="007C4F10">
        <w:t xml:space="preserve">, </w:t>
      </w:r>
      <w:r w:rsidRPr="00E34166">
        <w:rPr>
          <w:i/>
        </w:rPr>
        <w:t>National Children’s Commissioner’s Investigation into Young Parents and their Children</w:t>
      </w:r>
      <w:r w:rsidRPr="007C4F10">
        <w:t xml:space="preserve"> (2017)</w:t>
      </w:r>
      <w:r>
        <w:t xml:space="preserve">; </w:t>
      </w:r>
      <w:r w:rsidRPr="009969D6">
        <w:t xml:space="preserve">New South Wales Family Planning, Submission No 23 to the Australian Human Rights Commission, </w:t>
      </w:r>
      <w:r w:rsidRPr="009969D6">
        <w:rPr>
          <w:i/>
        </w:rPr>
        <w:t>National Children’s Commissioner’s Investigation into Young Parents and their Children</w:t>
      </w:r>
      <w:r w:rsidRPr="00FD6164">
        <w:t xml:space="preserve">, </w:t>
      </w:r>
      <w:r w:rsidRPr="009969D6">
        <w:t>2.</w:t>
      </w:r>
    </w:p>
  </w:endnote>
  <w:endnote w:id="594">
    <w:p w:rsidR="00C3563C" w:rsidRPr="00E05505" w:rsidRDefault="00C3563C" w:rsidP="00B87D45">
      <w:pPr>
        <w:pStyle w:val="Testonotadichiusura"/>
        <w:rPr>
          <w:rFonts w:cs="Arial"/>
          <w:color w:val="7030A0"/>
          <w:highlight w:val="yellow"/>
        </w:rPr>
      </w:pPr>
      <w:r w:rsidRPr="00073689">
        <w:rPr>
          <w:rStyle w:val="Rimandonotadichiusura"/>
          <w:rFonts w:cs="Arial"/>
        </w:rPr>
        <w:endnoteRef/>
      </w:r>
      <w:r w:rsidRPr="00073689">
        <w:rPr>
          <w:rFonts w:cs="Arial"/>
        </w:rPr>
        <w:t xml:space="preserve"> Confidential, Submission </w:t>
      </w:r>
      <w:r w:rsidRPr="00073689">
        <w:t xml:space="preserve">to the Australian Human Rights Commission </w:t>
      </w:r>
      <w:r w:rsidRPr="00073689">
        <w:rPr>
          <w:i/>
        </w:rPr>
        <w:t>National Children’s Commissioner’s Investigation into Young Parents and their Children</w:t>
      </w:r>
      <w:r w:rsidRPr="00FD6164">
        <w:t xml:space="preserve">, </w:t>
      </w:r>
      <w:r w:rsidRPr="00073689">
        <w:t>12.</w:t>
      </w:r>
    </w:p>
  </w:endnote>
  <w:endnote w:id="595">
    <w:p w:rsidR="00C3563C" w:rsidRPr="00073689" w:rsidRDefault="00C3563C" w:rsidP="00B87D45">
      <w:pPr>
        <w:pStyle w:val="Testonotadichiusura"/>
        <w:rPr>
          <w:highlight w:val="yellow"/>
        </w:rPr>
      </w:pPr>
      <w:r w:rsidRPr="008F224C">
        <w:rPr>
          <w:rStyle w:val="Rimandonotadichiusura"/>
        </w:rPr>
        <w:endnoteRef/>
      </w:r>
      <w:r w:rsidRPr="008F224C">
        <w:t xml:space="preserve"> </w:t>
      </w:r>
      <w:r w:rsidRPr="008F224C">
        <w:rPr>
          <w:rFonts w:cs="Arial"/>
        </w:rPr>
        <w:t>Y</w:t>
      </w:r>
      <w:r w:rsidRPr="00073689">
        <w:rPr>
          <w:rFonts w:cs="Arial"/>
        </w:rPr>
        <w:t xml:space="preserve">WCA Darwin, Submission No 29 </w:t>
      </w:r>
      <w:r w:rsidRPr="00073689">
        <w:t xml:space="preserve">to the Australian Human Rights Commission, </w:t>
      </w:r>
      <w:r w:rsidRPr="00073689">
        <w:rPr>
          <w:i/>
        </w:rPr>
        <w:t>National Children’s Commissioner’s Investigation into Young Parents and their Children</w:t>
      </w:r>
      <w:r w:rsidRPr="00073689">
        <w:rPr>
          <w:rFonts w:cs="Arial"/>
        </w:rPr>
        <w:t xml:space="preserve">, 2; </w:t>
      </w:r>
      <w:r w:rsidRPr="00073689">
        <w:t xml:space="preserve">Gail Winkworth and Morag McArthur Submission No 12 to the Australian Human Rights Commission, </w:t>
      </w:r>
      <w:r w:rsidRPr="00073689">
        <w:rPr>
          <w:i/>
        </w:rPr>
        <w:t>National Children’s Commissioner’s Investigation into Young Parents and their Children</w:t>
      </w:r>
      <w:r w:rsidRPr="00FD6164">
        <w:t>,</w:t>
      </w:r>
      <w:r w:rsidRPr="00073689">
        <w:rPr>
          <w:i/>
        </w:rPr>
        <w:t xml:space="preserve"> </w:t>
      </w:r>
      <w:r w:rsidRPr="00073689">
        <w:t>2.</w:t>
      </w:r>
    </w:p>
  </w:endnote>
  <w:endnote w:id="596">
    <w:p w:rsidR="00C3563C" w:rsidRPr="00E05505" w:rsidRDefault="00C3563C" w:rsidP="00B87D45">
      <w:pPr>
        <w:pStyle w:val="Testonotadichiusura"/>
      </w:pPr>
      <w:r w:rsidRPr="00E05505">
        <w:rPr>
          <w:rStyle w:val="Rimandonotadichiusura"/>
        </w:rPr>
        <w:endnoteRef/>
      </w:r>
      <w:r w:rsidRPr="00E05505">
        <w:t xml:space="preserve"> Roundtable</w:t>
      </w:r>
      <w:r>
        <w:t xml:space="preserve"> Discussion</w:t>
      </w:r>
      <w:r w:rsidRPr="00E05505">
        <w:t xml:space="preserve">, </w:t>
      </w:r>
      <w:r w:rsidRPr="00E34166">
        <w:rPr>
          <w:i/>
        </w:rPr>
        <w:t>National Children’s Commissioner’s Investigation into Young Parents and their Children</w:t>
      </w:r>
      <w:r w:rsidRPr="00E05505">
        <w:t xml:space="preserve"> (2017).</w:t>
      </w:r>
    </w:p>
  </w:endnote>
  <w:endnote w:id="597">
    <w:p w:rsidR="00C3563C" w:rsidRPr="009D0C48" w:rsidRDefault="00C3563C" w:rsidP="00B87D45">
      <w:pPr>
        <w:pStyle w:val="Testonotadichiusura"/>
        <w:rPr>
          <w:color w:val="FF0000"/>
        </w:rPr>
      </w:pPr>
      <w:r w:rsidRPr="00E05505">
        <w:rPr>
          <w:rStyle w:val="Rimandonotadichiusura"/>
        </w:rPr>
        <w:endnoteRef/>
      </w:r>
      <w:r w:rsidRPr="00E05505">
        <w:t xml:space="preserve"> Roundtable</w:t>
      </w:r>
      <w:r>
        <w:t xml:space="preserve"> Discussion</w:t>
      </w:r>
      <w:r w:rsidRPr="00E05505">
        <w:t xml:space="preserve">, </w:t>
      </w:r>
      <w:r w:rsidRPr="00E34166">
        <w:rPr>
          <w:i/>
        </w:rPr>
        <w:t>National Children’s Commissioner’s Investigation into Young Parents and their Children</w:t>
      </w:r>
      <w:r w:rsidRPr="00E05505">
        <w:t xml:space="preserve"> (2017).</w:t>
      </w:r>
    </w:p>
  </w:endnote>
  <w:endnote w:id="598">
    <w:p w:rsidR="00C3563C" w:rsidRPr="009D0C48" w:rsidRDefault="00C3563C" w:rsidP="00B87D45">
      <w:pPr>
        <w:pStyle w:val="Testonotadichiusura"/>
        <w:rPr>
          <w:rFonts w:cs="Arial"/>
          <w:color w:val="FF0000"/>
        </w:rPr>
      </w:pPr>
      <w:r w:rsidRPr="00073689">
        <w:rPr>
          <w:rStyle w:val="Rimandonotadichiusura"/>
          <w:rFonts w:cs="Arial"/>
        </w:rPr>
        <w:endnoteRef/>
      </w:r>
      <w:r w:rsidRPr="00073689">
        <w:rPr>
          <w:rFonts w:cs="Arial"/>
        </w:rPr>
        <w:t xml:space="preserve"> </w:t>
      </w:r>
      <w:r w:rsidRPr="00073689">
        <w:t>Advocate for Children and Young People</w:t>
      </w:r>
      <w:r>
        <w:t xml:space="preserve"> NSW</w:t>
      </w:r>
      <w:r w:rsidRPr="00073689">
        <w:t xml:space="preserve">, Submission No 35 to the Australian Human Rights Commission, </w:t>
      </w:r>
      <w:r w:rsidRPr="00073689">
        <w:rPr>
          <w:i/>
        </w:rPr>
        <w:t>National Children’s Commissioner’s Investigation into Young Parents and their Children</w:t>
      </w:r>
      <w:r w:rsidRPr="00FD6164">
        <w:t>,</w:t>
      </w:r>
      <w:r w:rsidRPr="00073689">
        <w:rPr>
          <w:i/>
        </w:rPr>
        <w:t xml:space="preserve"> </w:t>
      </w:r>
      <w:r w:rsidRPr="00073689">
        <w:t>2</w:t>
      </w:r>
      <w:r w:rsidRPr="00073689">
        <w:rPr>
          <w:i/>
        </w:rPr>
        <w:t>;</w:t>
      </w:r>
      <w:r w:rsidRPr="00073689">
        <w:t xml:space="preserve"> Gail Winkworth and Morag McArthur, Submission No 12 to the Australian Human Rights Commission, </w:t>
      </w:r>
      <w:r w:rsidRPr="00073689">
        <w:rPr>
          <w:i/>
        </w:rPr>
        <w:t>National Children’s Commissioner’s Investigation into Young Parents and their Children</w:t>
      </w:r>
      <w:r w:rsidRPr="00FD6164">
        <w:t>,</w:t>
      </w:r>
      <w:r w:rsidRPr="00073689">
        <w:rPr>
          <w:i/>
        </w:rPr>
        <w:t xml:space="preserve"> </w:t>
      </w:r>
      <w:r w:rsidRPr="00073689">
        <w:t>2</w:t>
      </w:r>
      <w:r w:rsidRPr="00073689">
        <w:rPr>
          <w:i/>
        </w:rPr>
        <w:t xml:space="preserve">; </w:t>
      </w:r>
      <w:r w:rsidRPr="00073689">
        <w:t>Roundtable</w:t>
      </w:r>
      <w:r>
        <w:t xml:space="preserve"> Discussion</w:t>
      </w:r>
      <w:r w:rsidRPr="00073689">
        <w:t xml:space="preserve">, </w:t>
      </w:r>
      <w:r w:rsidRPr="00E34166">
        <w:rPr>
          <w:i/>
        </w:rPr>
        <w:t>National Children’s Commissioner’s Investigation into Young Parents and their Children</w:t>
      </w:r>
      <w:r w:rsidRPr="00073689">
        <w:t xml:space="preserve"> (2017).</w:t>
      </w:r>
    </w:p>
  </w:endnote>
  <w:endnote w:id="599">
    <w:p w:rsidR="00C3563C" w:rsidRPr="00073689" w:rsidRDefault="00C3563C" w:rsidP="00B87D45">
      <w:pPr>
        <w:pStyle w:val="Testonotadichiusura"/>
      </w:pPr>
      <w:r w:rsidRPr="00073689">
        <w:rPr>
          <w:rStyle w:val="Rimandonotadichiusura"/>
        </w:rPr>
        <w:endnoteRef/>
      </w:r>
      <w:r w:rsidRPr="00073689">
        <w:t xml:space="preserve"> Advocate for Children and Young People</w:t>
      </w:r>
      <w:r>
        <w:t xml:space="preserve"> NSW</w:t>
      </w:r>
      <w:r w:rsidRPr="00073689">
        <w:t xml:space="preserve">, Submission No 35 to the Australian Human Rights Commission, </w:t>
      </w:r>
      <w:r w:rsidRPr="00073689">
        <w:rPr>
          <w:i/>
        </w:rPr>
        <w:t>National Children’s Commissioner’s Investigation into Young Parents and their Children</w:t>
      </w:r>
      <w:r w:rsidRPr="00FD6164">
        <w:t>,</w:t>
      </w:r>
      <w:r w:rsidRPr="00073689">
        <w:rPr>
          <w:i/>
        </w:rPr>
        <w:t xml:space="preserve"> </w:t>
      </w:r>
      <w:r w:rsidRPr="00073689">
        <w:t>2</w:t>
      </w:r>
      <w:r w:rsidRPr="00073689">
        <w:rPr>
          <w:i/>
        </w:rPr>
        <w:t>;</w:t>
      </w:r>
      <w:r w:rsidRPr="00073689">
        <w:t xml:space="preserve"> Gail Winkworth and Morag McArthur, Submission No 12 to the Australian Human Rights Commission, </w:t>
      </w:r>
      <w:r w:rsidRPr="00073689">
        <w:rPr>
          <w:i/>
        </w:rPr>
        <w:t>National Children’s Commissioner’s Investigation into Young Parents and their Children</w:t>
      </w:r>
      <w:r w:rsidRPr="00FD6164">
        <w:t>,</w:t>
      </w:r>
      <w:r w:rsidRPr="00073689">
        <w:rPr>
          <w:i/>
        </w:rPr>
        <w:t xml:space="preserve"> </w:t>
      </w:r>
      <w:r w:rsidRPr="00073689">
        <w:t>2.</w:t>
      </w:r>
    </w:p>
  </w:endnote>
  <w:endnote w:id="600">
    <w:p w:rsidR="00C3563C" w:rsidRDefault="00C3563C" w:rsidP="00B87D45">
      <w:pPr>
        <w:pStyle w:val="Testonotadichiusura"/>
      </w:pPr>
      <w:r>
        <w:rPr>
          <w:rStyle w:val="Rimandonotadichiusura"/>
        </w:rPr>
        <w:endnoteRef/>
      </w:r>
      <w:r>
        <w:t xml:space="preserve"> </w:t>
      </w:r>
      <w:r w:rsidRPr="00073689">
        <w:rPr>
          <w:rFonts w:cs="Arial"/>
        </w:rPr>
        <w:t xml:space="preserve">YWCA Darwin, Submission No 29 </w:t>
      </w:r>
      <w:r w:rsidRPr="00073689">
        <w:t xml:space="preserve">to the Australian Human Rights Commission, </w:t>
      </w:r>
      <w:r w:rsidRPr="00073689">
        <w:rPr>
          <w:i/>
        </w:rPr>
        <w:t>National Children’s Commissioner’s Investigation into Young Parents and their Children</w:t>
      </w:r>
      <w:r w:rsidRPr="00073689">
        <w:rPr>
          <w:rFonts w:cs="Arial"/>
        </w:rPr>
        <w:t>, 2</w:t>
      </w:r>
      <w:r>
        <w:rPr>
          <w:rFonts w:cs="Arial"/>
        </w:rPr>
        <w:t>.</w:t>
      </w:r>
    </w:p>
  </w:endnote>
  <w:endnote w:id="601">
    <w:p w:rsidR="00C3563C" w:rsidRPr="009D0C48" w:rsidRDefault="00C3563C" w:rsidP="00B87D45">
      <w:pPr>
        <w:pStyle w:val="Testonotadichiusura"/>
        <w:rPr>
          <w:color w:val="FF0000"/>
        </w:rPr>
      </w:pPr>
      <w:r w:rsidRPr="00073689">
        <w:rPr>
          <w:rStyle w:val="Rimandonotadichiusura"/>
        </w:rPr>
        <w:endnoteRef/>
      </w:r>
      <w:r w:rsidRPr="00073689">
        <w:t xml:space="preserve"> </w:t>
      </w:r>
      <w:r w:rsidRPr="00073689">
        <w:rPr>
          <w:rFonts w:cs="Arial"/>
        </w:rPr>
        <w:t xml:space="preserve">Confidential Submission </w:t>
      </w:r>
      <w:r w:rsidRPr="00073689">
        <w:t xml:space="preserve">to the Australian Human Rights Commission, </w:t>
      </w:r>
      <w:r w:rsidRPr="00073689">
        <w:rPr>
          <w:i/>
        </w:rPr>
        <w:t xml:space="preserve">National Children’s Commissioner’s Investigation into Young Parents and their Children, </w:t>
      </w:r>
      <w:r w:rsidRPr="00073689">
        <w:t>13; SYC</w:t>
      </w:r>
      <w:r>
        <w:t xml:space="preserve"> Limited</w:t>
      </w:r>
      <w:r w:rsidRPr="00073689">
        <w:t xml:space="preserve">, Submission No 31 to the Australian Human Rights Commission, </w:t>
      </w:r>
      <w:r w:rsidRPr="00073689">
        <w:rPr>
          <w:i/>
        </w:rPr>
        <w:t xml:space="preserve">National Children’s Commissioner’s Investigation into Young Parents and their Children, </w:t>
      </w:r>
      <w:r w:rsidRPr="00073689">
        <w:t xml:space="preserve">5; </w:t>
      </w:r>
      <w:r w:rsidRPr="00E05505">
        <w:t>Roundtable</w:t>
      </w:r>
      <w:r>
        <w:t xml:space="preserve"> Discussion</w:t>
      </w:r>
      <w:r w:rsidRPr="00E05505">
        <w:t xml:space="preserve">, </w:t>
      </w:r>
      <w:r w:rsidRPr="00E34166">
        <w:rPr>
          <w:i/>
        </w:rPr>
        <w:t>National Children’s Commissioner’s Investigation into Young Parents and their Children</w:t>
      </w:r>
      <w:r w:rsidRPr="00E05505">
        <w:t xml:space="preserve"> (2017).</w:t>
      </w:r>
    </w:p>
  </w:endnote>
  <w:endnote w:id="602">
    <w:p w:rsidR="00C3563C" w:rsidRPr="009D0C48" w:rsidRDefault="00C3563C" w:rsidP="00B87D45">
      <w:pPr>
        <w:pStyle w:val="Testonotadichiusura"/>
        <w:rPr>
          <w:color w:val="FF0000"/>
        </w:rPr>
      </w:pPr>
      <w:r w:rsidRPr="00E05505">
        <w:rPr>
          <w:rStyle w:val="Rimandonotadichiusura"/>
        </w:rPr>
        <w:endnoteRef/>
      </w:r>
      <w:r w:rsidRPr="00E05505">
        <w:t xml:space="preserve"> Roundtable</w:t>
      </w:r>
      <w:r>
        <w:t xml:space="preserve"> Discussion</w:t>
      </w:r>
      <w:r w:rsidRPr="00E05505">
        <w:t>, National Children’s Commissioner’s Investigation into Young Parents and their Children (2017).</w:t>
      </w:r>
    </w:p>
  </w:endnote>
  <w:endnote w:id="603">
    <w:p w:rsidR="00C3563C" w:rsidRPr="003C5E8F" w:rsidRDefault="00C3563C" w:rsidP="00B87D45">
      <w:pPr>
        <w:pStyle w:val="Testonotadichiusura"/>
      </w:pPr>
      <w:r>
        <w:rPr>
          <w:rStyle w:val="Rimandonotadichiusura"/>
        </w:rPr>
        <w:endnoteRef/>
      </w:r>
      <w:r>
        <w:t xml:space="preserve"> Helping Young People Achieve. At </w:t>
      </w:r>
      <w:hyperlink r:id="rId157" w:history="1">
        <w:r w:rsidRPr="003F285F">
          <w:rPr>
            <w:rStyle w:val="Collegamentoipertestuale"/>
          </w:rPr>
          <w:t>https://www.hypa.net.au/focus-areas/focus-areas-wellbeing</w:t>
        </w:r>
      </w:hyperlink>
      <w:r>
        <w:rPr>
          <w:rStyle w:val="Collegamentoipertestuale"/>
          <w:u w:val="none"/>
        </w:rPr>
        <w:t xml:space="preserve"> </w:t>
      </w:r>
      <w:r w:rsidRPr="003C5E8F">
        <w:rPr>
          <w:rStyle w:val="Collegamentoipertestuale"/>
          <w:u w:val="none"/>
        </w:rPr>
        <w:t>(viewed 12 September 2017)</w:t>
      </w:r>
      <w:r>
        <w:rPr>
          <w:rStyle w:val="Collegamentoipertestuale"/>
          <w:u w:val="none"/>
        </w:rPr>
        <w:t>.</w:t>
      </w:r>
    </w:p>
  </w:endnote>
  <w:endnote w:id="604">
    <w:p w:rsidR="00C3563C" w:rsidRPr="0088749F" w:rsidRDefault="00C3563C" w:rsidP="00B87D45">
      <w:pPr>
        <w:pStyle w:val="Testonotadichiusura"/>
      </w:pPr>
      <w:r>
        <w:rPr>
          <w:rStyle w:val="Rimandonotadichiusura"/>
        </w:rPr>
        <w:endnoteRef/>
      </w:r>
      <w:r>
        <w:t xml:space="preserve"> </w:t>
      </w:r>
      <w:r w:rsidRPr="0088749F">
        <w:t xml:space="preserve">Karinya Young Women’s Service (KYWS), Submission No 14 to </w:t>
      </w:r>
      <w:r>
        <w:t xml:space="preserve">the </w:t>
      </w:r>
      <w:r w:rsidRPr="0088749F">
        <w:t xml:space="preserve">Australian Human Rights Commission, </w:t>
      </w:r>
      <w:r w:rsidRPr="0088749F">
        <w:rPr>
          <w:i/>
          <w:iCs/>
        </w:rPr>
        <w:t xml:space="preserve">National Children’s Commissioner’s </w:t>
      </w:r>
      <w:r>
        <w:rPr>
          <w:i/>
          <w:iCs/>
        </w:rPr>
        <w:t>I</w:t>
      </w:r>
      <w:r w:rsidRPr="0088749F">
        <w:rPr>
          <w:i/>
          <w:iCs/>
        </w:rPr>
        <w:t>nvestigation into Young Parents and their Children</w:t>
      </w:r>
      <w:r w:rsidRPr="00FD6164">
        <w:rPr>
          <w:iCs/>
        </w:rPr>
        <w:t>,</w:t>
      </w:r>
      <w:r w:rsidRPr="0088749F">
        <w:rPr>
          <w:i/>
          <w:iCs/>
        </w:rPr>
        <w:t xml:space="preserve"> </w:t>
      </w:r>
      <w:r w:rsidRPr="00FD6164">
        <w:rPr>
          <w:iCs/>
        </w:rPr>
        <w:t>4</w:t>
      </w:r>
      <w:r>
        <w:rPr>
          <w:iCs/>
        </w:rPr>
        <w:t>.</w:t>
      </w:r>
    </w:p>
  </w:endnote>
  <w:endnote w:id="605">
    <w:p w:rsidR="00C3563C" w:rsidRDefault="00C3563C" w:rsidP="00B87D45">
      <w:pPr>
        <w:pStyle w:val="Testonotadichiusura"/>
      </w:pPr>
      <w:r>
        <w:rPr>
          <w:rStyle w:val="Rimandonotadichiusura"/>
        </w:rPr>
        <w:endnoteRef/>
      </w:r>
      <w:r>
        <w:t xml:space="preserve"> National Aboriginal Community Controlled Health Organisation (NACCHO), Submission No 28 to the Australian Human Rights Commission, </w:t>
      </w:r>
      <w:r>
        <w:rPr>
          <w:i/>
          <w:iCs/>
        </w:rPr>
        <w:t>National Children’s Commissioner’s Investigation into Young Parents and their Children</w:t>
      </w:r>
      <w:r>
        <w:t>, 2.</w:t>
      </w:r>
    </w:p>
  </w:endnote>
  <w:endnote w:id="606">
    <w:p w:rsidR="00C3563C" w:rsidRDefault="00C3563C" w:rsidP="00B87D45">
      <w:pPr>
        <w:pStyle w:val="Testonotadichiusura"/>
      </w:pPr>
      <w:r>
        <w:rPr>
          <w:rStyle w:val="Rimandonotadichiusura"/>
        </w:rPr>
        <w:endnoteRef/>
      </w:r>
      <w:r>
        <w:t xml:space="preserve"> National Aboriginal Community Controlled Health Organisation (NACCHO), Submission No 28 to the Australian Human Rights Commission, </w:t>
      </w:r>
      <w:r>
        <w:rPr>
          <w:i/>
          <w:iCs/>
        </w:rPr>
        <w:t>National Children’s Commissioner’s Investigation into Young Parents and their Children</w:t>
      </w:r>
      <w:r>
        <w:t>, 14.</w:t>
      </w:r>
    </w:p>
  </w:endnote>
  <w:endnote w:id="607">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xml:space="preserve"> (2017).</w:t>
      </w:r>
    </w:p>
  </w:endnote>
  <w:endnote w:id="608">
    <w:p w:rsidR="00C3563C" w:rsidRDefault="00C3563C" w:rsidP="00B87D45">
      <w:pPr>
        <w:pStyle w:val="Testonotadichiusura"/>
      </w:pPr>
      <w:r>
        <w:rPr>
          <w:rStyle w:val="Rimandonotadichiusura"/>
        </w:rPr>
        <w:endnoteRef/>
      </w:r>
      <w:r>
        <w:t xml:space="preserve"> Confidential Submission No 34 to the Australian Human Rights Commission, </w:t>
      </w:r>
      <w:r>
        <w:rPr>
          <w:i/>
          <w:iCs/>
        </w:rPr>
        <w:t>National Children’s Commissioner’s Investigation into Young Parents and their Children</w:t>
      </w:r>
      <w:r>
        <w:t>, 10.</w:t>
      </w:r>
    </w:p>
  </w:endnote>
  <w:endnote w:id="609">
    <w:p w:rsidR="00C3563C" w:rsidRDefault="00C3563C" w:rsidP="00B87D45">
      <w:pPr>
        <w:pStyle w:val="Testonotadichiusura"/>
      </w:pPr>
      <w:r>
        <w:rPr>
          <w:rStyle w:val="Rimandonotadichiusura"/>
        </w:rPr>
        <w:endnoteRef/>
      </w:r>
      <w:r>
        <w:t xml:space="preserve"> Ipswich State High School, Submission No 41 to the Australian Human Rights Commission, </w:t>
      </w:r>
      <w:r>
        <w:rPr>
          <w:i/>
          <w:iCs/>
        </w:rPr>
        <w:t>National Children’s Commissioner’s Investigation into Young Parents and their Children</w:t>
      </w:r>
      <w:r>
        <w:t>, 2.</w:t>
      </w:r>
    </w:p>
  </w:endnote>
  <w:endnote w:id="610">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(2017).</w:t>
      </w:r>
    </w:p>
  </w:endnote>
  <w:endnote w:id="611">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(2017).</w:t>
      </w:r>
    </w:p>
  </w:endnote>
  <w:endnote w:id="612">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(2017).</w:t>
      </w:r>
    </w:p>
  </w:endnote>
  <w:endnote w:id="613">
    <w:p w:rsidR="00C3563C" w:rsidRDefault="00C3563C" w:rsidP="00B87D45">
      <w:pPr>
        <w:pStyle w:val="Testonotadichiusura"/>
      </w:pPr>
      <w:r>
        <w:rPr>
          <w:rStyle w:val="Rimandonotadichiusura"/>
        </w:rPr>
        <w:endnoteRef/>
      </w:r>
      <w:r>
        <w:t xml:space="preserve"> National Aboriginal Community Controlled Health Organisation (NACCHO), Submission No 28 to the Australian Human Rights Commission, </w:t>
      </w:r>
      <w:r>
        <w:rPr>
          <w:i/>
          <w:iCs/>
        </w:rPr>
        <w:t>National Children’s Commissioner’s investigation into Young Parents and their Children</w:t>
      </w:r>
      <w:r>
        <w:t>, 14.</w:t>
      </w:r>
    </w:p>
  </w:endnote>
  <w:endnote w:id="614">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(2017).</w:t>
      </w:r>
    </w:p>
  </w:endnote>
  <w:endnote w:id="615">
    <w:p w:rsidR="00C3563C" w:rsidRDefault="00C3563C" w:rsidP="00B87D45">
      <w:pPr>
        <w:pStyle w:val="Testonotadichiusura"/>
      </w:pPr>
      <w:r>
        <w:rPr>
          <w:rStyle w:val="Rimandonotadichiusura"/>
        </w:rPr>
        <w:endnoteRef/>
      </w:r>
      <w:r>
        <w:t xml:space="preserve"> National Aboriginal Community Controlled Health Organisation (NACCHO), Submission No 28 to the Australian Human Rights Commission, </w:t>
      </w:r>
      <w:r>
        <w:rPr>
          <w:i/>
          <w:iCs/>
        </w:rPr>
        <w:t>National Children’s Commissioner’s Investigation into Young Parents and their Children</w:t>
      </w:r>
      <w:r>
        <w:t>, 3.</w:t>
      </w:r>
    </w:p>
  </w:endnote>
  <w:endnote w:id="616">
    <w:p w:rsidR="00C3563C" w:rsidRPr="00486772" w:rsidRDefault="00C3563C" w:rsidP="00B87D45">
      <w:pPr>
        <w:pStyle w:val="Testonotadichiusura"/>
      </w:pPr>
      <w:r>
        <w:rPr>
          <w:rStyle w:val="Rimandonotadichiusura"/>
        </w:rPr>
        <w:endnoteRef/>
      </w:r>
      <w:r>
        <w:t xml:space="preserve"> SYC Limited, Submission No 31 to the Australian Human Rights Commission, </w:t>
      </w:r>
      <w:r>
        <w:rPr>
          <w:i/>
          <w:iCs/>
        </w:rPr>
        <w:t>National Children’s Commissioner’s Investigation into Young Parents and their Children</w:t>
      </w:r>
      <w:r>
        <w:t xml:space="preserve">, 6; Ipswich State High School, Submission No 41 to Australian Human Rights Commission, </w:t>
      </w:r>
      <w:r>
        <w:rPr>
          <w:i/>
          <w:iCs/>
        </w:rPr>
        <w:t>National Children’s Commissioner’s Investigation into Young Parents and their Children</w:t>
      </w:r>
      <w:r>
        <w:t xml:space="preserve">, 2; </w:t>
      </w:r>
      <w:r w:rsidRPr="00B4313F">
        <w:t xml:space="preserve">CCCares </w:t>
      </w:r>
      <w:r>
        <w:t>at</w:t>
      </w:r>
      <w:r w:rsidRPr="00B4313F">
        <w:t xml:space="preserve"> Canberra College</w:t>
      </w:r>
      <w:r>
        <w:t xml:space="preserve">, Submission No 7 to the Australian Human Rights Commission, </w:t>
      </w:r>
      <w:r>
        <w:rPr>
          <w:i/>
          <w:iCs/>
        </w:rPr>
        <w:t>National Children’s Commissioner’s Investigation into Young Parents and their Children</w:t>
      </w:r>
      <w:r>
        <w:rPr>
          <w:iCs/>
        </w:rPr>
        <w:t>, 2; STEMM (</w:t>
      </w:r>
      <w:r w:rsidRPr="00486772">
        <w:rPr>
          <w:iCs/>
        </w:rPr>
        <w:t>Supporting</w:t>
      </w:r>
      <w:r>
        <w:rPr>
          <w:iCs/>
        </w:rPr>
        <w:t xml:space="preserve"> </w:t>
      </w:r>
      <w:r w:rsidRPr="00486772">
        <w:rPr>
          <w:iCs/>
        </w:rPr>
        <w:t>Teenagers</w:t>
      </w:r>
      <w:r>
        <w:rPr>
          <w:iCs/>
        </w:rPr>
        <w:t xml:space="preserve"> </w:t>
      </w:r>
      <w:r w:rsidRPr="00486772">
        <w:rPr>
          <w:iCs/>
        </w:rPr>
        <w:t>with</w:t>
      </w:r>
      <w:r>
        <w:rPr>
          <w:iCs/>
        </w:rPr>
        <w:t xml:space="preserve"> </w:t>
      </w:r>
      <w:r w:rsidRPr="00486772">
        <w:rPr>
          <w:iCs/>
        </w:rPr>
        <w:t>Education,</w:t>
      </w:r>
      <w:r>
        <w:rPr>
          <w:iCs/>
        </w:rPr>
        <w:t xml:space="preserve"> </w:t>
      </w:r>
      <w:r w:rsidRPr="00486772">
        <w:rPr>
          <w:iCs/>
        </w:rPr>
        <w:t>Mothering</w:t>
      </w:r>
      <w:r>
        <w:rPr>
          <w:iCs/>
        </w:rPr>
        <w:t xml:space="preserve"> </w:t>
      </w:r>
      <w:r w:rsidRPr="00486772">
        <w:rPr>
          <w:iCs/>
        </w:rPr>
        <w:t>and</w:t>
      </w:r>
      <w:r>
        <w:rPr>
          <w:iCs/>
        </w:rPr>
        <w:t xml:space="preserve"> </w:t>
      </w:r>
      <w:r w:rsidRPr="00486772">
        <w:rPr>
          <w:iCs/>
        </w:rPr>
        <w:t>Mentoring</w:t>
      </w:r>
      <w:r>
        <w:rPr>
          <w:iCs/>
        </w:rPr>
        <w:t xml:space="preserve">) </w:t>
      </w:r>
      <w:r>
        <w:t xml:space="preserve">Submission No 10 to the Australian Human Rights Commission, </w:t>
      </w:r>
      <w:r>
        <w:rPr>
          <w:i/>
          <w:iCs/>
        </w:rPr>
        <w:t>National Children’s Commissioner’s Investigation into Young Parents and their Children</w:t>
      </w:r>
      <w:r>
        <w:rPr>
          <w:iCs/>
        </w:rPr>
        <w:t>, 2.</w:t>
      </w:r>
    </w:p>
  </w:endnote>
  <w:endnote w:id="617">
    <w:p w:rsidR="00C3563C" w:rsidRDefault="00C3563C" w:rsidP="00B87D45">
      <w:pPr>
        <w:pStyle w:val="Testonotadichiusura"/>
      </w:pPr>
      <w:r>
        <w:rPr>
          <w:rStyle w:val="Rimandonotadichiusura"/>
        </w:rPr>
        <w:endnoteRef/>
      </w:r>
      <w:r>
        <w:t xml:space="preserve"> Ipswich State High School, Submission No 41 to the Australian Human Rights Commission, </w:t>
      </w:r>
      <w:r>
        <w:rPr>
          <w:i/>
          <w:iCs/>
        </w:rPr>
        <w:t>National Children’s Commissioner’s Investigation into Young Parents and their Children</w:t>
      </w:r>
      <w:r>
        <w:t>, 2.</w:t>
      </w:r>
    </w:p>
  </w:endnote>
  <w:endnote w:id="618">
    <w:p w:rsidR="00C3563C" w:rsidRDefault="00C3563C" w:rsidP="00B87D45">
      <w:pPr>
        <w:pStyle w:val="Testonotadichiusura"/>
      </w:pPr>
      <w:r>
        <w:rPr>
          <w:rStyle w:val="Rimandonotadichiusura"/>
        </w:rPr>
        <w:endnoteRef/>
      </w:r>
      <w:r>
        <w:t xml:space="preserve"> Ipswich State High School, Submission No 41 to the Australian Human Rights Commission, </w:t>
      </w:r>
      <w:r>
        <w:rPr>
          <w:i/>
          <w:iCs/>
        </w:rPr>
        <w:t>National Children’s Commissioner’s Investigation into Young Parents and their Children</w:t>
      </w:r>
      <w:r>
        <w:t>, 1.</w:t>
      </w:r>
    </w:p>
  </w:endnote>
  <w:endnote w:id="619">
    <w:p w:rsidR="00C3563C" w:rsidRDefault="00C3563C" w:rsidP="00B87D45">
      <w:pPr>
        <w:pStyle w:val="Testonotadichiusura"/>
      </w:pPr>
      <w:r>
        <w:rPr>
          <w:rStyle w:val="Rimandonotadichiusura"/>
        </w:rPr>
        <w:endnoteRef/>
      </w:r>
      <w:r>
        <w:t xml:space="preserve"> Ipswich State High School, Submission No 41 to</w:t>
      </w:r>
      <w:r w:rsidRPr="009A721B">
        <w:t xml:space="preserve"> </w:t>
      </w:r>
      <w:r>
        <w:t xml:space="preserve">the Australian Human Rights Commission, </w:t>
      </w:r>
      <w:r>
        <w:rPr>
          <w:i/>
          <w:iCs/>
        </w:rPr>
        <w:t>National Children’s Commissioner’s Investigation into Young Parents and their Children</w:t>
      </w:r>
      <w:r>
        <w:t>, 2.</w:t>
      </w:r>
    </w:p>
  </w:endnote>
  <w:endnote w:id="620">
    <w:p w:rsidR="00C3563C" w:rsidRDefault="00C3563C" w:rsidP="00B87D45">
      <w:pPr>
        <w:pStyle w:val="Testonotadichiusura"/>
      </w:pPr>
      <w:r>
        <w:rPr>
          <w:rStyle w:val="Rimandonotadichiusura"/>
        </w:rPr>
        <w:endnoteRef/>
      </w:r>
      <w:r>
        <w:t xml:space="preserve"> The Association of Women Educators Inc, Submission No 37 to Australian Human Rights Commission, </w:t>
      </w:r>
      <w:r>
        <w:rPr>
          <w:i/>
          <w:iCs/>
        </w:rPr>
        <w:t xml:space="preserve">National Children’s Commissioner’s Investigation into Young Parents and their Children, </w:t>
      </w:r>
      <w:r>
        <w:rPr>
          <w:iCs/>
        </w:rPr>
        <w:t>3.</w:t>
      </w:r>
    </w:p>
  </w:endnote>
  <w:endnote w:id="621">
    <w:p w:rsidR="00C3563C" w:rsidRDefault="00C3563C" w:rsidP="00B87D45">
      <w:pPr>
        <w:pStyle w:val="Testonotadichiusura"/>
      </w:pPr>
      <w:r>
        <w:rPr>
          <w:rStyle w:val="Rimandonotadichiusura"/>
        </w:rPr>
        <w:endnoteRef/>
      </w:r>
      <w:r>
        <w:t xml:space="preserve"> The Association of Women Educators Inc, Submission No 37 to</w:t>
      </w:r>
      <w:r w:rsidRPr="009A721B">
        <w:t xml:space="preserve"> </w:t>
      </w:r>
      <w:r>
        <w:t xml:space="preserve">the Australian Human Rights Commission, </w:t>
      </w:r>
      <w:r>
        <w:rPr>
          <w:i/>
          <w:iCs/>
        </w:rPr>
        <w:t>National Children’s Commissioner’s Investigation into Young Parents and their Children</w:t>
      </w:r>
      <w:r w:rsidRPr="00FD6164">
        <w:rPr>
          <w:iCs/>
        </w:rPr>
        <w:t>,</w:t>
      </w:r>
      <w:r>
        <w:rPr>
          <w:i/>
          <w:iCs/>
        </w:rPr>
        <w:t xml:space="preserve"> </w:t>
      </w:r>
      <w:r>
        <w:rPr>
          <w:iCs/>
        </w:rPr>
        <w:t>3.</w:t>
      </w:r>
    </w:p>
  </w:endnote>
  <w:endnote w:id="622">
    <w:p w:rsidR="00C3563C" w:rsidRDefault="00C3563C" w:rsidP="00B87D45">
      <w:pPr>
        <w:pStyle w:val="Testonotadichiusura"/>
      </w:pPr>
      <w:r>
        <w:rPr>
          <w:rStyle w:val="Rimandonotadichiusura"/>
        </w:rPr>
        <w:endnoteRef/>
      </w:r>
      <w:r>
        <w:t xml:space="preserve"> The Association of Women Educators Inc, Submission No 37 to the Australian Human Rights Commission, </w:t>
      </w:r>
      <w:r>
        <w:rPr>
          <w:i/>
          <w:iCs/>
        </w:rPr>
        <w:t>National Children’s Commissioner’s Investigation into Young Parents and their Children</w:t>
      </w:r>
      <w:r w:rsidRPr="00FD6164">
        <w:rPr>
          <w:iCs/>
        </w:rPr>
        <w:t>,</w:t>
      </w:r>
      <w:r>
        <w:rPr>
          <w:i/>
          <w:iCs/>
        </w:rPr>
        <w:t xml:space="preserve"> </w:t>
      </w:r>
      <w:r>
        <w:rPr>
          <w:iCs/>
        </w:rPr>
        <w:t>3.</w:t>
      </w:r>
    </w:p>
  </w:endnote>
  <w:endnote w:id="623">
    <w:p w:rsidR="00C3563C" w:rsidRPr="005538B8" w:rsidRDefault="00C3563C" w:rsidP="00B87D45">
      <w:pPr>
        <w:pStyle w:val="Testonotadichiusura"/>
      </w:pPr>
      <w:r>
        <w:rPr>
          <w:rStyle w:val="Rimandonotadichiusura"/>
        </w:rPr>
        <w:endnoteRef/>
      </w:r>
      <w:r>
        <w:t xml:space="preserve"> The Association of Women Educators Inc, Submission No 37 to the Australian Human Rights Commission, </w:t>
      </w:r>
      <w:r>
        <w:rPr>
          <w:i/>
          <w:iCs/>
        </w:rPr>
        <w:t>National Children’s Commissioner’s Investigation into Young Parents and their Children</w:t>
      </w:r>
      <w:r w:rsidRPr="00FD6164">
        <w:rPr>
          <w:iCs/>
        </w:rPr>
        <w:t>,</w:t>
      </w:r>
      <w:r>
        <w:rPr>
          <w:i/>
          <w:iCs/>
        </w:rPr>
        <w:t xml:space="preserve"> </w:t>
      </w:r>
      <w:r>
        <w:rPr>
          <w:iCs/>
        </w:rPr>
        <w:t>3.</w:t>
      </w:r>
    </w:p>
  </w:endnote>
  <w:endnote w:id="624">
    <w:p w:rsidR="00C3563C" w:rsidRPr="0062172A" w:rsidRDefault="00C3563C" w:rsidP="00B87D45">
      <w:pPr>
        <w:spacing w:before="0" w:after="0"/>
        <w:rPr>
          <w:i/>
          <w:iCs/>
          <w:sz w:val="20"/>
          <w:szCs w:val="20"/>
        </w:rPr>
      </w:pPr>
      <w:r>
        <w:rPr>
          <w:rStyle w:val="Rimandonotadichiusura"/>
        </w:rPr>
        <w:endnoteRef/>
      </w:r>
      <w:r w:rsidRPr="00302179">
        <w:rPr>
          <w:iCs/>
          <w:sz w:val="20"/>
          <w:szCs w:val="20"/>
        </w:rPr>
        <w:t>Supporting Teenagers with Education, Mothering and Mentoring (</w:t>
      </w:r>
      <w:r w:rsidRPr="00302179">
        <w:rPr>
          <w:sz w:val="20"/>
          <w:szCs w:val="20"/>
        </w:rPr>
        <w:t>STEMM),</w:t>
      </w:r>
      <w:r w:rsidRPr="001C12E7">
        <w:rPr>
          <w:sz w:val="20"/>
          <w:szCs w:val="20"/>
        </w:rPr>
        <w:t xml:space="preserve"> Submission No 10 to</w:t>
      </w:r>
      <w:r w:rsidRPr="001C12E7">
        <w:rPr>
          <w:b/>
          <w:bCs/>
          <w:sz w:val="20"/>
          <w:szCs w:val="20"/>
        </w:rPr>
        <w:t xml:space="preserve"> </w:t>
      </w:r>
      <w:r w:rsidRPr="001C12E7">
        <w:rPr>
          <w:sz w:val="20"/>
          <w:szCs w:val="20"/>
        </w:rPr>
        <w:t xml:space="preserve">Australian Human Rights Commission, </w:t>
      </w:r>
      <w:r w:rsidRPr="001C12E7">
        <w:rPr>
          <w:i/>
          <w:iCs/>
          <w:sz w:val="20"/>
          <w:szCs w:val="20"/>
        </w:rPr>
        <w:t xml:space="preserve">National Children’s Commissioner’s </w:t>
      </w:r>
      <w:r>
        <w:rPr>
          <w:i/>
          <w:iCs/>
          <w:sz w:val="20"/>
          <w:szCs w:val="20"/>
        </w:rPr>
        <w:t>I</w:t>
      </w:r>
      <w:r w:rsidRPr="001C12E7">
        <w:rPr>
          <w:i/>
          <w:iCs/>
          <w:sz w:val="20"/>
          <w:szCs w:val="20"/>
        </w:rPr>
        <w:t>nvestigation into Y</w:t>
      </w:r>
      <w:r>
        <w:rPr>
          <w:i/>
          <w:iCs/>
          <w:sz w:val="20"/>
          <w:szCs w:val="20"/>
        </w:rPr>
        <w:t xml:space="preserve">oung Parents and their Children; Supporting Teenagers with Education, Mothering and Mentoring </w:t>
      </w:r>
      <w:r>
        <w:rPr>
          <w:iCs/>
          <w:sz w:val="20"/>
          <w:szCs w:val="20"/>
        </w:rPr>
        <w:t>(</w:t>
      </w:r>
      <w:r w:rsidRPr="0062172A">
        <w:rPr>
          <w:iCs/>
          <w:sz w:val="20"/>
          <w:szCs w:val="20"/>
        </w:rPr>
        <w:t xml:space="preserve">STEMM). At </w:t>
      </w:r>
      <w:hyperlink r:id="rId158" w:history="1">
        <w:r w:rsidRPr="0062172A">
          <w:rPr>
            <w:rStyle w:val="Collegamentoipertestuale"/>
            <w:iCs/>
            <w:sz w:val="20"/>
            <w:szCs w:val="20"/>
          </w:rPr>
          <w:t>http://stemm.com.au/</w:t>
        </w:r>
      </w:hyperlink>
      <w:r w:rsidRPr="0062172A">
        <w:rPr>
          <w:iCs/>
          <w:sz w:val="20"/>
          <w:szCs w:val="20"/>
        </w:rPr>
        <w:t xml:space="preserve"> (viewed 13 September 2017). </w:t>
      </w:r>
    </w:p>
  </w:endnote>
  <w:endnote w:id="625">
    <w:p w:rsidR="00C3563C" w:rsidRPr="003B50FF" w:rsidRDefault="00C3563C" w:rsidP="00B87D45">
      <w:pPr>
        <w:spacing w:before="0" w:after="0"/>
        <w:rPr>
          <w:sz w:val="20"/>
          <w:szCs w:val="20"/>
        </w:rPr>
      </w:pPr>
      <w:r>
        <w:rPr>
          <w:rStyle w:val="Rimandonotadichiusura"/>
        </w:rPr>
        <w:endnoteRef/>
      </w:r>
      <w:r>
        <w:t xml:space="preserve"> </w:t>
      </w:r>
      <w:r w:rsidRPr="003B50FF">
        <w:rPr>
          <w:sz w:val="20"/>
          <w:szCs w:val="20"/>
        </w:rPr>
        <w:t xml:space="preserve">Department of Employment, </w:t>
      </w:r>
      <w:r w:rsidRPr="003B50FF">
        <w:rPr>
          <w:i/>
          <w:sz w:val="20"/>
          <w:szCs w:val="20"/>
        </w:rPr>
        <w:t>ParentsNext an Australian Government Initiative: Discussion Paper</w:t>
      </w:r>
      <w:r w:rsidRPr="003B50FF">
        <w:rPr>
          <w:sz w:val="20"/>
          <w:szCs w:val="20"/>
        </w:rPr>
        <w:t>, Commonwealth of Australia (Discussion Paper, 2017)</w:t>
      </w:r>
      <w:r>
        <w:rPr>
          <w:sz w:val="20"/>
          <w:szCs w:val="20"/>
        </w:rPr>
        <w:t xml:space="preserve">; </w:t>
      </w:r>
      <w:r w:rsidRPr="003B50FF">
        <w:rPr>
          <w:sz w:val="20"/>
          <w:szCs w:val="20"/>
        </w:rPr>
        <w:t xml:space="preserve">Department of Employment, </w:t>
      </w:r>
      <w:r w:rsidRPr="003B50FF">
        <w:rPr>
          <w:i/>
          <w:sz w:val="20"/>
          <w:szCs w:val="20"/>
        </w:rPr>
        <w:t xml:space="preserve">ParentsNext </w:t>
      </w:r>
      <w:r w:rsidRPr="003B50FF">
        <w:rPr>
          <w:sz w:val="20"/>
          <w:szCs w:val="20"/>
        </w:rPr>
        <w:t xml:space="preserve">(12 September 2017) Commonwealth of Australia. At </w:t>
      </w:r>
      <w:hyperlink r:id="rId159" w:history="1">
        <w:r w:rsidRPr="003B50FF">
          <w:rPr>
            <w:rStyle w:val="Collegamentoipertestuale"/>
            <w:sz w:val="20"/>
            <w:szCs w:val="20"/>
          </w:rPr>
          <w:t>https://www.employment.gov.au/parents-next</w:t>
        </w:r>
      </w:hyperlink>
      <w:r w:rsidRPr="003B50FF">
        <w:rPr>
          <w:sz w:val="20"/>
          <w:szCs w:val="20"/>
        </w:rPr>
        <w:t xml:space="preserve"> (viewed 16 October 2017).</w:t>
      </w:r>
    </w:p>
  </w:endnote>
  <w:endnote w:id="626">
    <w:p w:rsidR="00C3563C" w:rsidRPr="00194A7C" w:rsidRDefault="00C3563C" w:rsidP="00B87D45">
      <w:pPr>
        <w:pStyle w:val="Testonotadichiusura"/>
        <w:rPr>
          <w:rStyle w:val="Rimandonotadichiusura"/>
        </w:rPr>
      </w:pPr>
      <w:r w:rsidRPr="0062172A">
        <w:rPr>
          <w:rStyle w:val="Rimandonotadichiusura"/>
        </w:rPr>
        <w:endnoteRef/>
      </w:r>
      <w:r w:rsidRPr="0062172A">
        <w:t xml:space="preserve"> Karinya Young Women’s Service (KYWS), Submission No 14 to the Australian Human Rights</w:t>
      </w:r>
      <w:r w:rsidRPr="006D6D6F">
        <w:t xml:space="preserve"> Commission, </w:t>
      </w:r>
      <w:r w:rsidRPr="006D6D6F">
        <w:rPr>
          <w:i/>
          <w:iCs/>
        </w:rPr>
        <w:t xml:space="preserve">National Children’s Commissioner’s </w:t>
      </w:r>
      <w:r>
        <w:rPr>
          <w:i/>
          <w:iCs/>
        </w:rPr>
        <w:t>I</w:t>
      </w:r>
      <w:r w:rsidRPr="006D6D6F">
        <w:rPr>
          <w:i/>
          <w:iCs/>
        </w:rPr>
        <w:t xml:space="preserve">nvestigation into Young Parents and their Children, </w:t>
      </w:r>
      <w:r w:rsidRPr="006D6D6F">
        <w:rPr>
          <w:iCs/>
        </w:rPr>
        <w:t>3</w:t>
      </w:r>
      <w:r w:rsidRPr="005A3DB4">
        <w:t xml:space="preserve">; Philip Mendes and Jade Purtell, Submission No 4 to </w:t>
      </w:r>
      <w:r>
        <w:t xml:space="preserve">the </w:t>
      </w:r>
      <w:r w:rsidRPr="005A3DB4">
        <w:t xml:space="preserve">Australian Human Rights Commission, </w:t>
      </w:r>
      <w:r w:rsidRPr="005A3DB4">
        <w:rPr>
          <w:i/>
          <w:iCs/>
        </w:rPr>
        <w:t xml:space="preserve">National Children’s Commissioner’s </w:t>
      </w:r>
      <w:r>
        <w:rPr>
          <w:i/>
          <w:iCs/>
        </w:rPr>
        <w:t>I</w:t>
      </w:r>
      <w:r w:rsidRPr="005A3DB4">
        <w:rPr>
          <w:i/>
          <w:iCs/>
        </w:rPr>
        <w:t xml:space="preserve">nvestigation into Young Parents and their Children, </w:t>
      </w:r>
      <w:r w:rsidRPr="005A3DB4">
        <w:rPr>
          <w:iCs/>
        </w:rPr>
        <w:t>6</w:t>
      </w:r>
      <w:r>
        <w:rPr>
          <w:iCs/>
        </w:rPr>
        <w:t>–</w:t>
      </w:r>
      <w:r w:rsidRPr="005A3DB4">
        <w:rPr>
          <w:iCs/>
        </w:rPr>
        <w:t>8</w:t>
      </w:r>
      <w:r w:rsidRPr="005A3DB4">
        <w:t xml:space="preserve">; </w:t>
      </w:r>
      <w:r w:rsidRPr="006D6D6F">
        <w:t>Advocate for Children and Young People</w:t>
      </w:r>
      <w:r>
        <w:t xml:space="preserve"> NSW</w:t>
      </w:r>
      <w:r w:rsidRPr="006D6D6F">
        <w:t xml:space="preserve">, Submission No 35 to </w:t>
      </w:r>
      <w:r>
        <w:t xml:space="preserve">the </w:t>
      </w:r>
      <w:r w:rsidRPr="006D6D6F">
        <w:t xml:space="preserve">Australian Human Rights Commission, </w:t>
      </w:r>
      <w:r w:rsidRPr="006D6D6F">
        <w:rPr>
          <w:i/>
          <w:iCs/>
        </w:rPr>
        <w:t xml:space="preserve">National Children’s Commissioner’s </w:t>
      </w:r>
      <w:r>
        <w:rPr>
          <w:i/>
          <w:iCs/>
        </w:rPr>
        <w:t>I</w:t>
      </w:r>
      <w:r w:rsidRPr="006D6D6F">
        <w:rPr>
          <w:i/>
          <w:iCs/>
        </w:rPr>
        <w:t>nvestigation into Young Parents and their Children</w:t>
      </w:r>
      <w:r>
        <w:rPr>
          <w:iCs/>
        </w:rPr>
        <w:t>, 3</w:t>
      </w:r>
      <w:r w:rsidRPr="006D6D6F">
        <w:t>;</w:t>
      </w:r>
      <w:r w:rsidRPr="00B72327">
        <w:rPr>
          <w:color w:val="0070C0"/>
        </w:rPr>
        <w:t xml:space="preserve"> </w:t>
      </w:r>
      <w:r w:rsidRPr="00030D01">
        <w:t xml:space="preserve">Victorian Aboriginal Child Care Agency (VACCA), Submission No 42 to </w:t>
      </w:r>
      <w:r>
        <w:t xml:space="preserve">the </w:t>
      </w:r>
      <w:r w:rsidRPr="00030D01">
        <w:t xml:space="preserve">Australian Human Rights Commission, </w:t>
      </w:r>
      <w:r w:rsidRPr="00030D01">
        <w:rPr>
          <w:i/>
          <w:iCs/>
        </w:rPr>
        <w:t xml:space="preserve">National Children’s Commissioner’s </w:t>
      </w:r>
      <w:r>
        <w:rPr>
          <w:i/>
          <w:iCs/>
        </w:rPr>
        <w:t>I</w:t>
      </w:r>
      <w:r w:rsidRPr="00030D01">
        <w:rPr>
          <w:i/>
          <w:iCs/>
        </w:rPr>
        <w:t xml:space="preserve">nvestigation into Young Parents and their </w:t>
      </w:r>
      <w:r w:rsidRPr="00194A7C">
        <w:rPr>
          <w:i/>
          <w:iCs/>
        </w:rPr>
        <w:t>Children</w:t>
      </w:r>
      <w:r w:rsidRPr="00194A7C">
        <w:rPr>
          <w:rStyle w:val="Rimandonotadichiusura"/>
          <w:vertAlign w:val="baseline"/>
        </w:rPr>
        <w:t>, 9</w:t>
      </w:r>
      <w:r w:rsidRPr="00194A7C">
        <w:t>.</w:t>
      </w:r>
    </w:p>
  </w:endnote>
  <w:endnote w:id="627">
    <w:p w:rsidR="00C3563C" w:rsidRDefault="00C3563C" w:rsidP="00B87D45">
      <w:pPr>
        <w:pStyle w:val="Testonotadichiusura"/>
      </w:pPr>
      <w:r>
        <w:rPr>
          <w:rStyle w:val="Rimandonotadichiusura"/>
        </w:rPr>
        <w:endnoteRef/>
      </w:r>
      <w:r>
        <w:t xml:space="preserve"> Department of Family and Community Services (FaCS) NSW, Submission No 39 to the Australian Human Rights Commission, </w:t>
      </w:r>
      <w:r>
        <w:rPr>
          <w:i/>
          <w:iCs/>
        </w:rPr>
        <w:t>National Children’s Commissioner’s Investigation into Young Parents and their Children</w:t>
      </w:r>
      <w:r>
        <w:t>, 5.</w:t>
      </w:r>
    </w:p>
  </w:endnote>
  <w:endnote w:id="628">
    <w:p w:rsidR="00C3563C" w:rsidRDefault="00C3563C" w:rsidP="00B87D45">
      <w:pPr>
        <w:pStyle w:val="Testonotadichiusura"/>
      </w:pPr>
      <w:r>
        <w:rPr>
          <w:rStyle w:val="Rimandonotadichiusura"/>
        </w:rPr>
        <w:endnoteRef/>
      </w:r>
      <w:r>
        <w:t xml:space="preserve"> </w:t>
      </w:r>
      <w:r w:rsidRPr="0088749F">
        <w:t>Karinya Young Women’s Service (KYWS),</w:t>
      </w:r>
      <w:r>
        <w:t xml:space="preserve"> Launceston, Tasmania, Submission No 14 to the Australian Human Rights Commission, </w:t>
      </w:r>
      <w:r>
        <w:rPr>
          <w:i/>
          <w:iCs/>
        </w:rPr>
        <w:t>National Children’s Commissioner’s Investigation into Young Parents and their Children</w:t>
      </w:r>
      <w:r>
        <w:t>, 3.</w:t>
      </w:r>
    </w:p>
  </w:endnote>
  <w:endnote w:id="629">
    <w:p w:rsidR="00C3563C" w:rsidRPr="003B50FF" w:rsidRDefault="00C3563C" w:rsidP="00B87D45">
      <w:pPr>
        <w:pStyle w:val="Testonotadichiusura"/>
      </w:pPr>
      <w:r w:rsidRPr="003B50FF">
        <w:rPr>
          <w:rStyle w:val="Rimandonotadichiusura"/>
        </w:rPr>
        <w:endnoteRef/>
      </w:r>
      <w:r w:rsidRPr="003B50FF">
        <w:t xml:space="preserve"> Karinya Young Women’s Service (KYWS), Submission No 14 to the Australian Human Rights Commission, </w:t>
      </w:r>
      <w:r w:rsidRPr="003B50FF">
        <w:rPr>
          <w:i/>
          <w:iCs/>
        </w:rPr>
        <w:t xml:space="preserve">National Children’s Commissioner’s </w:t>
      </w:r>
      <w:r>
        <w:rPr>
          <w:i/>
          <w:iCs/>
        </w:rPr>
        <w:t>I</w:t>
      </w:r>
      <w:r w:rsidRPr="003B50FF">
        <w:rPr>
          <w:i/>
          <w:iCs/>
        </w:rPr>
        <w:t>nvestigation into Young Parents and their Children</w:t>
      </w:r>
      <w:r w:rsidRPr="00FD6164">
        <w:rPr>
          <w:iCs/>
        </w:rPr>
        <w:t>,</w:t>
      </w:r>
      <w:r w:rsidRPr="003B50FF">
        <w:rPr>
          <w:i/>
          <w:iCs/>
        </w:rPr>
        <w:t xml:space="preserve"> </w:t>
      </w:r>
      <w:r w:rsidRPr="003B50FF">
        <w:rPr>
          <w:iCs/>
        </w:rPr>
        <w:t>3</w:t>
      </w:r>
      <w:r>
        <w:rPr>
          <w:iCs/>
        </w:rPr>
        <w:t>.</w:t>
      </w:r>
    </w:p>
  </w:endnote>
  <w:endnote w:id="630">
    <w:p w:rsidR="00C3563C" w:rsidRPr="00030D01"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030D01">
        <w:t xml:space="preserve"> (2017).</w:t>
      </w:r>
    </w:p>
  </w:endnote>
  <w:endnote w:id="631">
    <w:p w:rsidR="00C3563C" w:rsidRPr="00030D01" w:rsidRDefault="00C3563C" w:rsidP="00B87D45">
      <w:pPr>
        <w:pStyle w:val="Testonotadichiusura"/>
      </w:pPr>
      <w:r w:rsidRPr="00030D01">
        <w:rPr>
          <w:rStyle w:val="Rimandonotadichiusura"/>
        </w:rPr>
        <w:endnoteRef/>
      </w:r>
      <w:r w:rsidRPr="00030D01">
        <w:t xml:space="preserve"> Advocate for Children and Young People NSW, Submission No 35 to </w:t>
      </w:r>
      <w:r>
        <w:t xml:space="preserve">the </w:t>
      </w:r>
      <w:r w:rsidRPr="00030D01">
        <w:t xml:space="preserve">Australian Human Rights Commission, </w:t>
      </w:r>
      <w:r w:rsidRPr="00030D01">
        <w:rPr>
          <w:i/>
          <w:iCs/>
        </w:rPr>
        <w:t xml:space="preserve">National Children’s Commissioner’s </w:t>
      </w:r>
      <w:r>
        <w:rPr>
          <w:i/>
          <w:iCs/>
        </w:rPr>
        <w:t>I</w:t>
      </w:r>
      <w:r w:rsidRPr="00030D01">
        <w:rPr>
          <w:i/>
          <w:iCs/>
        </w:rPr>
        <w:t>nvestigation into Young Parents and their Children</w:t>
      </w:r>
      <w:r w:rsidRPr="00030D01">
        <w:rPr>
          <w:iCs/>
        </w:rPr>
        <w:t>, 3</w:t>
      </w:r>
    </w:p>
  </w:endnote>
  <w:endnote w:id="632">
    <w:p w:rsidR="00C3563C" w:rsidRDefault="00C3563C" w:rsidP="00B87D45">
      <w:pPr>
        <w:pStyle w:val="Testonotadichiusura"/>
      </w:pPr>
      <w:r w:rsidRPr="00030D01">
        <w:rPr>
          <w:rStyle w:val="Rimandonotadichiusura"/>
        </w:rPr>
        <w:endnoteRef/>
      </w:r>
      <w:r w:rsidRPr="00030D01">
        <w:t xml:space="preserve"> Advocate for Children and Young People NSW, Submission No 35 to </w:t>
      </w:r>
      <w:r>
        <w:t xml:space="preserve">the </w:t>
      </w:r>
      <w:r w:rsidRPr="00030D01">
        <w:t xml:space="preserve">Australian Human Rights Commission, </w:t>
      </w:r>
      <w:r w:rsidRPr="00030D01">
        <w:rPr>
          <w:i/>
          <w:iCs/>
        </w:rPr>
        <w:t xml:space="preserve">National Children’s Commissioner’s </w:t>
      </w:r>
      <w:r>
        <w:rPr>
          <w:i/>
          <w:iCs/>
        </w:rPr>
        <w:t>I</w:t>
      </w:r>
      <w:r w:rsidRPr="00030D01">
        <w:rPr>
          <w:i/>
          <w:iCs/>
        </w:rPr>
        <w:t>nvestigation into Young Parents and their Children</w:t>
      </w:r>
      <w:r w:rsidRPr="00FD6164">
        <w:rPr>
          <w:iCs/>
        </w:rPr>
        <w:t>,</w:t>
      </w:r>
      <w:r w:rsidRPr="00030D01">
        <w:rPr>
          <w:i/>
          <w:iCs/>
        </w:rPr>
        <w:t xml:space="preserve"> </w:t>
      </w:r>
      <w:r w:rsidRPr="00030D01">
        <w:rPr>
          <w:iCs/>
        </w:rPr>
        <w:t>3</w:t>
      </w:r>
      <w:r>
        <w:rPr>
          <w:iCs/>
        </w:rPr>
        <w:t>.</w:t>
      </w:r>
    </w:p>
  </w:endnote>
  <w:endnote w:id="633">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xml:space="preserve"> (2017).</w:t>
      </w:r>
    </w:p>
  </w:endnote>
  <w:endnote w:id="634">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xml:space="preserve"> (2017).</w:t>
      </w:r>
    </w:p>
  </w:endnote>
  <w:endnote w:id="635">
    <w:p w:rsidR="00C3563C" w:rsidRDefault="00C3563C" w:rsidP="00B87D45">
      <w:pPr>
        <w:pStyle w:val="Testonotadichiusura"/>
      </w:pPr>
      <w:r>
        <w:rPr>
          <w:rStyle w:val="Rimandonotadichiusura"/>
        </w:rPr>
        <w:endnoteRef/>
      </w:r>
      <w:r>
        <w:t xml:space="preserve"> Ella Kuskoff, Submission No 1 to the Australian Human Rights Commission, </w:t>
      </w:r>
      <w:r>
        <w:rPr>
          <w:i/>
          <w:iCs/>
        </w:rPr>
        <w:t>National Children’s Commissioner’s Investigation into Young Parents and their Children</w:t>
      </w:r>
      <w:r w:rsidRPr="00FD6164">
        <w:rPr>
          <w:iCs/>
        </w:rPr>
        <w:t>,</w:t>
      </w:r>
      <w:r>
        <w:rPr>
          <w:i/>
          <w:iCs/>
        </w:rPr>
        <w:t xml:space="preserve"> </w:t>
      </w:r>
      <w:r w:rsidRPr="006B4717">
        <w:rPr>
          <w:iCs/>
        </w:rPr>
        <w:t>1</w:t>
      </w:r>
      <w:r>
        <w:rPr>
          <w:iCs/>
        </w:rPr>
        <w:t>, citing Australian Bureau of Statistics,</w:t>
      </w:r>
      <w:r w:rsidRPr="00B27A7C">
        <w:rPr>
          <w:iCs/>
        </w:rPr>
        <w:t xml:space="preserve"> </w:t>
      </w:r>
      <w:r w:rsidRPr="006B4717">
        <w:rPr>
          <w:i/>
          <w:iCs/>
        </w:rPr>
        <w:t>Information paper – Living arrangements of secondary school students</w:t>
      </w:r>
      <w:r>
        <w:rPr>
          <w:iCs/>
        </w:rPr>
        <w:t xml:space="preserve"> </w:t>
      </w:r>
      <w:r w:rsidRPr="00B27A7C">
        <w:rPr>
          <w:iCs/>
        </w:rPr>
        <w:t>(2014).</w:t>
      </w:r>
    </w:p>
  </w:endnote>
  <w:endnote w:id="636">
    <w:p w:rsidR="00C3563C" w:rsidRDefault="00C3563C" w:rsidP="00B87D45">
      <w:pPr>
        <w:pStyle w:val="Testonotadichiusura"/>
      </w:pPr>
      <w:r>
        <w:rPr>
          <w:rStyle w:val="Rimandonotadichiusura"/>
        </w:rPr>
        <w:endnoteRef/>
      </w:r>
      <w:r>
        <w:t xml:space="preserve"> Ella Kuskoff, Submission No 1 to the Australian Human Rights Commission, </w:t>
      </w:r>
      <w:r>
        <w:rPr>
          <w:i/>
          <w:iCs/>
        </w:rPr>
        <w:t xml:space="preserve">National Children’s Commissioner’s Investigation into Young Parents and their Children, </w:t>
      </w:r>
      <w:r>
        <w:rPr>
          <w:iCs/>
        </w:rPr>
        <w:t xml:space="preserve">1, citing </w:t>
      </w:r>
      <w:r w:rsidRPr="00AD70B1">
        <w:rPr>
          <w:iCs/>
        </w:rPr>
        <w:t>Australian Institut</w:t>
      </w:r>
      <w:r>
        <w:rPr>
          <w:iCs/>
        </w:rPr>
        <w:t>e of Health and Welfare,</w:t>
      </w:r>
      <w:r w:rsidRPr="00AD70B1">
        <w:rPr>
          <w:iCs/>
        </w:rPr>
        <w:t xml:space="preserve"> </w:t>
      </w:r>
      <w:r w:rsidRPr="006B4717">
        <w:rPr>
          <w:i/>
          <w:iCs/>
        </w:rPr>
        <w:t>Specialist homelessness services 2014- 2015</w:t>
      </w:r>
      <w:r>
        <w:rPr>
          <w:iCs/>
        </w:rPr>
        <w:t xml:space="preserve"> (2015)</w:t>
      </w:r>
      <w:r w:rsidRPr="00AD70B1">
        <w:rPr>
          <w:iCs/>
        </w:rPr>
        <w:t>.</w:t>
      </w:r>
    </w:p>
  </w:endnote>
  <w:endnote w:id="637">
    <w:p w:rsidR="00C3563C" w:rsidRPr="0062172A" w:rsidRDefault="00C3563C" w:rsidP="00B87D45">
      <w:pPr>
        <w:pStyle w:val="Testonotadichiusura"/>
      </w:pPr>
      <w:r w:rsidRPr="0062172A">
        <w:rPr>
          <w:rStyle w:val="Rimandonotadichiusura"/>
        </w:rPr>
        <w:endnoteRef/>
      </w:r>
      <w:r w:rsidRPr="0062172A">
        <w:t xml:space="preserve"> Philip Mendes and Jade Purtell, Submission No 4 to the Australian Human Rights Commission, </w:t>
      </w:r>
      <w:r w:rsidRPr="0062172A">
        <w:rPr>
          <w:i/>
          <w:iCs/>
        </w:rPr>
        <w:t xml:space="preserve">National Children’s Commissioner’s </w:t>
      </w:r>
      <w:r>
        <w:rPr>
          <w:i/>
          <w:iCs/>
        </w:rPr>
        <w:t>I</w:t>
      </w:r>
      <w:r w:rsidRPr="0062172A">
        <w:rPr>
          <w:i/>
          <w:iCs/>
        </w:rPr>
        <w:t>nvestigation into Young Parents and their Children</w:t>
      </w:r>
      <w:r w:rsidRPr="0062172A">
        <w:rPr>
          <w:iCs/>
        </w:rPr>
        <w:t>, 10</w:t>
      </w:r>
      <w:r>
        <w:rPr>
          <w:iCs/>
        </w:rPr>
        <w:t>.</w:t>
      </w:r>
    </w:p>
  </w:endnote>
  <w:endnote w:id="638">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xml:space="preserve"> (2017).</w:t>
      </w:r>
      <w:r w:rsidRPr="009C0CE1">
        <w:rPr>
          <w:b/>
          <w:bCs/>
        </w:rPr>
        <w:t xml:space="preserve"> </w:t>
      </w:r>
    </w:p>
  </w:endnote>
  <w:endnote w:id="639">
    <w:p w:rsidR="00C3563C" w:rsidRDefault="00C3563C" w:rsidP="00B87D45">
      <w:pPr>
        <w:pStyle w:val="Testonotadichiusura"/>
      </w:pPr>
      <w:r>
        <w:rPr>
          <w:rStyle w:val="Rimandonotadichiusura"/>
        </w:rPr>
        <w:endnoteRef/>
      </w:r>
      <w:r>
        <w:t xml:space="preserve"> Victorian Aboriginal Child Care Agency, Submission No 42 to the Australian Human Rights Commission, </w:t>
      </w:r>
      <w:r>
        <w:rPr>
          <w:i/>
          <w:iCs/>
        </w:rPr>
        <w:t>National Children’s Commissioner’s Investigation into Young Parents and their Children</w:t>
      </w:r>
      <w:r>
        <w:rPr>
          <w:iCs/>
        </w:rPr>
        <w:t>, 9.</w:t>
      </w:r>
    </w:p>
  </w:endnote>
  <w:endnote w:id="640">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xml:space="preserve"> (2017).</w:t>
      </w:r>
    </w:p>
  </w:endnote>
  <w:endnote w:id="641">
    <w:p w:rsidR="00C3563C" w:rsidRDefault="00C3563C" w:rsidP="00B87D45">
      <w:pPr>
        <w:pStyle w:val="Testonotadichiusura"/>
      </w:pPr>
      <w:r>
        <w:rPr>
          <w:rStyle w:val="Rimandonotadichiusura"/>
        </w:rPr>
        <w:endnoteRef/>
      </w:r>
      <w:r>
        <w:t xml:space="preserve"> Ella Kuskoff, Submission No 1 to the Australian Human Rights Commission, </w:t>
      </w:r>
      <w:r>
        <w:rPr>
          <w:i/>
          <w:iCs/>
        </w:rPr>
        <w:t>National Children’s Commissioner’s Investigation into Young Parents and their Children</w:t>
      </w:r>
      <w:r w:rsidRPr="00770D62">
        <w:rPr>
          <w:iCs/>
        </w:rPr>
        <w:t>, 6</w:t>
      </w:r>
      <w:r>
        <w:rPr>
          <w:iCs/>
        </w:rPr>
        <w:t>.</w:t>
      </w:r>
    </w:p>
  </w:endnote>
  <w:endnote w:id="642">
    <w:p w:rsidR="00C3563C" w:rsidRDefault="00C3563C" w:rsidP="00B87D45">
      <w:pPr>
        <w:pStyle w:val="Testonotadichiusura"/>
      </w:pPr>
      <w:r>
        <w:rPr>
          <w:rStyle w:val="Rimandonotadichiusura"/>
        </w:rPr>
        <w:endnoteRef/>
      </w:r>
      <w:r>
        <w:t xml:space="preserve"> SYC Limited, Submission No 31 to the Australian Human Rights Commission, </w:t>
      </w:r>
      <w:r>
        <w:rPr>
          <w:i/>
          <w:iCs/>
        </w:rPr>
        <w:t>National Children’s Commissioner’s Investigation into Young Parents and their Children</w:t>
      </w:r>
      <w:r>
        <w:t>, 4.</w:t>
      </w:r>
    </w:p>
  </w:endnote>
  <w:endnote w:id="643">
    <w:p w:rsidR="00C3563C" w:rsidRDefault="00C3563C" w:rsidP="00B87D45">
      <w:pPr>
        <w:pStyle w:val="Testonotadichiusura"/>
      </w:pPr>
      <w:r>
        <w:rPr>
          <w:rStyle w:val="Rimandonotadichiusura"/>
        </w:rPr>
        <w:endnoteRef/>
      </w:r>
      <w:r>
        <w:t xml:space="preserve"> SYC Limited, Submission No 31 to the Australian Human Rights Commission, </w:t>
      </w:r>
      <w:r>
        <w:rPr>
          <w:i/>
          <w:iCs/>
        </w:rPr>
        <w:t>National Children’s Commissioner’s Investigation into Young Parents and their Children,</w:t>
      </w:r>
      <w:r w:rsidRPr="00F17EC0">
        <w:rPr>
          <w:iCs/>
        </w:rPr>
        <w:t xml:space="preserve"> 7</w:t>
      </w:r>
      <w:r>
        <w:rPr>
          <w:iCs/>
        </w:rPr>
        <w:t>.</w:t>
      </w:r>
    </w:p>
  </w:endnote>
  <w:endnote w:id="644">
    <w:p w:rsidR="00C3563C" w:rsidRDefault="00C3563C" w:rsidP="00B87D45">
      <w:pPr>
        <w:pStyle w:val="Testonotadichiusura"/>
      </w:pPr>
      <w:r>
        <w:rPr>
          <w:rStyle w:val="Rimandonotadichiusura"/>
        </w:rPr>
        <w:endnoteRef/>
      </w:r>
      <w:r>
        <w:t xml:space="preserve"> Ella Kuskoff, Submission No 1 to the Australian Human Rights Commission, </w:t>
      </w:r>
      <w:r>
        <w:rPr>
          <w:i/>
          <w:iCs/>
        </w:rPr>
        <w:t>National Children’s Commissioner’s Investigation into Young Parents and their Children</w:t>
      </w:r>
      <w:r w:rsidRPr="00770D62">
        <w:rPr>
          <w:iCs/>
        </w:rPr>
        <w:t>, 6 citing</w:t>
      </w:r>
      <w:r>
        <w:rPr>
          <w:i/>
          <w:iCs/>
        </w:rPr>
        <w:t xml:space="preserve"> </w:t>
      </w:r>
      <w:r>
        <w:rPr>
          <w:iCs/>
        </w:rPr>
        <w:t xml:space="preserve">Joe </w:t>
      </w:r>
      <w:r>
        <w:t>Marrone,</w:t>
      </w:r>
      <w:r w:rsidRPr="00770D62">
        <w:t xml:space="preserve"> </w:t>
      </w:r>
      <w:r>
        <w:t>‘</w:t>
      </w:r>
      <w:r w:rsidRPr="00770D62">
        <w:t>Creating hope through employment for people who are homeless or in transitional housing</w:t>
      </w:r>
      <w:r>
        <w:t xml:space="preserve">’ (2005) </w:t>
      </w:r>
      <w:r w:rsidRPr="00770D62">
        <w:rPr>
          <w:i/>
          <w:iCs/>
        </w:rPr>
        <w:t>8</w:t>
      </w:r>
      <w:r>
        <w:t>(1)</w:t>
      </w:r>
      <w:r w:rsidRPr="00770D62">
        <w:t xml:space="preserve"> </w:t>
      </w:r>
      <w:r w:rsidRPr="00770D62">
        <w:rPr>
          <w:i/>
          <w:iCs/>
        </w:rPr>
        <w:t>American Journal</w:t>
      </w:r>
      <w:r>
        <w:rPr>
          <w:i/>
          <w:iCs/>
        </w:rPr>
        <w:t xml:space="preserve"> of Psychiatric Rehabilitation </w:t>
      </w:r>
      <w:r w:rsidRPr="00770D62">
        <w:t>13-35</w:t>
      </w:r>
      <w:r>
        <w:t>.</w:t>
      </w:r>
    </w:p>
  </w:endnote>
  <w:endnote w:id="645">
    <w:p w:rsidR="00C3563C" w:rsidRPr="00077C5B" w:rsidRDefault="00C3563C" w:rsidP="00B87D45">
      <w:pPr>
        <w:spacing w:before="0" w:after="0"/>
        <w:rPr>
          <w:sz w:val="20"/>
          <w:szCs w:val="20"/>
        </w:rPr>
      </w:pPr>
      <w:r>
        <w:rPr>
          <w:rStyle w:val="Rimandonotadichiusura"/>
        </w:rPr>
        <w:endnoteRef/>
      </w:r>
      <w:r>
        <w:t xml:space="preserve"> </w:t>
      </w:r>
      <w:r w:rsidRPr="00077C5B">
        <w:rPr>
          <w:sz w:val="20"/>
          <w:szCs w:val="20"/>
        </w:rPr>
        <w:t xml:space="preserve">Karinya, Submission No 14 to Australian Human Rights Commission, </w:t>
      </w:r>
      <w:r w:rsidRPr="00077C5B">
        <w:rPr>
          <w:i/>
          <w:sz w:val="20"/>
          <w:szCs w:val="20"/>
        </w:rPr>
        <w:t xml:space="preserve">National Children’s Commissioner’s </w:t>
      </w:r>
      <w:r>
        <w:rPr>
          <w:i/>
          <w:sz w:val="20"/>
          <w:szCs w:val="20"/>
        </w:rPr>
        <w:t>I</w:t>
      </w:r>
      <w:r w:rsidRPr="00077C5B">
        <w:rPr>
          <w:i/>
          <w:sz w:val="20"/>
          <w:szCs w:val="20"/>
        </w:rPr>
        <w:t xml:space="preserve">nvestigation into Young Parents and their Children; </w:t>
      </w:r>
      <w:r w:rsidRPr="00077C5B">
        <w:rPr>
          <w:sz w:val="20"/>
          <w:szCs w:val="20"/>
        </w:rPr>
        <w:t xml:space="preserve">Emerge Tasmania, </w:t>
      </w:r>
      <w:r w:rsidRPr="00077C5B">
        <w:rPr>
          <w:i/>
          <w:sz w:val="20"/>
          <w:szCs w:val="20"/>
        </w:rPr>
        <w:t xml:space="preserve">Windows of Opportunity: Karinya Young Mums ‘n; bubs, Evaluation and Cost-Benefit Analysis </w:t>
      </w:r>
      <w:r w:rsidRPr="00077C5B">
        <w:rPr>
          <w:sz w:val="20"/>
          <w:szCs w:val="20"/>
        </w:rPr>
        <w:t>(Final Report, March 2017).</w:t>
      </w:r>
    </w:p>
  </w:endnote>
  <w:endnote w:id="646">
    <w:p w:rsidR="00C3563C" w:rsidRDefault="00C3563C" w:rsidP="00B87D45">
      <w:pPr>
        <w:pStyle w:val="Testonotadichiusura"/>
      </w:pPr>
      <w:r>
        <w:rPr>
          <w:rStyle w:val="Rimandonotadichiusura"/>
        </w:rPr>
        <w:endnoteRef/>
      </w:r>
      <w:r>
        <w:t xml:space="preserve"> Parenting Research Centre: Murdoch Children’s Research Institute, Submission No 13 to the Australian Human Rights Commission, </w:t>
      </w:r>
      <w:r>
        <w:rPr>
          <w:i/>
          <w:iCs/>
        </w:rPr>
        <w:t>National Children’s Commissioner’s Investigation into Young Parents and their Children</w:t>
      </w:r>
      <w:r>
        <w:t>, 6.</w:t>
      </w:r>
    </w:p>
  </w:endnote>
  <w:endnote w:id="647">
    <w:p w:rsidR="00C3563C" w:rsidRDefault="00C3563C" w:rsidP="00B87D45">
      <w:pPr>
        <w:pStyle w:val="Testonotadichiusura"/>
      </w:pPr>
      <w:r>
        <w:rPr>
          <w:rStyle w:val="Rimandonotadichiusura"/>
        </w:rPr>
        <w:endnoteRef/>
      </w:r>
      <w:r>
        <w:t xml:space="preserve"> </w:t>
      </w:r>
      <w:r w:rsidRPr="005F1489">
        <w:t xml:space="preserve">Multicultural Youth South Australia Inc, Submission No 27 to the Australian Human Rights Commission, </w:t>
      </w:r>
      <w:r w:rsidRPr="005F1489">
        <w:rPr>
          <w:i/>
        </w:rPr>
        <w:t>National Children’s Commissioner’s Investigation into Young Parents and their Children</w:t>
      </w:r>
      <w:r w:rsidRPr="00900EAD">
        <w:t>,</w:t>
      </w:r>
      <w:r w:rsidRPr="005F1489">
        <w:rPr>
          <w:i/>
        </w:rPr>
        <w:t xml:space="preserve"> </w:t>
      </w:r>
      <w:r>
        <w:t>2.</w:t>
      </w:r>
    </w:p>
  </w:endnote>
  <w:endnote w:id="648">
    <w:p w:rsidR="00C3563C" w:rsidRDefault="00C3563C" w:rsidP="00B87D45">
      <w:pPr>
        <w:pStyle w:val="Testonotadichiusura"/>
      </w:pPr>
      <w:r>
        <w:rPr>
          <w:rStyle w:val="Rimandonotadichiusura"/>
        </w:rPr>
        <w:endnoteRef/>
      </w:r>
      <w:r>
        <w:t xml:space="preserve"> National Aboriginal Community Controlled Health Organisation (NACCHO), Submission No 28 to the Australian Human Rights Commission, </w:t>
      </w:r>
      <w:r>
        <w:rPr>
          <w:i/>
          <w:iCs/>
        </w:rPr>
        <w:t>National Children’s Commissioner’s Investigation into Young Parents and their Children</w:t>
      </w:r>
      <w:r>
        <w:t>, 2.</w:t>
      </w:r>
    </w:p>
  </w:endnote>
  <w:endnote w:id="649">
    <w:p w:rsidR="00C3563C" w:rsidRDefault="00C3563C" w:rsidP="00B87D45">
      <w:pPr>
        <w:pStyle w:val="Testonotadichiusura"/>
      </w:pPr>
      <w:r>
        <w:rPr>
          <w:rStyle w:val="Rimandonotadichiusura"/>
        </w:rPr>
        <w:endnoteRef/>
      </w:r>
      <w:r>
        <w:t xml:space="preserve"> Victorian Aboriginal Child Care Agency (VACCA), Submission No 42 to the Australian Human Rights Commission, </w:t>
      </w:r>
      <w:r>
        <w:rPr>
          <w:i/>
          <w:iCs/>
        </w:rPr>
        <w:t>National Children’s Commissioner’s Investigation into Young Parents and their Children</w:t>
      </w:r>
      <w:r>
        <w:rPr>
          <w:iCs/>
        </w:rPr>
        <w:t>, 2.</w:t>
      </w:r>
    </w:p>
  </w:endnote>
  <w:endnote w:id="650">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xml:space="preserve"> (2017).</w:t>
      </w:r>
    </w:p>
  </w:endnote>
  <w:endnote w:id="651">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xml:space="preserve"> (2017)</w:t>
      </w:r>
      <w:r>
        <w:t xml:space="preserve">. </w:t>
      </w:r>
    </w:p>
  </w:endnote>
  <w:endnote w:id="652">
    <w:p w:rsidR="00C3563C" w:rsidRDefault="00C3563C" w:rsidP="00B87D45">
      <w:pPr>
        <w:pStyle w:val="Testonotadichiusura"/>
      </w:pPr>
      <w:r w:rsidRPr="00A3609E">
        <w:rPr>
          <w:rStyle w:val="Rimandonotadichiusura"/>
        </w:rPr>
        <w:endnoteRef/>
      </w:r>
      <w:r w:rsidRPr="00A3609E">
        <w:t xml:space="preserve"> </w:t>
      </w:r>
      <w:r>
        <w:t>yourtown</w:t>
      </w:r>
      <w:r w:rsidRPr="00A3609E">
        <w:t xml:space="preserve">, Submission No 16 to </w:t>
      </w:r>
      <w:r>
        <w:t xml:space="preserve">the </w:t>
      </w:r>
      <w:r w:rsidRPr="00A3609E">
        <w:t xml:space="preserve">Australian Human Rights Commission, </w:t>
      </w:r>
      <w:r w:rsidRPr="00A3609E">
        <w:rPr>
          <w:i/>
          <w:iCs/>
        </w:rPr>
        <w:t xml:space="preserve">National Children’s Commissioner’s </w:t>
      </w:r>
      <w:r>
        <w:rPr>
          <w:i/>
          <w:iCs/>
        </w:rPr>
        <w:t>I</w:t>
      </w:r>
      <w:r w:rsidRPr="00A3609E">
        <w:rPr>
          <w:i/>
          <w:iCs/>
        </w:rPr>
        <w:t>nvestigation into Young Parents and their Children</w:t>
      </w:r>
      <w:r w:rsidRPr="00900EAD">
        <w:rPr>
          <w:iCs/>
        </w:rPr>
        <w:t>,</w:t>
      </w:r>
      <w:r w:rsidRPr="00A3609E">
        <w:rPr>
          <w:i/>
          <w:iCs/>
        </w:rPr>
        <w:t xml:space="preserve"> </w:t>
      </w:r>
      <w:r w:rsidRPr="00900EAD">
        <w:rPr>
          <w:iCs/>
        </w:rPr>
        <w:t>24</w:t>
      </w:r>
      <w:r>
        <w:rPr>
          <w:iCs/>
        </w:rPr>
        <w:t>.</w:t>
      </w:r>
    </w:p>
  </w:endnote>
  <w:endnote w:id="653">
    <w:p w:rsidR="00C3563C" w:rsidRDefault="00C3563C" w:rsidP="00B87D45">
      <w:pPr>
        <w:pStyle w:val="Testonotadichiusura"/>
      </w:pPr>
      <w:r>
        <w:rPr>
          <w:rStyle w:val="Rimandonotadichiusura"/>
        </w:rPr>
        <w:endnoteRef/>
      </w:r>
      <w:r>
        <w:t xml:space="preserve"> </w:t>
      </w:r>
      <w:r w:rsidRPr="009C0CE1">
        <w:t>Roundtable</w:t>
      </w:r>
      <w:r>
        <w:t xml:space="preserve"> Discussion</w:t>
      </w:r>
      <w:r w:rsidRPr="009C0CE1">
        <w:t xml:space="preserve">, </w:t>
      </w:r>
      <w:r w:rsidRPr="00E34166">
        <w:rPr>
          <w:i/>
        </w:rPr>
        <w:t>National Children’s Commissioner’s Investigation into Young Parents and their Children</w:t>
      </w:r>
      <w:r w:rsidRPr="009C0CE1">
        <w:t xml:space="preserve"> (2017).</w:t>
      </w:r>
    </w:p>
  </w:endnote>
  <w:endnote w:id="654">
    <w:p w:rsidR="00C3563C" w:rsidRDefault="00C3563C" w:rsidP="00B87D45">
      <w:pPr>
        <w:pStyle w:val="Testonotadichiusura"/>
      </w:pPr>
      <w:r>
        <w:rPr>
          <w:rStyle w:val="Rimandonotadichiusura"/>
        </w:rPr>
        <w:endnoteRef/>
      </w:r>
      <w:r>
        <w:t xml:space="preserve"> Professor Kerry Arabena, Melbourne School of Population and Global Health, University of Melbourne (October 2017) for </w:t>
      </w:r>
      <w:r w:rsidRPr="00781769">
        <w:rPr>
          <w:i/>
        </w:rPr>
        <w:t>National Children’s Commissioner’s Investigation into Young Parents and their Children.</w:t>
      </w:r>
    </w:p>
  </w:endnote>
  <w:endnote w:id="655">
    <w:p w:rsidR="00C3563C" w:rsidRDefault="00C3563C" w:rsidP="00B87D45">
      <w:pPr>
        <w:pStyle w:val="Testonotadichiusura"/>
      </w:pPr>
      <w:r>
        <w:rPr>
          <w:rStyle w:val="Rimandonotadichiusura"/>
        </w:rPr>
        <w:endnoteRef/>
      </w:r>
      <w:r>
        <w:t xml:space="preserve"> Professor Kerry Arabena, Melbourne School of Population and Global Health, University of Melbourne (October 2017) for </w:t>
      </w:r>
      <w:r w:rsidRPr="00781769">
        <w:rPr>
          <w:i/>
        </w:rPr>
        <w:t>National Children’s Commissioner’s Investigation into Young Parents and their Children.</w:t>
      </w:r>
    </w:p>
  </w:endnote>
  <w:endnote w:id="656">
    <w:p w:rsidR="00C3563C" w:rsidRDefault="00C3563C" w:rsidP="00B87D45">
      <w:pPr>
        <w:spacing w:before="0" w:after="0"/>
      </w:pPr>
      <w:r>
        <w:rPr>
          <w:rStyle w:val="Rimandonotadichiusura"/>
        </w:rPr>
        <w:endnoteRef/>
      </w:r>
      <w:r>
        <w:t xml:space="preserve"> </w:t>
      </w:r>
      <w:r w:rsidRPr="00200AB8">
        <w:rPr>
          <w:sz w:val="20"/>
        </w:rPr>
        <w:t>NSW Health,</w:t>
      </w:r>
      <w:r w:rsidRPr="00200AB8">
        <w:rPr>
          <w:b/>
          <w:sz w:val="20"/>
        </w:rPr>
        <w:t xml:space="preserve"> </w:t>
      </w:r>
      <w:r w:rsidRPr="00200AB8">
        <w:rPr>
          <w:i/>
          <w:sz w:val="20"/>
        </w:rPr>
        <w:t xml:space="preserve">Ngala Nanga Mai pARent Group Program Deliverables </w:t>
      </w:r>
      <w:r w:rsidRPr="00200AB8">
        <w:rPr>
          <w:sz w:val="20"/>
        </w:rPr>
        <w:t xml:space="preserve">(Report, August 2016); Michelle Jersky, Lola Callaghan and Karen Zwi et al, ‘Giving Shape to Experience in an Urban Aboriginal Community: The Ngala Nanga Mai (We Dream) pARent Group Program’ (2013) 3(3) </w:t>
      </w:r>
      <w:r w:rsidRPr="00200AB8">
        <w:rPr>
          <w:i/>
          <w:sz w:val="20"/>
        </w:rPr>
        <w:t xml:space="preserve">UNESCO Observatory Multi-Disciplinary Journal in the Arts </w:t>
      </w:r>
      <w:r w:rsidRPr="00200AB8">
        <w:rPr>
          <w:sz w:val="20"/>
        </w:rPr>
        <w:t>2; Michelle Jersky, Angela Titmuss and Melissa Haswell</w:t>
      </w:r>
      <w:r>
        <w:rPr>
          <w:sz w:val="20"/>
        </w:rPr>
        <w:t>, Sally Ann Fitzpatrick and Natasha Freeman,</w:t>
      </w:r>
      <w:r w:rsidRPr="00200AB8">
        <w:rPr>
          <w:sz w:val="20"/>
        </w:rPr>
        <w:t xml:space="preserve"> ‘Improving health service access and wellbeing of young Aboriginal parents in an urban setting: mixed methods evaluation of an arts-based program’ (2016) 40(1) </w:t>
      </w:r>
      <w:r w:rsidRPr="00200AB8">
        <w:rPr>
          <w:i/>
          <w:sz w:val="20"/>
        </w:rPr>
        <w:t>Australian and New Zealand journal of Public Health</w:t>
      </w:r>
      <w:r w:rsidRPr="00200AB8">
        <w:rPr>
          <w:sz w:val="20"/>
        </w:rPr>
        <w:t xml:space="preserve">, S115. </w:t>
      </w:r>
    </w:p>
  </w:endnote>
  <w:endnote w:id="657">
    <w:p w:rsidR="00C3563C" w:rsidRDefault="00C3563C" w:rsidP="00B87D45">
      <w:pPr>
        <w:pStyle w:val="Testonotadichiusura"/>
      </w:pPr>
      <w:r>
        <w:rPr>
          <w:rStyle w:val="Rimandonotadichiusura"/>
        </w:rPr>
        <w:endnoteRef/>
      </w:r>
      <w:r>
        <w:t xml:space="preserve"> Richard Fletcher and Jennifer StGeorge, Submission No 30 to the Australian Human Rights Commission, </w:t>
      </w:r>
      <w:r w:rsidRPr="0055466D">
        <w:rPr>
          <w:i/>
        </w:rPr>
        <w:t>National Children’s Commissioner’s Investigation</w:t>
      </w:r>
      <w:r w:rsidRPr="00495230">
        <w:rPr>
          <w:i/>
        </w:rPr>
        <w:t xml:space="preserve"> into Young Parents and their Children</w:t>
      </w:r>
      <w:r w:rsidRPr="00F06BB1">
        <w:t xml:space="preserve">, </w:t>
      </w:r>
      <w:r>
        <w:t>1</w:t>
      </w:r>
      <w:r w:rsidRPr="0055466D">
        <w:t>.</w:t>
      </w:r>
    </w:p>
  </w:endnote>
  <w:endnote w:id="658">
    <w:p w:rsidR="00C3563C" w:rsidRPr="009D0C48" w:rsidRDefault="00C3563C" w:rsidP="00B87D45">
      <w:pPr>
        <w:pStyle w:val="Testonotadichiusura"/>
        <w:rPr>
          <w:rFonts w:cs="Arial"/>
          <w:color w:val="FF0000"/>
        </w:rPr>
      </w:pPr>
      <w:r w:rsidRPr="004223F8">
        <w:rPr>
          <w:rStyle w:val="Rimandonotadichiusura"/>
          <w:rFonts w:cs="Arial"/>
        </w:rPr>
        <w:endnoteRef/>
      </w:r>
      <w:r w:rsidRPr="004223F8">
        <w:rPr>
          <w:rFonts w:cs="Arial"/>
        </w:rPr>
        <w:t xml:space="preserve"> </w:t>
      </w:r>
      <w:r w:rsidRPr="004223F8">
        <w:t>Roundtable</w:t>
      </w:r>
      <w:r>
        <w:t xml:space="preserve"> Discussion</w:t>
      </w:r>
      <w:r w:rsidRPr="004223F8">
        <w:t xml:space="preserve">, </w:t>
      </w:r>
      <w:r w:rsidRPr="00E34166">
        <w:rPr>
          <w:i/>
        </w:rPr>
        <w:t>National Children’s Commissioner’s Investigation into Young Parents and their Children</w:t>
      </w:r>
      <w:r w:rsidRPr="004223F8">
        <w:t xml:space="preserve"> (2017); </w:t>
      </w:r>
      <w:r>
        <w:t>Victorian Aboriginal Child Care Agency (</w:t>
      </w:r>
      <w:r w:rsidRPr="004223F8">
        <w:t>VACCA</w:t>
      </w:r>
      <w:r>
        <w:t xml:space="preserve">), Submission No 42 to the Australian Human Rights Commission, </w:t>
      </w:r>
      <w:r>
        <w:rPr>
          <w:i/>
          <w:iCs/>
        </w:rPr>
        <w:t>National Children’s Commissioner’s Investigation into Young Parents and their Children</w:t>
      </w:r>
      <w:r>
        <w:rPr>
          <w:iCs/>
        </w:rPr>
        <w:t xml:space="preserve">, 7; </w:t>
      </w:r>
      <w:r w:rsidRPr="00000533">
        <w:t>Rachel Skinner, Jennifer Marino, Martha Hickey, Deborah Bateson, and Lucy Lewis, Submission No 32 to</w:t>
      </w:r>
      <w:r w:rsidRPr="00C1125C">
        <w:t xml:space="preserve"> </w:t>
      </w:r>
      <w:r>
        <w:t>the</w:t>
      </w:r>
      <w:r w:rsidRPr="00000533">
        <w:t xml:space="preserve"> Australian Human Rights Commission, </w:t>
      </w:r>
      <w:r w:rsidRPr="00000533">
        <w:rPr>
          <w:i/>
          <w:iCs/>
        </w:rPr>
        <w:t xml:space="preserve">National Children’s Commissioner’s </w:t>
      </w:r>
      <w:r>
        <w:rPr>
          <w:i/>
          <w:iCs/>
        </w:rPr>
        <w:t>I</w:t>
      </w:r>
      <w:r w:rsidRPr="00000533">
        <w:rPr>
          <w:i/>
          <w:iCs/>
        </w:rPr>
        <w:t>nvestigation into Young Parents and their Children,</w:t>
      </w:r>
      <w:r>
        <w:rPr>
          <w:iCs/>
        </w:rPr>
        <w:t xml:space="preserve"> 4; </w:t>
      </w:r>
      <w:r>
        <w:t xml:space="preserve">Ella Kuskoff, Submission No 1 to the Australian Human Rights Commission, </w:t>
      </w:r>
      <w:r>
        <w:rPr>
          <w:i/>
          <w:iCs/>
        </w:rPr>
        <w:t>National Children’s Commissioner’s Investigation into Young Parents and their Children</w:t>
      </w:r>
      <w:r w:rsidRPr="00F06BB1">
        <w:rPr>
          <w:iCs/>
        </w:rPr>
        <w:t>,</w:t>
      </w:r>
      <w:r>
        <w:rPr>
          <w:i/>
          <w:iCs/>
        </w:rPr>
        <w:t xml:space="preserve"> </w:t>
      </w:r>
      <w:r>
        <w:rPr>
          <w:iCs/>
        </w:rPr>
        <w:t>5.</w:t>
      </w:r>
    </w:p>
  </w:endnote>
  <w:endnote w:id="659">
    <w:p w:rsidR="00C3563C" w:rsidRPr="009D0C48" w:rsidRDefault="00C3563C" w:rsidP="00B87D45">
      <w:pPr>
        <w:pStyle w:val="Testonotadichiusura"/>
        <w:rPr>
          <w:rFonts w:cs="Arial"/>
          <w:color w:val="FF0000"/>
        </w:rPr>
      </w:pPr>
      <w:r w:rsidRPr="00495230">
        <w:rPr>
          <w:rStyle w:val="Rimandonotadichiusura"/>
          <w:rFonts w:cs="Arial"/>
        </w:rPr>
        <w:endnoteRef/>
      </w:r>
      <w:r w:rsidRPr="00495230">
        <w:rPr>
          <w:rFonts w:cs="Arial"/>
        </w:rPr>
        <w:t xml:space="preserve"> </w:t>
      </w:r>
      <w:r w:rsidRPr="00495230">
        <w:t>Ass</w:t>
      </w:r>
      <w:r>
        <w:t>ociation of Women Educators Inc</w:t>
      </w:r>
      <w:r w:rsidRPr="00495230">
        <w:t xml:space="preserve">, Submission No 37 to the Australian Human Rights Commission, </w:t>
      </w:r>
      <w:r w:rsidRPr="00495230">
        <w:rPr>
          <w:i/>
        </w:rPr>
        <w:t>National Children’s Commissioner’s Investigation into Young Parents and their Children</w:t>
      </w:r>
      <w:r w:rsidRPr="00F06BB1">
        <w:t xml:space="preserve">, </w:t>
      </w:r>
      <w:r w:rsidRPr="00495230">
        <w:t>7.</w:t>
      </w:r>
    </w:p>
  </w:endnote>
  <w:endnote w:id="660">
    <w:p w:rsidR="00C3563C" w:rsidRDefault="00C3563C" w:rsidP="00B87D45">
      <w:pPr>
        <w:pStyle w:val="Testonotadichiusura"/>
      </w:pPr>
      <w:r>
        <w:rPr>
          <w:rStyle w:val="Rimandonotadichiusura"/>
        </w:rPr>
        <w:endnoteRef/>
      </w:r>
      <w:r>
        <w:t xml:space="preserve"> Richard Fletcher and Jennifer StGeorge, Submission No 30 to the Australian Human Rights Commission, </w:t>
      </w:r>
      <w:r w:rsidRPr="0055466D">
        <w:rPr>
          <w:i/>
        </w:rPr>
        <w:t>National Children’s Commissioner’s Investigation</w:t>
      </w:r>
      <w:r w:rsidRPr="00495230">
        <w:rPr>
          <w:i/>
        </w:rPr>
        <w:t xml:space="preserve"> into Young Parents and their Children</w:t>
      </w:r>
      <w:r w:rsidRPr="00F06BB1">
        <w:t xml:space="preserve">, </w:t>
      </w:r>
      <w:r w:rsidRPr="0055466D">
        <w:t>2.</w:t>
      </w:r>
    </w:p>
  </w:endnote>
  <w:endnote w:id="661">
    <w:p w:rsidR="00C3563C" w:rsidRPr="00F5041D" w:rsidRDefault="00C3563C" w:rsidP="00B87D45">
      <w:pPr>
        <w:pStyle w:val="Testonotadichiusura"/>
      </w:pPr>
      <w:r>
        <w:rPr>
          <w:rStyle w:val="Rimandonotadichiusura"/>
        </w:rPr>
        <w:endnoteRef/>
      </w:r>
      <w:r>
        <w:t xml:space="preserve"> </w:t>
      </w:r>
      <w:r w:rsidRPr="00F5041D">
        <w:t>L</w:t>
      </w:r>
      <w:r>
        <w:t>ouisa</w:t>
      </w:r>
      <w:r w:rsidRPr="00F5041D">
        <w:t xml:space="preserve"> Tan and J</w:t>
      </w:r>
      <w:r>
        <w:t>ulie</w:t>
      </w:r>
      <w:r w:rsidRPr="00F5041D">
        <w:t xml:space="preserve"> Quinlivan, ‘Domestic violence, single parenthood, and fathers in the setting of teenage pregnancy’ (2006) 38 </w:t>
      </w:r>
      <w:r w:rsidRPr="00F5041D">
        <w:rPr>
          <w:i/>
          <w:iCs/>
        </w:rPr>
        <w:t xml:space="preserve">Journal of Adolescent Health, </w:t>
      </w:r>
      <w:r w:rsidRPr="00F5041D">
        <w:t>201</w:t>
      </w:r>
      <w:r>
        <w:t>,</w:t>
      </w:r>
      <w:r w:rsidRPr="00F5041D">
        <w:t xml:space="preserve"> cited in Richard Fletcher and Jennifer StGeorge, Submission No 30 to the Australian Human Rights Commission, </w:t>
      </w:r>
      <w:r w:rsidRPr="00F5041D">
        <w:rPr>
          <w:i/>
        </w:rPr>
        <w:t>National Children’s Commissioner’s Investigation into Young Parents and their Children</w:t>
      </w:r>
      <w:r w:rsidRPr="00F5041D">
        <w:t>,</w:t>
      </w:r>
      <w:r w:rsidRPr="00F5041D">
        <w:rPr>
          <w:i/>
        </w:rPr>
        <w:t xml:space="preserve"> </w:t>
      </w:r>
      <w:r w:rsidRPr="00F5041D">
        <w:t>2.</w:t>
      </w:r>
    </w:p>
  </w:endnote>
  <w:endnote w:id="662">
    <w:p w:rsidR="00C3563C" w:rsidRPr="00EF1619" w:rsidRDefault="00C3563C" w:rsidP="008B14BC">
      <w:pPr>
        <w:pStyle w:val="Testonotadichiusura"/>
      </w:pPr>
      <w:r w:rsidRPr="00F5041D">
        <w:rPr>
          <w:rStyle w:val="Rimandonotadichiusura"/>
        </w:rPr>
        <w:endnoteRef/>
      </w:r>
      <w:r w:rsidRPr="00F5041D">
        <w:t xml:space="preserve"> Richard Fletcher and Jennifer StGeorge</w:t>
      </w:r>
      <w:r>
        <w:t>,</w:t>
      </w:r>
      <w:r w:rsidRPr="00FF2D66">
        <w:t xml:space="preserve"> Submission No 30 to the Australian Human Rights Commission, </w:t>
      </w:r>
      <w:r w:rsidRPr="00FF2D66">
        <w:rPr>
          <w:i/>
        </w:rPr>
        <w:t xml:space="preserve">National Children’s Commissioner’s Investigation into Young Parents and their Children, </w:t>
      </w:r>
      <w:r w:rsidRPr="00FF2D66">
        <w:t>2</w:t>
      </w:r>
      <w:r>
        <w:t>.</w:t>
      </w:r>
      <w:r w:rsidRPr="00FF2D66">
        <w:t xml:space="preserve"> </w:t>
      </w:r>
    </w:p>
  </w:endnote>
  <w:endnote w:id="663">
    <w:p w:rsidR="00C3563C" w:rsidRPr="00B145BA" w:rsidRDefault="00C3563C" w:rsidP="00B87D45">
      <w:pPr>
        <w:pStyle w:val="Testonotadichiusura"/>
      </w:pPr>
      <w:r w:rsidRPr="00B145BA">
        <w:rPr>
          <w:rStyle w:val="Rimandonotadichiusura"/>
        </w:rPr>
        <w:endnoteRef/>
      </w:r>
      <w:r w:rsidRPr="00B145BA">
        <w:t xml:space="preserve"> Roundtable</w:t>
      </w:r>
      <w:r>
        <w:t xml:space="preserve"> Discussion</w:t>
      </w:r>
      <w:r w:rsidRPr="00B145BA">
        <w:t xml:space="preserve">, </w:t>
      </w:r>
      <w:r w:rsidRPr="00E34166">
        <w:rPr>
          <w:i/>
        </w:rPr>
        <w:t>National Children’s Commissioner’s Investigation into Young Parents and their Children</w:t>
      </w:r>
      <w:r w:rsidRPr="00B145BA">
        <w:t xml:space="preserve"> (2017).</w:t>
      </w:r>
    </w:p>
  </w:endnote>
  <w:endnote w:id="664">
    <w:p w:rsidR="00C3563C" w:rsidRPr="009D0C48" w:rsidRDefault="00C3563C" w:rsidP="00B87D45">
      <w:pPr>
        <w:pStyle w:val="Testonotadichiusura"/>
        <w:rPr>
          <w:rFonts w:cs="Arial"/>
          <w:color w:val="FF0000"/>
          <w:highlight w:val="yellow"/>
        </w:rPr>
      </w:pPr>
      <w:r w:rsidRPr="0051038F">
        <w:rPr>
          <w:rStyle w:val="Rimandonotadichiusura"/>
          <w:rFonts w:cs="Arial"/>
        </w:rPr>
        <w:endnoteRef/>
      </w:r>
      <w:r w:rsidRPr="0051038F">
        <w:rPr>
          <w:rFonts w:cs="Arial"/>
        </w:rPr>
        <w:t xml:space="preserve"> </w:t>
      </w:r>
      <w:r w:rsidRPr="0051038F">
        <w:t xml:space="preserve">Victorian Aboriginal Child Care Agency, Submission No 42 to the Australian Human Rights Commission, </w:t>
      </w:r>
      <w:r w:rsidRPr="0051038F">
        <w:rPr>
          <w:i/>
        </w:rPr>
        <w:t>National Children’s Commissioner’s Investigation into Young Parents and their Children</w:t>
      </w:r>
      <w:r w:rsidRPr="00F06BB1">
        <w:t>,</w:t>
      </w:r>
      <w:r w:rsidRPr="0051038F">
        <w:rPr>
          <w:i/>
        </w:rPr>
        <w:t xml:space="preserve"> </w:t>
      </w:r>
      <w:r w:rsidRPr="0051038F">
        <w:t>7.</w:t>
      </w:r>
    </w:p>
  </w:endnote>
  <w:endnote w:id="665">
    <w:p w:rsidR="00C3563C" w:rsidRPr="00EE336C" w:rsidRDefault="00C3563C" w:rsidP="00B87D45">
      <w:pPr>
        <w:pStyle w:val="Testonotadichiusura"/>
        <w:rPr>
          <w:rFonts w:cs="Arial"/>
          <w:color w:val="FF0000"/>
          <w:highlight w:val="yellow"/>
        </w:rPr>
      </w:pPr>
      <w:r>
        <w:rPr>
          <w:rStyle w:val="Rimandonotadichiusura"/>
        </w:rPr>
        <w:endnoteRef/>
      </w:r>
      <w:r>
        <w:t xml:space="preserve"> </w:t>
      </w:r>
      <w:r w:rsidRPr="0051038F">
        <w:t xml:space="preserve">Victorian Aboriginal Child Care Agency, Submission No 42 to the Australian Human Rights Commission, </w:t>
      </w:r>
      <w:r w:rsidRPr="0051038F">
        <w:rPr>
          <w:i/>
        </w:rPr>
        <w:t>National Children’s Commissioner’s Investigation into Young Parents and their Children</w:t>
      </w:r>
      <w:r w:rsidRPr="00F06BB1">
        <w:t>,</w:t>
      </w:r>
      <w:r w:rsidRPr="0051038F">
        <w:rPr>
          <w:i/>
        </w:rPr>
        <w:t xml:space="preserve"> </w:t>
      </w:r>
      <w:r w:rsidRPr="0051038F">
        <w:t>7.</w:t>
      </w:r>
    </w:p>
  </w:endnote>
  <w:endnote w:id="666">
    <w:p w:rsidR="00C3563C" w:rsidRDefault="00C3563C" w:rsidP="008B14BC">
      <w:pPr>
        <w:pStyle w:val="Testonotadichiusura"/>
      </w:pPr>
      <w:r>
        <w:rPr>
          <w:rStyle w:val="Rimandonotadichiusura"/>
        </w:rPr>
        <w:endnoteRef/>
      </w:r>
      <w:r>
        <w:t xml:space="preserve"> Richard Fletcher and Jennifer StGeorge, Submission No 30 to the Australian Human Rights Commission, </w:t>
      </w:r>
      <w:r w:rsidRPr="0055466D">
        <w:rPr>
          <w:i/>
        </w:rPr>
        <w:t>National Children’s Commissioner’s Investigation</w:t>
      </w:r>
      <w:r w:rsidRPr="00495230">
        <w:rPr>
          <w:i/>
        </w:rPr>
        <w:t xml:space="preserve"> into Young Parents and their Children</w:t>
      </w:r>
      <w:r w:rsidRPr="00F06BB1">
        <w:t xml:space="preserve">, </w:t>
      </w:r>
      <w:r>
        <w:t>3</w:t>
      </w:r>
      <w:r w:rsidRPr="0055466D">
        <w:t>.</w:t>
      </w:r>
    </w:p>
  </w:endnote>
  <w:endnote w:id="667">
    <w:p w:rsidR="00C3563C" w:rsidRPr="00EC4A34" w:rsidRDefault="00C3563C" w:rsidP="008B14BC">
      <w:pPr>
        <w:pStyle w:val="Testonotadichiusura"/>
      </w:pPr>
      <w:r>
        <w:rPr>
          <w:rStyle w:val="Rimandonotadichiusura"/>
        </w:rPr>
        <w:endnoteRef/>
      </w:r>
      <w:r>
        <w:t xml:space="preserve"> Richard Fletcher and Jennifer StGeorge, Submission No 30 to the Australian Human Rights </w:t>
      </w:r>
      <w:r w:rsidRPr="00EC4A34">
        <w:t xml:space="preserve">Commission, </w:t>
      </w:r>
      <w:r w:rsidRPr="00EC4A34">
        <w:rPr>
          <w:i/>
        </w:rPr>
        <w:t>National Children’s Commissioner’s Investigation into Young Parents and their Children</w:t>
      </w:r>
      <w:r w:rsidRPr="00EC4A34">
        <w:t>, 3.</w:t>
      </w:r>
    </w:p>
  </w:endnote>
  <w:endnote w:id="668">
    <w:p w:rsidR="00C3563C" w:rsidRPr="00EC4A34" w:rsidRDefault="00C3563C" w:rsidP="008B14BC">
      <w:pPr>
        <w:pStyle w:val="Testonotadichiusura"/>
        <w:rPr>
          <w:rFonts w:cs="Arial"/>
        </w:rPr>
      </w:pPr>
      <w:r w:rsidRPr="00EC4A34">
        <w:rPr>
          <w:rStyle w:val="Rimandonotadichiusura"/>
        </w:rPr>
        <w:endnoteRef/>
      </w:r>
      <w:r w:rsidRPr="00EC4A34">
        <w:t xml:space="preserve"> </w:t>
      </w:r>
      <w:r w:rsidRPr="00EC4A34">
        <w:rPr>
          <w:rFonts w:cs="Arial"/>
        </w:rPr>
        <w:t>Roundtable</w:t>
      </w:r>
      <w:r>
        <w:rPr>
          <w:rFonts w:cs="Arial"/>
        </w:rPr>
        <w:t xml:space="preserve"> Discussion</w:t>
      </w:r>
      <w:r w:rsidRPr="00EC4A34">
        <w:rPr>
          <w:rFonts w:cs="Arial"/>
        </w:rPr>
        <w:t xml:space="preserve">, </w:t>
      </w:r>
      <w:r w:rsidRPr="00E34166">
        <w:rPr>
          <w:rFonts w:cs="Arial"/>
          <w:i/>
        </w:rPr>
        <w:t>National Children’s Commissioner’s Investigation into Young Parents and their Children</w:t>
      </w:r>
      <w:r w:rsidRPr="00EC4A34">
        <w:rPr>
          <w:rFonts w:cs="Arial"/>
        </w:rPr>
        <w:t xml:space="preserve">, (2017); Julia Hirst, Eleanor Formby and Jenny Owen </w:t>
      </w:r>
      <w:r w:rsidRPr="00EC4A34">
        <w:rPr>
          <w:rFonts w:cs="Arial"/>
          <w:i/>
          <w:iCs/>
        </w:rPr>
        <w:t>Pathways into parenthood: reflections from three generations of teenage mothers and fathers</w:t>
      </w:r>
      <w:r w:rsidRPr="00EC4A34">
        <w:rPr>
          <w:rFonts w:cs="Arial"/>
        </w:rPr>
        <w:t>, Project Report, (2006, Sheffield, Sheffield Hallam University)</w:t>
      </w:r>
      <w:r>
        <w:rPr>
          <w:rFonts w:cs="Arial"/>
        </w:rPr>
        <w:t>, cited in Richard Fletcher and Jennifer StGeorge,</w:t>
      </w:r>
      <w:r w:rsidRPr="00EC4A34">
        <w:rPr>
          <w:rFonts w:cs="Arial"/>
        </w:rPr>
        <w:t xml:space="preserve"> Submission No 30 to the Australian Human Rights Commission, </w:t>
      </w:r>
      <w:r w:rsidRPr="00EC4A34">
        <w:rPr>
          <w:rFonts w:cs="Arial"/>
          <w:i/>
        </w:rPr>
        <w:t>National Children’s Commissioner’s Investigation into Young Parents and their Children</w:t>
      </w:r>
      <w:r w:rsidRPr="00EC4A34">
        <w:rPr>
          <w:rFonts w:cs="Arial"/>
        </w:rPr>
        <w:t xml:space="preserve">, 3; Julie Quinlivan and John Condon, ‘Anxiety and depression in fathers in teenage pregnancy’ (2005) 39(10) </w:t>
      </w:r>
      <w:r w:rsidRPr="00EC4A34">
        <w:rPr>
          <w:rFonts w:cs="Arial"/>
          <w:i/>
          <w:iCs/>
        </w:rPr>
        <w:t>Australian &amp; New Zealand Journal of Psychiatry</w:t>
      </w:r>
      <w:r w:rsidRPr="00EC4A34">
        <w:rPr>
          <w:rFonts w:cs="Arial"/>
        </w:rPr>
        <w:t xml:space="preserve"> 915 </w:t>
      </w:r>
      <w:r>
        <w:rPr>
          <w:rFonts w:cs="Arial"/>
        </w:rPr>
        <w:t>cited in Richard Fletcher and Jennifer StGeorge,</w:t>
      </w:r>
      <w:r w:rsidRPr="00EC4A34">
        <w:rPr>
          <w:rFonts w:cs="Arial"/>
        </w:rPr>
        <w:t xml:space="preserve"> Submission No 30 to the Australian Human Rights Commission, </w:t>
      </w:r>
      <w:r w:rsidRPr="00EC4A34">
        <w:rPr>
          <w:rFonts w:cs="Arial"/>
          <w:i/>
        </w:rPr>
        <w:t xml:space="preserve">National Children’s Commissioner’s Investigation into Young Parents and their Children, </w:t>
      </w:r>
      <w:r w:rsidRPr="00EC4A34">
        <w:rPr>
          <w:rFonts w:cs="Arial"/>
        </w:rPr>
        <w:t>3.</w:t>
      </w:r>
    </w:p>
  </w:endnote>
  <w:endnote w:id="669">
    <w:p w:rsidR="00C3563C" w:rsidRPr="00EC4A34" w:rsidRDefault="00C3563C" w:rsidP="008B14BC">
      <w:pPr>
        <w:pStyle w:val="Testonotadichiusura"/>
      </w:pPr>
      <w:r w:rsidRPr="00EC4A34">
        <w:rPr>
          <w:rStyle w:val="Rimandonotadichiusura"/>
        </w:rPr>
        <w:endnoteRef/>
      </w:r>
      <w:r w:rsidRPr="00EC4A34">
        <w:t xml:space="preserve"> Richard Fletcher and Jennifer StGeorge, Submission No 30 to the Australian Human Rights Commission, </w:t>
      </w:r>
      <w:r w:rsidRPr="00EC4A34">
        <w:rPr>
          <w:i/>
        </w:rPr>
        <w:t xml:space="preserve">National Children’s Commissioner’s Investigation into Young Parents and their Children, </w:t>
      </w:r>
      <w:r w:rsidRPr="00EC4A34">
        <w:t>3.</w:t>
      </w:r>
    </w:p>
  </w:endnote>
  <w:endnote w:id="670">
    <w:p w:rsidR="00C3563C" w:rsidRPr="00EC4A34" w:rsidRDefault="00C3563C" w:rsidP="00B87D45">
      <w:pPr>
        <w:pStyle w:val="Testonotadichiusura"/>
      </w:pPr>
      <w:r w:rsidRPr="00EC4A34">
        <w:rPr>
          <w:rStyle w:val="Rimandonotadichiusura"/>
        </w:rPr>
        <w:endnoteRef/>
      </w:r>
      <w:r w:rsidRPr="00EC4A34">
        <w:t xml:space="preserve"> Gail Winkworth and Morag McArthur, </w:t>
      </w:r>
      <w:r w:rsidRPr="00EC4A34">
        <w:rPr>
          <w:i/>
        </w:rPr>
        <w:t xml:space="preserve">British Journal of Social Work </w:t>
      </w:r>
      <w:r w:rsidRPr="00EC4A34">
        <w:t xml:space="preserve">(forthcoming) cited in Gail Winkworth and Morag McArthur, Submission No 12 to the Australian Human Rights Commission, </w:t>
      </w:r>
      <w:r w:rsidRPr="00EC4A34">
        <w:rPr>
          <w:i/>
          <w:iCs/>
        </w:rPr>
        <w:t xml:space="preserve">National Children’s Commissioner’s </w:t>
      </w:r>
      <w:r>
        <w:rPr>
          <w:i/>
          <w:iCs/>
        </w:rPr>
        <w:t>I</w:t>
      </w:r>
      <w:r w:rsidRPr="00EC4A34">
        <w:rPr>
          <w:i/>
          <w:iCs/>
        </w:rPr>
        <w:t xml:space="preserve">nvestigation into Young Parents and their Children, </w:t>
      </w:r>
      <w:r w:rsidRPr="00EC4A34">
        <w:rPr>
          <w:iCs/>
        </w:rPr>
        <w:t>5.</w:t>
      </w:r>
      <w:r w:rsidRPr="00EC4A34">
        <w:rPr>
          <w:i/>
          <w:iCs/>
        </w:rPr>
        <w:t xml:space="preserve"> </w:t>
      </w:r>
    </w:p>
  </w:endnote>
  <w:endnote w:id="671">
    <w:p w:rsidR="00C3563C" w:rsidRPr="00D500FB" w:rsidRDefault="00C3563C" w:rsidP="00B87D45">
      <w:pPr>
        <w:spacing w:before="0" w:after="0"/>
        <w:rPr>
          <w:sz w:val="20"/>
          <w:szCs w:val="20"/>
        </w:rPr>
      </w:pPr>
      <w:r w:rsidRPr="00EC4A34">
        <w:rPr>
          <w:rStyle w:val="Rimandonotadichiusura"/>
        </w:rPr>
        <w:endnoteRef/>
      </w:r>
      <w:r w:rsidRPr="00EC4A34">
        <w:t xml:space="preserve"> </w:t>
      </w:r>
      <w:r w:rsidRPr="00EC4A34">
        <w:rPr>
          <w:sz w:val="20"/>
          <w:szCs w:val="20"/>
        </w:rPr>
        <w:t xml:space="preserve">Aboriginal Fathers Stayin’ on Track. At </w:t>
      </w:r>
      <w:hyperlink r:id="rId160" w:history="1">
        <w:r w:rsidRPr="00EC4A34">
          <w:rPr>
            <w:rStyle w:val="Collegamentoipertestuale"/>
            <w:sz w:val="20"/>
            <w:szCs w:val="20"/>
          </w:rPr>
          <w:t>https://www.stayinontrack.com/Default.aspx</w:t>
        </w:r>
      </w:hyperlink>
      <w:r>
        <w:rPr>
          <w:rStyle w:val="Collegamentoipertestuale"/>
          <w:sz w:val="20"/>
          <w:szCs w:val="20"/>
          <w:u w:val="none"/>
        </w:rPr>
        <w:t xml:space="preserve"> </w:t>
      </w:r>
      <w:r w:rsidRPr="00647207">
        <w:rPr>
          <w:rStyle w:val="Collegamentoipertestuale"/>
          <w:sz w:val="20"/>
          <w:szCs w:val="20"/>
          <w:u w:val="none"/>
        </w:rPr>
        <w:t xml:space="preserve">(viewed 12 September 2017); </w:t>
      </w:r>
      <w:r>
        <w:rPr>
          <w:rStyle w:val="Collegamentoipertestuale"/>
          <w:sz w:val="20"/>
          <w:szCs w:val="20"/>
          <w:u w:val="none"/>
        </w:rPr>
        <w:t xml:space="preserve">SMS4Dads. At </w:t>
      </w:r>
      <w:hyperlink r:id="rId161" w:history="1">
        <w:r w:rsidRPr="00162F20">
          <w:rPr>
            <w:rStyle w:val="Collegamentoipertestuale"/>
            <w:sz w:val="20"/>
            <w:szCs w:val="20"/>
          </w:rPr>
          <w:t>https://sms4dads.com/Welcome</w:t>
        </w:r>
      </w:hyperlink>
      <w:r>
        <w:rPr>
          <w:rStyle w:val="Collegamentoipertestuale"/>
          <w:sz w:val="20"/>
          <w:szCs w:val="20"/>
          <w:u w:val="none"/>
        </w:rPr>
        <w:t xml:space="preserve"> (viewed 12 September 2017). </w:t>
      </w:r>
    </w:p>
  </w:endnote>
  <w:endnote w:id="672">
    <w:p w:rsidR="00C3563C" w:rsidRPr="00D500FB" w:rsidRDefault="00C3563C" w:rsidP="00B87D45">
      <w:pPr>
        <w:pStyle w:val="Testonotadichiusura"/>
      </w:pPr>
      <w:r w:rsidRPr="00D500FB">
        <w:rPr>
          <w:rStyle w:val="Rimandonotadichiusura"/>
        </w:rPr>
        <w:endnoteRef/>
      </w:r>
      <w:r w:rsidRPr="00D500FB">
        <w:t xml:space="preserve"> Roundtable</w:t>
      </w:r>
      <w:r>
        <w:t xml:space="preserve"> Discussion</w:t>
      </w:r>
      <w:r w:rsidRPr="00D500FB">
        <w:t xml:space="preserve">, </w:t>
      </w:r>
      <w:r w:rsidRPr="00E34166">
        <w:rPr>
          <w:i/>
        </w:rPr>
        <w:t>National Children’s Commissioner’s Investigation into Young Parents and their Children</w:t>
      </w:r>
      <w:r w:rsidRPr="00D500FB">
        <w:t xml:space="preserve"> (2017).</w:t>
      </w:r>
    </w:p>
  </w:endnote>
  <w:endnote w:id="673">
    <w:p w:rsidR="00C3563C" w:rsidRDefault="00C3563C" w:rsidP="00B87D45">
      <w:pPr>
        <w:pStyle w:val="Testonotadichiusura"/>
      </w:pPr>
      <w:r>
        <w:rPr>
          <w:rStyle w:val="Rimandonotadichiusura"/>
        </w:rPr>
        <w:endnoteRef/>
      </w:r>
      <w:r>
        <w:t xml:space="preserve"> </w:t>
      </w:r>
      <w:r w:rsidRPr="00D500FB">
        <w:t>Roundtable</w:t>
      </w:r>
      <w:r>
        <w:t xml:space="preserve"> Discussion</w:t>
      </w:r>
      <w:r w:rsidRPr="00D500FB">
        <w:t xml:space="preserve">, </w:t>
      </w:r>
      <w:r w:rsidRPr="00E34166">
        <w:rPr>
          <w:i/>
        </w:rPr>
        <w:t>National Children’s Commissioner’s Investigation into Young Parents and their Children</w:t>
      </w:r>
      <w:r w:rsidRPr="00D500FB">
        <w:t xml:space="preserve"> (2017).</w:t>
      </w:r>
    </w:p>
  </w:endnote>
  <w:endnote w:id="674">
    <w:p w:rsidR="00C3563C" w:rsidRDefault="00C3563C" w:rsidP="00B87D45">
      <w:pPr>
        <w:pStyle w:val="Testonotadichiusura"/>
      </w:pPr>
      <w:r>
        <w:rPr>
          <w:rStyle w:val="Rimandonotadichiusura"/>
        </w:rPr>
        <w:endnoteRef/>
      </w:r>
      <w:r>
        <w:t xml:space="preserve"> </w:t>
      </w:r>
      <w:r w:rsidRPr="00073689">
        <w:t xml:space="preserve">Gail Winkworth and Morag McArthur, Submission No 12 to the Australian Human Rights Commission, </w:t>
      </w:r>
      <w:r w:rsidRPr="00073689">
        <w:rPr>
          <w:i/>
        </w:rPr>
        <w:t>National Children’s Commissioner’s Investigation into Young Parents and their Children</w:t>
      </w:r>
      <w:r w:rsidRPr="0044674E">
        <w:t>,</w:t>
      </w:r>
      <w:r w:rsidRPr="00073689">
        <w:rPr>
          <w:i/>
        </w:rPr>
        <w:t xml:space="preserve"> </w:t>
      </w:r>
      <w:r w:rsidRPr="00073689">
        <w:t>2</w:t>
      </w:r>
      <w:r>
        <w:t>.</w:t>
      </w:r>
    </w:p>
  </w:endnote>
  <w:endnote w:id="675">
    <w:p w:rsidR="00C3563C" w:rsidRPr="00CC2AA1" w:rsidRDefault="00C3563C" w:rsidP="00B87D45">
      <w:pPr>
        <w:pStyle w:val="Testonotadichiusura"/>
      </w:pPr>
      <w:r>
        <w:rPr>
          <w:rStyle w:val="Rimandonotadichiusura"/>
        </w:rPr>
        <w:endnoteRef/>
      </w:r>
      <w:r>
        <w:t xml:space="preserve"> </w:t>
      </w:r>
      <w:r w:rsidRPr="00CC2AA1">
        <w:t>These service providers are Brave</w:t>
      </w:r>
      <w:r>
        <w:t xml:space="preserve"> Foundation</w:t>
      </w:r>
      <w:r w:rsidRPr="00CC2AA1">
        <w:t xml:space="preserve">, Red Cross, Berry Street, MYSA and </w:t>
      </w:r>
      <w:r>
        <w:t>yourtown.</w:t>
      </w:r>
    </w:p>
  </w:endnote>
  <w:endnote w:id="676">
    <w:p w:rsidR="00C3563C" w:rsidRDefault="00C3563C" w:rsidP="00B87D45">
      <w:pPr>
        <w:pStyle w:val="Testonotadichiusura"/>
      </w:pPr>
      <w:r>
        <w:rPr>
          <w:rStyle w:val="Rimandonotadichiusura"/>
        </w:rPr>
        <w:endnoteRef/>
      </w:r>
      <w:r>
        <w:t xml:space="preserve"> Institute of Child Protection Studies, Australian Catholic University, ‘Experiences and aspirations of young mothers’ (Report to Department of Families, Housing, Community Services and Indigenous Affairs, November 2010) 30. </w:t>
      </w:r>
    </w:p>
  </w:endnote>
  <w:endnote w:id="677">
    <w:p w:rsidR="00C3563C" w:rsidRPr="00B56072" w:rsidRDefault="00C3563C" w:rsidP="00B87D45">
      <w:pPr>
        <w:pStyle w:val="Testonotadichiusura"/>
        <w:rPr>
          <w:rFonts w:cs="Arial"/>
        </w:rPr>
      </w:pPr>
      <w:r>
        <w:rPr>
          <w:rStyle w:val="Rimandonotadichiusura"/>
        </w:rPr>
        <w:endnoteRef/>
      </w:r>
      <w:r>
        <w:t xml:space="preserve"> </w:t>
      </w:r>
      <w:r w:rsidRPr="00AB6E9E">
        <w:rPr>
          <w:rFonts w:cs="Arial"/>
        </w:rPr>
        <w:t xml:space="preserve">Australian Bureau of Statistics, ‘Aboriginal and Torres Strait Islander fertility, by age, by state,’ ABS.Stat. At </w:t>
      </w:r>
      <w:hyperlink r:id="rId162" w:history="1">
        <w:r w:rsidRPr="00AB6E9E">
          <w:rPr>
            <w:rStyle w:val="Collegamentoipertestuale"/>
            <w:rFonts w:cs="Arial"/>
          </w:rPr>
          <w:t>http://stat.data.abs.gov.au/Index.aspx?QueryId=503</w:t>
        </w:r>
      </w:hyperlink>
      <w:r>
        <w:rPr>
          <w:rFonts w:cs="Arial"/>
        </w:rPr>
        <w:t xml:space="preserve"> (viewed 28 August 2017).</w:t>
      </w:r>
    </w:p>
  </w:endnote>
  <w:endnote w:id="678">
    <w:p w:rsidR="00C3563C" w:rsidRDefault="00C3563C" w:rsidP="00B87D45">
      <w:pPr>
        <w:pStyle w:val="Testonotadichiusura"/>
      </w:pPr>
      <w:r>
        <w:rPr>
          <w:rStyle w:val="Rimandonotadichiusura"/>
        </w:rPr>
        <w:endnoteRef/>
      </w:r>
      <w:r>
        <w:t xml:space="preserve"> Case study with a young mother. All names have been changed to pseudonyms for the purposes of the report. </w:t>
      </w:r>
    </w:p>
  </w:endnote>
  <w:endnote w:id="679">
    <w:p w:rsidR="00C3563C" w:rsidRDefault="00C3563C" w:rsidP="00B87D45">
      <w:pPr>
        <w:pStyle w:val="Testonotadichiusura"/>
      </w:pPr>
      <w:r>
        <w:rPr>
          <w:rStyle w:val="Rimandonotadichiusura"/>
        </w:rPr>
        <w:endnoteRef/>
      </w:r>
      <w:r>
        <w:t xml:space="preserve"> Institute of Child Protection Studies, Australian Catholic University, ‘Experiences and aspirations of young mothers’ (Report to Department of Families, Housing, Community Services and Indigenous Affairs, November 2010) 30. </w:t>
      </w:r>
    </w:p>
  </w:endnote>
  <w:endnote w:id="680">
    <w:p w:rsidR="00C3563C" w:rsidRDefault="00C3563C" w:rsidP="00B87D45">
      <w:pPr>
        <w:pStyle w:val="Testonotadichiusura"/>
      </w:pPr>
      <w:r>
        <w:rPr>
          <w:rStyle w:val="Rimandonotadichiusura"/>
        </w:rPr>
        <w:endnoteRef/>
      </w:r>
      <w:r>
        <w:t xml:space="preserve"> </w:t>
      </w:r>
      <w:r w:rsidRPr="001746E3">
        <w:rPr>
          <w:rFonts w:cs="Arial"/>
          <w:i/>
        </w:rPr>
        <w:t xml:space="preserve">Secretary, Department of Health &amp; Community Services v JWB and SMB (Marion’s Case) </w:t>
      </w:r>
      <w:r w:rsidRPr="001746E3">
        <w:rPr>
          <w:rFonts w:cs="Arial"/>
        </w:rPr>
        <w:t>(1992)</w:t>
      </w:r>
      <w:r w:rsidRPr="001746E3">
        <w:rPr>
          <w:rFonts w:cs="Arial"/>
          <w:i/>
        </w:rPr>
        <w:t xml:space="preserve"> </w:t>
      </w:r>
      <w:r w:rsidRPr="001746E3">
        <w:rPr>
          <w:rFonts w:cs="Arial"/>
        </w:rPr>
        <w:t>175 CLR 218.</w:t>
      </w:r>
    </w:p>
  </w:endnote>
  <w:endnote w:id="681">
    <w:p w:rsidR="00C3563C" w:rsidRDefault="00C3563C" w:rsidP="00B87D45">
      <w:pPr>
        <w:pStyle w:val="Testonotadichiusura"/>
      </w:pPr>
      <w:r>
        <w:rPr>
          <w:rStyle w:val="Rimandonotadichiusura"/>
        </w:rPr>
        <w:endnoteRef/>
      </w:r>
      <w:r>
        <w:t xml:space="preserve"> </w:t>
      </w:r>
      <w:r w:rsidRPr="001746E3">
        <w:rPr>
          <w:rFonts w:cs="Arial"/>
          <w:i/>
        </w:rPr>
        <w:t>Consent to Medical Treatment and Palliative Care Act</w:t>
      </w:r>
      <w:r w:rsidRPr="001746E3">
        <w:rPr>
          <w:rFonts w:cs="Arial"/>
        </w:rPr>
        <w:t xml:space="preserve"> </w:t>
      </w:r>
      <w:r w:rsidRPr="001746E3">
        <w:rPr>
          <w:rFonts w:cs="Arial"/>
          <w:i/>
        </w:rPr>
        <w:t xml:space="preserve">1995 </w:t>
      </w:r>
      <w:r w:rsidRPr="001746E3">
        <w:rPr>
          <w:rFonts w:cs="Arial"/>
        </w:rPr>
        <w:t>(SA), ss 4, 6.</w:t>
      </w:r>
    </w:p>
  </w:endnote>
  <w:endnote w:id="682">
    <w:p w:rsidR="00C3563C" w:rsidRDefault="00C3563C" w:rsidP="00B87D45">
      <w:pPr>
        <w:pStyle w:val="Testonotadichiusura"/>
      </w:pPr>
      <w:r>
        <w:rPr>
          <w:rStyle w:val="Rimandonotadichiusura"/>
        </w:rPr>
        <w:endnoteRef/>
      </w:r>
      <w:r>
        <w:t xml:space="preserve"> </w:t>
      </w:r>
      <w:r w:rsidRPr="001746E3">
        <w:rPr>
          <w:rFonts w:cs="Arial"/>
          <w:i/>
        </w:rPr>
        <w:t xml:space="preserve">Care and Consent to Medical Treatment Bill 2016 </w:t>
      </w:r>
      <w:r w:rsidRPr="001746E3">
        <w:rPr>
          <w:rFonts w:cs="Arial"/>
        </w:rPr>
        <w:t>(Tas), cl 4.</w:t>
      </w:r>
    </w:p>
  </w:endnote>
  <w:endnote w:id="683">
    <w:p w:rsidR="00C3563C" w:rsidRDefault="00C3563C" w:rsidP="00B87D45">
      <w:pPr>
        <w:pStyle w:val="Testonotadichiusura"/>
      </w:pPr>
      <w:r>
        <w:rPr>
          <w:rStyle w:val="Rimandonotadichiusura"/>
        </w:rPr>
        <w:endnoteRef/>
      </w:r>
      <w:r>
        <w:t xml:space="preserve"> </w:t>
      </w:r>
      <w:r w:rsidRPr="001746E3">
        <w:rPr>
          <w:rFonts w:cs="Arial"/>
          <w:i/>
        </w:rPr>
        <w:t xml:space="preserve">Health Act 1911 </w:t>
      </w:r>
      <w:r w:rsidRPr="001746E3">
        <w:rPr>
          <w:rFonts w:cs="Arial"/>
        </w:rPr>
        <w:t>(WA), s 334.</w:t>
      </w:r>
    </w:p>
  </w:endnote>
  <w:endnote w:id="684">
    <w:p w:rsidR="00C3563C" w:rsidRDefault="00C3563C" w:rsidP="00B87D45">
      <w:pPr>
        <w:pStyle w:val="Testonotadichiusura"/>
      </w:pPr>
      <w:r>
        <w:rPr>
          <w:rStyle w:val="Rimandonotadichiusura"/>
        </w:rPr>
        <w:endnoteRef/>
      </w:r>
      <w:r>
        <w:t xml:space="preserve"> </w:t>
      </w:r>
      <w:r w:rsidRPr="001746E3">
        <w:rPr>
          <w:rFonts w:cs="Arial"/>
          <w:i/>
        </w:rPr>
        <w:t>Education (General Provisions) Act</w:t>
      </w:r>
      <w:r w:rsidRPr="001746E3">
        <w:rPr>
          <w:rFonts w:cs="Arial"/>
        </w:rPr>
        <w:t xml:space="preserve"> 2006 (Qld), s 7(e)(i).</w:t>
      </w:r>
    </w:p>
  </w:endnote>
  <w:endnote w:id="685">
    <w:p w:rsidR="00C3563C" w:rsidRDefault="00C3563C" w:rsidP="00B87D45">
      <w:pPr>
        <w:pStyle w:val="Testonotadichiusura"/>
      </w:pPr>
      <w:r>
        <w:rPr>
          <w:rStyle w:val="Rimandonotadichiusura"/>
        </w:rPr>
        <w:endnoteRef/>
      </w:r>
      <w:r>
        <w:t xml:space="preserve"> </w:t>
      </w:r>
      <w:r w:rsidRPr="001746E3">
        <w:rPr>
          <w:rFonts w:cs="Arial"/>
          <w:i/>
        </w:rPr>
        <w:t xml:space="preserve">Education Act 2016 </w:t>
      </w:r>
      <w:r w:rsidRPr="001746E3">
        <w:rPr>
          <w:rFonts w:cs="Arial"/>
        </w:rPr>
        <w:t>(Tas), s 104.</w:t>
      </w:r>
    </w:p>
  </w:endnote>
  <w:endnote w:id="686">
    <w:p w:rsidR="00C3563C" w:rsidRDefault="00C3563C" w:rsidP="00B87D45">
      <w:pPr>
        <w:pStyle w:val="Testonotadichiusura"/>
      </w:pPr>
      <w:r>
        <w:rPr>
          <w:rStyle w:val="Rimandonotadichiusura"/>
        </w:rPr>
        <w:endnoteRef/>
      </w:r>
      <w:r>
        <w:t xml:space="preserve"> </w:t>
      </w:r>
      <w:r w:rsidRPr="001746E3">
        <w:rPr>
          <w:rFonts w:cs="Arial"/>
          <w:i/>
        </w:rPr>
        <w:t>Education Act 2015</w:t>
      </w:r>
      <w:r w:rsidRPr="001746E3">
        <w:rPr>
          <w:rFonts w:cs="Arial"/>
        </w:rPr>
        <w:t xml:space="preserve"> (NT), s 51.</w:t>
      </w:r>
    </w:p>
  </w:endnote>
  <w:endnote w:id="687">
    <w:p w:rsidR="00C3563C" w:rsidRDefault="00C3563C" w:rsidP="00B87D45">
      <w:pPr>
        <w:pStyle w:val="Testonotadichiusura"/>
      </w:pPr>
      <w:r>
        <w:rPr>
          <w:rStyle w:val="Rimandonotadichiusura"/>
        </w:rPr>
        <w:endnoteRef/>
      </w:r>
      <w:r>
        <w:t xml:space="preserve"> </w:t>
      </w:r>
      <w:r w:rsidRPr="001746E3">
        <w:rPr>
          <w:rFonts w:cs="Arial"/>
          <w:i/>
        </w:rPr>
        <w:t xml:space="preserve">Education Act 2004 </w:t>
      </w:r>
      <w:r w:rsidRPr="001746E3">
        <w:rPr>
          <w:rFonts w:cs="Arial"/>
        </w:rPr>
        <w:t>(ACT), s 35.</w:t>
      </w:r>
    </w:p>
  </w:endnote>
  <w:endnote w:id="688">
    <w:p w:rsidR="00C3563C" w:rsidRDefault="00C3563C" w:rsidP="00B87D45">
      <w:pPr>
        <w:pStyle w:val="Testonotadichiusura"/>
      </w:pPr>
      <w:r>
        <w:rPr>
          <w:rStyle w:val="Rimandonotadichiusura"/>
        </w:rPr>
        <w:endnoteRef/>
      </w:r>
      <w:r>
        <w:t xml:space="preserve"> </w:t>
      </w:r>
      <w:r w:rsidRPr="001746E3">
        <w:rPr>
          <w:rFonts w:cs="Arial"/>
          <w:i/>
        </w:rPr>
        <w:t>Education (General Provisions) Act</w:t>
      </w:r>
      <w:r>
        <w:rPr>
          <w:rFonts w:cs="Arial"/>
        </w:rPr>
        <w:t xml:space="preserve"> 2006 (Qld), ss 281–282, 291–</w:t>
      </w:r>
      <w:r w:rsidRPr="001746E3">
        <w:rPr>
          <w:rFonts w:cs="Arial"/>
        </w:rPr>
        <w:t>292.</w:t>
      </w:r>
    </w:p>
  </w:endnote>
  <w:endnote w:id="689">
    <w:p w:rsidR="00C3563C" w:rsidRDefault="00C3563C" w:rsidP="00B87D45">
      <w:pPr>
        <w:pStyle w:val="Testonotadichiusura"/>
      </w:pPr>
      <w:r>
        <w:rPr>
          <w:rStyle w:val="Rimandonotadichiusura"/>
        </w:rPr>
        <w:endnoteRef/>
      </w:r>
      <w:r>
        <w:t xml:space="preserve"> </w:t>
      </w:r>
      <w:r w:rsidRPr="001746E3">
        <w:rPr>
          <w:rFonts w:cs="Arial"/>
          <w:i/>
        </w:rPr>
        <w:t>Education (General Provisions) Act</w:t>
      </w:r>
      <w:r w:rsidRPr="001746E3">
        <w:rPr>
          <w:rFonts w:cs="Arial"/>
        </w:rPr>
        <w:t xml:space="preserve"> 2006 (Qld), </w:t>
      </w:r>
      <w:r w:rsidRPr="001746E3">
        <w:rPr>
          <w:rFonts w:cs="Arial"/>
          <w:bCs/>
        </w:rPr>
        <w:t>s 292(2)(b).</w:t>
      </w:r>
    </w:p>
  </w:endnote>
  <w:endnote w:id="690">
    <w:p w:rsidR="00C3563C" w:rsidRDefault="00C3563C" w:rsidP="00B87D45">
      <w:pPr>
        <w:pStyle w:val="Testonotadichiusura"/>
      </w:pPr>
      <w:r>
        <w:rPr>
          <w:rStyle w:val="Rimandonotadichiusura"/>
        </w:rPr>
        <w:endnoteRef/>
      </w:r>
      <w:r>
        <w:t xml:space="preserve"> </w:t>
      </w:r>
      <w:r w:rsidRPr="001746E3">
        <w:rPr>
          <w:rFonts w:cs="Arial"/>
          <w:i/>
        </w:rPr>
        <w:t xml:space="preserve">School Education Act 1999 </w:t>
      </w:r>
      <w:r>
        <w:rPr>
          <w:rFonts w:cs="Arial"/>
        </w:rPr>
        <w:t>(WA), ss 89–</w:t>
      </w:r>
      <w:r w:rsidRPr="001746E3">
        <w:rPr>
          <w:rFonts w:cs="Arial"/>
        </w:rPr>
        <w:t>90.</w:t>
      </w:r>
    </w:p>
  </w:endnote>
  <w:endnote w:id="691">
    <w:p w:rsidR="00C3563C" w:rsidRDefault="00C3563C" w:rsidP="00B87D45">
      <w:pPr>
        <w:pStyle w:val="Testonotadichiusura"/>
      </w:pPr>
      <w:r>
        <w:rPr>
          <w:rStyle w:val="Rimandonotadichiusura"/>
        </w:rPr>
        <w:endnoteRef/>
      </w:r>
      <w:r>
        <w:t xml:space="preserve"> </w:t>
      </w:r>
      <w:r w:rsidRPr="001746E3">
        <w:rPr>
          <w:rFonts w:cs="Arial"/>
          <w:i/>
        </w:rPr>
        <w:t>Human Rights Act 2004</w:t>
      </w:r>
      <w:r w:rsidRPr="001746E3">
        <w:rPr>
          <w:rFonts w:cs="Arial"/>
        </w:rPr>
        <w:t xml:space="preserve"> (ACT), ss 27A, 28.</w:t>
      </w:r>
    </w:p>
  </w:endnote>
  <w:endnote w:id="692">
    <w:p w:rsidR="00C3563C" w:rsidRDefault="00C3563C" w:rsidP="00B87D45">
      <w:pPr>
        <w:pStyle w:val="Testonotadichiusura"/>
      </w:pPr>
      <w:r>
        <w:rPr>
          <w:rStyle w:val="Rimandonotadichiusura"/>
        </w:rPr>
        <w:endnoteRef/>
      </w:r>
      <w:r>
        <w:t xml:space="preserve"> </w:t>
      </w:r>
      <w:r w:rsidRPr="001746E3">
        <w:rPr>
          <w:rFonts w:cs="Arial"/>
          <w:i/>
        </w:rPr>
        <w:t xml:space="preserve">Anti-Discrimination Act 1998 </w:t>
      </w:r>
      <w:r w:rsidRPr="001746E3">
        <w:rPr>
          <w:rFonts w:cs="Arial"/>
        </w:rPr>
        <w:t>(Tas), s 28.</w:t>
      </w:r>
    </w:p>
  </w:endnote>
  <w:endnote w:id="693">
    <w:p w:rsidR="00C3563C" w:rsidRDefault="00C3563C" w:rsidP="00B87D45">
      <w:pPr>
        <w:pStyle w:val="Testonotadichiusura"/>
      </w:pPr>
      <w:r>
        <w:rPr>
          <w:rStyle w:val="Rimandonotadichiusura"/>
        </w:rPr>
        <w:endnoteRef/>
      </w:r>
      <w:r>
        <w:t xml:space="preserve"> Department of Communities, Child Safety and Disability Services, Queensland, Submission No 58 to the Australian Human Rights Commission, </w:t>
      </w:r>
      <w:r w:rsidRPr="0044674E">
        <w:rPr>
          <w:i/>
        </w:rPr>
        <w:t>National Children’s Commissioner’s Investigation into Young Parents and their Children</w:t>
      </w:r>
      <w:r>
        <w:t xml:space="preserve">, 2; Territory Families, Northern Territory, Submission No 59 to the Australian Human Rights Commission, </w:t>
      </w:r>
      <w:r w:rsidRPr="0044674E">
        <w:rPr>
          <w:i/>
        </w:rPr>
        <w:t>National Children’s Commissioner’s Investigation into Young Parents and their Children</w:t>
      </w:r>
      <w:r>
        <w:t>, 2;</w:t>
      </w:r>
      <w:r w:rsidRPr="00AC53AA">
        <w:t xml:space="preserve"> </w:t>
      </w:r>
      <w:r>
        <w:t xml:space="preserve">Department of Communities, Western Australia, Submission No 57 to the Australian Human Rights Commission, </w:t>
      </w:r>
      <w:r w:rsidRPr="005C08D3">
        <w:rPr>
          <w:i/>
        </w:rPr>
        <w:t>National Children’s Commissioner’s Investigation into Young Parents and their Children</w:t>
      </w:r>
      <w:r>
        <w:t xml:space="preserve">, 3; Department of Child Protection, South Australia, Submission No 56 to the Australian Human Rights Commission, </w:t>
      </w:r>
      <w:r w:rsidRPr="005C08D3">
        <w:rPr>
          <w:i/>
        </w:rPr>
        <w:t>National Children’s Commissioner’s Investigation into Young Parents and their Children</w:t>
      </w:r>
      <w:r>
        <w:t>, 2;</w:t>
      </w:r>
      <w:r w:rsidRPr="00664FB4">
        <w:t xml:space="preserve"> </w:t>
      </w:r>
      <w:r>
        <w:t>Australian Capital Territory Community Services, Submission No 55</w:t>
      </w:r>
      <w:r w:rsidRPr="00D62844">
        <w:t xml:space="preserve"> </w:t>
      </w:r>
      <w:r>
        <w:t xml:space="preserve">to the Australian Human Rights Commission, </w:t>
      </w:r>
      <w:r w:rsidRPr="005C08D3">
        <w:rPr>
          <w:i/>
        </w:rPr>
        <w:t>National Children’s Commissioner’s Investigation into Young Parents and their Children</w:t>
      </w:r>
      <w:r>
        <w:t xml:space="preserve">, 1. </w:t>
      </w:r>
    </w:p>
  </w:endnote>
  <w:endnote w:id="694">
    <w:p w:rsidR="00C3563C" w:rsidRPr="00CB6EE6" w:rsidRDefault="00C3563C" w:rsidP="00B87D45">
      <w:pPr>
        <w:pStyle w:val="Testonotadichiusura"/>
        <w:rPr>
          <w:b/>
        </w:rPr>
      </w:pPr>
      <w:r>
        <w:rPr>
          <w:rStyle w:val="Rimandonotadichiusura"/>
        </w:rPr>
        <w:endnoteRef/>
      </w:r>
      <w:r>
        <w:t xml:space="preserve"> CREATE Foundation, Submission No 24 to the Australian Human Rights Commission, </w:t>
      </w:r>
      <w:r>
        <w:rPr>
          <w:i/>
        </w:rPr>
        <w:t xml:space="preserve">National Children’s Commissioner’s Investigation into Young Parents and their Children, </w:t>
      </w:r>
      <w:r>
        <w:t>2</w:t>
      </w:r>
      <w:r>
        <w:rPr>
          <w:i/>
        </w:rPr>
        <w:t>;</w:t>
      </w:r>
      <w:r>
        <w:t xml:space="preserve"> Uniting Communities, Submission No 25 to the Australian Human Rights Commission, </w:t>
      </w:r>
      <w:r>
        <w:rPr>
          <w:i/>
        </w:rPr>
        <w:t xml:space="preserve">National Children’s Commissioner’s Investigation into Young Parents and their Children, </w:t>
      </w:r>
      <w:r>
        <w:t>6</w:t>
      </w:r>
      <w:r>
        <w:rPr>
          <w:i/>
        </w:rPr>
        <w:t xml:space="preserve">; </w:t>
      </w:r>
      <w:r>
        <w:t xml:space="preserve">Philip Mendes and Jade Purtell, Department of Social Work, Monash University, Submission No 4 to the Australian Human Rights Commission, </w:t>
      </w:r>
      <w:r>
        <w:rPr>
          <w:i/>
        </w:rPr>
        <w:t xml:space="preserve">National Children’s Commissioner’s Investigation into Young Parents and their Children, </w:t>
      </w:r>
      <w:r>
        <w:t>10</w:t>
      </w:r>
      <w:r>
        <w:rPr>
          <w:i/>
        </w:rPr>
        <w:t xml:space="preserve">; </w:t>
      </w:r>
      <w:r w:rsidRPr="00C568AE">
        <w:t>Roundtable</w:t>
      </w:r>
      <w:r>
        <w:t xml:space="preserve"> Discussion</w:t>
      </w:r>
      <w:r w:rsidRPr="00C568AE">
        <w:t xml:space="preserve">, </w:t>
      </w:r>
      <w:r w:rsidRPr="00E34166">
        <w:rPr>
          <w:i/>
        </w:rPr>
        <w:t>National Children’s Commissioner’s Investigation into Young Parents and their Children</w:t>
      </w:r>
      <w:r w:rsidRPr="00C568AE">
        <w:t xml:space="preserve"> (2017).</w:t>
      </w:r>
    </w:p>
  </w:endnote>
  <w:endnote w:id="695">
    <w:p w:rsidR="00C3563C" w:rsidRPr="00F65877" w:rsidRDefault="00C3563C" w:rsidP="00B87D45">
      <w:pPr>
        <w:pStyle w:val="Testonotadichiusura"/>
        <w:rPr>
          <w:rFonts w:cs="Arial"/>
        </w:rPr>
      </w:pPr>
      <w:r w:rsidRPr="00F65877">
        <w:rPr>
          <w:rStyle w:val="Rimandonotadichiusura"/>
          <w:rFonts w:cs="Arial"/>
        </w:rPr>
        <w:endnoteRef/>
      </w:r>
      <w:r w:rsidRPr="00F65877">
        <w:rPr>
          <w:rFonts w:cs="Arial"/>
        </w:rPr>
        <w:t xml:space="preserve"> Commonwealth, Royal Commission into Institutional Responses to Child Sexual Abuse, </w:t>
      </w:r>
      <w:r w:rsidRPr="00F65877">
        <w:rPr>
          <w:rFonts w:cs="Arial"/>
          <w:i/>
        </w:rPr>
        <w:t xml:space="preserve">Interim Report </w:t>
      </w:r>
      <w:r>
        <w:rPr>
          <w:rFonts w:cs="Arial"/>
        </w:rPr>
        <w:t>(2014) vol 1, 29. A</w:t>
      </w:r>
      <w:r w:rsidRPr="00F65877">
        <w:rPr>
          <w:rFonts w:cs="Arial"/>
        </w:rPr>
        <w:t xml:space="preserve">t </w:t>
      </w:r>
      <w:hyperlink r:id="rId163" w:history="1">
        <w:r w:rsidRPr="002B5AB7">
          <w:rPr>
            <w:rStyle w:val="Collegamentoipertestuale"/>
          </w:rPr>
          <w:t>https://www.childabuseroyalcommission.gov.au/about-us/our-reports/interim-report-html</w:t>
        </w:r>
      </w:hyperlink>
      <w:r w:rsidRPr="00F65877">
        <w:rPr>
          <w:rFonts w:cs="Arial"/>
        </w:rPr>
        <w:t xml:space="preserve"> (viewed 28 July 2017).</w:t>
      </w:r>
    </w:p>
  </w:endnote>
  <w:endnote w:id="696">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Style w:val="selectable"/>
          <w:rFonts w:cs="Arial"/>
        </w:rPr>
        <w:t xml:space="preserve">Australian Institute of Family Studies, </w:t>
      </w:r>
      <w:r w:rsidRPr="00F65877">
        <w:rPr>
          <w:rStyle w:val="selectable"/>
          <w:rFonts w:cs="Arial"/>
          <w:i/>
          <w:iCs/>
        </w:rPr>
        <w:t>Child Abuse and Neglect Statistics</w:t>
      </w:r>
      <w:r>
        <w:rPr>
          <w:rStyle w:val="selectable"/>
          <w:rFonts w:cs="Arial"/>
        </w:rPr>
        <w:t xml:space="preserve"> (2017). A</w:t>
      </w:r>
      <w:r w:rsidRPr="00F65877">
        <w:rPr>
          <w:rStyle w:val="selectable"/>
          <w:rFonts w:cs="Arial"/>
        </w:rPr>
        <w:t xml:space="preserve">t </w:t>
      </w:r>
      <w:hyperlink r:id="rId164" w:history="1">
        <w:r w:rsidRPr="002B5AB7">
          <w:rPr>
            <w:rStyle w:val="Collegamentoipertestuale"/>
          </w:rPr>
          <w:t>https://aifs.gov.au/cfca/publications/child-abuse-and-neglect-statistics</w:t>
        </w:r>
      </w:hyperlink>
      <w:r w:rsidRPr="00F65877">
        <w:rPr>
          <w:rStyle w:val="selectable"/>
          <w:rFonts w:cs="Arial"/>
        </w:rPr>
        <w:t xml:space="preserve"> (viewed 28 July 2017).</w:t>
      </w:r>
    </w:p>
  </w:endnote>
  <w:endnote w:id="697">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Fonts w:cs="Arial"/>
          <w:shd w:val="clear" w:color="auto" w:fill="FFFFFF"/>
        </w:rPr>
        <w:t xml:space="preserve">Australian Institute of Health and Welfare </w:t>
      </w:r>
      <w:r>
        <w:rPr>
          <w:rStyle w:val="Enfasicorsivo"/>
          <w:rFonts w:cs="Arial"/>
          <w:shd w:val="clear" w:color="auto" w:fill="FFFFFF"/>
        </w:rPr>
        <w:t>Child protection Australia 2015–</w:t>
      </w:r>
      <w:r w:rsidRPr="00F65877">
        <w:rPr>
          <w:rStyle w:val="Enfasicorsivo"/>
          <w:rFonts w:cs="Arial"/>
          <w:shd w:val="clear" w:color="auto" w:fill="FFFFFF"/>
        </w:rPr>
        <w:t>16</w:t>
      </w:r>
      <w:r>
        <w:rPr>
          <w:rStyle w:val="Enfasicorsivo"/>
          <w:rFonts w:cs="Arial"/>
          <w:shd w:val="clear" w:color="auto" w:fill="FFFFFF"/>
        </w:rPr>
        <w:t xml:space="preserve"> </w:t>
      </w:r>
      <w:r>
        <w:rPr>
          <w:rFonts w:cs="Arial"/>
          <w:shd w:val="clear" w:color="auto" w:fill="FFFFFF"/>
        </w:rPr>
        <w:t>(2017). A</w:t>
      </w:r>
      <w:r w:rsidRPr="00F65877">
        <w:rPr>
          <w:rFonts w:cs="Arial"/>
          <w:shd w:val="clear" w:color="auto" w:fill="FFFFFF"/>
        </w:rPr>
        <w:t xml:space="preserve">t </w:t>
      </w:r>
      <w:hyperlink r:id="rId165" w:history="1">
        <w:r w:rsidRPr="002B5AB7">
          <w:rPr>
            <w:rStyle w:val="Collegamentoipertestuale"/>
          </w:rPr>
          <w:t>http://www.aihw.gov.au/publication-detail/?id=60129558626</w:t>
        </w:r>
      </w:hyperlink>
      <w:r w:rsidRPr="00F65877">
        <w:rPr>
          <w:rFonts w:cs="Arial"/>
          <w:shd w:val="clear" w:color="auto" w:fill="FFFFFF"/>
        </w:rPr>
        <w:t xml:space="preserve"> (viewed 28 July 2017).</w:t>
      </w:r>
    </w:p>
  </w:endnote>
  <w:endnote w:id="698">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Style w:val="selectable"/>
          <w:rFonts w:cs="Arial"/>
        </w:rPr>
        <w:t xml:space="preserve">Australian Institute of Family Studies, </w:t>
      </w:r>
      <w:r w:rsidRPr="00F65877">
        <w:rPr>
          <w:rStyle w:val="selectable"/>
          <w:rFonts w:cs="Arial"/>
          <w:i/>
          <w:iCs/>
        </w:rPr>
        <w:t>Child Abuse and Neglect Statistics</w:t>
      </w:r>
      <w:r>
        <w:rPr>
          <w:rStyle w:val="selectable"/>
          <w:rFonts w:cs="Arial"/>
        </w:rPr>
        <w:t xml:space="preserve"> (2017). A</w:t>
      </w:r>
      <w:r w:rsidRPr="00F65877">
        <w:rPr>
          <w:rStyle w:val="selectable"/>
          <w:rFonts w:cs="Arial"/>
        </w:rPr>
        <w:t xml:space="preserve">t </w:t>
      </w:r>
      <w:hyperlink r:id="rId166" w:history="1">
        <w:r w:rsidRPr="002B5AB7">
          <w:rPr>
            <w:rStyle w:val="Collegamentoipertestuale"/>
          </w:rPr>
          <w:t>https://aifs.gov.au/cfca/publications/child-abuse-and-neglect-statistics</w:t>
        </w:r>
      </w:hyperlink>
      <w:r w:rsidRPr="00F65877">
        <w:rPr>
          <w:rStyle w:val="selectable"/>
          <w:rFonts w:cs="Arial"/>
        </w:rPr>
        <w:t xml:space="preserve"> (viewed 28 July 2017).</w:t>
      </w:r>
    </w:p>
  </w:endnote>
  <w:endnote w:id="699">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Fonts w:cs="Arial"/>
          <w:shd w:val="clear" w:color="auto" w:fill="FFFFFF"/>
        </w:rPr>
        <w:t xml:space="preserve">Australian Institute of Health and Welfare </w:t>
      </w:r>
      <w:r w:rsidRPr="00F65877">
        <w:rPr>
          <w:rStyle w:val="Enfasicorsivo"/>
          <w:rFonts w:cs="Arial"/>
          <w:shd w:val="clear" w:color="auto" w:fill="FFFFFF"/>
        </w:rPr>
        <w:t>Child protection Australia 2015</w:t>
      </w:r>
      <w:r>
        <w:rPr>
          <w:rStyle w:val="Enfasicorsivo"/>
          <w:rFonts w:cs="Arial"/>
          <w:shd w:val="clear" w:color="auto" w:fill="FFFFFF"/>
        </w:rPr>
        <w:t>–</w:t>
      </w:r>
      <w:r w:rsidRPr="00F65877">
        <w:rPr>
          <w:rStyle w:val="Enfasicorsivo"/>
          <w:rFonts w:cs="Arial"/>
          <w:shd w:val="clear" w:color="auto" w:fill="FFFFFF"/>
        </w:rPr>
        <w:t xml:space="preserve">16 </w:t>
      </w:r>
      <w:r>
        <w:rPr>
          <w:rFonts w:cs="Arial"/>
          <w:shd w:val="clear" w:color="auto" w:fill="FFFFFF"/>
        </w:rPr>
        <w:t>(2017) 20.</w:t>
      </w:r>
      <w:r w:rsidRPr="00F65877">
        <w:rPr>
          <w:rFonts w:cs="Arial"/>
          <w:shd w:val="clear" w:color="auto" w:fill="FFFFFF"/>
        </w:rPr>
        <w:t xml:space="preserve"> </w:t>
      </w:r>
      <w:r>
        <w:rPr>
          <w:rStyle w:val="selectable"/>
          <w:rFonts w:cs="Arial"/>
        </w:rPr>
        <w:t>A</w:t>
      </w:r>
      <w:r w:rsidRPr="00F65877">
        <w:rPr>
          <w:rStyle w:val="selectable"/>
          <w:rFonts w:cs="Arial"/>
        </w:rPr>
        <w:t>t</w:t>
      </w:r>
      <w:r w:rsidRPr="00F65877">
        <w:rPr>
          <w:rFonts w:cs="Arial"/>
          <w:shd w:val="clear" w:color="auto" w:fill="FFFFFF"/>
        </w:rPr>
        <w:t xml:space="preserve"> </w:t>
      </w:r>
      <w:hyperlink r:id="rId167" w:history="1">
        <w:r w:rsidRPr="002B5AB7">
          <w:rPr>
            <w:rStyle w:val="Collegamentoipertestuale"/>
          </w:rPr>
          <w:t>http://www.aihw.gov.au/publication-detail/?id=60129558626</w:t>
        </w:r>
      </w:hyperlink>
      <w:r w:rsidRPr="00F65877">
        <w:rPr>
          <w:rFonts w:cs="Arial"/>
          <w:shd w:val="clear" w:color="auto" w:fill="FFFFFF"/>
        </w:rPr>
        <w:t xml:space="preserve"> (viewed 28 July 2017).</w:t>
      </w:r>
    </w:p>
  </w:endnote>
  <w:endnote w:id="700">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Fonts w:cs="Arial"/>
          <w:shd w:val="clear" w:color="auto" w:fill="FFFFFF"/>
        </w:rPr>
        <w:t xml:space="preserve">Australian Institute of Health and Welfare </w:t>
      </w:r>
      <w:r>
        <w:rPr>
          <w:rStyle w:val="Enfasicorsivo"/>
          <w:rFonts w:cs="Arial"/>
          <w:shd w:val="clear" w:color="auto" w:fill="FFFFFF"/>
        </w:rPr>
        <w:t>Child protection Australia 2015–</w:t>
      </w:r>
      <w:r w:rsidRPr="00F65877">
        <w:rPr>
          <w:rStyle w:val="Enfasicorsivo"/>
          <w:rFonts w:cs="Arial"/>
          <w:shd w:val="clear" w:color="auto" w:fill="FFFFFF"/>
        </w:rPr>
        <w:t xml:space="preserve">16 </w:t>
      </w:r>
      <w:r>
        <w:rPr>
          <w:rFonts w:cs="Arial"/>
          <w:shd w:val="clear" w:color="auto" w:fill="FFFFFF"/>
        </w:rPr>
        <w:t>(2017) 19.</w:t>
      </w:r>
      <w:r w:rsidRPr="00F65877">
        <w:rPr>
          <w:rFonts w:cs="Arial"/>
          <w:shd w:val="clear" w:color="auto" w:fill="FFFFFF"/>
        </w:rPr>
        <w:t xml:space="preserve"> </w:t>
      </w:r>
      <w:r>
        <w:rPr>
          <w:rStyle w:val="selectable"/>
          <w:rFonts w:cs="Arial"/>
        </w:rPr>
        <w:t>A</w:t>
      </w:r>
      <w:r w:rsidRPr="00F65877">
        <w:rPr>
          <w:rStyle w:val="selectable"/>
          <w:rFonts w:cs="Arial"/>
        </w:rPr>
        <w:t xml:space="preserve">t </w:t>
      </w:r>
      <w:hyperlink r:id="rId168" w:history="1">
        <w:r w:rsidRPr="002B5AB7">
          <w:rPr>
            <w:rStyle w:val="Collegamentoipertestuale"/>
          </w:rPr>
          <w:t>http://www.aihw.gov.au/publication-detail/?id=60129558626</w:t>
        </w:r>
      </w:hyperlink>
      <w:r w:rsidRPr="00F65877">
        <w:rPr>
          <w:rFonts w:cs="Arial"/>
          <w:shd w:val="clear" w:color="auto" w:fill="FFFFFF"/>
        </w:rPr>
        <w:t xml:space="preserve"> (viewed 28 July 2017).</w:t>
      </w:r>
    </w:p>
  </w:endnote>
  <w:endnote w:id="701">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Fonts w:cs="Arial"/>
          <w:shd w:val="clear" w:color="auto" w:fill="FFFFFF"/>
        </w:rPr>
        <w:t xml:space="preserve">Australian Institute of Health and Welfare </w:t>
      </w:r>
      <w:r w:rsidRPr="00F65877">
        <w:rPr>
          <w:rStyle w:val="Enfasicorsivo"/>
          <w:rFonts w:cs="Arial"/>
          <w:shd w:val="clear" w:color="auto" w:fill="FFFFFF"/>
        </w:rPr>
        <w:t>Child protection Australia 2015</w:t>
      </w:r>
      <w:r>
        <w:rPr>
          <w:rStyle w:val="Enfasicorsivo"/>
          <w:rFonts w:cs="Arial"/>
          <w:shd w:val="clear" w:color="auto" w:fill="FFFFFF"/>
        </w:rPr>
        <w:t>–</w:t>
      </w:r>
      <w:r w:rsidRPr="00F65877">
        <w:rPr>
          <w:rStyle w:val="Enfasicorsivo"/>
          <w:rFonts w:cs="Arial"/>
          <w:shd w:val="clear" w:color="auto" w:fill="FFFFFF"/>
        </w:rPr>
        <w:t xml:space="preserve">16 </w:t>
      </w:r>
      <w:r>
        <w:rPr>
          <w:rFonts w:cs="Arial"/>
          <w:shd w:val="clear" w:color="auto" w:fill="FFFFFF"/>
        </w:rPr>
        <w:t>(2017) 19.</w:t>
      </w:r>
      <w:r w:rsidRPr="00F65877">
        <w:rPr>
          <w:rFonts w:cs="Arial"/>
          <w:shd w:val="clear" w:color="auto" w:fill="FFFFFF"/>
        </w:rPr>
        <w:t xml:space="preserve"> </w:t>
      </w:r>
      <w:r>
        <w:rPr>
          <w:rStyle w:val="selectable"/>
          <w:rFonts w:cs="Arial"/>
        </w:rPr>
        <w:t>A</w:t>
      </w:r>
      <w:r w:rsidRPr="00F65877">
        <w:rPr>
          <w:rStyle w:val="selectable"/>
          <w:rFonts w:cs="Arial"/>
        </w:rPr>
        <w:t>t</w:t>
      </w:r>
      <w:r w:rsidRPr="00F65877">
        <w:rPr>
          <w:rFonts w:cs="Arial"/>
          <w:shd w:val="clear" w:color="auto" w:fill="FFFFFF"/>
        </w:rPr>
        <w:t xml:space="preserve"> </w:t>
      </w:r>
      <w:hyperlink r:id="rId169" w:history="1">
        <w:r w:rsidRPr="002B5AB7">
          <w:rPr>
            <w:rStyle w:val="Collegamentoipertestuale"/>
          </w:rPr>
          <w:t>http://www.aihw.gov.au/publication-detail/?id=60129558626</w:t>
        </w:r>
      </w:hyperlink>
      <w:r w:rsidRPr="00F65877">
        <w:rPr>
          <w:rFonts w:cs="Arial"/>
          <w:shd w:val="clear" w:color="auto" w:fill="FFFFFF"/>
        </w:rPr>
        <w:t xml:space="preserve"> (viewed 28 July 2017).</w:t>
      </w:r>
    </w:p>
  </w:endnote>
  <w:endnote w:id="702">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Fonts w:cs="Arial"/>
          <w:shd w:val="clear" w:color="auto" w:fill="FFFFFF"/>
        </w:rPr>
        <w:t xml:space="preserve">Australian Institute of Health and Welfare </w:t>
      </w:r>
      <w:r w:rsidRPr="00F65877">
        <w:rPr>
          <w:rStyle w:val="Enfasicorsivo"/>
          <w:rFonts w:cs="Arial"/>
          <w:shd w:val="clear" w:color="auto" w:fill="FFFFFF"/>
        </w:rPr>
        <w:t>Child protection Australia 2015</w:t>
      </w:r>
      <w:r>
        <w:rPr>
          <w:rStyle w:val="Enfasicorsivo"/>
          <w:rFonts w:cs="Arial"/>
          <w:shd w:val="clear" w:color="auto" w:fill="FFFFFF"/>
        </w:rPr>
        <w:t>–</w:t>
      </w:r>
      <w:r w:rsidRPr="00F65877">
        <w:rPr>
          <w:rStyle w:val="Enfasicorsivo"/>
          <w:rFonts w:cs="Arial"/>
          <w:shd w:val="clear" w:color="auto" w:fill="FFFFFF"/>
        </w:rPr>
        <w:t xml:space="preserve">16 </w:t>
      </w:r>
      <w:r>
        <w:rPr>
          <w:rFonts w:cs="Arial"/>
          <w:shd w:val="clear" w:color="auto" w:fill="FFFFFF"/>
        </w:rPr>
        <w:t>(2017) 19.</w:t>
      </w:r>
      <w:r w:rsidRPr="00F65877">
        <w:rPr>
          <w:rFonts w:cs="Arial"/>
          <w:shd w:val="clear" w:color="auto" w:fill="FFFFFF"/>
        </w:rPr>
        <w:t xml:space="preserve"> </w:t>
      </w:r>
      <w:r>
        <w:rPr>
          <w:rStyle w:val="selectable"/>
          <w:rFonts w:cs="Arial"/>
        </w:rPr>
        <w:t>A</w:t>
      </w:r>
      <w:r w:rsidRPr="00F65877">
        <w:rPr>
          <w:rStyle w:val="selectable"/>
          <w:rFonts w:cs="Arial"/>
        </w:rPr>
        <w:t>t</w:t>
      </w:r>
      <w:r w:rsidRPr="00F65877">
        <w:rPr>
          <w:rFonts w:cs="Arial"/>
          <w:shd w:val="clear" w:color="auto" w:fill="FFFFFF"/>
        </w:rPr>
        <w:t xml:space="preserve"> </w:t>
      </w:r>
      <w:hyperlink r:id="rId170" w:history="1">
        <w:r w:rsidRPr="002B5AB7">
          <w:rPr>
            <w:rStyle w:val="Collegamentoipertestuale"/>
          </w:rPr>
          <w:t>http://www.aihw.gov.au/publication-detail/?id=60129558626</w:t>
        </w:r>
      </w:hyperlink>
      <w:r w:rsidRPr="00F65877">
        <w:rPr>
          <w:rFonts w:cs="Arial"/>
          <w:shd w:val="clear" w:color="auto" w:fill="FFFFFF"/>
        </w:rPr>
        <w:t xml:space="preserve"> (viewed 28 July 2017).</w:t>
      </w:r>
    </w:p>
  </w:endnote>
  <w:endnote w:id="703">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Style w:val="selectable"/>
          <w:rFonts w:cs="Arial"/>
        </w:rPr>
        <w:t xml:space="preserve">Australian Institute of Family Studies, </w:t>
      </w:r>
      <w:r>
        <w:rPr>
          <w:rStyle w:val="selectable"/>
          <w:rFonts w:cs="Arial"/>
          <w:i/>
          <w:iCs/>
        </w:rPr>
        <w:t>Child Abuse a</w:t>
      </w:r>
      <w:r w:rsidRPr="00F65877">
        <w:rPr>
          <w:rStyle w:val="selectable"/>
          <w:rFonts w:cs="Arial"/>
          <w:i/>
          <w:iCs/>
        </w:rPr>
        <w:t>nd Neglect Statistics</w:t>
      </w:r>
      <w:r>
        <w:rPr>
          <w:rStyle w:val="selectable"/>
          <w:rFonts w:cs="Arial"/>
        </w:rPr>
        <w:t xml:space="preserve"> (2017). A</w:t>
      </w:r>
      <w:r w:rsidRPr="00F65877">
        <w:rPr>
          <w:rStyle w:val="selectable"/>
          <w:rFonts w:cs="Arial"/>
        </w:rPr>
        <w:t xml:space="preserve">t </w:t>
      </w:r>
      <w:hyperlink r:id="rId171" w:history="1">
        <w:r w:rsidRPr="002B5AB7">
          <w:rPr>
            <w:rStyle w:val="Collegamentoipertestuale"/>
          </w:rPr>
          <w:t>https://aifs.gov.au/cfca/publications/child-abuse-and-neglect-statistics</w:t>
        </w:r>
      </w:hyperlink>
      <w:r w:rsidRPr="00F65877">
        <w:rPr>
          <w:rStyle w:val="selectable"/>
          <w:rFonts w:cs="Arial"/>
        </w:rPr>
        <w:t xml:space="preserve"> (viewed 28 July 2017).</w:t>
      </w:r>
    </w:p>
  </w:endnote>
  <w:endnote w:id="704">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Fonts w:cs="Arial"/>
          <w:shd w:val="clear" w:color="auto" w:fill="FFFFFF"/>
        </w:rPr>
        <w:t xml:space="preserve">Australian Institute of Health and Welfare, </w:t>
      </w:r>
      <w:r w:rsidRPr="00F65877">
        <w:rPr>
          <w:rStyle w:val="Enfasicorsivo"/>
          <w:rFonts w:cs="Arial"/>
          <w:shd w:val="clear" w:color="auto" w:fill="FFFFFF"/>
        </w:rPr>
        <w:t>Child protection Australia 2015</w:t>
      </w:r>
      <w:r>
        <w:rPr>
          <w:rStyle w:val="Enfasicorsivo"/>
          <w:rFonts w:cs="Arial"/>
          <w:shd w:val="clear" w:color="auto" w:fill="FFFFFF"/>
        </w:rPr>
        <w:t>–</w:t>
      </w:r>
      <w:r w:rsidRPr="00F65877">
        <w:rPr>
          <w:rStyle w:val="Enfasicorsivo"/>
          <w:rFonts w:cs="Arial"/>
          <w:shd w:val="clear" w:color="auto" w:fill="FFFFFF"/>
        </w:rPr>
        <w:t xml:space="preserve">16 </w:t>
      </w:r>
      <w:r>
        <w:rPr>
          <w:rFonts w:cs="Arial"/>
          <w:shd w:val="clear" w:color="auto" w:fill="FFFFFF"/>
        </w:rPr>
        <w:t>(2017) 19.</w:t>
      </w:r>
      <w:r w:rsidRPr="00F65877">
        <w:rPr>
          <w:rFonts w:cs="Arial"/>
          <w:shd w:val="clear" w:color="auto" w:fill="FFFFFF"/>
        </w:rPr>
        <w:t xml:space="preserve"> </w:t>
      </w:r>
      <w:r>
        <w:rPr>
          <w:rStyle w:val="selectable"/>
          <w:rFonts w:cs="Arial"/>
        </w:rPr>
        <w:t>A</w:t>
      </w:r>
      <w:r w:rsidRPr="00F65877">
        <w:rPr>
          <w:rStyle w:val="selectable"/>
          <w:rFonts w:cs="Arial"/>
        </w:rPr>
        <w:t xml:space="preserve">t </w:t>
      </w:r>
      <w:hyperlink r:id="rId172" w:history="1">
        <w:r w:rsidRPr="002B5AB7">
          <w:rPr>
            <w:rStyle w:val="Collegamentoipertestuale"/>
          </w:rPr>
          <w:t>http://www.aihw.gov.au/publication-detail/?id=60129558626</w:t>
        </w:r>
      </w:hyperlink>
      <w:r w:rsidRPr="00F65877">
        <w:rPr>
          <w:rFonts w:cs="Arial"/>
          <w:shd w:val="clear" w:color="auto" w:fill="FFFFFF"/>
        </w:rPr>
        <w:t xml:space="preserve"> (viewed 28 July 2017).</w:t>
      </w:r>
    </w:p>
  </w:endnote>
  <w:endnote w:id="705">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Style w:val="selectable"/>
          <w:rFonts w:cs="Arial"/>
        </w:rPr>
        <w:t xml:space="preserve">Australian Institute of Family Studies, </w:t>
      </w:r>
      <w:r w:rsidRPr="00F65877">
        <w:rPr>
          <w:rStyle w:val="selectable"/>
          <w:rFonts w:cs="Arial"/>
          <w:i/>
          <w:iCs/>
        </w:rPr>
        <w:t>Child Abuse and Neglect Statistics</w:t>
      </w:r>
      <w:r>
        <w:rPr>
          <w:rStyle w:val="selectable"/>
          <w:rFonts w:cs="Arial"/>
        </w:rPr>
        <w:t xml:space="preserve"> (2017). A</w:t>
      </w:r>
      <w:r w:rsidRPr="00F65877">
        <w:rPr>
          <w:rStyle w:val="selectable"/>
          <w:rFonts w:cs="Arial"/>
        </w:rPr>
        <w:t xml:space="preserve">t </w:t>
      </w:r>
      <w:hyperlink r:id="rId173" w:history="1">
        <w:r w:rsidRPr="002B5AB7">
          <w:rPr>
            <w:rStyle w:val="Collegamentoipertestuale"/>
          </w:rPr>
          <w:t>https://aifs.gov.au/cfca/publications/child-abuse-and-neglect-statistics</w:t>
        </w:r>
      </w:hyperlink>
      <w:r w:rsidRPr="00F65877">
        <w:rPr>
          <w:rStyle w:val="selectable"/>
          <w:rFonts w:cs="Arial"/>
        </w:rPr>
        <w:t xml:space="preserve"> (viewed 28 July 2017).</w:t>
      </w:r>
    </w:p>
  </w:endnote>
  <w:endnote w:id="706">
    <w:p w:rsidR="00C3563C" w:rsidRPr="00F65877" w:rsidRDefault="00C3563C" w:rsidP="00B87D45">
      <w:pPr>
        <w:spacing w:before="0" w:after="0"/>
        <w:contextualSpacing/>
        <w:rPr>
          <w:rFonts w:cs="Arial"/>
          <w:noProof/>
          <w:sz w:val="20"/>
          <w:szCs w:val="20"/>
        </w:rPr>
      </w:pPr>
      <w:r w:rsidRPr="00F65877">
        <w:rPr>
          <w:rStyle w:val="Rimandonotadichiusura"/>
          <w:rFonts w:cs="Arial"/>
          <w:szCs w:val="20"/>
        </w:rPr>
        <w:endnoteRef/>
      </w:r>
      <w:r w:rsidRPr="00F65877">
        <w:rPr>
          <w:rFonts w:cs="Arial"/>
          <w:sz w:val="20"/>
          <w:szCs w:val="20"/>
        </w:rPr>
        <w:t xml:space="preserve"> There is variation between jurisdictions regarding who is legally obliged to report child abuse and neglect to the appropriate authority. The policies for assessing notifications and the range of activities that are categorised as investigations vary broadly across jurisdictions. Thresholds for what is substantiated also vary. Some jurisdictions substantiate the harm or risk of harm to the child and others substantiate actions by parents or incidents that may cause harm.</w:t>
      </w:r>
      <w:r w:rsidRPr="00F65877">
        <w:rPr>
          <w:rFonts w:cs="Arial"/>
          <w:noProof/>
          <w:sz w:val="20"/>
          <w:szCs w:val="20"/>
        </w:rPr>
        <w:t xml:space="preserve"> </w:t>
      </w:r>
      <w:r w:rsidRPr="00F65877">
        <w:rPr>
          <w:rFonts w:cs="Arial"/>
          <w:sz w:val="20"/>
          <w:szCs w:val="20"/>
          <w:shd w:val="clear" w:color="auto" w:fill="FFFFFF"/>
        </w:rPr>
        <w:t xml:space="preserve">Australian Institute of Health and Welfare, </w:t>
      </w:r>
      <w:r>
        <w:rPr>
          <w:rStyle w:val="Enfasicorsivo"/>
          <w:rFonts w:cs="Arial"/>
          <w:sz w:val="20"/>
          <w:szCs w:val="20"/>
          <w:shd w:val="clear" w:color="auto" w:fill="FFFFFF"/>
        </w:rPr>
        <w:t>Child protection Australia 2015–</w:t>
      </w:r>
      <w:r w:rsidRPr="00F65877">
        <w:rPr>
          <w:rStyle w:val="Enfasicorsivo"/>
          <w:rFonts w:cs="Arial"/>
          <w:sz w:val="20"/>
          <w:szCs w:val="20"/>
          <w:shd w:val="clear" w:color="auto" w:fill="FFFFFF"/>
        </w:rPr>
        <w:t xml:space="preserve">16 </w:t>
      </w:r>
      <w:r>
        <w:rPr>
          <w:rFonts w:cs="Arial"/>
          <w:sz w:val="20"/>
          <w:szCs w:val="20"/>
          <w:shd w:val="clear" w:color="auto" w:fill="FFFFFF"/>
        </w:rPr>
        <w:t>(2017) 4.</w:t>
      </w:r>
      <w:r w:rsidRPr="00F65877">
        <w:rPr>
          <w:rFonts w:cs="Arial"/>
          <w:sz w:val="20"/>
          <w:szCs w:val="20"/>
          <w:shd w:val="clear" w:color="auto" w:fill="FFFFFF"/>
        </w:rPr>
        <w:t xml:space="preserve"> </w:t>
      </w:r>
      <w:r w:rsidRPr="00BA249A">
        <w:rPr>
          <w:rStyle w:val="selectable"/>
          <w:rFonts w:cs="Arial"/>
          <w:sz w:val="20"/>
          <w:szCs w:val="20"/>
        </w:rPr>
        <w:t>At</w:t>
      </w:r>
      <w:r w:rsidRPr="00F65877">
        <w:rPr>
          <w:rFonts w:cs="Arial"/>
          <w:sz w:val="20"/>
          <w:szCs w:val="20"/>
        </w:rPr>
        <w:t xml:space="preserve"> </w:t>
      </w:r>
      <w:hyperlink r:id="rId174" w:history="1">
        <w:r w:rsidRPr="00980782">
          <w:rPr>
            <w:rStyle w:val="Collegamentoipertestuale"/>
            <w:sz w:val="20"/>
            <w:szCs w:val="20"/>
          </w:rPr>
          <w:t>http://www.aihw.gov.au/publication-detail/?id=60129558626</w:t>
        </w:r>
      </w:hyperlink>
      <w:r w:rsidRPr="00F65877">
        <w:rPr>
          <w:rFonts w:cs="Arial"/>
          <w:sz w:val="20"/>
          <w:szCs w:val="20"/>
          <w:shd w:val="clear" w:color="auto" w:fill="FFFFFF"/>
        </w:rPr>
        <w:t xml:space="preserve"> (viewed 28 July 2017).</w:t>
      </w:r>
    </w:p>
  </w:endnote>
  <w:endnote w:id="707">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Australian Bureau of Statistics, </w:t>
      </w:r>
      <w:r w:rsidRPr="00F65877">
        <w:rPr>
          <w:rFonts w:cs="Arial"/>
          <w:i/>
        </w:rPr>
        <w:t>4510.0 Recorded Crime Victims, Australia, 2016</w:t>
      </w:r>
      <w:r w:rsidRPr="00F65877">
        <w:rPr>
          <w:rFonts w:cs="Arial"/>
        </w:rPr>
        <w:t xml:space="preserve"> </w:t>
      </w:r>
      <w:r w:rsidRPr="00F65877">
        <w:rPr>
          <w:rFonts w:cs="Arial"/>
          <w:i/>
        </w:rPr>
        <w:t xml:space="preserve">(Table 2) </w:t>
      </w:r>
      <w:r>
        <w:rPr>
          <w:rFonts w:cs="Arial"/>
        </w:rPr>
        <w:t>(6 July 2017).</w:t>
      </w:r>
      <w:r w:rsidRPr="00F65877">
        <w:rPr>
          <w:rFonts w:cs="Arial"/>
        </w:rPr>
        <w:t xml:space="preserve"> </w:t>
      </w:r>
      <w:r>
        <w:rPr>
          <w:rStyle w:val="selectable"/>
          <w:rFonts w:cs="Arial"/>
        </w:rPr>
        <w:t>A</w:t>
      </w:r>
      <w:r w:rsidRPr="00F65877">
        <w:rPr>
          <w:rStyle w:val="selectable"/>
          <w:rFonts w:cs="Arial"/>
        </w:rPr>
        <w:t>t</w:t>
      </w:r>
      <w:r w:rsidRPr="00F65877">
        <w:rPr>
          <w:rFonts w:cs="Arial"/>
        </w:rPr>
        <w:t xml:space="preserve"> </w:t>
      </w:r>
      <w:hyperlink r:id="rId175" w:history="1">
        <w:r w:rsidRPr="00980782">
          <w:rPr>
            <w:rStyle w:val="Collegamentoipertestuale"/>
          </w:rPr>
          <w:t>http://www.abs.gov.au/AUSSTATS/abs@.nsf/DetailsPage/4510.02016?OpenDocument</w:t>
        </w:r>
      </w:hyperlink>
      <w:r w:rsidRPr="00980782">
        <w:rPr>
          <w:rStyle w:val="Collegamentoipertestuale"/>
        </w:rPr>
        <w:t xml:space="preserve"> </w:t>
      </w:r>
      <w:r w:rsidRPr="00F65877">
        <w:rPr>
          <w:rFonts w:cs="Arial"/>
        </w:rPr>
        <w:t xml:space="preserve">(viewed 12 September 2017). </w:t>
      </w:r>
    </w:p>
  </w:endnote>
  <w:endnote w:id="708">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Yourtown, </w:t>
      </w:r>
      <w:r w:rsidRPr="00F65877">
        <w:rPr>
          <w:rFonts w:cs="Arial"/>
          <w:i/>
        </w:rPr>
        <w:t>Kids Helpline Insights 2016: National Statistical Overview</w:t>
      </w:r>
      <w:r>
        <w:rPr>
          <w:rFonts w:cs="Arial"/>
        </w:rPr>
        <w:t xml:space="preserve"> (2017).</w:t>
      </w:r>
      <w:r w:rsidRPr="00F65877">
        <w:rPr>
          <w:rFonts w:cs="Arial"/>
        </w:rPr>
        <w:t xml:space="preserve"> </w:t>
      </w:r>
      <w:r>
        <w:rPr>
          <w:rStyle w:val="selectable"/>
          <w:rFonts w:cs="Arial"/>
        </w:rPr>
        <w:t>A</w:t>
      </w:r>
      <w:r w:rsidRPr="00F65877">
        <w:rPr>
          <w:rStyle w:val="selectable"/>
          <w:rFonts w:cs="Arial"/>
        </w:rPr>
        <w:t>t</w:t>
      </w:r>
      <w:r w:rsidRPr="00F65877">
        <w:rPr>
          <w:rFonts w:cs="Arial"/>
        </w:rPr>
        <w:t xml:space="preserve"> </w:t>
      </w:r>
      <w:hyperlink r:id="rId176" w:history="1">
        <w:r w:rsidRPr="00980782">
          <w:rPr>
            <w:rStyle w:val="Collegamentoipertestuale"/>
          </w:rPr>
          <w:t>https://www.yourtown.com.au/sites/default/files/document/KHL%20Insights%20Report%202016%20-%20Statistical%20Overview.pdf</w:t>
        </w:r>
      </w:hyperlink>
      <w:r w:rsidRPr="00F65877">
        <w:rPr>
          <w:rFonts w:cs="Arial"/>
        </w:rPr>
        <w:t xml:space="preserve"> (viewed 29 September 2017). </w:t>
      </w:r>
    </w:p>
  </w:endnote>
  <w:endnote w:id="709">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Yourtown, </w:t>
      </w:r>
      <w:r w:rsidRPr="00F65877">
        <w:rPr>
          <w:rFonts w:cs="Arial"/>
          <w:i/>
        </w:rPr>
        <w:t>Kids Helpline Insights 2016: National Statistical Overview</w:t>
      </w:r>
      <w:r>
        <w:rPr>
          <w:rFonts w:cs="Arial"/>
        </w:rPr>
        <w:t xml:space="preserve"> (2017) 50. A</w:t>
      </w:r>
      <w:r w:rsidRPr="00F65877">
        <w:rPr>
          <w:rFonts w:cs="Arial"/>
        </w:rPr>
        <w:t xml:space="preserve">t </w:t>
      </w:r>
      <w:hyperlink r:id="rId177" w:history="1">
        <w:r w:rsidRPr="00980782">
          <w:rPr>
            <w:rStyle w:val="Collegamentoipertestuale"/>
          </w:rPr>
          <w:t>https://www.yourtown.com.au/sites/default/files/document/KHL%20Insights%20Report%202016%20-%20Statistical%20Overview.pdf</w:t>
        </w:r>
      </w:hyperlink>
      <w:r w:rsidRPr="00F65877">
        <w:rPr>
          <w:rFonts w:cs="Arial"/>
        </w:rPr>
        <w:t xml:space="preserve"> (viewed 29 September 2017).</w:t>
      </w:r>
    </w:p>
  </w:endnote>
  <w:endnote w:id="710">
    <w:p w:rsidR="00C3563C" w:rsidRPr="00F65877" w:rsidRDefault="00C3563C" w:rsidP="00B87D45">
      <w:pPr>
        <w:pStyle w:val="Testonotadichiusura"/>
        <w:spacing w:before="240" w:after="240"/>
        <w:contextualSpacing/>
        <w:rPr>
          <w:rFonts w:cs="Arial"/>
        </w:rPr>
      </w:pPr>
      <w:r w:rsidRPr="00F65877">
        <w:rPr>
          <w:rStyle w:val="Rimandonotadichiusura"/>
          <w:rFonts w:cs="Arial"/>
        </w:rPr>
        <w:endnoteRef/>
      </w:r>
      <w:r w:rsidRPr="00F65877">
        <w:rPr>
          <w:rFonts w:cs="Arial"/>
        </w:rPr>
        <w:t xml:space="preserve"> Yourtown, </w:t>
      </w:r>
      <w:r w:rsidRPr="00F65877">
        <w:rPr>
          <w:rFonts w:cs="Arial"/>
          <w:i/>
        </w:rPr>
        <w:t>Kids Helpline Insights 2016: National Statistical Overview</w:t>
      </w:r>
      <w:r>
        <w:rPr>
          <w:rFonts w:cs="Arial"/>
        </w:rPr>
        <w:t xml:space="preserve"> (2017) 51. A</w:t>
      </w:r>
      <w:r w:rsidRPr="00F65877">
        <w:rPr>
          <w:rFonts w:cs="Arial"/>
        </w:rPr>
        <w:t xml:space="preserve">t </w:t>
      </w:r>
      <w:hyperlink r:id="rId178" w:history="1">
        <w:r w:rsidRPr="00980782">
          <w:rPr>
            <w:rStyle w:val="Collegamentoipertestuale"/>
          </w:rPr>
          <w:t>https://www.yourtown.com.au/sites/default/files/document/KHL%20Insights%20Report%202016%20-%20Statistical%20Overview.pdf</w:t>
        </w:r>
      </w:hyperlink>
      <w:r w:rsidRPr="00F65877">
        <w:rPr>
          <w:rFonts w:cs="Arial"/>
        </w:rPr>
        <w:t xml:space="preserve"> (viewed 29 September 2017).</w:t>
      </w:r>
    </w:p>
  </w:endnote>
  <w:endnote w:id="711">
    <w:p w:rsidR="00C3563C" w:rsidRPr="00F65877" w:rsidRDefault="00C3563C" w:rsidP="00B87D45">
      <w:pPr>
        <w:pStyle w:val="Testonotadichiusura"/>
        <w:rPr>
          <w:rFonts w:cs="Arial"/>
        </w:rPr>
      </w:pPr>
      <w:r w:rsidRPr="00F65877">
        <w:rPr>
          <w:rStyle w:val="Rimandonotadichiusura"/>
          <w:rFonts w:cs="Arial"/>
        </w:rPr>
        <w:endnoteRef/>
      </w:r>
      <w:r w:rsidRPr="00F65877">
        <w:rPr>
          <w:rFonts w:cs="Arial"/>
        </w:rPr>
        <w:t xml:space="preserve"> See for example Thomas et al, ‘Prevalence and correlates of bullying victimisation and perpetration in a nationally representative sample of Australian youth’ (2017) 51 (9) </w:t>
      </w:r>
      <w:r w:rsidRPr="00F65877">
        <w:rPr>
          <w:rFonts w:cs="Arial"/>
          <w:i/>
        </w:rPr>
        <w:t>Australian and New Zealand Journal of Psychiatry</w:t>
      </w:r>
      <w:r w:rsidRPr="00F65877">
        <w:rPr>
          <w:rFonts w:cs="Arial"/>
        </w:rPr>
        <w:t xml:space="preserve"> 909; Office of the eSafety Commissioner, </w:t>
      </w:r>
      <w:r w:rsidRPr="00F65877">
        <w:rPr>
          <w:rFonts w:cs="Arial"/>
          <w:i/>
        </w:rPr>
        <w:t>Young people’s experience with online hate, bullying and violence</w:t>
      </w:r>
      <w:r>
        <w:rPr>
          <w:rFonts w:cs="Arial"/>
        </w:rPr>
        <w:t xml:space="preserve"> (2017). A</w:t>
      </w:r>
      <w:r w:rsidRPr="00F65877">
        <w:rPr>
          <w:rFonts w:cs="Arial"/>
        </w:rPr>
        <w:t xml:space="preserve">t </w:t>
      </w:r>
      <w:hyperlink r:id="rId179" w:history="1">
        <w:r w:rsidRPr="00980782">
          <w:rPr>
            <w:rStyle w:val="Collegamentoipertestuale"/>
          </w:rPr>
          <w:t>https://www.esafety.gov.au/education-resources/iparent/online-hate-infographic</w:t>
        </w:r>
      </w:hyperlink>
      <w:r w:rsidRPr="00F65877">
        <w:rPr>
          <w:rFonts w:cs="Arial"/>
        </w:rPr>
        <w:t xml:space="preserve"> (viewed 24 October 2017). </w:t>
      </w:r>
    </w:p>
  </w:endnote>
  <w:endnote w:id="712">
    <w:p w:rsidR="00C3563C" w:rsidRPr="00F65877" w:rsidRDefault="00C3563C" w:rsidP="00B87D45">
      <w:pPr>
        <w:pStyle w:val="Testonotadichiusura"/>
        <w:rPr>
          <w:rFonts w:cs="Arial"/>
        </w:rPr>
      </w:pPr>
      <w:r w:rsidRPr="00F65877">
        <w:rPr>
          <w:rStyle w:val="Rimandonotadichiusura"/>
          <w:rFonts w:cs="Arial"/>
        </w:rPr>
        <w:endnoteRef/>
      </w:r>
      <w:r w:rsidRPr="00F65877">
        <w:rPr>
          <w:rFonts w:cs="Arial"/>
        </w:rPr>
        <w:t xml:space="preserve"> See for example Thomas et al, ‘Prevalence and correlates of bullying victimisation and perpetration in a nationally representative sample of Australian youth’ (2017) 51 (9) </w:t>
      </w:r>
      <w:r w:rsidRPr="00F65877">
        <w:rPr>
          <w:rFonts w:cs="Arial"/>
          <w:i/>
        </w:rPr>
        <w:t>Australian and New Zealand Journal of Psychiatry</w:t>
      </w:r>
      <w:r w:rsidRPr="00F65877">
        <w:rPr>
          <w:rFonts w:cs="Arial"/>
        </w:rPr>
        <w:t xml:space="preserve"> 909; ReachOut Australia, </w:t>
      </w:r>
      <w:r w:rsidRPr="00F65877">
        <w:rPr>
          <w:rFonts w:cs="Arial"/>
          <w:i/>
        </w:rPr>
        <w:t>Bullying and young Australians</w:t>
      </w:r>
      <w:r w:rsidRPr="00F65877">
        <w:rPr>
          <w:rFonts w:cs="Arial"/>
        </w:rPr>
        <w:t xml:space="preserve"> (2017)</w:t>
      </w:r>
      <w:r>
        <w:rPr>
          <w:rFonts w:cs="Arial"/>
        </w:rPr>
        <w:t>.</w:t>
      </w:r>
      <w:r>
        <w:rPr>
          <w:rFonts w:cs="Arial"/>
          <w:i/>
        </w:rPr>
        <w:t xml:space="preserve"> </w:t>
      </w:r>
      <w:r>
        <w:rPr>
          <w:rFonts w:cs="Arial"/>
        </w:rPr>
        <w:t>At</w:t>
      </w:r>
      <w:r w:rsidRPr="00F65877">
        <w:rPr>
          <w:rFonts w:cs="Arial"/>
          <w:i/>
        </w:rPr>
        <w:t xml:space="preserve"> </w:t>
      </w:r>
      <w:hyperlink r:id="rId180" w:history="1">
        <w:r w:rsidRPr="00980782">
          <w:rPr>
            <w:rStyle w:val="Collegamentoipertestuale"/>
          </w:rPr>
          <w:t>http://about.au.reachout.com/wp-content/uploads/2017/01/Bullying-Research-Summary_FINAL.pdf</w:t>
        </w:r>
      </w:hyperlink>
      <w:r w:rsidRPr="00F65877">
        <w:rPr>
          <w:rFonts w:cs="Arial"/>
        </w:rPr>
        <w:t xml:space="preserve"> (viewed 24 October 2017)</w:t>
      </w:r>
      <w:r>
        <w:rPr>
          <w:rFonts w:cs="Arial"/>
        </w:rPr>
        <w:t>.</w:t>
      </w:r>
    </w:p>
  </w:endnote>
  <w:endnote w:id="713">
    <w:p w:rsidR="00C3563C" w:rsidRPr="00F65877" w:rsidRDefault="00C3563C" w:rsidP="00B87D45">
      <w:pPr>
        <w:pStyle w:val="Testonotadichiusura"/>
        <w:rPr>
          <w:rFonts w:cs="Arial"/>
        </w:rPr>
      </w:pPr>
      <w:r w:rsidRPr="00F65877">
        <w:rPr>
          <w:rStyle w:val="Rimandonotadichiusura"/>
          <w:rFonts w:cs="Arial"/>
        </w:rPr>
        <w:endnoteRef/>
      </w:r>
      <w:r w:rsidRPr="00F65877">
        <w:rPr>
          <w:rFonts w:cs="Arial"/>
        </w:rPr>
        <w:t xml:space="preserve"> Yourtown, </w:t>
      </w:r>
      <w:r w:rsidRPr="00F65877">
        <w:rPr>
          <w:rFonts w:cs="Arial"/>
          <w:i/>
        </w:rPr>
        <w:t>Kids Helpline Insights 2016: National Statistical Overview</w:t>
      </w:r>
      <w:r>
        <w:rPr>
          <w:rFonts w:cs="Arial"/>
        </w:rPr>
        <w:t xml:space="preserve"> (2017) 52. A</w:t>
      </w:r>
      <w:r w:rsidRPr="00F65877">
        <w:rPr>
          <w:rFonts w:cs="Arial"/>
        </w:rPr>
        <w:t xml:space="preserve">t </w:t>
      </w:r>
      <w:hyperlink r:id="rId181" w:history="1">
        <w:r w:rsidRPr="00980782">
          <w:rPr>
            <w:rStyle w:val="Collegamentoipertestuale"/>
          </w:rPr>
          <w:t>https://www.yourtown.com.au/sites/default/files/document/KHL%20Insights%20Report%202016%20-%20Statistical%20Overview.pdf</w:t>
        </w:r>
      </w:hyperlink>
      <w:r w:rsidRPr="00F65877">
        <w:rPr>
          <w:rFonts w:cs="Arial"/>
        </w:rPr>
        <w:t xml:space="preserve"> (viewed 29 September 2017).</w:t>
      </w:r>
    </w:p>
  </w:endnote>
  <w:endnote w:id="714">
    <w:p w:rsidR="00C3563C" w:rsidRPr="00F65877" w:rsidRDefault="00C3563C" w:rsidP="00B87D45">
      <w:pPr>
        <w:pStyle w:val="Testonotadichiusura"/>
        <w:rPr>
          <w:rFonts w:cs="Arial"/>
        </w:rPr>
      </w:pPr>
      <w:r w:rsidRPr="00F65877">
        <w:rPr>
          <w:rStyle w:val="Rimandonotadichiusura"/>
          <w:rFonts w:cs="Arial"/>
        </w:rPr>
        <w:endnoteRef/>
      </w:r>
      <w:r w:rsidRPr="00F65877">
        <w:rPr>
          <w:rFonts w:cs="Arial"/>
        </w:rPr>
        <w:t xml:space="preserve"> Yourtown, </w:t>
      </w:r>
      <w:r w:rsidRPr="00F65877">
        <w:rPr>
          <w:rFonts w:cs="Arial"/>
          <w:i/>
        </w:rPr>
        <w:t>Kids Helpline Insights 2016: National Statistical Overview</w:t>
      </w:r>
      <w:r>
        <w:rPr>
          <w:rFonts w:cs="Arial"/>
        </w:rPr>
        <w:t xml:space="preserve"> (2017) 52. A</w:t>
      </w:r>
      <w:r w:rsidRPr="00F65877">
        <w:rPr>
          <w:rFonts w:cs="Arial"/>
        </w:rPr>
        <w:t xml:space="preserve">t </w:t>
      </w:r>
      <w:hyperlink r:id="rId182" w:history="1">
        <w:r w:rsidRPr="00980782">
          <w:rPr>
            <w:rStyle w:val="Collegamentoipertestuale"/>
          </w:rPr>
          <w:t>https://www.yourtown.com.au/sites/default/files/document/KHL%20Insights%20Report%202016%20-%20Statistical%20Overview.pdf</w:t>
        </w:r>
      </w:hyperlink>
      <w:r w:rsidRPr="00F65877">
        <w:rPr>
          <w:rFonts w:cs="Arial"/>
        </w:rPr>
        <w:t xml:space="preserve"> (viewed 29 September 2017).</w:t>
      </w:r>
    </w:p>
  </w:endnote>
  <w:endnote w:id="715">
    <w:p w:rsidR="00C3563C" w:rsidRPr="00F65877" w:rsidRDefault="00C3563C" w:rsidP="00B87D45">
      <w:pPr>
        <w:pStyle w:val="Testonotadichiusura"/>
        <w:rPr>
          <w:rFonts w:cs="Arial"/>
        </w:rPr>
      </w:pPr>
      <w:r w:rsidRPr="00F65877">
        <w:rPr>
          <w:rStyle w:val="Rimandonotadichiusura"/>
          <w:rFonts w:cs="Arial"/>
        </w:rPr>
        <w:endnoteRef/>
      </w:r>
      <w:r w:rsidRPr="00F65877">
        <w:rPr>
          <w:rFonts w:cs="Arial"/>
        </w:rPr>
        <w:t xml:space="preserve"> Yourtown, </w:t>
      </w:r>
      <w:r w:rsidRPr="00F65877">
        <w:rPr>
          <w:rFonts w:cs="Arial"/>
          <w:i/>
        </w:rPr>
        <w:t>Kids Helpline Insights 2016: National Statistical Overview</w:t>
      </w:r>
      <w:r>
        <w:rPr>
          <w:rFonts w:cs="Arial"/>
        </w:rPr>
        <w:t xml:space="preserve"> (2017) 52. A</w:t>
      </w:r>
      <w:r w:rsidRPr="00F65877">
        <w:rPr>
          <w:rFonts w:cs="Arial"/>
        </w:rPr>
        <w:t xml:space="preserve">t </w:t>
      </w:r>
      <w:hyperlink r:id="rId183" w:history="1">
        <w:r w:rsidRPr="00980782">
          <w:rPr>
            <w:rStyle w:val="Collegamentoipertestuale"/>
          </w:rPr>
          <w:t>https://www.yourtown.com.au/sites/default/files/document/KHL%20Insights%20Report%202016%20-%20Statistical%20Overview.pdf</w:t>
        </w:r>
      </w:hyperlink>
      <w:r w:rsidRPr="00F65877">
        <w:rPr>
          <w:rFonts w:cs="Arial"/>
        </w:rPr>
        <w:t xml:space="preserve"> (viewed 29 September 2017).</w:t>
      </w:r>
    </w:p>
  </w:endnote>
  <w:endnote w:id="716">
    <w:p w:rsidR="00C3563C" w:rsidRPr="00F65877" w:rsidRDefault="00C3563C" w:rsidP="00B87D45">
      <w:pPr>
        <w:pStyle w:val="Testonotadichiusura"/>
        <w:rPr>
          <w:rFonts w:cs="Arial"/>
        </w:rPr>
      </w:pPr>
      <w:r w:rsidRPr="00F65877">
        <w:rPr>
          <w:rStyle w:val="Rimandonotadichiusura"/>
          <w:rFonts w:cs="Arial"/>
        </w:rPr>
        <w:endnoteRef/>
      </w:r>
      <w:r w:rsidRPr="00F65877">
        <w:rPr>
          <w:rFonts w:cs="Arial"/>
        </w:rPr>
        <w:t xml:space="preserve"> Office of the eSafety Commissioner, </w:t>
      </w:r>
      <w:r w:rsidRPr="00F65877">
        <w:rPr>
          <w:rFonts w:cs="Arial"/>
          <w:i/>
        </w:rPr>
        <w:t>Young people’s experience with online hate, bullying and violence</w:t>
      </w:r>
      <w:r>
        <w:rPr>
          <w:rFonts w:cs="Arial"/>
        </w:rPr>
        <w:t xml:space="preserve"> (2017). A</w:t>
      </w:r>
      <w:r w:rsidRPr="00F65877">
        <w:rPr>
          <w:rFonts w:cs="Arial"/>
        </w:rPr>
        <w:t xml:space="preserve">t </w:t>
      </w:r>
      <w:hyperlink r:id="rId184" w:history="1">
        <w:r w:rsidRPr="00980782">
          <w:rPr>
            <w:rStyle w:val="Collegamentoipertestuale"/>
          </w:rPr>
          <w:t>https://www.esafety.gov.au/education-resources/iparent/online-hate-infographic</w:t>
        </w:r>
      </w:hyperlink>
      <w:r w:rsidRPr="00F65877">
        <w:rPr>
          <w:rFonts w:cs="Arial"/>
        </w:rPr>
        <w:t xml:space="preserve"> (viewed 24 October 2017).</w:t>
      </w:r>
    </w:p>
  </w:endnote>
  <w:endnote w:id="717">
    <w:p w:rsidR="00C3563C" w:rsidRPr="00F65877" w:rsidRDefault="00C3563C" w:rsidP="00B87D45">
      <w:pPr>
        <w:shd w:val="clear" w:color="auto" w:fill="FFFFFF"/>
        <w:spacing w:before="0" w:after="0"/>
        <w:contextualSpacing/>
        <w:rPr>
          <w:rFonts w:cs="Arial"/>
          <w:sz w:val="20"/>
          <w:szCs w:val="20"/>
        </w:rPr>
      </w:pPr>
      <w:r w:rsidRPr="00F65877">
        <w:rPr>
          <w:rStyle w:val="Rimandonotadichiusura"/>
          <w:rFonts w:cs="Arial"/>
          <w:szCs w:val="20"/>
        </w:rPr>
        <w:endnoteRef/>
      </w:r>
      <w:r w:rsidRPr="00F65877">
        <w:rPr>
          <w:rFonts w:cs="Arial"/>
          <w:sz w:val="20"/>
          <w:szCs w:val="20"/>
        </w:rPr>
        <w:t xml:space="preserve"> Ben Mathews et al, </w:t>
      </w:r>
      <w:r w:rsidRPr="00F65877">
        <w:rPr>
          <w:rFonts w:cs="Arial"/>
          <w:i/>
          <w:iCs/>
          <w:sz w:val="20"/>
          <w:szCs w:val="20"/>
        </w:rPr>
        <w:t>Scoping study for research into the prevalence of child abuse in Australia</w:t>
      </w:r>
      <w:r w:rsidRPr="00F65877">
        <w:rPr>
          <w:rFonts w:cs="Arial"/>
          <w:iCs/>
          <w:sz w:val="20"/>
          <w:szCs w:val="20"/>
        </w:rPr>
        <w:t xml:space="preserve"> </w:t>
      </w:r>
      <w:r>
        <w:rPr>
          <w:rFonts w:cs="Arial"/>
          <w:sz w:val="20"/>
          <w:szCs w:val="20"/>
        </w:rPr>
        <w:t>(2016). A</w:t>
      </w:r>
      <w:r w:rsidRPr="00F65877">
        <w:rPr>
          <w:rFonts w:cs="Arial"/>
          <w:sz w:val="20"/>
          <w:szCs w:val="20"/>
        </w:rPr>
        <w:t xml:space="preserve">t </w:t>
      </w:r>
      <w:hyperlink r:id="rId185" w:history="1">
        <w:r w:rsidRPr="00980782">
          <w:rPr>
            <w:rStyle w:val="Collegamentoipertestuale"/>
            <w:sz w:val="20"/>
            <w:szCs w:val="20"/>
          </w:rPr>
          <w:t>http://www.childabuseroyalcommission.gov.au/policy-and-research/our-research/published-research/scoping-study-for-research-into-the-prevalence-of</w:t>
        </w:r>
      </w:hyperlink>
      <w:r w:rsidRPr="00F65877">
        <w:rPr>
          <w:rFonts w:cs="Arial"/>
          <w:sz w:val="20"/>
          <w:szCs w:val="20"/>
        </w:rPr>
        <w:t xml:space="preserve"> (viewed 28 July 2017).</w:t>
      </w:r>
    </w:p>
  </w:endnote>
  <w:endnote w:id="718">
    <w:p w:rsidR="00C3563C" w:rsidRPr="00F65877" w:rsidRDefault="00C3563C" w:rsidP="00B87D45">
      <w:pPr>
        <w:pStyle w:val="Testonotadichiusura"/>
        <w:rPr>
          <w:rFonts w:cs="Arial"/>
        </w:rPr>
      </w:pPr>
      <w:r w:rsidRPr="00F65877">
        <w:rPr>
          <w:rStyle w:val="Rimandonotadichiusura"/>
          <w:rFonts w:cs="Arial"/>
        </w:rPr>
        <w:endnoteRef/>
      </w:r>
      <w:r w:rsidRPr="00F65877">
        <w:rPr>
          <w:rFonts w:cs="Arial"/>
        </w:rPr>
        <w:t xml:space="preserve"> Commonwealth, Royal Commission into Institutional Responses to Child Sexual Abuse, </w:t>
      </w:r>
      <w:r w:rsidRPr="00F65877">
        <w:rPr>
          <w:rFonts w:cs="Arial"/>
          <w:i/>
        </w:rPr>
        <w:t xml:space="preserve">Interim Report </w:t>
      </w:r>
      <w:r w:rsidRPr="00F65877">
        <w:rPr>
          <w:rFonts w:cs="Arial"/>
        </w:rPr>
        <w:t xml:space="preserve">(2014) vol 1, </w:t>
      </w:r>
      <w:r>
        <w:rPr>
          <w:rFonts w:cs="Arial"/>
        </w:rPr>
        <w:t>95. A</w:t>
      </w:r>
      <w:r w:rsidRPr="00F65877">
        <w:rPr>
          <w:rFonts w:cs="Arial"/>
        </w:rPr>
        <w:t xml:space="preserve">t </w:t>
      </w:r>
      <w:hyperlink r:id="rId186" w:history="1">
        <w:r w:rsidRPr="00980782">
          <w:rPr>
            <w:rStyle w:val="Collegamentoipertestuale"/>
          </w:rPr>
          <w:t>https://www.childabuseroyalcommission.gov.au/about-us/our-reports/interim-report-html</w:t>
        </w:r>
      </w:hyperlink>
      <w:r w:rsidRPr="00F65877">
        <w:rPr>
          <w:rFonts w:cs="Arial"/>
        </w:rPr>
        <w:t xml:space="preserve"> (viewed 28 July 2017).</w:t>
      </w:r>
    </w:p>
  </w:endnote>
  <w:endnote w:id="719">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Shurlee Swain, </w:t>
      </w:r>
      <w:r w:rsidRPr="00F65877">
        <w:rPr>
          <w:rFonts w:cs="Arial"/>
          <w:i/>
        </w:rPr>
        <w:t>History of Australian inquiries reviewing institutions providing care for children</w:t>
      </w:r>
      <w:r>
        <w:rPr>
          <w:rFonts w:cs="Arial"/>
        </w:rPr>
        <w:t xml:space="preserve"> (2014). A</w:t>
      </w:r>
      <w:r w:rsidRPr="00F65877">
        <w:rPr>
          <w:rFonts w:cs="Arial"/>
        </w:rPr>
        <w:t xml:space="preserve">t </w:t>
      </w:r>
      <w:hyperlink r:id="rId187" w:history="1">
        <w:r w:rsidRPr="00980782">
          <w:rPr>
            <w:rStyle w:val="Collegamentoipertestuale"/>
          </w:rPr>
          <w:t>https://childabuseroyalcommission.gov.au/policy-and-research/our-research/published-research/history-of-inquiries-reviewing-institutions-provid</w:t>
        </w:r>
      </w:hyperlink>
      <w:r w:rsidRPr="00F65877">
        <w:rPr>
          <w:rFonts w:cs="Arial"/>
        </w:rPr>
        <w:t xml:space="preserve"> (viewed 28 July 2017). </w:t>
      </w:r>
    </w:p>
  </w:endnote>
  <w:endnote w:id="720">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South Australia, Child Protection Systems Royal Commission, </w:t>
      </w:r>
      <w:r w:rsidRPr="00F65877">
        <w:rPr>
          <w:rFonts w:cs="Arial"/>
          <w:i/>
        </w:rPr>
        <w:t xml:space="preserve">The life they deserve, </w:t>
      </w:r>
      <w:r>
        <w:rPr>
          <w:rFonts w:cs="Arial"/>
        </w:rPr>
        <w:t>(2016) vol 1. A</w:t>
      </w:r>
      <w:r w:rsidRPr="00F65877">
        <w:rPr>
          <w:rFonts w:cs="Arial"/>
        </w:rPr>
        <w:t xml:space="preserve">t </w:t>
      </w:r>
      <w:hyperlink r:id="rId188" w:history="1">
        <w:r w:rsidRPr="00980782">
          <w:rPr>
            <w:rStyle w:val="Collegamentoipertestuale"/>
          </w:rPr>
          <w:t>https://www.agd.sa.gov.au/projects-and-consultations/projects-archive/child-protection-systems-royal-commission</w:t>
        </w:r>
      </w:hyperlink>
      <w:r w:rsidRPr="00F65877">
        <w:rPr>
          <w:rFonts w:cs="Arial"/>
        </w:rPr>
        <w:t xml:space="preserve"> (viewed 28 July 2017). </w:t>
      </w:r>
    </w:p>
  </w:endnote>
  <w:endnote w:id="721">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Queensland Child Protection Commission of Inquiry, </w:t>
      </w:r>
      <w:r w:rsidRPr="00F65877">
        <w:rPr>
          <w:rFonts w:cs="Arial"/>
          <w:i/>
        </w:rPr>
        <w:t>Taking Responsibility: A Roadmap for Queensland Child Protection</w:t>
      </w:r>
      <w:r>
        <w:rPr>
          <w:rFonts w:cs="Arial"/>
        </w:rPr>
        <w:t xml:space="preserve"> (2013). A</w:t>
      </w:r>
      <w:r w:rsidRPr="00F65877">
        <w:rPr>
          <w:rFonts w:cs="Arial"/>
        </w:rPr>
        <w:t xml:space="preserve">t </w:t>
      </w:r>
      <w:hyperlink r:id="rId189" w:history="1">
        <w:r w:rsidRPr="00980782">
          <w:rPr>
            <w:rStyle w:val="Collegamentoipertestuale"/>
          </w:rPr>
          <w:t>http://www.childprotectioninquiry.qld.gov.au/__data/assets/pdf_file/0017/202625/qcpci-final-report-web-version.pdf</w:t>
        </w:r>
      </w:hyperlink>
      <w:r w:rsidRPr="00F65877">
        <w:rPr>
          <w:rFonts w:cs="Arial"/>
        </w:rPr>
        <w:t xml:space="preserve"> (viewed 28 July 2017).</w:t>
      </w:r>
    </w:p>
  </w:endnote>
  <w:endnote w:id="722">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NSW Family and Communities, </w:t>
      </w:r>
      <w:r w:rsidRPr="00F65877">
        <w:rPr>
          <w:rFonts w:cs="Arial"/>
          <w:i/>
        </w:rPr>
        <w:t>Their Futures Matter: A new approach</w:t>
      </w:r>
      <w:r>
        <w:rPr>
          <w:rFonts w:cs="Arial"/>
        </w:rPr>
        <w:t xml:space="preserve"> (2016). A</w:t>
      </w:r>
      <w:r w:rsidRPr="00F65877">
        <w:rPr>
          <w:rFonts w:cs="Arial"/>
        </w:rPr>
        <w:t xml:space="preserve">t </w:t>
      </w:r>
      <w:hyperlink r:id="rId190" w:history="1">
        <w:r w:rsidRPr="00980782">
          <w:rPr>
            <w:rStyle w:val="Collegamentoipertestuale"/>
          </w:rPr>
          <w:t>http://www.theirfuturesmatter.nsw.gov.au/reform-publications-and-presentations/their-futures-matter-a-new-approach</w:t>
        </w:r>
      </w:hyperlink>
      <w:r w:rsidRPr="00F65877">
        <w:rPr>
          <w:rFonts w:cs="Arial"/>
        </w:rPr>
        <w:t xml:space="preserve"> (viewed 28 July 2017). </w:t>
      </w:r>
    </w:p>
  </w:endnote>
  <w:endnote w:id="723">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South Australia, Child Protection Systems Royal Commission, </w:t>
      </w:r>
      <w:r w:rsidRPr="00F65877">
        <w:rPr>
          <w:rFonts w:cs="Arial"/>
          <w:i/>
        </w:rPr>
        <w:t xml:space="preserve">The life they deserve, </w:t>
      </w:r>
      <w:r>
        <w:rPr>
          <w:rFonts w:cs="Arial"/>
        </w:rPr>
        <w:t>(2016) vol 1, vii. A</w:t>
      </w:r>
      <w:r w:rsidRPr="00F65877">
        <w:rPr>
          <w:rFonts w:cs="Arial"/>
        </w:rPr>
        <w:t xml:space="preserve">t </w:t>
      </w:r>
      <w:hyperlink r:id="rId191" w:history="1">
        <w:r w:rsidRPr="00F65877">
          <w:rPr>
            <w:rStyle w:val="Collegamentoipertestuale"/>
            <w:rFonts w:cs="Arial"/>
          </w:rPr>
          <w:t>https://www.agd.sa.gov.au/projects-and-consultations/projects-archive/child-protection-systems-royal-commission</w:t>
        </w:r>
      </w:hyperlink>
      <w:r w:rsidRPr="00F65877">
        <w:rPr>
          <w:rFonts w:cs="Arial"/>
        </w:rPr>
        <w:t xml:space="preserve"> (viewed 28 July 2017).</w:t>
      </w:r>
    </w:p>
  </w:endnote>
  <w:endnote w:id="724">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South Australia, Child Protection Systems Royal Commission, </w:t>
      </w:r>
      <w:r w:rsidRPr="00F65877">
        <w:rPr>
          <w:rFonts w:cs="Arial"/>
          <w:i/>
        </w:rPr>
        <w:t xml:space="preserve">The life they deserve, </w:t>
      </w:r>
      <w:r>
        <w:rPr>
          <w:rFonts w:cs="Arial"/>
        </w:rPr>
        <w:t>(2016) vol 2, 78, A</w:t>
      </w:r>
      <w:r w:rsidRPr="00F65877">
        <w:rPr>
          <w:rFonts w:cs="Arial"/>
        </w:rPr>
        <w:t xml:space="preserve">t </w:t>
      </w:r>
      <w:hyperlink r:id="rId192" w:history="1">
        <w:r w:rsidRPr="00980782">
          <w:rPr>
            <w:rStyle w:val="Collegamentoipertestuale"/>
          </w:rPr>
          <w:t>https://www.agd.sa.gov.au/projects-and-consultations/projects-archive/child-protection-systems-royal-commission</w:t>
        </w:r>
      </w:hyperlink>
      <w:r w:rsidRPr="00F65877">
        <w:rPr>
          <w:rFonts w:cs="Arial"/>
        </w:rPr>
        <w:t xml:space="preserve"> (viewed 28 July 2017).</w:t>
      </w:r>
    </w:p>
  </w:endnote>
  <w:endnote w:id="725">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South Australia, Child Protection Systems Royal Commission, </w:t>
      </w:r>
      <w:r w:rsidRPr="00F65877">
        <w:rPr>
          <w:rFonts w:cs="Arial"/>
          <w:i/>
        </w:rPr>
        <w:t xml:space="preserve">The life they deserve, </w:t>
      </w:r>
      <w:r>
        <w:rPr>
          <w:rFonts w:cs="Arial"/>
        </w:rPr>
        <w:t>(2016) vol 2. A</w:t>
      </w:r>
      <w:r w:rsidRPr="00F65877">
        <w:rPr>
          <w:rFonts w:cs="Arial"/>
        </w:rPr>
        <w:t xml:space="preserve">t </w:t>
      </w:r>
      <w:hyperlink r:id="rId193" w:history="1">
        <w:r w:rsidRPr="00980782">
          <w:rPr>
            <w:rStyle w:val="Collegamentoipertestuale"/>
          </w:rPr>
          <w:t>https://www.agd.sa.gov.au/projects-and-consultations/projects-archive/child-protection-systems-royal-commission</w:t>
        </w:r>
      </w:hyperlink>
      <w:r w:rsidRPr="00F65877">
        <w:rPr>
          <w:rFonts w:cs="Arial"/>
        </w:rPr>
        <w:t xml:space="preserve"> (viewed 28 July 2017).</w:t>
      </w:r>
    </w:p>
  </w:endnote>
  <w:endnote w:id="726">
    <w:p w:rsidR="00C3563C" w:rsidRPr="00F65877" w:rsidRDefault="00C3563C" w:rsidP="00B87D45">
      <w:pPr>
        <w:pStyle w:val="Testonotadichiusura"/>
        <w:contextualSpacing/>
        <w:rPr>
          <w:rFonts w:cs="Arial"/>
          <w:lang w:val="en-US"/>
        </w:rPr>
      </w:pPr>
      <w:r w:rsidRPr="00F65877">
        <w:rPr>
          <w:rStyle w:val="Rimandonotadichiusura"/>
          <w:rFonts w:cs="Arial"/>
        </w:rPr>
        <w:endnoteRef/>
      </w:r>
      <w:r w:rsidRPr="00F65877">
        <w:rPr>
          <w:rFonts w:cs="Arial"/>
        </w:rPr>
        <w:t xml:space="preserve"> South Australia, Child Protection Systems Royal Commission, </w:t>
      </w:r>
      <w:r w:rsidRPr="00F65877">
        <w:rPr>
          <w:rFonts w:cs="Arial"/>
          <w:i/>
        </w:rPr>
        <w:t xml:space="preserve">The life they deserve, </w:t>
      </w:r>
      <w:r>
        <w:rPr>
          <w:rFonts w:cs="Arial"/>
        </w:rPr>
        <w:t>(2016) vol 1, xvi. A</w:t>
      </w:r>
      <w:r w:rsidRPr="00F65877">
        <w:rPr>
          <w:rFonts w:cs="Arial"/>
        </w:rPr>
        <w:t xml:space="preserve">t </w:t>
      </w:r>
      <w:hyperlink r:id="rId194" w:history="1">
        <w:r w:rsidRPr="00980782">
          <w:rPr>
            <w:rStyle w:val="Collegamentoipertestuale"/>
          </w:rPr>
          <w:t>https://www.agd.sa.gov.au/projects-and-consultations/projects-archive/child-protection-systems-royal-commission</w:t>
        </w:r>
      </w:hyperlink>
      <w:r w:rsidRPr="00F65877">
        <w:rPr>
          <w:rFonts w:cs="Arial"/>
        </w:rPr>
        <w:t xml:space="preserve"> (viewed 28 July 2017).</w:t>
      </w:r>
    </w:p>
  </w:endnote>
  <w:endnote w:id="727">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South Australia, Child Protection Systems Royal Commission, </w:t>
      </w:r>
      <w:r w:rsidRPr="00F65877">
        <w:rPr>
          <w:rFonts w:cs="Arial"/>
          <w:i/>
        </w:rPr>
        <w:t xml:space="preserve">The life they deserve, </w:t>
      </w:r>
      <w:r>
        <w:rPr>
          <w:rFonts w:cs="Arial"/>
        </w:rPr>
        <w:t>(2016) vol 1, xiv. A</w:t>
      </w:r>
      <w:r w:rsidRPr="00F65877">
        <w:rPr>
          <w:rFonts w:cs="Arial"/>
        </w:rPr>
        <w:t xml:space="preserve">t </w:t>
      </w:r>
      <w:hyperlink r:id="rId195" w:history="1">
        <w:r w:rsidRPr="00B35E4E">
          <w:rPr>
            <w:rStyle w:val="Collegamentoipertestuale"/>
          </w:rPr>
          <w:t>https://www.agd.sa.gov.au/projects-and-consultations/projects-archive/child-protection-systems-royal-commission</w:t>
        </w:r>
      </w:hyperlink>
      <w:r w:rsidRPr="00F65877">
        <w:rPr>
          <w:rFonts w:cs="Arial"/>
        </w:rPr>
        <w:t xml:space="preserve"> (viewed 19 September 2017).</w:t>
      </w:r>
    </w:p>
  </w:endnote>
  <w:endnote w:id="728">
    <w:p w:rsidR="00C3563C" w:rsidRPr="00882042" w:rsidRDefault="00C3563C" w:rsidP="00B87D45">
      <w:pPr>
        <w:pStyle w:val="Testonotadichiusura"/>
      </w:pPr>
      <w:r>
        <w:rPr>
          <w:rStyle w:val="Rimandonotadichiusura"/>
        </w:rPr>
        <w:endnoteRef/>
      </w:r>
      <w:r>
        <w:t xml:space="preserve"> </w:t>
      </w:r>
      <w:r w:rsidRPr="00882042">
        <w:t xml:space="preserve">Department of Child Protection (SA), </w:t>
      </w:r>
      <w:r w:rsidRPr="00882042">
        <w:rPr>
          <w:i/>
        </w:rPr>
        <w:t xml:space="preserve">A fresh start – Progress Report, </w:t>
      </w:r>
      <w:r w:rsidRPr="00882042">
        <w:t xml:space="preserve">(2016) III. At </w:t>
      </w:r>
      <w:hyperlink r:id="rId196" w:history="1">
        <w:r w:rsidRPr="00B35E4E">
          <w:rPr>
            <w:rStyle w:val="Collegamentoipertestuale"/>
          </w:rPr>
          <w:t>https://www.childprotection.sa.gov.au/sites/g/files/net916/f/a_fresh_start_progress_report.pdf</w:t>
        </w:r>
      </w:hyperlink>
      <w:r w:rsidRPr="00882042">
        <w:t xml:space="preserve"> (viewed 24 October 2017)</w:t>
      </w:r>
      <w:r>
        <w:t>.</w:t>
      </w:r>
    </w:p>
  </w:endnote>
  <w:endnote w:id="729">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South Australia, Child Protection Systems Royal Commission, </w:t>
      </w:r>
      <w:r w:rsidRPr="00F65877">
        <w:rPr>
          <w:rFonts w:cs="Arial"/>
          <w:i/>
        </w:rPr>
        <w:t xml:space="preserve">The life they deserve, </w:t>
      </w:r>
      <w:r>
        <w:rPr>
          <w:rFonts w:cs="Arial"/>
        </w:rPr>
        <w:t xml:space="preserve">(2016) vol 1, </w:t>
      </w:r>
      <w:r w:rsidRPr="00572106">
        <w:t>xxxii</w:t>
      </w:r>
      <w:r>
        <w:rPr>
          <w:rStyle w:val="Enfasicorsivo"/>
          <w:rFonts w:cs="Arial"/>
          <w:shd w:val="clear" w:color="auto" w:fill="FFFFFF"/>
        </w:rPr>
        <w:t>–</w:t>
      </w:r>
      <w:r w:rsidRPr="00572106">
        <w:t>l</w:t>
      </w:r>
      <w:r>
        <w:rPr>
          <w:rFonts w:cs="Arial"/>
        </w:rPr>
        <w:t>. A</w:t>
      </w:r>
      <w:r w:rsidRPr="00F65877">
        <w:rPr>
          <w:rFonts w:cs="Arial"/>
        </w:rPr>
        <w:t xml:space="preserve">t </w:t>
      </w:r>
      <w:hyperlink r:id="rId197" w:history="1">
        <w:r w:rsidRPr="00B35E4E">
          <w:rPr>
            <w:rStyle w:val="Collegamentoipertestuale"/>
          </w:rPr>
          <w:t>https://www.agd.sa.gov.au/projects-and-consultations/projects-archive/child-protection-systems-royal-commission</w:t>
        </w:r>
      </w:hyperlink>
      <w:r w:rsidRPr="00F65877">
        <w:rPr>
          <w:rFonts w:cs="Arial"/>
        </w:rPr>
        <w:t xml:space="preserve"> (viewed 19 September 2017).</w:t>
      </w:r>
    </w:p>
  </w:endnote>
  <w:endnote w:id="730">
    <w:p w:rsidR="00C3563C" w:rsidRDefault="00C3563C" w:rsidP="00B87D45">
      <w:pPr>
        <w:pStyle w:val="Testonotadichiusura"/>
      </w:pPr>
      <w:r>
        <w:rPr>
          <w:rStyle w:val="Rimandonotadichiusura"/>
        </w:rPr>
        <w:endnoteRef/>
      </w:r>
      <w:r>
        <w:t xml:space="preserve"> </w:t>
      </w:r>
      <w:r w:rsidRPr="00882042">
        <w:t xml:space="preserve">Department of Child Protection (SA), </w:t>
      </w:r>
      <w:r>
        <w:rPr>
          <w:i/>
        </w:rPr>
        <w:t>A fresh start —</w:t>
      </w:r>
      <w:r w:rsidRPr="00882042">
        <w:rPr>
          <w:i/>
        </w:rPr>
        <w:t xml:space="preserve"> Progress Report, </w:t>
      </w:r>
      <w:r w:rsidRPr="00882042">
        <w:t xml:space="preserve">(2016) III. At </w:t>
      </w:r>
      <w:hyperlink r:id="rId198" w:history="1">
        <w:r w:rsidRPr="00B35E4E">
          <w:rPr>
            <w:rStyle w:val="Collegamentoipertestuale"/>
          </w:rPr>
          <w:t>https://www.childprotection.sa.gov.au/sites/g/files/net916/f/a_fresh_start_progress_report.pdf</w:t>
        </w:r>
      </w:hyperlink>
      <w:r w:rsidRPr="00882042">
        <w:t xml:space="preserve"> (viewed 24 October 2017)</w:t>
      </w:r>
      <w:r>
        <w:t>.</w:t>
      </w:r>
    </w:p>
  </w:endnote>
  <w:endnote w:id="731">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Queensland Family and Child Commission, </w:t>
      </w:r>
      <w:r>
        <w:rPr>
          <w:rFonts w:cs="Arial"/>
          <w:i/>
        </w:rPr>
        <w:t>When a child is missing — Remembering Tiahleigh —</w:t>
      </w:r>
      <w:r w:rsidRPr="00F65877">
        <w:rPr>
          <w:rFonts w:cs="Arial"/>
          <w:i/>
        </w:rPr>
        <w:t xml:space="preserve"> A report into Queensland’s children missing from out of home </w:t>
      </w:r>
      <w:r>
        <w:rPr>
          <w:rFonts w:cs="Arial"/>
        </w:rPr>
        <w:t>care (2016) 5. A</w:t>
      </w:r>
      <w:r w:rsidRPr="00F65877">
        <w:rPr>
          <w:rFonts w:cs="Arial"/>
        </w:rPr>
        <w:t xml:space="preserve">t </w:t>
      </w:r>
      <w:hyperlink r:id="rId199" w:history="1">
        <w:r w:rsidRPr="00B35E4E">
          <w:rPr>
            <w:rStyle w:val="Collegamentoipertestuale"/>
          </w:rPr>
          <w:t>http://www.qfcc.qld.gov.au/sites/default/files/For%20professionals/when-a-child-is-missing-report.pdf</w:t>
        </w:r>
      </w:hyperlink>
      <w:r w:rsidRPr="00F65877">
        <w:rPr>
          <w:rFonts w:cs="Arial"/>
        </w:rPr>
        <w:t xml:space="preserve"> (viewed 19 September 2017)</w:t>
      </w:r>
      <w:r>
        <w:rPr>
          <w:rFonts w:cs="Arial"/>
        </w:rPr>
        <w:t>.</w:t>
      </w:r>
    </w:p>
  </w:endnote>
  <w:endnote w:id="732">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Queensland Family and Child Commission, </w:t>
      </w:r>
      <w:r w:rsidRPr="00F65877">
        <w:rPr>
          <w:rFonts w:cs="Arial"/>
          <w:i/>
        </w:rPr>
        <w:t xml:space="preserve">When a child is </w:t>
      </w:r>
      <w:r>
        <w:rPr>
          <w:rFonts w:cs="Arial"/>
          <w:i/>
        </w:rPr>
        <w:t>missing — Remembering Tiahleigh —</w:t>
      </w:r>
      <w:r w:rsidRPr="00F65877">
        <w:rPr>
          <w:rFonts w:cs="Arial"/>
          <w:i/>
        </w:rPr>
        <w:t xml:space="preserve"> A report into Queensland’s children missing from out of home </w:t>
      </w:r>
      <w:r>
        <w:rPr>
          <w:rFonts w:cs="Arial"/>
        </w:rPr>
        <w:t>care (2016) 8. A</w:t>
      </w:r>
      <w:r w:rsidRPr="00F65877">
        <w:rPr>
          <w:rFonts w:cs="Arial"/>
        </w:rPr>
        <w:t xml:space="preserve">t </w:t>
      </w:r>
      <w:hyperlink r:id="rId200" w:history="1">
        <w:r w:rsidRPr="00B35E4E">
          <w:rPr>
            <w:rStyle w:val="Collegamentoipertestuale"/>
          </w:rPr>
          <w:t>http://www.qfcc.qld.gov.au/sites/default/files/For%20professionals/when-a-child-is-missing-report.pdf</w:t>
        </w:r>
      </w:hyperlink>
      <w:r>
        <w:rPr>
          <w:rStyle w:val="Collegamentoipertestuale"/>
          <w:rFonts w:cs="Arial"/>
        </w:rPr>
        <w:t xml:space="preserve"> </w:t>
      </w:r>
      <w:r w:rsidRPr="00F65877">
        <w:rPr>
          <w:rFonts w:cs="Arial"/>
        </w:rPr>
        <w:t>(viewed 19 September 2017)</w:t>
      </w:r>
      <w:r>
        <w:rPr>
          <w:rFonts w:cs="Arial"/>
        </w:rPr>
        <w:t>.</w:t>
      </w:r>
    </w:p>
  </w:endnote>
  <w:endnote w:id="733">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Queensland Family and Child Commission, </w:t>
      </w:r>
      <w:r>
        <w:rPr>
          <w:rFonts w:cs="Arial"/>
          <w:i/>
        </w:rPr>
        <w:t>When a child is missing —</w:t>
      </w:r>
      <w:r w:rsidRPr="00F65877">
        <w:rPr>
          <w:rFonts w:cs="Arial"/>
          <w:i/>
        </w:rPr>
        <w:t xml:space="preserve"> Remembering Tiahleigh</w:t>
      </w:r>
      <w:r>
        <w:rPr>
          <w:rFonts w:cs="Arial"/>
          <w:i/>
        </w:rPr>
        <w:t xml:space="preserve"> —</w:t>
      </w:r>
      <w:r w:rsidRPr="00F65877">
        <w:rPr>
          <w:rFonts w:cs="Arial"/>
          <w:i/>
        </w:rPr>
        <w:t xml:space="preserve"> A report into Queensland’s children missing from out of home </w:t>
      </w:r>
      <w:r>
        <w:rPr>
          <w:rFonts w:cs="Arial"/>
        </w:rPr>
        <w:t>care (2016) 69. A</w:t>
      </w:r>
      <w:r w:rsidRPr="00F65877">
        <w:rPr>
          <w:rFonts w:cs="Arial"/>
        </w:rPr>
        <w:t xml:space="preserve">t </w:t>
      </w:r>
      <w:hyperlink r:id="rId201" w:history="1">
        <w:r w:rsidRPr="00B35E4E">
          <w:rPr>
            <w:rStyle w:val="Collegamentoipertestuale"/>
          </w:rPr>
          <w:t>http://www.qfcc.qld.gov.au/sites/default/files/For%20professionals/when-a-child-is-missing-report.pdf</w:t>
        </w:r>
      </w:hyperlink>
      <w:r>
        <w:rPr>
          <w:rFonts w:cs="Arial"/>
        </w:rPr>
        <w:t xml:space="preserve"> </w:t>
      </w:r>
      <w:r w:rsidRPr="00F65877">
        <w:rPr>
          <w:rFonts w:cs="Arial"/>
        </w:rPr>
        <w:t>(viewed 19 September 2017)</w:t>
      </w:r>
      <w:r>
        <w:rPr>
          <w:rFonts w:cs="Arial"/>
        </w:rPr>
        <w:t>.</w:t>
      </w:r>
    </w:p>
  </w:endnote>
  <w:endnote w:id="734">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Queensland Family and Child Commission, </w:t>
      </w:r>
      <w:r>
        <w:rPr>
          <w:rFonts w:cs="Arial"/>
          <w:i/>
        </w:rPr>
        <w:t>When a child is missing — Remembering Tiahleigh —</w:t>
      </w:r>
      <w:r w:rsidRPr="00F65877">
        <w:rPr>
          <w:rFonts w:cs="Arial"/>
          <w:i/>
        </w:rPr>
        <w:t xml:space="preserve"> A report into Queensland’s children missing from out of home </w:t>
      </w:r>
      <w:r>
        <w:rPr>
          <w:rFonts w:cs="Arial"/>
        </w:rPr>
        <w:t>care (2016) 8. A</w:t>
      </w:r>
      <w:r w:rsidRPr="00F65877">
        <w:rPr>
          <w:rFonts w:cs="Arial"/>
        </w:rPr>
        <w:t xml:space="preserve">t </w:t>
      </w:r>
      <w:hyperlink r:id="rId202" w:history="1">
        <w:r w:rsidRPr="00B35E4E">
          <w:rPr>
            <w:rStyle w:val="Collegamentoipertestuale"/>
          </w:rPr>
          <w:t>http://www.qfcc.qld.gov.au/sites/default/files/For%20professionals/when-a-child-is-missing-report.pdf</w:t>
        </w:r>
      </w:hyperlink>
      <w:r>
        <w:rPr>
          <w:rFonts w:cs="Arial"/>
        </w:rPr>
        <w:t xml:space="preserve"> </w:t>
      </w:r>
      <w:r w:rsidRPr="00F65877">
        <w:rPr>
          <w:rFonts w:cs="Arial"/>
        </w:rPr>
        <w:t>(viewed 19 September 2017)</w:t>
      </w:r>
      <w:r>
        <w:rPr>
          <w:rFonts w:cs="Arial"/>
        </w:rPr>
        <w:t>.</w:t>
      </w:r>
    </w:p>
  </w:endnote>
  <w:endnote w:id="735">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Queensland Family and Child Commission, </w:t>
      </w:r>
      <w:r>
        <w:rPr>
          <w:rFonts w:cs="Arial"/>
          <w:i/>
        </w:rPr>
        <w:t>When a child is missing — Remembering Tiahleigh —</w:t>
      </w:r>
      <w:r w:rsidRPr="00F65877">
        <w:rPr>
          <w:rFonts w:cs="Arial"/>
          <w:i/>
        </w:rPr>
        <w:t xml:space="preserve"> A report into Queensland’s children missing from out of home </w:t>
      </w:r>
      <w:r>
        <w:rPr>
          <w:rFonts w:cs="Arial"/>
        </w:rPr>
        <w:t>care (2016) 9. A</w:t>
      </w:r>
      <w:r w:rsidRPr="00F65877">
        <w:rPr>
          <w:rFonts w:cs="Arial"/>
        </w:rPr>
        <w:t xml:space="preserve">t </w:t>
      </w:r>
      <w:hyperlink r:id="rId203" w:history="1">
        <w:r w:rsidRPr="00B35E4E">
          <w:rPr>
            <w:rStyle w:val="Collegamentoipertestuale"/>
          </w:rPr>
          <w:t>http://www.qfcc.qld.gov.au/sites/default/files/For%20professionals/when-a-child-is-missing-report.pdf</w:t>
        </w:r>
      </w:hyperlink>
      <w:r>
        <w:rPr>
          <w:rFonts w:cs="Arial"/>
        </w:rPr>
        <w:t xml:space="preserve"> </w:t>
      </w:r>
      <w:r w:rsidRPr="00F65877">
        <w:rPr>
          <w:rFonts w:cs="Arial"/>
        </w:rPr>
        <w:t>(viewed 19 September 2017)</w:t>
      </w:r>
      <w:r>
        <w:rPr>
          <w:rFonts w:cs="Arial"/>
        </w:rPr>
        <w:t xml:space="preserve">. </w:t>
      </w:r>
    </w:p>
  </w:endnote>
  <w:endnote w:id="736">
    <w:p w:rsidR="00C3563C" w:rsidRPr="00295C55" w:rsidRDefault="00C3563C" w:rsidP="00B87D45">
      <w:pPr>
        <w:pStyle w:val="Testonotadichiusura"/>
      </w:pPr>
      <w:r>
        <w:rPr>
          <w:rStyle w:val="Rimandonotadichiusura"/>
        </w:rPr>
        <w:endnoteRef/>
      </w:r>
      <w:r>
        <w:t xml:space="preserve"> Queensland Family and Child Commission, </w:t>
      </w:r>
      <w:r>
        <w:rPr>
          <w:i/>
        </w:rPr>
        <w:t>Recommendation 28 Supplementary Review</w:t>
      </w:r>
      <w:r>
        <w:t xml:space="preserve"> </w:t>
      </w:r>
      <w:r>
        <w:rPr>
          <w:i/>
        </w:rPr>
        <w:t xml:space="preserve">— A report on </w:t>
      </w:r>
      <w:r w:rsidRPr="007B77A7">
        <w:rPr>
          <w:i/>
        </w:rPr>
        <w:t>information sharing to enhance the safety of children in regulated home-based services</w:t>
      </w:r>
      <w:r w:rsidRPr="007B77A7">
        <w:t xml:space="preserve"> (2016) 2. At </w:t>
      </w:r>
      <w:hyperlink r:id="rId204" w:history="1">
        <w:r w:rsidRPr="001420C5">
          <w:rPr>
            <w:rStyle w:val="Collegamentoipertestuale"/>
          </w:rPr>
          <w:t>http://www.qfcc.qld.gov.au/sites/default/files/For%20professionals/recommendation-28-supplementary-review.pdf</w:t>
        </w:r>
      </w:hyperlink>
      <w:r w:rsidRPr="007B77A7">
        <w:t xml:space="preserve"> </w:t>
      </w:r>
      <w:r>
        <w:t>(viewed 24 October 2017).</w:t>
      </w:r>
    </w:p>
  </w:endnote>
  <w:endnote w:id="737">
    <w:p w:rsidR="00C3563C" w:rsidRPr="00F65877" w:rsidRDefault="00C3563C" w:rsidP="00B87D45">
      <w:pPr>
        <w:pStyle w:val="Testonotadichiusura"/>
        <w:contextualSpacing/>
        <w:rPr>
          <w:rFonts w:cs="Arial"/>
          <w:lang w:val="en-US"/>
        </w:rPr>
      </w:pPr>
      <w:r w:rsidRPr="00F65877">
        <w:rPr>
          <w:rStyle w:val="Rimandonotadichiusura"/>
          <w:rFonts w:cs="Arial"/>
        </w:rPr>
        <w:endnoteRef/>
      </w:r>
      <w:r w:rsidRPr="00F65877">
        <w:rPr>
          <w:rFonts w:cs="Arial"/>
        </w:rPr>
        <w:t xml:space="preserve"> NSW Family and Communities, </w:t>
      </w:r>
      <w:r w:rsidRPr="00F65877">
        <w:rPr>
          <w:rFonts w:cs="Arial"/>
          <w:i/>
        </w:rPr>
        <w:t>Their Futures Matter: A new approach</w:t>
      </w:r>
      <w:r>
        <w:rPr>
          <w:rFonts w:cs="Arial"/>
        </w:rPr>
        <w:t xml:space="preserve"> (2016) 2. A</w:t>
      </w:r>
      <w:r w:rsidRPr="00F65877">
        <w:rPr>
          <w:rFonts w:cs="Arial"/>
        </w:rPr>
        <w:t xml:space="preserve">t </w:t>
      </w:r>
      <w:hyperlink r:id="rId205" w:history="1">
        <w:r w:rsidRPr="001420C5">
          <w:rPr>
            <w:rStyle w:val="Collegamentoipertestuale"/>
          </w:rPr>
          <w:t>http://www.theirfuturesmatter.nsw.gov.au/reform-publications-and-presentations/their-futures-matter-a-new-approach</w:t>
        </w:r>
      </w:hyperlink>
      <w:r w:rsidRPr="00F65877">
        <w:rPr>
          <w:rFonts w:cs="Arial"/>
        </w:rPr>
        <w:t xml:space="preserve"> (viewed 28 July 2017).</w:t>
      </w:r>
    </w:p>
  </w:endnote>
  <w:endnote w:id="738">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NSW Family and Communities, </w:t>
      </w:r>
      <w:r w:rsidRPr="00F65877">
        <w:rPr>
          <w:rFonts w:cs="Arial"/>
          <w:i/>
        </w:rPr>
        <w:t>Their Futures Matter: A new approach</w:t>
      </w:r>
      <w:r>
        <w:rPr>
          <w:rFonts w:cs="Arial"/>
        </w:rPr>
        <w:t xml:space="preserve"> (2016). A</w:t>
      </w:r>
      <w:r w:rsidRPr="00F65877">
        <w:rPr>
          <w:rFonts w:cs="Arial"/>
        </w:rPr>
        <w:t xml:space="preserve">t </w:t>
      </w:r>
      <w:hyperlink r:id="rId206" w:history="1">
        <w:r w:rsidRPr="001420C5">
          <w:rPr>
            <w:rStyle w:val="Collegamentoipertestuale"/>
          </w:rPr>
          <w:t>http://www.theirfuturesmatter.nsw.gov.au/reform-publications-and-presentations/their-futures-matter-a-new-approach</w:t>
        </w:r>
      </w:hyperlink>
      <w:r w:rsidRPr="00F65877">
        <w:rPr>
          <w:rFonts w:cs="Arial"/>
        </w:rPr>
        <w:t xml:space="preserve"> (viewed 28 July 2017).</w:t>
      </w:r>
    </w:p>
  </w:endnote>
  <w:endnote w:id="739">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General Purpose Standing Committee No.</w:t>
      </w:r>
      <w:r>
        <w:rPr>
          <w:rFonts w:cs="Arial"/>
        </w:rPr>
        <w:t xml:space="preserve"> </w:t>
      </w:r>
      <w:r w:rsidRPr="00F65877">
        <w:rPr>
          <w:rFonts w:cs="Arial"/>
        </w:rPr>
        <w:t xml:space="preserve">2, NSW Legislative Council, </w:t>
      </w:r>
      <w:r w:rsidRPr="00F65877">
        <w:rPr>
          <w:rFonts w:cs="Arial"/>
          <w:i/>
        </w:rPr>
        <w:t>Child Protection</w:t>
      </w:r>
      <w:r w:rsidRPr="00F65877">
        <w:rPr>
          <w:rFonts w:cs="Arial"/>
        </w:rPr>
        <w:t xml:space="preserve"> </w:t>
      </w:r>
      <w:r>
        <w:rPr>
          <w:rFonts w:cs="Arial"/>
        </w:rPr>
        <w:t>(2017) 36–38, [2.104]–[2.117]. A</w:t>
      </w:r>
      <w:r w:rsidRPr="00F65877">
        <w:rPr>
          <w:rFonts w:cs="Arial"/>
        </w:rPr>
        <w:t xml:space="preserve">t </w:t>
      </w:r>
      <w:hyperlink r:id="rId207" w:history="1">
        <w:r w:rsidRPr="001420C5">
          <w:rPr>
            <w:rStyle w:val="Collegamentoipertestuale"/>
          </w:rPr>
          <w:t>https://www.parliament.nsw.gov.au/committees/DBAssets/InquiryReport/ReportAcrobat/6106/Final%20report%20-%20Child%20protection.pdf</w:t>
        </w:r>
      </w:hyperlink>
      <w:r w:rsidRPr="00F65877">
        <w:rPr>
          <w:rFonts w:cs="Arial"/>
        </w:rPr>
        <w:t xml:space="preserve"> (viewed 24 October 2017). </w:t>
      </w:r>
    </w:p>
  </w:endnote>
  <w:endnote w:id="740">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Commonwealth, Royal Commission into the Protection and Detention of Children in the Northern Territory, </w:t>
      </w:r>
      <w:r w:rsidRPr="00F65877">
        <w:rPr>
          <w:rFonts w:cs="Arial"/>
          <w:i/>
        </w:rPr>
        <w:t xml:space="preserve">Letters Patent </w:t>
      </w:r>
      <w:r>
        <w:rPr>
          <w:rFonts w:cs="Arial"/>
        </w:rPr>
        <w:t>(2016). A</w:t>
      </w:r>
      <w:r w:rsidRPr="00F65877">
        <w:rPr>
          <w:rFonts w:cs="Arial"/>
        </w:rPr>
        <w:t xml:space="preserve">t </w:t>
      </w:r>
      <w:hyperlink r:id="rId208" w:history="1">
        <w:r w:rsidRPr="001420C5">
          <w:rPr>
            <w:rStyle w:val="Collegamentoipertestuale"/>
          </w:rPr>
          <w:t>https://childdetentionnt.royalcommission.gov.au/about-us/Documents/Letters-Patent-child-detention-NT.pdf</w:t>
        </w:r>
      </w:hyperlink>
      <w:r>
        <w:rPr>
          <w:rFonts w:cs="Arial"/>
        </w:rPr>
        <w:t xml:space="preserve"> (viewed 11 August 2017). </w:t>
      </w:r>
    </w:p>
  </w:endnote>
  <w:endnote w:id="741">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Commonwealth, Royal Commission into the Protection and Detention of Children in the Northern Territory, </w:t>
      </w:r>
      <w:r w:rsidRPr="00F65877">
        <w:rPr>
          <w:rFonts w:cs="Arial"/>
          <w:i/>
        </w:rPr>
        <w:t>Interim Report</w:t>
      </w:r>
      <w:r>
        <w:rPr>
          <w:rFonts w:cs="Arial"/>
        </w:rPr>
        <w:t xml:space="preserve"> (2017). A</w:t>
      </w:r>
      <w:r w:rsidRPr="00F65877">
        <w:rPr>
          <w:rFonts w:cs="Arial"/>
        </w:rPr>
        <w:t xml:space="preserve">t </w:t>
      </w:r>
      <w:hyperlink r:id="rId209" w:history="1">
        <w:r w:rsidRPr="001420C5">
          <w:rPr>
            <w:rStyle w:val="Collegamentoipertestuale"/>
          </w:rPr>
          <w:t>https://childdetentionnt.royalcommission.gov.au/about-us/Documents/RCNT-Interim-report.pdf</w:t>
        </w:r>
      </w:hyperlink>
      <w:r w:rsidRPr="00F65877">
        <w:rPr>
          <w:rFonts w:cs="Arial"/>
        </w:rPr>
        <w:t xml:space="preserve"> (viewed 28 July 2017). </w:t>
      </w:r>
    </w:p>
  </w:endnote>
  <w:endnote w:id="742">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Royal Commission into the Institutional Responses to Child Sexual Abuse, </w:t>
      </w:r>
      <w:r w:rsidRPr="00F65877">
        <w:rPr>
          <w:rFonts w:cs="Arial"/>
          <w:i/>
        </w:rPr>
        <w:t>Terms of Reference</w:t>
      </w:r>
      <w:r>
        <w:rPr>
          <w:rFonts w:cs="Arial"/>
        </w:rPr>
        <w:t>, 2014. A</w:t>
      </w:r>
      <w:r w:rsidRPr="00F65877">
        <w:rPr>
          <w:rFonts w:cs="Arial"/>
        </w:rPr>
        <w:t xml:space="preserve">t </w:t>
      </w:r>
      <w:hyperlink r:id="rId210" w:history="1">
        <w:r w:rsidRPr="001420C5">
          <w:rPr>
            <w:rStyle w:val="Collegamentoipertestuale"/>
          </w:rPr>
          <w:t>http://www.childabuseroyalcommission.gov.au/about-us/terms-of-reference</w:t>
        </w:r>
      </w:hyperlink>
      <w:r w:rsidRPr="00F65877">
        <w:rPr>
          <w:rFonts w:cs="Arial"/>
        </w:rPr>
        <w:t xml:space="preserve"> (viewed 11 August 2017). </w:t>
      </w:r>
    </w:p>
  </w:endnote>
  <w:endnote w:id="743">
    <w:p w:rsidR="00C3563C" w:rsidRPr="00F65877" w:rsidRDefault="00C3563C" w:rsidP="00B87D45">
      <w:pPr>
        <w:pStyle w:val="Testonotadichiusura"/>
        <w:rPr>
          <w:rFonts w:cs="Arial"/>
        </w:rPr>
      </w:pPr>
      <w:r w:rsidRPr="00F65877">
        <w:rPr>
          <w:rStyle w:val="Rimandonotadichiusura"/>
          <w:rFonts w:cs="Arial"/>
        </w:rPr>
        <w:endnoteRef/>
      </w:r>
      <w:r w:rsidRPr="00F65877">
        <w:rPr>
          <w:rFonts w:cs="Arial"/>
        </w:rPr>
        <w:t xml:space="preserve"> Commonwealth, Royal Commission into Institutional Responses to Child Sexual Abuse, </w:t>
      </w:r>
      <w:r w:rsidRPr="00F65877">
        <w:rPr>
          <w:rFonts w:cs="Arial"/>
          <w:i/>
        </w:rPr>
        <w:t xml:space="preserve">Interim Report </w:t>
      </w:r>
      <w:r>
        <w:rPr>
          <w:rFonts w:cs="Arial"/>
        </w:rPr>
        <w:t>(2014) vol 1, 41. A</w:t>
      </w:r>
      <w:r w:rsidRPr="00F65877">
        <w:rPr>
          <w:rFonts w:cs="Arial"/>
        </w:rPr>
        <w:t xml:space="preserve">t </w:t>
      </w:r>
      <w:hyperlink r:id="rId211" w:history="1">
        <w:r w:rsidRPr="001420C5">
          <w:rPr>
            <w:rStyle w:val="Collegamentoipertestuale"/>
          </w:rPr>
          <w:t>https://www.childabuseroyalcommission.gov.au/about-us/our-reports/interim-report-html</w:t>
        </w:r>
      </w:hyperlink>
      <w:r w:rsidRPr="00F65877">
        <w:rPr>
          <w:rFonts w:cs="Arial"/>
        </w:rPr>
        <w:t xml:space="preserve"> (viewed 28 July 2017).</w:t>
      </w:r>
    </w:p>
  </w:endnote>
  <w:endnote w:id="744">
    <w:p w:rsidR="00C3563C" w:rsidRPr="00F65877" w:rsidRDefault="00C3563C" w:rsidP="00B87D45">
      <w:pPr>
        <w:pStyle w:val="Testonotadichiusura"/>
        <w:rPr>
          <w:rFonts w:cs="Arial"/>
        </w:rPr>
      </w:pPr>
      <w:r w:rsidRPr="00F65877">
        <w:rPr>
          <w:rStyle w:val="Rimandonotadichiusura"/>
          <w:rFonts w:cs="Arial"/>
        </w:rPr>
        <w:endnoteRef/>
      </w:r>
      <w:r w:rsidRPr="00F65877">
        <w:rPr>
          <w:rFonts w:cs="Arial"/>
        </w:rPr>
        <w:t xml:space="preserve"> Royal Commission into Institutional Responses to Child Sexual Abuse in Institutional Contexts, </w:t>
      </w:r>
      <w:r w:rsidRPr="00F65877">
        <w:rPr>
          <w:rFonts w:cs="Arial"/>
          <w:i/>
        </w:rPr>
        <w:t>Terms of Reference</w:t>
      </w:r>
      <w:r>
        <w:rPr>
          <w:rFonts w:cs="Arial"/>
        </w:rPr>
        <w:t>, 2014. At</w:t>
      </w:r>
      <w:r w:rsidRPr="00F65877">
        <w:rPr>
          <w:rFonts w:cs="Arial"/>
        </w:rPr>
        <w:t xml:space="preserve"> </w:t>
      </w:r>
      <w:hyperlink r:id="rId212" w:history="1">
        <w:r w:rsidRPr="001420C5">
          <w:rPr>
            <w:rStyle w:val="Collegamentoipertestuale"/>
          </w:rPr>
          <w:t>https://www.childabuseroyalcommission.gov.au/about-us/terms-of-reference</w:t>
        </w:r>
      </w:hyperlink>
      <w:r w:rsidRPr="00F65877">
        <w:rPr>
          <w:rFonts w:cs="Arial"/>
        </w:rPr>
        <w:t xml:space="preserve"> (viewed 25 October 2017).</w:t>
      </w:r>
    </w:p>
  </w:endnote>
  <w:endnote w:id="745">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This number is current as at 1 September 2017. Royal Commission into Institutional Responses to Child Se</w:t>
      </w:r>
      <w:r>
        <w:rPr>
          <w:rFonts w:cs="Arial"/>
        </w:rPr>
        <w:t>xual Abuse (1 September 2017). A</w:t>
      </w:r>
      <w:r w:rsidRPr="00F65877">
        <w:rPr>
          <w:rFonts w:cs="Arial"/>
        </w:rPr>
        <w:t xml:space="preserve">t </w:t>
      </w:r>
      <w:hyperlink r:id="rId213" w:history="1">
        <w:r w:rsidRPr="001420C5">
          <w:rPr>
            <w:rStyle w:val="Collegamentoipertestuale"/>
          </w:rPr>
          <w:t>http://www.childabuseroyalcommission.gov.au/</w:t>
        </w:r>
      </w:hyperlink>
      <w:r w:rsidRPr="00F65877">
        <w:rPr>
          <w:rFonts w:cs="Arial"/>
        </w:rPr>
        <w:t xml:space="preserve"> (viewed 14 September 2017). The date of the first private session is recorded in volume 1 of the Interim Report: Commonwealth, Royal Commission into Institutional Responses to Child Sexual Abuse, </w:t>
      </w:r>
      <w:r w:rsidRPr="00F65877">
        <w:rPr>
          <w:rFonts w:cs="Arial"/>
          <w:i/>
        </w:rPr>
        <w:t xml:space="preserve">Interim Report </w:t>
      </w:r>
      <w:r>
        <w:rPr>
          <w:rFonts w:cs="Arial"/>
        </w:rPr>
        <w:t>(2014) vol 1, 32. A</w:t>
      </w:r>
      <w:r w:rsidRPr="00F65877">
        <w:rPr>
          <w:rFonts w:cs="Arial"/>
        </w:rPr>
        <w:t xml:space="preserve">t </w:t>
      </w:r>
      <w:hyperlink r:id="rId214" w:history="1">
        <w:r w:rsidRPr="001420C5">
          <w:rPr>
            <w:rStyle w:val="Collegamentoipertestuale"/>
          </w:rPr>
          <w:t>https://www.childabuseroyalcommission.gov.au/about-us/our-reports/interim-report-html</w:t>
        </w:r>
      </w:hyperlink>
      <w:r w:rsidRPr="00F65877">
        <w:rPr>
          <w:rFonts w:cs="Arial"/>
        </w:rPr>
        <w:t xml:space="preserve"> (viewed 28 July 2017).</w:t>
      </w:r>
    </w:p>
  </w:endnote>
  <w:endnote w:id="746">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Commonwealth, Royal Commission into Institutional Responses to Child Sexual Abuse, </w:t>
      </w:r>
      <w:r w:rsidRPr="00F65877">
        <w:rPr>
          <w:rFonts w:cs="Arial"/>
          <w:i/>
        </w:rPr>
        <w:t xml:space="preserve">Interim Report </w:t>
      </w:r>
      <w:r>
        <w:rPr>
          <w:rFonts w:cs="Arial"/>
        </w:rPr>
        <w:t>(2014) vol 2, 3. A</w:t>
      </w:r>
      <w:r w:rsidRPr="00F65877">
        <w:rPr>
          <w:rFonts w:cs="Arial"/>
        </w:rPr>
        <w:t xml:space="preserve">t </w:t>
      </w:r>
      <w:hyperlink r:id="rId215" w:history="1">
        <w:r w:rsidRPr="001420C5">
          <w:rPr>
            <w:rStyle w:val="Collegamentoipertestuale"/>
          </w:rPr>
          <w:t>https://www.childabuseroyalcommission.gov.au/about-us/our-reports/interim-report-html</w:t>
        </w:r>
      </w:hyperlink>
      <w:r w:rsidRPr="00F65877">
        <w:rPr>
          <w:rFonts w:cs="Arial"/>
        </w:rPr>
        <w:t xml:space="preserve"> (viewed 28 July 2017).</w:t>
      </w:r>
    </w:p>
  </w:endnote>
  <w:endnote w:id="747">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Commonwealth, Royal Commission into Institutional Responses to Child Sexual Abuse, </w:t>
      </w:r>
      <w:r w:rsidRPr="00F65877">
        <w:rPr>
          <w:rFonts w:cs="Arial"/>
          <w:i/>
        </w:rPr>
        <w:t xml:space="preserve">Interim Report </w:t>
      </w:r>
      <w:r>
        <w:rPr>
          <w:rFonts w:cs="Arial"/>
        </w:rPr>
        <w:t>(2014) vol 2, 5. A</w:t>
      </w:r>
      <w:r w:rsidRPr="00F65877">
        <w:rPr>
          <w:rFonts w:cs="Arial"/>
        </w:rPr>
        <w:t xml:space="preserve">t </w:t>
      </w:r>
      <w:hyperlink r:id="rId216" w:history="1">
        <w:r w:rsidRPr="001420C5">
          <w:rPr>
            <w:rStyle w:val="Collegamentoipertestuale"/>
          </w:rPr>
          <w:t>https://www.childabuseroyalcommission.gov.au/about-us/our-reports/interim-report-html</w:t>
        </w:r>
      </w:hyperlink>
      <w:r w:rsidRPr="00F65877">
        <w:rPr>
          <w:rFonts w:cs="Arial"/>
        </w:rPr>
        <w:t xml:space="preserve"> (viewed 28 July 2017).</w:t>
      </w:r>
    </w:p>
  </w:endnote>
  <w:endnote w:id="748">
    <w:p w:rsidR="00C3563C" w:rsidRPr="00F65877" w:rsidRDefault="00C3563C" w:rsidP="00B87D45">
      <w:pPr>
        <w:pStyle w:val="Testonotadichiusura"/>
        <w:rPr>
          <w:rFonts w:cs="Arial"/>
        </w:rPr>
      </w:pPr>
      <w:r w:rsidRPr="00F65877">
        <w:rPr>
          <w:rStyle w:val="Rimandonotadichiusura"/>
          <w:rFonts w:cs="Arial"/>
        </w:rPr>
        <w:endnoteRef/>
      </w:r>
      <w:r w:rsidRPr="00F65877">
        <w:rPr>
          <w:rFonts w:cs="Arial"/>
        </w:rPr>
        <w:t xml:space="preserve"> Commonwealth, Royal Commission into Institutional Responses to Child Sexual Abuse, </w:t>
      </w:r>
      <w:r w:rsidRPr="00F65877">
        <w:rPr>
          <w:rFonts w:cs="Arial"/>
          <w:i/>
        </w:rPr>
        <w:t>Creating Child Safe Institutions</w:t>
      </w:r>
      <w:r>
        <w:rPr>
          <w:rFonts w:cs="Arial"/>
        </w:rPr>
        <w:t xml:space="preserve"> (2016</w:t>
      </w:r>
      <w:r w:rsidRPr="002B58EA">
        <w:rPr>
          <w:rFonts w:cs="Arial"/>
        </w:rPr>
        <w:t xml:space="preserve">) 1. At </w:t>
      </w:r>
      <w:hyperlink r:id="rId217" w:history="1">
        <w:r w:rsidRPr="001420C5">
          <w:rPr>
            <w:rStyle w:val="Collegamentoipertestuale"/>
          </w:rPr>
          <w:t>http://childabuseroyalcommission.gov.au/getattachment/5d0dc659-68c2-46f9-847b-fafd52f58673/Creating-child-safe-institutions</w:t>
        </w:r>
      </w:hyperlink>
      <w:r w:rsidRPr="002B58EA">
        <w:rPr>
          <w:rFonts w:cs="Arial"/>
        </w:rPr>
        <w:t xml:space="preserve"> (</w:t>
      </w:r>
      <w:r w:rsidRPr="00F65877">
        <w:rPr>
          <w:rFonts w:cs="Arial"/>
        </w:rPr>
        <w:t xml:space="preserve">viewed 24 October 2017). </w:t>
      </w:r>
    </w:p>
  </w:endnote>
  <w:endnote w:id="749">
    <w:p w:rsidR="00C3563C" w:rsidRPr="00F65877" w:rsidRDefault="00C3563C" w:rsidP="00B87D45">
      <w:pPr>
        <w:pStyle w:val="Testonotadichiusura"/>
        <w:rPr>
          <w:rFonts w:cs="Arial"/>
        </w:rPr>
      </w:pPr>
      <w:r w:rsidRPr="00F65877">
        <w:rPr>
          <w:rStyle w:val="Rimandonotadichiusura"/>
          <w:rFonts w:cs="Arial"/>
        </w:rPr>
        <w:endnoteRef/>
      </w:r>
      <w:r w:rsidRPr="00F65877">
        <w:rPr>
          <w:rFonts w:cs="Arial"/>
        </w:rPr>
        <w:t xml:space="preserve"> Commonwealth, Royal Commission into Institutional Responses to Child Sexual Abuse, </w:t>
      </w:r>
      <w:r w:rsidRPr="00F65877">
        <w:rPr>
          <w:rFonts w:cs="Arial"/>
          <w:i/>
        </w:rPr>
        <w:t>Creating Child Safe Institutions</w:t>
      </w:r>
      <w:r>
        <w:rPr>
          <w:rFonts w:cs="Arial"/>
        </w:rPr>
        <w:t xml:space="preserve"> (2016) 1. A</w:t>
      </w:r>
      <w:r w:rsidRPr="00F65877">
        <w:rPr>
          <w:rFonts w:cs="Arial"/>
        </w:rPr>
        <w:t xml:space="preserve">t </w:t>
      </w:r>
      <w:hyperlink r:id="rId218" w:history="1">
        <w:r w:rsidRPr="001420C5">
          <w:rPr>
            <w:rStyle w:val="Collegamentoipertestuale"/>
          </w:rPr>
          <w:t>http://childabuseroyalcommission.gov.au/getattachment/5d0dc659-68c2-46f9-847b-fafd52f58673/Creating-child-safe-institutions</w:t>
        </w:r>
      </w:hyperlink>
      <w:r w:rsidRPr="00F65877">
        <w:rPr>
          <w:rFonts w:cs="Arial"/>
        </w:rPr>
        <w:t xml:space="preserve"> (viewed 24 October 2017).</w:t>
      </w:r>
    </w:p>
  </w:endnote>
  <w:endnote w:id="750">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South Australia, Child Protection Systems Royal Commission, </w:t>
      </w:r>
      <w:r w:rsidRPr="00F65877">
        <w:rPr>
          <w:rFonts w:cs="Arial"/>
          <w:i/>
        </w:rPr>
        <w:t xml:space="preserve">The life they deserve, </w:t>
      </w:r>
      <w:r>
        <w:rPr>
          <w:rFonts w:cs="Arial"/>
        </w:rPr>
        <w:t>(2016) vol 1, xv. A</w:t>
      </w:r>
      <w:r w:rsidRPr="00F65877">
        <w:rPr>
          <w:rFonts w:cs="Arial"/>
        </w:rPr>
        <w:t xml:space="preserve">t </w:t>
      </w:r>
      <w:hyperlink r:id="rId219" w:history="1">
        <w:r w:rsidRPr="001420C5">
          <w:rPr>
            <w:rStyle w:val="Collegamentoipertestuale"/>
          </w:rPr>
          <w:t>https://www.agd.sa.gov.au/projects-and-consultations/projects-archive/child-protection-systems-royal-commission</w:t>
        </w:r>
      </w:hyperlink>
      <w:r w:rsidRPr="00F65877">
        <w:rPr>
          <w:rFonts w:cs="Arial"/>
        </w:rPr>
        <w:t xml:space="preserve"> (viewed 28 July 2017).</w:t>
      </w:r>
    </w:p>
  </w:endnote>
  <w:endnote w:id="751">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Committee on the Rights of the Child, </w:t>
      </w:r>
      <w:r w:rsidRPr="00F65877">
        <w:rPr>
          <w:rFonts w:cs="Arial"/>
          <w:i/>
        </w:rPr>
        <w:t xml:space="preserve">General Comment No 5: General measures of implementation of the Convention on the Rights of the Child, </w:t>
      </w:r>
      <w:r w:rsidRPr="00F65877">
        <w:rPr>
          <w:rFonts w:cs="Arial"/>
        </w:rPr>
        <w:t>UN Doc CRC/G</w:t>
      </w:r>
      <w:r>
        <w:rPr>
          <w:rFonts w:cs="Arial"/>
        </w:rPr>
        <w:t>C/2003/5 (November 2003) [12].</w:t>
      </w:r>
      <w:r w:rsidRPr="00005544">
        <w:rPr>
          <w:rFonts w:cs="Arial"/>
        </w:rPr>
        <w:t xml:space="preserve"> At</w:t>
      </w:r>
      <w:r>
        <w:rPr>
          <w:rFonts w:cs="Arial"/>
        </w:rPr>
        <w:t xml:space="preserve"> </w:t>
      </w:r>
      <w:hyperlink r:id="rId220" w:history="1">
        <w:r w:rsidRPr="001420C5">
          <w:rPr>
            <w:rStyle w:val="Collegamentoipertestuale"/>
          </w:rPr>
          <w:t>http://tbinternet.ohchr.org/_layouts/treatybodyexternal/Download.aspx?symbolno=CRC%2fGC%2f2003%2f5&amp;Lang=en</w:t>
        </w:r>
      </w:hyperlink>
      <w:r w:rsidRPr="00005544">
        <w:t xml:space="preserve"> </w:t>
      </w:r>
      <w:r w:rsidRPr="00F65877">
        <w:rPr>
          <w:rFonts w:cs="Arial"/>
        </w:rPr>
        <w:t xml:space="preserve">(viewed 24 October 2017). </w:t>
      </w:r>
    </w:p>
  </w:endnote>
  <w:endnote w:id="752">
    <w:p w:rsidR="00C3563C" w:rsidRPr="00F65877" w:rsidRDefault="00C3563C" w:rsidP="001420C5">
      <w:pPr>
        <w:pStyle w:val="Testonotadichiusura"/>
      </w:pPr>
      <w:r w:rsidRPr="00F65877">
        <w:rPr>
          <w:rStyle w:val="Rimandonotadichiusura"/>
          <w:rFonts w:cs="Arial"/>
        </w:rPr>
        <w:endnoteRef/>
      </w:r>
      <w:r w:rsidRPr="00F65877">
        <w:rPr>
          <w:i/>
          <w:lang w:val="en-US"/>
        </w:rPr>
        <w:t>Convention on the Rights of the Child</w:t>
      </w:r>
      <w:r w:rsidRPr="00F65877">
        <w:rPr>
          <w:lang w:val="en-US"/>
        </w:rPr>
        <w:t>, opened for signature 20 November 1989, 1577 UNTS 3 (entered into force 2 September 1990) art 3.</w:t>
      </w:r>
    </w:p>
  </w:endnote>
  <w:endnote w:id="753">
    <w:p w:rsidR="00C3563C" w:rsidRPr="00F65877" w:rsidRDefault="00C3563C" w:rsidP="00B87D45">
      <w:pPr>
        <w:pStyle w:val="Testonotadichiusura"/>
        <w:contextualSpacing/>
        <w:rPr>
          <w:rFonts w:cs="Arial"/>
          <w:lang w:val="en-US"/>
        </w:rPr>
      </w:pPr>
      <w:r w:rsidRPr="00F65877">
        <w:rPr>
          <w:rStyle w:val="Rimandonotadichiusura"/>
          <w:rFonts w:cs="Arial"/>
        </w:rPr>
        <w:endnoteRef/>
      </w:r>
      <w:r w:rsidRPr="00F65877">
        <w:rPr>
          <w:rFonts w:cs="Arial"/>
        </w:rPr>
        <w:t xml:space="preserve"> </w:t>
      </w:r>
      <w:r w:rsidRPr="00F65877">
        <w:rPr>
          <w:rFonts w:cs="Arial"/>
          <w:i/>
          <w:lang w:val="en-US"/>
        </w:rPr>
        <w:t>Convention on the Rights of the Child</w:t>
      </w:r>
      <w:r w:rsidRPr="00F65877">
        <w:rPr>
          <w:rFonts w:cs="Arial"/>
          <w:lang w:val="en-US"/>
        </w:rPr>
        <w:t>, opened for signature 20 November 1989, 1577 UNTS 3 (entered into force 2 September 1990) art 12.</w:t>
      </w:r>
    </w:p>
  </w:endnote>
  <w:endnote w:id="754">
    <w:p w:rsidR="00C3563C" w:rsidRPr="00F65877" w:rsidRDefault="00C3563C" w:rsidP="00B87D45">
      <w:pPr>
        <w:pStyle w:val="Testonotadichiusura"/>
        <w:contextualSpacing/>
        <w:rPr>
          <w:rFonts w:cs="Arial"/>
          <w:lang w:val="en-US"/>
        </w:rPr>
      </w:pPr>
      <w:r w:rsidRPr="00F65877">
        <w:rPr>
          <w:rStyle w:val="Rimandonotadichiusura"/>
          <w:rFonts w:cs="Arial"/>
        </w:rPr>
        <w:endnoteRef/>
      </w:r>
      <w:r w:rsidRPr="00F65877">
        <w:rPr>
          <w:rFonts w:cs="Arial"/>
        </w:rPr>
        <w:t xml:space="preserve"> </w:t>
      </w:r>
      <w:r w:rsidRPr="00F65877">
        <w:rPr>
          <w:rFonts w:cs="Arial"/>
          <w:i/>
          <w:lang w:val="en-US"/>
        </w:rPr>
        <w:t>Convention on the Rights of the Child</w:t>
      </w:r>
      <w:r w:rsidRPr="00F65877">
        <w:rPr>
          <w:rFonts w:cs="Arial"/>
          <w:lang w:val="en-US"/>
        </w:rPr>
        <w:t>, opened for signature 20 November 1989, 1577 UNTS 3 (entered into force 2 September 1990) art</w:t>
      </w:r>
      <w:r>
        <w:rPr>
          <w:rFonts w:cs="Arial"/>
          <w:lang w:val="en-US"/>
        </w:rPr>
        <w:t>s</w:t>
      </w:r>
      <w:r w:rsidRPr="00F65877">
        <w:rPr>
          <w:rFonts w:cs="Arial"/>
          <w:lang w:val="en-US"/>
        </w:rPr>
        <w:t xml:space="preserve"> 19, 34.</w:t>
      </w:r>
    </w:p>
  </w:endnote>
  <w:endnote w:id="755">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Fonts w:cs="Arial"/>
          <w:i/>
          <w:lang w:val="en-US"/>
        </w:rPr>
        <w:t>Convention on the Rights of the Child</w:t>
      </w:r>
      <w:r w:rsidRPr="00F65877">
        <w:rPr>
          <w:rFonts w:cs="Arial"/>
          <w:lang w:val="en-US"/>
        </w:rPr>
        <w:t>, opened for signature 20 November 1989, 1577 UNTS 3 (entered into force 2 September 1990) art 31.</w:t>
      </w:r>
    </w:p>
  </w:endnote>
  <w:endnote w:id="756">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Fonts w:cs="Arial"/>
          <w:i/>
          <w:lang w:val="en-US"/>
        </w:rPr>
        <w:t>Convention on the Rights of the Child</w:t>
      </w:r>
      <w:r w:rsidRPr="00F65877">
        <w:rPr>
          <w:rFonts w:cs="Arial"/>
          <w:lang w:val="en-US"/>
        </w:rPr>
        <w:t>, opened for signature 20 November 1989, 1577 UNTS 3 (entered into force 2 September 1990) art 42.</w:t>
      </w:r>
    </w:p>
  </w:endnote>
  <w:endnote w:id="757">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Tim Moore et al, </w:t>
      </w:r>
      <w:r w:rsidRPr="00F65877">
        <w:rPr>
          <w:rFonts w:cs="Arial"/>
          <w:i/>
        </w:rPr>
        <w:t>Taking us seriously: children and young people talk about safety and institutional responses to their safety concerns</w:t>
      </w:r>
      <w:r>
        <w:rPr>
          <w:rFonts w:cs="Arial"/>
        </w:rPr>
        <w:t xml:space="preserve"> (2015). A</w:t>
      </w:r>
      <w:r w:rsidRPr="00F65877">
        <w:rPr>
          <w:rFonts w:cs="Arial"/>
        </w:rPr>
        <w:t xml:space="preserve">t </w:t>
      </w:r>
      <w:hyperlink r:id="rId221" w:history="1">
        <w:r w:rsidRPr="001420C5">
          <w:rPr>
            <w:rStyle w:val="Collegamentoipertestuale"/>
          </w:rPr>
          <w:t>https://childabuseroyalcommission.gov.au/policy-and-research/our-research/published-research/taking-us-seriously</w:t>
        </w:r>
      </w:hyperlink>
      <w:r w:rsidRPr="00F65877">
        <w:rPr>
          <w:rFonts w:cs="Arial"/>
        </w:rPr>
        <w:t xml:space="preserve"> (viewed 28 July 2017).</w:t>
      </w:r>
    </w:p>
  </w:endnote>
  <w:endnote w:id="758">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Tim Moore et al, </w:t>
      </w:r>
      <w:r w:rsidRPr="00F65877">
        <w:rPr>
          <w:rFonts w:cs="Arial"/>
          <w:i/>
        </w:rPr>
        <w:t xml:space="preserve">Our safety counts: children and young people’s perceptions of safety and institutional responses to their safety concerns </w:t>
      </w:r>
      <w:r>
        <w:rPr>
          <w:rFonts w:cs="Arial"/>
        </w:rPr>
        <w:t>(2016) 7 – 8. A</w:t>
      </w:r>
      <w:r w:rsidRPr="00F65877">
        <w:rPr>
          <w:rFonts w:cs="Arial"/>
        </w:rPr>
        <w:t xml:space="preserve">t </w:t>
      </w:r>
      <w:hyperlink r:id="rId222" w:history="1">
        <w:r w:rsidRPr="001420C5">
          <w:rPr>
            <w:rStyle w:val="Collegamentoipertestuale"/>
          </w:rPr>
          <w:t>https://childabuseroyalcommission.gov.au/policy-and-research/our-research/published-research/our-safety-counts</w:t>
        </w:r>
      </w:hyperlink>
      <w:r w:rsidRPr="00F65877">
        <w:rPr>
          <w:rFonts w:cs="Arial"/>
        </w:rPr>
        <w:t xml:space="preserve"> (viewed 28 July 2017). </w:t>
      </w:r>
    </w:p>
  </w:endnote>
  <w:endnote w:id="759">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Tim Moore et al, </w:t>
      </w:r>
      <w:r w:rsidRPr="00F65877">
        <w:rPr>
          <w:rFonts w:cs="Arial"/>
          <w:i/>
        </w:rPr>
        <w:t>Taking us seriously: children and young people talk about safety and institutional responses to their safety concerns</w:t>
      </w:r>
      <w:r>
        <w:rPr>
          <w:rFonts w:cs="Arial"/>
        </w:rPr>
        <w:t xml:space="preserve"> (2015) 25. A</w:t>
      </w:r>
      <w:r w:rsidRPr="00F65877">
        <w:rPr>
          <w:rFonts w:cs="Arial"/>
        </w:rPr>
        <w:t xml:space="preserve">t </w:t>
      </w:r>
      <w:hyperlink r:id="rId223" w:history="1">
        <w:r w:rsidRPr="001420C5">
          <w:rPr>
            <w:rStyle w:val="Collegamentoipertestuale"/>
          </w:rPr>
          <w:t>https://childabuseroyalcommission.gov.au/policy-and-research/our-research/published-research/taking-us-seriously</w:t>
        </w:r>
      </w:hyperlink>
      <w:r w:rsidRPr="00F65877">
        <w:rPr>
          <w:rFonts w:cs="Arial"/>
        </w:rPr>
        <w:t xml:space="preserve"> (viewed 28 July 2017).</w:t>
      </w:r>
    </w:p>
  </w:endnote>
  <w:endnote w:id="760">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Tim Moore et al, </w:t>
      </w:r>
      <w:r w:rsidRPr="00F65877">
        <w:rPr>
          <w:rFonts w:cs="Arial"/>
          <w:i/>
        </w:rPr>
        <w:t>Taking us seriously: children and young people talk about safety and institutional responses to their safety concerns</w:t>
      </w:r>
      <w:r>
        <w:rPr>
          <w:rFonts w:cs="Arial"/>
        </w:rPr>
        <w:t xml:space="preserve"> (2015) 7. A</w:t>
      </w:r>
      <w:r w:rsidRPr="00F65877">
        <w:rPr>
          <w:rFonts w:cs="Arial"/>
        </w:rPr>
        <w:t xml:space="preserve">t </w:t>
      </w:r>
      <w:hyperlink r:id="rId224" w:history="1">
        <w:r w:rsidRPr="001420C5">
          <w:rPr>
            <w:rStyle w:val="Collegamentoipertestuale"/>
          </w:rPr>
          <w:t>https://childabuseroyalcommission.gov.au/policy-and-research/our-research/published-research/taking-us-seriously</w:t>
        </w:r>
      </w:hyperlink>
      <w:r w:rsidRPr="00F65877">
        <w:rPr>
          <w:rFonts w:cs="Arial"/>
        </w:rPr>
        <w:t xml:space="preserve"> (viewed 28 July 2017).</w:t>
      </w:r>
    </w:p>
  </w:endnote>
  <w:endnote w:id="761">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Tim Moore et al, </w:t>
      </w:r>
      <w:r w:rsidRPr="00F65877">
        <w:rPr>
          <w:rFonts w:cs="Arial"/>
          <w:i/>
        </w:rPr>
        <w:t>Taking us seriously: children and young people talk about safety and institutional responses to their safety concerns</w:t>
      </w:r>
      <w:r>
        <w:rPr>
          <w:rFonts w:cs="Arial"/>
        </w:rPr>
        <w:t xml:space="preserve"> (2015) 68. A</w:t>
      </w:r>
      <w:r w:rsidRPr="00F65877">
        <w:rPr>
          <w:rFonts w:cs="Arial"/>
        </w:rPr>
        <w:t xml:space="preserve">t </w:t>
      </w:r>
      <w:hyperlink r:id="rId225" w:history="1">
        <w:r w:rsidRPr="001420C5">
          <w:rPr>
            <w:rStyle w:val="Collegamentoipertestuale"/>
          </w:rPr>
          <w:t>https://childabuseroyalcommission.gov.au/policy-and-research/our-research/published-research/taking-us-seriously</w:t>
        </w:r>
      </w:hyperlink>
      <w:r w:rsidRPr="00F65877">
        <w:rPr>
          <w:rFonts w:cs="Arial"/>
        </w:rPr>
        <w:t xml:space="preserve"> (viewed 28 July 2017).</w:t>
      </w:r>
    </w:p>
  </w:endnote>
  <w:endnote w:id="762">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Tim Moore et al, </w:t>
      </w:r>
      <w:r w:rsidRPr="00F65877">
        <w:rPr>
          <w:rFonts w:cs="Arial"/>
          <w:i/>
        </w:rPr>
        <w:t>Taking us seriously: children and young people talk about safety and institutional responses to their safety concerns</w:t>
      </w:r>
      <w:r>
        <w:rPr>
          <w:rFonts w:cs="Arial"/>
        </w:rPr>
        <w:t xml:space="preserve"> (2015) 40. A</w:t>
      </w:r>
      <w:r w:rsidRPr="00F65877">
        <w:rPr>
          <w:rFonts w:cs="Arial"/>
        </w:rPr>
        <w:t xml:space="preserve">t </w:t>
      </w:r>
      <w:hyperlink r:id="rId226" w:history="1">
        <w:r w:rsidRPr="001420C5">
          <w:rPr>
            <w:rStyle w:val="Collegamentoipertestuale"/>
          </w:rPr>
          <w:t>https://childabuseroyalcommission.gov.au/policy-and-research/our-research/published-research/taking-us-seriously</w:t>
        </w:r>
      </w:hyperlink>
      <w:r w:rsidRPr="00F65877">
        <w:rPr>
          <w:rFonts w:cs="Arial"/>
        </w:rPr>
        <w:t xml:space="preserve"> (viewed 28 July 2017).</w:t>
      </w:r>
    </w:p>
  </w:endnote>
  <w:endnote w:id="763">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Tim Moore et al, </w:t>
      </w:r>
      <w:r w:rsidRPr="00F65877">
        <w:rPr>
          <w:rFonts w:cs="Arial"/>
          <w:i/>
        </w:rPr>
        <w:t xml:space="preserve">Our safety counts: children and young people’s perceptions of safety and institutional responses to their safety concerns </w:t>
      </w:r>
      <w:r>
        <w:rPr>
          <w:rFonts w:cs="Arial"/>
        </w:rPr>
        <w:t>(2016) 8. A</w:t>
      </w:r>
      <w:r w:rsidRPr="00F65877">
        <w:rPr>
          <w:rFonts w:cs="Arial"/>
        </w:rPr>
        <w:t xml:space="preserve">t </w:t>
      </w:r>
      <w:hyperlink r:id="rId227" w:history="1">
        <w:r w:rsidRPr="001420C5">
          <w:rPr>
            <w:rStyle w:val="Collegamentoipertestuale"/>
          </w:rPr>
          <w:t>https://childabuseroyalcommission.gov.au/policy-and-research/our-research/published-research/our-safety-counts</w:t>
        </w:r>
      </w:hyperlink>
      <w:r w:rsidRPr="00F65877">
        <w:rPr>
          <w:rFonts w:cs="Arial"/>
        </w:rPr>
        <w:t xml:space="preserve"> (viewed 28 July 2017). </w:t>
      </w:r>
    </w:p>
  </w:endnote>
  <w:endnote w:id="764">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Tim Moore et al, </w:t>
      </w:r>
      <w:r w:rsidRPr="00F65877">
        <w:rPr>
          <w:rFonts w:cs="Arial"/>
          <w:i/>
        </w:rPr>
        <w:t xml:space="preserve">Our safety counts: children and young people’s perceptions of safety and institutional responses to their safety concerns </w:t>
      </w:r>
      <w:r>
        <w:rPr>
          <w:rFonts w:cs="Arial"/>
        </w:rPr>
        <w:t>(2016) 31–4. A</w:t>
      </w:r>
      <w:r w:rsidRPr="00F65877">
        <w:rPr>
          <w:rFonts w:cs="Arial"/>
        </w:rPr>
        <w:t xml:space="preserve">t </w:t>
      </w:r>
      <w:hyperlink r:id="rId228" w:history="1">
        <w:r w:rsidRPr="00F947FA">
          <w:rPr>
            <w:rStyle w:val="Collegamentoipertestuale"/>
          </w:rPr>
          <w:t>https://childabuseroyalcommission.gov.au/policy-and-research/our-research/published-research/our-safety-counts</w:t>
        </w:r>
      </w:hyperlink>
      <w:r w:rsidRPr="00F65877">
        <w:rPr>
          <w:rFonts w:cs="Arial"/>
        </w:rPr>
        <w:t xml:space="preserve"> (viewed 28 July 2017).</w:t>
      </w:r>
    </w:p>
  </w:endnote>
  <w:endnote w:id="765">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Tim Moore et al, </w:t>
      </w:r>
      <w:r w:rsidRPr="00F65877">
        <w:rPr>
          <w:rFonts w:cs="Arial"/>
          <w:i/>
        </w:rPr>
        <w:t xml:space="preserve">Our safety counts: children and young people’s perceptions of safety and institutional responses to their safety concerns </w:t>
      </w:r>
      <w:r>
        <w:rPr>
          <w:rFonts w:cs="Arial"/>
        </w:rPr>
        <w:t>(2016) 31. A</w:t>
      </w:r>
      <w:r w:rsidRPr="00F65877">
        <w:rPr>
          <w:rFonts w:cs="Arial"/>
        </w:rPr>
        <w:t xml:space="preserve">t </w:t>
      </w:r>
      <w:hyperlink r:id="rId229" w:history="1">
        <w:r w:rsidRPr="00F947FA">
          <w:rPr>
            <w:rStyle w:val="Collegamentoipertestuale"/>
          </w:rPr>
          <w:t>https://childabuseroyalcommission.gov.au/policy-and-research/our-research/published-research/our-safety-counts</w:t>
        </w:r>
      </w:hyperlink>
      <w:r w:rsidRPr="00F65877">
        <w:rPr>
          <w:rFonts w:cs="Arial"/>
        </w:rPr>
        <w:t xml:space="preserve"> (viewed 28 July 2017).</w:t>
      </w:r>
    </w:p>
  </w:endnote>
  <w:endnote w:id="766">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Tim Moore et al, </w:t>
      </w:r>
      <w:r w:rsidRPr="00F65877">
        <w:rPr>
          <w:rFonts w:cs="Arial"/>
          <w:i/>
        </w:rPr>
        <w:t xml:space="preserve">Our safety counts: children and young people’s perceptions of safety and institutional responses to their safety concerns </w:t>
      </w:r>
      <w:r w:rsidRPr="00F65877">
        <w:rPr>
          <w:rFonts w:cs="Arial"/>
        </w:rPr>
        <w:t>(2016)</w:t>
      </w:r>
      <w:r>
        <w:rPr>
          <w:rFonts w:cs="Arial"/>
        </w:rPr>
        <w:t xml:space="preserve"> 56. A</w:t>
      </w:r>
      <w:r w:rsidRPr="00F65877">
        <w:rPr>
          <w:rFonts w:cs="Arial"/>
        </w:rPr>
        <w:t xml:space="preserve">t </w:t>
      </w:r>
      <w:hyperlink r:id="rId230" w:history="1">
        <w:r w:rsidRPr="00F947FA">
          <w:rPr>
            <w:rStyle w:val="Collegamentoipertestuale"/>
          </w:rPr>
          <w:t>https://childabuseroyalcommission.gov.au/policy-and-research/our-research/published-research/our-safety-counts</w:t>
        </w:r>
      </w:hyperlink>
      <w:r w:rsidRPr="00F65877">
        <w:rPr>
          <w:rFonts w:cs="Arial"/>
        </w:rPr>
        <w:t xml:space="preserve"> (viewed 28 July 2017).</w:t>
      </w:r>
    </w:p>
  </w:endnote>
  <w:endnote w:id="767">
    <w:p w:rsidR="00C3563C" w:rsidRPr="00F65877" w:rsidRDefault="00C3563C" w:rsidP="00B87D45">
      <w:pPr>
        <w:pStyle w:val="Testonotadichiusura"/>
        <w:rPr>
          <w:rFonts w:cs="Arial"/>
        </w:rPr>
      </w:pPr>
      <w:r w:rsidRPr="00F65877">
        <w:rPr>
          <w:rStyle w:val="Rimandonotadichiusura"/>
          <w:rFonts w:cs="Arial"/>
        </w:rPr>
        <w:endnoteRef/>
      </w:r>
      <w:r w:rsidRPr="00F65877">
        <w:rPr>
          <w:rFonts w:cs="Arial"/>
        </w:rPr>
        <w:t xml:space="preserve"> Department of Social Services, </w:t>
      </w:r>
      <w:r w:rsidRPr="00F65877">
        <w:rPr>
          <w:rFonts w:cs="Arial"/>
          <w:i/>
        </w:rPr>
        <w:t>The National Framework for P</w:t>
      </w:r>
      <w:r>
        <w:rPr>
          <w:rFonts w:cs="Arial"/>
          <w:i/>
        </w:rPr>
        <w:t>rotection Australia’s Children —</w:t>
      </w:r>
      <w:r w:rsidRPr="00F65877">
        <w:rPr>
          <w:rFonts w:cs="Arial"/>
          <w:i/>
        </w:rPr>
        <w:t xml:space="preserve"> Third Three-Year Actio</w:t>
      </w:r>
      <w:r>
        <w:rPr>
          <w:rFonts w:cs="Arial"/>
          <w:i/>
        </w:rPr>
        <w:t xml:space="preserve">n Plan 2015 – </w:t>
      </w:r>
      <w:r w:rsidRPr="00F65877">
        <w:rPr>
          <w:rFonts w:cs="Arial"/>
          <w:i/>
        </w:rPr>
        <w:t xml:space="preserve">2018 </w:t>
      </w:r>
      <w:r>
        <w:rPr>
          <w:rFonts w:cs="Arial"/>
        </w:rPr>
        <w:t>(2015) 15. A</w:t>
      </w:r>
      <w:r w:rsidRPr="00F65877">
        <w:rPr>
          <w:rFonts w:cs="Arial"/>
        </w:rPr>
        <w:t xml:space="preserve">t </w:t>
      </w:r>
      <w:hyperlink r:id="rId231" w:history="1">
        <w:r w:rsidRPr="00F947FA">
          <w:rPr>
            <w:rStyle w:val="Collegamentoipertestuale"/>
          </w:rPr>
          <w:t>https://www.dss.gov.au/families-and-children/programmes-services/children/protecting-children-is-everyones-business-national-framework-for-protecting-australias-children-2009-2020-third-action-plan-2015-2018</w:t>
        </w:r>
      </w:hyperlink>
      <w:r w:rsidRPr="00F65877">
        <w:rPr>
          <w:rFonts w:cs="Arial"/>
        </w:rPr>
        <w:t xml:space="preserve"> (viewed 24 October 2017).</w:t>
      </w:r>
    </w:p>
  </w:endnote>
  <w:endnote w:id="768">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Nobody’s Theatre, Consultation with the Australian Human Rights Commission, </w:t>
      </w:r>
      <w:r w:rsidRPr="00F65877">
        <w:rPr>
          <w:rFonts w:cs="Arial"/>
          <w:i/>
        </w:rPr>
        <w:t>Talking with young people about the National Framework</w:t>
      </w:r>
      <w:r w:rsidRPr="00F65877">
        <w:rPr>
          <w:rFonts w:cs="Arial"/>
        </w:rPr>
        <w:t xml:space="preserve">, 2017. </w:t>
      </w:r>
    </w:p>
  </w:endnote>
  <w:endnote w:id="769">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Centre for Multicultural Youth, Consultation with the Australian Human Rights Commission, </w:t>
      </w:r>
      <w:r w:rsidRPr="00F65877">
        <w:rPr>
          <w:rFonts w:cs="Arial"/>
          <w:i/>
        </w:rPr>
        <w:t>Talking with young people about the National Framework</w:t>
      </w:r>
      <w:r w:rsidRPr="00F65877">
        <w:rPr>
          <w:rFonts w:cs="Arial"/>
        </w:rPr>
        <w:t>, 2017.</w:t>
      </w:r>
    </w:p>
  </w:endnote>
  <w:endnote w:id="770">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Centre for Multicultural Youth, Consultation with the Australian Human Rights Commission, </w:t>
      </w:r>
      <w:r w:rsidRPr="00F65877">
        <w:rPr>
          <w:rFonts w:cs="Arial"/>
          <w:i/>
        </w:rPr>
        <w:t>Talking with young people about the National Framework</w:t>
      </w:r>
      <w:r w:rsidRPr="00F65877">
        <w:rPr>
          <w:rFonts w:cs="Arial"/>
        </w:rPr>
        <w:t>, 2017.</w:t>
      </w:r>
    </w:p>
  </w:endnote>
  <w:endnote w:id="771">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Centre for Multicultural Youth, Consultation with the Australian Human Rights Commission, </w:t>
      </w:r>
      <w:r w:rsidRPr="00F65877">
        <w:rPr>
          <w:rFonts w:cs="Arial"/>
          <w:i/>
        </w:rPr>
        <w:t>Talking with young people about the National Framework</w:t>
      </w:r>
      <w:r w:rsidRPr="00F65877">
        <w:rPr>
          <w:rFonts w:cs="Arial"/>
        </w:rPr>
        <w:t>, 2017.</w:t>
      </w:r>
    </w:p>
  </w:endnote>
  <w:endnote w:id="772">
    <w:p w:rsidR="00C3563C" w:rsidRPr="00F65877" w:rsidRDefault="00C3563C" w:rsidP="00B87D45">
      <w:pPr>
        <w:pStyle w:val="Testonotadichiusura"/>
        <w:contextualSpacing/>
        <w:rPr>
          <w:rFonts w:cs="Arial"/>
          <w:lang w:val="en-US"/>
        </w:rPr>
      </w:pPr>
      <w:r w:rsidRPr="00F65877">
        <w:rPr>
          <w:rStyle w:val="Rimandonotadichiusura"/>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A</w:t>
      </w:r>
      <w:r w:rsidRPr="00F65877">
        <w:rPr>
          <w:rFonts w:cs="Arial"/>
          <w:lang w:val="en-US"/>
        </w:rPr>
        <w:t xml:space="preserve">t </w:t>
      </w:r>
      <w:hyperlink r:id="rId232" w:history="1">
        <w:r w:rsidRPr="00F947FA">
          <w:rPr>
            <w:rStyle w:val="Collegamentoipertestuale"/>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773">
    <w:p w:rsidR="00C3563C" w:rsidRPr="00F65877" w:rsidRDefault="00C3563C" w:rsidP="00B87D45">
      <w:pPr>
        <w:pStyle w:val="Testonotadichiusura"/>
        <w:contextualSpacing/>
        <w:rPr>
          <w:rFonts w:cs="Arial"/>
          <w:lang w:val="en-US"/>
        </w:rPr>
      </w:pPr>
      <w:r w:rsidRPr="00F65877">
        <w:rPr>
          <w:rStyle w:val="Rimandonotadichiusura"/>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6. A</w:t>
      </w:r>
      <w:r w:rsidRPr="00F65877">
        <w:rPr>
          <w:rFonts w:cs="Arial"/>
          <w:lang w:val="en-US"/>
        </w:rPr>
        <w:t xml:space="preserve">t </w:t>
      </w:r>
      <w:hyperlink r:id="rId233" w:history="1">
        <w:r w:rsidRPr="00F947FA">
          <w:rPr>
            <w:rStyle w:val="Collegamentoipertestuale"/>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774">
    <w:p w:rsidR="00C3563C" w:rsidRPr="00F65877" w:rsidRDefault="00C3563C" w:rsidP="00B87D45">
      <w:pPr>
        <w:pStyle w:val="Testonotadichiusura"/>
        <w:contextualSpacing/>
        <w:rPr>
          <w:rFonts w:cs="Arial"/>
          <w:lang w:val="en-US"/>
        </w:rPr>
      </w:pPr>
      <w:r w:rsidRPr="00F65877">
        <w:rPr>
          <w:rStyle w:val="Rimandonotadichiusura"/>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7. A</w:t>
      </w:r>
      <w:r w:rsidRPr="00F65877">
        <w:rPr>
          <w:rFonts w:cs="Arial"/>
          <w:lang w:val="en-US"/>
        </w:rPr>
        <w:t xml:space="preserve">t </w:t>
      </w:r>
      <w:hyperlink r:id="rId234" w:history="1">
        <w:r w:rsidRPr="00F947FA">
          <w:rPr>
            <w:rStyle w:val="Collegamentoipertestuale"/>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775">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Commonwealth, Royal Commission into Institutional Responses to Child Sexual Abuse, </w:t>
      </w:r>
      <w:r w:rsidRPr="00F65877">
        <w:rPr>
          <w:rFonts w:cs="Arial"/>
          <w:i/>
        </w:rPr>
        <w:t xml:space="preserve">Interim Report </w:t>
      </w:r>
      <w:r>
        <w:rPr>
          <w:rFonts w:cs="Arial"/>
        </w:rPr>
        <w:t>(2014) vol 1, 47. A</w:t>
      </w:r>
      <w:r w:rsidRPr="00F65877">
        <w:rPr>
          <w:rFonts w:cs="Arial"/>
        </w:rPr>
        <w:t xml:space="preserve">t </w:t>
      </w:r>
      <w:hyperlink r:id="rId235" w:history="1">
        <w:r w:rsidRPr="00F947FA">
          <w:rPr>
            <w:rStyle w:val="Collegamentoipertestuale"/>
          </w:rPr>
          <w:t>https://www.childabuseroyalcommission.gov.au/about-us/our-reports/interim-report-html</w:t>
        </w:r>
      </w:hyperlink>
      <w:r w:rsidRPr="00F65877">
        <w:rPr>
          <w:rFonts w:cs="Arial"/>
        </w:rPr>
        <w:t xml:space="preserve"> (viewed 28 July 2017).</w:t>
      </w:r>
    </w:p>
  </w:endnote>
  <w:endnote w:id="776">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7. A</w:t>
      </w:r>
      <w:r w:rsidRPr="00F65877">
        <w:rPr>
          <w:rFonts w:cs="Arial"/>
          <w:lang w:val="en-US"/>
        </w:rPr>
        <w:t xml:space="preserve">t </w:t>
      </w:r>
      <w:hyperlink r:id="rId236" w:history="1">
        <w:r w:rsidRPr="00F947FA">
          <w:rPr>
            <w:rStyle w:val="Collegamentoipertestuale"/>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777">
    <w:p w:rsidR="00C3563C" w:rsidRPr="00F65877" w:rsidRDefault="00C3563C" w:rsidP="00B87D45">
      <w:pPr>
        <w:pStyle w:val="Testonotadichiusura"/>
        <w:contextualSpacing/>
        <w:rPr>
          <w:rFonts w:cs="Arial"/>
          <w:lang w:val="en-US"/>
        </w:rPr>
      </w:pPr>
      <w:r w:rsidRPr="00F65877">
        <w:rPr>
          <w:rStyle w:val="Rimandonotadichiusura"/>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24. A</w:t>
      </w:r>
      <w:r w:rsidRPr="00F65877">
        <w:rPr>
          <w:rFonts w:cs="Arial"/>
          <w:lang w:val="en-US"/>
        </w:rPr>
        <w:t xml:space="preserve">t </w:t>
      </w:r>
      <w:hyperlink r:id="rId237" w:history="1">
        <w:r w:rsidRPr="00F947FA">
          <w:rPr>
            <w:rStyle w:val="Collegamentoipertestuale"/>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778">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8. A</w:t>
      </w:r>
      <w:r w:rsidRPr="00F65877">
        <w:rPr>
          <w:rFonts w:cs="Arial"/>
          <w:lang w:val="en-US"/>
        </w:rPr>
        <w:t xml:space="preserve">t </w:t>
      </w:r>
      <w:hyperlink r:id="rId238" w:history="1">
        <w:r w:rsidRPr="00F947FA">
          <w:rPr>
            <w:rStyle w:val="Collegamentoipertestuale"/>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779">
    <w:p w:rsidR="00C3563C" w:rsidRPr="00F65877" w:rsidRDefault="00C3563C" w:rsidP="00B87D45">
      <w:pPr>
        <w:pStyle w:val="Testonotadichiusura"/>
        <w:contextualSpacing/>
        <w:rPr>
          <w:rFonts w:cs="Arial"/>
          <w:lang w:val="en-US"/>
        </w:rPr>
      </w:pPr>
      <w:r w:rsidRPr="00F65877">
        <w:rPr>
          <w:rStyle w:val="Rimandonotadichiusura"/>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sidRPr="00F65877">
        <w:rPr>
          <w:rFonts w:cs="Arial"/>
          <w:lang w:val="en-US"/>
        </w:rPr>
        <w:t xml:space="preserve"> (201</w:t>
      </w:r>
      <w:r>
        <w:rPr>
          <w:rFonts w:cs="Arial"/>
          <w:lang w:val="en-US"/>
        </w:rPr>
        <w:t>6) 8. A</w:t>
      </w:r>
      <w:r w:rsidRPr="00F65877">
        <w:rPr>
          <w:rFonts w:cs="Arial"/>
          <w:lang w:val="en-US"/>
        </w:rPr>
        <w:t xml:space="preserve">t </w:t>
      </w:r>
      <w:hyperlink r:id="rId239" w:history="1">
        <w:r w:rsidRPr="00F947FA">
          <w:rPr>
            <w:rStyle w:val="Collegamentoipertestuale"/>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780">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9. A</w:t>
      </w:r>
      <w:r w:rsidRPr="00F65877">
        <w:rPr>
          <w:rFonts w:cs="Arial"/>
          <w:lang w:val="en-US"/>
        </w:rPr>
        <w:t xml:space="preserve">t </w:t>
      </w:r>
      <w:hyperlink r:id="rId240" w:history="1">
        <w:r w:rsidRPr="00F947FA">
          <w:rPr>
            <w:rStyle w:val="Collegamentoipertestuale"/>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781">
    <w:p w:rsidR="00C3563C" w:rsidRPr="00F65877" w:rsidRDefault="00C3563C" w:rsidP="00B87D45">
      <w:pPr>
        <w:pStyle w:val="Testonotadichiusura"/>
        <w:contextualSpacing/>
        <w:rPr>
          <w:rFonts w:cs="Arial"/>
          <w:lang w:val="en-US"/>
        </w:rPr>
      </w:pPr>
      <w:r w:rsidRPr="00F65877">
        <w:rPr>
          <w:rStyle w:val="Rimandonotadichiusura"/>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9–10. A</w:t>
      </w:r>
      <w:r w:rsidRPr="00F65877">
        <w:rPr>
          <w:rFonts w:cs="Arial"/>
          <w:lang w:val="en-US"/>
        </w:rPr>
        <w:t xml:space="preserve">t </w:t>
      </w:r>
      <w:hyperlink r:id="rId241" w:history="1">
        <w:r w:rsidRPr="005324E2">
          <w:rPr>
            <w:rStyle w:val="Collegamentoipertestuale"/>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782">
    <w:p w:rsidR="00C3563C" w:rsidRPr="00F65877" w:rsidRDefault="00C3563C" w:rsidP="00B87D45">
      <w:pPr>
        <w:pStyle w:val="Testonotadichiusura"/>
        <w:contextualSpacing/>
        <w:rPr>
          <w:rFonts w:cs="Arial"/>
          <w:lang w:val="en-US"/>
        </w:rPr>
      </w:pPr>
      <w:r w:rsidRPr="00F65877">
        <w:rPr>
          <w:rStyle w:val="Rimandonotadichiusura"/>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A</w:t>
      </w:r>
      <w:r w:rsidRPr="00F65877">
        <w:rPr>
          <w:rFonts w:cs="Arial"/>
          <w:lang w:val="en-US"/>
        </w:rPr>
        <w:t xml:space="preserve">t </w:t>
      </w:r>
      <w:hyperlink r:id="rId242" w:history="1">
        <w:r w:rsidRPr="005324E2">
          <w:rPr>
            <w:rStyle w:val="Collegamentoipertestuale"/>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783">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sidRPr="00F65877">
        <w:rPr>
          <w:rFonts w:cs="Arial"/>
          <w:lang w:val="en-US"/>
        </w:rPr>
        <w:t xml:space="preserve"> (201</w:t>
      </w:r>
      <w:r>
        <w:rPr>
          <w:rFonts w:cs="Arial"/>
          <w:lang w:val="en-US"/>
        </w:rPr>
        <w:t>6) 27. A</w:t>
      </w:r>
      <w:r w:rsidRPr="00F65877">
        <w:rPr>
          <w:rFonts w:cs="Arial"/>
          <w:lang w:val="en-US"/>
        </w:rPr>
        <w:t xml:space="preserve">t </w:t>
      </w:r>
      <w:hyperlink r:id="rId243" w:history="1">
        <w:r w:rsidRPr="005324E2">
          <w:rPr>
            <w:rStyle w:val="Collegamentoipertestuale"/>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784">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73. A</w:t>
      </w:r>
      <w:r w:rsidRPr="00F65877">
        <w:rPr>
          <w:rFonts w:cs="Arial"/>
          <w:lang w:val="en-US"/>
        </w:rPr>
        <w:t xml:space="preserve">t </w:t>
      </w:r>
      <w:hyperlink r:id="rId244" w:history="1">
        <w:r w:rsidRPr="002E5725">
          <w:rPr>
            <w:rStyle w:val="Collegamentoipertestuale"/>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785">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11. A</w:t>
      </w:r>
      <w:r w:rsidRPr="00F65877">
        <w:rPr>
          <w:rFonts w:cs="Arial"/>
          <w:lang w:val="en-US"/>
        </w:rPr>
        <w:t xml:space="preserve">t </w:t>
      </w:r>
      <w:hyperlink r:id="rId245" w:history="1">
        <w:r w:rsidRPr="002E5725">
          <w:rPr>
            <w:rStyle w:val="Collegamentoipertestuale"/>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786">
    <w:p w:rsidR="00C3563C" w:rsidRPr="00F65877" w:rsidRDefault="00C3563C" w:rsidP="00B87D45">
      <w:pPr>
        <w:pStyle w:val="Testonotadichiusura"/>
        <w:contextualSpacing/>
        <w:rPr>
          <w:rFonts w:cs="Arial"/>
          <w:lang w:val="en-US"/>
        </w:rPr>
      </w:pPr>
      <w:r w:rsidRPr="00F65877">
        <w:rPr>
          <w:rStyle w:val="Rimandonotadichiusura"/>
          <w:rFonts w:cs="Arial"/>
        </w:rPr>
        <w:endnoteRef/>
      </w:r>
      <w:r w:rsidRPr="00F65877">
        <w:rPr>
          <w:rFonts w:cs="Arial"/>
        </w:rPr>
        <w:t xml:space="preserve"> </w:t>
      </w:r>
      <w:r w:rsidRPr="00F65877">
        <w:rPr>
          <w:rFonts w:cs="Arial"/>
          <w:lang w:val="en-US"/>
        </w:rPr>
        <w:t xml:space="preserve">Patrick Parkinson and Judy Cashmore, </w:t>
      </w:r>
      <w:r w:rsidRPr="00F65877">
        <w:rPr>
          <w:rFonts w:cs="Arial"/>
          <w:i/>
          <w:lang w:val="en-US"/>
        </w:rPr>
        <w:t>Assessing the different dimensions and degrees of risk of child sexual abuse in institutions</w:t>
      </w:r>
      <w:r>
        <w:rPr>
          <w:rFonts w:cs="Arial"/>
          <w:lang w:val="en-US"/>
        </w:rPr>
        <w:t xml:space="preserve"> (2017). A</w:t>
      </w:r>
      <w:r w:rsidRPr="00F65877">
        <w:rPr>
          <w:rFonts w:cs="Arial"/>
          <w:lang w:val="en-US"/>
        </w:rPr>
        <w:t xml:space="preserve">t </w:t>
      </w:r>
      <w:hyperlink r:id="rId246" w:history="1">
        <w:r w:rsidRPr="002E5725">
          <w:rPr>
            <w:rStyle w:val="Collegamentoipertestuale"/>
          </w:rPr>
          <w:t>https://childabuseroyalcommission.gov.au/policy-and-research/our-research/published-research/assessing-the-different-dimensions-and-degrees-of</w:t>
        </w:r>
      </w:hyperlink>
      <w:r w:rsidRPr="00F65877">
        <w:rPr>
          <w:rFonts w:cs="Arial"/>
          <w:lang w:val="en-US"/>
        </w:rPr>
        <w:t xml:space="preserve"> (viewed 28 July 2017). </w:t>
      </w:r>
    </w:p>
  </w:endnote>
  <w:endnote w:id="787">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sidRPr="00F65877">
        <w:rPr>
          <w:rFonts w:cs="Arial"/>
          <w:lang w:val="en-US"/>
        </w:rPr>
        <w:t xml:space="preserve">Patrick Parkinson and Judy Cashmore, </w:t>
      </w:r>
      <w:r w:rsidRPr="00F65877">
        <w:rPr>
          <w:rFonts w:cs="Arial"/>
          <w:i/>
          <w:lang w:val="en-US"/>
        </w:rPr>
        <w:t>Assessing the different dimensions and degrees of risk of child sexual abuse in institutions</w:t>
      </w:r>
      <w:r>
        <w:rPr>
          <w:rFonts w:cs="Arial"/>
          <w:lang w:val="en-US"/>
        </w:rPr>
        <w:t xml:space="preserve"> (2017) 16. A</w:t>
      </w:r>
      <w:r w:rsidRPr="00F65877">
        <w:rPr>
          <w:rFonts w:cs="Arial"/>
          <w:lang w:val="en-US"/>
        </w:rPr>
        <w:t xml:space="preserve">t </w:t>
      </w:r>
      <w:hyperlink r:id="rId247" w:history="1">
        <w:r w:rsidRPr="002E5725">
          <w:rPr>
            <w:rStyle w:val="Collegamentoipertestuale"/>
          </w:rPr>
          <w:t>https://childabuseroyalcommission.gov.au/policy-and-research/our-research/published-research/assessing-the-different-dimensions-and-degrees-of</w:t>
        </w:r>
      </w:hyperlink>
      <w:r w:rsidRPr="00F65877">
        <w:rPr>
          <w:rFonts w:cs="Arial"/>
          <w:lang w:val="en-US"/>
        </w:rPr>
        <w:t xml:space="preserve"> (viewed 28 July 2017).</w:t>
      </w:r>
    </w:p>
  </w:endnote>
  <w:endnote w:id="788">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15. A</w:t>
      </w:r>
      <w:r w:rsidRPr="00F65877">
        <w:rPr>
          <w:rFonts w:cs="Arial"/>
        </w:rPr>
        <w:t xml:space="preserve">t </w:t>
      </w:r>
      <w:hyperlink r:id="rId248" w:history="1">
        <w:r w:rsidRPr="002E5725">
          <w:rPr>
            <w:rStyle w:val="Collegamentoipertestuale"/>
          </w:rPr>
          <w:t>https://childabuseroyalcommission.gov.au/policy-and-research/our-research/published-research/the-role-of-organisational-culture-in-child-sexual</w:t>
        </w:r>
      </w:hyperlink>
      <w:r w:rsidRPr="00F65877">
        <w:rPr>
          <w:rFonts w:cs="Arial"/>
        </w:rPr>
        <w:t xml:space="preserve"> (viewed 28 July 2017).</w:t>
      </w:r>
    </w:p>
  </w:endnote>
  <w:endnote w:id="789">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13. A</w:t>
      </w:r>
      <w:r w:rsidRPr="00F65877">
        <w:rPr>
          <w:rFonts w:cs="Arial"/>
        </w:rPr>
        <w:t xml:space="preserve">t </w:t>
      </w:r>
      <w:hyperlink r:id="rId249" w:history="1">
        <w:r w:rsidRPr="002E5725">
          <w:rPr>
            <w:rStyle w:val="Collegamentoipertestuale"/>
          </w:rPr>
          <w:t>https://childabuseroyalcommission.gov.au/policy-and-research/our-research/published-research/the-role-of-organisational-culture-in-child-sexual</w:t>
        </w:r>
      </w:hyperlink>
      <w:r w:rsidRPr="00F65877">
        <w:rPr>
          <w:rFonts w:cs="Arial"/>
        </w:rPr>
        <w:t xml:space="preserve"> (viewed 28 July 2017).</w:t>
      </w:r>
    </w:p>
  </w:endnote>
  <w:endnote w:id="790">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51. A</w:t>
      </w:r>
      <w:r w:rsidRPr="00F65877">
        <w:rPr>
          <w:rFonts w:cs="Arial"/>
        </w:rPr>
        <w:t xml:space="preserve">t </w:t>
      </w:r>
      <w:hyperlink r:id="rId250" w:history="1">
        <w:r w:rsidRPr="002E5725">
          <w:rPr>
            <w:rStyle w:val="Collegamentoipertestuale"/>
          </w:rPr>
          <w:t>https://childabuseroyalcommission.gov.au/policy-and-research/our-research/published-research/the-role-of-organisational-culture-in-child-sexual</w:t>
        </w:r>
      </w:hyperlink>
      <w:r w:rsidRPr="00F65877">
        <w:rPr>
          <w:rFonts w:cs="Arial"/>
        </w:rPr>
        <w:t xml:space="preserve"> (viewed 28 July 2017).</w:t>
      </w:r>
    </w:p>
  </w:endnote>
  <w:endnote w:id="791">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53. A</w:t>
      </w:r>
      <w:r w:rsidRPr="00F65877">
        <w:rPr>
          <w:rFonts w:cs="Arial"/>
        </w:rPr>
        <w:t xml:space="preserve">t </w:t>
      </w:r>
      <w:hyperlink r:id="rId251" w:history="1">
        <w:r w:rsidRPr="002E5725">
          <w:rPr>
            <w:rStyle w:val="Collegamentoipertestuale"/>
          </w:rPr>
          <w:t>https://childabuseroyalcommission.gov.au/policy-and-research/our-research/published-research/the-role-of-organisational-culture-in-child-sexual</w:t>
        </w:r>
      </w:hyperlink>
      <w:r w:rsidRPr="00F65877">
        <w:rPr>
          <w:rFonts w:cs="Arial"/>
        </w:rPr>
        <w:t xml:space="preserve"> (viewed 28 July 2017).</w:t>
      </w:r>
    </w:p>
  </w:endnote>
  <w:endnote w:id="792">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56. A</w:t>
      </w:r>
      <w:r w:rsidRPr="00F65877">
        <w:rPr>
          <w:rFonts w:cs="Arial"/>
        </w:rPr>
        <w:t xml:space="preserve">t </w:t>
      </w:r>
      <w:hyperlink r:id="rId252" w:history="1">
        <w:r w:rsidRPr="002E5725">
          <w:rPr>
            <w:rStyle w:val="Collegamentoipertestuale"/>
          </w:rPr>
          <w:t>https://childabuseroyalcommission.gov.au/policy-and-research/our-research/published-research/the-role-of-organisational-culture-in-child-sexual</w:t>
        </w:r>
      </w:hyperlink>
      <w:r w:rsidRPr="00F65877">
        <w:rPr>
          <w:rFonts w:cs="Arial"/>
        </w:rPr>
        <w:t xml:space="preserve"> (viewed 28 July 2017).</w:t>
      </w:r>
    </w:p>
  </w:endnote>
  <w:endnote w:id="793">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60. A</w:t>
      </w:r>
      <w:r w:rsidRPr="00F65877">
        <w:rPr>
          <w:rFonts w:cs="Arial"/>
        </w:rPr>
        <w:t xml:space="preserve">t </w:t>
      </w:r>
      <w:hyperlink r:id="rId253" w:history="1">
        <w:r w:rsidRPr="002E5725">
          <w:rPr>
            <w:rStyle w:val="Collegamentoipertestuale"/>
          </w:rPr>
          <w:t>https://childabuseroyalcommission.gov.au/policy-and-research/our-research/published-research/the-role-of-organisational-culture-in-child-sexual</w:t>
        </w:r>
      </w:hyperlink>
      <w:r w:rsidRPr="00F65877">
        <w:rPr>
          <w:rFonts w:cs="Arial"/>
        </w:rPr>
        <w:t xml:space="preserve"> (viewed 28 July 2017).</w:t>
      </w:r>
    </w:p>
  </w:endnote>
  <w:endnote w:id="794">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62. A</w:t>
      </w:r>
      <w:r w:rsidRPr="00F65877">
        <w:rPr>
          <w:rFonts w:cs="Arial"/>
        </w:rPr>
        <w:t xml:space="preserve">t </w:t>
      </w:r>
      <w:hyperlink r:id="rId254" w:history="1">
        <w:r w:rsidRPr="002E5725">
          <w:rPr>
            <w:rStyle w:val="Collegamentoipertestuale"/>
          </w:rPr>
          <w:t>https://childabuseroyalcommission.gov.au/policy-and-research/our-research/published-research/the-role-of-organisational-culture-in-child-sexual</w:t>
        </w:r>
      </w:hyperlink>
      <w:r w:rsidRPr="00F65877">
        <w:rPr>
          <w:rFonts w:cs="Arial"/>
        </w:rPr>
        <w:t xml:space="preserve"> (viewed 28 July 2017).</w:t>
      </w:r>
    </w:p>
  </w:endnote>
  <w:endnote w:id="795">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63. A</w:t>
      </w:r>
      <w:r w:rsidRPr="00F65877">
        <w:rPr>
          <w:rFonts w:cs="Arial"/>
        </w:rPr>
        <w:t xml:space="preserve">t </w:t>
      </w:r>
      <w:hyperlink r:id="rId255" w:history="1">
        <w:r w:rsidRPr="002E5725">
          <w:rPr>
            <w:rStyle w:val="Collegamentoipertestuale"/>
          </w:rPr>
          <w:t>https://childabuseroyalcommission.gov.au/policy-and-research/our-research/published-research/the-role-of-organisational-culture-in-child-sexual</w:t>
        </w:r>
      </w:hyperlink>
      <w:r w:rsidRPr="00F65877">
        <w:rPr>
          <w:rFonts w:cs="Arial"/>
        </w:rPr>
        <w:t xml:space="preserve"> (viewed 28 July 2017).</w:t>
      </w:r>
    </w:p>
  </w:endnote>
  <w:endnote w:id="796">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65. A</w:t>
      </w:r>
      <w:r w:rsidRPr="00F65877">
        <w:rPr>
          <w:rFonts w:cs="Arial"/>
        </w:rPr>
        <w:t xml:space="preserve">t </w:t>
      </w:r>
      <w:hyperlink r:id="rId256" w:history="1">
        <w:r w:rsidRPr="002E5725">
          <w:rPr>
            <w:rStyle w:val="Collegamentoipertestuale"/>
          </w:rPr>
          <w:t>https://childabuseroyalcommission.gov.au/policy-and-research/our-research/published-research/the-role-of-organisational-culture-in-child-sexual</w:t>
        </w:r>
      </w:hyperlink>
      <w:r w:rsidRPr="00F65877">
        <w:rPr>
          <w:rFonts w:cs="Arial"/>
        </w:rPr>
        <w:t xml:space="preserve"> (viewed 28 July 2017).</w:t>
      </w:r>
    </w:p>
  </w:endnote>
  <w:endnote w:id="797">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sidRPr="00F65877">
        <w:rPr>
          <w:rFonts w:cs="Arial"/>
        </w:rPr>
        <w:t xml:space="preserve"> (2016</w:t>
      </w:r>
      <w:r>
        <w:rPr>
          <w:rFonts w:cs="Arial"/>
        </w:rPr>
        <w:t>) 74. A</w:t>
      </w:r>
      <w:r w:rsidRPr="00F65877">
        <w:rPr>
          <w:rFonts w:cs="Arial"/>
        </w:rPr>
        <w:t xml:space="preserve">t </w:t>
      </w:r>
      <w:hyperlink r:id="rId257" w:history="1">
        <w:r w:rsidRPr="002E5725">
          <w:rPr>
            <w:rStyle w:val="Collegamentoipertestuale"/>
          </w:rPr>
          <w:t>https://childabuseroyalcommission.gov.au/policy-and-research/our-research/published-research/the-role-of-organisational-culture-in-child-sexual</w:t>
        </w:r>
      </w:hyperlink>
      <w:r w:rsidRPr="00F65877">
        <w:rPr>
          <w:rFonts w:cs="Arial"/>
        </w:rPr>
        <w:t xml:space="preserve"> (viewed 28 July 2017).</w:t>
      </w:r>
    </w:p>
  </w:endnote>
  <w:endnote w:id="798">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75. A</w:t>
      </w:r>
      <w:r w:rsidRPr="00F65877">
        <w:rPr>
          <w:rFonts w:cs="Arial"/>
        </w:rPr>
        <w:t xml:space="preserve">t </w:t>
      </w:r>
      <w:hyperlink r:id="rId258" w:history="1">
        <w:r w:rsidRPr="002E5725">
          <w:rPr>
            <w:rStyle w:val="Collegamentoipertestuale"/>
          </w:rPr>
          <w:t>https://childabuseroyalcommission.gov.au/policy-and-research/our-research/published-research/the-role-of-organisational-culture-in-child-sexual</w:t>
        </w:r>
      </w:hyperlink>
      <w:r w:rsidRPr="00F65877">
        <w:rPr>
          <w:rFonts w:cs="Arial"/>
        </w:rPr>
        <w:t xml:space="preserve"> (viewed 28 July 2017).</w:t>
      </w:r>
    </w:p>
  </w:endnote>
  <w:endnote w:id="799">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13. A</w:t>
      </w:r>
      <w:r w:rsidRPr="00F65877">
        <w:rPr>
          <w:rFonts w:cs="Arial"/>
        </w:rPr>
        <w:t xml:space="preserve">t </w:t>
      </w:r>
      <w:hyperlink r:id="rId259" w:history="1">
        <w:r w:rsidRPr="002E5725">
          <w:rPr>
            <w:rStyle w:val="Collegamentoipertestuale"/>
          </w:rPr>
          <w:t>https://childabuseroyalcommission.gov.au/policy-and-research/our-research/published-research/the-role-of-organisational-culture-in-child-sexual</w:t>
        </w:r>
      </w:hyperlink>
      <w:r w:rsidRPr="00F65877">
        <w:rPr>
          <w:rFonts w:cs="Arial"/>
        </w:rPr>
        <w:t xml:space="preserve"> (viewed 28 July 2017).</w:t>
      </w:r>
    </w:p>
  </w:endnote>
  <w:endnote w:id="800">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11. A</w:t>
      </w:r>
      <w:r w:rsidRPr="00F65877">
        <w:rPr>
          <w:rFonts w:cs="Arial"/>
        </w:rPr>
        <w:t xml:space="preserve">t </w:t>
      </w:r>
      <w:hyperlink r:id="rId260" w:history="1">
        <w:r w:rsidRPr="002E5725">
          <w:rPr>
            <w:rStyle w:val="Collegamentoipertestuale"/>
          </w:rPr>
          <w:t>https://childabuseroyalcommission.gov.au/policy-and-research/our-research/published-research/the-role-of-organisational-culture-in-child-sexual</w:t>
        </w:r>
      </w:hyperlink>
      <w:r w:rsidRPr="00F65877">
        <w:rPr>
          <w:rFonts w:cs="Arial"/>
        </w:rPr>
        <w:t xml:space="preserve"> (viewed 28 July 2017).</w:t>
      </w:r>
    </w:p>
  </w:endnote>
  <w:endnote w:id="801">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Community and Disability Services Ministers’ Conference, </w:t>
      </w:r>
      <w:r w:rsidRPr="00F65877">
        <w:rPr>
          <w:rFonts w:cs="Arial"/>
          <w:i/>
        </w:rPr>
        <w:t>Creating Safe Environments f</w:t>
      </w:r>
      <w:r>
        <w:rPr>
          <w:rFonts w:cs="Arial"/>
          <w:i/>
        </w:rPr>
        <w:t>or Children —</w:t>
      </w:r>
      <w:r w:rsidRPr="00F65877">
        <w:rPr>
          <w:rFonts w:cs="Arial"/>
          <w:i/>
        </w:rPr>
        <w:t xml:space="preserve"> Organisations, Employees and Volunteers</w:t>
      </w:r>
      <w:r>
        <w:rPr>
          <w:rFonts w:cs="Arial"/>
        </w:rPr>
        <w:t xml:space="preserve"> (2005). A</w:t>
      </w:r>
      <w:r w:rsidRPr="00F65877">
        <w:rPr>
          <w:rFonts w:cs="Arial"/>
        </w:rPr>
        <w:t xml:space="preserve">t </w:t>
      </w:r>
      <w:hyperlink r:id="rId261" w:history="1">
        <w:r w:rsidRPr="002E5725">
          <w:rPr>
            <w:rStyle w:val="Collegamentoipertestuale"/>
          </w:rPr>
          <w:t>https://www.dcp.wa.gov.au/Resources/Documents/Policies%20and%20Frameworks/CreatingSafeEnvironmentsforChildren%20NationalFramework.pdf</w:t>
        </w:r>
      </w:hyperlink>
      <w:r w:rsidRPr="00F65877">
        <w:rPr>
          <w:rFonts w:cs="Arial"/>
        </w:rPr>
        <w:t xml:space="preserve"> (viewed 28 July 2017).</w:t>
      </w:r>
    </w:p>
  </w:endnote>
  <w:endnote w:id="802">
    <w:p w:rsidR="00C3563C" w:rsidRPr="00F65877" w:rsidRDefault="00C3563C" w:rsidP="00B87D45">
      <w:pPr>
        <w:pStyle w:val="Testonotadichiusura"/>
        <w:contextualSpacing/>
        <w:rPr>
          <w:rFonts w:cs="Arial"/>
          <w:lang w:val="en-US"/>
        </w:rPr>
      </w:pPr>
      <w:r w:rsidRPr="00F65877">
        <w:rPr>
          <w:rStyle w:val="Rimandonotadichiusura"/>
          <w:rFonts w:cs="Arial"/>
        </w:rPr>
        <w:endnoteRef/>
      </w:r>
      <w:r w:rsidRPr="00F65877">
        <w:rPr>
          <w:rFonts w:cs="Arial"/>
        </w:rPr>
        <w:t xml:space="preserve"> Community and Disability Services Ministers’ Conference, </w:t>
      </w:r>
      <w:r w:rsidRPr="00F65877">
        <w:rPr>
          <w:rFonts w:cs="Arial"/>
          <w:i/>
        </w:rPr>
        <w:t>Guidelines for Building the Capacity of Child-Safe Organisations</w:t>
      </w:r>
      <w:r w:rsidRPr="00F65877">
        <w:rPr>
          <w:rFonts w:cs="Arial"/>
        </w:rPr>
        <w:t xml:space="preserve"> (2006). </w:t>
      </w:r>
    </w:p>
  </w:endnote>
  <w:endnote w:id="803">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Australian Children’s Commissioners and Guardians, Submission No 36 to Royal Commis</w:t>
      </w:r>
      <w:r>
        <w:rPr>
          <w:rFonts w:cs="Arial"/>
        </w:rPr>
        <w:t>sion i</w:t>
      </w:r>
      <w:r w:rsidRPr="00F65877">
        <w:rPr>
          <w:rFonts w:cs="Arial"/>
        </w:rPr>
        <w:t xml:space="preserve">nto Institutional Responses to Child Sexual Abuse, </w:t>
      </w:r>
      <w:r w:rsidRPr="00F65877">
        <w:rPr>
          <w:rFonts w:cs="Arial"/>
          <w:i/>
        </w:rPr>
        <w:t>Issues Paper 3: Child Safe Institutions</w:t>
      </w:r>
      <w:r>
        <w:rPr>
          <w:rFonts w:cs="Arial"/>
        </w:rPr>
        <w:t>, October 2013. A</w:t>
      </w:r>
      <w:r w:rsidRPr="00F65877">
        <w:rPr>
          <w:rFonts w:cs="Arial"/>
        </w:rPr>
        <w:t xml:space="preserve">t </w:t>
      </w:r>
      <w:hyperlink r:id="rId262" w:history="1">
        <w:r w:rsidRPr="002E5725">
          <w:rPr>
            <w:rStyle w:val="Collegamentoipertestuale"/>
          </w:rPr>
          <w:t>https://www.childabuseroyalcommission.gov.au/getattachment/2ab1fcb8-b336-46cd-bef7-c052687480a8/36-Australian-Childrens-Commissioners-and-Guardian</w:t>
        </w:r>
      </w:hyperlink>
      <w:r w:rsidRPr="00F65877">
        <w:rPr>
          <w:rFonts w:cs="Arial"/>
        </w:rPr>
        <w:t xml:space="preserve"> (viewed 28 July 2017).</w:t>
      </w:r>
    </w:p>
  </w:endnote>
  <w:endnote w:id="804">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Royal Commission into Institutional Responses to Child Sexual Abuse, </w:t>
      </w:r>
      <w:r w:rsidRPr="00F65877">
        <w:rPr>
          <w:rFonts w:cs="Arial"/>
          <w:i/>
        </w:rPr>
        <w:t xml:space="preserve">Submissions for Issues </w:t>
      </w:r>
      <w:r>
        <w:rPr>
          <w:rFonts w:cs="Arial"/>
          <w:i/>
        </w:rPr>
        <w:t>Paper 3 Child Safe Institutions</w:t>
      </w:r>
      <w:r>
        <w:rPr>
          <w:rFonts w:cs="Arial"/>
        </w:rPr>
        <w:t>.</w:t>
      </w:r>
      <w:r w:rsidRPr="00F65877">
        <w:rPr>
          <w:rFonts w:cs="Arial"/>
          <w:i/>
        </w:rPr>
        <w:t xml:space="preserve"> </w:t>
      </w:r>
      <w:r>
        <w:rPr>
          <w:rFonts w:cs="Arial"/>
        </w:rPr>
        <w:t>A</w:t>
      </w:r>
      <w:r w:rsidRPr="00F65877">
        <w:rPr>
          <w:rFonts w:cs="Arial"/>
        </w:rPr>
        <w:t xml:space="preserve">t </w:t>
      </w:r>
      <w:hyperlink r:id="rId263" w:history="1">
        <w:r w:rsidRPr="002E5725">
          <w:rPr>
            <w:rStyle w:val="Collegamentoipertestuale"/>
          </w:rPr>
          <w:t>https://www.childabuseroyalcommission.gov.au/policy-and-research/consultations/issues-papers-submissions/issues-paper-3,-child-safe-institutions</w:t>
        </w:r>
      </w:hyperlink>
      <w:r>
        <w:rPr>
          <w:rStyle w:val="Collegamentoipertestuale"/>
          <w:rFonts w:cs="Arial"/>
        </w:rPr>
        <w:t xml:space="preserve"> </w:t>
      </w:r>
      <w:r w:rsidRPr="00F65877">
        <w:rPr>
          <w:rFonts w:cs="Arial"/>
        </w:rPr>
        <w:t>(viewed 24 October 2017).</w:t>
      </w:r>
    </w:p>
  </w:endnote>
  <w:endnote w:id="805">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Pr>
          <w:rFonts w:cs="Arial"/>
        </w:rPr>
        <w:t>F</w:t>
      </w:r>
      <w:r w:rsidRPr="00F65877">
        <w:rPr>
          <w:rFonts w:cs="Arial"/>
        </w:rPr>
        <w:t>or example, Commissioner for Child and Young People Victoria,</w:t>
      </w:r>
      <w:r w:rsidRPr="00F65877">
        <w:rPr>
          <w:rFonts w:cs="Arial"/>
          <w:i/>
        </w:rPr>
        <w:t xml:space="preserve"> A guide for creating a child safe organisation </w:t>
      </w:r>
      <w:r>
        <w:rPr>
          <w:rFonts w:cs="Arial"/>
        </w:rPr>
        <w:t>(2015). A</w:t>
      </w:r>
      <w:r w:rsidRPr="00F65877">
        <w:rPr>
          <w:rFonts w:cs="Arial"/>
        </w:rPr>
        <w:t xml:space="preserve">t </w:t>
      </w:r>
      <w:hyperlink r:id="rId264" w:history="1">
        <w:r w:rsidRPr="002E5725">
          <w:rPr>
            <w:rStyle w:val="Collegamentoipertestuale"/>
          </w:rPr>
          <w:t>https://ccyp.vic.gov.au/assets/resources/ChildSafeGuide.pdf</w:t>
        </w:r>
      </w:hyperlink>
      <w:r>
        <w:rPr>
          <w:rStyle w:val="Collegamentoipertestuale"/>
          <w:rFonts w:cs="Arial"/>
          <w:u w:val="none"/>
        </w:rPr>
        <w:t xml:space="preserve"> </w:t>
      </w:r>
      <w:r w:rsidRPr="00F65877">
        <w:rPr>
          <w:rFonts w:cs="Arial"/>
        </w:rPr>
        <w:t xml:space="preserve">(viewed 28 July 2017); Commissioner for Children and Young People Western Australia, </w:t>
      </w:r>
      <w:r w:rsidRPr="00F65877">
        <w:rPr>
          <w:rFonts w:cs="Arial"/>
          <w:i/>
        </w:rPr>
        <w:t>Child Safe Organisations WA: Guidelines</w:t>
      </w:r>
      <w:r>
        <w:rPr>
          <w:rFonts w:cs="Arial"/>
        </w:rPr>
        <w:t xml:space="preserve"> (2016). A</w:t>
      </w:r>
      <w:r w:rsidRPr="00F65877">
        <w:rPr>
          <w:rFonts w:cs="Arial"/>
        </w:rPr>
        <w:t xml:space="preserve">t </w:t>
      </w:r>
      <w:hyperlink r:id="rId265" w:history="1">
        <w:r w:rsidRPr="002E5725">
          <w:rPr>
            <w:rStyle w:val="Collegamentoipertestuale"/>
          </w:rPr>
          <w:t>https://www.ccyp.wa.gov.au/media/2154/child-safe-organsiations-wa-guidelines.pdf</w:t>
        </w:r>
      </w:hyperlink>
      <w:r w:rsidRPr="00F65877">
        <w:rPr>
          <w:rFonts w:cs="Arial"/>
        </w:rPr>
        <w:t xml:space="preserve"> (viewed 28 July 2017).</w:t>
      </w:r>
    </w:p>
  </w:endnote>
  <w:endnote w:id="806">
    <w:p w:rsidR="00C3563C" w:rsidRPr="00F65877" w:rsidRDefault="00C3563C" w:rsidP="00B87D45">
      <w:pPr>
        <w:pStyle w:val="Testonotadichiusura"/>
        <w:contextualSpacing/>
        <w:rPr>
          <w:rFonts w:cs="Arial"/>
        </w:rPr>
      </w:pPr>
      <w:r w:rsidRPr="00F65877">
        <w:rPr>
          <w:rStyle w:val="Rimandonotadichiusura"/>
          <w:rFonts w:cs="Arial"/>
        </w:rPr>
        <w:endnoteRef/>
      </w:r>
      <w:r w:rsidRPr="00F65877">
        <w:rPr>
          <w:rFonts w:cs="Arial"/>
        </w:rPr>
        <w:t xml:space="preserve"> </w:t>
      </w:r>
      <w:r>
        <w:rPr>
          <w:rFonts w:cs="Arial"/>
        </w:rPr>
        <w:t xml:space="preserve">Commonwealth, </w:t>
      </w:r>
      <w:r w:rsidRPr="00F65877">
        <w:rPr>
          <w:rFonts w:cs="Arial"/>
        </w:rPr>
        <w:t xml:space="preserve">Royal Commission into Institutional Responses to Child Sexual Abuse, </w:t>
      </w:r>
      <w:r w:rsidRPr="00F65877">
        <w:rPr>
          <w:rFonts w:cs="Arial"/>
          <w:i/>
        </w:rPr>
        <w:t>Creating child safe institutions</w:t>
      </w:r>
      <w:r>
        <w:rPr>
          <w:rFonts w:cs="Arial"/>
        </w:rPr>
        <w:t xml:space="preserve"> (2016). A</w:t>
      </w:r>
      <w:r w:rsidRPr="00F65877">
        <w:rPr>
          <w:rFonts w:cs="Arial"/>
        </w:rPr>
        <w:t xml:space="preserve">t </w:t>
      </w:r>
      <w:hyperlink r:id="rId266" w:history="1">
        <w:r w:rsidRPr="002E5725">
          <w:rPr>
            <w:rStyle w:val="Collegamentoipertestuale"/>
          </w:rPr>
          <w:t>https://childabuseroyalcommission.gov.au/policy-and-research/our-research/published-research/key-elements-of-child-safe-organisations</w:t>
        </w:r>
      </w:hyperlink>
      <w:r w:rsidRPr="00F65877">
        <w:rPr>
          <w:rFonts w:cs="Arial"/>
        </w:rPr>
        <w:t xml:space="preserve"> (viewed 28 July 2017). </w:t>
      </w:r>
    </w:p>
  </w:endnote>
  <w:endnote w:id="807">
    <w:p w:rsidR="00C3563C" w:rsidRPr="00F65877" w:rsidRDefault="00C3563C" w:rsidP="00B87D45">
      <w:pPr>
        <w:pStyle w:val="Testonotadichiusura"/>
        <w:rPr>
          <w:rFonts w:cs="Arial"/>
        </w:rPr>
      </w:pPr>
      <w:r w:rsidRPr="00F65877">
        <w:rPr>
          <w:rStyle w:val="Rimandonotadichiusura"/>
          <w:rFonts w:cs="Arial"/>
        </w:rPr>
        <w:endnoteRef/>
      </w:r>
      <w:r w:rsidRPr="00F65877">
        <w:rPr>
          <w:rFonts w:cs="Arial"/>
        </w:rPr>
        <w:t xml:space="preserve"> Department of Social Services, </w:t>
      </w:r>
      <w:r w:rsidRPr="00F65877">
        <w:rPr>
          <w:rFonts w:cs="Arial"/>
          <w:i/>
        </w:rPr>
        <w:t>The National Framework for Pr</w:t>
      </w:r>
      <w:r>
        <w:rPr>
          <w:rFonts w:cs="Arial"/>
          <w:i/>
        </w:rPr>
        <w:t xml:space="preserve">otection Australia’s Children — </w:t>
      </w:r>
      <w:r w:rsidRPr="00F65877">
        <w:rPr>
          <w:rFonts w:cs="Arial"/>
          <w:i/>
        </w:rPr>
        <w:t>Th</w:t>
      </w:r>
      <w:r>
        <w:rPr>
          <w:rFonts w:cs="Arial"/>
          <w:i/>
        </w:rPr>
        <w:t>ird Three-Year Action Plan 2015–</w:t>
      </w:r>
      <w:r w:rsidRPr="00F65877">
        <w:rPr>
          <w:rFonts w:cs="Arial"/>
          <w:i/>
        </w:rPr>
        <w:t>2018</w:t>
      </w:r>
      <w:r>
        <w:rPr>
          <w:rFonts w:cs="Arial"/>
          <w:i/>
        </w:rPr>
        <w:t xml:space="preserve"> </w:t>
      </w:r>
      <w:r>
        <w:rPr>
          <w:rFonts w:cs="Arial"/>
        </w:rPr>
        <w:t>(2015) 6. A</w:t>
      </w:r>
      <w:r w:rsidRPr="00F65877">
        <w:rPr>
          <w:rFonts w:cs="Arial"/>
        </w:rPr>
        <w:t xml:space="preserve">t </w:t>
      </w:r>
      <w:hyperlink r:id="rId267" w:history="1">
        <w:r w:rsidRPr="002E5725">
          <w:rPr>
            <w:rStyle w:val="Collegamentoipertestuale"/>
          </w:rPr>
          <w:t>https://www.dss.gov.au/families-and-children/programmes-services/children/protecting-children-is-everyones-business-national-framework-for-protecting-australias-children-2009-2020-third-action-plan-2015-2018</w:t>
        </w:r>
      </w:hyperlink>
      <w:r w:rsidRPr="00F65877">
        <w:rPr>
          <w:rFonts w:cs="Arial"/>
        </w:rPr>
        <w:t xml:space="preserve"> (viewed 24 October 2017).</w:t>
      </w:r>
    </w:p>
  </w:endnote>
  <w:endnote w:id="808">
    <w:p w:rsidR="00C3563C" w:rsidRPr="00F65877" w:rsidRDefault="00C3563C" w:rsidP="00B87D45">
      <w:pPr>
        <w:pStyle w:val="Testonotadichiusura"/>
        <w:rPr>
          <w:rFonts w:cs="Arial"/>
        </w:rPr>
      </w:pPr>
      <w:r w:rsidRPr="00F65877">
        <w:rPr>
          <w:rStyle w:val="Rimandonotadichiusura"/>
          <w:rFonts w:cs="Arial"/>
        </w:rPr>
        <w:endnoteRef/>
      </w:r>
      <w:r w:rsidRPr="00F65877">
        <w:rPr>
          <w:rFonts w:cs="Arial"/>
        </w:rPr>
        <w:t xml:space="preserve"> Department of Social Services, </w:t>
      </w:r>
      <w:r w:rsidRPr="00F65877">
        <w:rPr>
          <w:rFonts w:cs="Arial"/>
          <w:i/>
        </w:rPr>
        <w:t>The National Framework for P</w:t>
      </w:r>
      <w:r>
        <w:rPr>
          <w:rFonts w:cs="Arial"/>
          <w:i/>
        </w:rPr>
        <w:t xml:space="preserve">rotection Australia’s Children — </w:t>
      </w:r>
      <w:r w:rsidRPr="00F65877">
        <w:rPr>
          <w:rFonts w:cs="Arial"/>
          <w:i/>
        </w:rPr>
        <w:t>Th</w:t>
      </w:r>
      <w:r>
        <w:rPr>
          <w:rFonts w:cs="Arial"/>
          <w:i/>
        </w:rPr>
        <w:t>ird Three-Year Action Plan 2015–</w:t>
      </w:r>
      <w:r w:rsidRPr="00F65877">
        <w:rPr>
          <w:rFonts w:cs="Arial"/>
          <w:i/>
        </w:rPr>
        <w:t>2018</w:t>
      </w:r>
      <w:r>
        <w:rPr>
          <w:rFonts w:cs="Arial"/>
          <w:i/>
        </w:rPr>
        <w:t xml:space="preserve"> </w:t>
      </w:r>
      <w:r>
        <w:rPr>
          <w:rFonts w:cs="Arial"/>
        </w:rPr>
        <w:t>(2015) 12. A</w:t>
      </w:r>
      <w:r w:rsidRPr="00F65877">
        <w:rPr>
          <w:rFonts w:cs="Arial"/>
        </w:rPr>
        <w:t xml:space="preserve">t </w:t>
      </w:r>
      <w:hyperlink r:id="rId268" w:history="1">
        <w:r w:rsidRPr="002E5725">
          <w:rPr>
            <w:rStyle w:val="Collegamentoipertestuale"/>
          </w:rPr>
          <w:t>https://www.dss.gov.au/families-and-children/programmes-services/children/protecting-children-is-everyones-business-national-framework-for-protecting-australias-children-2009-2020-third-action-plan-2015-2018</w:t>
        </w:r>
      </w:hyperlink>
      <w:r>
        <w:rPr>
          <w:rFonts w:cs="Arial"/>
        </w:rPr>
        <w:t xml:space="preserve"> (viewed 24 October 2017).</w:t>
      </w:r>
    </w:p>
  </w:endnote>
  <w:endnote w:id="809">
    <w:p w:rsidR="00C3563C" w:rsidRPr="008B3C2B" w:rsidRDefault="00C3563C" w:rsidP="00B87D45">
      <w:pPr>
        <w:pStyle w:val="Testonotadichiusura"/>
        <w:rPr>
          <w:rFonts w:cs="Arial"/>
        </w:rPr>
      </w:pPr>
      <w:r w:rsidRPr="008B3C2B">
        <w:rPr>
          <w:rStyle w:val="Rimandonotadichiusura"/>
          <w:rFonts w:cs="Arial"/>
        </w:rPr>
        <w:endnoteRef/>
      </w:r>
      <w:r w:rsidRPr="008B3C2B">
        <w:rPr>
          <w:rFonts w:cs="Arial"/>
        </w:rPr>
        <w:t xml:space="preserve"> This table is an updated version of a table originally prepared by the Commission for Children and Young People, Victoria</w:t>
      </w:r>
      <w:r>
        <w:rPr>
          <w:rFonts w:cs="Arial"/>
        </w:rPr>
        <w:t xml:space="preserve">, and published in the report </w:t>
      </w:r>
      <w:r w:rsidRPr="008B3C2B">
        <w:rPr>
          <w:rFonts w:cs="Arial"/>
        </w:rPr>
        <w:t xml:space="preserve">titled </w:t>
      </w:r>
      <w:r>
        <w:rPr>
          <w:rFonts w:cs="Arial"/>
          <w:i/>
          <w:iCs/>
        </w:rPr>
        <w:t>The same four w</w:t>
      </w:r>
      <w:r w:rsidRPr="008B3C2B">
        <w:rPr>
          <w:rFonts w:cs="Arial"/>
          <w:i/>
          <w:iCs/>
        </w:rPr>
        <w:t>alls: Inquiry into the use of isolation, separation and lockdowns in the Victorian youth justice system</w:t>
      </w:r>
      <w:r w:rsidRPr="008B3C2B">
        <w:rPr>
          <w:rFonts w:cs="Arial"/>
        </w:rPr>
        <w:t xml:space="preserve"> (March 2017) 24</w:t>
      </w:r>
      <w:r>
        <w:rPr>
          <w:rFonts w:cs="Arial"/>
        </w:rPr>
        <w:t>–</w:t>
      </w:r>
      <w:r w:rsidRPr="008B3C2B">
        <w:rPr>
          <w:rFonts w:cs="Arial"/>
        </w:rPr>
        <w:t>25.</w:t>
      </w:r>
    </w:p>
  </w:endnote>
  <w:endnote w:id="810">
    <w:p w:rsidR="00C3563C" w:rsidRPr="008B3C2B" w:rsidRDefault="00C3563C" w:rsidP="00B87D45">
      <w:pPr>
        <w:pStyle w:val="Testonotadichiusura"/>
        <w:rPr>
          <w:rFonts w:cs="Arial"/>
        </w:rPr>
      </w:pPr>
      <w:r w:rsidRPr="008B3C2B">
        <w:rPr>
          <w:rStyle w:val="Rimandonotadichiusura"/>
          <w:rFonts w:cs="Arial"/>
        </w:rPr>
        <w:endnoteRef/>
      </w:r>
      <w:r w:rsidRPr="008B3C2B">
        <w:rPr>
          <w:rFonts w:cs="Arial"/>
        </w:rPr>
        <w:t xml:space="preserve"> Most notably, ‘Australia’s Shame’, Four Corners, ABC1, 25 July 2016.</w:t>
      </w:r>
    </w:p>
  </w:endnote>
  <w:endnote w:id="811">
    <w:p w:rsidR="00C3563C" w:rsidRPr="008B3C2B" w:rsidRDefault="00C3563C" w:rsidP="00B87D45">
      <w:pPr>
        <w:pStyle w:val="Testonotadichiusura"/>
        <w:rPr>
          <w:rFonts w:cs="Arial"/>
        </w:rPr>
      </w:pPr>
      <w:r w:rsidRPr="008B3C2B">
        <w:rPr>
          <w:rStyle w:val="Rimandonotadichiusura"/>
          <w:rFonts w:cs="Arial"/>
        </w:rPr>
        <w:endnoteRef/>
      </w:r>
      <w:r w:rsidRPr="008B3C2B">
        <w:rPr>
          <w:rFonts w:cs="Arial"/>
        </w:rPr>
        <w:t xml:space="preserve"> Commonwealth of Australia, </w:t>
      </w:r>
      <w:r w:rsidRPr="008B3C2B">
        <w:rPr>
          <w:rFonts w:cs="Arial"/>
          <w:i/>
          <w:iCs/>
        </w:rPr>
        <w:t>Royal Commission into the Protection and Detention of Children in the Northern Territory</w:t>
      </w:r>
      <w:r w:rsidRPr="008B3C2B">
        <w:rPr>
          <w:rFonts w:cs="Arial"/>
        </w:rPr>
        <w:t xml:space="preserve"> (2017). At </w:t>
      </w:r>
      <w:hyperlink r:id="rId269" w:history="1">
        <w:r w:rsidRPr="008B3C2B">
          <w:rPr>
            <w:rStyle w:val="Collegamentoipertestuale"/>
            <w:rFonts w:cs="Arial"/>
          </w:rPr>
          <w:t>https://childdetentionnt.royalcommission.gov.au/Pages/default.aspx</w:t>
        </w:r>
      </w:hyperlink>
      <w:r w:rsidRPr="008B3C2B">
        <w:rPr>
          <w:rFonts w:cs="Arial"/>
        </w:rPr>
        <w:t xml:space="preserve"> (</w:t>
      </w:r>
      <w:r>
        <w:rPr>
          <w:rFonts w:cs="Arial"/>
        </w:rPr>
        <w:t>viewed 30 November 2017</w:t>
      </w:r>
      <w:r w:rsidRPr="008B3C2B">
        <w:rPr>
          <w:rFonts w:cs="Arial"/>
        </w:rPr>
        <w:t>).</w:t>
      </w:r>
    </w:p>
  </w:endnote>
  <w:endnote w:id="812">
    <w:p w:rsidR="00C3563C" w:rsidRPr="008B3C2B" w:rsidRDefault="00C3563C" w:rsidP="00B87D45">
      <w:pPr>
        <w:pStyle w:val="Testonotadichiusura"/>
        <w:rPr>
          <w:rFonts w:cs="Arial"/>
        </w:rPr>
      </w:pPr>
      <w:r w:rsidRPr="008B3C2B">
        <w:rPr>
          <w:rStyle w:val="Rimandonotadichiusura"/>
          <w:rFonts w:cs="Arial"/>
        </w:rPr>
        <w:endnoteRef/>
      </w:r>
      <w:r w:rsidRPr="008B3C2B">
        <w:rPr>
          <w:rFonts w:cs="Arial"/>
        </w:rPr>
        <w:t xml:space="preserve"> Commonwealth of Australia, Royal Commission into Protection and Detention of Children in the Northern Territory, </w:t>
      </w:r>
      <w:r w:rsidRPr="008B3C2B">
        <w:rPr>
          <w:rFonts w:cs="Arial"/>
          <w:i/>
        </w:rPr>
        <w:t xml:space="preserve">Interim Report </w:t>
      </w:r>
      <w:r w:rsidRPr="008B3C2B">
        <w:rPr>
          <w:rFonts w:cs="Arial"/>
        </w:rPr>
        <w:t>(2017) 39.</w:t>
      </w:r>
    </w:p>
  </w:endnote>
  <w:endnote w:id="813">
    <w:p w:rsidR="00C3563C" w:rsidRPr="008B3C2B" w:rsidRDefault="00C3563C" w:rsidP="00B87D45">
      <w:pPr>
        <w:pStyle w:val="Testonotadichiusura"/>
        <w:rPr>
          <w:rFonts w:cs="Arial"/>
        </w:rPr>
      </w:pPr>
      <w:r w:rsidRPr="008B3C2B">
        <w:rPr>
          <w:rStyle w:val="Rimandonotadichiusura"/>
          <w:rFonts w:cs="Arial"/>
        </w:rPr>
        <w:endnoteRef/>
      </w:r>
      <w:r w:rsidRPr="008B3C2B">
        <w:rPr>
          <w:rFonts w:cs="Arial"/>
        </w:rPr>
        <w:t xml:space="preserve"> Queensland Government, ‘Terms of reference’, </w:t>
      </w:r>
      <w:r w:rsidRPr="008B3C2B">
        <w:rPr>
          <w:rFonts w:cs="Arial"/>
          <w:i/>
        </w:rPr>
        <w:t>Independent Review of Youth Detention</w:t>
      </w:r>
      <w:r w:rsidRPr="008B3C2B">
        <w:rPr>
          <w:rFonts w:cs="Arial"/>
        </w:rPr>
        <w:t xml:space="preserve"> (Queensland Government, 2016). At </w:t>
      </w:r>
      <w:hyperlink r:id="rId270" w:history="1">
        <w:r w:rsidRPr="008B3C2B">
          <w:rPr>
            <w:rStyle w:val="Collegamentoipertestuale"/>
            <w:rFonts w:cs="Arial"/>
          </w:rPr>
          <w:t>https://www.youthdetentionreview.qld.gov.au/terms-of-reference</w:t>
        </w:r>
      </w:hyperlink>
      <w:r w:rsidRPr="008B3C2B">
        <w:rPr>
          <w:rFonts w:cs="Arial"/>
        </w:rPr>
        <w:t xml:space="preserve"> (</w:t>
      </w:r>
      <w:r>
        <w:rPr>
          <w:rFonts w:cs="Arial"/>
        </w:rPr>
        <w:t>viewed</w:t>
      </w:r>
      <w:r w:rsidRPr="008B3C2B">
        <w:rPr>
          <w:rFonts w:cs="Arial"/>
        </w:rPr>
        <w:t xml:space="preserve"> </w:t>
      </w:r>
      <w:r>
        <w:rPr>
          <w:rFonts w:cs="Arial"/>
        </w:rPr>
        <w:t>30 November 2017</w:t>
      </w:r>
      <w:r w:rsidRPr="008B3C2B">
        <w:rPr>
          <w:rFonts w:cs="Arial"/>
        </w:rPr>
        <w:t>).</w:t>
      </w:r>
    </w:p>
  </w:endnote>
  <w:endnote w:id="814">
    <w:p w:rsidR="00C3563C" w:rsidRPr="008B3C2B" w:rsidRDefault="00C3563C" w:rsidP="00B87D45">
      <w:pPr>
        <w:pStyle w:val="Testonotadichiusura"/>
        <w:rPr>
          <w:rFonts w:cs="Arial"/>
        </w:rPr>
      </w:pPr>
      <w:r w:rsidRPr="008B3C2B">
        <w:rPr>
          <w:rStyle w:val="Rimandonotadichiusura"/>
          <w:rFonts w:cs="Arial"/>
        </w:rPr>
        <w:endnoteRef/>
      </w:r>
      <w:r w:rsidRPr="008B3C2B">
        <w:rPr>
          <w:rFonts w:cs="Arial"/>
        </w:rPr>
        <w:t xml:space="preserve"> Kathryn McMillan and Megan Davis, </w:t>
      </w:r>
      <w:r w:rsidRPr="008B3C2B">
        <w:rPr>
          <w:rFonts w:cs="Arial"/>
          <w:i/>
        </w:rPr>
        <w:t>Independent Review of Youth Detention, December 2016</w:t>
      </w:r>
      <w:r>
        <w:rPr>
          <w:rFonts w:cs="Arial"/>
        </w:rPr>
        <w:t xml:space="preserve">. At </w:t>
      </w:r>
      <w:hyperlink r:id="rId271" w:history="1">
        <w:r w:rsidRPr="008B3C2B">
          <w:rPr>
            <w:rStyle w:val="Collegamentoipertestuale"/>
            <w:rFonts w:cs="Arial"/>
          </w:rPr>
          <w:t>https://www.youthdetentionreview.qld.gov.au/review-of-youth-detention-centres-report.pdf</w:t>
        </w:r>
      </w:hyperlink>
      <w:r>
        <w:rPr>
          <w:rFonts w:cs="Arial"/>
        </w:rPr>
        <w:t xml:space="preserve"> (viewed 30 November 2017).</w:t>
      </w:r>
    </w:p>
  </w:endnote>
  <w:endnote w:id="815">
    <w:p w:rsidR="00C3563C" w:rsidRPr="008B3C2B" w:rsidRDefault="00C3563C" w:rsidP="00B87D45">
      <w:pPr>
        <w:pStyle w:val="Testonotadichiusura"/>
        <w:rPr>
          <w:rFonts w:cs="Arial"/>
        </w:rPr>
      </w:pPr>
      <w:r w:rsidRPr="008B3C2B">
        <w:rPr>
          <w:rStyle w:val="Rimandonotadichiusura"/>
          <w:rFonts w:cs="Arial"/>
        </w:rPr>
        <w:endnoteRef/>
      </w:r>
      <w:r w:rsidRPr="008B3C2B">
        <w:rPr>
          <w:rFonts w:cs="Arial"/>
        </w:rPr>
        <w:t xml:space="preserve"> Sarah Gerathy, ‘Juvenile Justice: NSW to review youth detention centres amid detainee isolation claims’, </w:t>
      </w:r>
      <w:r w:rsidRPr="008B3C2B">
        <w:rPr>
          <w:rFonts w:cs="Arial"/>
          <w:i/>
        </w:rPr>
        <w:t>ABC News</w:t>
      </w:r>
      <w:r w:rsidRPr="008B3C2B">
        <w:rPr>
          <w:rFonts w:cs="Arial"/>
        </w:rPr>
        <w:t>, 27 October 2016.</w:t>
      </w:r>
    </w:p>
  </w:endnote>
  <w:endnote w:id="816">
    <w:p w:rsidR="00C3563C" w:rsidRPr="008B3C2B" w:rsidRDefault="00C3563C" w:rsidP="00B87D45">
      <w:pPr>
        <w:pStyle w:val="Testonotadichiusura"/>
        <w:rPr>
          <w:rFonts w:cs="Arial"/>
        </w:rPr>
      </w:pPr>
      <w:r w:rsidRPr="008B3C2B">
        <w:rPr>
          <w:rStyle w:val="Rimandonotadichiusura"/>
          <w:rFonts w:cs="Arial"/>
        </w:rPr>
        <w:endnoteRef/>
      </w:r>
      <w:r w:rsidRPr="008B3C2B">
        <w:rPr>
          <w:rFonts w:cs="Arial"/>
        </w:rPr>
        <w:t xml:space="preserve"> New South Wales Government, </w:t>
      </w:r>
      <w:r w:rsidRPr="008B3C2B">
        <w:rPr>
          <w:rFonts w:cs="Arial"/>
          <w:i/>
        </w:rPr>
        <w:t>Current Inspections: How the use of force against detainees in Juvenile Justice Centres in NSW is managed</w:t>
      </w:r>
      <w:r w:rsidRPr="008B3C2B">
        <w:rPr>
          <w:rFonts w:cs="Arial"/>
        </w:rPr>
        <w:t xml:space="preserve"> (1 December 2016) Inspector of Custodial Services</w:t>
      </w:r>
      <w:r>
        <w:rPr>
          <w:rFonts w:cs="Arial"/>
        </w:rPr>
        <w:t xml:space="preserve">. At </w:t>
      </w:r>
      <w:hyperlink r:id="rId272" w:history="1">
        <w:r w:rsidRPr="008B3C2B">
          <w:rPr>
            <w:rStyle w:val="Collegamentoipertestuale"/>
            <w:rFonts w:cs="Arial"/>
          </w:rPr>
          <w:t>http://www.custodialinspector.justice.nsw.gov.au/Pages/current-inspections/current-inspections.aspx</w:t>
        </w:r>
      </w:hyperlink>
      <w:r>
        <w:rPr>
          <w:rStyle w:val="Collegamentoipertestuale"/>
          <w:rFonts w:cs="Arial"/>
        </w:rPr>
        <w:t xml:space="preserve"> (</w:t>
      </w:r>
      <w:r>
        <w:rPr>
          <w:rFonts w:cs="Arial"/>
        </w:rPr>
        <w:t>viewed</w:t>
      </w:r>
      <w:r w:rsidRPr="008B3C2B">
        <w:rPr>
          <w:rFonts w:cs="Arial"/>
        </w:rPr>
        <w:t xml:space="preserve"> </w:t>
      </w:r>
      <w:r>
        <w:rPr>
          <w:rFonts w:cs="Arial"/>
        </w:rPr>
        <w:t>30 November 2017)</w:t>
      </w:r>
      <w:r w:rsidRPr="008B3C2B">
        <w:rPr>
          <w:rFonts w:cs="Arial"/>
        </w:rPr>
        <w:t>.</w:t>
      </w:r>
    </w:p>
  </w:endnote>
  <w:endnote w:id="817">
    <w:p w:rsidR="00C3563C" w:rsidRPr="008B3C2B" w:rsidRDefault="00C3563C" w:rsidP="00B87D45">
      <w:pPr>
        <w:pStyle w:val="Testonotadichiusura"/>
        <w:rPr>
          <w:rFonts w:cs="Arial"/>
        </w:rPr>
      </w:pPr>
      <w:r w:rsidRPr="008B3C2B">
        <w:rPr>
          <w:rStyle w:val="Rimandonotadichiusura"/>
          <w:rFonts w:cs="Arial"/>
        </w:rPr>
        <w:endnoteRef/>
      </w:r>
      <w:r w:rsidRPr="008B3C2B">
        <w:rPr>
          <w:rFonts w:cs="Arial"/>
        </w:rPr>
        <w:t xml:space="preserve"> Guardians for Children and Young People, </w:t>
      </w:r>
      <w:r w:rsidRPr="008B3C2B">
        <w:rPr>
          <w:rFonts w:cs="Arial"/>
          <w:i/>
        </w:rPr>
        <w:t>Go to your room! The use of seclusion in youth detention</w:t>
      </w:r>
      <w:r>
        <w:rPr>
          <w:rFonts w:cs="Arial"/>
        </w:rPr>
        <w:t xml:space="preserve"> (2016). At </w:t>
      </w:r>
      <w:hyperlink r:id="rId273" w:history="1">
        <w:r w:rsidRPr="008B3C2B">
          <w:rPr>
            <w:rStyle w:val="Collegamentoipertestuale"/>
            <w:rFonts w:cs="Arial"/>
          </w:rPr>
          <w:t>http://www.gcyp.sa.gov.au/2016/04/go-to-your-room-the-use-of-seclusion-in-youth-detention</w:t>
        </w:r>
      </w:hyperlink>
      <w:r>
        <w:rPr>
          <w:rFonts w:cs="Arial"/>
        </w:rPr>
        <w:t xml:space="preserve"> (viewed 30 November 2017).</w:t>
      </w:r>
    </w:p>
  </w:endnote>
  <w:endnote w:id="818">
    <w:p w:rsidR="00C3563C" w:rsidRPr="00547D43" w:rsidRDefault="00C3563C" w:rsidP="00B87D45">
      <w:pPr>
        <w:pStyle w:val="Testonotadichiusura"/>
        <w:rPr>
          <w:rFonts w:cs="Arial"/>
        </w:rPr>
      </w:pPr>
      <w:r w:rsidRPr="008B3C2B">
        <w:rPr>
          <w:rStyle w:val="Rimandonotadichiusura"/>
          <w:rFonts w:cs="Arial"/>
        </w:rPr>
        <w:endnoteRef/>
      </w:r>
      <w:r w:rsidRPr="008B3C2B">
        <w:rPr>
          <w:rFonts w:cs="Arial"/>
        </w:rPr>
        <w:t xml:space="preserve"> Department of Corrective Services, Government of Western Australia, </w:t>
      </w:r>
      <w:r w:rsidRPr="00FC2539">
        <w:rPr>
          <w:rStyle w:val="CCYPfootnotetextChar"/>
          <w:rFonts w:ascii="Arial" w:hAnsi="Arial" w:cs="Arial"/>
          <w:i/>
          <w:sz w:val="20"/>
          <w:lang w:val="en"/>
        </w:rPr>
        <w:t>Young people in the justice system: A review of the Young Offenders Act 1994</w:t>
      </w:r>
      <w:r w:rsidRPr="00FC2539">
        <w:rPr>
          <w:rStyle w:val="CCYPfootnotetextChar"/>
          <w:rFonts w:ascii="Arial" w:hAnsi="Arial" w:cs="Arial"/>
          <w:sz w:val="20"/>
        </w:rPr>
        <w:t xml:space="preserve"> </w:t>
      </w:r>
      <w:r w:rsidRPr="008B3C2B">
        <w:rPr>
          <w:rStyle w:val="CCYPfootnotetextChar"/>
          <w:rFonts w:cs="Arial"/>
        </w:rPr>
        <w:t>(</w:t>
      </w:r>
      <w:r w:rsidRPr="008B3C2B">
        <w:rPr>
          <w:rFonts w:cs="Arial"/>
        </w:rPr>
        <w:t xml:space="preserve">2016). At </w:t>
      </w:r>
      <w:hyperlink r:id="rId274" w:history="1">
        <w:r w:rsidRPr="008B3C2B">
          <w:rPr>
            <w:rStyle w:val="Collegamentoipertestuale"/>
            <w:rFonts w:eastAsia="MS ??" w:cs="Arial"/>
          </w:rPr>
          <w:t>https://www.correctiveservices.wa.gov.au/youth-justice/young-offenders-act.aspx</w:t>
        </w:r>
      </w:hyperlink>
      <w:r w:rsidRPr="008B3C2B">
        <w:rPr>
          <w:rStyle w:val="CCYPfootnotetextChar"/>
          <w:rFonts w:cs="Arial"/>
        </w:rPr>
        <w:t xml:space="preserve"> </w:t>
      </w:r>
      <w:r w:rsidRPr="00547D43">
        <w:rPr>
          <w:rStyle w:val="CCYPfootnotetextChar"/>
          <w:rFonts w:ascii="Arial" w:hAnsi="Arial" w:cs="Arial"/>
          <w:sz w:val="20"/>
        </w:rPr>
        <w:t xml:space="preserve">(viewed </w:t>
      </w:r>
      <w:r>
        <w:rPr>
          <w:rStyle w:val="CCYPfootnotetextChar"/>
          <w:rFonts w:ascii="Arial" w:hAnsi="Arial" w:cs="Arial"/>
          <w:sz w:val="20"/>
        </w:rPr>
        <w:t xml:space="preserve">30 November </w:t>
      </w:r>
      <w:r w:rsidRPr="00547D43">
        <w:rPr>
          <w:rStyle w:val="CCYPfootnotetextChar"/>
          <w:rFonts w:ascii="Arial" w:hAnsi="Arial" w:cs="Arial"/>
          <w:sz w:val="20"/>
        </w:rPr>
        <w:t>2017).</w:t>
      </w:r>
    </w:p>
  </w:endnote>
  <w:endnote w:id="819">
    <w:p w:rsidR="00C3563C" w:rsidRPr="008B3C2B" w:rsidRDefault="00C3563C" w:rsidP="00B87D45">
      <w:pPr>
        <w:pStyle w:val="Testonotadichiusura"/>
        <w:rPr>
          <w:rFonts w:cs="Arial"/>
        </w:rPr>
      </w:pPr>
      <w:r w:rsidRPr="008B3C2B">
        <w:rPr>
          <w:rStyle w:val="Rimandonotadichiusura"/>
          <w:rFonts w:cs="Arial"/>
        </w:rPr>
        <w:endnoteRef/>
      </w:r>
      <w:r w:rsidRPr="008B3C2B">
        <w:rPr>
          <w:rFonts w:cs="Arial"/>
        </w:rPr>
        <w:t xml:space="preserve"> Department of Corrective Services, Government of Western Australia, </w:t>
      </w:r>
      <w:r w:rsidRPr="008B3C2B">
        <w:rPr>
          <w:rFonts w:cs="Arial"/>
          <w:i/>
        </w:rPr>
        <w:t>Young People in the Justice System: A Review of the Young Offenders Act 1994</w:t>
      </w:r>
      <w:r w:rsidRPr="008B3C2B">
        <w:rPr>
          <w:rFonts w:cs="Arial"/>
        </w:rPr>
        <w:t>, Green Paper (2016) 3.</w:t>
      </w:r>
    </w:p>
  </w:endnote>
  <w:endnote w:id="820">
    <w:p w:rsidR="00C3563C" w:rsidRPr="008B3C2B" w:rsidRDefault="00C3563C" w:rsidP="00B87D45">
      <w:pPr>
        <w:pStyle w:val="Testonotadichiusura"/>
        <w:rPr>
          <w:rFonts w:cs="Arial"/>
        </w:rPr>
      </w:pPr>
      <w:r w:rsidRPr="008B3C2B">
        <w:rPr>
          <w:rStyle w:val="Rimandonotadichiusura"/>
          <w:rFonts w:cs="Arial"/>
        </w:rPr>
        <w:endnoteRef/>
      </w:r>
      <w:r w:rsidRPr="008B3C2B">
        <w:rPr>
          <w:rFonts w:cs="Arial"/>
        </w:rPr>
        <w:t xml:space="preserve"> Commission for Children and Young People, </w:t>
      </w:r>
      <w:r>
        <w:rPr>
          <w:rFonts w:cs="Arial"/>
          <w:i/>
        </w:rPr>
        <w:t>The same four w</w:t>
      </w:r>
      <w:r w:rsidRPr="008B3C2B">
        <w:rPr>
          <w:rFonts w:cs="Arial"/>
          <w:i/>
        </w:rPr>
        <w:t>alls: Inquiry into the use of isolation, separation and lockdowns in the Victorian youth justice system</w:t>
      </w:r>
      <w:r>
        <w:rPr>
          <w:rFonts w:cs="Arial"/>
        </w:rPr>
        <w:t xml:space="preserve">, February 2017. </w:t>
      </w:r>
    </w:p>
  </w:endnote>
  <w:endnote w:id="821">
    <w:p w:rsidR="00C3563C" w:rsidRPr="008B3C2B" w:rsidRDefault="00C3563C" w:rsidP="00B87D45">
      <w:pPr>
        <w:pStyle w:val="Testonotadichiusura"/>
        <w:rPr>
          <w:rFonts w:cs="Arial"/>
        </w:rPr>
      </w:pPr>
      <w:r w:rsidRPr="008B3C2B">
        <w:rPr>
          <w:rStyle w:val="Rimandonotadichiusura"/>
          <w:rFonts w:cs="Arial"/>
        </w:rPr>
        <w:endnoteRef/>
      </w:r>
      <w:r w:rsidRPr="008B3C2B">
        <w:rPr>
          <w:rFonts w:cs="Arial"/>
        </w:rPr>
        <w:t xml:space="preserve"> Department of Health and Human Services, ‘</w:t>
      </w:r>
      <w:r w:rsidRPr="008B3C2B">
        <w:rPr>
          <w:rFonts w:cs="Arial"/>
          <w:i/>
        </w:rPr>
        <w:t>Review of youth support, youth diversion and youth justice services: Terms of reference</w:t>
      </w:r>
      <w:r w:rsidRPr="008B3C2B">
        <w:rPr>
          <w:rFonts w:cs="Arial"/>
        </w:rPr>
        <w:t>’, Department of Health</w:t>
      </w:r>
      <w:r>
        <w:rPr>
          <w:rFonts w:cs="Arial"/>
        </w:rPr>
        <w:t xml:space="preserve"> and Human Services. At </w:t>
      </w:r>
      <w:hyperlink r:id="rId275" w:history="1">
        <w:r w:rsidRPr="008B3C2B">
          <w:rPr>
            <w:rStyle w:val="Collegamentoipertestuale"/>
            <w:rFonts w:cs="Arial"/>
          </w:rPr>
          <w:t>http://www.dhs.vic.gov.au/about-the-department/plans,-programs-and-projects/projects-and-initiatives/children,-youth-and-family-services/youth-justice-review</w:t>
        </w:r>
      </w:hyperlink>
      <w:r w:rsidRPr="008B3C2B">
        <w:rPr>
          <w:rFonts w:cs="Arial"/>
        </w:rPr>
        <w:t xml:space="preserve"> (</w:t>
      </w:r>
      <w:r>
        <w:rPr>
          <w:rFonts w:cs="Arial"/>
        </w:rPr>
        <w:t>viewed</w:t>
      </w:r>
      <w:r w:rsidRPr="008B3C2B">
        <w:rPr>
          <w:rFonts w:cs="Arial"/>
        </w:rPr>
        <w:t xml:space="preserve"> </w:t>
      </w:r>
      <w:r>
        <w:rPr>
          <w:rFonts w:cs="Arial"/>
        </w:rPr>
        <w:t>30 November</w:t>
      </w:r>
      <w:r w:rsidRPr="008B3C2B">
        <w:rPr>
          <w:rFonts w:cs="Arial"/>
        </w:rPr>
        <w:t xml:space="preserve"> 2017).</w:t>
      </w:r>
    </w:p>
  </w:endnote>
  <w:endnote w:id="822">
    <w:p w:rsidR="00C3563C" w:rsidRPr="008B3C2B" w:rsidRDefault="00C3563C" w:rsidP="00B87D45">
      <w:pPr>
        <w:pStyle w:val="Testonotadichiusura"/>
        <w:rPr>
          <w:rFonts w:cs="Arial"/>
        </w:rPr>
      </w:pPr>
      <w:r w:rsidRPr="008B3C2B">
        <w:rPr>
          <w:rStyle w:val="Rimandonotadichiusura"/>
          <w:rFonts w:cs="Arial"/>
        </w:rPr>
        <w:endnoteRef/>
      </w:r>
      <w:r w:rsidRPr="008B3C2B">
        <w:rPr>
          <w:rFonts w:cs="Arial"/>
        </w:rPr>
        <w:t xml:space="preserve"> Patrick Billings, ‘State Government coy on recommendations of youth justice report’, </w:t>
      </w:r>
      <w:r w:rsidRPr="008B3C2B">
        <w:rPr>
          <w:rFonts w:cs="Arial"/>
          <w:i/>
        </w:rPr>
        <w:t>The Mercury</w:t>
      </w:r>
      <w:r w:rsidRPr="008B3C2B">
        <w:rPr>
          <w:rFonts w:cs="Arial"/>
        </w:rPr>
        <w:t xml:space="preserve"> (Tasmania)</w:t>
      </w:r>
      <w:r>
        <w:rPr>
          <w:rFonts w:cs="Arial"/>
        </w:rPr>
        <w:t>.</w:t>
      </w:r>
      <w:r w:rsidRPr="008B3C2B">
        <w:rPr>
          <w:rFonts w:cs="Arial"/>
        </w:rPr>
        <w:t xml:space="preserve"> 4 July 2017.  </w:t>
      </w:r>
    </w:p>
  </w:endnote>
  <w:endnote w:id="823">
    <w:p w:rsidR="00C3563C" w:rsidRPr="008B3C2B" w:rsidRDefault="00C3563C" w:rsidP="00B87D45">
      <w:pPr>
        <w:pStyle w:val="Testonotadichiusura"/>
        <w:rPr>
          <w:rFonts w:cs="Arial"/>
        </w:rPr>
      </w:pPr>
      <w:r w:rsidRPr="008B3C2B">
        <w:rPr>
          <w:rStyle w:val="Rimandonotadichiusura"/>
          <w:rFonts w:cs="Arial"/>
        </w:rPr>
        <w:endnoteRef/>
      </w:r>
      <w:r w:rsidRPr="008B3C2B">
        <w:rPr>
          <w:rFonts w:cs="Arial"/>
        </w:rPr>
        <w:t xml:space="preserve"> Jacqui Petrusma, Minister for Human Services, ‘Ash</w:t>
      </w:r>
      <w:r>
        <w:rPr>
          <w:rFonts w:cs="Arial"/>
        </w:rPr>
        <w:t>le</w:t>
      </w:r>
      <w:r w:rsidRPr="008B3C2B">
        <w:rPr>
          <w:rFonts w:cs="Arial"/>
        </w:rPr>
        <w:t>y ‘Harker Report’: Change already underway’ (Media Release, 1 September 2016).</w:t>
      </w:r>
    </w:p>
  </w:endnote>
  <w:endnote w:id="824">
    <w:p w:rsidR="00C3563C" w:rsidRDefault="00C3563C" w:rsidP="00B87D45">
      <w:pPr>
        <w:pStyle w:val="Testonotadichiusura"/>
      </w:pPr>
      <w:r w:rsidRPr="00F13198">
        <w:rPr>
          <w:rStyle w:val="Rimandonotadichiusura"/>
        </w:rPr>
        <w:endnoteRef/>
      </w:r>
      <w:r w:rsidRPr="00F13198">
        <w:t xml:space="preserve"> </w:t>
      </w:r>
      <w:r>
        <w:t>Me</w:t>
      </w:r>
      <w:r w:rsidRPr="00F13198">
        <w:t>gan Mitchell</w:t>
      </w:r>
      <w:r>
        <w:t>, National Children’s Commissioner, S</w:t>
      </w:r>
      <w:r w:rsidRPr="00F13198">
        <w:t xml:space="preserve">tatement delivered at United Nations Human Rights Council, Youth and Human Rights Panel, </w:t>
      </w:r>
      <w:r w:rsidRPr="00F13198">
        <w:rPr>
          <w:bCs/>
          <w:i/>
        </w:rPr>
        <w:t>Adoption of Universal Periodic Review outcome of Australia</w:t>
      </w:r>
      <w:r w:rsidRPr="00F13198">
        <w:rPr>
          <w:bCs/>
        </w:rPr>
        <w:t>, 31st Regular Session Human Rights Council</w:t>
      </w:r>
      <w:r w:rsidRPr="00F13198">
        <w:t>, 25 August 2016).</w:t>
      </w:r>
    </w:p>
  </w:endnote>
  <w:endnote w:id="825">
    <w:p w:rsidR="00C3563C" w:rsidRPr="00665BFD" w:rsidRDefault="00C3563C" w:rsidP="00B87D45">
      <w:pPr>
        <w:pStyle w:val="Testonotadichiusura"/>
      </w:pPr>
      <w:r>
        <w:rPr>
          <w:rStyle w:val="Rimandonotadichiusura"/>
        </w:rPr>
        <w:endnoteRef/>
      </w:r>
      <w:r>
        <w:t xml:space="preserve"> Megan Mitchell, Statement, </w:t>
      </w:r>
      <w:r w:rsidRPr="00A63A7A">
        <w:rPr>
          <w:i/>
        </w:rPr>
        <w:t>Royal Commission into the Protection and Detention of Children in the Northern Territory</w:t>
      </w:r>
      <w:r>
        <w:t>, 9 October 2016.</w:t>
      </w:r>
    </w:p>
  </w:endnote>
  <w:endnote w:id="826">
    <w:p w:rsidR="00C3563C" w:rsidRDefault="00C3563C" w:rsidP="00B87D45">
      <w:pPr>
        <w:pStyle w:val="Testonotadichiusura"/>
      </w:pPr>
      <w:r>
        <w:rPr>
          <w:rStyle w:val="Rimandonotadichiusura"/>
        </w:rPr>
        <w:endnoteRef/>
      </w:r>
      <w:r>
        <w:t xml:space="preserve"> Evidence to the </w:t>
      </w:r>
      <w:r w:rsidRPr="004B7B34">
        <w:rPr>
          <w:i/>
        </w:rPr>
        <w:t>Royal Commission into the Protection and Detention of Children in the Northern Territory</w:t>
      </w:r>
      <w:r>
        <w:t xml:space="preserve">, Darwin, 11 October 2016. </w:t>
      </w:r>
    </w:p>
  </w:endnote>
  <w:endnote w:id="827">
    <w:p w:rsidR="00C3563C" w:rsidRDefault="00C3563C" w:rsidP="00B87D45">
      <w:pPr>
        <w:pStyle w:val="Testonotadichiusura"/>
      </w:pPr>
      <w:r w:rsidRPr="000C3C8F">
        <w:rPr>
          <w:rStyle w:val="Rimandonotadichiusura"/>
        </w:rPr>
        <w:endnoteRef/>
      </w:r>
      <w:r w:rsidRPr="000C3C8F">
        <w:t xml:space="preserve"> Australian Human Rights Commission, </w:t>
      </w:r>
      <w:r>
        <w:t>S</w:t>
      </w:r>
      <w:r w:rsidRPr="000C3C8F">
        <w:t xml:space="preserve">ubmission to Attorney-General’s Department, </w:t>
      </w:r>
      <w:r w:rsidRPr="00B27AEC">
        <w:rPr>
          <w:i/>
        </w:rPr>
        <w:t>Family Law Amendment (Family Violence and Other Measures) Bill 2017</w:t>
      </w:r>
      <w:r w:rsidRPr="000C3C8F">
        <w:t>, 19 January 2017.</w:t>
      </w:r>
    </w:p>
  </w:endnote>
  <w:endnote w:id="828">
    <w:p w:rsidR="00C3563C" w:rsidRDefault="00C3563C" w:rsidP="00B87D45">
      <w:pPr>
        <w:pStyle w:val="Testonotadichiusura"/>
      </w:pPr>
      <w:r>
        <w:rPr>
          <w:rStyle w:val="Rimandonotadichiusura"/>
        </w:rPr>
        <w:endnoteRef/>
      </w:r>
      <w:r>
        <w:t xml:space="preserve"> Australian Human Rights Commission, Submission to United Nations </w:t>
      </w:r>
      <w:r w:rsidRPr="00902E61">
        <w:t>Special Rapporteur on Violence Against Women</w:t>
      </w:r>
      <w:r>
        <w:t xml:space="preserve">, </w:t>
      </w:r>
      <w:r w:rsidRPr="00A63A7A">
        <w:rPr>
          <w:i/>
        </w:rPr>
        <w:t>Violence against women in Australia</w:t>
      </w:r>
      <w:r>
        <w:t xml:space="preserve">, </w:t>
      </w:r>
      <w:r w:rsidRPr="00902E61">
        <w:t>20 Janua</w:t>
      </w:r>
      <w:r>
        <w:t xml:space="preserve">ry 2017. At </w:t>
      </w:r>
      <w:hyperlink r:id="rId276" w:history="1">
        <w:r w:rsidRPr="008D6DBF">
          <w:rPr>
            <w:rStyle w:val="Collegamentoipertestuale"/>
          </w:rPr>
          <w:t>https://www.humanrights.gov.au/submissions/violence-against-women-australia-2017</w:t>
        </w:r>
      </w:hyperlink>
      <w:r>
        <w:t xml:space="preserve"> (viewed 6 November 2017).</w:t>
      </w:r>
    </w:p>
  </w:endnote>
  <w:endnote w:id="829">
    <w:p w:rsidR="00C3563C" w:rsidRDefault="00C3563C" w:rsidP="00B87D45">
      <w:pPr>
        <w:pStyle w:val="Testonotadichiusura"/>
      </w:pPr>
      <w:r w:rsidRPr="000C3C8F">
        <w:rPr>
          <w:rStyle w:val="Rimandonotadichiusura"/>
        </w:rPr>
        <w:endnoteRef/>
      </w:r>
      <w:r w:rsidRPr="000C3C8F">
        <w:t xml:space="preserve"> Australian Human Rights Commission, Submission to Senate Education and Employment Legislation Committee, </w:t>
      </w:r>
      <w:r w:rsidRPr="00A63A7A">
        <w:rPr>
          <w:i/>
        </w:rPr>
        <w:t>Family Assistance Legislation Amendment (Jobs for Families Child Care Package) Bill 2016</w:t>
      </w:r>
      <w:r w:rsidRPr="000C3C8F">
        <w:t xml:space="preserve">, </w:t>
      </w:r>
      <w:r w:rsidRPr="000C3C8F">
        <w:rPr>
          <w:lang w:val="en"/>
        </w:rPr>
        <w:t>23 September 2016</w:t>
      </w:r>
      <w:r>
        <w:rPr>
          <w:lang w:val="en"/>
        </w:rPr>
        <w:t>.</w:t>
      </w:r>
    </w:p>
  </w:endnote>
  <w:endnote w:id="830">
    <w:p w:rsidR="00C3563C" w:rsidRPr="00CB2394" w:rsidRDefault="00C3563C" w:rsidP="00B87D45">
      <w:pPr>
        <w:pStyle w:val="Testonotadichiusura"/>
      </w:pPr>
      <w:r w:rsidRPr="00CB2394">
        <w:rPr>
          <w:rStyle w:val="Rimandonotadichiusura"/>
        </w:rPr>
        <w:endnoteRef/>
      </w:r>
      <w:r w:rsidRPr="00CB2394">
        <w:t xml:space="preserve"> Australian Human Ri</w:t>
      </w:r>
      <w:r>
        <w:t xml:space="preserve">ghts Commission, Submission No </w:t>
      </w:r>
      <w:r w:rsidRPr="00CB2394">
        <w:t xml:space="preserve">104 to Senate Community Affairs Legislation Committee, </w:t>
      </w:r>
      <w:r w:rsidRPr="00CB2394">
        <w:rPr>
          <w:i/>
          <w:lang w:val="en"/>
        </w:rPr>
        <w:t xml:space="preserve">Inquiry into the Fairer Paid Parental Leave Bill 2016, </w:t>
      </w:r>
      <w:r>
        <w:rPr>
          <w:lang w:val="en"/>
        </w:rPr>
        <w:t xml:space="preserve">25 January 2017. </w:t>
      </w:r>
    </w:p>
  </w:endnote>
  <w:endnote w:id="831">
    <w:p w:rsidR="00C3563C" w:rsidRDefault="00C3563C" w:rsidP="00B87D45">
      <w:pPr>
        <w:pStyle w:val="Testonotadichiusura"/>
      </w:pPr>
      <w:r w:rsidRPr="00CB2394">
        <w:rPr>
          <w:rStyle w:val="Rimandonotadichiusura"/>
        </w:rPr>
        <w:endnoteRef/>
      </w:r>
      <w:r w:rsidRPr="00CB2394">
        <w:t xml:space="preserve"> Australian Human Rights Commission, Submission</w:t>
      </w:r>
      <w:r>
        <w:t xml:space="preserve"> No 72</w:t>
      </w:r>
      <w:r w:rsidRPr="00CB2394">
        <w:t xml:space="preserve"> to Select Committee on the Exposure Draft of the Marriage Amen</w:t>
      </w:r>
      <w:r>
        <w:t>dment (Same-Sex Marriage) Bill</w:t>
      </w:r>
      <w:r w:rsidRPr="00CB2394">
        <w:t xml:space="preserve">, </w:t>
      </w:r>
      <w:r w:rsidRPr="00CB2394">
        <w:rPr>
          <w:i/>
        </w:rPr>
        <w:t xml:space="preserve">Inquiry into the Commonwealth Government’s Exposure Draft of the Marriage Amendment (Same-Sex Marriage) Bill, </w:t>
      </w:r>
      <w:r w:rsidRPr="00CB2394">
        <w:t>18 January</w:t>
      </w:r>
      <w:r w:rsidRPr="00CB2394">
        <w:rPr>
          <w:i/>
        </w:rPr>
        <w:t xml:space="preserve"> </w:t>
      </w:r>
      <w:r>
        <w:t xml:space="preserve">2017. At </w:t>
      </w:r>
      <w:hyperlink r:id="rId277" w:history="1">
        <w:r w:rsidRPr="008D6DBF">
          <w:rPr>
            <w:rStyle w:val="Collegamentoipertestuale"/>
          </w:rPr>
          <w:t>https://www.humanrights.gov.au/submissions/inquiry-commonwealth-government-s-exposure-draft-marriage-amendment-same-sex-marriage</w:t>
        </w:r>
      </w:hyperlink>
      <w:r>
        <w:t xml:space="preserve"> (viewed 6 November 2017). </w:t>
      </w:r>
    </w:p>
  </w:endnote>
  <w:endnote w:id="832">
    <w:p w:rsidR="00C3563C" w:rsidRPr="006371D2" w:rsidRDefault="00C3563C" w:rsidP="00B87D45">
      <w:pPr>
        <w:pStyle w:val="Testonotadichiusura"/>
      </w:pPr>
      <w:r>
        <w:rPr>
          <w:rStyle w:val="Rimandonotadichiusura"/>
        </w:rPr>
        <w:endnoteRef/>
      </w:r>
      <w:r>
        <w:t xml:space="preserve"> </w:t>
      </w:r>
      <w:r w:rsidRPr="00CB2394">
        <w:t>Australian Hum</w:t>
      </w:r>
      <w:r>
        <w:t xml:space="preserve">an Rights Commission, </w:t>
      </w:r>
      <w:r w:rsidRPr="0043786C">
        <w:t xml:space="preserve">Submission </w:t>
      </w:r>
      <w:r>
        <w:t xml:space="preserve">No 38 </w:t>
      </w:r>
      <w:r w:rsidRPr="0043786C">
        <w:t xml:space="preserve">to </w:t>
      </w:r>
      <w:r w:rsidRPr="006371D2">
        <w:t>Joint Standing Committee on Migration</w:t>
      </w:r>
      <w:r>
        <w:t>,</w:t>
      </w:r>
      <w:r w:rsidRPr="006371D2">
        <w:t xml:space="preserve"> </w:t>
      </w:r>
      <w:r>
        <w:t xml:space="preserve">Parliament of Australia, </w:t>
      </w:r>
      <w:r w:rsidRPr="006371D2">
        <w:rPr>
          <w:i/>
        </w:rPr>
        <w:t xml:space="preserve">Inquiry into </w:t>
      </w:r>
      <w:r>
        <w:rPr>
          <w:i/>
        </w:rPr>
        <w:t>m</w:t>
      </w:r>
      <w:r w:rsidRPr="006371D2">
        <w:rPr>
          <w:i/>
        </w:rPr>
        <w:t xml:space="preserve">igrant </w:t>
      </w:r>
      <w:r>
        <w:rPr>
          <w:i/>
        </w:rPr>
        <w:t>s</w:t>
      </w:r>
      <w:r w:rsidRPr="006371D2">
        <w:rPr>
          <w:i/>
        </w:rPr>
        <w:t xml:space="preserve">ettlement </w:t>
      </w:r>
      <w:r>
        <w:rPr>
          <w:i/>
        </w:rPr>
        <w:t>o</w:t>
      </w:r>
      <w:r w:rsidRPr="006371D2">
        <w:rPr>
          <w:i/>
        </w:rPr>
        <w:t>utcomes</w:t>
      </w:r>
      <w:r>
        <w:rPr>
          <w:i/>
        </w:rPr>
        <w:t xml:space="preserve">, </w:t>
      </w:r>
      <w:r w:rsidRPr="00413DDC">
        <w:t>31 January 2017</w:t>
      </w:r>
      <w:r>
        <w:t xml:space="preserve">. At </w:t>
      </w:r>
      <w:hyperlink r:id="rId278" w:history="1">
        <w:r w:rsidRPr="008D6DBF">
          <w:rPr>
            <w:rStyle w:val="Collegamentoipertestuale"/>
          </w:rPr>
          <w:t>https://www.humanrights.gov.au/submissions/inquiry-migrant-settlement-outcomes-2017</w:t>
        </w:r>
      </w:hyperlink>
      <w:r>
        <w:t xml:space="preserve"> (viewed 6 November 2017). </w:t>
      </w:r>
    </w:p>
  </w:endnote>
  <w:endnote w:id="833">
    <w:p w:rsidR="00C3563C" w:rsidRPr="00A63A7A" w:rsidRDefault="00C3563C" w:rsidP="00B87D45">
      <w:pPr>
        <w:pStyle w:val="Testonotadichiusura"/>
      </w:pPr>
      <w:r w:rsidRPr="00A63A7A">
        <w:rPr>
          <w:rStyle w:val="Rimandonotadichiusura"/>
        </w:rPr>
        <w:endnoteRef/>
      </w:r>
      <w:r w:rsidRPr="00A63A7A">
        <w:t xml:space="preserve"> Australian Human Rights Commission, </w:t>
      </w:r>
      <w:r w:rsidRPr="00CB0961">
        <w:t xml:space="preserve">Submission to </w:t>
      </w:r>
      <w:r>
        <w:t>United Nations</w:t>
      </w:r>
      <w:r w:rsidRPr="00CB0961">
        <w:t xml:space="preserve"> Committee on Economic, Social and Cultural Rights</w:t>
      </w:r>
      <w:r w:rsidRPr="00CB0961">
        <w:rPr>
          <w:i/>
        </w:rPr>
        <w:t xml:space="preserve">, </w:t>
      </w:r>
      <w:r w:rsidRPr="00A63A7A">
        <w:rPr>
          <w:i/>
        </w:rPr>
        <w:t>Information concerning Australia’s compliance with the International Covenant on Economic, Social and Cultural Rights</w:t>
      </w:r>
      <w:r>
        <w:t>,</w:t>
      </w:r>
      <w:r w:rsidRPr="00A63A7A">
        <w:t xml:space="preserve"> </w:t>
      </w:r>
      <w:r w:rsidRPr="008575DE">
        <w:t>8 May 2017.</w:t>
      </w:r>
    </w:p>
  </w:endnote>
  <w:endnote w:id="834">
    <w:p w:rsidR="00C3563C" w:rsidRDefault="00C3563C" w:rsidP="00B87D45">
      <w:pPr>
        <w:pStyle w:val="Testonotadichiusura"/>
      </w:pPr>
      <w:r w:rsidRPr="008575DE">
        <w:rPr>
          <w:rStyle w:val="Rimandonotadichiusura"/>
        </w:rPr>
        <w:endnoteRef/>
      </w:r>
      <w:r w:rsidRPr="008575DE">
        <w:t xml:space="preserve"> Australian Human Rights Commission, Submission to NSW Inspector of Custodial Services, </w:t>
      </w:r>
      <w:r w:rsidRPr="008575DE">
        <w:rPr>
          <w:i/>
        </w:rPr>
        <w:t>NSW Juvenile Justice</w:t>
      </w:r>
      <w:r w:rsidRPr="00116120">
        <w:rPr>
          <w:i/>
        </w:rPr>
        <w:t>: Human rights and the use of force</w:t>
      </w:r>
      <w:r>
        <w:t xml:space="preserve">, 31 May 2017. At </w:t>
      </w:r>
      <w:hyperlink r:id="rId279" w:history="1">
        <w:r w:rsidRPr="008D6DBF">
          <w:rPr>
            <w:rStyle w:val="Collegamentoipertestuale"/>
          </w:rPr>
          <w:t>http://www.humanrights.gov.au/submissions/nsw-juvenile-justice-human-rights-and-use-force-2017</w:t>
        </w:r>
      </w:hyperlink>
      <w:r>
        <w:t xml:space="preserve"> (viewed 6 November 2017). </w:t>
      </w:r>
    </w:p>
  </w:endnote>
  <w:endnote w:id="835">
    <w:p w:rsidR="00C3563C" w:rsidRDefault="00C3563C" w:rsidP="00B87D45">
      <w:pPr>
        <w:pStyle w:val="Testonotadichiusura"/>
      </w:pPr>
      <w:r w:rsidRPr="00F63723">
        <w:rPr>
          <w:rStyle w:val="Rimandonotadichiusura"/>
        </w:rPr>
        <w:endnoteRef/>
      </w:r>
      <w:r w:rsidRPr="00F63723">
        <w:t xml:space="preserve"> Australian Human Rights Commission, Submission to </w:t>
      </w:r>
      <w:r>
        <w:t xml:space="preserve">United Nations </w:t>
      </w:r>
      <w:r w:rsidRPr="00F63723">
        <w:t>Committee on the Rights of Persons with Disabilities</w:t>
      </w:r>
      <w:r>
        <w:t>,</w:t>
      </w:r>
      <w:r w:rsidRPr="00F63723" w:rsidDel="0063788D">
        <w:t xml:space="preserve"> </w:t>
      </w:r>
      <w:r w:rsidRPr="00A63A7A">
        <w:rPr>
          <w:i/>
        </w:rPr>
        <w:t>Information for List of Issues Prior to Reporting – Australia -  Submission to Committee on the Rights of Persons with Disabilities</w:t>
      </w:r>
      <w:r w:rsidRPr="00F63723">
        <w:t xml:space="preserve">, </w:t>
      </w:r>
      <w:r w:rsidRPr="00F63723">
        <w:rPr>
          <w:lang w:val="en-US"/>
        </w:rPr>
        <w:t>29 June 2017</w:t>
      </w:r>
      <w:r>
        <w:t xml:space="preserve">. At </w:t>
      </w:r>
      <w:hyperlink r:id="rId280" w:history="1">
        <w:r w:rsidRPr="005D3C2B">
          <w:rPr>
            <w:rStyle w:val="Collegamentoipertestuale"/>
          </w:rPr>
          <w:t>http://tbinternet.ohchr.org/_layouts/treatybodyexternal/Download.aspx?symbolno=INT%2fCRPD%2fICS%2fAUS%2f28303&amp;Lang=en</w:t>
        </w:r>
      </w:hyperlink>
      <w:r>
        <w:t xml:space="preserve"> (viewed 6 November 2017). </w:t>
      </w:r>
    </w:p>
  </w:endnote>
  <w:endnote w:id="836">
    <w:p w:rsidR="00C3563C" w:rsidRPr="000E30A5" w:rsidRDefault="00C3563C" w:rsidP="00B87D45">
      <w:pPr>
        <w:pStyle w:val="Testonotadichiusura"/>
      </w:pPr>
      <w:r w:rsidRPr="002D2F3B">
        <w:rPr>
          <w:rStyle w:val="Rimandonotadichiusura"/>
        </w:rPr>
        <w:endnoteRef/>
      </w:r>
      <w:r w:rsidRPr="002D2F3B">
        <w:t xml:space="preserve"> Australian Human Rights Commission, Submission</w:t>
      </w:r>
      <w:r>
        <w:t xml:space="preserve"> No 447</w:t>
      </w:r>
      <w:r w:rsidRPr="002D2F3B">
        <w:t xml:space="preserve"> to </w:t>
      </w:r>
      <w:r w:rsidRPr="002D2F3B">
        <w:rPr>
          <w:rFonts w:cs="Arial"/>
          <w:color w:val="000000"/>
          <w:shd w:val="clear" w:color="auto" w:fill="FFFFFF"/>
        </w:rPr>
        <w:t>Senate Legal and Constitutional Affairs Committee, Parliament of Australia,</w:t>
      </w:r>
      <w:r w:rsidRPr="002D2F3B">
        <w:t xml:space="preserve"> </w:t>
      </w:r>
      <w:r w:rsidRPr="00A63A7A">
        <w:rPr>
          <w:i/>
        </w:rPr>
        <w:t>Australian Citizenship Legislation (Strengthening the Requirements for Australian Citizenship and Other Measures) Bill 2017</w:t>
      </w:r>
      <w:r>
        <w:t xml:space="preserve">, 21 July 2017. At </w:t>
      </w:r>
      <w:hyperlink r:id="rId281" w:history="1">
        <w:r w:rsidRPr="005D3C2B">
          <w:rPr>
            <w:rStyle w:val="Collegamentoipertestuale"/>
          </w:rPr>
          <w:t>http://www.aph.gov.au/DocumentStore.ashx?id=f398c0c0-376d-4b96-9007-5b0b98cbf729&amp;subId=514189</w:t>
        </w:r>
      </w:hyperlink>
      <w:r>
        <w:t xml:space="preserve"> (viewed 6 November 2017). </w:t>
      </w:r>
    </w:p>
  </w:endnote>
  <w:endnote w:id="837">
    <w:p w:rsidR="00C3563C" w:rsidRDefault="00C3563C" w:rsidP="00B87D45">
      <w:pPr>
        <w:pStyle w:val="Testonotadichiusura"/>
      </w:pPr>
      <w:r w:rsidRPr="00B469C2">
        <w:rPr>
          <w:rStyle w:val="Rimandonotadichiusura"/>
        </w:rPr>
        <w:endnoteRef/>
      </w:r>
      <w:r w:rsidRPr="00B469C2">
        <w:t xml:space="preserve"> Australian Human Rights Commission, Submission to Attorney-General’s Department, </w:t>
      </w:r>
      <w:r w:rsidRPr="00A63A7A">
        <w:rPr>
          <w:i/>
        </w:rPr>
        <w:t xml:space="preserve">Proposed amendments to the Family Law Act 1975 (Cth) to address direct cross-examination of parties in family law proceedings involving family violence: </w:t>
      </w:r>
      <w:r>
        <w:rPr>
          <w:i/>
        </w:rPr>
        <w:t>p</w:t>
      </w:r>
      <w:r w:rsidRPr="00A63A7A">
        <w:rPr>
          <w:i/>
        </w:rPr>
        <w:t xml:space="preserve">ublic </w:t>
      </w:r>
      <w:r>
        <w:rPr>
          <w:i/>
        </w:rPr>
        <w:t>c</w:t>
      </w:r>
      <w:r w:rsidRPr="00A63A7A">
        <w:rPr>
          <w:i/>
        </w:rPr>
        <w:t xml:space="preserve">onsultation </w:t>
      </w:r>
      <w:r>
        <w:rPr>
          <w:i/>
        </w:rPr>
        <w:t>p</w:t>
      </w:r>
      <w:r w:rsidRPr="00A63A7A">
        <w:rPr>
          <w:i/>
        </w:rPr>
        <w:t>aper</w:t>
      </w:r>
      <w:r w:rsidRPr="004C5798">
        <w:t>, July 2017</w:t>
      </w:r>
      <w:r>
        <w:t xml:space="preserve">. At </w:t>
      </w:r>
      <w:hyperlink r:id="rId282" w:history="1">
        <w:r w:rsidRPr="005D3C2B">
          <w:rPr>
            <w:rStyle w:val="Collegamentoipertestuale"/>
          </w:rPr>
          <w:t>https://www.ag.gov.au/Consultations/Documents/FamilyLawAmendmentFamilyViolenceBill2017/Consultation-paper-family-violence-cross-examination-amendments.pdf</w:t>
        </w:r>
      </w:hyperlink>
      <w:r>
        <w:t xml:space="preserve"> (viewed 6 November 2017). </w:t>
      </w:r>
    </w:p>
  </w:endnote>
  <w:endnote w:id="838">
    <w:p w:rsidR="00C3563C" w:rsidRDefault="00C3563C" w:rsidP="00B87D45">
      <w:pPr>
        <w:pStyle w:val="Testonotadichiusura"/>
      </w:pPr>
      <w:r>
        <w:rPr>
          <w:rStyle w:val="Rimandonotadichiusura"/>
        </w:rPr>
        <w:endnoteRef/>
      </w:r>
      <w:r>
        <w:t xml:space="preserve"> </w:t>
      </w:r>
      <w:r w:rsidRPr="00B469C2">
        <w:t>Australian Human Rights Commission, Submission to</w:t>
      </w:r>
      <w:r>
        <w:t xml:space="preserve"> </w:t>
      </w:r>
      <w:r w:rsidRPr="00A3586F">
        <w:t>House Standing Committee on Social Policy and Legal Affairs</w:t>
      </w:r>
      <w:r>
        <w:t>,</w:t>
      </w:r>
      <w:r w:rsidRPr="00A3586F">
        <w:t xml:space="preserve"> </w:t>
      </w:r>
      <w:r w:rsidRPr="00665BFD">
        <w:rPr>
          <w:i/>
        </w:rPr>
        <w:t>Inquiry into a better family law system to support and protect those affected by family violence</w:t>
      </w:r>
      <w:r>
        <w:t>, 23 August 2017.</w:t>
      </w:r>
    </w:p>
  </w:endnote>
  <w:endnote w:id="839">
    <w:p w:rsidR="00C3563C" w:rsidRDefault="00C3563C" w:rsidP="00B87D45">
      <w:pPr>
        <w:pStyle w:val="Testonotadichiusura"/>
      </w:pPr>
      <w:r w:rsidRPr="00F63723">
        <w:rPr>
          <w:rStyle w:val="Rimandonotadichiusura"/>
        </w:rPr>
        <w:endnoteRef/>
      </w:r>
      <w:r w:rsidRPr="00F63723">
        <w:t xml:space="preserve"> Australian Human Rights Commission, Submission to</w:t>
      </w:r>
      <w:r>
        <w:t xml:space="preserve"> the United Nations Human Rights Committee,</w:t>
      </w:r>
      <w:r w:rsidRPr="001F4709" w:rsidDel="001F4709">
        <w:rPr>
          <w:i/>
        </w:rPr>
        <w:t xml:space="preserve"> </w:t>
      </w:r>
      <w:r w:rsidRPr="00A63A7A">
        <w:rPr>
          <w:i/>
        </w:rPr>
        <w:t>Information concerning Australia’s compliance with the International Covenant on Civil and Political Rights</w:t>
      </w:r>
      <w:r w:rsidRPr="00F63723">
        <w:t xml:space="preserve">, </w:t>
      </w:r>
      <w:r>
        <w:t xml:space="preserve">8 May 2017. At </w:t>
      </w:r>
      <w:hyperlink r:id="rId283" w:history="1">
        <w:r w:rsidRPr="00C754ED">
          <w:rPr>
            <w:rStyle w:val="Collegamentoipertestuale"/>
          </w:rPr>
          <w:t>https://www.humanrights.gov.au/submissions/information-concerning-australia-s-compliance-international-covenant-economic-social-and</w:t>
        </w:r>
      </w:hyperlink>
      <w:r>
        <w:t xml:space="preserve"> </w:t>
      </w:r>
    </w:p>
  </w:endnote>
  <w:endnote w:id="840">
    <w:p w:rsidR="00C3563C" w:rsidRDefault="00C3563C" w:rsidP="00B87D45">
      <w:pPr>
        <w:pStyle w:val="Testonotadichiusura"/>
      </w:pPr>
      <w:r>
        <w:rPr>
          <w:rStyle w:val="Rimandonotadichiusura"/>
        </w:rPr>
        <w:endnoteRef/>
      </w:r>
      <w:r>
        <w:t xml:space="preserve"> The legislative provisions contained in this Appendix are correct as at 26 July 2017. All references to ‘contraception’, unless otherwise indicated, are to prescribed medical forms of contraception. All references to ‘children’, unless otherwise indicated, are to persons aged under 18 years.</w:t>
      </w:r>
    </w:p>
  </w:endnote>
  <w:endnote w:id="841">
    <w:p w:rsidR="00C3563C" w:rsidRDefault="00C3563C" w:rsidP="00B87D45">
      <w:pPr>
        <w:pStyle w:val="Testonotadichiusura"/>
      </w:pPr>
      <w:r>
        <w:rPr>
          <w:rStyle w:val="Rimandonotadichiusura"/>
        </w:rPr>
        <w:endnoteRef/>
      </w:r>
      <w:r>
        <w:t xml:space="preserve"> Australian Government, Department of Social Services</w:t>
      </w:r>
      <w:r w:rsidRPr="006A6EA9">
        <w:rPr>
          <w:i/>
        </w:rPr>
        <w:t>, Young people becoming independent</w:t>
      </w:r>
      <w:r>
        <w:t xml:space="preserve">. At </w:t>
      </w:r>
      <w:hyperlink r:id="rId284" w:history="1">
        <w:r w:rsidRPr="00755B29">
          <w:rPr>
            <w:rStyle w:val="Collegamentoipertestuale"/>
          </w:rPr>
          <w:t>https://www.humanservices.gov.au/customer/subjects/young-people-becoming-independent</w:t>
        </w:r>
      </w:hyperlink>
      <w:r>
        <w:t xml:space="preserve"> (viewed 8 November 2017).</w:t>
      </w:r>
    </w:p>
  </w:endnote>
  <w:endnote w:id="842">
    <w:p w:rsidR="00C3563C" w:rsidRDefault="00C3563C" w:rsidP="00B87D45">
      <w:pPr>
        <w:pStyle w:val="Testonotadichiusura"/>
      </w:pPr>
      <w:r>
        <w:rPr>
          <w:rStyle w:val="Rimandonotadichiusura"/>
        </w:rPr>
        <w:endnoteRef/>
      </w:r>
      <w:r>
        <w:t xml:space="preserve"> Australian Government, Office of the Australian Information Commissioner, </w:t>
      </w:r>
      <w:r w:rsidRPr="006A6EA9">
        <w:rPr>
          <w:i/>
        </w:rPr>
        <w:t xml:space="preserve">Privacy fact sheet 21: </w:t>
      </w:r>
      <w:r>
        <w:rPr>
          <w:i/>
        </w:rPr>
        <w:t>Y</w:t>
      </w:r>
      <w:r w:rsidRPr="006A6EA9">
        <w:rPr>
          <w:i/>
        </w:rPr>
        <w:t xml:space="preserve">oung </w:t>
      </w:r>
      <w:r>
        <w:rPr>
          <w:i/>
        </w:rPr>
        <w:t>People and the My H</w:t>
      </w:r>
      <w:r w:rsidRPr="006A6EA9">
        <w:rPr>
          <w:i/>
        </w:rPr>
        <w:t>ealth Record System</w:t>
      </w:r>
      <w:r>
        <w:t xml:space="preserve">. At  </w:t>
      </w:r>
      <w:hyperlink r:id="rId285" w:history="1">
        <w:r w:rsidRPr="00755B29">
          <w:rPr>
            <w:rStyle w:val="Collegamentoipertestuale"/>
          </w:rPr>
          <w:t>https://www.oaic.gov.au/individuals/privacy-fact-sheets/health-and-digital-health/privacy-fact-sheet-21-young-people-and-the-my-health-record-system</w:t>
        </w:r>
      </w:hyperlink>
      <w:r>
        <w:t xml:space="preserve"> (viewed 8 November 2017). </w:t>
      </w:r>
    </w:p>
  </w:endnote>
  <w:endnote w:id="843">
    <w:p w:rsidR="00C3563C" w:rsidRDefault="00C3563C" w:rsidP="00B87D45">
      <w:pPr>
        <w:pStyle w:val="Testonotadichiusura"/>
      </w:pPr>
      <w:r>
        <w:rPr>
          <w:rStyle w:val="Rimandonotadichiusura"/>
        </w:rPr>
        <w:endnoteRef/>
      </w:r>
      <w:r>
        <w:t xml:space="preserve"> This section may apply where a parent is unwilling to consent to contraception/abortion and the child is Gillick incompetent but such treatment is clearly in the best interests of the child. </w:t>
      </w:r>
    </w:p>
  </w:endnote>
  <w:endnote w:id="844">
    <w:p w:rsidR="00C3563C" w:rsidRDefault="00C3563C" w:rsidP="00B87D45">
      <w:pPr>
        <w:pStyle w:val="Testonotadichiusura"/>
      </w:pPr>
      <w:r>
        <w:rPr>
          <w:rStyle w:val="Rimandonotadichiusura"/>
        </w:rPr>
        <w:endnoteRef/>
      </w:r>
      <w:r>
        <w:t xml:space="preserve"> NSW Law Reform Commission, </w:t>
      </w:r>
      <w:r w:rsidRPr="00E34166">
        <w:rPr>
          <w:i/>
        </w:rPr>
        <w:t>Young People and Consent to Health Care</w:t>
      </w:r>
      <w:r>
        <w:t xml:space="preserve">, Report No 119 (2008) [6.68]. At </w:t>
      </w:r>
      <w:hyperlink r:id="rId286" w:anchor="LRC_R119CHP6H4" w:history="1">
        <w:r w:rsidRPr="00331F34">
          <w:rPr>
            <w:rStyle w:val="Collegamentoipertestuale"/>
          </w:rPr>
          <w:t>http://www.austlii.edu.au/cgi-bin/sinodisp/au/other/lawreform/NSWLRC/2008/119.html?stem=0&amp;synonyms=0&amp;query=%22contraception%22%20and%20%22minor%22#LRC_R119CHP6H4</w:t>
        </w:r>
      </w:hyperlink>
      <w:r>
        <w:t xml:space="preserve"> (viewed 30 November 2017).</w:t>
      </w:r>
    </w:p>
  </w:endnote>
  <w:endnote w:id="845">
    <w:p w:rsidR="00C3563C" w:rsidRDefault="00C3563C" w:rsidP="00B87D45">
      <w:pPr>
        <w:pStyle w:val="Testonotadichiusura"/>
      </w:pPr>
      <w:r>
        <w:rPr>
          <w:rStyle w:val="Rimandonotadichiusura"/>
        </w:rPr>
        <w:endnoteRef/>
      </w:r>
      <w:r>
        <w:t xml:space="preserve"> Victoria Legal Aid, </w:t>
      </w:r>
      <w:r w:rsidRPr="00E34166">
        <w:rPr>
          <w:i/>
        </w:rPr>
        <w:t>Am I Old Enough?</w:t>
      </w:r>
      <w:r>
        <w:t xml:space="preserve"> (September 2016). At </w:t>
      </w:r>
      <w:hyperlink r:id="rId287" w:history="1">
        <w:r w:rsidRPr="00755B29">
          <w:rPr>
            <w:rStyle w:val="Collegamentoipertestuale"/>
          </w:rPr>
          <w:t>https://www.legalaid.vic.gov.au/sites/www.legalaid.vic.gov.au/files/vla-resource-am-i-old-enough_0.pdf</w:t>
        </w:r>
      </w:hyperlink>
      <w:r>
        <w:t xml:space="preserve"> (viewed 30 November 2017).</w:t>
      </w:r>
    </w:p>
  </w:endnote>
  <w:endnote w:id="846">
    <w:p w:rsidR="00C3563C" w:rsidRDefault="00C3563C" w:rsidP="00B87D45">
      <w:pPr>
        <w:pStyle w:val="Testonotadichiusura"/>
      </w:pPr>
      <w:r>
        <w:rPr>
          <w:rStyle w:val="Rimandonotadichiusura"/>
        </w:rPr>
        <w:endnoteRef/>
      </w:r>
      <w:r>
        <w:t xml:space="preserve"> Northern Territory Government Department of Health, </w:t>
      </w:r>
      <w:r w:rsidRPr="00E34166">
        <w:rPr>
          <w:i/>
        </w:rPr>
        <w:t>Clinical Guidelines for Termination of Pregnancy</w:t>
      </w:r>
      <w:r>
        <w:t xml:space="preserve"> (June 2017). At </w:t>
      </w:r>
      <w:hyperlink r:id="rId288" w:history="1">
        <w:r w:rsidRPr="00531CF6">
          <w:rPr>
            <w:rStyle w:val="Collegamentoipertestuale"/>
          </w:rPr>
          <w:t>http://digitallibrary.health.nt.gov.au/prodjspui/bitstream/10137/1305/1/NT%20Clincal%20Guidelines%20for%20Termination%20of%20Pregnancy.pdf</w:t>
        </w:r>
      </w:hyperlink>
      <w:r>
        <w:t xml:space="preserve"> (viewed 30 November 2017).</w:t>
      </w:r>
    </w:p>
  </w:endnote>
  <w:endnote w:id="847">
    <w:p w:rsidR="00C3563C" w:rsidRDefault="00C3563C" w:rsidP="00B87D45">
      <w:pPr>
        <w:pStyle w:val="Testonotadichiusura"/>
      </w:pPr>
      <w:r>
        <w:rPr>
          <w:rStyle w:val="Rimandonotadichiusura"/>
        </w:rPr>
        <w:endnoteRef/>
      </w:r>
      <w:r>
        <w:t xml:space="preserve"> Lawstuff, </w:t>
      </w:r>
      <w:r w:rsidRPr="00E34166">
        <w:rPr>
          <w:i/>
        </w:rPr>
        <w:t>Pregnancy</w:t>
      </w:r>
      <w:r>
        <w:t xml:space="preserve"> (23 April 2015). At </w:t>
      </w:r>
      <w:hyperlink r:id="rId289" w:history="1">
        <w:r w:rsidRPr="003E5F8B">
          <w:rPr>
            <w:rStyle w:val="Collegamentoipertestuale"/>
          </w:rPr>
          <w:t>http://www.lawstuff.org.au/sa_law/topics/pregnancy</w:t>
        </w:r>
      </w:hyperlink>
      <w:r>
        <w:rPr>
          <w:rStyle w:val="Collegamentoipertestuale"/>
        </w:rPr>
        <w:t xml:space="preserve"> (viewed 30 November 2017).</w:t>
      </w:r>
    </w:p>
  </w:endnote>
  <w:endnote w:id="848">
    <w:p w:rsidR="00C3563C" w:rsidRDefault="00C3563C" w:rsidP="00B87D45">
      <w:pPr>
        <w:pStyle w:val="Testonotadichiusura"/>
      </w:pPr>
      <w:r>
        <w:rPr>
          <w:rStyle w:val="Rimandonotadichiusura"/>
        </w:rPr>
        <w:endnoteRef/>
      </w:r>
      <w:r>
        <w:t xml:space="preserve"> Hobart Community Legal Service Inc, Medical Treatment (2013). At </w:t>
      </w:r>
      <w:hyperlink r:id="rId290" w:history="1">
        <w:r w:rsidRPr="00A75E89">
          <w:rPr>
            <w:rStyle w:val="Collegamentoipertestuale"/>
          </w:rPr>
          <w:t>http://www.hobartlegal.org.au/tasmanian-law-handbook/rights/childrens-rights/childrens-rights-and-duties/medical-treatment</w:t>
        </w:r>
      </w:hyperlink>
      <w:r>
        <w:rPr>
          <w:rStyle w:val="Collegamentoipertestuale"/>
        </w:rPr>
        <w:t xml:space="preserve"> (viewed 30 November 2017).</w:t>
      </w:r>
    </w:p>
  </w:endnote>
  <w:endnote w:id="849">
    <w:p w:rsidR="00C3563C" w:rsidRDefault="00C3563C" w:rsidP="00B87D45">
      <w:pPr>
        <w:pStyle w:val="Testonotadichiusura"/>
      </w:pPr>
      <w:r>
        <w:rPr>
          <w:rStyle w:val="Rimandonotadichiusura"/>
        </w:rPr>
        <w:endnoteRef/>
      </w:r>
      <w:r>
        <w:t xml:space="preserve"> Care and Consent to Medical Treatment Bill 2016 (Tas). At </w:t>
      </w:r>
      <w:hyperlink r:id="rId291" w:history="1">
        <w:r w:rsidRPr="002576D4">
          <w:rPr>
            <w:rStyle w:val="Collegamentoipertestuale"/>
          </w:rPr>
          <w:t>http://www.parliament.tas.gov.au/bills/19_of_2016.htm</w:t>
        </w:r>
      </w:hyperlink>
      <w:r>
        <w:rPr>
          <w:rStyle w:val="Collegamentoipertestuale"/>
        </w:rPr>
        <w:t xml:space="preserve"> (viewed 30 November 2017). </w:t>
      </w:r>
    </w:p>
  </w:endnote>
  <w:endnote w:id="850">
    <w:p w:rsidR="00C3563C" w:rsidRPr="006924AB" w:rsidRDefault="00C3563C" w:rsidP="00B87D45">
      <w:pPr>
        <w:pStyle w:val="Testonotadichiusura"/>
      </w:pPr>
      <w:r w:rsidRPr="00381C57">
        <w:rPr>
          <w:rStyle w:val="Rimandonotadichiusura"/>
        </w:rPr>
        <w:endnoteRef/>
      </w:r>
      <w:r w:rsidRPr="00381C57">
        <w:t xml:space="preserve"> </w:t>
      </w:r>
      <w:r w:rsidRPr="006924AB">
        <w:t>The legislative provisions contained in this Appendix are correct as at 26 July 2017. All references to ‘children’, unless otherwise indicated, are to persons aged under 18 years.</w:t>
      </w:r>
    </w:p>
  </w:endnote>
  <w:endnote w:id="851">
    <w:p w:rsidR="00C3563C" w:rsidRPr="006924AB" w:rsidRDefault="00C3563C" w:rsidP="00B87D45">
      <w:pPr>
        <w:spacing w:before="0" w:after="0"/>
        <w:rPr>
          <w:b/>
          <w:i/>
          <w:color w:val="000000"/>
          <w:sz w:val="20"/>
          <w:szCs w:val="20"/>
        </w:rPr>
      </w:pPr>
      <w:r w:rsidRPr="006924AB">
        <w:rPr>
          <w:rStyle w:val="Rimandonotadichiusura"/>
          <w:szCs w:val="20"/>
        </w:rPr>
        <w:endnoteRef/>
      </w:r>
      <w:r w:rsidRPr="006924AB">
        <w:rPr>
          <w:sz w:val="20"/>
          <w:szCs w:val="20"/>
        </w:rPr>
        <w:t xml:space="preserve"> ‘</w:t>
      </w:r>
      <w:r w:rsidRPr="006924AB">
        <w:rPr>
          <w:bCs/>
          <w:iCs/>
          <w:sz w:val="20"/>
          <w:szCs w:val="20"/>
        </w:rPr>
        <w:t>Educational authority’</w:t>
      </w:r>
      <w:r w:rsidRPr="006924AB">
        <w:rPr>
          <w:sz w:val="20"/>
          <w:szCs w:val="20"/>
        </w:rPr>
        <w:t xml:space="preserve"> means a body or person administering an educational institution. </w:t>
      </w:r>
      <w:r w:rsidRPr="006924AB">
        <w:rPr>
          <w:bCs/>
          <w:iCs/>
          <w:sz w:val="20"/>
          <w:szCs w:val="20"/>
        </w:rPr>
        <w:t>‘Educational institution’</w:t>
      </w:r>
      <w:r w:rsidRPr="006924AB">
        <w:rPr>
          <w:sz w:val="20"/>
          <w:szCs w:val="20"/>
        </w:rPr>
        <w:t xml:space="preserve"> means a school, college, university or other institution at which education or training is provided: </w:t>
      </w:r>
      <w:r w:rsidRPr="006924AB">
        <w:rPr>
          <w:i/>
          <w:color w:val="000000"/>
          <w:sz w:val="20"/>
          <w:szCs w:val="20"/>
        </w:rPr>
        <w:t xml:space="preserve">Sex Discrimination Act 1984 </w:t>
      </w:r>
      <w:r w:rsidRPr="006924AB">
        <w:rPr>
          <w:color w:val="000000"/>
          <w:sz w:val="20"/>
          <w:szCs w:val="20"/>
        </w:rPr>
        <w:t xml:space="preserve">(Cth), </w:t>
      </w:r>
      <w:r w:rsidRPr="006924AB">
        <w:rPr>
          <w:sz w:val="20"/>
          <w:szCs w:val="20"/>
        </w:rPr>
        <w:t>s 4(1).</w:t>
      </w:r>
    </w:p>
  </w:endnote>
  <w:endnote w:id="852">
    <w:p w:rsidR="00C3563C" w:rsidRPr="006924AB" w:rsidRDefault="00C3563C" w:rsidP="00B87D45">
      <w:pPr>
        <w:pStyle w:val="Titolo3"/>
        <w:numPr>
          <w:ilvl w:val="0"/>
          <w:numId w:val="0"/>
        </w:numPr>
        <w:spacing w:before="0" w:after="0"/>
        <w:rPr>
          <w:sz w:val="20"/>
          <w:szCs w:val="20"/>
        </w:rPr>
      </w:pPr>
      <w:r w:rsidRPr="006924AB">
        <w:rPr>
          <w:rStyle w:val="Rimandonotadichiusura"/>
          <w:szCs w:val="20"/>
        </w:rPr>
        <w:endnoteRef/>
      </w:r>
      <w:r w:rsidRPr="006924AB">
        <w:rPr>
          <w:sz w:val="20"/>
          <w:szCs w:val="20"/>
        </w:rPr>
        <w:t xml:space="preserve"> </w:t>
      </w:r>
      <w:r w:rsidRPr="000A5502">
        <w:rPr>
          <w:b w:val="0"/>
          <w:sz w:val="20"/>
          <w:szCs w:val="20"/>
        </w:rPr>
        <w:t xml:space="preserve">‘Educational authority’ means a person or body administering a school, college, university, or other institution at which education or training is provided: </w:t>
      </w:r>
      <w:r w:rsidRPr="000A5502">
        <w:rPr>
          <w:b w:val="0"/>
          <w:i/>
          <w:color w:val="000000"/>
          <w:sz w:val="20"/>
          <w:szCs w:val="20"/>
        </w:rPr>
        <w:t xml:space="preserve">Anti-Discrimination Act 1977 </w:t>
      </w:r>
      <w:r w:rsidRPr="000A5502">
        <w:rPr>
          <w:b w:val="0"/>
          <w:color w:val="000000"/>
          <w:sz w:val="20"/>
          <w:szCs w:val="20"/>
        </w:rPr>
        <w:t xml:space="preserve">(NSW), </w:t>
      </w:r>
      <w:r w:rsidRPr="000A5502">
        <w:rPr>
          <w:b w:val="0"/>
          <w:sz w:val="20"/>
          <w:szCs w:val="20"/>
        </w:rPr>
        <w:t>s 4(1).</w:t>
      </w:r>
      <w:r w:rsidRPr="006924AB">
        <w:rPr>
          <w:sz w:val="20"/>
          <w:szCs w:val="20"/>
        </w:rPr>
        <w:t xml:space="preserve"> </w:t>
      </w:r>
    </w:p>
  </w:endnote>
  <w:endnote w:id="853">
    <w:p w:rsidR="00C3563C" w:rsidRPr="006924AB" w:rsidRDefault="00C3563C" w:rsidP="00B87D45">
      <w:pPr>
        <w:pStyle w:val="Testonotadichiusura"/>
        <w:rPr>
          <w:lang w:val="en-US"/>
        </w:rPr>
      </w:pPr>
      <w:r w:rsidRPr="006924AB">
        <w:rPr>
          <w:rStyle w:val="Rimandonotadichiusura"/>
        </w:rPr>
        <w:endnoteRef/>
      </w:r>
      <w:r w:rsidRPr="006924AB">
        <w:t xml:space="preserve"> ‘</w:t>
      </w:r>
      <w:r w:rsidRPr="006924AB">
        <w:rPr>
          <w:bCs/>
          <w:iCs/>
          <w:lang w:val="en-US"/>
        </w:rPr>
        <w:t xml:space="preserve">Educational authority’ </w:t>
      </w:r>
      <w:r w:rsidRPr="006924AB">
        <w:rPr>
          <w:lang w:val="en-US"/>
        </w:rPr>
        <w:t>means the person or body administering an educational institution. ‘</w:t>
      </w:r>
      <w:r w:rsidRPr="006924AB">
        <w:rPr>
          <w:bCs/>
          <w:iCs/>
          <w:lang w:val="en-US"/>
        </w:rPr>
        <w:t>Educational institution’</w:t>
      </w:r>
      <w:r w:rsidRPr="006924AB">
        <w:rPr>
          <w:b/>
          <w:bCs/>
          <w:i/>
          <w:iCs/>
          <w:lang w:val="en-US"/>
        </w:rPr>
        <w:t xml:space="preserve"> </w:t>
      </w:r>
      <w:r w:rsidRPr="006924AB">
        <w:rPr>
          <w:lang w:val="en-US"/>
        </w:rPr>
        <w:t xml:space="preserve">means a school, college, university or other institution at which education or training is provided: </w:t>
      </w:r>
      <w:r w:rsidRPr="006924AB">
        <w:rPr>
          <w:i/>
        </w:rPr>
        <w:t>Equal Opportunity Act 2010</w:t>
      </w:r>
      <w:r w:rsidRPr="006924AB">
        <w:t xml:space="preserve"> (Vic), s 4(1).</w:t>
      </w:r>
    </w:p>
  </w:endnote>
  <w:endnote w:id="854">
    <w:p w:rsidR="00C3563C" w:rsidRPr="006924AB" w:rsidRDefault="00C3563C" w:rsidP="00B87D45">
      <w:pPr>
        <w:spacing w:before="0" w:after="0"/>
        <w:rPr>
          <w:b/>
          <w:sz w:val="20"/>
          <w:szCs w:val="20"/>
        </w:rPr>
      </w:pPr>
      <w:r w:rsidRPr="006924AB">
        <w:rPr>
          <w:rStyle w:val="Rimandonotadichiusura"/>
          <w:szCs w:val="20"/>
        </w:rPr>
        <w:endnoteRef/>
      </w:r>
      <w:r w:rsidRPr="006924AB">
        <w:rPr>
          <w:sz w:val="20"/>
          <w:szCs w:val="20"/>
        </w:rPr>
        <w:t xml:space="preserve"> ‘Human rights’ includes the right to education under s 27A: </w:t>
      </w:r>
      <w:r w:rsidRPr="006924AB">
        <w:rPr>
          <w:i/>
          <w:sz w:val="20"/>
          <w:szCs w:val="20"/>
        </w:rPr>
        <w:t xml:space="preserve">Human Rights Act 2004 </w:t>
      </w:r>
      <w:r w:rsidRPr="006924AB">
        <w:rPr>
          <w:sz w:val="20"/>
          <w:szCs w:val="20"/>
        </w:rPr>
        <w:t>(ACT), s 5.</w:t>
      </w:r>
    </w:p>
  </w:endnote>
  <w:endnote w:id="855">
    <w:p w:rsidR="00C3563C" w:rsidRPr="006924AB" w:rsidRDefault="00C3563C" w:rsidP="00B87D45">
      <w:pPr>
        <w:spacing w:before="0" w:after="0"/>
        <w:rPr>
          <w:b/>
          <w:sz w:val="20"/>
          <w:szCs w:val="20"/>
        </w:rPr>
      </w:pPr>
      <w:r w:rsidRPr="006924AB">
        <w:rPr>
          <w:rStyle w:val="Rimandonotadichiusura"/>
          <w:szCs w:val="20"/>
        </w:rPr>
        <w:endnoteRef/>
      </w:r>
      <w:r w:rsidRPr="006924AB">
        <w:rPr>
          <w:sz w:val="20"/>
          <w:szCs w:val="20"/>
        </w:rPr>
        <w:t xml:space="preserve"> ‘</w:t>
      </w:r>
      <w:r w:rsidRPr="006924AB">
        <w:rPr>
          <w:bCs/>
          <w:iCs/>
          <w:sz w:val="20"/>
          <w:szCs w:val="20"/>
        </w:rPr>
        <w:t xml:space="preserve">Educational authority’ </w:t>
      </w:r>
      <w:r w:rsidRPr="006924AB">
        <w:rPr>
          <w:sz w:val="20"/>
          <w:szCs w:val="20"/>
        </w:rPr>
        <w:t>means a body or person administering an educational institution. ‘</w:t>
      </w:r>
      <w:r w:rsidRPr="006924AB">
        <w:rPr>
          <w:bCs/>
          <w:iCs/>
          <w:sz w:val="20"/>
          <w:szCs w:val="20"/>
        </w:rPr>
        <w:t xml:space="preserve">Educational institution’ </w:t>
      </w:r>
      <w:r w:rsidRPr="006924AB">
        <w:rPr>
          <w:sz w:val="20"/>
          <w:szCs w:val="20"/>
        </w:rPr>
        <w:t xml:space="preserve">means a school, college, university or other institution at which education or training is provided: </w:t>
      </w:r>
      <w:r w:rsidRPr="006924AB">
        <w:rPr>
          <w:i/>
          <w:sz w:val="20"/>
          <w:szCs w:val="20"/>
        </w:rPr>
        <w:t>Discrimination Act 1991</w:t>
      </w:r>
      <w:r w:rsidRPr="006924AB">
        <w:rPr>
          <w:sz w:val="20"/>
          <w:szCs w:val="20"/>
        </w:rPr>
        <w:t xml:space="preserve"> (ACT), s 2.</w:t>
      </w:r>
    </w:p>
  </w:endnote>
  <w:endnote w:id="856">
    <w:p w:rsidR="00C3563C" w:rsidRPr="006924AB" w:rsidRDefault="00C3563C" w:rsidP="00B87D45">
      <w:pPr>
        <w:pStyle w:val="Testonotadichiusura"/>
      </w:pPr>
      <w:r w:rsidRPr="006924AB">
        <w:rPr>
          <w:rStyle w:val="Rimandonotadichiusura"/>
        </w:rPr>
        <w:endnoteRef/>
      </w:r>
      <w:r w:rsidRPr="006924AB">
        <w:t xml:space="preserve"> ‘Educational authority’ means a body or person administering an educational institution. ‘Educational institution’ means a school, college, university or other institution at which education or training is provided: </w:t>
      </w:r>
      <w:r w:rsidRPr="006924AB">
        <w:rPr>
          <w:i/>
        </w:rPr>
        <w:t xml:space="preserve">Equal Opportunity Act 1984 </w:t>
      </w:r>
      <w:r w:rsidRPr="006924AB">
        <w:t>(WA), s 4(1).</w:t>
      </w:r>
    </w:p>
  </w:endnote>
  <w:endnote w:id="857">
    <w:p w:rsidR="00C3563C" w:rsidRPr="006924AB" w:rsidRDefault="00C3563C" w:rsidP="00B87D45">
      <w:pPr>
        <w:pStyle w:val="Testonotadichiusura"/>
      </w:pPr>
      <w:r w:rsidRPr="006924AB">
        <w:rPr>
          <w:rStyle w:val="Rimandonotadichiusura"/>
        </w:rPr>
        <w:endnoteRef/>
      </w:r>
      <w:r w:rsidRPr="006924AB">
        <w:t xml:space="preserve"> ‘</w:t>
      </w:r>
      <w:r w:rsidRPr="006924AB">
        <w:rPr>
          <w:bCs/>
          <w:iCs/>
          <w:lang w:eastAsia="zh-CN"/>
        </w:rPr>
        <w:t>Educational authority’</w:t>
      </w:r>
      <w:r w:rsidRPr="006924AB">
        <w:rPr>
          <w:b/>
          <w:bCs/>
          <w:i/>
          <w:iCs/>
          <w:lang w:eastAsia="zh-CN"/>
        </w:rPr>
        <w:t xml:space="preserve"> </w:t>
      </w:r>
      <w:r w:rsidRPr="006924AB">
        <w:rPr>
          <w:lang w:eastAsia="zh-CN"/>
        </w:rPr>
        <w:t>means the body or person administering an educational institution. ‘</w:t>
      </w:r>
      <w:r w:rsidRPr="006924AB">
        <w:rPr>
          <w:bCs/>
          <w:iCs/>
          <w:lang w:eastAsia="zh-CN"/>
        </w:rPr>
        <w:t>Educational institution’</w:t>
      </w:r>
      <w:r w:rsidRPr="006924AB">
        <w:rPr>
          <w:b/>
          <w:bCs/>
          <w:i/>
          <w:iCs/>
          <w:lang w:eastAsia="zh-CN"/>
        </w:rPr>
        <w:t xml:space="preserve"> </w:t>
      </w:r>
      <w:r w:rsidRPr="006924AB">
        <w:rPr>
          <w:lang w:eastAsia="zh-CN"/>
        </w:rPr>
        <w:t xml:space="preserve">means a school, college, university or other institution at which any form of training or instruction is provided: </w:t>
      </w:r>
      <w:r w:rsidRPr="006924AB">
        <w:rPr>
          <w:i/>
          <w:lang w:eastAsia="zh-CN"/>
        </w:rPr>
        <w:t>Anti-Discrimination Act 1996</w:t>
      </w:r>
      <w:r w:rsidRPr="006924AB">
        <w:rPr>
          <w:lang w:eastAsia="zh-CN"/>
        </w:rPr>
        <w:t xml:space="preserve"> (NT), s 4(1). </w:t>
      </w:r>
    </w:p>
  </w:endnote>
  <w:endnote w:id="858">
    <w:p w:rsidR="00C3563C" w:rsidRDefault="00C3563C" w:rsidP="00B87D45">
      <w:pPr>
        <w:pStyle w:val="Testonotadichiusura"/>
      </w:pPr>
      <w:r>
        <w:rPr>
          <w:rStyle w:val="Rimandonotadichiusura"/>
        </w:rPr>
        <w:endnoteRef/>
      </w:r>
      <w:r>
        <w:t xml:space="preserve"> Department of Communities, Child Safety and Disability Services, Queensland, Submission No 58 to the Australian Human Rights Commission, </w:t>
      </w:r>
      <w:r w:rsidRPr="006F3CB4">
        <w:rPr>
          <w:i/>
        </w:rPr>
        <w:t>National Children’s Commissioner’s Investigation into Young Parents and their Children</w:t>
      </w:r>
      <w:r>
        <w:t>, 2.</w:t>
      </w:r>
    </w:p>
  </w:endnote>
  <w:endnote w:id="859">
    <w:p w:rsidR="00C3563C" w:rsidRDefault="00C3563C" w:rsidP="00B87D45">
      <w:pPr>
        <w:pStyle w:val="Testonotadichiusura"/>
      </w:pPr>
      <w:r>
        <w:rPr>
          <w:rStyle w:val="Rimandonotadichiusura"/>
        </w:rPr>
        <w:endnoteRef/>
      </w:r>
      <w:r>
        <w:t xml:space="preserve"> Department of Communities, Child Safety and Disability Services, Queensland, Submission No 58 to the Australian Human Rights Commission, </w:t>
      </w:r>
      <w:r w:rsidRPr="006F3CB4">
        <w:rPr>
          <w:i/>
        </w:rPr>
        <w:t>National Children’s Commissioner’s Investigation into Young Parents and their Children</w:t>
      </w:r>
      <w:r>
        <w:t>, 2.</w:t>
      </w:r>
    </w:p>
  </w:endnote>
  <w:endnote w:id="860">
    <w:p w:rsidR="00C3563C" w:rsidRDefault="00C3563C" w:rsidP="00B87D45">
      <w:pPr>
        <w:pStyle w:val="Testonotadichiusura"/>
      </w:pPr>
      <w:r>
        <w:rPr>
          <w:rStyle w:val="Rimandonotadichiusura"/>
        </w:rPr>
        <w:endnoteRef/>
      </w:r>
      <w:r>
        <w:t xml:space="preserve"> Department of Communities, Child Safety and Disability Services, Queensland, Submission No 58 to the Australian Human Rights Commission, </w:t>
      </w:r>
      <w:r w:rsidRPr="006F3CB4">
        <w:rPr>
          <w:i/>
        </w:rPr>
        <w:t>National Children’s Commissioner’s Investigation into Young Parents and their Children</w:t>
      </w:r>
      <w:r>
        <w:t>, 2.</w:t>
      </w:r>
    </w:p>
  </w:endnote>
  <w:endnote w:id="861">
    <w:p w:rsidR="00C3563C" w:rsidRDefault="00C3563C" w:rsidP="00B87D45">
      <w:pPr>
        <w:pStyle w:val="Testonotadichiusura"/>
      </w:pPr>
      <w:r>
        <w:rPr>
          <w:rStyle w:val="Rimandonotadichiusura"/>
        </w:rPr>
        <w:endnoteRef/>
      </w:r>
      <w:r>
        <w:t xml:space="preserve"> Department of Communities, Child Safety and Disability Services, Queensland, Submission No 58 to the Australian Human Rights Commission, </w:t>
      </w:r>
      <w:r w:rsidRPr="006F3CB4">
        <w:rPr>
          <w:i/>
        </w:rPr>
        <w:t>National Children’s Commissioner’s Investigation into Young Parents and their Children</w:t>
      </w:r>
      <w:r>
        <w:t>, 1.</w:t>
      </w:r>
    </w:p>
  </w:endnote>
  <w:endnote w:id="862">
    <w:p w:rsidR="00C3563C" w:rsidRDefault="00C3563C" w:rsidP="00B87D45">
      <w:pPr>
        <w:pStyle w:val="Testonotadichiusura"/>
      </w:pPr>
      <w:r>
        <w:rPr>
          <w:rStyle w:val="Rimandonotadichiusura"/>
        </w:rPr>
        <w:endnoteRef/>
      </w:r>
      <w:r>
        <w:t xml:space="preserve"> Department of Communities, Child Safety and Disability Services, Submission No 58</w:t>
      </w:r>
      <w:r w:rsidRPr="001955A2">
        <w:t xml:space="preserve"> </w:t>
      </w:r>
      <w:r>
        <w:t xml:space="preserve">to the Australian Human Rights Commission, </w:t>
      </w:r>
      <w:r w:rsidRPr="001955A2">
        <w:rPr>
          <w:i/>
        </w:rPr>
        <w:t>National Children’s Commissioner’s Investigation into Young Parents and their Childre</w:t>
      </w:r>
      <w:r>
        <w:t>n, 1.</w:t>
      </w:r>
    </w:p>
  </w:endnote>
  <w:endnote w:id="863">
    <w:p w:rsidR="00C3563C" w:rsidRDefault="00C3563C" w:rsidP="00B87D45">
      <w:pPr>
        <w:pStyle w:val="Testonotadichiusura"/>
      </w:pPr>
      <w:r>
        <w:rPr>
          <w:rStyle w:val="Rimandonotadichiusura"/>
        </w:rPr>
        <w:endnoteRef/>
      </w:r>
      <w:r>
        <w:t xml:space="preserve"> Department of Communities, Child Safety and Disability Services, Submission No 58</w:t>
      </w:r>
      <w:r w:rsidRPr="001955A2">
        <w:t xml:space="preserve"> </w:t>
      </w:r>
      <w:r>
        <w:t xml:space="preserve">to the Australian Human Rights Commission, </w:t>
      </w:r>
      <w:r w:rsidRPr="001955A2">
        <w:rPr>
          <w:i/>
        </w:rPr>
        <w:t>National Children’s Commissioner’s Investigation into Young Parents and their Childre</w:t>
      </w:r>
      <w:r>
        <w:t>n, 1.</w:t>
      </w:r>
    </w:p>
  </w:endnote>
  <w:endnote w:id="864">
    <w:p w:rsidR="00C3563C" w:rsidRDefault="00C3563C" w:rsidP="00B87D45">
      <w:pPr>
        <w:pStyle w:val="Testonotadichiusura"/>
      </w:pPr>
      <w:r>
        <w:rPr>
          <w:rStyle w:val="Rimandonotadichiusura"/>
        </w:rPr>
        <w:endnoteRef/>
      </w:r>
      <w:r>
        <w:t xml:space="preserve"> Department of Communities, Child Safety and Disability Services, Submission No 58</w:t>
      </w:r>
      <w:r w:rsidRPr="001955A2">
        <w:t xml:space="preserve"> </w:t>
      </w:r>
      <w:r>
        <w:t xml:space="preserve">to the Australian Human Rights Commission, </w:t>
      </w:r>
      <w:r w:rsidRPr="001955A2">
        <w:rPr>
          <w:i/>
        </w:rPr>
        <w:t>National Children’s Commissioner’s Investigation into Young Parents and their Childre</w:t>
      </w:r>
      <w:r>
        <w:t>n, 1.</w:t>
      </w:r>
    </w:p>
  </w:endnote>
  <w:endnote w:id="865">
    <w:p w:rsidR="00C3563C" w:rsidRDefault="00C3563C" w:rsidP="00B87D45">
      <w:pPr>
        <w:pStyle w:val="Testonotadichiusura"/>
      </w:pPr>
      <w:r>
        <w:rPr>
          <w:rStyle w:val="Rimandonotadichiusura"/>
        </w:rPr>
        <w:endnoteRef/>
      </w:r>
      <w:r>
        <w:t xml:space="preserve"> Territory Families, Northern Territory, Submission No 59 to the Australian Human Rights Commission, </w:t>
      </w:r>
      <w:r w:rsidRPr="006F3CB4">
        <w:rPr>
          <w:i/>
        </w:rPr>
        <w:t>National Children’s Commissioner’s Investigation into Young Parents and their Children</w:t>
      </w:r>
      <w:r>
        <w:t xml:space="preserve">, 2. </w:t>
      </w:r>
    </w:p>
  </w:endnote>
  <w:endnote w:id="866">
    <w:p w:rsidR="00C3563C" w:rsidRDefault="00C3563C" w:rsidP="00B87D45">
      <w:pPr>
        <w:pStyle w:val="Testonotadichiusura"/>
      </w:pPr>
      <w:r>
        <w:rPr>
          <w:rStyle w:val="Rimandonotadichiusura"/>
        </w:rPr>
        <w:endnoteRef/>
      </w:r>
      <w:r>
        <w:t xml:space="preserve"> Territory Families, Northern Territory, Submission No 59 to the Australian Human Rights Commission, </w:t>
      </w:r>
      <w:r w:rsidRPr="006F3CB4">
        <w:rPr>
          <w:i/>
        </w:rPr>
        <w:t>National Children’s Commissioner’s Investigation into Young Parents and their Children</w:t>
      </w:r>
      <w:r>
        <w:t xml:space="preserve">, 2. </w:t>
      </w:r>
    </w:p>
  </w:endnote>
  <w:endnote w:id="867">
    <w:p w:rsidR="00C3563C" w:rsidRDefault="00C3563C" w:rsidP="00B87D45">
      <w:pPr>
        <w:pStyle w:val="Testonotadichiusura"/>
      </w:pPr>
      <w:r>
        <w:rPr>
          <w:rStyle w:val="Rimandonotadichiusura"/>
        </w:rPr>
        <w:endnoteRef/>
      </w:r>
      <w:r>
        <w:t xml:space="preserve"> Territory Families, Northern Territory, Submission No 59 to the Australian Human Rights Commission, </w:t>
      </w:r>
      <w:r w:rsidRPr="006F3CB4">
        <w:rPr>
          <w:i/>
        </w:rPr>
        <w:t>National Children’s Commissioner’s Investigation into Young Parents and their Children</w:t>
      </w:r>
      <w:r>
        <w:t xml:space="preserve">, 3. </w:t>
      </w:r>
    </w:p>
  </w:endnote>
  <w:endnote w:id="868">
    <w:p w:rsidR="00C3563C" w:rsidRDefault="00C3563C" w:rsidP="00B87D45">
      <w:pPr>
        <w:pStyle w:val="Testonotadichiusura"/>
      </w:pPr>
      <w:r>
        <w:rPr>
          <w:rStyle w:val="Rimandonotadichiusura"/>
        </w:rPr>
        <w:endnoteRef/>
      </w:r>
      <w:r>
        <w:t xml:space="preserve"> Territory Families, Northern Territory, Submission No 59 to the Australian Human Rights Commission, </w:t>
      </w:r>
      <w:r w:rsidRPr="001955A2">
        <w:rPr>
          <w:i/>
        </w:rPr>
        <w:t>National Children’s Commissioner’s Investigation into Young Parents and their Children</w:t>
      </w:r>
      <w:r>
        <w:t>, 3.</w:t>
      </w:r>
    </w:p>
  </w:endnote>
  <w:endnote w:id="869">
    <w:p w:rsidR="00C3563C" w:rsidRDefault="00C3563C" w:rsidP="00B87D45">
      <w:pPr>
        <w:pStyle w:val="Testonotadichiusura"/>
      </w:pPr>
      <w:r>
        <w:rPr>
          <w:rStyle w:val="Rimandonotadichiusura"/>
        </w:rPr>
        <w:endnoteRef/>
      </w:r>
      <w:r>
        <w:t xml:space="preserve"> Department of Communities, Western Australia, Submission No 57 to the Australian Human Rights Commission, </w:t>
      </w:r>
      <w:r w:rsidRPr="006F3CB4">
        <w:rPr>
          <w:i/>
        </w:rPr>
        <w:t>National Children’s Commissioner’s Investigation into Young Parents and their Children</w:t>
      </w:r>
      <w:r>
        <w:t xml:space="preserve">, 2. </w:t>
      </w:r>
    </w:p>
  </w:endnote>
  <w:endnote w:id="870">
    <w:p w:rsidR="00C3563C" w:rsidRDefault="00C3563C" w:rsidP="00B87D45">
      <w:pPr>
        <w:pStyle w:val="Testonotadichiusura"/>
      </w:pPr>
      <w:r>
        <w:rPr>
          <w:rStyle w:val="Rimandonotadichiusura"/>
        </w:rPr>
        <w:endnoteRef/>
      </w:r>
      <w:r>
        <w:t xml:space="preserve"> Department of Communities, Western Australia, Submission No 57 to the Australian Human Rights Commission, </w:t>
      </w:r>
      <w:r w:rsidRPr="006F3CB4">
        <w:rPr>
          <w:i/>
        </w:rPr>
        <w:t>National Children’s Commissioner’s Investigation into Young Parents and their Children</w:t>
      </w:r>
      <w:r>
        <w:t xml:space="preserve">, 3. </w:t>
      </w:r>
    </w:p>
  </w:endnote>
  <w:endnote w:id="871">
    <w:p w:rsidR="00C3563C" w:rsidRDefault="00C3563C" w:rsidP="00B87D45">
      <w:pPr>
        <w:pStyle w:val="Testonotadichiusura"/>
      </w:pPr>
      <w:r>
        <w:rPr>
          <w:rStyle w:val="Rimandonotadichiusura"/>
        </w:rPr>
        <w:endnoteRef/>
      </w:r>
      <w:r>
        <w:t xml:space="preserve"> Department of Communities, Western Australia, Submission No 57 to the Australian Human Rights Commission, </w:t>
      </w:r>
      <w:r w:rsidRPr="006F3CB4">
        <w:rPr>
          <w:i/>
        </w:rPr>
        <w:t>National Children’s Commissioner’s Investigation into Young Parents and their Children</w:t>
      </w:r>
      <w:r>
        <w:t xml:space="preserve">, 2. </w:t>
      </w:r>
    </w:p>
  </w:endnote>
  <w:endnote w:id="872">
    <w:p w:rsidR="00C3563C" w:rsidRDefault="00C3563C" w:rsidP="00B87D45">
      <w:pPr>
        <w:pStyle w:val="Testonotadichiusura"/>
      </w:pPr>
      <w:r>
        <w:rPr>
          <w:rStyle w:val="Rimandonotadichiusura"/>
        </w:rPr>
        <w:endnoteRef/>
      </w:r>
      <w:r>
        <w:t xml:space="preserve"> Department of Communities, Western Australia, Submission No 57 to the Australian Human Rights Commission, </w:t>
      </w:r>
      <w:r w:rsidRPr="006F3CB4">
        <w:rPr>
          <w:i/>
        </w:rPr>
        <w:t>National Children’s Commissioner’s Investigation into Young Parents and their Children</w:t>
      </w:r>
      <w:r>
        <w:t>, 4.</w:t>
      </w:r>
    </w:p>
  </w:endnote>
  <w:endnote w:id="873">
    <w:p w:rsidR="00C3563C" w:rsidRDefault="00C3563C" w:rsidP="00B87D45">
      <w:pPr>
        <w:pStyle w:val="Testonotadichiusura"/>
      </w:pPr>
      <w:r>
        <w:rPr>
          <w:rStyle w:val="Rimandonotadichiusura"/>
        </w:rPr>
        <w:endnoteRef/>
      </w:r>
      <w:r>
        <w:t xml:space="preserve"> Department of Communities, Western Australia, Submission No 57 to the Australian Human Rights Commission, </w:t>
      </w:r>
      <w:r w:rsidRPr="006F3CB4">
        <w:rPr>
          <w:i/>
        </w:rPr>
        <w:t>National Children’s Commissioner’s Investigation into Young Parents and their Children</w:t>
      </w:r>
      <w:r>
        <w:t>, 3.</w:t>
      </w:r>
    </w:p>
  </w:endnote>
  <w:endnote w:id="874">
    <w:p w:rsidR="00C3563C" w:rsidRDefault="00C3563C" w:rsidP="00B87D45">
      <w:pPr>
        <w:pStyle w:val="Testonotadichiusura"/>
      </w:pPr>
      <w:r>
        <w:rPr>
          <w:rStyle w:val="Rimandonotadichiusura"/>
        </w:rPr>
        <w:endnoteRef/>
      </w:r>
      <w:r>
        <w:t xml:space="preserve"> Department of Communities, Western Australia, Submission No 57 to the Australian Human Rights Commission, </w:t>
      </w:r>
      <w:r w:rsidRPr="001955A2">
        <w:rPr>
          <w:i/>
        </w:rPr>
        <w:t>National Children’s Commissioner’s Investigation into Young Parents and their Children</w:t>
      </w:r>
      <w:r>
        <w:t>, 4.</w:t>
      </w:r>
    </w:p>
  </w:endnote>
  <w:endnote w:id="875">
    <w:p w:rsidR="00C3563C" w:rsidRDefault="00C3563C" w:rsidP="00B87D45">
      <w:pPr>
        <w:pStyle w:val="Testonotadichiusura"/>
      </w:pPr>
      <w:r>
        <w:rPr>
          <w:rStyle w:val="Rimandonotadichiusura"/>
        </w:rPr>
        <w:endnoteRef/>
      </w:r>
      <w:r>
        <w:t xml:space="preserve"> Department of Child Protection, South Australia, Submission No 56 to the Australian Human Rights Commission, </w:t>
      </w:r>
      <w:r w:rsidRPr="006F3CB4">
        <w:rPr>
          <w:i/>
        </w:rPr>
        <w:t>National Children’s Commissioner’s Investigation into Young Parents and their Children</w:t>
      </w:r>
      <w:r>
        <w:t xml:space="preserve">, 1–2. </w:t>
      </w:r>
    </w:p>
  </w:endnote>
  <w:endnote w:id="876">
    <w:p w:rsidR="00C3563C" w:rsidRDefault="00C3563C" w:rsidP="00B87D45">
      <w:pPr>
        <w:pStyle w:val="Testonotadichiusura"/>
      </w:pPr>
      <w:r>
        <w:rPr>
          <w:rStyle w:val="Rimandonotadichiusura"/>
        </w:rPr>
        <w:endnoteRef/>
      </w:r>
      <w:r>
        <w:t xml:space="preserve"> Department of Child Protection, South Australia, Submission No 56 to the Australian Human Rights Commission, </w:t>
      </w:r>
      <w:r w:rsidRPr="006F3CB4">
        <w:rPr>
          <w:i/>
        </w:rPr>
        <w:t>National Children’s Commissioner’s Investigation into Young Parents and their Children</w:t>
      </w:r>
      <w:r>
        <w:t xml:space="preserve">, 2. </w:t>
      </w:r>
    </w:p>
  </w:endnote>
  <w:endnote w:id="877">
    <w:p w:rsidR="00C3563C" w:rsidRDefault="00C3563C" w:rsidP="00B87D45">
      <w:pPr>
        <w:pStyle w:val="Testonotadichiusura"/>
      </w:pPr>
      <w:r>
        <w:rPr>
          <w:rStyle w:val="Rimandonotadichiusura"/>
        </w:rPr>
        <w:endnoteRef/>
      </w:r>
      <w:r>
        <w:t xml:space="preserve"> Department of Child Protection, South Australia, Submission No 56 to the Australian Human Rights Commission, </w:t>
      </w:r>
      <w:r w:rsidRPr="006F3CB4">
        <w:rPr>
          <w:i/>
        </w:rPr>
        <w:t>National Children’s Commissioner’s Investigation into Young Parents and their Children</w:t>
      </w:r>
      <w:r>
        <w:t xml:space="preserve">, 2. </w:t>
      </w:r>
    </w:p>
  </w:endnote>
  <w:endnote w:id="878">
    <w:p w:rsidR="00C3563C" w:rsidRDefault="00C3563C" w:rsidP="00B87D45">
      <w:pPr>
        <w:pStyle w:val="Testonotadichiusura"/>
      </w:pPr>
      <w:r>
        <w:rPr>
          <w:rStyle w:val="Rimandonotadichiusura"/>
        </w:rPr>
        <w:endnoteRef/>
      </w:r>
      <w:r>
        <w:t xml:space="preserve"> Department of Child Protection, South Australia, Submission No 56 to the Australian Human Rights Commission, </w:t>
      </w:r>
      <w:r w:rsidRPr="006F3CB4">
        <w:rPr>
          <w:i/>
        </w:rPr>
        <w:t>National Children’s Commissioner’s Investigation into Young Parents and their Children</w:t>
      </w:r>
      <w:r>
        <w:t>, 3.</w:t>
      </w:r>
    </w:p>
  </w:endnote>
  <w:endnote w:id="879">
    <w:p w:rsidR="00C3563C" w:rsidRDefault="00C3563C" w:rsidP="00B87D45">
      <w:pPr>
        <w:pStyle w:val="Testonotadichiusura"/>
      </w:pPr>
      <w:r>
        <w:rPr>
          <w:rStyle w:val="Rimandonotadichiusura"/>
        </w:rPr>
        <w:endnoteRef/>
      </w:r>
      <w:r>
        <w:t xml:space="preserve"> Child and Youth Services, Department of Health and Human Services, Tasmania, Submission 60 to the Australian Human Rights Commission, </w:t>
      </w:r>
      <w:r w:rsidRPr="006F3CB4">
        <w:rPr>
          <w:i/>
        </w:rPr>
        <w:t>National Children’s Commissioner’s Investigation into Young Parents and their Children</w:t>
      </w:r>
      <w:r>
        <w:t xml:space="preserve">, 2. </w:t>
      </w:r>
    </w:p>
  </w:endnote>
  <w:endnote w:id="880">
    <w:p w:rsidR="00C3563C" w:rsidRDefault="00C3563C" w:rsidP="00B87D45">
      <w:pPr>
        <w:pStyle w:val="Testonotadichiusura"/>
      </w:pPr>
      <w:r>
        <w:rPr>
          <w:rStyle w:val="Rimandonotadichiusura"/>
        </w:rPr>
        <w:endnoteRef/>
      </w:r>
      <w:r>
        <w:t xml:space="preserve"> Child and Youth Services, Department of Health and Human Services, Tasmania, Submission 60 to the Australian Human Rights Commission, </w:t>
      </w:r>
      <w:r w:rsidRPr="006F3CB4">
        <w:rPr>
          <w:i/>
        </w:rPr>
        <w:t>National Children’s Commissioner’s Investigation into Young Parents and their Children</w:t>
      </w:r>
      <w:r>
        <w:t>, 1–2.</w:t>
      </w:r>
    </w:p>
  </w:endnote>
  <w:endnote w:id="881">
    <w:p w:rsidR="00C3563C" w:rsidRDefault="00C3563C" w:rsidP="00B87D45">
      <w:pPr>
        <w:pStyle w:val="Testonotadichiusura"/>
      </w:pPr>
      <w:r>
        <w:rPr>
          <w:rStyle w:val="Rimandonotadichiusura"/>
        </w:rPr>
        <w:endnoteRef/>
      </w:r>
      <w:r>
        <w:t xml:space="preserve"> Child and Youth Services, Department of Health and Human Services, Tasmania, Submission 60 to the Australian Human Rights Commission, </w:t>
      </w:r>
      <w:r w:rsidRPr="006F3CB4">
        <w:rPr>
          <w:i/>
        </w:rPr>
        <w:t>National Children’s Commissioner’s Investigation into Young Parents and their Children</w:t>
      </w:r>
      <w:r>
        <w:t>, 3–4.</w:t>
      </w:r>
    </w:p>
  </w:endnote>
  <w:endnote w:id="882">
    <w:p w:rsidR="00C3563C" w:rsidRDefault="00C3563C" w:rsidP="00B87D45">
      <w:pPr>
        <w:pStyle w:val="Testonotadichiusura"/>
      </w:pPr>
      <w:r>
        <w:rPr>
          <w:rStyle w:val="Rimandonotadichiusura"/>
        </w:rPr>
        <w:endnoteRef/>
      </w:r>
      <w:r>
        <w:t xml:space="preserve"> Child and Youth Services, Department of Health and Human Services, Tasmania, Submission 60 to the Australian Human Rights Commission</w:t>
      </w:r>
      <w:r w:rsidRPr="006F3CB4">
        <w:rPr>
          <w:i/>
        </w:rPr>
        <w:t>, National Children’s Commissioner’s Investigation into Young Parents and their Children</w:t>
      </w:r>
      <w:r>
        <w:t>.</w:t>
      </w:r>
    </w:p>
  </w:endnote>
  <w:endnote w:id="883">
    <w:p w:rsidR="00C3563C" w:rsidRDefault="00C3563C" w:rsidP="00B87D45">
      <w:pPr>
        <w:pStyle w:val="Testonotadichiusura"/>
      </w:pPr>
      <w:r>
        <w:rPr>
          <w:rStyle w:val="Rimandonotadichiusura"/>
        </w:rPr>
        <w:endnoteRef/>
      </w:r>
      <w:r>
        <w:t xml:space="preserve"> Australian Capital Territory Community Services, Submission No 55</w:t>
      </w:r>
      <w:r w:rsidRPr="00D62844">
        <w:t xml:space="preserve"> </w:t>
      </w:r>
      <w:r>
        <w:t xml:space="preserve">to the Australian Human Rights Commission, </w:t>
      </w:r>
      <w:r w:rsidRPr="006F3CB4">
        <w:rPr>
          <w:i/>
        </w:rPr>
        <w:t>National Children’s Commissioner’s Investigation into Young Parents and their Children</w:t>
      </w:r>
      <w:r>
        <w:t>, 1.</w:t>
      </w:r>
    </w:p>
  </w:endnote>
  <w:endnote w:id="884">
    <w:p w:rsidR="00C3563C" w:rsidRDefault="00C3563C" w:rsidP="00B87D45">
      <w:pPr>
        <w:pStyle w:val="Testonotadichiusura"/>
      </w:pPr>
      <w:r>
        <w:rPr>
          <w:rStyle w:val="Rimandonotadichiusura"/>
        </w:rPr>
        <w:endnoteRef/>
      </w:r>
      <w:r>
        <w:t xml:space="preserve"> Australian Capital Territory Community Services, Submission No 55</w:t>
      </w:r>
      <w:r w:rsidRPr="00D62844">
        <w:t xml:space="preserve"> </w:t>
      </w:r>
      <w:r>
        <w:t xml:space="preserve">to the Australian Human Rights Commission, </w:t>
      </w:r>
      <w:r w:rsidRPr="006F3CB4">
        <w:rPr>
          <w:i/>
        </w:rPr>
        <w:t>National Children’s Commissioner’s Investigation into Young Parents and their Children</w:t>
      </w:r>
      <w:r>
        <w:t>, 1.</w:t>
      </w:r>
    </w:p>
  </w:endnote>
  <w:endnote w:id="885">
    <w:p w:rsidR="00C3563C" w:rsidRDefault="00C3563C" w:rsidP="00B87D45">
      <w:pPr>
        <w:pStyle w:val="Testonotadichiusura"/>
      </w:pPr>
      <w:r>
        <w:rPr>
          <w:rStyle w:val="Rimandonotadichiusura"/>
        </w:rPr>
        <w:endnoteRef/>
      </w:r>
      <w:r>
        <w:t xml:space="preserve"> Australian Capital Territory Community Services, Submission No 55</w:t>
      </w:r>
      <w:r w:rsidRPr="00D62844">
        <w:t xml:space="preserve"> </w:t>
      </w:r>
      <w:r>
        <w:t xml:space="preserve">to the Australian Human Rights Commission, </w:t>
      </w:r>
      <w:r w:rsidRPr="006F3CB4">
        <w:rPr>
          <w:i/>
        </w:rPr>
        <w:t>National Children’s Commissioner’s Investigation into Young Parents and their Children</w:t>
      </w:r>
      <w:r>
        <w:t xml:space="preserve">, 1. </w:t>
      </w:r>
    </w:p>
  </w:endnote>
  <w:endnote w:id="886">
    <w:p w:rsidR="00C3563C" w:rsidRDefault="00C3563C" w:rsidP="00B87D45">
      <w:pPr>
        <w:pStyle w:val="Testonotadichiusura"/>
      </w:pPr>
      <w:r>
        <w:rPr>
          <w:rStyle w:val="Rimandonotadichiusura"/>
        </w:rPr>
        <w:endnoteRef/>
      </w:r>
      <w:r>
        <w:t xml:space="preserve"> Australian Capital Territory Community Services, Submission No 55</w:t>
      </w:r>
      <w:r w:rsidRPr="00D62844">
        <w:t xml:space="preserve"> </w:t>
      </w:r>
      <w:r>
        <w:t xml:space="preserve">to the Australian Human Rights Commission, </w:t>
      </w:r>
      <w:r w:rsidRPr="006F3CB4">
        <w:rPr>
          <w:i/>
        </w:rPr>
        <w:t>National Children’s Commissioner’s Investigation into Young Parents and their Children</w:t>
      </w:r>
      <w:r>
        <w:t>, 1.</w:t>
      </w:r>
    </w:p>
  </w:endnote>
  <w:endnote w:id="887">
    <w:p w:rsidR="00C3563C" w:rsidRDefault="00C3563C" w:rsidP="00B87D45">
      <w:pPr>
        <w:pStyle w:val="Testonotadichiusura"/>
      </w:pPr>
      <w:r>
        <w:rPr>
          <w:rStyle w:val="Rimandonotadichiusura"/>
        </w:rPr>
        <w:endnoteRef/>
      </w:r>
      <w:r>
        <w:t xml:space="preserve"> Australian Capital Territory Community Services, Submission No 55</w:t>
      </w:r>
      <w:r w:rsidRPr="00D62844">
        <w:t xml:space="preserve"> </w:t>
      </w:r>
      <w:r>
        <w:t xml:space="preserve">to the Australian Human Rights Commission, </w:t>
      </w:r>
      <w:r w:rsidRPr="006F3CB4">
        <w:rPr>
          <w:i/>
        </w:rPr>
        <w:t>National Children’s Commissioner’s Investigation into Young Parents and their Children</w:t>
      </w:r>
      <w:r>
        <w:t>, 2.</w:t>
      </w:r>
    </w:p>
  </w:endnote>
  <w:endnote w:id="888">
    <w:p w:rsidR="00C3563C" w:rsidRDefault="00C3563C" w:rsidP="00B87D45">
      <w:pPr>
        <w:pStyle w:val="Testonotadichiusura"/>
      </w:pPr>
      <w:r>
        <w:rPr>
          <w:rStyle w:val="Rimandonotadichiusura"/>
        </w:rPr>
        <w:endnoteRef/>
      </w:r>
      <w:r>
        <w:t xml:space="preserve"> Australian Capital Territory Community Services, Submission No 55</w:t>
      </w:r>
      <w:r w:rsidRPr="00D62844">
        <w:t xml:space="preserve"> </w:t>
      </w:r>
      <w:r>
        <w:t xml:space="preserve">to the Australian Human Rights Commission, </w:t>
      </w:r>
      <w:r w:rsidRPr="006F3CB4">
        <w:rPr>
          <w:i/>
        </w:rPr>
        <w:t>National Children’s Commissioner’s Investigation into Young Parents and their Children</w:t>
      </w:r>
      <w:r>
        <w:t xml:space="preserve">, 2–3. </w:t>
      </w:r>
    </w:p>
  </w:endnote>
  <w:endnote w:id="889">
    <w:p w:rsidR="00C3563C" w:rsidRDefault="00C3563C" w:rsidP="00B87D45">
      <w:pPr>
        <w:pStyle w:val="Testonotadichiusura"/>
      </w:pPr>
      <w:r>
        <w:rPr>
          <w:rStyle w:val="Rimandonotadichiusura"/>
        </w:rPr>
        <w:endnoteRef/>
      </w:r>
      <w:r>
        <w:t xml:space="preserve"> Australian Capital Territory Community Services, Submission No 55</w:t>
      </w:r>
      <w:r w:rsidRPr="00D62844">
        <w:t xml:space="preserve"> </w:t>
      </w:r>
      <w:r>
        <w:t>to the Australian Human Rights Commission</w:t>
      </w:r>
      <w:r w:rsidRPr="001955A2">
        <w:rPr>
          <w:i/>
        </w:rPr>
        <w:t>, National Children’s Commissioner’s Investigation into Young Parents and their Children</w:t>
      </w:r>
      <w:r>
        <w:t>, 45.</w:t>
      </w:r>
    </w:p>
  </w:endnote>
  <w:endnote w:id="890">
    <w:p w:rsidR="00C3563C" w:rsidRDefault="00C3563C" w:rsidP="00FE54C7">
      <w:pPr>
        <w:pStyle w:val="Testonotadichiusura"/>
      </w:pPr>
      <w:r>
        <w:rPr>
          <w:rStyle w:val="Rimandonotadichiusura"/>
        </w:rPr>
        <w:endnoteRef/>
      </w:r>
      <w:r>
        <w:t xml:space="preserve"> Australian Capital Territory Community Services, Submission No 55</w:t>
      </w:r>
      <w:r w:rsidRPr="00D62844">
        <w:t xml:space="preserve"> </w:t>
      </w:r>
      <w:r>
        <w:t xml:space="preserve">to the Australian Human Rights Commission, </w:t>
      </w:r>
      <w:r w:rsidRPr="001955A2">
        <w:rPr>
          <w:i/>
        </w:rPr>
        <w:t>National Children’s Commissioner’s Investigation into Young Parents and their Children</w:t>
      </w:r>
      <w:r>
        <w:t>, 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20B0604020202020204"/>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Open Sans">
    <w:altName w:val="Tahoma"/>
    <w:panose1 w:val="020B0604020202020204"/>
    <w:charset w:val="00"/>
    <w:family w:val="swiss"/>
    <w:pitch w:val="variable"/>
    <w:sig w:usb0="00000001" w:usb1="4000205B" w:usb2="00000028" w:usb3="00000000" w:csb0="0000019F" w:csb1="00000000"/>
  </w:font>
  <w:font w:name="MS ??">
    <w:altName w:val="Arial Unicode MS"/>
    <w:panose1 w:val="020B0604020202020204"/>
    <w:charset w:val="80"/>
    <w:family w:val="auto"/>
    <w:notTrueType/>
    <w:pitch w:val="variable"/>
    <w:sig w:usb0="00000001" w:usb1="08070000" w:usb2="00000010" w:usb3="00000000" w:csb0="00020000" w:csb1="00000000"/>
  </w:font>
  <w:font w:name="MyriadPro-Regular">
    <w:altName w:val="MS Gothic"/>
    <w:panose1 w:val="020B0604020202020204"/>
    <w:charset w:val="80"/>
    <w:family w:val="swiss"/>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Proxima Nova Lt">
    <w:altName w:val="Proxima Nova"/>
    <w:panose1 w:val="020B0604020202020204"/>
    <w:charset w:val="00"/>
    <w:family w:val="auto"/>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imes-Roman">
    <w:altName w:val="Times"/>
    <w:panose1 w:val="020B0604020202020204"/>
    <w:charset w:val="4D"/>
    <w:family w:val="auto"/>
    <w:notTrueType/>
    <w:pitch w:val="default"/>
    <w:sig w:usb0="00000003" w:usb1="00000000" w:usb2="00000000" w:usb3="00000000" w:csb0="00000001" w:csb1="00000000"/>
  </w:font>
  <w:font w:name="TimesNewRoman">
    <w:altName w:val="Calibri"/>
    <w:panose1 w:val="020B06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63C" w:rsidRPr="0090165F" w:rsidRDefault="00C3563C" w:rsidP="00162A8D">
    <w:pPr>
      <w:pStyle w:val="Pidipa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63C" w:rsidRPr="0090165F" w:rsidRDefault="00C3563C" w:rsidP="00162A8D">
    <w:pPr>
      <w:pStyle w:val="Pidipagina"/>
      <w:jc w:val="right"/>
    </w:pPr>
    <w:r>
      <w:rPr>
        <w:rStyle w:val="Numeropagina"/>
      </w:rPr>
      <w:fldChar w:fldCharType="begin"/>
    </w:r>
    <w:r>
      <w:rPr>
        <w:rStyle w:val="Numeropagina"/>
      </w:rPr>
      <w:instrText xml:space="preserve"> PAGE  </w:instrText>
    </w:r>
    <w:r>
      <w:rPr>
        <w:rStyle w:val="Numeropagina"/>
      </w:rPr>
      <w:fldChar w:fldCharType="separate"/>
    </w:r>
    <w:r w:rsidR="001E0439">
      <w:rPr>
        <w:rStyle w:val="Numeropagina"/>
        <w:noProof/>
      </w:rPr>
      <w:t>9</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029C" w:rsidRDefault="00C3029C" w:rsidP="00F14C6D">
      <w:r>
        <w:separator/>
      </w:r>
    </w:p>
  </w:footnote>
  <w:footnote w:type="continuationSeparator" w:id="0">
    <w:p w:rsidR="00C3029C" w:rsidRDefault="00C3029C"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63C" w:rsidRDefault="00510A59">
    <w:pPr>
      <w:pStyle w:val="Intestazione"/>
    </w:pPr>
    <w:r>
      <w:rPr>
        <w:noProof/>
      </w:rPr>
      <w:pict w14:anchorId="5DF66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1026" type="#_x0000_t75" alt="MS word cover1" style="position:absolute;margin-left:0;margin-top:0;width:595.65pt;height:870.15pt;z-index:-251660288;mso-wrap-edited:f;mso-width-percent:0;mso-height-percent:0;mso-position-horizontal:center;mso-position-horizontal-relative:margin;mso-position-vertical:center;mso-position-vertical-relative:margin;mso-width-percent:0;mso-height-percent:0" o:allowincell="f">
          <v:imagedata r:id="rId1" o:title="MS word 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63C" w:rsidRPr="00D27262" w:rsidRDefault="00510A59" w:rsidP="002B1B65">
    <w:pPr>
      <w:spacing w:before="0" w:after="0"/>
      <w:jc w:val="right"/>
      <w:rPr>
        <w:sz w:val="22"/>
        <w:szCs w:val="22"/>
      </w:rPr>
    </w:pPr>
    <w:r>
      <w:rPr>
        <w:noProof/>
        <w:sz w:val="22"/>
        <w:szCs w:val="22"/>
      </w:rPr>
      <w:pict w14:anchorId="50A6F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1027" type="#_x0000_t75" alt="MS word cover1" style="position:absolute;left:0;text-align:left;margin-left:0;margin-top:0;width:595.65pt;height:870.15pt;z-index:-251659264;mso-wrap-edited:f;mso-width-percent:0;mso-height-percent:0;mso-position-horizontal:center;mso-position-horizontal-relative:margin;mso-position-vertical:center;mso-position-vertical-relative:margin;mso-width-percent:0;mso-height-percent:0" o:allowincell="f">
          <v:imagedata r:id="rId1" o:title="MS word cover1"/>
          <w10:wrap anchorx="margin" anchory="margin"/>
        </v:shape>
      </w:pict>
    </w:r>
    <w:r w:rsidR="00C3563C" w:rsidRPr="00D27262">
      <w:rPr>
        <w:sz w:val="22"/>
        <w:szCs w:val="22"/>
      </w:rPr>
      <w:t>Au</w:t>
    </w:r>
    <w:r w:rsidR="00C3563C">
      <w:rPr>
        <w:sz w:val="22"/>
        <w:szCs w:val="22"/>
      </w:rPr>
      <w:t>stralian Human Rights Commission</w:t>
    </w:r>
  </w:p>
  <w:p w:rsidR="00C3563C" w:rsidRDefault="00C3563C" w:rsidP="002B1B65">
    <w:pPr>
      <w:pStyle w:val="Pidipagina"/>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63C" w:rsidRDefault="00510A59">
    <w:pPr>
      <w:pStyle w:val="Intestazione"/>
    </w:pPr>
    <w:r>
      <w:rPr>
        <w:noProof/>
      </w:rPr>
      <w:pict w14:anchorId="7C599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1029" type="#_x0000_t75" alt="MS word cover1" style="position:absolute;margin-left:0;margin-top:0;width:595.65pt;height:870.15pt;z-index:-251657216;mso-wrap-edited:f;mso-width-percent:0;mso-height-percent:0;mso-position-horizontal:center;mso-position-horizontal-relative:margin;mso-position-vertical:center;mso-position-vertical-relative:margin;mso-width-percent:0;mso-height-percent:0" o:allowincell="f">
          <v:imagedata r:id="rId1" o:title="MS word cover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63C" w:rsidRPr="00D27262" w:rsidRDefault="00C3563C" w:rsidP="00B34946">
    <w:pPr>
      <w:spacing w:before="0" w:after="60"/>
      <w:jc w:val="right"/>
      <w:rPr>
        <w:sz w:val="22"/>
        <w:szCs w:val="22"/>
      </w:rPr>
    </w:pPr>
    <w:r w:rsidRPr="00D27262">
      <w:rPr>
        <w:sz w:val="22"/>
        <w:szCs w:val="22"/>
      </w:rPr>
      <w:t>Au</w:t>
    </w:r>
    <w:r>
      <w:rPr>
        <w:sz w:val="22"/>
        <w:szCs w:val="22"/>
      </w:rPr>
      <w:t>stralian Human Rights Commission</w:t>
    </w:r>
  </w:p>
  <w:p w:rsidR="00C3563C" w:rsidRPr="00D729AD" w:rsidRDefault="00C3563C" w:rsidP="002F4CE1">
    <w:pPr>
      <w:pStyle w:val="Pidipagina"/>
      <w:spacing w:after="240"/>
      <w:jc w:val="right"/>
      <w:rPr>
        <w:i/>
        <w:szCs w:val="18"/>
      </w:rPr>
    </w:pPr>
    <w:r>
      <w:rPr>
        <w:b/>
        <w:i/>
        <w:szCs w:val="18"/>
      </w:rPr>
      <w:t>Children’s Rights Report 2017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C3563C" w:rsidRPr="00B85DD4" w:rsidTr="002B1B65">
      <w:trPr>
        <w:trHeight w:val="1603"/>
      </w:trPr>
      <w:tc>
        <w:tcPr>
          <w:tcW w:w="1508" w:type="dxa"/>
        </w:tcPr>
        <w:p w:rsidR="00C3563C" w:rsidRPr="00B85DD4" w:rsidRDefault="00C3563C" w:rsidP="00B520BC">
          <w:pPr>
            <w:pStyle w:val="Intestazione"/>
            <w:tabs>
              <w:tab w:val="left" w:pos="4686"/>
              <w:tab w:val="left" w:pos="7088"/>
              <w:tab w:val="left" w:pos="7242"/>
            </w:tabs>
            <w:ind w:left="-108"/>
            <w:rPr>
              <w:rFonts w:cs="ArialMT"/>
              <w:b/>
              <w:spacing w:val="-20"/>
            </w:rPr>
          </w:pPr>
          <w:r w:rsidRPr="004D6E55">
            <w:rPr>
              <w:rFonts w:cs="ArialMT"/>
              <w:b/>
              <w:noProof/>
              <w:spacing w:val="-20"/>
              <w:lang w:val="it-IT" w:eastAsia="it-IT"/>
            </w:rPr>
            <w:drawing>
              <wp:inline distT="0" distB="0" distL="0" distR="0" wp14:anchorId="0E311D3F" wp14:editId="0D3BB934">
                <wp:extent cx="819150" cy="819150"/>
                <wp:effectExtent l="0" t="0" r="0" b="0"/>
                <wp:docPr id="13" name="Picture 2" descr="Description: 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rsidR="00C3563C" w:rsidRPr="00D36BB2" w:rsidRDefault="00C3563C" w:rsidP="002B1B65">
          <w:pPr>
            <w:pStyle w:val="LogoType"/>
            <w:pBdr>
              <w:bottom w:val="single" w:sz="4" w:space="1" w:color="808080"/>
            </w:pBdr>
            <w:spacing w:line="240" w:lineRule="auto"/>
          </w:pPr>
          <w:r w:rsidRPr="00D36BB2">
            <w:t>Australian</w:t>
          </w:r>
        </w:p>
        <w:p w:rsidR="00C3563C" w:rsidRPr="00D36BB2" w:rsidRDefault="00C3563C" w:rsidP="002B1B65">
          <w:pPr>
            <w:pStyle w:val="LogoType"/>
            <w:pBdr>
              <w:bottom w:val="single" w:sz="4" w:space="1" w:color="808080"/>
            </w:pBdr>
            <w:spacing w:line="240" w:lineRule="auto"/>
          </w:pPr>
          <w:r w:rsidRPr="00D36BB2">
            <w:t>Human Rights</w:t>
          </w:r>
        </w:p>
        <w:p w:rsidR="00C3563C" w:rsidRPr="00D36BB2" w:rsidRDefault="00C3563C" w:rsidP="002B1B65">
          <w:pPr>
            <w:pStyle w:val="LogoType"/>
            <w:pBdr>
              <w:bottom w:val="single" w:sz="4" w:space="1" w:color="808080"/>
            </w:pBdr>
            <w:spacing w:line="240" w:lineRule="auto"/>
          </w:pPr>
          <w:r w:rsidRPr="00D36BB2">
            <w:t>Commission</w:t>
          </w:r>
        </w:p>
        <w:p w:rsidR="00C3563C" w:rsidRPr="00B85DD4" w:rsidRDefault="00C3563C" w:rsidP="002B1B65">
          <w:pPr>
            <w:spacing w:before="0" w:after="0"/>
            <w:rPr>
              <w:rFonts w:cs="ArialMT"/>
              <w:i/>
              <w:color w:val="808080"/>
              <w:sz w:val="17"/>
            </w:rPr>
          </w:pPr>
          <w:r w:rsidRPr="00B85DD4">
            <w:rPr>
              <w:rFonts w:cs="ArialMT"/>
              <w:i/>
              <w:color w:val="808080"/>
              <w:sz w:val="17"/>
            </w:rPr>
            <w:t>everyone, everywhere, everyday</w:t>
          </w:r>
        </w:p>
      </w:tc>
      <w:tc>
        <w:tcPr>
          <w:tcW w:w="2302" w:type="dxa"/>
        </w:tcPr>
        <w:p w:rsidR="00C3563C" w:rsidRPr="00B85DD4" w:rsidRDefault="00C3563C" w:rsidP="00B520BC">
          <w:pPr>
            <w:pStyle w:val="HeaderFooter"/>
            <w:rPr>
              <w:b/>
              <w:spacing w:val="-20"/>
              <w:sz w:val="40"/>
            </w:rPr>
          </w:pPr>
        </w:p>
      </w:tc>
      <w:tc>
        <w:tcPr>
          <w:tcW w:w="2130" w:type="dxa"/>
        </w:tcPr>
        <w:p w:rsidR="00C3563C" w:rsidRPr="00B85DD4" w:rsidRDefault="00C3563C" w:rsidP="00B520BC">
          <w:pPr>
            <w:pStyle w:val="HeaderFooter"/>
            <w:rPr>
              <w:b/>
              <w:spacing w:val="-20"/>
              <w:sz w:val="40"/>
            </w:rPr>
          </w:pPr>
        </w:p>
      </w:tc>
      <w:tc>
        <w:tcPr>
          <w:tcW w:w="1721" w:type="dxa"/>
        </w:tcPr>
        <w:p w:rsidR="00C3563C" w:rsidRPr="00B85DD4" w:rsidRDefault="00C3563C" w:rsidP="00B520BC">
          <w:pPr>
            <w:pStyle w:val="HeaderFooter"/>
            <w:spacing w:before="227" w:after="340"/>
            <w:rPr>
              <w:b/>
              <w:spacing w:val="-20"/>
              <w:sz w:val="40"/>
            </w:rPr>
          </w:pPr>
        </w:p>
      </w:tc>
    </w:tr>
  </w:tbl>
  <w:p w:rsidR="00C3563C" w:rsidRDefault="00510A59">
    <w:pPr>
      <w:pStyle w:val="Intestazione"/>
    </w:pPr>
    <w:r>
      <w:rPr>
        <w:rFonts w:cs="ArialMT"/>
        <w:b/>
        <w:noProof/>
        <w:spacing w:val="-20"/>
      </w:rPr>
      <w:pict w14:anchorId="7725F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1031" type="#_x0000_t75" alt="MS word cover1" style="position:absolute;margin-left:0;margin-top:0;width:595.65pt;height:870.15pt;z-index:-251658240;mso-wrap-edited:f;mso-width-percent:0;mso-height-percent:0;mso-position-horizontal:center;mso-position-horizontal-relative:margin;mso-position-vertical:center;mso-position-vertical-relative:margin;mso-width-percent:0;mso-height-percent:0" o:allowincell="f">
          <v:imagedata r:id="rId2" o:title="MS word cove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E30129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B85192"/>
    <w:multiLevelType w:val="hybridMultilevel"/>
    <w:tmpl w:val="44283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A22EDC"/>
    <w:multiLevelType w:val="hybridMultilevel"/>
    <w:tmpl w:val="AF0CD4F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36143B7"/>
    <w:multiLevelType w:val="hybridMultilevel"/>
    <w:tmpl w:val="F6721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3810A1E"/>
    <w:multiLevelType w:val="hybridMultilevel"/>
    <w:tmpl w:val="5426A838"/>
    <w:lvl w:ilvl="0" w:tplc="63D6A2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40329A9"/>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058906EF"/>
    <w:multiLevelType w:val="hybridMultilevel"/>
    <w:tmpl w:val="BA863D06"/>
    <w:lvl w:ilvl="0" w:tplc="EEDE554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5EA00A5"/>
    <w:multiLevelType w:val="hybridMultilevel"/>
    <w:tmpl w:val="72F811B0"/>
    <w:lvl w:ilvl="0" w:tplc="4612A1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78B1B8D"/>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079C0ABD"/>
    <w:multiLevelType w:val="hybridMultilevel"/>
    <w:tmpl w:val="3CF6F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7A857A5"/>
    <w:multiLevelType w:val="hybridMultilevel"/>
    <w:tmpl w:val="364A348A"/>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 w15:restartNumberingAfterBreak="0">
    <w:nsid w:val="07AD2E59"/>
    <w:multiLevelType w:val="multilevel"/>
    <w:tmpl w:val="820698F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7"/>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07DD6BAC"/>
    <w:multiLevelType w:val="hybridMultilevel"/>
    <w:tmpl w:val="3B40811A"/>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096F0608"/>
    <w:multiLevelType w:val="hybridMultilevel"/>
    <w:tmpl w:val="FE8AA3E4"/>
    <w:lvl w:ilvl="0" w:tplc="053E7376">
      <w:start w:val="118"/>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AB03AA4"/>
    <w:multiLevelType w:val="hybridMultilevel"/>
    <w:tmpl w:val="8806C520"/>
    <w:lvl w:ilvl="0" w:tplc="C38A3EAA">
      <w:start w:val="1"/>
      <w:numFmt w:val="decimal"/>
      <w:pStyle w:val="Titolo1"/>
      <w:lvlText w:val="Chapter %1: "/>
      <w:lvlJc w:val="left"/>
      <w:pPr>
        <w:ind w:left="0" w:firstLine="0"/>
      </w:pPr>
      <w:rPr>
        <w:rFonts w:ascii="Arial" w:hAnsi="Arial" w:hint="default"/>
        <w:b/>
        <w:i w:val="0"/>
        <w:sz w:val="3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BB252B0"/>
    <w:multiLevelType w:val="hybridMultilevel"/>
    <w:tmpl w:val="C7EA08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0BEB6DC9"/>
    <w:multiLevelType w:val="hybridMultilevel"/>
    <w:tmpl w:val="0DB2D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C7A4EB7"/>
    <w:multiLevelType w:val="multilevel"/>
    <w:tmpl w:val="80B89F84"/>
    <w:lvl w:ilvl="0">
      <w:start w:val="1"/>
      <w:numFmt w:val="decimal"/>
      <w:lvlText w:val="2.%1"/>
      <w:lvlJc w:val="left"/>
      <w:pPr>
        <w:ind w:left="360" w:hanging="360"/>
      </w:pPr>
      <w:rPr>
        <w:rFonts w:hint="default"/>
      </w:rPr>
    </w:lvl>
    <w:lvl w:ilvl="1">
      <w:start w:val="1"/>
      <w:numFmt w:val="decimal"/>
      <w:lvlText w:val="2.%2"/>
      <w:lvlJc w:val="left"/>
      <w:pPr>
        <w:ind w:left="720" w:hanging="720"/>
      </w:pPr>
      <w:rPr>
        <w:rFonts w:hint="default"/>
      </w:rPr>
    </w:lvl>
    <w:lvl w:ilvl="2">
      <w:start w:val="1"/>
      <w:numFmt w:val="lowerLetter"/>
      <w:lvlText w:val="(%3)"/>
      <w:lvlJc w:val="left"/>
      <w:pPr>
        <w:tabs>
          <w:tab w:val="num" w:pos="720"/>
        </w:tabs>
        <w:ind w:left="720" w:hanging="720"/>
      </w:pPr>
      <w:rPr>
        <w:rFonts w:hint="default"/>
        <w:b/>
        <w:i w:val="0"/>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Appendix %6: "/>
      <w:lvlJc w:val="left"/>
      <w:pPr>
        <w:tabs>
          <w:tab w:val="num" w:pos="0"/>
        </w:tabs>
        <w:ind w:left="0" w:firstLine="0"/>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7" w15:restartNumberingAfterBreak="0">
    <w:nsid w:val="0D1A3DB8"/>
    <w:multiLevelType w:val="hybridMultilevel"/>
    <w:tmpl w:val="1BDC3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D354DA9"/>
    <w:multiLevelType w:val="hybridMultilevel"/>
    <w:tmpl w:val="3B40811A"/>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0D372224"/>
    <w:multiLevelType w:val="hybridMultilevel"/>
    <w:tmpl w:val="27542D94"/>
    <w:lvl w:ilvl="0" w:tplc="1A00EC9E">
      <w:start w:val="1"/>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30" w15:restartNumberingAfterBreak="0">
    <w:nsid w:val="0F4C00D6"/>
    <w:multiLevelType w:val="hybridMultilevel"/>
    <w:tmpl w:val="CD1AF336"/>
    <w:lvl w:ilvl="0" w:tplc="28D83A2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0F7A6063"/>
    <w:multiLevelType w:val="hybridMultilevel"/>
    <w:tmpl w:val="1AE64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F927482"/>
    <w:multiLevelType w:val="hybridMultilevel"/>
    <w:tmpl w:val="BA863D06"/>
    <w:lvl w:ilvl="0" w:tplc="EEDE554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0F9C7A78"/>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0FDD562D"/>
    <w:multiLevelType w:val="hybridMultilevel"/>
    <w:tmpl w:val="8E502DBE"/>
    <w:lvl w:ilvl="0" w:tplc="EEDE554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0FF849AC"/>
    <w:multiLevelType w:val="hybridMultilevel"/>
    <w:tmpl w:val="8D2C55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0B6476D"/>
    <w:multiLevelType w:val="hybridMultilevel"/>
    <w:tmpl w:val="B19C19D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0CF7794"/>
    <w:multiLevelType w:val="hybridMultilevel"/>
    <w:tmpl w:val="76BA5536"/>
    <w:lvl w:ilvl="0" w:tplc="EEDE554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14E1912"/>
    <w:multiLevelType w:val="hybridMultilevel"/>
    <w:tmpl w:val="8564D7B2"/>
    <w:lvl w:ilvl="0" w:tplc="6C32589A">
      <w:start w:val="1"/>
      <w:numFmt w:val="lowerLetter"/>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12C305B5"/>
    <w:multiLevelType w:val="hybridMultilevel"/>
    <w:tmpl w:val="76BA5536"/>
    <w:lvl w:ilvl="0" w:tplc="EEDE554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33335EF"/>
    <w:multiLevelType w:val="hybridMultilevel"/>
    <w:tmpl w:val="AC54B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3747E48"/>
    <w:multiLevelType w:val="hybridMultilevel"/>
    <w:tmpl w:val="1CB0DC64"/>
    <w:lvl w:ilvl="0" w:tplc="053E7376">
      <w:start w:val="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3DF7BB4"/>
    <w:multiLevelType w:val="hybridMultilevel"/>
    <w:tmpl w:val="A5E263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14B35875"/>
    <w:multiLevelType w:val="hybridMultilevel"/>
    <w:tmpl w:val="AB52F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53B2AB9"/>
    <w:multiLevelType w:val="hybridMultilevel"/>
    <w:tmpl w:val="5DCE2F1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17A07881"/>
    <w:multiLevelType w:val="hybridMultilevel"/>
    <w:tmpl w:val="00E0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89537D8"/>
    <w:multiLevelType w:val="hybridMultilevel"/>
    <w:tmpl w:val="2D963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8B34AE0"/>
    <w:multiLevelType w:val="hybridMultilevel"/>
    <w:tmpl w:val="4CAA91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1D2A13B9"/>
    <w:multiLevelType w:val="hybridMultilevel"/>
    <w:tmpl w:val="BA609326"/>
    <w:lvl w:ilvl="0" w:tplc="1CBCA584">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15:restartNumberingAfterBreak="0">
    <w:nsid w:val="1E962AC3"/>
    <w:multiLevelType w:val="hybridMultilevel"/>
    <w:tmpl w:val="5426A838"/>
    <w:lvl w:ilvl="0" w:tplc="63D6A2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03B2C0B"/>
    <w:multiLevelType w:val="hybridMultilevel"/>
    <w:tmpl w:val="D18ED0B4"/>
    <w:lvl w:ilvl="0" w:tplc="C6B2123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08D7236"/>
    <w:multiLevelType w:val="hybridMultilevel"/>
    <w:tmpl w:val="A2007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0BF0211"/>
    <w:multiLevelType w:val="hybridMultilevel"/>
    <w:tmpl w:val="F36C2B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1B71560"/>
    <w:multiLevelType w:val="multilevel"/>
    <w:tmpl w:val="0C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5" w15:restartNumberingAfterBreak="0">
    <w:nsid w:val="21C12975"/>
    <w:multiLevelType w:val="hybridMultilevel"/>
    <w:tmpl w:val="553E9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1F55F20"/>
    <w:multiLevelType w:val="hybridMultilevel"/>
    <w:tmpl w:val="493AAC46"/>
    <w:lvl w:ilvl="0" w:tplc="C5447F1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2541E53"/>
    <w:multiLevelType w:val="hybridMultilevel"/>
    <w:tmpl w:val="272E8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28B60B3"/>
    <w:multiLevelType w:val="hybridMultilevel"/>
    <w:tmpl w:val="F5600D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228F011D"/>
    <w:multiLevelType w:val="hybridMultilevel"/>
    <w:tmpl w:val="AE1C0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49A6FC5"/>
    <w:multiLevelType w:val="hybridMultilevel"/>
    <w:tmpl w:val="F25442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24D70827"/>
    <w:multiLevelType w:val="hybridMultilevel"/>
    <w:tmpl w:val="D3D64C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25137C83"/>
    <w:multiLevelType w:val="hybridMultilevel"/>
    <w:tmpl w:val="175EC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6E433E2"/>
    <w:multiLevelType w:val="multilevel"/>
    <w:tmpl w:val="597428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 w15:restartNumberingAfterBreak="0">
    <w:nsid w:val="27AF2C63"/>
    <w:multiLevelType w:val="hybridMultilevel"/>
    <w:tmpl w:val="0E44C08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5" w15:restartNumberingAfterBreak="0">
    <w:nsid w:val="29740866"/>
    <w:multiLevelType w:val="hybridMultilevel"/>
    <w:tmpl w:val="C01A2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A472338"/>
    <w:multiLevelType w:val="hybridMultilevel"/>
    <w:tmpl w:val="C84EF1C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7" w15:restartNumberingAfterBreak="0">
    <w:nsid w:val="2AD975A0"/>
    <w:multiLevelType w:val="hybridMultilevel"/>
    <w:tmpl w:val="91120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B8E1C21"/>
    <w:multiLevelType w:val="hybridMultilevel"/>
    <w:tmpl w:val="A000866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9" w15:restartNumberingAfterBreak="0">
    <w:nsid w:val="2B8F3E9E"/>
    <w:multiLevelType w:val="hybridMultilevel"/>
    <w:tmpl w:val="F8EE6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2CE34BCD"/>
    <w:multiLevelType w:val="hybridMultilevel"/>
    <w:tmpl w:val="62CA7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D042359"/>
    <w:multiLevelType w:val="hybridMultilevel"/>
    <w:tmpl w:val="BA863D06"/>
    <w:lvl w:ilvl="0" w:tplc="EEDE554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2D8A45BF"/>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3" w15:restartNumberingAfterBreak="0">
    <w:nsid w:val="2F2B3320"/>
    <w:multiLevelType w:val="hybridMultilevel"/>
    <w:tmpl w:val="FC76DD06"/>
    <w:lvl w:ilvl="0" w:tplc="042EDBDA">
      <w:start w:val="1"/>
      <w:numFmt w:val="decimal"/>
      <w:lvlText w:val="%1."/>
      <w:lvlJc w:val="left"/>
      <w:pPr>
        <w:ind w:left="360" w:hanging="360"/>
      </w:pPr>
      <w:rPr>
        <w:b w:val="0"/>
      </w:rPr>
    </w:lvl>
    <w:lvl w:ilvl="1" w:tplc="0410000F">
      <w:start w:val="1"/>
      <w:numFmt w:val="decimal"/>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4" w15:restartNumberingAfterBreak="0">
    <w:nsid w:val="30B84A1D"/>
    <w:multiLevelType w:val="hybridMultilevel"/>
    <w:tmpl w:val="1C80CDB2"/>
    <w:lvl w:ilvl="0" w:tplc="4612A1CA">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31442A16"/>
    <w:multiLevelType w:val="hybridMultilevel"/>
    <w:tmpl w:val="9EFEF0C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6" w15:restartNumberingAfterBreak="0">
    <w:nsid w:val="31EE4281"/>
    <w:multiLevelType w:val="hybridMultilevel"/>
    <w:tmpl w:val="1AE62DE6"/>
    <w:lvl w:ilvl="0" w:tplc="3494808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32801F4F"/>
    <w:multiLevelType w:val="hybridMultilevel"/>
    <w:tmpl w:val="B8B69F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2FE7112"/>
    <w:multiLevelType w:val="hybridMultilevel"/>
    <w:tmpl w:val="41F0F9D2"/>
    <w:lvl w:ilvl="0" w:tplc="9850D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33B67C4C"/>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0" w15:restartNumberingAfterBreak="0">
    <w:nsid w:val="355079E3"/>
    <w:multiLevelType w:val="hybridMultilevel"/>
    <w:tmpl w:val="80A6BFE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1" w15:restartNumberingAfterBreak="0">
    <w:nsid w:val="358A2F12"/>
    <w:multiLevelType w:val="hybridMultilevel"/>
    <w:tmpl w:val="9188B8B2"/>
    <w:lvl w:ilvl="0" w:tplc="4030C4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68B3D16"/>
    <w:multiLevelType w:val="hybridMultilevel"/>
    <w:tmpl w:val="5426A838"/>
    <w:lvl w:ilvl="0" w:tplc="63D6A2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369120FD"/>
    <w:multiLevelType w:val="hybridMultilevel"/>
    <w:tmpl w:val="366AE782"/>
    <w:lvl w:ilvl="0" w:tplc="4612A1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36A0567D"/>
    <w:multiLevelType w:val="hybridMultilevel"/>
    <w:tmpl w:val="3CDAF1C8"/>
    <w:lvl w:ilvl="0" w:tplc="8584967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36EF3314"/>
    <w:multiLevelType w:val="hybridMultilevel"/>
    <w:tmpl w:val="9C306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7E05478"/>
    <w:multiLevelType w:val="hybridMultilevel"/>
    <w:tmpl w:val="A83205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8305857"/>
    <w:multiLevelType w:val="hybridMultilevel"/>
    <w:tmpl w:val="C0E82C90"/>
    <w:lvl w:ilvl="0" w:tplc="053E7376">
      <w:start w:val="118"/>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84610B1"/>
    <w:multiLevelType w:val="hybridMultilevel"/>
    <w:tmpl w:val="C8E44830"/>
    <w:lvl w:ilvl="0" w:tplc="D2B4F9C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8474B8D"/>
    <w:multiLevelType w:val="hybridMultilevel"/>
    <w:tmpl w:val="BCEEA9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8AE36A7"/>
    <w:multiLevelType w:val="hybridMultilevel"/>
    <w:tmpl w:val="366AE782"/>
    <w:lvl w:ilvl="0" w:tplc="4612A1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39070607"/>
    <w:multiLevelType w:val="hybridMultilevel"/>
    <w:tmpl w:val="D70206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39FC27CD"/>
    <w:multiLevelType w:val="hybridMultilevel"/>
    <w:tmpl w:val="36523A96"/>
    <w:lvl w:ilvl="0" w:tplc="75C46CB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A1A2873"/>
    <w:multiLevelType w:val="multilevel"/>
    <w:tmpl w:val="FC76DD06"/>
    <w:lvl w:ilvl="0">
      <w:start w:val="1"/>
      <w:numFmt w:val="decimal"/>
      <w:lvlText w:val="%1."/>
      <w:lvlJc w:val="left"/>
      <w:pPr>
        <w:ind w:left="360" w:hanging="360"/>
      </w:pPr>
      <w:rPr>
        <w:b w:val="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3A4E145A"/>
    <w:multiLevelType w:val="hybridMultilevel"/>
    <w:tmpl w:val="CA884C50"/>
    <w:lvl w:ilvl="0" w:tplc="6C32589A">
      <w:start w:val="1"/>
      <w:numFmt w:val="lowerLetter"/>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5" w15:restartNumberingAfterBreak="0">
    <w:nsid w:val="3A88320C"/>
    <w:multiLevelType w:val="hybridMultilevel"/>
    <w:tmpl w:val="3B40811A"/>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6" w15:restartNumberingAfterBreak="0">
    <w:nsid w:val="3BCA6657"/>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7" w15:restartNumberingAfterBreak="0">
    <w:nsid w:val="3CB23EA4"/>
    <w:multiLevelType w:val="hybridMultilevel"/>
    <w:tmpl w:val="C98ED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9" w15:restartNumberingAfterBreak="0">
    <w:nsid w:val="3F596E69"/>
    <w:multiLevelType w:val="hybridMultilevel"/>
    <w:tmpl w:val="54A6C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FC9378A"/>
    <w:multiLevelType w:val="hybridMultilevel"/>
    <w:tmpl w:val="C4B83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3FD80506"/>
    <w:multiLevelType w:val="hybridMultilevel"/>
    <w:tmpl w:val="D834F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0A06B1F"/>
    <w:multiLevelType w:val="hybridMultilevel"/>
    <w:tmpl w:val="5426A838"/>
    <w:lvl w:ilvl="0" w:tplc="63D6A2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41ED660F"/>
    <w:multiLevelType w:val="hybridMultilevel"/>
    <w:tmpl w:val="946C5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427553B8"/>
    <w:multiLevelType w:val="hybridMultilevel"/>
    <w:tmpl w:val="25B60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2A9021F"/>
    <w:multiLevelType w:val="multilevel"/>
    <w:tmpl w:val="E8B88F16"/>
    <w:styleLink w:val="CCYPnumberedparas"/>
    <w:lvl w:ilvl="0">
      <w:start w:val="1"/>
      <w:numFmt w:val="decimal"/>
      <w:pStyle w:val="CCYPlist"/>
      <w:lvlText w:val="%1."/>
      <w:lvlJc w:val="left"/>
      <w:pPr>
        <w:ind w:left="567" w:hanging="567"/>
      </w:pPr>
      <w:rPr>
        <w:rFonts w:ascii="Cambria" w:hAnsi="Cambria" w:cs="Times New Roman" w:hint="default"/>
        <w:b w:val="0"/>
        <w:bCs w:val="0"/>
        <w:i w:val="0"/>
        <w:iCs w:val="0"/>
        <w:color w:val="auto"/>
        <w:sz w:val="24"/>
        <w:szCs w:val="24"/>
        <w:vertAlign w:val="baseline"/>
      </w:rPr>
    </w:lvl>
    <w:lvl w:ilvl="1">
      <w:start w:val="1"/>
      <w:numFmt w:val="decimal"/>
      <w:lvlText w:val="%1.%2"/>
      <w:lvlJc w:val="left"/>
      <w:pPr>
        <w:ind w:left="1134" w:hanging="680"/>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6" w15:restartNumberingAfterBreak="0">
    <w:nsid w:val="4328128A"/>
    <w:multiLevelType w:val="hybridMultilevel"/>
    <w:tmpl w:val="B32E6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39F66A2"/>
    <w:multiLevelType w:val="hybridMultilevel"/>
    <w:tmpl w:val="4770F808"/>
    <w:lvl w:ilvl="0" w:tplc="D00CD2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442E4A6C"/>
    <w:multiLevelType w:val="hybridMultilevel"/>
    <w:tmpl w:val="3474D630"/>
    <w:lvl w:ilvl="0" w:tplc="164244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45702D30"/>
    <w:multiLevelType w:val="hybridMultilevel"/>
    <w:tmpl w:val="6CD0E9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0" w15:restartNumberingAfterBreak="0">
    <w:nsid w:val="45F1030F"/>
    <w:multiLevelType w:val="hybridMultilevel"/>
    <w:tmpl w:val="1C1E1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46B129C0"/>
    <w:multiLevelType w:val="hybridMultilevel"/>
    <w:tmpl w:val="DEC27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48A47211"/>
    <w:multiLevelType w:val="hybridMultilevel"/>
    <w:tmpl w:val="0CFC7FC6"/>
    <w:lvl w:ilvl="0" w:tplc="948E7D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49CD74EF"/>
    <w:multiLevelType w:val="hybridMultilevel"/>
    <w:tmpl w:val="842AD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49FF7A73"/>
    <w:multiLevelType w:val="multilevel"/>
    <w:tmpl w:val="2398F3B0"/>
    <w:lvl w:ilvl="0">
      <w:start w:val="1"/>
      <w:numFmt w:val="decimal"/>
      <w:pStyle w:val="21"/>
      <w:lvlText w:val="2.%1"/>
      <w:lvlJc w:val="left"/>
      <w:pPr>
        <w:ind w:left="360" w:hanging="360"/>
      </w:pPr>
      <w:rPr>
        <w:rFonts w:hint="default"/>
      </w:rPr>
    </w:lvl>
    <w:lvl w:ilvl="1">
      <w:start w:val="1"/>
      <w:numFmt w:val="decimal"/>
      <w:pStyle w:val="21"/>
      <w:lvlText w:val="2.%2"/>
      <w:lvlJc w:val="left"/>
      <w:pPr>
        <w:ind w:left="720" w:hanging="720"/>
      </w:pPr>
      <w:rPr>
        <w:rFonts w:hint="default"/>
      </w:rPr>
    </w:lvl>
    <w:lvl w:ilvl="2">
      <w:start w:val="1"/>
      <w:numFmt w:val="lowerLetter"/>
      <w:pStyle w:val="Titolo3"/>
      <w:lvlText w:val="(%3)"/>
      <w:lvlJc w:val="left"/>
      <w:pPr>
        <w:tabs>
          <w:tab w:val="num" w:pos="720"/>
        </w:tabs>
        <w:ind w:left="720" w:hanging="720"/>
      </w:pPr>
      <w:rPr>
        <w:rFonts w:hint="default"/>
        <w:b/>
        <w:i w:val="0"/>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pStyle w:val="Titolo6"/>
      <w:suff w:val="space"/>
      <w:lvlText w:val="Appendix %6: "/>
      <w:lvlJc w:val="left"/>
      <w:pPr>
        <w:ind w:left="0" w:firstLine="0"/>
      </w:pPr>
      <w:rPr>
        <w:rFonts w:hint="default"/>
      </w:rPr>
    </w:lvl>
    <w:lvl w:ilvl="6">
      <w:start w:val="1"/>
      <w:numFmt w:val="decimal"/>
      <w:pStyle w:val="Titolo7"/>
      <w:lvlText w:val="%1.%2.%3.%4.%5.%6.%7"/>
      <w:lvlJc w:val="left"/>
      <w:pPr>
        <w:tabs>
          <w:tab w:val="num" w:pos="0"/>
        </w:tabs>
        <w:ind w:left="1296" w:hanging="1296"/>
      </w:pPr>
      <w:rPr>
        <w:rFonts w:hint="default"/>
      </w:rPr>
    </w:lvl>
    <w:lvl w:ilvl="7">
      <w:start w:val="1"/>
      <w:numFmt w:val="decimal"/>
      <w:pStyle w:val="Titolo8"/>
      <w:lvlText w:val="%1.%2.%3.%4.%5.%6.%7.%8"/>
      <w:lvlJc w:val="left"/>
      <w:pPr>
        <w:tabs>
          <w:tab w:val="num" w:pos="0"/>
        </w:tabs>
        <w:ind w:left="1440" w:hanging="1440"/>
      </w:pPr>
      <w:rPr>
        <w:rFonts w:hint="default"/>
      </w:rPr>
    </w:lvl>
    <w:lvl w:ilvl="8">
      <w:start w:val="1"/>
      <w:numFmt w:val="decimal"/>
      <w:pStyle w:val="Titolo9"/>
      <w:lvlText w:val="%1.%2.%3.%4.%5.%6.%7.%8.%9"/>
      <w:lvlJc w:val="left"/>
      <w:pPr>
        <w:tabs>
          <w:tab w:val="num" w:pos="0"/>
        </w:tabs>
        <w:ind w:left="1584" w:hanging="1584"/>
      </w:pPr>
      <w:rPr>
        <w:rFonts w:hint="default"/>
      </w:rPr>
    </w:lvl>
  </w:abstractNum>
  <w:abstractNum w:abstractNumId="115"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6" w15:restartNumberingAfterBreak="0">
    <w:nsid w:val="4B5A1206"/>
    <w:multiLevelType w:val="hybridMultilevel"/>
    <w:tmpl w:val="3B40811A"/>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7" w15:restartNumberingAfterBreak="0">
    <w:nsid w:val="4B5A76EA"/>
    <w:multiLevelType w:val="hybridMultilevel"/>
    <w:tmpl w:val="2294D56A"/>
    <w:lvl w:ilvl="0" w:tplc="F25EC848">
      <w:start w:val="1"/>
      <w:numFmt w:val="decimal"/>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118" w15:restartNumberingAfterBreak="0">
    <w:nsid w:val="4BCD4DF0"/>
    <w:multiLevelType w:val="hybridMultilevel"/>
    <w:tmpl w:val="7A36D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C0365B9"/>
    <w:multiLevelType w:val="hybridMultilevel"/>
    <w:tmpl w:val="9286B8CC"/>
    <w:lvl w:ilvl="0" w:tplc="0C090001">
      <w:start w:val="1"/>
      <w:numFmt w:val="bullet"/>
      <w:lvlText w:val=""/>
      <w:lvlJc w:val="left"/>
      <w:pPr>
        <w:ind w:left="360" w:hanging="360"/>
      </w:pPr>
      <w:rPr>
        <w:rFonts w:ascii="Symbol" w:hAnsi="Symbol" w:hint="default"/>
      </w:rPr>
    </w:lvl>
    <w:lvl w:ilvl="1" w:tplc="08863BEA">
      <w:numFmt w:val="bullet"/>
      <w:lvlText w:val="•"/>
      <w:lvlJc w:val="left"/>
      <w:pPr>
        <w:ind w:left="1800" w:hanging="1080"/>
      </w:pPr>
      <w:rPr>
        <w:rFonts w:ascii="Arial" w:eastAsia="MS Mincho" w:hAnsi="Arial"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4C047FE6"/>
    <w:multiLevelType w:val="hybridMultilevel"/>
    <w:tmpl w:val="B622DE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4C72670B"/>
    <w:multiLevelType w:val="hybridMultilevel"/>
    <w:tmpl w:val="4E32223C"/>
    <w:lvl w:ilvl="0" w:tplc="0410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4DC72314"/>
    <w:multiLevelType w:val="hybridMultilevel"/>
    <w:tmpl w:val="0AFEF1AA"/>
    <w:lvl w:ilvl="0" w:tplc="085E383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3"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4" w15:restartNumberingAfterBreak="0">
    <w:nsid w:val="4F220836"/>
    <w:multiLevelType w:val="hybridMultilevel"/>
    <w:tmpl w:val="709C79C8"/>
    <w:lvl w:ilvl="0" w:tplc="A32EC982">
      <w:start w:val="1"/>
      <w:numFmt w:val="decimal"/>
      <w:lvlText w:val="%1."/>
      <w:lvlJc w:val="left"/>
      <w:pPr>
        <w:tabs>
          <w:tab w:val="num" w:pos="720"/>
        </w:tabs>
        <w:ind w:left="720" w:hanging="360"/>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5" w15:restartNumberingAfterBreak="0">
    <w:nsid w:val="54116630"/>
    <w:multiLevelType w:val="multilevel"/>
    <w:tmpl w:val="FB8A65EA"/>
    <w:lvl w:ilvl="0">
      <w:start w:val="1"/>
      <w:numFmt w:val="decimal"/>
      <w:lvlText w:val="2.%1"/>
      <w:lvlJc w:val="left"/>
      <w:pPr>
        <w:ind w:left="360" w:hanging="360"/>
      </w:pPr>
      <w:rPr>
        <w:rFonts w:hint="default"/>
      </w:rPr>
    </w:lvl>
    <w:lvl w:ilvl="1">
      <w:start w:val="1"/>
      <w:numFmt w:val="decimal"/>
      <w:lvlText w:val="2.%2"/>
      <w:lvlJc w:val="left"/>
      <w:pPr>
        <w:ind w:left="720" w:hanging="720"/>
      </w:pPr>
      <w:rPr>
        <w:rFonts w:hint="default"/>
      </w:rPr>
    </w:lvl>
    <w:lvl w:ilvl="2">
      <w:start w:val="1"/>
      <w:numFmt w:val="lowerLetter"/>
      <w:lvlText w:val="(%3)"/>
      <w:lvlJc w:val="left"/>
      <w:pPr>
        <w:tabs>
          <w:tab w:val="num" w:pos="720"/>
        </w:tabs>
        <w:ind w:left="720" w:hanging="720"/>
      </w:pPr>
      <w:rPr>
        <w:rFonts w:hint="default"/>
        <w:b/>
        <w:i w:val="0"/>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Appendix %6: "/>
      <w:lvlJc w:val="left"/>
      <w:pPr>
        <w:ind w:left="0" w:firstLine="0"/>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6" w15:restartNumberingAfterBreak="0">
    <w:nsid w:val="54690F99"/>
    <w:multiLevelType w:val="hybridMultilevel"/>
    <w:tmpl w:val="1DEC4028"/>
    <w:lvl w:ilvl="0" w:tplc="4612A1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546E5925"/>
    <w:multiLevelType w:val="hybridMultilevel"/>
    <w:tmpl w:val="1AE62DE6"/>
    <w:lvl w:ilvl="0" w:tplc="3494808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54B03B5C"/>
    <w:multiLevelType w:val="hybridMultilevel"/>
    <w:tmpl w:val="D180A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59754E5"/>
    <w:multiLevelType w:val="hybridMultilevel"/>
    <w:tmpl w:val="381AB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5B713FB"/>
    <w:multiLevelType w:val="hybridMultilevel"/>
    <w:tmpl w:val="EFB0CF6C"/>
    <w:lvl w:ilvl="0" w:tplc="356866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55E161A6"/>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2" w15:restartNumberingAfterBreak="0">
    <w:nsid w:val="56CF1C6F"/>
    <w:multiLevelType w:val="hybridMultilevel"/>
    <w:tmpl w:val="3D1852EC"/>
    <w:lvl w:ilvl="0" w:tplc="9CB8EDF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3" w15:restartNumberingAfterBreak="0">
    <w:nsid w:val="576F0F99"/>
    <w:multiLevelType w:val="hybridMultilevel"/>
    <w:tmpl w:val="EFB0CF6C"/>
    <w:lvl w:ilvl="0" w:tplc="356866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57953F34"/>
    <w:multiLevelType w:val="hybridMultilevel"/>
    <w:tmpl w:val="DB669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57D960BC"/>
    <w:multiLevelType w:val="hybridMultilevel"/>
    <w:tmpl w:val="27542D94"/>
    <w:lvl w:ilvl="0" w:tplc="1A00EC9E">
      <w:start w:val="1"/>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136" w15:restartNumberingAfterBreak="0">
    <w:nsid w:val="587E139C"/>
    <w:multiLevelType w:val="hybridMultilevel"/>
    <w:tmpl w:val="B21EBA90"/>
    <w:lvl w:ilvl="0" w:tplc="A852FA34">
      <w:start w:val="1"/>
      <w:numFmt w:val="decimal"/>
      <w:lvlText w:val="%1."/>
      <w:lvlJc w:val="left"/>
      <w:pPr>
        <w:ind w:left="360" w:hanging="360"/>
      </w:pPr>
      <w:rPr>
        <w:b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37" w15:restartNumberingAfterBreak="0">
    <w:nsid w:val="5931773E"/>
    <w:multiLevelType w:val="hybridMultilevel"/>
    <w:tmpl w:val="932EE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8" w15:restartNumberingAfterBreak="0">
    <w:nsid w:val="59321B5F"/>
    <w:multiLevelType w:val="hybridMultilevel"/>
    <w:tmpl w:val="A8F07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9B716D9"/>
    <w:multiLevelType w:val="hybridMultilevel"/>
    <w:tmpl w:val="4DF4E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9D4503D"/>
    <w:multiLevelType w:val="hybridMultilevel"/>
    <w:tmpl w:val="E20C6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9DC0CF4"/>
    <w:multiLevelType w:val="hybridMultilevel"/>
    <w:tmpl w:val="FB188C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2" w15:restartNumberingAfterBreak="0">
    <w:nsid w:val="5A966A1B"/>
    <w:multiLevelType w:val="hybridMultilevel"/>
    <w:tmpl w:val="366AE782"/>
    <w:lvl w:ilvl="0" w:tplc="4612A1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5CD52966"/>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4" w15:restartNumberingAfterBreak="0">
    <w:nsid w:val="5DCE6F82"/>
    <w:multiLevelType w:val="hybridMultilevel"/>
    <w:tmpl w:val="3E2EF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5E5F2F80"/>
    <w:multiLevelType w:val="hybridMultilevel"/>
    <w:tmpl w:val="098E0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5E7F709C"/>
    <w:multiLevelType w:val="hybridMultilevel"/>
    <w:tmpl w:val="C57004E6"/>
    <w:lvl w:ilvl="0" w:tplc="4612A1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5F8B1F02"/>
    <w:multiLevelType w:val="hybridMultilevel"/>
    <w:tmpl w:val="C1EADFF4"/>
    <w:lvl w:ilvl="0" w:tplc="2CE4AAC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8" w15:restartNumberingAfterBreak="0">
    <w:nsid w:val="60393A59"/>
    <w:multiLevelType w:val="hybridMultilevel"/>
    <w:tmpl w:val="A8625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08932EF"/>
    <w:multiLevelType w:val="hybridMultilevel"/>
    <w:tmpl w:val="8E502DBE"/>
    <w:lvl w:ilvl="0" w:tplc="EEDE554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608A5695"/>
    <w:multiLevelType w:val="hybridMultilevel"/>
    <w:tmpl w:val="948667E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623440DB"/>
    <w:multiLevelType w:val="hybridMultilevel"/>
    <w:tmpl w:val="81DC6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627D15A5"/>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3" w15:restartNumberingAfterBreak="0">
    <w:nsid w:val="629255B8"/>
    <w:multiLevelType w:val="hybridMultilevel"/>
    <w:tmpl w:val="979495F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4" w15:restartNumberingAfterBreak="0">
    <w:nsid w:val="62C15866"/>
    <w:multiLevelType w:val="hybridMultilevel"/>
    <w:tmpl w:val="00AC1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365669B"/>
    <w:multiLevelType w:val="hybridMultilevel"/>
    <w:tmpl w:val="C1AA22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3AB5038"/>
    <w:multiLevelType w:val="hybridMultilevel"/>
    <w:tmpl w:val="36523A96"/>
    <w:lvl w:ilvl="0" w:tplc="75C46CB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63C42E83"/>
    <w:multiLevelType w:val="hybridMultilevel"/>
    <w:tmpl w:val="19EA9E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648459AA"/>
    <w:multiLevelType w:val="hybridMultilevel"/>
    <w:tmpl w:val="17A20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64A13331"/>
    <w:multiLevelType w:val="hybridMultilevel"/>
    <w:tmpl w:val="30A8E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4EC0134"/>
    <w:multiLevelType w:val="hybridMultilevel"/>
    <w:tmpl w:val="BE984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65140053"/>
    <w:multiLevelType w:val="hybridMultilevel"/>
    <w:tmpl w:val="60449A88"/>
    <w:lvl w:ilvl="0" w:tplc="053E7376">
      <w:start w:val="118"/>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652E644E"/>
    <w:multiLevelType w:val="hybridMultilevel"/>
    <w:tmpl w:val="A55AEA8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3" w15:restartNumberingAfterBreak="0">
    <w:nsid w:val="65A66613"/>
    <w:multiLevelType w:val="hybridMultilevel"/>
    <w:tmpl w:val="76BA5536"/>
    <w:lvl w:ilvl="0" w:tplc="EEDE554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669E12C6"/>
    <w:multiLevelType w:val="hybridMultilevel"/>
    <w:tmpl w:val="D5E8B37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5" w15:restartNumberingAfterBreak="0">
    <w:nsid w:val="66D828E6"/>
    <w:multiLevelType w:val="hybridMultilevel"/>
    <w:tmpl w:val="D28E12EC"/>
    <w:lvl w:ilvl="0" w:tplc="9CE2F496">
      <w:start w:val="1"/>
      <w:numFmt w:val="decimal"/>
      <w:pStyle w:val="11"/>
      <w:lvlText w:val="1.%1"/>
      <w:lvlJc w:val="left"/>
      <w:pPr>
        <w:ind w:left="72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672D6E26"/>
    <w:multiLevelType w:val="hybridMultilevel"/>
    <w:tmpl w:val="7D164B92"/>
    <w:lvl w:ilvl="0" w:tplc="471A1A7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7" w15:restartNumberingAfterBreak="0">
    <w:nsid w:val="67EE5AA5"/>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8" w15:restartNumberingAfterBreak="0">
    <w:nsid w:val="689730B2"/>
    <w:multiLevelType w:val="hybridMultilevel"/>
    <w:tmpl w:val="B4523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694B2BC2"/>
    <w:multiLevelType w:val="hybridMultilevel"/>
    <w:tmpl w:val="BE263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698F4FC0"/>
    <w:multiLevelType w:val="hybridMultilevel"/>
    <w:tmpl w:val="D91E0B44"/>
    <w:lvl w:ilvl="0" w:tplc="CE54E2A8">
      <w:start w:val="1"/>
      <w:numFmt w:val="decimal"/>
      <w:pStyle w:val="31"/>
      <w:lvlText w:val="3.%1"/>
      <w:lvlJc w:val="left"/>
      <w:pPr>
        <w:ind w:left="72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69B3399A"/>
    <w:multiLevelType w:val="hybridMultilevel"/>
    <w:tmpl w:val="05DC185C"/>
    <w:lvl w:ilvl="0" w:tplc="1FC41EC6">
      <w:start w:val="1"/>
      <w:numFmt w:val="decimal"/>
      <w:pStyle w:val="41"/>
      <w:lvlText w:val="4.%1"/>
      <w:lvlJc w:val="left"/>
      <w:pPr>
        <w:ind w:left="72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6A742A0C"/>
    <w:multiLevelType w:val="hybridMultilevel"/>
    <w:tmpl w:val="0E505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6B4D2D0E"/>
    <w:multiLevelType w:val="hybridMultilevel"/>
    <w:tmpl w:val="47EA4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6BEE672D"/>
    <w:multiLevelType w:val="hybridMultilevel"/>
    <w:tmpl w:val="DD744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6C0C5C04"/>
    <w:multiLevelType w:val="hybridMultilevel"/>
    <w:tmpl w:val="0E8EBCD2"/>
    <w:lvl w:ilvl="0" w:tplc="04FA5C1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6D564357"/>
    <w:multiLevelType w:val="hybridMultilevel"/>
    <w:tmpl w:val="5B94C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6D9C4D13"/>
    <w:multiLevelType w:val="hybridMultilevel"/>
    <w:tmpl w:val="50ECE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710B7618"/>
    <w:multiLevelType w:val="hybridMultilevel"/>
    <w:tmpl w:val="BA863D06"/>
    <w:lvl w:ilvl="0" w:tplc="EEDE554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15:restartNumberingAfterBreak="0">
    <w:nsid w:val="71645D71"/>
    <w:multiLevelType w:val="hybridMultilevel"/>
    <w:tmpl w:val="FAEAA8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0" w15:restartNumberingAfterBreak="0">
    <w:nsid w:val="727C44A9"/>
    <w:multiLevelType w:val="hybridMultilevel"/>
    <w:tmpl w:val="3D1852EC"/>
    <w:lvl w:ilvl="0" w:tplc="9CB8EDF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1" w15:restartNumberingAfterBreak="0">
    <w:nsid w:val="731F4ACE"/>
    <w:multiLevelType w:val="hybridMultilevel"/>
    <w:tmpl w:val="2C343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746E0438"/>
    <w:multiLevelType w:val="hybridMultilevel"/>
    <w:tmpl w:val="2990D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74C50905"/>
    <w:multiLevelType w:val="hybridMultilevel"/>
    <w:tmpl w:val="880A5D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4" w15:restartNumberingAfterBreak="0">
    <w:nsid w:val="75435BF5"/>
    <w:multiLevelType w:val="hybridMultilevel"/>
    <w:tmpl w:val="FA2C3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76531940"/>
    <w:multiLevelType w:val="hybridMultilevel"/>
    <w:tmpl w:val="3B40811A"/>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6" w15:restartNumberingAfterBreak="0">
    <w:nsid w:val="76D52659"/>
    <w:multiLevelType w:val="hybridMultilevel"/>
    <w:tmpl w:val="B4ACB54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7" w15:restartNumberingAfterBreak="0">
    <w:nsid w:val="77095497"/>
    <w:multiLevelType w:val="hybridMultilevel"/>
    <w:tmpl w:val="8E8E5778"/>
    <w:lvl w:ilvl="0" w:tplc="042EDBDA">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8" w15:restartNumberingAfterBreak="0">
    <w:nsid w:val="77181372"/>
    <w:multiLevelType w:val="hybridMultilevel"/>
    <w:tmpl w:val="5426A838"/>
    <w:lvl w:ilvl="0" w:tplc="63D6A2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15:restartNumberingAfterBreak="0">
    <w:nsid w:val="77C22269"/>
    <w:multiLevelType w:val="hybridMultilevel"/>
    <w:tmpl w:val="884EAB62"/>
    <w:lvl w:ilvl="0" w:tplc="CA64DF02">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794342B0"/>
    <w:multiLevelType w:val="hybridMultilevel"/>
    <w:tmpl w:val="1BE8E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795C0FD4"/>
    <w:multiLevelType w:val="hybridMultilevel"/>
    <w:tmpl w:val="E0DA9C0E"/>
    <w:lvl w:ilvl="0" w:tplc="28D83A24">
      <w:start w:val="1"/>
      <w:numFmt w:val="decimal"/>
      <w:lvlText w:val="(%1)"/>
      <w:lvlJc w:val="left"/>
      <w:pPr>
        <w:ind w:left="435" w:hanging="360"/>
      </w:pPr>
      <w:rPr>
        <w:rFonts w:hint="default"/>
      </w:rPr>
    </w:lvl>
    <w:lvl w:ilvl="1" w:tplc="0C090019" w:tentative="1">
      <w:start w:val="1"/>
      <w:numFmt w:val="lowerLetter"/>
      <w:lvlText w:val="%2."/>
      <w:lvlJc w:val="left"/>
      <w:pPr>
        <w:ind w:left="1155" w:hanging="360"/>
      </w:pPr>
    </w:lvl>
    <w:lvl w:ilvl="2" w:tplc="0C09001B" w:tentative="1">
      <w:start w:val="1"/>
      <w:numFmt w:val="lowerRoman"/>
      <w:lvlText w:val="%3."/>
      <w:lvlJc w:val="right"/>
      <w:pPr>
        <w:ind w:left="1875" w:hanging="180"/>
      </w:pPr>
    </w:lvl>
    <w:lvl w:ilvl="3" w:tplc="0C09000F" w:tentative="1">
      <w:start w:val="1"/>
      <w:numFmt w:val="decimal"/>
      <w:lvlText w:val="%4."/>
      <w:lvlJc w:val="left"/>
      <w:pPr>
        <w:ind w:left="2595" w:hanging="360"/>
      </w:pPr>
    </w:lvl>
    <w:lvl w:ilvl="4" w:tplc="0C090019" w:tentative="1">
      <w:start w:val="1"/>
      <w:numFmt w:val="lowerLetter"/>
      <w:lvlText w:val="%5."/>
      <w:lvlJc w:val="left"/>
      <w:pPr>
        <w:ind w:left="3315" w:hanging="360"/>
      </w:pPr>
    </w:lvl>
    <w:lvl w:ilvl="5" w:tplc="0C09001B" w:tentative="1">
      <w:start w:val="1"/>
      <w:numFmt w:val="lowerRoman"/>
      <w:lvlText w:val="%6."/>
      <w:lvlJc w:val="right"/>
      <w:pPr>
        <w:ind w:left="4035" w:hanging="180"/>
      </w:pPr>
    </w:lvl>
    <w:lvl w:ilvl="6" w:tplc="0C09000F" w:tentative="1">
      <w:start w:val="1"/>
      <w:numFmt w:val="decimal"/>
      <w:lvlText w:val="%7."/>
      <w:lvlJc w:val="left"/>
      <w:pPr>
        <w:ind w:left="4755" w:hanging="360"/>
      </w:pPr>
    </w:lvl>
    <w:lvl w:ilvl="7" w:tplc="0C090019" w:tentative="1">
      <w:start w:val="1"/>
      <w:numFmt w:val="lowerLetter"/>
      <w:lvlText w:val="%8."/>
      <w:lvlJc w:val="left"/>
      <w:pPr>
        <w:ind w:left="5475" w:hanging="360"/>
      </w:pPr>
    </w:lvl>
    <w:lvl w:ilvl="8" w:tplc="0C09001B" w:tentative="1">
      <w:start w:val="1"/>
      <w:numFmt w:val="lowerRoman"/>
      <w:lvlText w:val="%9."/>
      <w:lvlJc w:val="right"/>
      <w:pPr>
        <w:ind w:left="6195" w:hanging="180"/>
      </w:pPr>
    </w:lvl>
  </w:abstractNum>
  <w:abstractNum w:abstractNumId="192" w15:restartNumberingAfterBreak="0">
    <w:nsid w:val="799064DB"/>
    <w:multiLevelType w:val="hybridMultilevel"/>
    <w:tmpl w:val="FB045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7C7A1562"/>
    <w:multiLevelType w:val="hybridMultilevel"/>
    <w:tmpl w:val="09F07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7D3A7592"/>
    <w:multiLevelType w:val="hybridMultilevel"/>
    <w:tmpl w:val="6D526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7D656713"/>
    <w:multiLevelType w:val="hybridMultilevel"/>
    <w:tmpl w:val="FF480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7DD356C2"/>
    <w:multiLevelType w:val="hybridMultilevel"/>
    <w:tmpl w:val="1DEC4028"/>
    <w:lvl w:ilvl="0" w:tplc="4612A1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7DE211F8"/>
    <w:multiLevelType w:val="hybridMultilevel"/>
    <w:tmpl w:val="2F320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7F3B560A"/>
    <w:multiLevelType w:val="hybridMultilevel"/>
    <w:tmpl w:val="FE64E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123"/>
  </w:num>
  <w:num w:numId="12">
    <w:abstractNumId w:val="98"/>
  </w:num>
  <w:num w:numId="13">
    <w:abstractNumId w:val="54"/>
  </w:num>
  <w:num w:numId="14">
    <w:abstractNumId w:val="49"/>
  </w:num>
  <w:num w:numId="15">
    <w:abstractNumId w:val="129"/>
  </w:num>
  <w:num w:numId="16">
    <w:abstractNumId w:val="40"/>
  </w:num>
  <w:num w:numId="17">
    <w:abstractNumId w:val="157"/>
  </w:num>
  <w:num w:numId="18">
    <w:abstractNumId w:val="187"/>
  </w:num>
  <w:num w:numId="19">
    <w:abstractNumId w:val="141"/>
  </w:num>
  <w:num w:numId="20">
    <w:abstractNumId w:val="63"/>
  </w:num>
  <w:num w:numId="21">
    <w:abstractNumId w:val="186"/>
  </w:num>
  <w:num w:numId="22">
    <w:abstractNumId w:val="177"/>
  </w:num>
  <w:num w:numId="23">
    <w:abstractNumId w:val="66"/>
  </w:num>
  <w:num w:numId="24">
    <w:abstractNumId w:val="106"/>
  </w:num>
  <w:num w:numId="25">
    <w:abstractNumId w:val="62"/>
  </w:num>
  <w:num w:numId="26">
    <w:abstractNumId w:val="183"/>
  </w:num>
  <w:num w:numId="27">
    <w:abstractNumId w:val="169"/>
  </w:num>
  <w:num w:numId="28">
    <w:abstractNumId w:val="109"/>
  </w:num>
  <w:num w:numId="29">
    <w:abstractNumId w:val="11"/>
  </w:num>
  <w:num w:numId="30">
    <w:abstractNumId w:val="36"/>
  </w:num>
  <w:num w:numId="31">
    <w:abstractNumId w:val="110"/>
  </w:num>
  <w:num w:numId="32">
    <w:abstractNumId w:val="64"/>
  </w:num>
  <w:num w:numId="3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5"/>
  </w:num>
  <w:num w:numId="35">
    <w:abstractNumId w:val="10"/>
  </w:num>
  <w:num w:numId="36">
    <w:abstractNumId w:val="168"/>
  </w:num>
  <w:num w:numId="37">
    <w:abstractNumId w:val="112"/>
  </w:num>
  <w:num w:numId="38">
    <w:abstractNumId w:val="111"/>
  </w:num>
  <w:num w:numId="39">
    <w:abstractNumId w:val="124"/>
  </w:num>
  <w:num w:numId="40">
    <w:abstractNumId w:val="181"/>
  </w:num>
  <w:num w:numId="41">
    <w:abstractNumId w:val="25"/>
  </w:num>
  <w:num w:numId="42">
    <w:abstractNumId w:val="100"/>
  </w:num>
  <w:num w:numId="43">
    <w:abstractNumId w:val="164"/>
  </w:num>
  <w:num w:numId="44">
    <w:abstractNumId w:val="115"/>
  </w:num>
  <w:num w:numId="45">
    <w:abstractNumId w:val="193"/>
  </w:num>
  <w:num w:numId="46">
    <w:abstractNumId w:val="105"/>
  </w:num>
  <w:num w:numId="47">
    <w:abstractNumId w:val="119"/>
  </w:num>
  <w:num w:numId="48">
    <w:abstractNumId w:val="192"/>
  </w:num>
  <w:num w:numId="49">
    <w:abstractNumId w:val="43"/>
  </w:num>
  <w:num w:numId="50">
    <w:abstractNumId w:val="182"/>
  </w:num>
  <w:num w:numId="51">
    <w:abstractNumId w:val="12"/>
  </w:num>
  <w:num w:numId="52">
    <w:abstractNumId w:val="176"/>
  </w:num>
  <w:num w:numId="53">
    <w:abstractNumId w:val="46"/>
  </w:num>
  <w:num w:numId="54">
    <w:abstractNumId w:val="20"/>
  </w:num>
  <w:num w:numId="55">
    <w:abstractNumId w:val="85"/>
  </w:num>
  <w:num w:numId="56">
    <w:abstractNumId w:val="155"/>
  </w:num>
  <w:num w:numId="57">
    <w:abstractNumId w:val="53"/>
  </w:num>
  <w:num w:numId="58">
    <w:abstractNumId w:val="158"/>
  </w:num>
  <w:num w:numId="59">
    <w:abstractNumId w:val="60"/>
  </w:num>
  <w:num w:numId="60">
    <w:abstractNumId w:val="172"/>
  </w:num>
  <w:num w:numId="61">
    <w:abstractNumId w:val="113"/>
  </w:num>
  <w:num w:numId="62">
    <w:abstractNumId w:val="162"/>
  </w:num>
  <w:num w:numId="63">
    <w:abstractNumId w:val="42"/>
  </w:num>
  <w:num w:numId="64">
    <w:abstractNumId w:val="150"/>
  </w:num>
  <w:num w:numId="65">
    <w:abstractNumId w:val="191"/>
  </w:num>
  <w:num w:numId="66">
    <w:abstractNumId w:val="84"/>
  </w:num>
  <w:num w:numId="67">
    <w:abstractNumId w:val="13"/>
  </w:num>
  <w:num w:numId="68">
    <w:abstractNumId w:val="29"/>
  </w:num>
  <w:num w:numId="69">
    <w:abstractNumId w:val="117"/>
  </w:num>
  <w:num w:numId="70">
    <w:abstractNumId w:val="122"/>
  </w:num>
  <w:num w:numId="71">
    <w:abstractNumId w:val="82"/>
  </w:num>
  <w:num w:numId="72">
    <w:abstractNumId w:val="81"/>
  </w:num>
  <w:num w:numId="73">
    <w:abstractNumId w:val="188"/>
  </w:num>
  <w:num w:numId="74">
    <w:abstractNumId w:val="102"/>
  </w:num>
  <w:num w:numId="75">
    <w:abstractNumId w:val="50"/>
  </w:num>
  <w:num w:numId="76">
    <w:abstractNumId w:val="135"/>
  </w:num>
  <w:num w:numId="77">
    <w:abstractNumId w:val="190"/>
  </w:num>
  <w:num w:numId="78">
    <w:abstractNumId w:val="132"/>
  </w:num>
  <w:num w:numId="79">
    <w:abstractNumId w:val="175"/>
  </w:num>
  <w:num w:numId="80">
    <w:abstractNumId w:val="107"/>
  </w:num>
  <w:num w:numId="81">
    <w:abstractNumId w:val="143"/>
  </w:num>
  <w:num w:numId="82">
    <w:abstractNumId w:val="51"/>
  </w:num>
  <w:num w:numId="83">
    <w:abstractNumId w:val="79"/>
  </w:num>
  <w:num w:numId="84">
    <w:abstractNumId w:val="14"/>
  </w:num>
  <w:num w:numId="85">
    <w:abstractNumId w:val="17"/>
  </w:num>
  <w:num w:numId="86">
    <w:abstractNumId w:val="72"/>
  </w:num>
  <w:num w:numId="87">
    <w:abstractNumId w:val="131"/>
  </w:num>
  <w:num w:numId="88">
    <w:abstractNumId w:val="152"/>
  </w:num>
  <w:num w:numId="89">
    <w:abstractNumId w:val="31"/>
  </w:num>
  <w:num w:numId="90">
    <w:abstractNumId w:val="33"/>
  </w:num>
  <w:num w:numId="91">
    <w:abstractNumId w:val="96"/>
  </w:num>
  <w:num w:numId="92">
    <w:abstractNumId w:val="59"/>
  </w:num>
  <w:num w:numId="93">
    <w:abstractNumId w:val="167"/>
  </w:num>
  <w:num w:numId="94">
    <w:abstractNumId w:val="28"/>
  </w:num>
  <w:num w:numId="95">
    <w:abstractNumId w:val="185"/>
  </w:num>
  <w:num w:numId="96">
    <w:abstractNumId w:val="116"/>
  </w:num>
  <w:num w:numId="97">
    <w:abstractNumId w:val="95"/>
  </w:num>
  <w:num w:numId="98">
    <w:abstractNumId w:val="21"/>
  </w:num>
  <w:num w:numId="99">
    <w:abstractNumId w:val="94"/>
  </w:num>
  <w:num w:numId="100">
    <w:abstractNumId w:val="38"/>
  </w:num>
  <w:num w:numId="101">
    <w:abstractNumId w:val="180"/>
  </w:num>
  <w:num w:numId="102">
    <w:abstractNumId w:val="156"/>
  </w:num>
  <w:num w:numId="103">
    <w:abstractNumId w:val="92"/>
  </w:num>
  <w:num w:numId="104">
    <w:abstractNumId w:val="76"/>
  </w:num>
  <w:num w:numId="105">
    <w:abstractNumId w:val="189"/>
  </w:num>
  <w:num w:numId="106">
    <w:abstractNumId w:val="127"/>
  </w:num>
  <w:num w:numId="107">
    <w:abstractNumId w:val="37"/>
  </w:num>
  <w:num w:numId="108">
    <w:abstractNumId w:val="163"/>
  </w:num>
  <w:num w:numId="109">
    <w:abstractNumId w:val="88"/>
  </w:num>
  <w:num w:numId="110">
    <w:abstractNumId w:val="147"/>
  </w:num>
  <w:num w:numId="111">
    <w:abstractNumId w:val="30"/>
  </w:num>
  <w:num w:numId="112">
    <w:abstractNumId w:val="39"/>
  </w:num>
  <w:num w:numId="113">
    <w:abstractNumId w:val="48"/>
  </w:num>
  <w:num w:numId="114">
    <w:abstractNumId w:val="149"/>
  </w:num>
  <w:num w:numId="115">
    <w:abstractNumId w:val="78"/>
  </w:num>
  <w:num w:numId="116">
    <w:abstractNumId w:val="130"/>
  </w:num>
  <w:num w:numId="117">
    <w:abstractNumId w:val="133"/>
  </w:num>
  <w:num w:numId="118">
    <w:abstractNumId w:val="34"/>
  </w:num>
  <w:num w:numId="119">
    <w:abstractNumId w:val="108"/>
  </w:num>
  <w:num w:numId="120">
    <w:abstractNumId w:val="166"/>
  </w:num>
  <w:num w:numId="121">
    <w:abstractNumId w:val="74"/>
  </w:num>
  <w:num w:numId="122">
    <w:abstractNumId w:val="90"/>
  </w:num>
  <w:num w:numId="123">
    <w:abstractNumId w:val="71"/>
  </w:num>
  <w:num w:numId="124">
    <w:abstractNumId w:val="126"/>
  </w:num>
  <w:num w:numId="125">
    <w:abstractNumId w:val="83"/>
  </w:num>
  <w:num w:numId="126">
    <w:abstractNumId w:val="32"/>
  </w:num>
  <w:num w:numId="127">
    <w:abstractNumId w:val="146"/>
  </w:num>
  <w:num w:numId="128">
    <w:abstractNumId w:val="16"/>
  </w:num>
  <w:num w:numId="129">
    <w:abstractNumId w:val="178"/>
  </w:num>
  <w:num w:numId="130">
    <w:abstractNumId w:val="196"/>
  </w:num>
  <w:num w:numId="131">
    <w:abstractNumId w:val="142"/>
  </w:num>
  <w:num w:numId="132">
    <w:abstractNumId w:val="15"/>
  </w:num>
  <w:num w:numId="133">
    <w:abstractNumId w:val="22"/>
  </w:num>
  <w:num w:numId="134">
    <w:abstractNumId w:val="197"/>
  </w:num>
  <w:num w:numId="135">
    <w:abstractNumId w:val="87"/>
  </w:num>
  <w:num w:numId="136">
    <w:abstractNumId w:val="161"/>
  </w:num>
  <w:num w:numId="137">
    <w:abstractNumId w:val="41"/>
  </w:num>
  <w:num w:numId="138">
    <w:abstractNumId w:val="184"/>
  </w:num>
  <w:num w:numId="139">
    <w:abstractNumId w:val="148"/>
  </w:num>
  <w:num w:numId="140">
    <w:abstractNumId w:val="138"/>
  </w:num>
  <w:num w:numId="141">
    <w:abstractNumId w:val="154"/>
  </w:num>
  <w:num w:numId="142">
    <w:abstractNumId w:val="18"/>
  </w:num>
  <w:num w:numId="143">
    <w:abstractNumId w:val="104"/>
  </w:num>
  <w:num w:numId="144">
    <w:abstractNumId w:val="159"/>
  </w:num>
  <w:num w:numId="145">
    <w:abstractNumId w:val="80"/>
  </w:num>
  <w:num w:numId="146">
    <w:abstractNumId w:val="160"/>
  </w:num>
  <w:num w:numId="147">
    <w:abstractNumId w:val="57"/>
  </w:num>
  <w:num w:numId="148">
    <w:abstractNumId w:val="99"/>
  </w:num>
  <w:num w:numId="149">
    <w:abstractNumId w:val="61"/>
  </w:num>
  <w:num w:numId="150">
    <w:abstractNumId w:val="174"/>
  </w:num>
  <w:num w:numId="151">
    <w:abstractNumId w:val="121"/>
  </w:num>
  <w:num w:numId="152">
    <w:abstractNumId w:val="35"/>
  </w:num>
  <w:num w:numId="153">
    <w:abstractNumId w:val="89"/>
  </w:num>
  <w:num w:numId="154">
    <w:abstractNumId w:val="144"/>
  </w:num>
  <w:num w:numId="155">
    <w:abstractNumId w:val="86"/>
  </w:num>
  <w:num w:numId="156">
    <w:abstractNumId w:val="75"/>
  </w:num>
  <w:num w:numId="157">
    <w:abstractNumId w:val="194"/>
  </w:num>
  <w:num w:numId="158">
    <w:abstractNumId w:val="52"/>
  </w:num>
  <w:num w:numId="159">
    <w:abstractNumId w:val="140"/>
  </w:num>
  <w:num w:numId="160">
    <w:abstractNumId w:val="128"/>
  </w:num>
  <w:num w:numId="161">
    <w:abstractNumId w:val="67"/>
  </w:num>
  <w:num w:numId="162">
    <w:abstractNumId w:val="69"/>
  </w:num>
  <w:num w:numId="163">
    <w:abstractNumId w:val="101"/>
  </w:num>
  <w:num w:numId="164">
    <w:abstractNumId w:val="45"/>
  </w:num>
  <w:num w:numId="165">
    <w:abstractNumId w:val="151"/>
  </w:num>
  <w:num w:numId="166">
    <w:abstractNumId w:val="118"/>
  </w:num>
  <w:num w:numId="167">
    <w:abstractNumId w:val="139"/>
  </w:num>
  <w:num w:numId="168">
    <w:abstractNumId w:val="65"/>
  </w:num>
  <w:num w:numId="169">
    <w:abstractNumId w:val="134"/>
  </w:num>
  <w:num w:numId="170">
    <w:abstractNumId w:val="27"/>
  </w:num>
  <w:num w:numId="171">
    <w:abstractNumId w:val="70"/>
  </w:num>
  <w:num w:numId="172">
    <w:abstractNumId w:val="153"/>
  </w:num>
  <w:num w:numId="173">
    <w:abstractNumId w:val="55"/>
  </w:num>
  <w:num w:numId="174">
    <w:abstractNumId w:val="173"/>
  </w:num>
  <w:num w:numId="175">
    <w:abstractNumId w:val="198"/>
  </w:num>
  <w:num w:numId="176">
    <w:abstractNumId w:val="103"/>
  </w:num>
  <w:num w:numId="177">
    <w:abstractNumId w:val="44"/>
  </w:num>
  <w:num w:numId="178">
    <w:abstractNumId w:val="68"/>
  </w:num>
  <w:num w:numId="179">
    <w:abstractNumId w:val="58"/>
  </w:num>
  <w:num w:numId="180">
    <w:abstractNumId w:val="47"/>
  </w:num>
  <w:num w:numId="181">
    <w:abstractNumId w:val="97"/>
  </w:num>
  <w:num w:numId="182">
    <w:abstractNumId w:val="137"/>
  </w:num>
  <w:num w:numId="183">
    <w:abstractNumId w:val="24"/>
  </w:num>
  <w:num w:numId="184">
    <w:abstractNumId w:val="179"/>
  </w:num>
  <w:num w:numId="185">
    <w:abstractNumId w:val="145"/>
  </w:num>
  <w:num w:numId="186">
    <w:abstractNumId w:val="56"/>
  </w:num>
  <w:num w:numId="187">
    <w:abstractNumId w:val="77"/>
  </w:num>
  <w:num w:numId="188">
    <w:abstractNumId w:val="23"/>
  </w:num>
  <w:num w:numId="189">
    <w:abstractNumId w:val="170"/>
  </w:num>
  <w:num w:numId="190">
    <w:abstractNumId w:val="114"/>
  </w:num>
  <w:num w:numId="19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5"/>
  </w:num>
  <w:num w:numId="19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71"/>
  </w:num>
  <w:num w:numId="20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3"/>
  </w:num>
  <w:num w:numId="209">
    <w:abstractNumId w:val="26"/>
  </w:num>
  <w:num w:numId="210">
    <w:abstractNumId w:val="125"/>
  </w:num>
  <w:num w:numId="211">
    <w:abstractNumId w:val="93"/>
  </w:num>
  <w:num w:numId="212">
    <w:abstractNumId w:val="91"/>
  </w:num>
  <w:num w:numId="213">
    <w:abstractNumId w:val="120"/>
  </w:num>
  <w:num w:numId="214">
    <w:abstractNumId w:val="19"/>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238940E-8DED-4727-96DA-8CE21283F567}"/>
    <w:docVar w:name="dgnword-eventsink" w:val="519288336"/>
  </w:docVars>
  <w:rsids>
    <w:rsidRoot w:val="000E19F2"/>
    <w:rsid w:val="00002B7E"/>
    <w:rsid w:val="00002F9C"/>
    <w:rsid w:val="000030EF"/>
    <w:rsid w:val="000033F7"/>
    <w:rsid w:val="00007238"/>
    <w:rsid w:val="00017BB7"/>
    <w:rsid w:val="000200A3"/>
    <w:rsid w:val="000206F7"/>
    <w:rsid w:val="00021DD2"/>
    <w:rsid w:val="00023B3F"/>
    <w:rsid w:val="0002461A"/>
    <w:rsid w:val="00024740"/>
    <w:rsid w:val="000273C1"/>
    <w:rsid w:val="00031450"/>
    <w:rsid w:val="0003606D"/>
    <w:rsid w:val="000366BE"/>
    <w:rsid w:val="00040458"/>
    <w:rsid w:val="000462D8"/>
    <w:rsid w:val="00057781"/>
    <w:rsid w:val="000579B1"/>
    <w:rsid w:val="0006249D"/>
    <w:rsid w:val="00072D2F"/>
    <w:rsid w:val="00074319"/>
    <w:rsid w:val="00080D93"/>
    <w:rsid w:val="000911E3"/>
    <w:rsid w:val="00091899"/>
    <w:rsid w:val="000918E1"/>
    <w:rsid w:val="00093932"/>
    <w:rsid w:val="00095578"/>
    <w:rsid w:val="000A08B8"/>
    <w:rsid w:val="000A1DB8"/>
    <w:rsid w:val="000A2B5F"/>
    <w:rsid w:val="000A38E0"/>
    <w:rsid w:val="000A48AC"/>
    <w:rsid w:val="000A5502"/>
    <w:rsid w:val="000B0677"/>
    <w:rsid w:val="000B0A5D"/>
    <w:rsid w:val="000B1FDF"/>
    <w:rsid w:val="000B2B72"/>
    <w:rsid w:val="000B7B1F"/>
    <w:rsid w:val="000C037B"/>
    <w:rsid w:val="000C52DC"/>
    <w:rsid w:val="000C6488"/>
    <w:rsid w:val="000D2D9C"/>
    <w:rsid w:val="000D39B7"/>
    <w:rsid w:val="000E130A"/>
    <w:rsid w:val="000E19F2"/>
    <w:rsid w:val="000E54E6"/>
    <w:rsid w:val="000F10F4"/>
    <w:rsid w:val="000F205B"/>
    <w:rsid w:val="000F2598"/>
    <w:rsid w:val="000F4F72"/>
    <w:rsid w:val="000F52F1"/>
    <w:rsid w:val="000F5F97"/>
    <w:rsid w:val="000F7681"/>
    <w:rsid w:val="000F7E19"/>
    <w:rsid w:val="001024BD"/>
    <w:rsid w:val="00103DEB"/>
    <w:rsid w:val="00105288"/>
    <w:rsid w:val="00105C91"/>
    <w:rsid w:val="00112E1F"/>
    <w:rsid w:val="00123624"/>
    <w:rsid w:val="001345FD"/>
    <w:rsid w:val="00134774"/>
    <w:rsid w:val="0013536D"/>
    <w:rsid w:val="00135B6A"/>
    <w:rsid w:val="00140274"/>
    <w:rsid w:val="001420C5"/>
    <w:rsid w:val="00143C24"/>
    <w:rsid w:val="00150A9B"/>
    <w:rsid w:val="00151263"/>
    <w:rsid w:val="0015374A"/>
    <w:rsid w:val="00153F1C"/>
    <w:rsid w:val="00154D67"/>
    <w:rsid w:val="00162A8D"/>
    <w:rsid w:val="001647AB"/>
    <w:rsid w:val="00165E3C"/>
    <w:rsid w:val="001736DA"/>
    <w:rsid w:val="00173FB5"/>
    <w:rsid w:val="00194A7C"/>
    <w:rsid w:val="00195EFD"/>
    <w:rsid w:val="0019631C"/>
    <w:rsid w:val="0019651A"/>
    <w:rsid w:val="001979B0"/>
    <w:rsid w:val="001A1F17"/>
    <w:rsid w:val="001A4945"/>
    <w:rsid w:val="001A538E"/>
    <w:rsid w:val="001A5D35"/>
    <w:rsid w:val="001A77A0"/>
    <w:rsid w:val="001B0353"/>
    <w:rsid w:val="001B2F83"/>
    <w:rsid w:val="001B5E7B"/>
    <w:rsid w:val="001C1F8B"/>
    <w:rsid w:val="001C20CB"/>
    <w:rsid w:val="001C3043"/>
    <w:rsid w:val="001C7EB4"/>
    <w:rsid w:val="001D4492"/>
    <w:rsid w:val="001D4738"/>
    <w:rsid w:val="001D6C89"/>
    <w:rsid w:val="001E0439"/>
    <w:rsid w:val="001E2654"/>
    <w:rsid w:val="001E3A21"/>
    <w:rsid w:val="001E4EC4"/>
    <w:rsid w:val="001F2365"/>
    <w:rsid w:val="001F274A"/>
    <w:rsid w:val="001F2BBB"/>
    <w:rsid w:val="001F5BC6"/>
    <w:rsid w:val="001F6736"/>
    <w:rsid w:val="00200677"/>
    <w:rsid w:val="00201952"/>
    <w:rsid w:val="00205872"/>
    <w:rsid w:val="002073C4"/>
    <w:rsid w:val="00210DAC"/>
    <w:rsid w:val="00211EFD"/>
    <w:rsid w:val="00212496"/>
    <w:rsid w:val="00213004"/>
    <w:rsid w:val="0021721C"/>
    <w:rsid w:val="00222305"/>
    <w:rsid w:val="00222517"/>
    <w:rsid w:val="002226C6"/>
    <w:rsid w:val="00224AA3"/>
    <w:rsid w:val="00224EF5"/>
    <w:rsid w:val="00226618"/>
    <w:rsid w:val="002305D4"/>
    <w:rsid w:val="00231773"/>
    <w:rsid w:val="00231B71"/>
    <w:rsid w:val="00231ED1"/>
    <w:rsid w:val="00232998"/>
    <w:rsid w:val="002334EB"/>
    <w:rsid w:val="00242624"/>
    <w:rsid w:val="0024557E"/>
    <w:rsid w:val="00254DC2"/>
    <w:rsid w:val="00256AA2"/>
    <w:rsid w:val="00256DAA"/>
    <w:rsid w:val="002571C5"/>
    <w:rsid w:val="00263C0C"/>
    <w:rsid w:val="00265A4F"/>
    <w:rsid w:val="00272D1A"/>
    <w:rsid w:val="00281433"/>
    <w:rsid w:val="002822DA"/>
    <w:rsid w:val="00283BF4"/>
    <w:rsid w:val="00283EB8"/>
    <w:rsid w:val="00285022"/>
    <w:rsid w:val="002863D7"/>
    <w:rsid w:val="00290108"/>
    <w:rsid w:val="002907E6"/>
    <w:rsid w:val="002940E9"/>
    <w:rsid w:val="00294DA8"/>
    <w:rsid w:val="002A0986"/>
    <w:rsid w:val="002B0C6A"/>
    <w:rsid w:val="002B1B65"/>
    <w:rsid w:val="002B5AB7"/>
    <w:rsid w:val="002C1866"/>
    <w:rsid w:val="002C4F5D"/>
    <w:rsid w:val="002D4CF3"/>
    <w:rsid w:val="002D774C"/>
    <w:rsid w:val="002E4E17"/>
    <w:rsid w:val="002E5725"/>
    <w:rsid w:val="002E6DCC"/>
    <w:rsid w:val="002F4CE1"/>
    <w:rsid w:val="002F52EE"/>
    <w:rsid w:val="00300F22"/>
    <w:rsid w:val="00304A37"/>
    <w:rsid w:val="00310511"/>
    <w:rsid w:val="00310ED4"/>
    <w:rsid w:val="00312301"/>
    <w:rsid w:val="0031492A"/>
    <w:rsid w:val="00316C1A"/>
    <w:rsid w:val="00322497"/>
    <w:rsid w:val="00322AB5"/>
    <w:rsid w:val="00323C73"/>
    <w:rsid w:val="00331141"/>
    <w:rsid w:val="00331CA9"/>
    <w:rsid w:val="00331F34"/>
    <w:rsid w:val="003324F3"/>
    <w:rsid w:val="00333692"/>
    <w:rsid w:val="0034088B"/>
    <w:rsid w:val="0034345F"/>
    <w:rsid w:val="003435A1"/>
    <w:rsid w:val="00344758"/>
    <w:rsid w:val="00346592"/>
    <w:rsid w:val="00346A9E"/>
    <w:rsid w:val="00347142"/>
    <w:rsid w:val="00356100"/>
    <w:rsid w:val="003565A8"/>
    <w:rsid w:val="003566EA"/>
    <w:rsid w:val="00360137"/>
    <w:rsid w:val="00361016"/>
    <w:rsid w:val="0036250D"/>
    <w:rsid w:val="00370AB2"/>
    <w:rsid w:val="003716C0"/>
    <w:rsid w:val="00372758"/>
    <w:rsid w:val="00372C79"/>
    <w:rsid w:val="0038213F"/>
    <w:rsid w:val="00383905"/>
    <w:rsid w:val="00384D04"/>
    <w:rsid w:val="00391D3E"/>
    <w:rsid w:val="00393720"/>
    <w:rsid w:val="003A516F"/>
    <w:rsid w:val="003B3CCB"/>
    <w:rsid w:val="003B44C3"/>
    <w:rsid w:val="003B713D"/>
    <w:rsid w:val="003C17FB"/>
    <w:rsid w:val="003C4165"/>
    <w:rsid w:val="003D3B14"/>
    <w:rsid w:val="003D524D"/>
    <w:rsid w:val="003E1306"/>
    <w:rsid w:val="003F3733"/>
    <w:rsid w:val="00403F2A"/>
    <w:rsid w:val="00411876"/>
    <w:rsid w:val="00414429"/>
    <w:rsid w:val="00417333"/>
    <w:rsid w:val="00421809"/>
    <w:rsid w:val="00422417"/>
    <w:rsid w:val="00424233"/>
    <w:rsid w:val="004260FB"/>
    <w:rsid w:val="0043042B"/>
    <w:rsid w:val="00437EC7"/>
    <w:rsid w:val="00437F66"/>
    <w:rsid w:val="0044085A"/>
    <w:rsid w:val="00442777"/>
    <w:rsid w:val="00444AEF"/>
    <w:rsid w:val="00453401"/>
    <w:rsid w:val="00453DA9"/>
    <w:rsid w:val="00454E92"/>
    <w:rsid w:val="00455105"/>
    <w:rsid w:val="00463FCA"/>
    <w:rsid w:val="00465D05"/>
    <w:rsid w:val="00465FED"/>
    <w:rsid w:val="00471481"/>
    <w:rsid w:val="00472EFF"/>
    <w:rsid w:val="0047394A"/>
    <w:rsid w:val="00474063"/>
    <w:rsid w:val="00476793"/>
    <w:rsid w:val="00482CD7"/>
    <w:rsid w:val="004835F1"/>
    <w:rsid w:val="00484732"/>
    <w:rsid w:val="00485983"/>
    <w:rsid w:val="004869F0"/>
    <w:rsid w:val="00492181"/>
    <w:rsid w:val="00493197"/>
    <w:rsid w:val="00494642"/>
    <w:rsid w:val="004A187B"/>
    <w:rsid w:val="004A1AD9"/>
    <w:rsid w:val="004A2D3C"/>
    <w:rsid w:val="004A6248"/>
    <w:rsid w:val="004A7140"/>
    <w:rsid w:val="004B206F"/>
    <w:rsid w:val="004B3161"/>
    <w:rsid w:val="004B56B4"/>
    <w:rsid w:val="004B79EF"/>
    <w:rsid w:val="004C3BCE"/>
    <w:rsid w:val="004C4032"/>
    <w:rsid w:val="004C7412"/>
    <w:rsid w:val="004D04BF"/>
    <w:rsid w:val="004D0BB3"/>
    <w:rsid w:val="004D6E55"/>
    <w:rsid w:val="004E0DFF"/>
    <w:rsid w:val="004E352E"/>
    <w:rsid w:val="004E50AA"/>
    <w:rsid w:val="004E5868"/>
    <w:rsid w:val="004E619E"/>
    <w:rsid w:val="004F1C7C"/>
    <w:rsid w:val="004F5B67"/>
    <w:rsid w:val="00502A8E"/>
    <w:rsid w:val="0050582B"/>
    <w:rsid w:val="00510A59"/>
    <w:rsid w:val="00511406"/>
    <w:rsid w:val="005123F0"/>
    <w:rsid w:val="00512D3D"/>
    <w:rsid w:val="00513540"/>
    <w:rsid w:val="00513941"/>
    <w:rsid w:val="005244AE"/>
    <w:rsid w:val="0052489B"/>
    <w:rsid w:val="005262F9"/>
    <w:rsid w:val="0053051D"/>
    <w:rsid w:val="0053159A"/>
    <w:rsid w:val="005324E2"/>
    <w:rsid w:val="00534E18"/>
    <w:rsid w:val="00540557"/>
    <w:rsid w:val="00542F67"/>
    <w:rsid w:val="00547D43"/>
    <w:rsid w:val="00547FD2"/>
    <w:rsid w:val="00550432"/>
    <w:rsid w:val="00551649"/>
    <w:rsid w:val="0055328D"/>
    <w:rsid w:val="005578F5"/>
    <w:rsid w:val="00564208"/>
    <w:rsid w:val="00571CEB"/>
    <w:rsid w:val="005749F2"/>
    <w:rsid w:val="00575915"/>
    <w:rsid w:val="005804DF"/>
    <w:rsid w:val="0058142F"/>
    <w:rsid w:val="00582174"/>
    <w:rsid w:val="005823F3"/>
    <w:rsid w:val="005854CD"/>
    <w:rsid w:val="00591951"/>
    <w:rsid w:val="00592311"/>
    <w:rsid w:val="0059249A"/>
    <w:rsid w:val="005A1507"/>
    <w:rsid w:val="005A2D3F"/>
    <w:rsid w:val="005A2D59"/>
    <w:rsid w:val="005A60B6"/>
    <w:rsid w:val="005A7187"/>
    <w:rsid w:val="005B1A77"/>
    <w:rsid w:val="005B4E05"/>
    <w:rsid w:val="005B547A"/>
    <w:rsid w:val="005B7D72"/>
    <w:rsid w:val="005C5D41"/>
    <w:rsid w:val="005C60DD"/>
    <w:rsid w:val="005C6C73"/>
    <w:rsid w:val="005D1F34"/>
    <w:rsid w:val="005D383D"/>
    <w:rsid w:val="005D5B33"/>
    <w:rsid w:val="005E1A28"/>
    <w:rsid w:val="005E2FF9"/>
    <w:rsid w:val="005E3210"/>
    <w:rsid w:val="005E5168"/>
    <w:rsid w:val="005E73EE"/>
    <w:rsid w:val="005F203B"/>
    <w:rsid w:val="005F4888"/>
    <w:rsid w:val="005F6360"/>
    <w:rsid w:val="005F6D5D"/>
    <w:rsid w:val="005F7C0F"/>
    <w:rsid w:val="006006A5"/>
    <w:rsid w:val="00606229"/>
    <w:rsid w:val="00610381"/>
    <w:rsid w:val="00610BAE"/>
    <w:rsid w:val="006148A2"/>
    <w:rsid w:val="00615C98"/>
    <w:rsid w:val="00640478"/>
    <w:rsid w:val="006441ED"/>
    <w:rsid w:val="00645177"/>
    <w:rsid w:val="006468E4"/>
    <w:rsid w:val="006518F5"/>
    <w:rsid w:val="00654793"/>
    <w:rsid w:val="006647AD"/>
    <w:rsid w:val="0066581F"/>
    <w:rsid w:val="00681A56"/>
    <w:rsid w:val="00690F25"/>
    <w:rsid w:val="006924AB"/>
    <w:rsid w:val="006936CC"/>
    <w:rsid w:val="00693839"/>
    <w:rsid w:val="006A6BB3"/>
    <w:rsid w:val="006A6C92"/>
    <w:rsid w:val="006A6EA9"/>
    <w:rsid w:val="006B0398"/>
    <w:rsid w:val="006B12A7"/>
    <w:rsid w:val="006B2D73"/>
    <w:rsid w:val="006C4872"/>
    <w:rsid w:val="006D2E9B"/>
    <w:rsid w:val="006D5EE5"/>
    <w:rsid w:val="006D6540"/>
    <w:rsid w:val="006E062A"/>
    <w:rsid w:val="006E3FD3"/>
    <w:rsid w:val="006E511C"/>
    <w:rsid w:val="006E6D5A"/>
    <w:rsid w:val="006F0D22"/>
    <w:rsid w:val="006F3CB4"/>
    <w:rsid w:val="006F424A"/>
    <w:rsid w:val="006F451B"/>
    <w:rsid w:val="007027C4"/>
    <w:rsid w:val="0071613D"/>
    <w:rsid w:val="00716A02"/>
    <w:rsid w:val="00716B56"/>
    <w:rsid w:val="00720B16"/>
    <w:rsid w:val="00723D41"/>
    <w:rsid w:val="007269A7"/>
    <w:rsid w:val="007278AF"/>
    <w:rsid w:val="007334BF"/>
    <w:rsid w:val="00737C44"/>
    <w:rsid w:val="0074054C"/>
    <w:rsid w:val="007430D3"/>
    <w:rsid w:val="00743727"/>
    <w:rsid w:val="00746A92"/>
    <w:rsid w:val="00750A29"/>
    <w:rsid w:val="0075121A"/>
    <w:rsid w:val="007540BF"/>
    <w:rsid w:val="00760700"/>
    <w:rsid w:val="00763366"/>
    <w:rsid w:val="00765006"/>
    <w:rsid w:val="00765533"/>
    <w:rsid w:val="00766255"/>
    <w:rsid w:val="00770DCB"/>
    <w:rsid w:val="00770DD2"/>
    <w:rsid w:val="00774750"/>
    <w:rsid w:val="00775485"/>
    <w:rsid w:val="007811D8"/>
    <w:rsid w:val="007871B4"/>
    <w:rsid w:val="007872A3"/>
    <w:rsid w:val="00792F2C"/>
    <w:rsid w:val="007A4B90"/>
    <w:rsid w:val="007A6917"/>
    <w:rsid w:val="007B38A1"/>
    <w:rsid w:val="007B7137"/>
    <w:rsid w:val="007C4B47"/>
    <w:rsid w:val="007C5151"/>
    <w:rsid w:val="007D53C2"/>
    <w:rsid w:val="007E0042"/>
    <w:rsid w:val="007E4CCA"/>
    <w:rsid w:val="007E5B88"/>
    <w:rsid w:val="007F0D0B"/>
    <w:rsid w:val="007F12D5"/>
    <w:rsid w:val="007F14C2"/>
    <w:rsid w:val="007F4052"/>
    <w:rsid w:val="008007A8"/>
    <w:rsid w:val="00800DB6"/>
    <w:rsid w:val="008042D9"/>
    <w:rsid w:val="0080555F"/>
    <w:rsid w:val="008056F1"/>
    <w:rsid w:val="0081413D"/>
    <w:rsid w:val="00814B3B"/>
    <w:rsid w:val="00814FC0"/>
    <w:rsid w:val="00822D42"/>
    <w:rsid w:val="0082551B"/>
    <w:rsid w:val="0082586A"/>
    <w:rsid w:val="00826906"/>
    <w:rsid w:val="008450CC"/>
    <w:rsid w:val="00846E74"/>
    <w:rsid w:val="00847594"/>
    <w:rsid w:val="00850754"/>
    <w:rsid w:val="00854C2F"/>
    <w:rsid w:val="00865182"/>
    <w:rsid w:val="008724DE"/>
    <w:rsid w:val="00873DD9"/>
    <w:rsid w:val="00874FDC"/>
    <w:rsid w:val="008808F6"/>
    <w:rsid w:val="00880D10"/>
    <w:rsid w:val="00880D38"/>
    <w:rsid w:val="00882FDE"/>
    <w:rsid w:val="00883044"/>
    <w:rsid w:val="00896F8A"/>
    <w:rsid w:val="008A3D57"/>
    <w:rsid w:val="008B14BC"/>
    <w:rsid w:val="008B23BC"/>
    <w:rsid w:val="008B3F3B"/>
    <w:rsid w:val="008C2BFB"/>
    <w:rsid w:val="008C33DE"/>
    <w:rsid w:val="008E26E3"/>
    <w:rsid w:val="008E3D60"/>
    <w:rsid w:val="008E3F4C"/>
    <w:rsid w:val="008E4198"/>
    <w:rsid w:val="008F474C"/>
    <w:rsid w:val="008F5A18"/>
    <w:rsid w:val="008F6B7B"/>
    <w:rsid w:val="0090165F"/>
    <w:rsid w:val="00901B82"/>
    <w:rsid w:val="0090766A"/>
    <w:rsid w:val="00912B09"/>
    <w:rsid w:val="009233D3"/>
    <w:rsid w:val="00926EAB"/>
    <w:rsid w:val="009278D2"/>
    <w:rsid w:val="00927D7E"/>
    <w:rsid w:val="009300E5"/>
    <w:rsid w:val="00940DF5"/>
    <w:rsid w:val="00942970"/>
    <w:rsid w:val="00942E18"/>
    <w:rsid w:val="0094322B"/>
    <w:rsid w:val="00951106"/>
    <w:rsid w:val="00955DD8"/>
    <w:rsid w:val="009569AC"/>
    <w:rsid w:val="009636A9"/>
    <w:rsid w:val="00966C2F"/>
    <w:rsid w:val="009719BC"/>
    <w:rsid w:val="009721C7"/>
    <w:rsid w:val="00972629"/>
    <w:rsid w:val="0097512B"/>
    <w:rsid w:val="009802CA"/>
    <w:rsid w:val="00980782"/>
    <w:rsid w:val="00985608"/>
    <w:rsid w:val="00992A44"/>
    <w:rsid w:val="00992BCB"/>
    <w:rsid w:val="00996014"/>
    <w:rsid w:val="009A4C66"/>
    <w:rsid w:val="009A70E3"/>
    <w:rsid w:val="009B3C54"/>
    <w:rsid w:val="009B5BFD"/>
    <w:rsid w:val="009B7A19"/>
    <w:rsid w:val="009C152C"/>
    <w:rsid w:val="009C2767"/>
    <w:rsid w:val="009C32D3"/>
    <w:rsid w:val="009C448E"/>
    <w:rsid w:val="009C5876"/>
    <w:rsid w:val="009D1D8C"/>
    <w:rsid w:val="009D4D91"/>
    <w:rsid w:val="009D5646"/>
    <w:rsid w:val="009D67F6"/>
    <w:rsid w:val="009D681E"/>
    <w:rsid w:val="009E0FE1"/>
    <w:rsid w:val="009E2A3C"/>
    <w:rsid w:val="009F00E0"/>
    <w:rsid w:val="00A00A2C"/>
    <w:rsid w:val="00A0406E"/>
    <w:rsid w:val="00A0480C"/>
    <w:rsid w:val="00A11307"/>
    <w:rsid w:val="00A13243"/>
    <w:rsid w:val="00A13AF3"/>
    <w:rsid w:val="00A16729"/>
    <w:rsid w:val="00A207DC"/>
    <w:rsid w:val="00A21388"/>
    <w:rsid w:val="00A21393"/>
    <w:rsid w:val="00A27791"/>
    <w:rsid w:val="00A35E2A"/>
    <w:rsid w:val="00A35E93"/>
    <w:rsid w:val="00A363D0"/>
    <w:rsid w:val="00A41355"/>
    <w:rsid w:val="00A43B92"/>
    <w:rsid w:val="00A54251"/>
    <w:rsid w:val="00A5753E"/>
    <w:rsid w:val="00A6179E"/>
    <w:rsid w:val="00A64316"/>
    <w:rsid w:val="00A66BC1"/>
    <w:rsid w:val="00A67DF8"/>
    <w:rsid w:val="00A70A42"/>
    <w:rsid w:val="00A749D4"/>
    <w:rsid w:val="00A74CAD"/>
    <w:rsid w:val="00A7523B"/>
    <w:rsid w:val="00A77524"/>
    <w:rsid w:val="00A804D9"/>
    <w:rsid w:val="00A81449"/>
    <w:rsid w:val="00A821D7"/>
    <w:rsid w:val="00A83369"/>
    <w:rsid w:val="00A8626F"/>
    <w:rsid w:val="00A87F6C"/>
    <w:rsid w:val="00A92F92"/>
    <w:rsid w:val="00A94CB4"/>
    <w:rsid w:val="00A96892"/>
    <w:rsid w:val="00AA11CC"/>
    <w:rsid w:val="00AA2051"/>
    <w:rsid w:val="00AA5CFC"/>
    <w:rsid w:val="00AB1F86"/>
    <w:rsid w:val="00AB1FD7"/>
    <w:rsid w:val="00AB7604"/>
    <w:rsid w:val="00AC0CF2"/>
    <w:rsid w:val="00AC65EB"/>
    <w:rsid w:val="00AD0A97"/>
    <w:rsid w:val="00AE274F"/>
    <w:rsid w:val="00AF4D46"/>
    <w:rsid w:val="00B0011A"/>
    <w:rsid w:val="00B016FC"/>
    <w:rsid w:val="00B06193"/>
    <w:rsid w:val="00B17C37"/>
    <w:rsid w:val="00B23EAF"/>
    <w:rsid w:val="00B24B1D"/>
    <w:rsid w:val="00B25703"/>
    <w:rsid w:val="00B277E0"/>
    <w:rsid w:val="00B30072"/>
    <w:rsid w:val="00B3193C"/>
    <w:rsid w:val="00B3248F"/>
    <w:rsid w:val="00B34946"/>
    <w:rsid w:val="00B358D1"/>
    <w:rsid w:val="00B35D9E"/>
    <w:rsid w:val="00B35E4E"/>
    <w:rsid w:val="00B40E73"/>
    <w:rsid w:val="00B41E09"/>
    <w:rsid w:val="00B431DF"/>
    <w:rsid w:val="00B44783"/>
    <w:rsid w:val="00B44D4B"/>
    <w:rsid w:val="00B45A53"/>
    <w:rsid w:val="00B4651E"/>
    <w:rsid w:val="00B46743"/>
    <w:rsid w:val="00B46AB5"/>
    <w:rsid w:val="00B519FD"/>
    <w:rsid w:val="00B520BC"/>
    <w:rsid w:val="00B55241"/>
    <w:rsid w:val="00B62E6A"/>
    <w:rsid w:val="00B63275"/>
    <w:rsid w:val="00B63D24"/>
    <w:rsid w:val="00B64C62"/>
    <w:rsid w:val="00B72A73"/>
    <w:rsid w:val="00B75C33"/>
    <w:rsid w:val="00B809A8"/>
    <w:rsid w:val="00B85582"/>
    <w:rsid w:val="00B87D45"/>
    <w:rsid w:val="00B924E6"/>
    <w:rsid w:val="00B934D7"/>
    <w:rsid w:val="00B957F8"/>
    <w:rsid w:val="00B97718"/>
    <w:rsid w:val="00BA02DC"/>
    <w:rsid w:val="00BA262D"/>
    <w:rsid w:val="00BA2D24"/>
    <w:rsid w:val="00BA401E"/>
    <w:rsid w:val="00BA4057"/>
    <w:rsid w:val="00BA5698"/>
    <w:rsid w:val="00BA737C"/>
    <w:rsid w:val="00BB05DE"/>
    <w:rsid w:val="00BB3258"/>
    <w:rsid w:val="00BB47CB"/>
    <w:rsid w:val="00BB709A"/>
    <w:rsid w:val="00BC0576"/>
    <w:rsid w:val="00BC79EB"/>
    <w:rsid w:val="00BD00B3"/>
    <w:rsid w:val="00BD556B"/>
    <w:rsid w:val="00BD6076"/>
    <w:rsid w:val="00BD7D08"/>
    <w:rsid w:val="00BD7FCF"/>
    <w:rsid w:val="00BE21F3"/>
    <w:rsid w:val="00BF6EDE"/>
    <w:rsid w:val="00BF7F88"/>
    <w:rsid w:val="00C02F51"/>
    <w:rsid w:val="00C12C92"/>
    <w:rsid w:val="00C15D60"/>
    <w:rsid w:val="00C16AD0"/>
    <w:rsid w:val="00C2427B"/>
    <w:rsid w:val="00C25BDA"/>
    <w:rsid w:val="00C3029C"/>
    <w:rsid w:val="00C33104"/>
    <w:rsid w:val="00C3563C"/>
    <w:rsid w:val="00C362D5"/>
    <w:rsid w:val="00C42EFF"/>
    <w:rsid w:val="00C5217A"/>
    <w:rsid w:val="00C576DD"/>
    <w:rsid w:val="00C62088"/>
    <w:rsid w:val="00C63606"/>
    <w:rsid w:val="00C6467C"/>
    <w:rsid w:val="00C65BEC"/>
    <w:rsid w:val="00C72B28"/>
    <w:rsid w:val="00C7470F"/>
    <w:rsid w:val="00C7495F"/>
    <w:rsid w:val="00C75117"/>
    <w:rsid w:val="00C854D4"/>
    <w:rsid w:val="00C86EEE"/>
    <w:rsid w:val="00C90556"/>
    <w:rsid w:val="00C96769"/>
    <w:rsid w:val="00CA0D78"/>
    <w:rsid w:val="00CA39C1"/>
    <w:rsid w:val="00CA4855"/>
    <w:rsid w:val="00CA55D7"/>
    <w:rsid w:val="00CA6163"/>
    <w:rsid w:val="00CA6A29"/>
    <w:rsid w:val="00CB24FE"/>
    <w:rsid w:val="00CB532A"/>
    <w:rsid w:val="00CB694C"/>
    <w:rsid w:val="00CD58FD"/>
    <w:rsid w:val="00CD7F1F"/>
    <w:rsid w:val="00CE479C"/>
    <w:rsid w:val="00CF6037"/>
    <w:rsid w:val="00D02B3C"/>
    <w:rsid w:val="00D04D71"/>
    <w:rsid w:val="00D05665"/>
    <w:rsid w:val="00D12806"/>
    <w:rsid w:val="00D13247"/>
    <w:rsid w:val="00D137BC"/>
    <w:rsid w:val="00D13E5E"/>
    <w:rsid w:val="00D13F25"/>
    <w:rsid w:val="00D1741C"/>
    <w:rsid w:val="00D30A61"/>
    <w:rsid w:val="00D32579"/>
    <w:rsid w:val="00D343FA"/>
    <w:rsid w:val="00D35298"/>
    <w:rsid w:val="00D37417"/>
    <w:rsid w:val="00D418FF"/>
    <w:rsid w:val="00D4785B"/>
    <w:rsid w:val="00D561E7"/>
    <w:rsid w:val="00D6256B"/>
    <w:rsid w:val="00D644F3"/>
    <w:rsid w:val="00D645F5"/>
    <w:rsid w:val="00D64E0F"/>
    <w:rsid w:val="00D65C76"/>
    <w:rsid w:val="00D663EE"/>
    <w:rsid w:val="00D678E4"/>
    <w:rsid w:val="00D7025A"/>
    <w:rsid w:val="00D71D08"/>
    <w:rsid w:val="00D729AD"/>
    <w:rsid w:val="00D734C7"/>
    <w:rsid w:val="00D749F8"/>
    <w:rsid w:val="00D77364"/>
    <w:rsid w:val="00D8711E"/>
    <w:rsid w:val="00D96AD0"/>
    <w:rsid w:val="00DA2F73"/>
    <w:rsid w:val="00DA409A"/>
    <w:rsid w:val="00DA56A9"/>
    <w:rsid w:val="00DA56E7"/>
    <w:rsid w:val="00DB03C9"/>
    <w:rsid w:val="00DB702A"/>
    <w:rsid w:val="00DC0A5C"/>
    <w:rsid w:val="00DC32C7"/>
    <w:rsid w:val="00DC407F"/>
    <w:rsid w:val="00DC462F"/>
    <w:rsid w:val="00DC5AAF"/>
    <w:rsid w:val="00DD6A21"/>
    <w:rsid w:val="00DE051F"/>
    <w:rsid w:val="00DE211E"/>
    <w:rsid w:val="00DE2B64"/>
    <w:rsid w:val="00DE60CA"/>
    <w:rsid w:val="00DE77A8"/>
    <w:rsid w:val="00DE7C5E"/>
    <w:rsid w:val="00DF14C0"/>
    <w:rsid w:val="00E01166"/>
    <w:rsid w:val="00E10313"/>
    <w:rsid w:val="00E10C95"/>
    <w:rsid w:val="00E201D2"/>
    <w:rsid w:val="00E224A3"/>
    <w:rsid w:val="00E24FA3"/>
    <w:rsid w:val="00E2650A"/>
    <w:rsid w:val="00E26B28"/>
    <w:rsid w:val="00E276FD"/>
    <w:rsid w:val="00E31465"/>
    <w:rsid w:val="00E31603"/>
    <w:rsid w:val="00E328CD"/>
    <w:rsid w:val="00E34166"/>
    <w:rsid w:val="00E36212"/>
    <w:rsid w:val="00E36B95"/>
    <w:rsid w:val="00E37990"/>
    <w:rsid w:val="00E4003F"/>
    <w:rsid w:val="00E41308"/>
    <w:rsid w:val="00E458F6"/>
    <w:rsid w:val="00E45954"/>
    <w:rsid w:val="00E46A42"/>
    <w:rsid w:val="00E46E43"/>
    <w:rsid w:val="00E561CA"/>
    <w:rsid w:val="00E6007E"/>
    <w:rsid w:val="00E6324B"/>
    <w:rsid w:val="00E6345C"/>
    <w:rsid w:val="00E65D73"/>
    <w:rsid w:val="00E7016F"/>
    <w:rsid w:val="00E72AE1"/>
    <w:rsid w:val="00E8391D"/>
    <w:rsid w:val="00E85A5B"/>
    <w:rsid w:val="00E866D4"/>
    <w:rsid w:val="00E86C4D"/>
    <w:rsid w:val="00E875E6"/>
    <w:rsid w:val="00E93030"/>
    <w:rsid w:val="00E95155"/>
    <w:rsid w:val="00E97CF1"/>
    <w:rsid w:val="00EA44D9"/>
    <w:rsid w:val="00EA654B"/>
    <w:rsid w:val="00EB3573"/>
    <w:rsid w:val="00EB4C9F"/>
    <w:rsid w:val="00EB5BDE"/>
    <w:rsid w:val="00EB5EEF"/>
    <w:rsid w:val="00EB6A76"/>
    <w:rsid w:val="00EB79C1"/>
    <w:rsid w:val="00EC07F8"/>
    <w:rsid w:val="00EC2C3D"/>
    <w:rsid w:val="00EC5173"/>
    <w:rsid w:val="00EC7AA8"/>
    <w:rsid w:val="00ED66AD"/>
    <w:rsid w:val="00EE163E"/>
    <w:rsid w:val="00EE3289"/>
    <w:rsid w:val="00EE607C"/>
    <w:rsid w:val="00EE6521"/>
    <w:rsid w:val="00EE7572"/>
    <w:rsid w:val="00EF00EE"/>
    <w:rsid w:val="00EF05E9"/>
    <w:rsid w:val="00EF422D"/>
    <w:rsid w:val="00EF5E53"/>
    <w:rsid w:val="00EF661D"/>
    <w:rsid w:val="00F01061"/>
    <w:rsid w:val="00F05024"/>
    <w:rsid w:val="00F13BA8"/>
    <w:rsid w:val="00F14C6D"/>
    <w:rsid w:val="00F164A7"/>
    <w:rsid w:val="00F16BC8"/>
    <w:rsid w:val="00F16E3D"/>
    <w:rsid w:val="00F17FD1"/>
    <w:rsid w:val="00F20B5B"/>
    <w:rsid w:val="00F21E7D"/>
    <w:rsid w:val="00F30A88"/>
    <w:rsid w:val="00F333CE"/>
    <w:rsid w:val="00F401C4"/>
    <w:rsid w:val="00F43E1D"/>
    <w:rsid w:val="00F44442"/>
    <w:rsid w:val="00F45E91"/>
    <w:rsid w:val="00F47F87"/>
    <w:rsid w:val="00F5031B"/>
    <w:rsid w:val="00F57BC1"/>
    <w:rsid w:val="00F64139"/>
    <w:rsid w:val="00F64902"/>
    <w:rsid w:val="00F73166"/>
    <w:rsid w:val="00F7448B"/>
    <w:rsid w:val="00F75CD4"/>
    <w:rsid w:val="00F763BE"/>
    <w:rsid w:val="00F7759A"/>
    <w:rsid w:val="00F80C53"/>
    <w:rsid w:val="00F90A2E"/>
    <w:rsid w:val="00F947FA"/>
    <w:rsid w:val="00FA4916"/>
    <w:rsid w:val="00FC2539"/>
    <w:rsid w:val="00FC5DB9"/>
    <w:rsid w:val="00FC6460"/>
    <w:rsid w:val="00FC65A1"/>
    <w:rsid w:val="00FD01B5"/>
    <w:rsid w:val="00FD213C"/>
    <w:rsid w:val="00FD423E"/>
    <w:rsid w:val="00FD4EFD"/>
    <w:rsid w:val="00FD50B7"/>
    <w:rsid w:val="00FE2608"/>
    <w:rsid w:val="00FE54C7"/>
    <w:rsid w:val="00FF2317"/>
    <w:rsid w:val="00FF388C"/>
    <w:rsid w:val="00FF4CD5"/>
    <w:rsid w:val="00FF4DC8"/>
    <w:rsid w:val="00FF7F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BAD991"/>
  <w15:chartTrackingRefBased/>
  <w15:docId w15:val="{F9545886-3013-4B6F-A026-442BB648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endnote text" w:qFormat="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uiPriority="20"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semiHidden="1" w:unhideWhenUsed="1"/>
    <w:lsdException w:name="HTML Variable" w:locked="1"/>
    <w:lsdException w:name="Normal Table" w:semiHidden="1" w:unhideWhenUsed="1"/>
    <w:lsdException w:name="annotation subject" w:locked="1"/>
    <w:lsdException w:name="No List" w:uiPriority="99"/>
    <w:lsdException w:name="Outline List 1" w:lock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e">
    <w:name w:val="Normal"/>
    <w:qFormat/>
    <w:rsid w:val="00C362D5"/>
    <w:pPr>
      <w:keepLines/>
      <w:spacing w:before="240" w:after="240"/>
    </w:pPr>
    <w:rPr>
      <w:rFonts w:ascii="Arial" w:eastAsia="MS Mincho" w:hAnsi="Arial"/>
      <w:sz w:val="24"/>
      <w:szCs w:val="24"/>
    </w:rPr>
  </w:style>
  <w:style w:type="paragraph" w:styleId="Titolo1">
    <w:name w:val="heading 1"/>
    <w:basedOn w:val="Normale"/>
    <w:next w:val="Normale"/>
    <w:link w:val="Titolo1Carattere"/>
    <w:qFormat/>
    <w:rsid w:val="00222517"/>
    <w:pPr>
      <w:keepNext/>
      <w:numPr>
        <w:numId w:val="188"/>
      </w:numPr>
      <w:spacing w:before="360"/>
      <w:outlineLvl w:val="0"/>
    </w:pPr>
    <w:rPr>
      <w:b/>
      <w:bCs/>
      <w:sz w:val="36"/>
      <w:szCs w:val="28"/>
    </w:rPr>
  </w:style>
  <w:style w:type="paragraph" w:styleId="Titolo2">
    <w:name w:val="heading 2"/>
    <w:aliases w:val="Titolo 2 1.1"/>
    <w:basedOn w:val="Titolo1"/>
    <w:next w:val="Normale"/>
    <w:link w:val="Titolo2Carattere"/>
    <w:qFormat/>
    <w:rsid w:val="00095578"/>
    <w:pPr>
      <w:numPr>
        <w:numId w:val="0"/>
      </w:numPr>
      <w:outlineLvl w:val="1"/>
    </w:pPr>
    <w:rPr>
      <w:bCs w:val="0"/>
      <w:color w:val="000000"/>
      <w:sz w:val="28"/>
      <w:szCs w:val="26"/>
    </w:rPr>
  </w:style>
  <w:style w:type="paragraph" w:styleId="Titolo3">
    <w:name w:val="heading 3"/>
    <w:basedOn w:val="Titolo2"/>
    <w:next w:val="Normale"/>
    <w:link w:val="Titolo3Carattere"/>
    <w:qFormat/>
    <w:rsid w:val="00222517"/>
    <w:pPr>
      <w:numPr>
        <w:ilvl w:val="2"/>
        <w:numId w:val="190"/>
      </w:numPr>
      <w:tabs>
        <w:tab w:val="left" w:pos="720"/>
      </w:tabs>
      <w:outlineLvl w:val="2"/>
    </w:pPr>
    <w:rPr>
      <w:bCs/>
      <w:color w:val="auto"/>
      <w:sz w:val="24"/>
    </w:rPr>
  </w:style>
  <w:style w:type="paragraph" w:styleId="Titolo4">
    <w:name w:val="heading 4"/>
    <w:basedOn w:val="Titolo3"/>
    <w:next w:val="Normale"/>
    <w:link w:val="Titolo4Carattere"/>
    <w:qFormat/>
    <w:rsid w:val="00996014"/>
    <w:pPr>
      <w:numPr>
        <w:ilvl w:val="0"/>
        <w:numId w:val="0"/>
      </w:numPr>
      <w:outlineLvl w:val="3"/>
    </w:pPr>
    <w:rPr>
      <w:bCs w:val="0"/>
      <w:iCs/>
    </w:rPr>
  </w:style>
  <w:style w:type="paragraph" w:styleId="Titolo5">
    <w:name w:val="heading 5"/>
    <w:basedOn w:val="Normale"/>
    <w:next w:val="Normale"/>
    <w:link w:val="Titolo5Carattere"/>
    <w:qFormat/>
    <w:locked/>
    <w:rsid w:val="00E37990"/>
    <w:pPr>
      <w:keepNext/>
      <w:spacing w:before="360"/>
      <w:outlineLvl w:val="4"/>
    </w:pPr>
    <w:rPr>
      <w:rFonts w:ascii="Arial Narrow" w:hAnsi="Arial Narrow"/>
      <w:b/>
      <w:color w:val="000000" w:themeColor="text1"/>
      <w:sz w:val="26"/>
    </w:rPr>
  </w:style>
  <w:style w:type="paragraph" w:styleId="Titolo6">
    <w:name w:val="heading 6"/>
    <w:aliases w:val="Appendix"/>
    <w:basedOn w:val="Normale"/>
    <w:next w:val="Normale"/>
    <w:link w:val="Titolo6Carattere"/>
    <w:qFormat/>
    <w:locked/>
    <w:rsid w:val="00222517"/>
    <w:pPr>
      <w:keepNext/>
      <w:numPr>
        <w:ilvl w:val="5"/>
        <w:numId w:val="190"/>
      </w:numPr>
      <w:spacing w:before="200"/>
      <w:outlineLvl w:val="5"/>
    </w:pPr>
    <w:rPr>
      <w:b/>
      <w:bCs/>
    </w:rPr>
  </w:style>
  <w:style w:type="paragraph" w:styleId="Titolo7">
    <w:name w:val="heading 7"/>
    <w:basedOn w:val="Normale"/>
    <w:next w:val="Normale"/>
    <w:link w:val="Titolo7Carattere"/>
    <w:qFormat/>
    <w:locked/>
    <w:rsid w:val="00222517"/>
    <w:pPr>
      <w:keepNext/>
      <w:numPr>
        <w:ilvl w:val="6"/>
        <w:numId w:val="190"/>
      </w:numPr>
      <w:spacing w:before="200"/>
      <w:outlineLvl w:val="6"/>
    </w:pPr>
    <w:rPr>
      <w:rFonts w:ascii="Cambria" w:hAnsi="Cambria"/>
      <w:i/>
      <w:iCs/>
      <w:color w:val="404040"/>
    </w:rPr>
  </w:style>
  <w:style w:type="paragraph" w:styleId="Titolo8">
    <w:name w:val="heading 8"/>
    <w:basedOn w:val="Normale"/>
    <w:next w:val="Normale"/>
    <w:link w:val="Titolo8Carattere"/>
    <w:qFormat/>
    <w:locked/>
    <w:rsid w:val="00222517"/>
    <w:pPr>
      <w:keepNext/>
      <w:numPr>
        <w:ilvl w:val="7"/>
        <w:numId w:val="190"/>
      </w:numPr>
      <w:spacing w:before="200"/>
      <w:outlineLvl w:val="7"/>
    </w:pPr>
    <w:rPr>
      <w:rFonts w:ascii="Cambria" w:hAnsi="Cambria"/>
      <w:color w:val="404040"/>
      <w:sz w:val="20"/>
      <w:szCs w:val="20"/>
    </w:rPr>
  </w:style>
  <w:style w:type="paragraph" w:styleId="Titolo9">
    <w:name w:val="heading 9"/>
    <w:basedOn w:val="Normale"/>
    <w:next w:val="Normale"/>
    <w:link w:val="Titolo9Carattere"/>
    <w:qFormat/>
    <w:locked/>
    <w:rsid w:val="00222517"/>
    <w:pPr>
      <w:keepNext/>
      <w:numPr>
        <w:ilvl w:val="8"/>
        <w:numId w:val="190"/>
      </w:numPr>
      <w:spacing w:before="200"/>
      <w:outlineLvl w:val="8"/>
    </w:pPr>
    <w:rPr>
      <w:rFonts w:ascii="Cambria"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222517"/>
    <w:rPr>
      <w:rFonts w:ascii="Arial" w:eastAsia="MS Mincho" w:hAnsi="Arial"/>
      <w:b/>
      <w:bCs/>
      <w:sz w:val="36"/>
      <w:szCs w:val="28"/>
    </w:rPr>
  </w:style>
  <w:style w:type="character" w:customStyle="1" w:styleId="Titolo2Carattere">
    <w:name w:val="Titolo 2 Carattere"/>
    <w:aliases w:val="Titolo 2 1.1 Carattere"/>
    <w:link w:val="Titolo2"/>
    <w:rsid w:val="00E6345C"/>
    <w:rPr>
      <w:rFonts w:ascii="Arial" w:eastAsia="MS Mincho" w:hAnsi="Arial"/>
      <w:b/>
      <w:color w:val="000000"/>
      <w:sz w:val="28"/>
      <w:szCs w:val="26"/>
    </w:rPr>
  </w:style>
  <w:style w:type="character" w:customStyle="1" w:styleId="Titolo3Carattere">
    <w:name w:val="Titolo 3 Carattere"/>
    <w:link w:val="Titolo3"/>
    <w:rsid w:val="00222517"/>
    <w:rPr>
      <w:rFonts w:ascii="Arial" w:eastAsia="MS Mincho" w:hAnsi="Arial"/>
      <w:b/>
      <w:bCs/>
      <w:sz w:val="24"/>
      <w:szCs w:val="26"/>
    </w:rPr>
  </w:style>
  <w:style w:type="character" w:customStyle="1" w:styleId="Titolo4Carattere">
    <w:name w:val="Titolo 4 Carattere"/>
    <w:link w:val="Titolo4"/>
    <w:rsid w:val="00996014"/>
    <w:rPr>
      <w:rFonts w:ascii="Arial" w:eastAsia="MS Mincho" w:hAnsi="Arial"/>
      <w:b/>
      <w:iCs/>
      <w:sz w:val="24"/>
      <w:szCs w:val="26"/>
    </w:rPr>
  </w:style>
  <w:style w:type="character" w:styleId="Enfasigrassetto">
    <w:name w:val="Strong"/>
    <w:qFormat/>
    <w:locked/>
    <w:rsid w:val="000B0A5D"/>
    <w:rPr>
      <w:b/>
      <w:bCs/>
    </w:rPr>
  </w:style>
  <w:style w:type="character" w:customStyle="1" w:styleId="Titolo5Carattere">
    <w:name w:val="Titolo 5 Carattere"/>
    <w:link w:val="Titolo5"/>
    <w:rsid w:val="00E37990"/>
    <w:rPr>
      <w:rFonts w:ascii="Arial Narrow" w:eastAsia="MS Mincho" w:hAnsi="Arial Narrow"/>
      <w:b/>
      <w:color w:val="000000" w:themeColor="text1"/>
      <w:sz w:val="26"/>
      <w:szCs w:val="24"/>
    </w:rPr>
  </w:style>
  <w:style w:type="character" w:customStyle="1" w:styleId="Titolo6Carattere">
    <w:name w:val="Titolo 6 Carattere"/>
    <w:aliases w:val="Appendix Carattere"/>
    <w:link w:val="Titolo6"/>
    <w:rsid w:val="00222517"/>
    <w:rPr>
      <w:rFonts w:ascii="Arial" w:eastAsia="MS Mincho" w:hAnsi="Arial"/>
      <w:b/>
      <w:bCs/>
      <w:sz w:val="24"/>
      <w:szCs w:val="24"/>
    </w:rPr>
  </w:style>
  <w:style w:type="character" w:customStyle="1" w:styleId="Titolo7Carattere">
    <w:name w:val="Titolo 7 Carattere"/>
    <w:link w:val="Titolo7"/>
    <w:rsid w:val="00222517"/>
    <w:rPr>
      <w:rFonts w:ascii="Cambria" w:eastAsia="MS Mincho" w:hAnsi="Cambria"/>
      <w:i/>
      <w:iCs/>
      <w:color w:val="404040"/>
      <w:sz w:val="24"/>
      <w:szCs w:val="24"/>
    </w:rPr>
  </w:style>
  <w:style w:type="character" w:customStyle="1" w:styleId="Titolo8Carattere">
    <w:name w:val="Titolo 8 Carattere"/>
    <w:link w:val="Titolo8"/>
    <w:rsid w:val="00222517"/>
    <w:rPr>
      <w:rFonts w:ascii="Cambria" w:eastAsia="MS Mincho" w:hAnsi="Cambria"/>
      <w:color w:val="404040"/>
    </w:rPr>
  </w:style>
  <w:style w:type="character" w:customStyle="1" w:styleId="Titolo9Carattere">
    <w:name w:val="Titolo 9 Carattere"/>
    <w:link w:val="Titolo9"/>
    <w:rsid w:val="00222517"/>
    <w:rPr>
      <w:rFonts w:ascii="Cambria" w:eastAsia="MS Mincho" w:hAnsi="Cambria"/>
      <w:i/>
      <w:iCs/>
      <w:color w:val="404040"/>
    </w:rPr>
  </w:style>
  <w:style w:type="paragraph" w:styleId="Intestazione">
    <w:name w:val="header"/>
    <w:basedOn w:val="Normale"/>
    <w:link w:val="IntestazioneCarattere"/>
    <w:semiHidden/>
    <w:rsid w:val="0090165F"/>
    <w:pPr>
      <w:tabs>
        <w:tab w:val="center" w:pos="4513"/>
        <w:tab w:val="right" w:pos="9026"/>
      </w:tabs>
      <w:spacing w:after="0"/>
    </w:pPr>
    <w:rPr>
      <w:sz w:val="22"/>
    </w:rPr>
  </w:style>
  <w:style w:type="character" w:customStyle="1" w:styleId="IntestazioneCarattere">
    <w:name w:val="Intestazione Carattere"/>
    <w:link w:val="Intestazione"/>
    <w:rsid w:val="0090165F"/>
    <w:rPr>
      <w:rFonts w:ascii="Arial" w:hAnsi="Arial"/>
      <w:sz w:val="22"/>
      <w:szCs w:val="24"/>
      <w:lang w:val="en-AU" w:eastAsia="en-AU" w:bidi="ar-SA"/>
    </w:rPr>
  </w:style>
  <w:style w:type="paragraph" w:styleId="Pidipagina">
    <w:name w:val="footer"/>
    <w:basedOn w:val="Normale"/>
    <w:link w:val="PidipaginaCarattere"/>
    <w:uiPriority w:val="99"/>
    <w:semiHidden/>
    <w:rsid w:val="0003606D"/>
    <w:pPr>
      <w:tabs>
        <w:tab w:val="right" w:pos="2835"/>
        <w:tab w:val="right" w:pos="5670"/>
      </w:tabs>
      <w:spacing w:before="0" w:after="60"/>
    </w:pPr>
    <w:rPr>
      <w:color w:val="404040"/>
      <w:sz w:val="18"/>
    </w:rPr>
  </w:style>
  <w:style w:type="character" w:customStyle="1" w:styleId="PidipaginaCarattere">
    <w:name w:val="Piè di pagina Carattere"/>
    <w:link w:val="Pidipagina"/>
    <w:uiPriority w:val="99"/>
    <w:semiHidden/>
    <w:rsid w:val="0003606D"/>
    <w:rPr>
      <w:rFonts w:ascii="Arial" w:eastAsia="MS Mincho" w:hAnsi="Arial"/>
      <w:color w:val="404040"/>
      <w:sz w:val="18"/>
      <w:szCs w:val="24"/>
    </w:rPr>
  </w:style>
  <w:style w:type="paragraph" w:styleId="Sommario3">
    <w:name w:val="toc 3"/>
    <w:basedOn w:val="Normale"/>
    <w:next w:val="Normale"/>
    <w:autoRedefine/>
    <w:uiPriority w:val="39"/>
    <w:qFormat/>
    <w:locked/>
    <w:rsid w:val="009636A9"/>
    <w:pPr>
      <w:tabs>
        <w:tab w:val="left" w:pos="1202"/>
        <w:tab w:val="right" w:leader="dot" w:pos="9060"/>
      </w:tabs>
      <w:spacing w:before="0" w:after="0"/>
      <w:ind w:left="2138" w:hanging="720"/>
    </w:pPr>
    <w:rPr>
      <w:rFonts w:cs="Arial"/>
      <w:noProof/>
      <w:sz w:val="22"/>
    </w:rPr>
  </w:style>
  <w:style w:type="character" w:styleId="Testosegnaposto">
    <w:name w:val="Placeholder Text"/>
    <w:uiPriority w:val="99"/>
    <w:semiHidden/>
    <w:locked/>
    <w:rsid w:val="005D1F34"/>
    <w:rPr>
      <w:color w:val="808080"/>
    </w:rPr>
  </w:style>
  <w:style w:type="paragraph" w:styleId="Elencocontinua4">
    <w:name w:val="List Continue 4"/>
    <w:basedOn w:val="Normale"/>
    <w:semiHidden/>
    <w:locked/>
    <w:rsid w:val="0090165F"/>
    <w:pPr>
      <w:spacing w:after="120"/>
      <w:ind w:left="1132"/>
    </w:pPr>
  </w:style>
  <w:style w:type="numbering" w:styleId="111111">
    <w:name w:val="Outline List 2"/>
    <w:basedOn w:val="Nessunelenco"/>
    <w:semiHidden/>
    <w:locked/>
    <w:rsid w:val="00222517"/>
    <w:pPr>
      <w:numPr>
        <w:numId w:val="11"/>
      </w:numPr>
    </w:pPr>
  </w:style>
  <w:style w:type="paragraph" w:styleId="Sommario1">
    <w:name w:val="toc 1"/>
    <w:basedOn w:val="Normale"/>
    <w:next w:val="Normale"/>
    <w:autoRedefine/>
    <w:uiPriority w:val="39"/>
    <w:qFormat/>
    <w:locked/>
    <w:rsid w:val="009636A9"/>
    <w:pPr>
      <w:tabs>
        <w:tab w:val="right" w:leader="dot" w:pos="9060"/>
      </w:tabs>
      <w:ind w:left="720" w:hanging="720"/>
    </w:pPr>
    <w:rPr>
      <w:b/>
      <w:noProof/>
    </w:rPr>
  </w:style>
  <w:style w:type="paragraph" w:styleId="Sommario2">
    <w:name w:val="toc 2"/>
    <w:basedOn w:val="Normale"/>
    <w:next w:val="Normale"/>
    <w:autoRedefine/>
    <w:uiPriority w:val="39"/>
    <w:qFormat/>
    <w:locked/>
    <w:rsid w:val="009636A9"/>
    <w:pPr>
      <w:tabs>
        <w:tab w:val="right" w:leader="dot" w:pos="9060"/>
      </w:tabs>
      <w:spacing w:before="0" w:after="0"/>
      <w:ind w:left="1440" w:hanging="720"/>
    </w:pPr>
    <w:rPr>
      <w:b/>
      <w:noProof/>
      <w:sz w:val="22"/>
    </w:rPr>
  </w:style>
  <w:style w:type="paragraph" w:styleId="Sommario4">
    <w:name w:val="toc 4"/>
    <w:basedOn w:val="Normale"/>
    <w:next w:val="Normale"/>
    <w:autoRedefine/>
    <w:uiPriority w:val="39"/>
    <w:locked/>
    <w:rsid w:val="009636A9"/>
    <w:pPr>
      <w:tabs>
        <w:tab w:val="left" w:pos="1440"/>
        <w:tab w:val="right" w:leader="dot" w:pos="9060"/>
      </w:tabs>
      <w:spacing w:before="0" w:after="0"/>
      <w:ind w:left="720"/>
    </w:pPr>
    <w:rPr>
      <w:noProof/>
      <w:sz w:val="22"/>
    </w:rPr>
  </w:style>
  <w:style w:type="character" w:styleId="Collegamentoipertestuale">
    <w:name w:val="Hyperlink"/>
    <w:uiPriority w:val="99"/>
    <w:unhideWhenUsed/>
    <w:locked/>
    <w:rsid w:val="00CD7F1F"/>
    <w:rPr>
      <w:color w:val="0083D0"/>
      <w:u w:val="single"/>
    </w:rPr>
  </w:style>
  <w:style w:type="paragraph" w:styleId="Titolosommario">
    <w:name w:val="TOC Heading"/>
    <w:basedOn w:val="Normale"/>
    <w:next w:val="Normale"/>
    <w:uiPriority w:val="39"/>
    <w:qFormat/>
    <w:locked/>
    <w:rsid w:val="005C6C73"/>
    <w:pPr>
      <w:spacing w:before="0" w:after="360"/>
    </w:pPr>
    <w:rPr>
      <w:b/>
      <w:color w:val="000000"/>
      <w:sz w:val="28"/>
      <w:lang w:val="en-US" w:eastAsia="en-US"/>
    </w:rPr>
  </w:style>
  <w:style w:type="paragraph" w:styleId="Testonotadichiusura">
    <w:name w:val="endnote text"/>
    <w:basedOn w:val="Normale"/>
    <w:link w:val="TestonotadichiusuraCarattere"/>
    <w:qFormat/>
    <w:rsid w:val="000E130A"/>
    <w:pPr>
      <w:spacing w:before="0" w:after="0"/>
    </w:pPr>
    <w:rPr>
      <w:sz w:val="20"/>
      <w:szCs w:val="20"/>
    </w:rPr>
  </w:style>
  <w:style w:type="character" w:customStyle="1" w:styleId="TestonotadichiusuraCarattere">
    <w:name w:val="Testo nota di chiusura Carattere"/>
    <w:link w:val="Testonotadichiusura"/>
    <w:rsid w:val="000E130A"/>
    <w:rPr>
      <w:rFonts w:ascii="Arial" w:eastAsia="MS Mincho" w:hAnsi="Arial"/>
      <w:lang w:val="en-AU" w:eastAsia="en-AU" w:bidi="ar-SA"/>
    </w:rPr>
  </w:style>
  <w:style w:type="character" w:styleId="Rimandonotadichiusura">
    <w:name w:val="endnote reference"/>
    <w:rsid w:val="00B87D45"/>
    <w:rPr>
      <w:rFonts w:ascii="Arial" w:hAnsi="Arial"/>
      <w:sz w:val="20"/>
      <w:vertAlign w:val="superscript"/>
    </w:rPr>
  </w:style>
  <w:style w:type="numbering" w:styleId="1ai">
    <w:name w:val="Outline List 1"/>
    <w:basedOn w:val="Nessunelenco"/>
    <w:semiHidden/>
    <w:locked/>
    <w:rsid w:val="00222517"/>
    <w:pPr>
      <w:numPr>
        <w:numId w:val="12"/>
      </w:numPr>
    </w:pPr>
  </w:style>
  <w:style w:type="numbering" w:styleId="ArticoloSezione">
    <w:name w:val="Outline List 3"/>
    <w:basedOn w:val="Nessunelenco"/>
    <w:semiHidden/>
    <w:locked/>
    <w:rsid w:val="00222517"/>
    <w:pPr>
      <w:numPr>
        <w:numId w:val="13"/>
      </w:numPr>
    </w:pPr>
  </w:style>
  <w:style w:type="paragraph" w:styleId="Testodelblocco">
    <w:name w:val="Block Text"/>
    <w:basedOn w:val="Normale"/>
    <w:semiHidden/>
    <w:locked/>
    <w:rsid w:val="00E45954"/>
    <w:pPr>
      <w:spacing w:after="120"/>
      <w:ind w:left="1440" w:right="1440"/>
    </w:pPr>
  </w:style>
  <w:style w:type="paragraph" w:styleId="Corpotesto">
    <w:name w:val="Body Text"/>
    <w:basedOn w:val="Normale"/>
    <w:semiHidden/>
    <w:locked/>
    <w:rsid w:val="00E45954"/>
    <w:pPr>
      <w:spacing w:after="120"/>
    </w:pPr>
  </w:style>
  <w:style w:type="paragraph" w:styleId="Corpodeltesto2">
    <w:name w:val="Body Text 2"/>
    <w:basedOn w:val="Normale"/>
    <w:semiHidden/>
    <w:locked/>
    <w:rsid w:val="00E45954"/>
    <w:pPr>
      <w:spacing w:after="120" w:line="480" w:lineRule="auto"/>
    </w:pPr>
  </w:style>
  <w:style w:type="paragraph" w:styleId="Corpodeltesto3">
    <w:name w:val="Body Text 3"/>
    <w:basedOn w:val="Normale"/>
    <w:semiHidden/>
    <w:locked/>
    <w:rsid w:val="00E45954"/>
    <w:pPr>
      <w:spacing w:after="120"/>
    </w:pPr>
    <w:rPr>
      <w:sz w:val="16"/>
      <w:szCs w:val="16"/>
    </w:rPr>
  </w:style>
  <w:style w:type="paragraph" w:styleId="Primorientrocorpodeltesto">
    <w:name w:val="Body Text First Indent"/>
    <w:basedOn w:val="Corpotesto"/>
    <w:semiHidden/>
    <w:locked/>
    <w:rsid w:val="00E45954"/>
    <w:pPr>
      <w:ind w:firstLine="210"/>
    </w:pPr>
  </w:style>
  <w:style w:type="paragraph" w:styleId="Rientrocorpodeltesto">
    <w:name w:val="Body Text Indent"/>
    <w:basedOn w:val="Normale"/>
    <w:semiHidden/>
    <w:locked/>
    <w:rsid w:val="00E45954"/>
    <w:pPr>
      <w:spacing w:after="120"/>
      <w:ind w:left="283"/>
    </w:pPr>
  </w:style>
  <w:style w:type="paragraph" w:styleId="Primorientrocorpodeltesto2">
    <w:name w:val="Body Text First Indent 2"/>
    <w:basedOn w:val="Rientrocorpodeltesto"/>
    <w:semiHidden/>
    <w:locked/>
    <w:rsid w:val="00E45954"/>
    <w:pPr>
      <w:ind w:firstLine="210"/>
    </w:pPr>
  </w:style>
  <w:style w:type="paragraph" w:styleId="Rientrocorpodeltesto2">
    <w:name w:val="Body Text Indent 2"/>
    <w:basedOn w:val="Normale"/>
    <w:semiHidden/>
    <w:locked/>
    <w:rsid w:val="00E45954"/>
    <w:pPr>
      <w:spacing w:after="120" w:line="480" w:lineRule="auto"/>
      <w:ind w:left="283"/>
    </w:pPr>
  </w:style>
  <w:style w:type="paragraph" w:styleId="Rientrocorpodeltesto3">
    <w:name w:val="Body Text Indent 3"/>
    <w:basedOn w:val="Normale"/>
    <w:semiHidden/>
    <w:locked/>
    <w:rsid w:val="00E45954"/>
    <w:pPr>
      <w:spacing w:after="120"/>
      <w:ind w:left="283"/>
    </w:pPr>
    <w:rPr>
      <w:sz w:val="16"/>
      <w:szCs w:val="16"/>
    </w:rPr>
  </w:style>
  <w:style w:type="paragraph" w:styleId="Formuladichiusura">
    <w:name w:val="Closing"/>
    <w:basedOn w:val="Normale"/>
    <w:semiHidden/>
    <w:locked/>
    <w:rsid w:val="00E45954"/>
    <w:pPr>
      <w:ind w:left="4252"/>
    </w:pPr>
  </w:style>
  <w:style w:type="paragraph" w:styleId="Data">
    <w:name w:val="Date"/>
    <w:basedOn w:val="Normale"/>
    <w:next w:val="Normale"/>
    <w:semiHidden/>
    <w:locked/>
    <w:rsid w:val="00C33104"/>
    <w:pPr>
      <w:spacing w:before="120" w:after="120"/>
      <w:jc w:val="right"/>
    </w:pPr>
    <w:rPr>
      <w:color w:val="595959"/>
      <w:sz w:val="26"/>
    </w:rPr>
  </w:style>
  <w:style w:type="paragraph" w:styleId="Firmadipostaelettronica">
    <w:name w:val="E-mail Signature"/>
    <w:basedOn w:val="Normale"/>
    <w:semiHidden/>
    <w:locked/>
    <w:rsid w:val="00E45954"/>
  </w:style>
  <w:style w:type="character" w:styleId="Enfasicorsivo">
    <w:name w:val="Emphasis"/>
    <w:uiPriority w:val="20"/>
    <w:qFormat/>
    <w:locked/>
    <w:rsid w:val="00E45954"/>
    <w:rPr>
      <w:i/>
      <w:iCs/>
    </w:rPr>
  </w:style>
  <w:style w:type="paragraph" w:styleId="Indirizzodestinatario">
    <w:name w:val="envelope address"/>
    <w:basedOn w:val="Normale"/>
    <w:semiHidden/>
    <w:locked/>
    <w:rsid w:val="000A1DB8"/>
    <w:pPr>
      <w:framePr w:w="7920" w:h="1980" w:hRule="exact" w:hSpace="180" w:wrap="auto" w:hAnchor="page" w:xAlign="center" w:yAlign="bottom"/>
      <w:spacing w:before="0" w:after="0"/>
      <w:ind w:left="2880"/>
    </w:pPr>
    <w:rPr>
      <w:rFonts w:cs="Arial"/>
    </w:rPr>
  </w:style>
  <w:style w:type="paragraph" w:styleId="Indirizzomittente">
    <w:name w:val="envelope return"/>
    <w:basedOn w:val="Normale"/>
    <w:semiHidden/>
    <w:locked/>
    <w:rsid w:val="00E45954"/>
    <w:rPr>
      <w:rFonts w:cs="Arial"/>
      <w:sz w:val="20"/>
      <w:szCs w:val="20"/>
    </w:rPr>
  </w:style>
  <w:style w:type="character" w:styleId="Rimandonotaapidipagina">
    <w:name w:val="footnote reference"/>
    <w:semiHidden/>
    <w:rsid w:val="000A1DB8"/>
    <w:rPr>
      <w:rFonts w:ascii="Arial" w:hAnsi="Arial"/>
      <w:sz w:val="20"/>
      <w:vertAlign w:val="superscript"/>
    </w:rPr>
  </w:style>
  <w:style w:type="paragraph" w:styleId="Testonotaapidipagina">
    <w:name w:val="footnote text"/>
    <w:basedOn w:val="Normale"/>
    <w:link w:val="TestonotaapidipaginaCarattere"/>
    <w:semiHidden/>
    <w:rsid w:val="000E130A"/>
    <w:pPr>
      <w:spacing w:before="0" w:after="0"/>
    </w:pPr>
    <w:rPr>
      <w:sz w:val="20"/>
      <w:szCs w:val="20"/>
    </w:rPr>
  </w:style>
  <w:style w:type="character" w:styleId="AcronimoHTML">
    <w:name w:val="HTML Acronym"/>
    <w:basedOn w:val="Carpredefinitoparagrafo"/>
    <w:semiHidden/>
    <w:locked/>
    <w:rsid w:val="00E45954"/>
  </w:style>
  <w:style w:type="paragraph" w:styleId="IndirizzoHTML">
    <w:name w:val="HTML Address"/>
    <w:basedOn w:val="Normale"/>
    <w:semiHidden/>
    <w:locked/>
    <w:rsid w:val="00E45954"/>
    <w:rPr>
      <w:i/>
      <w:iCs/>
    </w:rPr>
  </w:style>
  <w:style w:type="character" w:styleId="CitazioneHTML">
    <w:name w:val="HTML Cite"/>
    <w:semiHidden/>
    <w:locked/>
    <w:rsid w:val="00E45954"/>
    <w:rPr>
      <w:i/>
      <w:iCs/>
    </w:rPr>
  </w:style>
  <w:style w:type="character" w:styleId="CodiceHTML">
    <w:name w:val="HTML Code"/>
    <w:semiHidden/>
    <w:locked/>
    <w:rsid w:val="00E45954"/>
    <w:rPr>
      <w:rFonts w:ascii="Courier New" w:hAnsi="Courier New" w:cs="Courier New"/>
      <w:sz w:val="20"/>
      <w:szCs w:val="20"/>
    </w:rPr>
  </w:style>
  <w:style w:type="character" w:styleId="DefinizioneHTML">
    <w:name w:val="HTML Definition"/>
    <w:semiHidden/>
    <w:locked/>
    <w:rsid w:val="00E45954"/>
    <w:rPr>
      <w:i/>
      <w:iCs/>
    </w:rPr>
  </w:style>
  <w:style w:type="character" w:styleId="TastieraHTML">
    <w:name w:val="HTML Keyboard"/>
    <w:semiHidden/>
    <w:locked/>
    <w:rsid w:val="00E45954"/>
    <w:rPr>
      <w:rFonts w:ascii="Courier New" w:hAnsi="Courier New" w:cs="Courier New"/>
      <w:sz w:val="20"/>
      <w:szCs w:val="20"/>
    </w:rPr>
  </w:style>
  <w:style w:type="paragraph" w:styleId="PreformattatoHTML">
    <w:name w:val="HTML Preformatted"/>
    <w:basedOn w:val="Normale"/>
    <w:semiHidden/>
    <w:locked/>
    <w:rsid w:val="00E45954"/>
    <w:rPr>
      <w:rFonts w:ascii="Courier New" w:hAnsi="Courier New" w:cs="Courier New"/>
      <w:sz w:val="20"/>
      <w:szCs w:val="20"/>
    </w:rPr>
  </w:style>
  <w:style w:type="character" w:styleId="EsempioHTML">
    <w:name w:val="HTML Sample"/>
    <w:semiHidden/>
    <w:locked/>
    <w:rsid w:val="00E45954"/>
    <w:rPr>
      <w:rFonts w:ascii="Courier New" w:hAnsi="Courier New" w:cs="Courier New"/>
    </w:rPr>
  </w:style>
  <w:style w:type="character" w:styleId="MacchinadascrivereHTML">
    <w:name w:val="HTML Typewriter"/>
    <w:semiHidden/>
    <w:locked/>
    <w:rsid w:val="00E45954"/>
    <w:rPr>
      <w:rFonts w:ascii="Courier New" w:hAnsi="Courier New" w:cs="Courier New"/>
      <w:sz w:val="20"/>
      <w:szCs w:val="20"/>
    </w:rPr>
  </w:style>
  <w:style w:type="character" w:styleId="VariabileHTML">
    <w:name w:val="HTML Variable"/>
    <w:semiHidden/>
    <w:locked/>
    <w:rsid w:val="00E45954"/>
    <w:rPr>
      <w:i/>
      <w:iCs/>
    </w:rPr>
  </w:style>
  <w:style w:type="character" w:styleId="Numeroriga">
    <w:name w:val="line number"/>
    <w:basedOn w:val="Carpredefinitoparagrafo"/>
    <w:semiHidden/>
    <w:locked/>
    <w:rsid w:val="00E45954"/>
  </w:style>
  <w:style w:type="paragraph" w:styleId="Elenco">
    <w:name w:val="List"/>
    <w:basedOn w:val="Normale"/>
    <w:semiHidden/>
    <w:locked/>
    <w:rsid w:val="00E45954"/>
    <w:pPr>
      <w:ind w:left="283" w:hanging="283"/>
    </w:pPr>
  </w:style>
  <w:style w:type="paragraph" w:styleId="Elenco2">
    <w:name w:val="List 2"/>
    <w:basedOn w:val="Normale"/>
    <w:semiHidden/>
    <w:locked/>
    <w:rsid w:val="00E45954"/>
    <w:pPr>
      <w:ind w:left="566" w:hanging="283"/>
    </w:pPr>
  </w:style>
  <w:style w:type="paragraph" w:styleId="Elenco3">
    <w:name w:val="List 3"/>
    <w:basedOn w:val="Normale"/>
    <w:semiHidden/>
    <w:locked/>
    <w:rsid w:val="00E45954"/>
    <w:pPr>
      <w:ind w:left="849" w:hanging="283"/>
    </w:pPr>
  </w:style>
  <w:style w:type="paragraph" w:styleId="Elenco4">
    <w:name w:val="List 4"/>
    <w:basedOn w:val="Normale"/>
    <w:semiHidden/>
    <w:locked/>
    <w:rsid w:val="00E45954"/>
    <w:pPr>
      <w:ind w:left="1132" w:hanging="283"/>
    </w:pPr>
  </w:style>
  <w:style w:type="paragraph" w:styleId="Elenco5">
    <w:name w:val="List 5"/>
    <w:basedOn w:val="Normale"/>
    <w:semiHidden/>
    <w:locked/>
    <w:rsid w:val="00E45954"/>
    <w:pPr>
      <w:ind w:left="1415" w:hanging="283"/>
    </w:pPr>
  </w:style>
  <w:style w:type="paragraph" w:styleId="Puntoelenco">
    <w:name w:val="List Bullet"/>
    <w:basedOn w:val="Normale"/>
    <w:semiHidden/>
    <w:locked/>
    <w:rsid w:val="00222517"/>
    <w:pPr>
      <w:numPr>
        <w:numId w:val="1"/>
      </w:numPr>
    </w:pPr>
  </w:style>
  <w:style w:type="paragraph" w:styleId="Puntoelenco2">
    <w:name w:val="List Bullet 2"/>
    <w:aliases w:val="List Bullet 2 (Quotes)"/>
    <w:basedOn w:val="Normale"/>
    <w:semiHidden/>
    <w:locked/>
    <w:rsid w:val="00222517"/>
    <w:pPr>
      <w:numPr>
        <w:numId w:val="2"/>
      </w:numPr>
    </w:pPr>
  </w:style>
  <w:style w:type="paragraph" w:styleId="Puntoelenco3">
    <w:name w:val="List Bullet 3"/>
    <w:basedOn w:val="Normale"/>
    <w:semiHidden/>
    <w:locked/>
    <w:rsid w:val="00222517"/>
    <w:pPr>
      <w:numPr>
        <w:numId w:val="3"/>
      </w:numPr>
    </w:pPr>
  </w:style>
  <w:style w:type="paragraph" w:styleId="Puntoelenco4">
    <w:name w:val="List Bullet 4"/>
    <w:basedOn w:val="Normale"/>
    <w:semiHidden/>
    <w:locked/>
    <w:rsid w:val="00222517"/>
    <w:pPr>
      <w:numPr>
        <w:numId w:val="4"/>
      </w:numPr>
    </w:pPr>
  </w:style>
  <w:style w:type="paragraph" w:styleId="Puntoelenco5">
    <w:name w:val="List Bullet 5"/>
    <w:basedOn w:val="Normale"/>
    <w:semiHidden/>
    <w:locked/>
    <w:rsid w:val="00222517"/>
    <w:pPr>
      <w:numPr>
        <w:numId w:val="5"/>
      </w:numPr>
    </w:pPr>
  </w:style>
  <w:style w:type="paragraph" w:styleId="Elencocontinua">
    <w:name w:val="List Continue"/>
    <w:basedOn w:val="Normale"/>
    <w:semiHidden/>
    <w:locked/>
    <w:rsid w:val="00E45954"/>
    <w:pPr>
      <w:spacing w:after="120"/>
      <w:ind w:left="283"/>
    </w:pPr>
  </w:style>
  <w:style w:type="paragraph" w:styleId="Elencocontinua2">
    <w:name w:val="List Continue 2"/>
    <w:basedOn w:val="Normale"/>
    <w:semiHidden/>
    <w:locked/>
    <w:rsid w:val="00E45954"/>
    <w:pPr>
      <w:spacing w:after="120"/>
      <w:ind w:left="566"/>
    </w:pPr>
  </w:style>
  <w:style w:type="paragraph" w:styleId="Elencocontinua3">
    <w:name w:val="List Continue 3"/>
    <w:basedOn w:val="Normale"/>
    <w:semiHidden/>
    <w:locked/>
    <w:rsid w:val="00E45954"/>
    <w:pPr>
      <w:spacing w:after="120"/>
      <w:ind w:left="849"/>
    </w:pPr>
  </w:style>
  <w:style w:type="paragraph" w:styleId="Elencocontinua5">
    <w:name w:val="List Continue 5"/>
    <w:basedOn w:val="Normale"/>
    <w:semiHidden/>
    <w:locked/>
    <w:rsid w:val="00E45954"/>
    <w:pPr>
      <w:spacing w:after="120"/>
      <w:ind w:left="1415"/>
    </w:pPr>
  </w:style>
  <w:style w:type="paragraph" w:styleId="Numeroelenco">
    <w:name w:val="List Number"/>
    <w:basedOn w:val="Normale"/>
    <w:semiHidden/>
    <w:locked/>
    <w:rsid w:val="00222517"/>
    <w:pPr>
      <w:numPr>
        <w:numId w:val="6"/>
      </w:numPr>
    </w:pPr>
  </w:style>
  <w:style w:type="paragraph" w:styleId="Numeroelenco2">
    <w:name w:val="List Number 2"/>
    <w:basedOn w:val="Normale"/>
    <w:semiHidden/>
    <w:locked/>
    <w:rsid w:val="00222517"/>
    <w:pPr>
      <w:numPr>
        <w:numId w:val="9"/>
      </w:numPr>
    </w:pPr>
  </w:style>
  <w:style w:type="paragraph" w:styleId="Numeroelenco3">
    <w:name w:val="List Number 3"/>
    <w:basedOn w:val="Normale"/>
    <w:semiHidden/>
    <w:locked/>
    <w:rsid w:val="00222517"/>
    <w:pPr>
      <w:numPr>
        <w:numId w:val="10"/>
      </w:numPr>
    </w:pPr>
  </w:style>
  <w:style w:type="paragraph" w:styleId="Numeroelenco4">
    <w:name w:val="List Number 4"/>
    <w:basedOn w:val="Normale"/>
    <w:locked/>
    <w:rsid w:val="00222517"/>
    <w:pPr>
      <w:numPr>
        <w:numId w:val="7"/>
      </w:numPr>
    </w:pPr>
  </w:style>
  <w:style w:type="paragraph" w:styleId="Numeroelenco5">
    <w:name w:val="List Number 5"/>
    <w:basedOn w:val="Normale"/>
    <w:semiHidden/>
    <w:locked/>
    <w:rsid w:val="00222517"/>
    <w:pPr>
      <w:numPr>
        <w:numId w:val="8"/>
      </w:numPr>
    </w:pPr>
  </w:style>
  <w:style w:type="paragraph" w:styleId="Intestazionemessaggio">
    <w:name w:val="Message Header"/>
    <w:basedOn w:val="Normale"/>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uiPriority w:val="99"/>
    <w:locked/>
    <w:rsid w:val="00E45954"/>
    <w:rPr>
      <w:rFonts w:ascii="Times New Roman" w:hAnsi="Times New Roman"/>
    </w:rPr>
  </w:style>
  <w:style w:type="paragraph" w:styleId="Rientronormale">
    <w:name w:val="Normal Indent"/>
    <w:basedOn w:val="Normale"/>
    <w:semiHidden/>
    <w:locked/>
    <w:rsid w:val="00E45954"/>
    <w:pPr>
      <w:ind w:left="720"/>
    </w:pPr>
  </w:style>
  <w:style w:type="paragraph" w:styleId="Intestazionenota">
    <w:name w:val="Note Heading"/>
    <w:basedOn w:val="Normale"/>
    <w:next w:val="Normale"/>
    <w:semiHidden/>
    <w:locked/>
    <w:rsid w:val="00E45954"/>
  </w:style>
  <w:style w:type="character" w:styleId="Numeropagina">
    <w:name w:val="page number"/>
    <w:basedOn w:val="Carpredefinitoparagrafo"/>
    <w:semiHidden/>
    <w:locked/>
    <w:rsid w:val="00E45954"/>
  </w:style>
  <w:style w:type="paragraph" w:styleId="Testonormale">
    <w:name w:val="Plain Text"/>
    <w:basedOn w:val="Normale"/>
    <w:semiHidden/>
    <w:locked/>
    <w:rsid w:val="00E45954"/>
    <w:rPr>
      <w:rFonts w:ascii="Courier New" w:hAnsi="Courier New" w:cs="Courier New"/>
      <w:sz w:val="20"/>
      <w:szCs w:val="20"/>
    </w:rPr>
  </w:style>
  <w:style w:type="paragraph" w:styleId="Formuladiapertura">
    <w:name w:val="Salutation"/>
    <w:basedOn w:val="Normale"/>
    <w:next w:val="Normale"/>
    <w:semiHidden/>
    <w:locked/>
    <w:rsid w:val="00E45954"/>
  </w:style>
  <w:style w:type="paragraph" w:styleId="Firma">
    <w:name w:val="Signature"/>
    <w:basedOn w:val="Normale"/>
    <w:semiHidden/>
    <w:locked/>
    <w:rsid w:val="00E45954"/>
    <w:pPr>
      <w:ind w:left="4252"/>
    </w:pPr>
  </w:style>
  <w:style w:type="table" w:styleId="Tabellaeffetti3D1">
    <w:name w:val="Table 3D effects 1"/>
    <w:basedOn w:val="Tabellanormale"/>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qFormat/>
    <w:locked/>
    <w:rsid w:val="00E45954"/>
    <w:pPr>
      <w:spacing w:after="60"/>
      <w:jc w:val="center"/>
      <w:outlineLvl w:val="0"/>
    </w:pPr>
    <w:rPr>
      <w:rFonts w:cs="Arial"/>
      <w:b/>
      <w:bCs/>
      <w:kern w:val="28"/>
      <w:sz w:val="32"/>
      <w:szCs w:val="32"/>
    </w:rPr>
  </w:style>
  <w:style w:type="character" w:styleId="Collegamentovisitato">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e"/>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Intestazione"/>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Testofumetto">
    <w:name w:val="Balloon Text"/>
    <w:basedOn w:val="Normale"/>
    <w:link w:val="TestofumettoCarattere"/>
    <w:semiHidden/>
    <w:locked/>
    <w:rsid w:val="00A96892"/>
    <w:pPr>
      <w:spacing w:before="0" w:after="0"/>
    </w:pPr>
    <w:rPr>
      <w:rFonts w:ascii="Tahoma" w:hAnsi="Tahoma" w:cs="Tahoma"/>
      <w:sz w:val="16"/>
      <w:szCs w:val="16"/>
    </w:rPr>
  </w:style>
  <w:style w:type="character" w:customStyle="1" w:styleId="TestofumettoCarattere">
    <w:name w:val="Testo fumetto Carattere"/>
    <w:link w:val="Testofumetto"/>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locked/>
    <w:rsid w:val="00EB6A76"/>
    <w:rPr>
      <w:rFonts w:ascii="Arial" w:hAnsi="Arial"/>
      <w:lang w:bidi="ar-SA"/>
    </w:rPr>
  </w:style>
  <w:style w:type="paragraph" w:customStyle="1" w:styleId="SubmissionNormal">
    <w:name w:val="Submission Normal"/>
    <w:basedOn w:val="Normale"/>
    <w:link w:val="SubmissionNormalChar"/>
    <w:rsid w:val="00222517"/>
    <w:pPr>
      <w:numPr>
        <w:numId w:val="14"/>
      </w:numPr>
      <w:tabs>
        <w:tab w:val="clear" w:pos="720"/>
      </w:tabs>
      <w:ind w:hanging="720"/>
    </w:pPr>
    <w:rPr>
      <w:rFonts w:eastAsia="Times New Roman"/>
    </w:rPr>
  </w:style>
  <w:style w:type="character" w:customStyle="1" w:styleId="SubmissionNormalChar">
    <w:name w:val="Submission Normal Char"/>
    <w:link w:val="SubmissionNormal"/>
    <w:rsid w:val="00222517"/>
    <w:rPr>
      <w:rFonts w:ascii="Arial" w:hAnsi="Arial"/>
      <w:sz w:val="24"/>
      <w:szCs w:val="24"/>
    </w:rPr>
  </w:style>
  <w:style w:type="paragraph" w:customStyle="1" w:styleId="coveraddresses">
    <w:name w:val="cover addresses"/>
    <w:basedOn w:val="Pidipagina"/>
    <w:qFormat/>
    <w:rsid w:val="0003606D"/>
    <w:pPr>
      <w:spacing w:after="40"/>
    </w:pPr>
    <w:rPr>
      <w:sz w:val="16"/>
      <w:szCs w:val="16"/>
    </w:rPr>
  </w:style>
  <w:style w:type="paragraph" w:styleId="Bibliografia">
    <w:name w:val="Bibliography"/>
    <w:basedOn w:val="Normale"/>
    <w:next w:val="Normale"/>
    <w:uiPriority w:val="37"/>
    <w:semiHidden/>
    <w:unhideWhenUsed/>
    <w:rsid w:val="007871B4"/>
  </w:style>
  <w:style w:type="character" w:customStyle="1" w:styleId="ParagrafoelencoCarattere">
    <w:name w:val="Paragrafo elenco Carattere"/>
    <w:aliases w:val="List Paragraph1 Carattere,Recommendation Carattere,List Paragraph11 Carattere,Bullet point Carattere,Bullets Carattere,NAST Quote Carattere,L Carattere,CV text Carattere,Table text Carattere,F5 List Paragraph Carattere"/>
    <w:link w:val="Paragrafoelenco"/>
    <w:uiPriority w:val="34"/>
    <w:qFormat/>
    <w:locked/>
    <w:rsid w:val="00D137BC"/>
    <w:rPr>
      <w:rFonts w:ascii="Arial" w:eastAsia="MS Mincho" w:hAnsi="Arial" w:cs="Arial"/>
      <w:sz w:val="24"/>
      <w:szCs w:val="24"/>
    </w:rPr>
  </w:style>
  <w:style w:type="paragraph" w:styleId="Paragrafoelenco">
    <w:name w:val="List Paragraph"/>
    <w:aliases w:val="List Paragraph1,Recommendation,List Paragraph11,Bullet point,Bullets,NAST Quote,L,CV text,Table text,F5 List Paragraph,Dot pt,List Paragraph111,Medium Grid 1 - Accent 21,Numbered Paragraph,List Paragraph2,NFP GP Bulleted List,FooterText"/>
    <w:basedOn w:val="Normale"/>
    <w:link w:val="ParagrafoelencoCarattere"/>
    <w:uiPriority w:val="34"/>
    <w:qFormat/>
    <w:rsid w:val="00D137BC"/>
    <w:pPr>
      <w:ind w:left="720"/>
      <w:contextualSpacing/>
      <w:jc w:val="both"/>
    </w:pPr>
    <w:rPr>
      <w:rFonts w:cs="Arial"/>
    </w:rPr>
  </w:style>
  <w:style w:type="paragraph" w:customStyle="1" w:styleId="41">
    <w:name w:val="4.1"/>
    <w:basedOn w:val="Titolo2"/>
    <w:qFormat/>
    <w:rsid w:val="00222517"/>
    <w:pPr>
      <w:numPr>
        <w:numId w:val="203"/>
      </w:numPr>
    </w:pPr>
  </w:style>
  <w:style w:type="paragraph" w:customStyle="1" w:styleId="Bodyparagraph">
    <w:name w:val="Body paragraph"/>
    <w:basedOn w:val="Normale"/>
    <w:autoRedefine/>
    <w:qFormat/>
    <w:rsid w:val="004E5868"/>
    <w:pPr>
      <w:spacing w:before="0" w:after="0"/>
    </w:pPr>
    <w:rPr>
      <w:rFonts w:eastAsiaTheme="minorHAnsi" w:cs="Arial"/>
      <w:i/>
      <w:lang w:eastAsia="en-US"/>
    </w:rPr>
  </w:style>
  <w:style w:type="character" w:styleId="Titolodellibro">
    <w:name w:val="Book Title"/>
    <w:uiPriority w:val="33"/>
    <w:qFormat/>
    <w:rsid w:val="00F43E1D"/>
  </w:style>
  <w:style w:type="character" w:styleId="Rimandocommento">
    <w:name w:val="annotation reference"/>
    <w:basedOn w:val="Carpredefinitoparagrafo"/>
    <w:unhideWhenUsed/>
    <w:locked/>
    <w:rsid w:val="00720B16"/>
    <w:rPr>
      <w:sz w:val="16"/>
      <w:szCs w:val="16"/>
    </w:rPr>
  </w:style>
  <w:style w:type="paragraph" w:styleId="Testocommento">
    <w:name w:val="annotation text"/>
    <w:basedOn w:val="Normale"/>
    <w:link w:val="TestocommentoCarattere"/>
    <w:unhideWhenUsed/>
    <w:locked/>
    <w:rsid w:val="005749F2"/>
    <w:rPr>
      <w:rFonts w:eastAsia="Times New Roman"/>
      <w:sz w:val="20"/>
      <w:szCs w:val="20"/>
    </w:rPr>
  </w:style>
  <w:style w:type="character" w:customStyle="1" w:styleId="TestocommentoCarattere">
    <w:name w:val="Testo commento Carattere"/>
    <w:basedOn w:val="Carpredefinitoparagrafo"/>
    <w:link w:val="Testocommento"/>
    <w:rsid w:val="005749F2"/>
    <w:rPr>
      <w:rFonts w:ascii="Arial" w:hAnsi="Arial"/>
    </w:rPr>
  </w:style>
  <w:style w:type="numbering" w:customStyle="1" w:styleId="StyleNumbered">
    <w:name w:val="Style Numbered"/>
    <w:basedOn w:val="Nessunelenco"/>
    <w:semiHidden/>
    <w:rsid w:val="00222517"/>
    <w:pPr>
      <w:numPr>
        <w:numId w:val="44"/>
      </w:numPr>
    </w:pPr>
  </w:style>
  <w:style w:type="paragraph" w:customStyle="1" w:styleId="Contactdetails">
    <w:name w:val="Contact details"/>
    <w:basedOn w:val="Normale"/>
    <w:semiHidden/>
    <w:rsid w:val="001024BD"/>
    <w:pPr>
      <w:keepNext/>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eastAsia="Times New Roman" w:hAnsi="ArialMT" w:cs="ArialMT"/>
      <w:sz w:val="20"/>
      <w:lang w:val="en-US" w:bidi="en-US"/>
    </w:rPr>
  </w:style>
  <w:style w:type="character" w:customStyle="1" w:styleId="CharChar9">
    <w:name w:val="Char Char9"/>
    <w:basedOn w:val="Carpredefinitoparagrafo"/>
    <w:semiHidden/>
    <w:locked/>
    <w:rsid w:val="001024BD"/>
    <w:rPr>
      <w:rFonts w:ascii="Arial" w:hAnsi="Arial"/>
      <w:bCs/>
      <w:i/>
      <w:sz w:val="24"/>
      <w:szCs w:val="26"/>
      <w:lang w:val="en-AU" w:eastAsia="en-AU" w:bidi="ar-SA"/>
    </w:rPr>
  </w:style>
  <w:style w:type="character" w:customStyle="1" w:styleId="CharChar8">
    <w:name w:val="Char Char8"/>
    <w:basedOn w:val="Carpredefinitoparagrafo"/>
    <w:semiHidden/>
    <w:locked/>
    <w:rsid w:val="001024BD"/>
    <w:rPr>
      <w:rFonts w:ascii="Arial" w:hAnsi="Arial"/>
      <w:iCs/>
      <w:sz w:val="24"/>
      <w:szCs w:val="26"/>
      <w:lang w:val="en-AU" w:eastAsia="en-AU" w:bidi="ar-SA"/>
    </w:rPr>
  </w:style>
  <w:style w:type="character" w:customStyle="1" w:styleId="TestonotaapidipaginaCarattere">
    <w:name w:val="Testo nota a piè di pagina Carattere"/>
    <w:basedOn w:val="Carpredefinitoparagrafo"/>
    <w:link w:val="Testonotaapidipagina"/>
    <w:semiHidden/>
    <w:locked/>
    <w:rsid w:val="001024BD"/>
    <w:rPr>
      <w:rFonts w:ascii="Arial" w:eastAsia="MS Mincho" w:hAnsi="Arial"/>
    </w:rPr>
  </w:style>
  <w:style w:type="character" w:customStyle="1" w:styleId="CCYPfootnotetextChar">
    <w:name w:val="CCYP footnote text Char"/>
    <w:link w:val="CCYPfootnotetext"/>
    <w:uiPriority w:val="99"/>
    <w:locked/>
    <w:rsid w:val="00A35E2A"/>
    <w:rPr>
      <w:rFonts w:ascii="Open Sans" w:eastAsia="MS ??" w:hAnsi="Open Sans"/>
      <w:sz w:val="16"/>
    </w:rPr>
  </w:style>
  <w:style w:type="paragraph" w:customStyle="1" w:styleId="CCYPfootnotetext">
    <w:name w:val="CCYP footnote text"/>
    <w:basedOn w:val="Testonotaapidipagina"/>
    <w:link w:val="CCYPfootnotetextChar"/>
    <w:uiPriority w:val="99"/>
    <w:rsid w:val="00A35E2A"/>
    <w:pPr>
      <w:spacing w:line="256" w:lineRule="auto"/>
      <w:ind w:left="426" w:hanging="426"/>
    </w:pPr>
    <w:rPr>
      <w:rFonts w:ascii="Open Sans" w:eastAsia="MS ??" w:hAnsi="Open Sans"/>
      <w:sz w:val="16"/>
    </w:rPr>
  </w:style>
  <w:style w:type="character" w:customStyle="1" w:styleId="CCYPlistChar">
    <w:name w:val="CCYP list Char"/>
    <w:link w:val="CCYPlist"/>
    <w:uiPriority w:val="99"/>
    <w:locked/>
    <w:rsid w:val="00222517"/>
    <w:rPr>
      <w:rFonts w:ascii="Open Sans" w:eastAsia="MyriadPro-Regular" w:hAnsi="Open Sans"/>
    </w:rPr>
  </w:style>
  <w:style w:type="paragraph" w:customStyle="1" w:styleId="CCYPlist">
    <w:name w:val="CCYP list"/>
    <w:link w:val="CCYPlistChar"/>
    <w:uiPriority w:val="99"/>
    <w:rsid w:val="00222517"/>
    <w:pPr>
      <w:numPr>
        <w:numId w:val="46"/>
      </w:numPr>
      <w:spacing w:before="120" w:after="120" w:line="276" w:lineRule="auto"/>
    </w:pPr>
    <w:rPr>
      <w:rFonts w:ascii="Open Sans" w:eastAsia="MyriadPro-Regular" w:hAnsi="Open Sans"/>
    </w:rPr>
  </w:style>
  <w:style w:type="paragraph" w:customStyle="1" w:styleId="CCYPtabletext">
    <w:name w:val="CCYP table text"/>
    <w:basedOn w:val="Normale"/>
    <w:uiPriority w:val="99"/>
    <w:rsid w:val="00A35E2A"/>
    <w:pPr>
      <w:spacing w:before="0" w:after="0"/>
    </w:pPr>
    <w:rPr>
      <w:rFonts w:ascii="Open Sans" w:eastAsia="MyriadPro-Regular" w:hAnsi="Open Sans"/>
      <w:sz w:val="18"/>
      <w:szCs w:val="18"/>
    </w:rPr>
  </w:style>
  <w:style w:type="numbering" w:customStyle="1" w:styleId="CCYPnumberedparas">
    <w:name w:val="CCYP numbered paras"/>
    <w:rsid w:val="00222517"/>
    <w:pPr>
      <w:numPr>
        <w:numId w:val="46"/>
      </w:numPr>
    </w:pPr>
  </w:style>
  <w:style w:type="paragraph" w:customStyle="1" w:styleId="PrecNameCover">
    <w:name w:val="PrecNameCover"/>
    <w:basedOn w:val="Normale"/>
    <w:next w:val="Normale"/>
    <w:rsid w:val="00AF4D46"/>
    <w:pPr>
      <w:spacing w:before="0" w:line="260" w:lineRule="atLeast"/>
      <w:ind w:left="57"/>
    </w:pPr>
    <w:rPr>
      <w:rFonts w:ascii="Garamond" w:eastAsia="Times New Roman" w:hAnsi="Garamond" w:cs="Arial"/>
      <w:sz w:val="64"/>
      <w:szCs w:val="20"/>
      <w:lang w:eastAsia="en-US"/>
    </w:rPr>
  </w:style>
  <w:style w:type="table" w:customStyle="1" w:styleId="KWMTableCyan">
    <w:name w:val="KWM Table Cyan"/>
    <w:basedOn w:val="Tabellanormale"/>
    <w:uiPriority w:val="99"/>
    <w:rsid w:val="00AF4D46"/>
    <w:pPr>
      <w:spacing w:before="120" w:after="120"/>
    </w:pPr>
    <w:rPr>
      <w:rFonts w:ascii="Arial" w:hAnsi="Arial"/>
      <w:sz w:val="18"/>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42" w:type="dxa"/>
        <w:right w:w="142" w:type="dxa"/>
      </w:tblCellMar>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color w:val="FFFFFF" w:themeColor="background1"/>
        <w:sz w:val="20"/>
      </w:rPr>
      <w:tblPr/>
      <w:trPr>
        <w:tblHeader/>
      </w:trPr>
      <w:tcPr>
        <w:shd w:val="clear" w:color="auto" w:fill="00B9F2"/>
        <w:vAlign w:val="bottom"/>
      </w:tcPr>
    </w:tblStylePr>
    <w:tblStylePr w:type="lastRow">
      <w:pPr>
        <w:wordWrap/>
        <w:spacing w:beforeLines="0" w:before="120" w:beforeAutospacing="0" w:afterLines="0" w:after="120" w:afterAutospacing="0" w:line="240" w:lineRule="auto"/>
      </w:pPr>
      <w:rPr>
        <w:rFonts w:ascii="Arial" w:hAnsi="Arial"/>
        <w:b/>
        <w:color w:val="FFFFFF" w:themeColor="background1"/>
        <w:sz w:val="18"/>
      </w:rPr>
      <w:tblPr/>
      <w:tcPr>
        <w:shd w:val="clear" w:color="auto" w:fill="44C8F5"/>
      </w:tcPr>
    </w:tblStylePr>
    <w:tblStylePr w:type="firstCol">
      <w:pPr>
        <w:wordWrap/>
        <w:spacing w:beforeLines="0" w:before="120" w:beforeAutospacing="0" w:afterLines="0" w:after="120" w:afterAutospacing="0" w:line="240" w:lineRule="auto"/>
      </w:pPr>
      <w:rPr>
        <w:rFonts w:ascii="Arial" w:hAnsi="Arial"/>
        <w:b/>
        <w:color w:val="FFFFFF" w:themeColor="background1"/>
        <w:sz w:val="18"/>
      </w:rPr>
      <w:tblPr/>
      <w:tcPr>
        <w:shd w:val="clear" w:color="auto" w:fill="44C8F5"/>
      </w:tcPr>
    </w:tblStylePr>
    <w:tblStylePr w:type="lastCol">
      <w:pPr>
        <w:wordWrap/>
        <w:spacing w:beforeLines="0" w:before="120" w:beforeAutospacing="0" w:afterLines="0" w:after="120" w:afterAutospacing="0" w:line="240" w:lineRule="auto"/>
      </w:pPr>
      <w:rPr>
        <w:rFonts w:ascii="Arial" w:hAnsi="Arial"/>
        <w:b/>
        <w:color w:val="FFFFFF" w:themeColor="background1"/>
        <w:sz w:val="18"/>
      </w:rPr>
      <w:tblPr/>
      <w:tcPr>
        <w:shd w:val="clear" w:color="auto" w:fill="44C8F5"/>
      </w:tcPr>
    </w:tblStylePr>
    <w:tblStylePr w:type="band1Vert">
      <w:pPr>
        <w:wordWrap/>
        <w:spacing w:beforeLines="0" w:before="120" w:beforeAutospacing="0" w:afterLines="0" w:after="120" w:afterAutospacing="0" w:line="240" w:lineRule="auto"/>
      </w:pPr>
      <w:rPr>
        <w:rFonts w:ascii="Arial" w:hAnsi="Arial"/>
        <w:sz w:val="18"/>
      </w:rPr>
      <w:tblPr/>
      <w:tcPr>
        <w:shd w:val="clear" w:color="auto" w:fill="C7EAF8"/>
      </w:tcPr>
    </w:tblStylePr>
    <w:tblStylePr w:type="band2Vert">
      <w:pPr>
        <w:wordWrap/>
        <w:spacing w:beforeLines="0" w:before="120" w:beforeAutospacing="0" w:afterLines="0" w:after="120" w:afterAutospacing="0" w:line="240" w:lineRule="auto"/>
      </w:pPr>
      <w:rPr>
        <w:rFonts w:ascii="Arial" w:hAnsi="Arial"/>
        <w:sz w:val="18"/>
      </w:rPr>
      <w:tblPr/>
      <w:tcPr>
        <w:shd w:val="clear" w:color="auto" w:fill="8ED8F8"/>
      </w:tcPr>
    </w:tblStylePr>
    <w:tblStylePr w:type="band1Horz">
      <w:pPr>
        <w:wordWrap/>
        <w:spacing w:beforeLines="0" w:before="120" w:beforeAutospacing="0" w:afterLines="0" w:after="120" w:afterAutospacing="0" w:line="240" w:lineRule="auto"/>
      </w:pPr>
      <w:rPr>
        <w:rFonts w:ascii="Arial" w:hAnsi="Arial"/>
        <w:color w:val="auto"/>
        <w:sz w:val="18"/>
      </w:rPr>
      <w:tblPr/>
      <w:tcPr>
        <w:shd w:val="clear" w:color="auto" w:fill="E1F4FD"/>
      </w:tcPr>
    </w:tblStylePr>
    <w:tblStylePr w:type="band2Horz">
      <w:pPr>
        <w:wordWrap/>
        <w:spacing w:beforeLines="0" w:before="120" w:beforeAutospacing="0" w:afterLines="0" w:after="120" w:afterAutospacing="0" w:line="240" w:lineRule="auto"/>
      </w:pPr>
      <w:rPr>
        <w:rFonts w:ascii="Arial" w:hAnsi="Arial"/>
        <w:sz w:val="18"/>
      </w:rPr>
      <w:tblPr/>
      <w:tcPr>
        <w:shd w:val="clear" w:color="auto" w:fill="C7EAFB"/>
      </w:tcPr>
    </w:tblStylePr>
  </w:style>
  <w:style w:type="paragraph" w:styleId="Soggettocommento">
    <w:name w:val="annotation subject"/>
    <w:basedOn w:val="Testocommento"/>
    <w:next w:val="Testocommento"/>
    <w:link w:val="SoggettocommentoCarattere"/>
    <w:locked/>
    <w:rsid w:val="00EB5EEF"/>
    <w:rPr>
      <w:rFonts w:eastAsia="MS Mincho"/>
      <w:b/>
      <w:bCs/>
    </w:rPr>
  </w:style>
  <w:style w:type="character" w:customStyle="1" w:styleId="SoggettocommentoCarattere">
    <w:name w:val="Soggetto commento Carattere"/>
    <w:basedOn w:val="TestocommentoCarattere"/>
    <w:link w:val="Soggettocommento"/>
    <w:rsid w:val="00EB5EEF"/>
    <w:rPr>
      <w:rFonts w:ascii="Arial" w:eastAsia="MS Mincho" w:hAnsi="Arial"/>
      <w:b/>
      <w:bCs/>
    </w:rPr>
  </w:style>
  <w:style w:type="character" w:customStyle="1" w:styleId="selectable">
    <w:name w:val="selectable"/>
    <w:basedOn w:val="Carpredefinitoparagrafo"/>
    <w:rsid w:val="00770DD2"/>
  </w:style>
  <w:style w:type="paragraph" w:customStyle="1" w:styleId="Pa12">
    <w:name w:val="Pa12"/>
    <w:basedOn w:val="Normale"/>
    <w:next w:val="Normale"/>
    <w:uiPriority w:val="99"/>
    <w:rsid w:val="001E3A21"/>
    <w:pPr>
      <w:autoSpaceDE w:val="0"/>
      <w:autoSpaceDN w:val="0"/>
      <w:adjustRightInd w:val="0"/>
      <w:spacing w:before="0" w:after="0" w:line="281" w:lineRule="atLeast"/>
    </w:pPr>
    <w:rPr>
      <w:rFonts w:ascii="Proxima Nova Lt" w:eastAsia="Times New Roman" w:hAnsi="Proxima Nova Lt"/>
    </w:rPr>
  </w:style>
  <w:style w:type="paragraph" w:styleId="Citazione">
    <w:name w:val="Quote"/>
    <w:basedOn w:val="Normale"/>
    <w:next w:val="Normale"/>
    <w:link w:val="CitazioneCarattere"/>
    <w:uiPriority w:val="29"/>
    <w:qFormat/>
    <w:rsid w:val="009D4D91"/>
    <w:pPr>
      <w:spacing w:before="200" w:after="160"/>
      <w:ind w:left="720"/>
    </w:pPr>
    <w:rPr>
      <w:rFonts w:eastAsia="Times New Roman"/>
      <w:iCs/>
      <w:sz w:val="22"/>
    </w:rPr>
  </w:style>
  <w:style w:type="character" w:customStyle="1" w:styleId="CitazioneCarattere">
    <w:name w:val="Citazione Carattere"/>
    <w:basedOn w:val="Carpredefinitoparagrafo"/>
    <w:link w:val="Citazione"/>
    <w:uiPriority w:val="29"/>
    <w:rsid w:val="009D4D91"/>
    <w:rPr>
      <w:rFonts w:ascii="Arial" w:hAnsi="Arial"/>
      <w:iCs/>
      <w:sz w:val="22"/>
      <w:szCs w:val="24"/>
    </w:rPr>
  </w:style>
  <w:style w:type="paragraph" w:styleId="Sommario5">
    <w:name w:val="toc 5"/>
    <w:basedOn w:val="Normale"/>
    <w:next w:val="Normale"/>
    <w:autoRedefine/>
    <w:uiPriority w:val="39"/>
    <w:unhideWhenUsed/>
    <w:locked/>
    <w:rsid w:val="00F763BE"/>
    <w:pPr>
      <w:spacing w:before="0" w:after="100" w:line="259" w:lineRule="auto"/>
      <w:ind w:left="880"/>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locked/>
    <w:rsid w:val="00F763BE"/>
    <w:pPr>
      <w:spacing w:before="0" w:after="100" w:line="259" w:lineRule="auto"/>
      <w:ind w:left="1100"/>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locked/>
    <w:rsid w:val="00F763BE"/>
    <w:pPr>
      <w:spacing w:before="0" w:after="100" w:line="259" w:lineRule="auto"/>
      <w:ind w:left="1320"/>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locked/>
    <w:rsid w:val="00F763BE"/>
    <w:pPr>
      <w:spacing w:before="0" w:after="100" w:line="259" w:lineRule="auto"/>
      <w:ind w:left="1540"/>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locked/>
    <w:rsid w:val="00F763BE"/>
    <w:pPr>
      <w:spacing w:before="0" w:after="100" w:line="259" w:lineRule="auto"/>
      <w:ind w:left="1760"/>
    </w:pPr>
    <w:rPr>
      <w:rFonts w:asciiTheme="minorHAnsi" w:eastAsiaTheme="minorEastAsia" w:hAnsiTheme="minorHAnsi" w:cstheme="minorBidi"/>
      <w:sz w:val="22"/>
      <w:szCs w:val="22"/>
    </w:rPr>
  </w:style>
  <w:style w:type="paragraph" w:customStyle="1" w:styleId="11">
    <w:name w:val="1.1"/>
    <w:basedOn w:val="Titolo2"/>
    <w:qFormat/>
    <w:rsid w:val="00222517"/>
    <w:pPr>
      <w:numPr>
        <w:numId w:val="196"/>
      </w:numPr>
    </w:pPr>
    <w:rPr>
      <w:rFonts w:cs="Arial"/>
    </w:rPr>
  </w:style>
  <w:style w:type="paragraph" w:customStyle="1" w:styleId="21">
    <w:name w:val="2.1"/>
    <w:basedOn w:val="Titolo2"/>
    <w:qFormat/>
    <w:rsid w:val="00222517"/>
    <w:pPr>
      <w:numPr>
        <w:ilvl w:val="1"/>
        <w:numId w:val="190"/>
      </w:numPr>
    </w:pPr>
  </w:style>
  <w:style w:type="paragraph" w:customStyle="1" w:styleId="31">
    <w:name w:val="3.1"/>
    <w:basedOn w:val="Titolo2"/>
    <w:qFormat/>
    <w:rsid w:val="00222517"/>
    <w:pPr>
      <w:numPr>
        <w:numId w:val="18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116453">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14605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humanrights.gov.au/publications/childrens-rights-report-2016" TargetMode="External"/><Relationship Id="rId21" Type="http://schemas.openxmlformats.org/officeDocument/2006/relationships/image" Target="media/image11.png"/><Relationship Id="rId34" Type="http://schemas.openxmlformats.org/officeDocument/2006/relationships/hyperlink" Target="http://www.kidshelp.com.au/" TargetMode="External"/><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hyperlink" Target="http://www.humanrights.gov.au/about/publication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eader" Target="header3.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eader" Target="header5.xml"/><Relationship Id="rId37" Type="http://schemas.openxmlformats.org/officeDocument/2006/relationships/hyperlink" Target="http://www.1800respect.org.au/" TargetMode="External"/><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oter" Target="footer2.xml"/><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4.xml"/><Relationship Id="rId35" Type="http://schemas.openxmlformats.org/officeDocument/2006/relationships/hyperlink" Target="http://www.headspace.org.au/" TargetMode="External"/><Relationship Id="rId43" Type="http://schemas.openxmlformats.org/officeDocument/2006/relationships/image" Target="media/image22.jpeg"/><Relationship Id="rId48" Type="http://schemas.openxmlformats.org/officeDocument/2006/relationships/hyperlink" Target="http://www.humanrights.gov.au/" TargetMode="External"/><Relationship Id="rId8" Type="http://schemas.openxmlformats.org/officeDocument/2006/relationships/image" Target="media/image1.jpg"/><Relationship Id="rId51" Type="http://schemas.openxmlformats.org/officeDocument/2006/relationships/hyperlink" Target="mailto:publications@humanrights.gov.au" TargetMode="External"/><Relationship Id="rId3" Type="http://schemas.openxmlformats.org/officeDocument/2006/relationships/styles" Target="styles.xml"/><Relationship Id="rId12" Type="http://schemas.openxmlformats.org/officeDocument/2006/relationships/hyperlink" Target="http://creativecommons.org/licenses/by/4.0/legalcode"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humanrights.gov.au/our-work/childrens-rights" TargetMode="External"/><Relationship Id="rId38" Type="http://schemas.openxmlformats.org/officeDocument/2006/relationships/hyperlink" Target="http://www.mensline.org.au/" TargetMode="External"/><Relationship Id="rId46" Type="http://schemas.openxmlformats.org/officeDocument/2006/relationships/image" Target="media/image25.jpeg"/><Relationship Id="rId20" Type="http://schemas.openxmlformats.org/officeDocument/2006/relationships/image" Target="media/image10.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humanrights.gov.au" TargetMode="External"/><Relationship Id="rId36" Type="http://schemas.openxmlformats.org/officeDocument/2006/relationships/hyperlink" Target="http://www.lifeline.org/" TargetMode="External"/><Relationship Id="rId49" Type="http://schemas.openxmlformats.org/officeDocument/2006/relationships/hyperlink" Target="http://www.humanrights.gov.au/"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www.aph.gov.au/Parliamentary_Business/Committees/Joint/Human_Rights/Scrutiny_reports/2017/Report_5_of_2017" TargetMode="External"/><Relationship Id="rId21" Type="http://schemas.openxmlformats.org/officeDocument/2006/relationships/hyperlink" Target="http://www.abs.gov.au/ausstats/abs@.nsf/Lookup/by%20Subject/3303.0~2016~Main%20Features~Intentional%20self-harm:%20key%20characteristics~7" TargetMode="External"/><Relationship Id="rId63" Type="http://schemas.openxmlformats.org/officeDocument/2006/relationships/hyperlink" Target="http://www.aph.gov.au/Parliamentary_Business/Bills_Legislation/Bills_Search_Results/Result?bId=r5696" TargetMode="External"/><Relationship Id="rId159" Type="http://schemas.openxmlformats.org/officeDocument/2006/relationships/hyperlink" Target="https://www.employment.gov.au/parents-next" TargetMode="External"/><Relationship Id="rId170" Type="http://schemas.openxmlformats.org/officeDocument/2006/relationships/hyperlink" Target="http://www.aihw.gov.au/publication-detail/?id=60129558626" TargetMode="External"/><Relationship Id="rId226" Type="http://schemas.openxmlformats.org/officeDocument/2006/relationships/hyperlink" Target="https://childabuseroyalcommission.gov.au/policy-and-research/our-research/published-research/taking-us-seriously" TargetMode="External"/><Relationship Id="rId268" Type="http://schemas.openxmlformats.org/officeDocument/2006/relationships/hyperlink" Target="https://www.dss.gov.au/families-and-children/programmes-services/children/protecting-children-is-everyones-business-national-framework-for-protecting-australias-children-2009-2020-third-action-plan-2015-2018" TargetMode="External"/><Relationship Id="rId32" Type="http://schemas.openxmlformats.org/officeDocument/2006/relationships/hyperlink" Target="https://www.ag.gov.au/FamiliesAndMarriage/FamilyLawCouncil/Pages/FamilyLawCouncilpublishedreports.aspx" TargetMode="External"/><Relationship Id="rId74" Type="http://schemas.openxmlformats.org/officeDocument/2006/relationships/hyperlink" Target="http://www.aph.gov.au/Parliamentary_Business/Committees/Senate/Community_Affairs/OmnibusSavingsReform/Report" TargetMode="External"/><Relationship Id="rId128" Type="http://schemas.openxmlformats.org/officeDocument/2006/relationships/hyperlink" Target="https://www.dss.gov.au/baseline-valuation-report-0" TargetMode="External"/><Relationship Id="rId5" Type="http://schemas.openxmlformats.org/officeDocument/2006/relationships/hyperlink" Target="http://myan.org.au/national-conference/" TargetMode="External"/><Relationship Id="rId181" Type="http://schemas.openxmlformats.org/officeDocument/2006/relationships/hyperlink" Target="https://www.yourtown.com.au/sites/default/files/document/KHL%20Insights%20Report%202016%20-%20Statistical%20Overview.pdf" TargetMode="External"/><Relationship Id="rId237" Type="http://schemas.openxmlformats.org/officeDocument/2006/relationships/hyperlink" Target="https://childabuseroyalcommission.gov.au/policy-and-research/our-research/published-research/risk-profiles-for-institutional-child-sexual-abuse" TargetMode="External"/><Relationship Id="rId279" Type="http://schemas.openxmlformats.org/officeDocument/2006/relationships/hyperlink" Target="http://www.humanrights.gov.au/submissions/nsw-juvenile-justice-human-rights-and-use-force-2017" TargetMode="External"/><Relationship Id="rId43" Type="http://schemas.openxmlformats.org/officeDocument/2006/relationships/hyperlink" Target="http://thehomestretch.org.au/about/" TargetMode="External"/><Relationship Id="rId139" Type="http://schemas.openxmlformats.org/officeDocument/2006/relationships/hyperlink" Target="http://stat.data.abs.gov.au/Index.aspx?QueryId=503" TargetMode="External"/><Relationship Id="rId290" Type="http://schemas.openxmlformats.org/officeDocument/2006/relationships/hyperlink" Target="http://www.hobartlegal.org.au/tasmanian-law-handbook/rights/childrens-rights/childrens-rights-and-duties/medical-treatment" TargetMode="External"/><Relationship Id="rId85" Type="http://schemas.openxmlformats.org/officeDocument/2006/relationships/hyperlink" Target="http://www.aph.gov.au/Parliamentary_Business/Committees/Senate/Legal_and_Constitutional_Affairs/ProtectingMinorsonline/Report" TargetMode="External"/><Relationship Id="rId150" Type="http://schemas.openxmlformats.org/officeDocument/2006/relationships/hyperlink" Target="http://analytics.aihw.gov.au/Viewer/VisualAnalyticsViewer_guest.jsp?reportPath=%2FAIHW%2FReleasedPublic%2FPerinatal%2FReports%2FNOV2016&amp;reportName=Baby%20outcomes%20-%20Deaths&amp;reportViewOnly=true&amp;viewerMode=modern&amp;commentsEnabled=false&amp;propertiesEnabled=false&amp;appSwitcherDisabled=true" TargetMode="External"/><Relationship Id="rId192" Type="http://schemas.openxmlformats.org/officeDocument/2006/relationships/hyperlink" Target="https://www.agd.sa.gov.au/projects-and-consultations/projects-archive/child-protection-systems-royal-commission" TargetMode="External"/><Relationship Id="rId206" Type="http://schemas.openxmlformats.org/officeDocument/2006/relationships/hyperlink" Target="http://www.theirfuturesmatter.nsw.gov.au/reform-publications-and-presentations/their-futures-matter-a-new-approach" TargetMode="External"/><Relationship Id="rId248" Type="http://schemas.openxmlformats.org/officeDocument/2006/relationships/hyperlink" Target="https://childabuseroyalcommission.gov.au/policy-and-research/our-research/published-research/the-role-of-organisational-culture-in-child-sexual" TargetMode="External"/><Relationship Id="rId269" Type="http://schemas.openxmlformats.org/officeDocument/2006/relationships/hyperlink" Target="https://childdetentionnt.royalcommission.gov.au/Pages/default.aspx" TargetMode="External"/><Relationship Id="rId12" Type="http://schemas.openxmlformats.org/officeDocument/2006/relationships/hyperlink" Target="https://www.border.gov.au/ReportsandPublications/Documents/cpp-report-making-children-safer.pdf" TargetMode="External"/><Relationship Id="rId33" Type="http://schemas.openxmlformats.org/officeDocument/2006/relationships/hyperlink" Target="https://www.ag.gov.au/FamiliesAndMarriage/FamilyLawCouncil/Pages/FamilyLawCouncilpublishedreports.aspx" TargetMode="External"/><Relationship Id="rId108" Type="http://schemas.openxmlformats.org/officeDocument/2006/relationships/hyperlink" Target="http://www.aph.gov.au/Parliamentary_Business/Bills_Legislation/Bills_Search_Results/Result?bId=r5752" TargetMode="External"/><Relationship Id="rId129" Type="http://schemas.openxmlformats.org/officeDocument/2006/relationships/hyperlink" Target="https://www.google.com.au/url?sa=t&amp;rct=j&amp;q=&amp;esrc=s&amp;source=web&amp;cd=1&amp;cad=rja&amp;uact=8&amp;ved=0ahUKEwiW0rXgu-7SAhXBS7wKHa7eATwQFggbMAA&amp;url=http%3A%2F%2Fwww.awe.asn.au%2Fdrupal%2Fsites%2Fdefault%2Ffiles%2Fwhat_it_takes.pdf&amp;usg=AFQjCNF39GK0-z8WeN5Np-ChfveXBfWVyA&amp;sig2=Vz9owqPYu1AQoD-MyDd-yw" TargetMode="External"/><Relationship Id="rId280" Type="http://schemas.openxmlformats.org/officeDocument/2006/relationships/hyperlink" Target="http://tbinternet.ohchr.org/_layouts/treatybodyexternal/Download.aspx?symbolno=INT%2fCRPD%2fICS%2fAUS%2f28303&amp;Lang=en" TargetMode="External"/><Relationship Id="rId54" Type="http://schemas.openxmlformats.org/officeDocument/2006/relationships/hyperlink" Target="https://anrows.org.au/about/who-we-are" TargetMode="External"/><Relationship Id="rId75" Type="http://schemas.openxmlformats.org/officeDocument/2006/relationships/hyperlink" Target="http://www.aph.gov.au/Parliamentary_Business/Bills_Legislation/Bills_Search_Results/Result?bId=r5798" TargetMode="External"/><Relationship Id="rId96" Type="http://schemas.openxmlformats.org/officeDocument/2006/relationships/hyperlink" Target="http://www.aph.gov.au/Parliamentary_Business/Bills_Legislation/Bills_Search_Results/Result?bId=r5794" TargetMode="External"/><Relationship Id="rId140" Type="http://schemas.openxmlformats.org/officeDocument/2006/relationships/hyperlink" Target="http://www.abs.gov.au/ausstats/abs@.nsf/Latestproducts/3301.0Main%20Features62015?opendocument&amp;tabname=Summary&amp;prodno=3301.0&amp;issue=2015&amp;num=&amp;view" TargetMode="External"/><Relationship Id="rId161" Type="http://schemas.openxmlformats.org/officeDocument/2006/relationships/hyperlink" Target="https://sms4dads.com/Welcome" TargetMode="External"/><Relationship Id="rId182" Type="http://schemas.openxmlformats.org/officeDocument/2006/relationships/hyperlink" Target="https://www.yourtown.com.au/sites/default/files/document/KHL%20Insights%20Report%202016%20-%20Statistical%20Overview.pdf" TargetMode="External"/><Relationship Id="rId217" Type="http://schemas.openxmlformats.org/officeDocument/2006/relationships/hyperlink" Target="http://childabuseroyalcommission.gov.au/getattachment/5d0dc659-68c2-46f9-847b-fafd52f58673/Creating-child-safe-institutions" TargetMode="External"/><Relationship Id="rId6" Type="http://schemas.openxmlformats.org/officeDocument/2006/relationships/hyperlink" Target="https://www.whitlam.org/the_program/what_matters_writing_competition" TargetMode="External"/><Relationship Id="rId238" Type="http://schemas.openxmlformats.org/officeDocument/2006/relationships/hyperlink" Target="https://childabuseroyalcommission.gov.au/policy-and-research/our-research/published-research/risk-profiles-for-institutional-child-sexual-abuse" TargetMode="External"/><Relationship Id="rId259" Type="http://schemas.openxmlformats.org/officeDocument/2006/relationships/hyperlink" Target="https://childabuseroyalcommission.gov.au/policy-and-research/our-research/published-research/the-role-of-organisational-culture-in-child-sexual" TargetMode="External"/><Relationship Id="rId23" Type="http://schemas.openxmlformats.org/officeDocument/2006/relationships/hyperlink" Target="https://aifs.gov.au/publications/self-harm-and-suicidal-behaviour-young-people-aged-14-15-years-old?utm_source=AIFS+Mailing+List&amp;utm_campaign=0e5549d902-EMAIL_CAMPAIGN_2017_08_28&amp;utm_medium=email&amp;utm_term=0_3ad49f5cbc-0e5549d902-193857585" TargetMode="External"/><Relationship Id="rId119" Type="http://schemas.openxmlformats.org/officeDocument/2006/relationships/hyperlink" Target="http://www.aph.gov.au/Parliamentary_Business/Committees/Senate/Legal_and_Constitutional_Affairs/CrimePowerOffences2017/Report" TargetMode="External"/><Relationship Id="rId270" Type="http://schemas.openxmlformats.org/officeDocument/2006/relationships/hyperlink" Target="https://www.youthdetentionreview.qld.gov.au/terms-of-reference" TargetMode="External"/><Relationship Id="rId291" Type="http://schemas.openxmlformats.org/officeDocument/2006/relationships/hyperlink" Target="http://www.parliament.tas.gov.au/bills/19_of_2016.htm" TargetMode="External"/><Relationship Id="rId44" Type="http://schemas.openxmlformats.org/officeDocument/2006/relationships/hyperlink" Target="https://www.mcsa.org.au/8-frontpage/125-mobile-meet-2016" TargetMode="External"/><Relationship Id="rId65" Type="http://schemas.openxmlformats.org/officeDocument/2006/relationships/hyperlink" Target="http://www.aph.gov.au/Parliamentary_Business/Committees/Senate/Education_and_Employment/JobsforFamilies45th/Submissions" TargetMode="External"/><Relationship Id="rId86" Type="http://schemas.openxmlformats.org/officeDocument/2006/relationships/hyperlink" Target="http://www.aph.gov.au/Parliamentary_Business/Bills_LEGislation/Bills_Search_Results/Result?bId=r5857" TargetMode="External"/><Relationship Id="rId130" Type="http://schemas.openxmlformats.org/officeDocument/2006/relationships/hyperlink" Target="https://www.google.com.au/url?sa=t&amp;rct=j&amp;q=&amp;esrc=s&amp;source=web&amp;cd=1&amp;cad=rja&amp;uact=8&amp;ved=0ahUKEwiW0rXgu-7SAhXBS7wKHa7eATwQFggbMAA&amp;url=http%3A%2F%2Fwww.awe.asn.au%2Fdrupal%2Fsites%2Fdefault%2Ffiles%2Fwhat_it_takes.pdf&amp;usg=AFQjCNF39GK0-z8WeN5Np-ChfveXBfWVyA&amp;sig2=Vz9owqPYu1AQoD-MyDd-yw" TargetMode="External"/><Relationship Id="rId151" Type="http://schemas.openxmlformats.org/officeDocument/2006/relationships/hyperlink" Target="http://analytics.aihw.gov.au/Viewer/VisualAnalyticsViewer_guest.jsp?reportPath=%2FAIHW%2FReleasedPublic%2FPerinatal%2FReports%2FNOV2016&amp;reportName=Baby%20outcomes%20-%20Deaths&amp;reportViewOnly=true&amp;viewerMode=modern&amp;commentsEnabled=false&amp;propertiesEnabled=false&amp;appSwitcherDisabled=true" TargetMode="External"/><Relationship Id="rId172" Type="http://schemas.openxmlformats.org/officeDocument/2006/relationships/hyperlink" Target="http://www.aihw.gov.au/publication-detail/?id=60129558626" TargetMode="External"/><Relationship Id="rId193" Type="http://schemas.openxmlformats.org/officeDocument/2006/relationships/hyperlink" Target="https://www.agd.sa.gov.au/projects-and-consultations/projects-archive/child-protection-systems-royal-commission" TargetMode="External"/><Relationship Id="rId207" Type="http://schemas.openxmlformats.org/officeDocument/2006/relationships/hyperlink" Target="https://www.parliament.nsw.gov.au/committees/DBAssets/InquiryReport/ReportAcrobat/6106/Final%20report%20-%20Child%20protection.pdf" TargetMode="External"/><Relationship Id="rId228" Type="http://schemas.openxmlformats.org/officeDocument/2006/relationships/hyperlink" Target="https://childabuseroyalcommission.gov.au/policy-and-research/our-research/published-research/our-safety-counts" TargetMode="External"/><Relationship Id="rId249" Type="http://schemas.openxmlformats.org/officeDocument/2006/relationships/hyperlink" Target="https://childabuseroyalcommission.gov.au/policy-and-research/our-research/published-research/the-role-of-organisational-culture-in-child-sexual" TargetMode="External"/><Relationship Id="rId13" Type="http://schemas.openxmlformats.org/officeDocument/2006/relationships/hyperlink" Target="https://www.border.gov.au/about/reports-publications/reports/corporate/child-safeguarding" TargetMode="External"/><Relationship Id="rId109" Type="http://schemas.openxmlformats.org/officeDocument/2006/relationships/hyperlink" Target="http://www.aph.gov.au/Parliamentary_Business/Bills_Legislation/Bills_Search_Results/Result?bId=r5744" TargetMode="External"/><Relationship Id="rId260" Type="http://schemas.openxmlformats.org/officeDocument/2006/relationships/hyperlink" Target="https://childabuseroyalcommission.gov.au/policy-and-research/our-research/published-research/the-role-of-organisational-culture-in-child-sexual" TargetMode="External"/><Relationship Id="rId281" Type="http://schemas.openxmlformats.org/officeDocument/2006/relationships/hyperlink" Target="http://www.aph.gov.au/DocumentStore.ashx?id=f398c0c0-376d-4b96-9007-5b0b98cbf729&amp;subId=514189" TargetMode="External"/><Relationship Id="rId34" Type="http://schemas.openxmlformats.org/officeDocument/2006/relationships/hyperlink" Target="https://www.attorneygeneral.gov.au/Mediareleases/Pages/2016/FourthQuarter/Important-family-law-system-initiatives.aspx" TargetMode="External"/><Relationship Id="rId55" Type="http://schemas.openxmlformats.org/officeDocument/2006/relationships/hyperlink" Target="https://anrows.org.au/research" TargetMode="External"/><Relationship Id="rId76" Type="http://schemas.openxmlformats.org/officeDocument/2006/relationships/hyperlink" Target="http://www.aph.gov.au/Parliamentary_Business/Bills_Legislation/Bills_Search_Results/Result?bId=s1064" TargetMode="External"/><Relationship Id="rId97" Type="http://schemas.openxmlformats.org/officeDocument/2006/relationships/hyperlink" Target="http://www.aph.gov.au/Parliamentary_Business/Bills_Legislation/Bills_Search_Results/Result?bId=r5909" TargetMode="External"/><Relationship Id="rId120" Type="http://schemas.openxmlformats.org/officeDocument/2006/relationships/hyperlink" Target="http://www.aph.gov.au/Parliamentary_Business/Committees/Senate/Legal_and_Constitutional_Affairs/CrimePowerOffences2017/Report" TargetMode="External"/><Relationship Id="rId141" Type="http://schemas.openxmlformats.org/officeDocument/2006/relationships/hyperlink" Target="http://stat.data.abs.gov.au/Index.aspx?QueryId=494" TargetMode="External"/><Relationship Id="rId7" Type="http://schemas.openxmlformats.org/officeDocument/2006/relationships/hyperlink" Target="https://www.ymcansw.org.au/community-services/youth/youth-parliament/" TargetMode="External"/><Relationship Id="rId162" Type="http://schemas.openxmlformats.org/officeDocument/2006/relationships/hyperlink" Target="http://stat.data.abs.gov.au/Index.aspx?QueryId=503" TargetMode="External"/><Relationship Id="rId183" Type="http://schemas.openxmlformats.org/officeDocument/2006/relationships/hyperlink" Target="https://www.yourtown.com.au/sites/default/files/document/KHL%20Insights%20Report%202016%20-%20Statistical%20Overview.pdf" TargetMode="External"/><Relationship Id="rId218" Type="http://schemas.openxmlformats.org/officeDocument/2006/relationships/hyperlink" Target="http://childabuseroyalcommission.gov.au/getattachment/5d0dc659-68c2-46f9-847b-fafd52f58673/Creating-child-safe-institutions" TargetMode="External"/><Relationship Id="rId239" Type="http://schemas.openxmlformats.org/officeDocument/2006/relationships/hyperlink" Target="https://childabuseroyalcommission.gov.au/policy-and-research/our-research/published-research/risk-profiles-for-institutional-child-sexual-abuse" TargetMode="External"/><Relationship Id="rId250" Type="http://schemas.openxmlformats.org/officeDocument/2006/relationships/hyperlink" Target="https://childabuseroyalcommission.gov.au/policy-and-research/our-research/published-research/the-role-of-organisational-culture-in-child-sexual" TargetMode="External"/><Relationship Id="rId271" Type="http://schemas.openxmlformats.org/officeDocument/2006/relationships/hyperlink" Target="https://www.youthdetentionreview.qld.gov.au/review-of-youth-detention-centres-report.pdf" TargetMode="External"/><Relationship Id="rId24" Type="http://schemas.openxmlformats.org/officeDocument/2006/relationships/hyperlink" Target="http://www.aph.gov.au/Parliamentary_Business/Committees/Senate/Environment_and_Communications/Onlineaccesstoporn45/Report" TargetMode="External"/><Relationship Id="rId45" Type="http://schemas.openxmlformats.org/officeDocument/2006/relationships/hyperlink" Target="https://www.mcsa.org.au/about-us/mobile-children-s-services" TargetMode="External"/><Relationship Id="rId66" Type="http://schemas.openxmlformats.org/officeDocument/2006/relationships/hyperlink" Target="http://www.aph.gov.au/Parliamentary_Business/Committees/Senate/Education_and_Employment/JobsforFamilies45th/Submissions" TargetMode="External"/><Relationship Id="rId87" Type="http://schemas.openxmlformats.org/officeDocument/2006/relationships/hyperlink" Target="http://www.aph.gov.au/Parliamentary_Business/Bills_Legislation/Bills_Search_Results/Result?bId=r5914" TargetMode="External"/><Relationship Id="rId110" Type="http://schemas.openxmlformats.org/officeDocument/2006/relationships/hyperlink" Target="http://www.aph.gov.au/Parliamentary_Business/Committees/Senate/Education_and_Employment/VETStudentLoans" TargetMode="External"/><Relationship Id="rId131" Type="http://schemas.openxmlformats.org/officeDocument/2006/relationships/hyperlink" Target="https://www.dss.gov.au/baseline-valuation-report-0" TargetMode="External"/><Relationship Id="rId152" Type="http://schemas.openxmlformats.org/officeDocument/2006/relationships/hyperlink" Target="http://analytics.aihw.gov.au/Viewer/VisualAnalyticsViewer_guest.jsp?reportPath=%2FAIHW%2FReleasedPublic%2FPerinatal%2FReports%2FNOV2016&amp;reportName=Baby%20outcomes%20-%20Deaths&amp;reportViewOnly=true&amp;viewerMode=modern&amp;commentsEnabled=false&amp;propertiesEnabled=false&amp;appSwitcherDisabled=true" TargetMode="External"/><Relationship Id="rId173" Type="http://schemas.openxmlformats.org/officeDocument/2006/relationships/hyperlink" Target="https://aifs.gov.au/cfca/publications/child-abuse-and-neglect-statistics" TargetMode="External"/><Relationship Id="rId194" Type="http://schemas.openxmlformats.org/officeDocument/2006/relationships/hyperlink" Target="https://www.agd.sa.gov.au/projects-and-consultations/projects-archive/child-protection-systems-royal-commission" TargetMode="External"/><Relationship Id="rId208" Type="http://schemas.openxmlformats.org/officeDocument/2006/relationships/hyperlink" Target="https://childdetentionnt.royalcommission.gov.au/about-us/Documents/Letters-Patent-child-detention-NT.pdf" TargetMode="External"/><Relationship Id="rId229" Type="http://schemas.openxmlformats.org/officeDocument/2006/relationships/hyperlink" Target="https://childabuseroyalcommission.gov.au/policy-and-research/our-research/published-research/our-safety-counts" TargetMode="External"/><Relationship Id="rId240" Type="http://schemas.openxmlformats.org/officeDocument/2006/relationships/hyperlink" Target="https://childabuseroyalcommission.gov.au/policy-and-research/our-research/published-research/risk-profiles-for-institutional-child-sexual-abuse" TargetMode="External"/><Relationship Id="rId261" Type="http://schemas.openxmlformats.org/officeDocument/2006/relationships/hyperlink" Target="https://www.dcp.wa.gov.au/Resources/Documents/Policies%20and%20Frameworks/CreatingSafeEnvironmentsforChildren%20NationalFramework.pdf" TargetMode="External"/><Relationship Id="rId14" Type="http://schemas.openxmlformats.org/officeDocument/2006/relationships/hyperlink" Target="https://www.dss.gov.au/women/programs-services/reducing-violence/the-national-plan-to-reduce-violence-against-women-and-their-children-2010-2022" TargetMode="External"/><Relationship Id="rId35" Type="http://schemas.openxmlformats.org/officeDocument/2006/relationships/hyperlink" Target="https://aifs.gov.au/projects/children-and-young-people-separated-families" TargetMode="External"/><Relationship Id="rId56" Type="http://schemas.openxmlformats.org/officeDocument/2006/relationships/hyperlink" Target="https://www.attorneygeneral.gov.au/Mediareleases/Pages/2017/FirstQuarter/Improving-oversight-and-conditions-in-detention.aspx" TargetMode="External"/><Relationship Id="rId77" Type="http://schemas.openxmlformats.org/officeDocument/2006/relationships/hyperlink" Target="http://www.aph.gov.au/Parliamentary_Business/Committees/Senate/Legal_and_Constitutional_Affairs/FirearmsTraffickingBill/Report" TargetMode="External"/><Relationship Id="rId100" Type="http://schemas.openxmlformats.org/officeDocument/2006/relationships/hyperlink" Target="http://www.aph.gov.au/Parliamentary_Business/Committees/Senate/Education_and_Employment/AustralianEducation2017/Report" TargetMode="External"/><Relationship Id="rId282" Type="http://schemas.openxmlformats.org/officeDocument/2006/relationships/hyperlink" Target="https://www.ag.gov.au/Consultations/Documents/FamilyLawAmendmentFamilyViolenceBill2017/Consultation-paper-family-violence-cross-examination-amendments.pdf" TargetMode="External"/><Relationship Id="rId8" Type="http://schemas.openxmlformats.org/officeDocument/2006/relationships/hyperlink" Target="https://www.attorneygeneral.gov.au/Mediareleases/Pages/2017/FirstQuarter/Improving-oversight-and-conditions-in-detention.aspx" TargetMode="External"/><Relationship Id="rId98" Type="http://schemas.openxmlformats.org/officeDocument/2006/relationships/hyperlink" Target="http://www.aph.gov.au/Parliamentary_Business/Bills_Legislation/Bills_Search_Results/Result?bId=r5909" TargetMode="External"/><Relationship Id="rId121" Type="http://schemas.openxmlformats.org/officeDocument/2006/relationships/hyperlink" Target="http://www.aph.gov.au/Parliamentary_Business/Committees/Senate/Legal_and_Constitutional_Affairs/CrimePowerOffences2017/Report" TargetMode="External"/><Relationship Id="rId142" Type="http://schemas.openxmlformats.org/officeDocument/2006/relationships/hyperlink" Target="http://www.abs.gov.au/websitedbs/d3310114.nsf/home/remoteness+structure" TargetMode="External"/><Relationship Id="rId163" Type="http://schemas.openxmlformats.org/officeDocument/2006/relationships/hyperlink" Target="https://www.childabuseroyalcommission.gov.au/about-us/our-reports/interim-report-html" TargetMode="External"/><Relationship Id="rId184" Type="http://schemas.openxmlformats.org/officeDocument/2006/relationships/hyperlink" Target="https://www.esafety.gov.au/education-resources/iparent/online-hate-infographic" TargetMode="External"/><Relationship Id="rId219" Type="http://schemas.openxmlformats.org/officeDocument/2006/relationships/hyperlink" Target="https://www.agd.sa.gov.au/projects-and-consultations/projects-archive/child-protection-systems-royal-commission" TargetMode="External"/><Relationship Id="rId230" Type="http://schemas.openxmlformats.org/officeDocument/2006/relationships/hyperlink" Target="https://childabuseroyalcommission.gov.au/policy-and-research/our-research/published-research/our-safety-counts" TargetMode="External"/><Relationship Id="rId251" Type="http://schemas.openxmlformats.org/officeDocument/2006/relationships/hyperlink" Target="https://childabuseroyalcommission.gov.au/policy-and-research/our-research/published-research/the-role-of-organisational-culture-in-child-sexual" TargetMode="External"/><Relationship Id="rId25" Type="http://schemas.openxmlformats.org/officeDocument/2006/relationships/hyperlink" Target="http://www.aph.gov.au/Parliamentary_Business/Committees/Senate/Environment_and_Communications/Onlineaccesstoporn45/Government_Response" TargetMode="External"/><Relationship Id="rId46" Type="http://schemas.openxmlformats.org/officeDocument/2006/relationships/hyperlink" Target="https://www.humanrights.gov.au/building-belonging-toolkit-early-childhood-educators-cultural-divers%20ity-and-responding-prejudice" TargetMode="External"/><Relationship Id="rId67" Type="http://schemas.openxmlformats.org/officeDocument/2006/relationships/hyperlink" Target="http://www.aph.gov.au/Parliamentary_Business/Committees/Senate/Education_and_Employment/JobsforFamilies45th/Report" TargetMode="External"/><Relationship Id="rId272" Type="http://schemas.openxmlformats.org/officeDocument/2006/relationships/hyperlink" Target="http://www.custodialinspector.justice.nsw.gov.au/Pages/current-inspections/current-inspections.aspx" TargetMode="External"/><Relationship Id="rId88" Type="http://schemas.openxmlformats.org/officeDocument/2006/relationships/hyperlink" Target="http://www.aph.gov.au/Parliamentary_Business/Committees/Senate/Legal_and_Constitutional_Affairs/CitizenshipBill2017/Report" TargetMode="External"/><Relationship Id="rId111" Type="http://schemas.openxmlformats.org/officeDocument/2006/relationships/hyperlink" Target="http://www.aph.gov.au/Parliamentary_Business/Committees/Joint/Human_Rights/Scrutiny_reports/2016" TargetMode="External"/><Relationship Id="rId132" Type="http://schemas.openxmlformats.org/officeDocument/2006/relationships/hyperlink" Target="http://www.abs.gov.au/AUSSTATS/abs@.nsf/Latestproducts/3301.0Media%20Release12015" TargetMode="External"/><Relationship Id="rId153" Type="http://schemas.openxmlformats.org/officeDocument/2006/relationships/hyperlink" Target="http://stat.data.abs.gov.au/Index.aspx?QueryId=503" TargetMode="External"/><Relationship Id="rId174" Type="http://schemas.openxmlformats.org/officeDocument/2006/relationships/hyperlink" Target="http://www.aihw.gov.au/publication-detail/?id=60129558626" TargetMode="External"/><Relationship Id="rId195" Type="http://schemas.openxmlformats.org/officeDocument/2006/relationships/hyperlink" Target="https://www.agd.sa.gov.au/projects-and-consultations/projects-archive/child-protection-systems-royal-commission" TargetMode="External"/><Relationship Id="rId209" Type="http://schemas.openxmlformats.org/officeDocument/2006/relationships/hyperlink" Target="https://childdetentionnt.royalcommission.gov.au/about-us/Documents/RCNT-Interim-report.pdf" TargetMode="External"/><Relationship Id="rId220" Type="http://schemas.openxmlformats.org/officeDocument/2006/relationships/hyperlink" Target="http://tbinternet.ohchr.org/_layouts/treatybodyexternal/Download.aspx?symbolno=CRC%2fGC%2f2003%2f5&amp;Lang=en" TargetMode="External"/><Relationship Id="rId241" Type="http://schemas.openxmlformats.org/officeDocument/2006/relationships/hyperlink" Target="https://childabuseroyalcommission.gov.au/policy-and-research/our-research/published-research/risk-profiles-for-institutional-child-sexual-abuse" TargetMode="External"/><Relationship Id="rId15" Type="http://schemas.openxmlformats.org/officeDocument/2006/relationships/hyperlink" Target="https://www.pmc.gov.au/office-women/womens-safety/coag-advisory-panel-reducing-violence-against-women-and-their-children" TargetMode="External"/><Relationship Id="rId36" Type="http://schemas.openxmlformats.org/officeDocument/2006/relationships/hyperlink" Target="http://mailchi.mp/familiesaustralia/0dvegdzrz3-2896561?e=%5bUNIQID" TargetMode="External"/><Relationship Id="rId57" Type="http://schemas.openxmlformats.org/officeDocument/2006/relationships/hyperlink" Target="http://www.abs.gov.au/ausstats/abs@.nsf/Lookup/by%20Subject/3303.0~2015~Main%20Features~Intentional%20self-harm:%20key%20characteristics~8" TargetMode="External"/><Relationship Id="rId262" Type="http://schemas.openxmlformats.org/officeDocument/2006/relationships/hyperlink" Target="https://www.childabuseroyalcommission.gov.au/getattachment/2ab1fcb8-b336-46cd-bef7-c052687480a8/36-Australian-Childrens-Commissioners-and-Guardian" TargetMode="External"/><Relationship Id="rId283" Type="http://schemas.openxmlformats.org/officeDocument/2006/relationships/hyperlink" Target="https://www.humanrights.gov.au/submissions/information-concerning-australia-s-compliance-international-covenant-economic-social-and" TargetMode="External"/><Relationship Id="rId78" Type="http://schemas.openxmlformats.org/officeDocument/2006/relationships/hyperlink" Target="http://www.aph.gov.au/Parliamentary_Business/Committees/Senate/Legal_and_Constitutional_Affairs/FirearmsTraffickingBill/Report" TargetMode="External"/><Relationship Id="rId99" Type="http://schemas.openxmlformats.org/officeDocument/2006/relationships/hyperlink" Target="http://www.aph.gov.au/Parliamentary_Business/Bills_Legislation/Bills_Search_Results/Result?bId=r5866" TargetMode="External"/><Relationship Id="rId101" Type="http://schemas.openxmlformats.org/officeDocument/2006/relationships/hyperlink" Target="http://www.aph.gov.au/Parliamentary_Business/Committees/Joint/Human_Rights/Scrutiny_reports/2017/Report_5_of_2017" TargetMode="External"/><Relationship Id="rId122" Type="http://schemas.openxmlformats.org/officeDocument/2006/relationships/hyperlink" Target="https://www.aph.gov.au/Parliamentary_Business/Bills_Legislation/Bills_Search_Results/Result?bId=r5838" TargetMode="External"/><Relationship Id="rId143" Type="http://schemas.openxmlformats.org/officeDocument/2006/relationships/hyperlink" Target="http://www.correctiveservices.justice.nsw.gov.au/Pages/CorrectiveServices/programs/women-offenders/women-offenders.aspx" TargetMode="External"/><Relationship Id="rId164" Type="http://schemas.openxmlformats.org/officeDocument/2006/relationships/hyperlink" Target="https://aifs.gov.au/cfca/publications/child-abuse-and-neglect-statistics" TargetMode="External"/><Relationship Id="rId185" Type="http://schemas.openxmlformats.org/officeDocument/2006/relationships/hyperlink" Target="http://www.childabuseroyalcommission.gov.au/policy-and-research/our-research/published-research/scoping-study-for-research-into-the-prevalence-of" TargetMode="External"/><Relationship Id="rId9" Type="http://schemas.openxmlformats.org/officeDocument/2006/relationships/hyperlink" Target="https://www.attorneygeneral.gov.au/Mediareleases/Pages/2017/FirstQuarter/Improving-oversight-and-conditions-in-detention.aspx" TargetMode="External"/><Relationship Id="rId210" Type="http://schemas.openxmlformats.org/officeDocument/2006/relationships/hyperlink" Target="http://www.childabuseroyalcommission.gov.au/about-us/terms-of-reference" TargetMode="External"/><Relationship Id="rId26" Type="http://schemas.openxmlformats.org/officeDocument/2006/relationships/hyperlink" Target="http://www.antislavery.org.au/newsflash/286-new-report-launching-soon-behind-the-screen-online-child-exploitation-in-australia.html" TargetMode="External"/><Relationship Id="rId231" Type="http://schemas.openxmlformats.org/officeDocument/2006/relationships/hyperlink" Target="https://www.dss.gov.au/families-and-children/programmes-services/children/protecting-children-is-everyones-business-national-framework-for-protecting-australias-children-2009-2020-third-action-plan-2015-2018" TargetMode="External"/><Relationship Id="rId252" Type="http://schemas.openxmlformats.org/officeDocument/2006/relationships/hyperlink" Target="https://childabuseroyalcommission.gov.au/policy-and-research/our-research/published-research/the-role-of-organisational-culture-in-child-sexual" TargetMode="External"/><Relationship Id="rId273" Type="http://schemas.openxmlformats.org/officeDocument/2006/relationships/hyperlink" Target="http://www.gcyp.sa.gov.au/2016/04/go-to-your-room-the-use-of-seclusion-in-youth-detention" TargetMode="External"/><Relationship Id="rId47" Type="http://schemas.openxmlformats.org/officeDocument/2006/relationships/hyperlink" Target="https://www.humanrights.gov.au/our-work/childrens-rights/publications/childrens-rights-report-2015" TargetMode="External"/><Relationship Id="rId68" Type="http://schemas.openxmlformats.org/officeDocument/2006/relationships/hyperlink" Target="http://www.aph.gov.au/Parliamentary_Business/Committees/Joint/Human_Rights/Scrutiny_reports/2016" TargetMode="External"/><Relationship Id="rId89" Type="http://schemas.openxmlformats.org/officeDocument/2006/relationships/hyperlink" Target="http://www.aph.gov.au/Parliamentary_Business/Bills_Legislation/Bills_Search_Results/Result?bId=r5914" TargetMode="External"/><Relationship Id="rId112" Type="http://schemas.openxmlformats.org/officeDocument/2006/relationships/hyperlink" Target="http://www.aph.gov.au/Parliamentary_Business/Bills_Legislation/Bills_Search_Results/Result?bId=r5744" TargetMode="External"/><Relationship Id="rId133" Type="http://schemas.openxmlformats.org/officeDocument/2006/relationships/hyperlink" Target="http://stat.data.abs.gov.au/Index.aspx?QueryId=494" TargetMode="External"/><Relationship Id="rId154" Type="http://schemas.openxmlformats.org/officeDocument/2006/relationships/hyperlink" Target="http://www.ohchr.org/EN/ProfessionalInterest/Pages/CRC.aspx" TargetMode="External"/><Relationship Id="rId175" Type="http://schemas.openxmlformats.org/officeDocument/2006/relationships/hyperlink" Target="http://www.abs.gov.au/AUSSTATS/abs@.nsf/DetailsPage/4510.02016?OpenDocument" TargetMode="External"/><Relationship Id="rId196" Type="http://schemas.openxmlformats.org/officeDocument/2006/relationships/hyperlink" Target="https://www.childprotection.sa.gov.au/sites/g/files/net916/f/a_fresh_start_progress_report.pdf" TargetMode="External"/><Relationship Id="rId200" Type="http://schemas.openxmlformats.org/officeDocument/2006/relationships/hyperlink" Target="http://www.qfcc.qld.gov.au/sites/default/files/For%20professionals/when-a-child-is-missing-report.pdf" TargetMode="External"/><Relationship Id="rId16" Type="http://schemas.openxmlformats.org/officeDocument/2006/relationships/hyperlink" Target="https://www.dss.gov.au/women/programs-services/reducing-violence/third-action-plan" TargetMode="External"/><Relationship Id="rId221" Type="http://schemas.openxmlformats.org/officeDocument/2006/relationships/hyperlink" Target="https://childabuseroyalcommission.gov.au/policy-and-research/our-research/published-research/taking-us-seriously" TargetMode="External"/><Relationship Id="rId242" Type="http://schemas.openxmlformats.org/officeDocument/2006/relationships/hyperlink" Target="https://childabuseroyalcommission.gov.au/policy-and-research/our-research/published-research/risk-profiles-for-institutional-child-sexual-abuse" TargetMode="External"/><Relationship Id="rId263" Type="http://schemas.openxmlformats.org/officeDocument/2006/relationships/hyperlink" Target="https://www.childabuseroyalcommission.gov.au/policy-and-research/consultations/issues-papers-submissions/issues-paper-3,-child-safe-institutions" TargetMode="External"/><Relationship Id="rId284" Type="http://schemas.openxmlformats.org/officeDocument/2006/relationships/hyperlink" Target="https://www.humanservices.gov.au/customer/subjects/young-people-becoming-independent" TargetMode="External"/><Relationship Id="rId37" Type="http://schemas.openxmlformats.org/officeDocument/2006/relationships/hyperlink" Target="https://www.communitygrants.gov.au/grants/building-capacity-australian-parents-bcap-trial" TargetMode="External"/><Relationship Id="rId58" Type="http://schemas.openxmlformats.org/officeDocument/2006/relationships/hyperlink" Target="http://www.aph.gov.au/Parliamentary_Business/Committees/Joint/Human_Rights/Guidance_Notes_and_Resources" TargetMode="External"/><Relationship Id="rId79" Type="http://schemas.openxmlformats.org/officeDocument/2006/relationships/hyperlink" Target="http://www.aph.gov.au/Parliamentary_Business/Bills_LEGislation/Bills_Search_Results/Result?bId=s1042" TargetMode="External"/><Relationship Id="rId102" Type="http://schemas.openxmlformats.org/officeDocument/2006/relationships/hyperlink" Target="http://www.aph.gov.au/Parliamentary_Business/Bills_Legislation/Bills_Search_Results/Result?bId=r5866" TargetMode="External"/><Relationship Id="rId123" Type="http://schemas.openxmlformats.org/officeDocument/2006/relationships/hyperlink" Target="http://www.abc.net.au/news/2016&#8211;07&#8211;05/court-process-for-transgender-children-set-to-be-overhauled/7546884" TargetMode="External"/><Relationship Id="rId144" Type="http://schemas.openxmlformats.org/officeDocument/2006/relationships/hyperlink" Target="http://www.abs.gov.au/ausstats/abs@.nsf/Lookup/by%20Subject/4364.0.55.001~2014-15~Main%20Features~Smoking~24" TargetMode="External"/><Relationship Id="rId90" Type="http://schemas.openxmlformats.org/officeDocument/2006/relationships/hyperlink" Target="http://www.aph.gov.au/Parliamentary_Business/Committees/Joint/Human_Rights/Scrutiny_reports/2014/1044" TargetMode="External"/><Relationship Id="rId165" Type="http://schemas.openxmlformats.org/officeDocument/2006/relationships/hyperlink" Target="http://www.aihw.gov.au/publication-detail/?id=60129558626" TargetMode="External"/><Relationship Id="rId186" Type="http://schemas.openxmlformats.org/officeDocument/2006/relationships/hyperlink" Target="https://www.childabuseroyalcommission.gov.au/about-us/our-reports/interim-report-html" TargetMode="External"/><Relationship Id="rId211" Type="http://schemas.openxmlformats.org/officeDocument/2006/relationships/hyperlink" Target="https://www.childabuseroyalcommission.gov.au/about-us/our-reports/interim-report-html" TargetMode="External"/><Relationship Id="rId232" Type="http://schemas.openxmlformats.org/officeDocument/2006/relationships/hyperlink" Target="https://childabuseroyalcommission.gov.au/policy-and-research/our-research/published-research/risk-profiles-for-institutional-child-sexual-abuse" TargetMode="External"/><Relationship Id="rId253" Type="http://schemas.openxmlformats.org/officeDocument/2006/relationships/hyperlink" Target="https://childabuseroyalcommission.gov.au/policy-and-research/our-research/published-research/the-role-of-organisational-culture-in-child-sexual" TargetMode="External"/><Relationship Id="rId274" Type="http://schemas.openxmlformats.org/officeDocument/2006/relationships/hyperlink" Target="https://www.correctiveservices.wa.gov.au/youth-justice/young-offenders-act.aspx" TargetMode="External"/><Relationship Id="rId27" Type="http://schemas.openxmlformats.org/officeDocument/2006/relationships/hyperlink" Target="http://www.childrights.org.au/crc25/" TargetMode="External"/><Relationship Id="rId48" Type="http://schemas.openxmlformats.org/officeDocument/2006/relationships/hyperlink" Target="http://www.hbsc.org/about/index.html" TargetMode="External"/><Relationship Id="rId69" Type="http://schemas.openxmlformats.org/officeDocument/2006/relationships/hyperlink" Target="http://www.aph.gov.au/Parliamentary_Business/Bills_LEGislation/Bills_Search_Results/Result?bId=r5696" TargetMode="External"/><Relationship Id="rId113" Type="http://schemas.openxmlformats.org/officeDocument/2006/relationships/hyperlink" Target="https://www.aph.gov.au/Parliamentary_Business/Bills_Legislation/Bills_Search_Results/Result?bId=r5838" TargetMode="External"/><Relationship Id="rId134" Type="http://schemas.openxmlformats.org/officeDocument/2006/relationships/hyperlink" Target="http://www.abs.gov.au/ausstats/abs@.nsf/mf/3301.0" TargetMode="External"/><Relationship Id="rId80" Type="http://schemas.openxmlformats.org/officeDocument/2006/relationships/hyperlink" Target="http://www.aph.gov.au/Parliamentary_Business/Committees/Senate/Legal_and_Constitutional_Affairs/RegionalProcessing2016/Submissions" TargetMode="External"/><Relationship Id="rId155" Type="http://schemas.openxmlformats.org/officeDocument/2006/relationships/hyperlink" Target="http://www.aph.gov.au/Parliamentary_Business/Committees/Senate/Education_and_Employment/JobsforFamilies45th/Submissions" TargetMode="External"/><Relationship Id="rId176" Type="http://schemas.openxmlformats.org/officeDocument/2006/relationships/hyperlink" Target="https://www.yourtown.com.au/sites/default/files/document/KHL%20Insights%20Report%202016%20-%20Statistical%20Overview.pdf" TargetMode="External"/><Relationship Id="rId197" Type="http://schemas.openxmlformats.org/officeDocument/2006/relationships/hyperlink" Target="https://www.agd.sa.gov.au/projects-and-consultations/projects-archive/child-protection-systems-royal-commission" TargetMode="External"/><Relationship Id="rId201" Type="http://schemas.openxmlformats.org/officeDocument/2006/relationships/hyperlink" Target="http://www.qfcc.qld.gov.au/sites/default/files/For%20professionals/when-a-child-is-missing-report.pdf" TargetMode="External"/><Relationship Id="rId222" Type="http://schemas.openxmlformats.org/officeDocument/2006/relationships/hyperlink" Target="https://childabuseroyalcommission.gov.au/policy-and-research/our-research/published-research/our-safety-counts" TargetMode="External"/><Relationship Id="rId243" Type="http://schemas.openxmlformats.org/officeDocument/2006/relationships/hyperlink" Target="https://childabuseroyalcommission.gov.au/policy-and-research/our-research/published-research/risk-profiles-for-institutional-child-sexual-abuse" TargetMode="External"/><Relationship Id="rId264" Type="http://schemas.openxmlformats.org/officeDocument/2006/relationships/hyperlink" Target="https://ccyp.vic.gov.au/assets/resources/ChildSafeGuide.pdf" TargetMode="External"/><Relationship Id="rId285" Type="http://schemas.openxmlformats.org/officeDocument/2006/relationships/hyperlink" Target="https://www.oaic.gov.au/individuals/privacy-fact-sheets/health-and-digital-health/privacy-fact-sheet-21-young-people-and-the-my-health-record-system" TargetMode="External"/><Relationship Id="rId17" Type="http://schemas.openxmlformats.org/officeDocument/2006/relationships/hyperlink" Target="https://www.dss.gov.au/women/programs-services/reducing-violence/third-action-plan" TargetMode="External"/><Relationship Id="rId38" Type="http://schemas.openxmlformats.org/officeDocument/2006/relationships/hyperlink" Target="http://mailchi.mp/familiesaustralia/0dvegdzrz3-2896561?e=%5bUNIQID" TargetMode="External"/><Relationship Id="rId59" Type="http://schemas.openxmlformats.org/officeDocument/2006/relationships/hyperlink" Target="http://www.aph.gov.au/Parliamentary_Business/Committees/Joint/Human_Rights/Guidance_Notes_and_Resources" TargetMode="External"/><Relationship Id="rId103" Type="http://schemas.openxmlformats.org/officeDocument/2006/relationships/hyperlink" Target="http://www.aph.gov.au/Parliamentary_Business/Bills_Legislation/Bills_Search_Results/Result?bId=r5708" TargetMode="External"/><Relationship Id="rId124" Type="http://schemas.openxmlformats.org/officeDocument/2006/relationships/hyperlink" Target="http://tbinternet.ohchr.org/_layouts/treatybodyexternal/Download.aspx?symbolno=INT%2fCCPR%2fCOC%2fAUS%2f29445&amp;Lang=en" TargetMode="External"/><Relationship Id="rId70" Type="http://schemas.openxmlformats.org/officeDocument/2006/relationships/hyperlink" Target="http://www.aph.gov.au/Parliamentary_Business/Bills_Legislation/Bills_Search_Results/Result?bId=r5798" TargetMode="External"/><Relationship Id="rId91" Type="http://schemas.openxmlformats.org/officeDocument/2006/relationships/hyperlink" Target="http://www.aph.gov.au/Parliamentary_Business/Committees/Senate/Legal_and_Constitutional_Affairs/Guardian_for_children/Report" TargetMode="External"/><Relationship Id="rId145" Type="http://schemas.openxmlformats.org/officeDocument/2006/relationships/hyperlink" Target="http://www.abs.gov.au/AUSSTATS/abs@.nsf/Latestproducts/3301.0Media%20Release12015" TargetMode="External"/><Relationship Id="rId166" Type="http://schemas.openxmlformats.org/officeDocument/2006/relationships/hyperlink" Target="https://aifs.gov.au/cfca/publications/child-abuse-and-neglect-statistics" TargetMode="External"/><Relationship Id="rId187" Type="http://schemas.openxmlformats.org/officeDocument/2006/relationships/hyperlink" Target="https://childabuseroyalcommission.gov.au/policy-and-research/our-research/published-research/history-of-inquiries-reviewing-institutions-provid" TargetMode="External"/><Relationship Id="rId1" Type="http://schemas.openxmlformats.org/officeDocument/2006/relationships/hyperlink" Target="https://www.legislation.gov.au/Details/C2017A00032/Html/Text" TargetMode="External"/><Relationship Id="rId212" Type="http://schemas.openxmlformats.org/officeDocument/2006/relationships/hyperlink" Target="https://www.childabuseroyalcommission.gov.au/about-us/terms-of-reference" TargetMode="External"/><Relationship Id="rId233" Type="http://schemas.openxmlformats.org/officeDocument/2006/relationships/hyperlink" Target="https://childabuseroyalcommission.gov.au/policy-and-research/our-research/published-research/risk-profiles-for-institutional-child-sexual-abuse" TargetMode="External"/><Relationship Id="rId254" Type="http://schemas.openxmlformats.org/officeDocument/2006/relationships/hyperlink" Target="https://childabuseroyalcommission.gov.au/policy-and-research/our-research/published-research/the-role-of-organisational-culture-in-child-sexual" TargetMode="External"/><Relationship Id="rId28" Type="http://schemas.openxmlformats.org/officeDocument/2006/relationships/hyperlink" Target="http://www.aihw.gov.au/publication-detail/?id=60129554714" TargetMode="External"/><Relationship Id="rId49" Type="http://schemas.openxmlformats.org/officeDocument/2006/relationships/hyperlink" Target="https://www.missionaustralia.com.au/publications/research/young-people" TargetMode="External"/><Relationship Id="rId114" Type="http://schemas.openxmlformats.org/officeDocument/2006/relationships/hyperlink" Target="http://tbinternet.ohchr.org/_layouts/treatybodyexternal/Download.aspx?symbolno=CCPR%2fC%2fAUS%2fCO%2f5&amp;Lang=en" TargetMode="External"/><Relationship Id="rId275" Type="http://schemas.openxmlformats.org/officeDocument/2006/relationships/hyperlink" Target="http://www.dhs.vic.gov.au/about-the-department/plans,-programs-and-projects/projects-and-initiatives/children,-youth-and-family-services/youth-justice-review" TargetMode="External"/><Relationship Id="rId60" Type="http://schemas.openxmlformats.org/officeDocument/2006/relationships/hyperlink" Target="http://www.aph.gov.au/Parliamentary_Business/Committees/Joint/Human_Rights/Committee_Membership" TargetMode="External"/><Relationship Id="rId81" Type="http://schemas.openxmlformats.org/officeDocument/2006/relationships/hyperlink" Target="http://www.aph.gov.au/Parliamentary_Business/Committees/Senate/Legal_and_Constitutional_Affairs/RegionalProcessing2016/Submissions" TargetMode="External"/><Relationship Id="rId135" Type="http://schemas.openxmlformats.org/officeDocument/2006/relationships/hyperlink" Target="http://stat.data.abs.gov.au//Index.aspx?QueryId=524" TargetMode="External"/><Relationship Id="rId156" Type="http://schemas.openxmlformats.org/officeDocument/2006/relationships/hyperlink" Target="http://www.canberrac.act.edu.au/information/programs/cc_cares" TargetMode="External"/><Relationship Id="rId177" Type="http://schemas.openxmlformats.org/officeDocument/2006/relationships/hyperlink" Target="https://www.yourtown.com.au/sites/default/files/document/KHL%20Insights%20Report%202016%20-%20Statistical%20Overview.pdf" TargetMode="External"/><Relationship Id="rId198" Type="http://schemas.openxmlformats.org/officeDocument/2006/relationships/hyperlink" Target="https://www.childprotection.sa.gov.au/sites/g/files/net916/f/a_fresh_start_progress_report.pdf" TargetMode="External"/><Relationship Id="rId202" Type="http://schemas.openxmlformats.org/officeDocument/2006/relationships/hyperlink" Target="http://www.qfcc.qld.gov.au/sites/default/files/For%20professionals/when-a-child-is-missing-report.pdf" TargetMode="External"/><Relationship Id="rId223" Type="http://schemas.openxmlformats.org/officeDocument/2006/relationships/hyperlink" Target="https://childabuseroyalcommission.gov.au/policy-and-research/our-research/published-research/taking-us-seriously" TargetMode="External"/><Relationship Id="rId244" Type="http://schemas.openxmlformats.org/officeDocument/2006/relationships/hyperlink" Target="https://childabuseroyalcommission.gov.au/policy-and-research/our-research/published-research/risk-profiles-for-institutional-child-sexual-abuse" TargetMode="External"/><Relationship Id="rId18" Type="http://schemas.openxmlformats.org/officeDocument/2006/relationships/hyperlink" Target="https://www.dss.gov.au/women/programs-services/reducing-violence/third-action-plan" TargetMode="External"/><Relationship Id="rId39" Type="http://schemas.openxmlformats.org/officeDocument/2006/relationships/hyperlink" Target="http://childaware.org.au/history/" TargetMode="External"/><Relationship Id="rId265" Type="http://schemas.openxmlformats.org/officeDocument/2006/relationships/hyperlink" Target="https://www.ccyp.wa.gov.au/media/2154/child-safe-organsiations-wa-guidelines.pdf" TargetMode="External"/><Relationship Id="rId286" Type="http://schemas.openxmlformats.org/officeDocument/2006/relationships/hyperlink" Target="http://www.austlii.edu.au/cgi-bin/sinodisp/au/other/lawreform/NSWLRC/2008/119.html?stem=0&amp;synonyms=0&amp;query=%22contraception%22%20and%20%22minor%22" TargetMode="External"/><Relationship Id="rId50" Type="http://schemas.openxmlformats.org/officeDocument/2006/relationships/hyperlink" Target="https://www.missionaustralia.com.au/publications/research/young-people" TargetMode="External"/><Relationship Id="rId104" Type="http://schemas.openxmlformats.org/officeDocument/2006/relationships/hyperlink" Target="http://www.aph.gov.au/Parliamentary_Business/Committees/Joint/Human_Rights/Scrutiny_reports/2016/Report_8_of_2016" TargetMode="External"/><Relationship Id="rId125" Type="http://schemas.openxmlformats.org/officeDocument/2006/relationships/hyperlink" Target="http://www.yogyakartaprinciples.org/wp/wp-content/uploads/2016/08/principles_en.pdf" TargetMode="External"/><Relationship Id="rId146" Type="http://schemas.openxmlformats.org/officeDocument/2006/relationships/hyperlink" Target="http://stat.data.abs.gov.au/Index.aspx?QueryId=494" TargetMode="External"/><Relationship Id="rId167" Type="http://schemas.openxmlformats.org/officeDocument/2006/relationships/hyperlink" Target="http://www.aihw.gov.au/publication-detail/?id=60129558626" TargetMode="External"/><Relationship Id="rId188" Type="http://schemas.openxmlformats.org/officeDocument/2006/relationships/hyperlink" Target="https://www.agd.sa.gov.au/projects-and-consultations/projects-archive/child-protection-systems-royal-commission" TargetMode="External"/><Relationship Id="rId71" Type="http://schemas.openxmlformats.org/officeDocument/2006/relationships/hyperlink" Target="http://www.aph.gov.au/Parliamentary_Business/Committees/Senate/Community_Affairs/OmnibusSavingsReform/Report" TargetMode="External"/><Relationship Id="rId92" Type="http://schemas.openxmlformats.org/officeDocument/2006/relationships/hyperlink" Target="http://www.aph.gov.au/Parliamentary_Business/Bills_Legislation/Bills_Search_Results/Result?bId=s968" TargetMode="External"/><Relationship Id="rId213" Type="http://schemas.openxmlformats.org/officeDocument/2006/relationships/hyperlink" Target="http://www.childabuseroyalcommission.gov.au/" TargetMode="External"/><Relationship Id="rId234" Type="http://schemas.openxmlformats.org/officeDocument/2006/relationships/hyperlink" Target="https://childabuseroyalcommission.gov.au/policy-and-research/our-research/published-research/risk-profiles-for-institutional-child-sexual-abuse" TargetMode="External"/><Relationship Id="rId2" Type="http://schemas.openxmlformats.org/officeDocument/2006/relationships/hyperlink" Target="https://www.dss.gov.au/sites/default/files/documents/12_2015/pdf_third_action_plan_for_protecting_australias_children.pdf" TargetMode="External"/><Relationship Id="rId29" Type="http://schemas.openxmlformats.org/officeDocument/2006/relationships/hyperlink" Target="http://www.justreinvest.org.au/new-report-says-jr-in-bourke-ticks-boxes/" TargetMode="External"/><Relationship Id="rId255" Type="http://schemas.openxmlformats.org/officeDocument/2006/relationships/hyperlink" Target="https://childabuseroyalcommission.gov.au/policy-and-research/our-research/published-research/the-role-of-organisational-culture-in-child-sexual" TargetMode="External"/><Relationship Id="rId276" Type="http://schemas.openxmlformats.org/officeDocument/2006/relationships/hyperlink" Target="https://www.humanrights.gov.au/submissions/violence-against-women-australia-2017" TargetMode="External"/><Relationship Id="rId40" Type="http://schemas.openxmlformats.org/officeDocument/2006/relationships/hyperlink" Target="http://mailchi.mp/familiesaustralia/0dvegdzrz3-2896561?e=%5bUNIQID" TargetMode="External"/><Relationship Id="rId115" Type="http://schemas.openxmlformats.org/officeDocument/2006/relationships/hyperlink" Target="http://www.aph.gov.au/Parliamentary_Business/Committees/Joint/Human_Rights/Scrutiny_reports/2017" TargetMode="External"/><Relationship Id="rId136" Type="http://schemas.openxmlformats.org/officeDocument/2006/relationships/hyperlink" Target="http://www.abs.gov.au/ausstats/abs@.nsf/mf/3301.0" TargetMode="External"/><Relationship Id="rId157" Type="http://schemas.openxmlformats.org/officeDocument/2006/relationships/hyperlink" Target="https://www.hypa.net.au/focus-areas/focus-areas-wellbeing" TargetMode="External"/><Relationship Id="rId178" Type="http://schemas.openxmlformats.org/officeDocument/2006/relationships/hyperlink" Target="https://www.yourtown.com.au/sites/default/files/document/KHL%20Insights%20Report%202016%20-%20Statistical%20Overview.pdf" TargetMode="External"/><Relationship Id="rId61" Type="http://schemas.openxmlformats.org/officeDocument/2006/relationships/hyperlink" Target="http://www.aph.gov.au/Parliamentary_Business/Committees/Joint/Human_Rights/Guidance_Notes_and_Resources" TargetMode="External"/><Relationship Id="rId82" Type="http://schemas.openxmlformats.org/officeDocument/2006/relationships/hyperlink" Target="http://www.aph.gov.au/Parliamentary_Business/Bills_Legislation/Bills_Search_Results/Result?bId=r5754" TargetMode="External"/><Relationship Id="rId199" Type="http://schemas.openxmlformats.org/officeDocument/2006/relationships/hyperlink" Target="http://www.qfcc.qld.gov.au/sites/default/files/For%20professionals/when-a-child-is-missing-report.pdf" TargetMode="External"/><Relationship Id="rId203" Type="http://schemas.openxmlformats.org/officeDocument/2006/relationships/hyperlink" Target="http://www.qfcc.qld.gov.au/sites/default/files/For%20professionals/when-a-child-is-missing-report.pdf" TargetMode="External"/><Relationship Id="rId19" Type="http://schemas.openxmlformats.org/officeDocument/2006/relationships/hyperlink" Target="https://www.goodstart.org.au/about-us/inclusion/programs-we-run" TargetMode="External"/><Relationship Id="rId224" Type="http://schemas.openxmlformats.org/officeDocument/2006/relationships/hyperlink" Target="https://childabuseroyalcommission.gov.au/policy-and-research/our-research/published-research/taking-us-seriously" TargetMode="External"/><Relationship Id="rId245" Type="http://schemas.openxmlformats.org/officeDocument/2006/relationships/hyperlink" Target="https://childabuseroyalcommission.gov.au/policy-and-research/our-research/published-research/risk-profiles-for-institutional-child-sexual-abuse" TargetMode="External"/><Relationship Id="rId266" Type="http://schemas.openxmlformats.org/officeDocument/2006/relationships/hyperlink" Target="https://childabuseroyalcommission.gov.au/policy-and-research/our-research/published-research/key-elements-of-child-safe-organisations" TargetMode="External"/><Relationship Id="rId287" Type="http://schemas.openxmlformats.org/officeDocument/2006/relationships/hyperlink" Target="https://www.legalaid.vic.gov.au/sites/www.legalaid.vic.gov.au/files/vla-resource-am-i-old-enough_0.pdf" TargetMode="External"/><Relationship Id="rId30" Type="http://schemas.openxmlformats.org/officeDocument/2006/relationships/hyperlink" Target="http://www.justreinvest.org.au/just-reinvest-nsw-policy-paper-launch/" TargetMode="External"/><Relationship Id="rId105" Type="http://schemas.openxmlformats.org/officeDocument/2006/relationships/hyperlink" Target="http://www.aph.gov.au/Parliamentary_Business/Bills_Legislation/Bills_Search_Results/Result?bId=r5708" TargetMode="External"/><Relationship Id="rId126" Type="http://schemas.openxmlformats.org/officeDocument/2006/relationships/hyperlink" Target="http://stat.data.abs.gov.au/Index.aspx?QueryId=503" TargetMode="External"/><Relationship Id="rId147" Type="http://schemas.openxmlformats.org/officeDocument/2006/relationships/hyperlink" Target="http://www.abs.gov.au/ausstats/abs@.nsf/mf/3301.0" TargetMode="External"/><Relationship Id="rId168" Type="http://schemas.openxmlformats.org/officeDocument/2006/relationships/hyperlink" Target="http://www.aihw.gov.au/publication-detail/?id=60129558626" TargetMode="External"/><Relationship Id="rId51" Type="http://schemas.openxmlformats.org/officeDocument/2006/relationships/hyperlink" Target="http://www.growingupinaustralia.gov.au/about/index.html" TargetMode="External"/><Relationship Id="rId72" Type="http://schemas.openxmlformats.org/officeDocument/2006/relationships/hyperlink" Target="http://www.aph.gov.au/Parliamentary_Business/Committees/Senate/Community_Affairs/OmnibusSavingsReform/Report" TargetMode="External"/><Relationship Id="rId93" Type="http://schemas.openxmlformats.org/officeDocument/2006/relationships/hyperlink" Target="http://www.aph.gov.au/Parliamentary_Business/Committees/Senate/Legal_and_Constitutional_Affairs/NauruandManusRPCs/Report" TargetMode="External"/><Relationship Id="rId189" Type="http://schemas.openxmlformats.org/officeDocument/2006/relationships/hyperlink" Target="http://www.childprotectioninquiry.qld.gov.au/__data/assets/pdf_file/0017/202625/qcpci-final-report-web-version.pdf" TargetMode="External"/><Relationship Id="rId3" Type="http://schemas.openxmlformats.org/officeDocument/2006/relationships/hyperlink" Target="http://www.myan.org.au/file/file/2017%20FUSE%20Report_DIGITAL.pdf" TargetMode="External"/><Relationship Id="rId214" Type="http://schemas.openxmlformats.org/officeDocument/2006/relationships/hyperlink" Target="https://www.childabuseroyalcommission.gov.au/about-us/our-reports/interim-report-html" TargetMode="External"/><Relationship Id="rId235" Type="http://schemas.openxmlformats.org/officeDocument/2006/relationships/hyperlink" Target="https://www.childabuseroyalcommission.gov.au/about-us/our-reports/interim-report-html" TargetMode="External"/><Relationship Id="rId256" Type="http://schemas.openxmlformats.org/officeDocument/2006/relationships/hyperlink" Target="https://childabuseroyalcommission.gov.au/policy-and-research/our-research/published-research/the-role-of-organisational-culture-in-child-sexual" TargetMode="External"/><Relationship Id="rId277" Type="http://schemas.openxmlformats.org/officeDocument/2006/relationships/hyperlink" Target="https://www.humanrights.gov.au/submissions/inquiry-commonwealth-government-s-exposure-draft-marriage-amendment-same-sex-marriage" TargetMode="External"/><Relationship Id="rId116" Type="http://schemas.openxmlformats.org/officeDocument/2006/relationships/hyperlink" Target="http://www.aph.gov.au/Parliamentary_Business/Committees/Joint/Human_Rights/Scrutiny_reports/2017/Report_5_of_2017" TargetMode="External"/><Relationship Id="rId137" Type="http://schemas.openxmlformats.org/officeDocument/2006/relationships/hyperlink" Target="http://stat.data.abs.gov.au/Index.aspx?QueryId=494" TargetMode="External"/><Relationship Id="rId158" Type="http://schemas.openxmlformats.org/officeDocument/2006/relationships/hyperlink" Target="http://stemm.com.au/" TargetMode="External"/><Relationship Id="rId20" Type="http://schemas.openxmlformats.org/officeDocument/2006/relationships/hyperlink" Target="https://www.1800respect.org.au/static/media/uploads/standtogether_16days_media_release_-_final.pdf" TargetMode="External"/><Relationship Id="rId41" Type="http://schemas.openxmlformats.org/officeDocument/2006/relationships/hyperlink" Target="http://mailchi.mp/familiesaustralia/0dvegdzrz3-2896561?e=%5bUNIQID" TargetMode="External"/><Relationship Id="rId62" Type="http://schemas.openxmlformats.org/officeDocument/2006/relationships/hyperlink" Target="https://www.aph.gov.au/Parliamentary_Business/Committees/Joint/Human_Rights/Committee_Inquiries" TargetMode="External"/><Relationship Id="rId83" Type="http://schemas.openxmlformats.org/officeDocument/2006/relationships/hyperlink" Target="http://www.aph.gov.au/Parliamentary_Business/Committees/Joint/Human_Rights/Scrutiny_reports/2017/Report_4_of_2017" TargetMode="External"/><Relationship Id="rId179" Type="http://schemas.openxmlformats.org/officeDocument/2006/relationships/hyperlink" Target="https://www.esafety.gov.au/education-resources/iparent/online-hate-infographic" TargetMode="External"/><Relationship Id="rId190" Type="http://schemas.openxmlformats.org/officeDocument/2006/relationships/hyperlink" Target="http://www.theirfuturesmatter.nsw.gov.au/reform-publications-and-presentations/their-futures-matter-a-new-approach" TargetMode="External"/><Relationship Id="rId204" Type="http://schemas.openxmlformats.org/officeDocument/2006/relationships/hyperlink" Target="http://www.qfcc.qld.gov.au/sites/default/files/For%20professionals/recommendation-28-supplementary-review.pdf" TargetMode="External"/><Relationship Id="rId225" Type="http://schemas.openxmlformats.org/officeDocument/2006/relationships/hyperlink" Target="https://childabuseroyalcommission.gov.au/policy-and-research/our-research/published-research/taking-us-seriously" TargetMode="External"/><Relationship Id="rId246" Type="http://schemas.openxmlformats.org/officeDocument/2006/relationships/hyperlink" Target="https://childabuseroyalcommission.gov.au/policy-and-research/our-research/published-research/assessing-the-different-dimensions-and-degrees-of" TargetMode="External"/><Relationship Id="rId267" Type="http://schemas.openxmlformats.org/officeDocument/2006/relationships/hyperlink" Target="https://www.dss.gov.au/families-and-children/programmes-services/children/protecting-children-is-everyones-business-national-framework-for-protecting-australias-children-2009-2020-third-action-plan-2015-2018" TargetMode="External"/><Relationship Id="rId288" Type="http://schemas.openxmlformats.org/officeDocument/2006/relationships/hyperlink" Target="http://digitallibrary.health.nt.gov.au/prodjspui/bitstream/10137/1305/1/NT%20Clincal%20Guidelines%20for%20Termination%20of%20Pregnancy.pdf" TargetMode="External"/><Relationship Id="rId106" Type="http://schemas.openxmlformats.org/officeDocument/2006/relationships/hyperlink" Target="http://www.aph.gov.au/Parliamentary_Business/Bills_Legislation/Bills_Search_Results/Result?bId=r5752" TargetMode="External"/><Relationship Id="rId127" Type="http://schemas.openxmlformats.org/officeDocument/2006/relationships/hyperlink" Target="http://analytics.aihw.gov.au/Viewer/VisualAnalyticsViewer_guest.jsp?reportPath=%2FAIHW%2FReleasedPublic%2FCHI%2FReports&amp;reportName=Teenage%20births&amp;reportViewOnly=true&amp;viewerMode=modern&amp;appSwitcherDisabled=true" TargetMode="External"/><Relationship Id="rId10" Type="http://schemas.openxmlformats.org/officeDocument/2006/relationships/hyperlink" Target="http://www.humanrights.gov.au/submissions/nsw-juvenile-justice-human-rights-and-use-force-2017" TargetMode="External"/><Relationship Id="rId31" Type="http://schemas.openxmlformats.org/officeDocument/2006/relationships/hyperlink" Target="http://www.justreinvest.org.au/second-maranguka-cross-sector-leadership-group/" TargetMode="External"/><Relationship Id="rId52" Type="http://schemas.openxmlformats.org/officeDocument/2006/relationships/hyperlink" Target="http://www.growingupinaustralia.gov.au/about/index.html" TargetMode="External"/><Relationship Id="rId73" Type="http://schemas.openxmlformats.org/officeDocument/2006/relationships/hyperlink" Target="http://www.aph.gov.au/Parliamentary_Business/Committees/Senate/Community_Affairs/OmnibusSavingsReform/Report" TargetMode="External"/><Relationship Id="rId94" Type="http://schemas.openxmlformats.org/officeDocument/2006/relationships/hyperlink" Target="http://www.aph.gov.au/Parliamentary_Business/Bills_Legislation/Bills_Search_Results/Result?bId=s968" TargetMode="External"/><Relationship Id="rId148" Type="http://schemas.openxmlformats.org/officeDocument/2006/relationships/hyperlink" Target="http://www.abs.gov.au/ausstats/abs@.nsf/mf/3301.0" TargetMode="External"/><Relationship Id="rId169" Type="http://schemas.openxmlformats.org/officeDocument/2006/relationships/hyperlink" Target="http://www.aihw.gov.au/publication-detail/?id=60129558626" TargetMode="External"/><Relationship Id="rId4" Type="http://schemas.openxmlformats.org/officeDocument/2006/relationships/hyperlink" Target="http://www.myan.org.au/file/file/2017%20FUSE%20Report_DIGITAL.pdf" TargetMode="External"/><Relationship Id="rId180" Type="http://schemas.openxmlformats.org/officeDocument/2006/relationships/hyperlink" Target="http://about.au.reachout.com/wp-content/uploads/2017/01/Bullying-Research-Summary_FINAL.pdf" TargetMode="External"/><Relationship Id="rId215" Type="http://schemas.openxmlformats.org/officeDocument/2006/relationships/hyperlink" Target="https://www.childabuseroyalcommission.gov.au/about-us/our-reports/interim-report-html" TargetMode="External"/><Relationship Id="rId236" Type="http://schemas.openxmlformats.org/officeDocument/2006/relationships/hyperlink" Target="https://childabuseroyalcommission.gov.au/policy-and-research/our-research/published-research/risk-profiles-for-institutional-child-sexual-abuse" TargetMode="External"/><Relationship Id="rId257" Type="http://schemas.openxmlformats.org/officeDocument/2006/relationships/hyperlink" Target="https://childabuseroyalcommission.gov.au/policy-and-research/our-research/published-research/the-role-of-organisational-culture-in-child-sexual" TargetMode="External"/><Relationship Id="rId278" Type="http://schemas.openxmlformats.org/officeDocument/2006/relationships/hyperlink" Target="https://www.humanrights.gov.au/submissions/inquiry-migrant-settlement-outcomes-2017" TargetMode="External"/><Relationship Id="rId42" Type="http://schemas.openxmlformats.org/officeDocument/2006/relationships/hyperlink" Target="https://www.dss.gov.au/grants/grants/towards-independent-adulthood-tia-trial" TargetMode="External"/><Relationship Id="rId84" Type="http://schemas.openxmlformats.org/officeDocument/2006/relationships/hyperlink" Target="http://www.aph.gov.au/Parliamentary_Business/Committees/Senate/Legal_and_Constitutional_Affairs/ProtectingMinorsonline/Report" TargetMode="External"/><Relationship Id="rId138" Type="http://schemas.openxmlformats.org/officeDocument/2006/relationships/hyperlink" Target="http://stat.data.abs.gov.au/Index.aspx?QueryId=503" TargetMode="External"/><Relationship Id="rId191" Type="http://schemas.openxmlformats.org/officeDocument/2006/relationships/hyperlink" Target="https://www.agd.sa.gov.au/projects-and-consultations/projects-archive/child-protection-systems-royal-commission" TargetMode="External"/><Relationship Id="rId205" Type="http://schemas.openxmlformats.org/officeDocument/2006/relationships/hyperlink" Target="http://www.theirfuturesmatter.nsw.gov.au/reform-publications-and-presentations/their-futures-matter-a-new-approach" TargetMode="External"/><Relationship Id="rId247" Type="http://schemas.openxmlformats.org/officeDocument/2006/relationships/hyperlink" Target="https://childabuseroyalcommission.gov.au/policy-and-research/our-research/published-research/assessing-the-different-dimensions-and-degrees-of" TargetMode="External"/><Relationship Id="rId107" Type="http://schemas.openxmlformats.org/officeDocument/2006/relationships/hyperlink" Target="http://www.aph.gov.au/Parliamentary_Business/Committees/Senate/Community_Affairs/FairerParentalLeave2016/Report" TargetMode="External"/><Relationship Id="rId289" Type="http://schemas.openxmlformats.org/officeDocument/2006/relationships/hyperlink" Target="http://www.lawstuff.org.au/sa_law/topics/pregnancy" TargetMode="External"/><Relationship Id="rId11" Type="http://schemas.openxmlformats.org/officeDocument/2006/relationships/hyperlink" Target="https://www.ag.gov.au/Consultations/Pages/Australian-Law-Reform-Commission-inquiry-into-incarceration-rate-of-Indigenous-Australians.aspx" TargetMode="External"/><Relationship Id="rId53" Type="http://schemas.openxmlformats.org/officeDocument/2006/relationships/hyperlink" Target="http://www.youthaction.org.au/australian_ydi" TargetMode="External"/><Relationship Id="rId149" Type="http://schemas.openxmlformats.org/officeDocument/2006/relationships/hyperlink" Target="http://stat.data.abs.gov.au/Index.aspx?QueryId=503" TargetMode="External"/><Relationship Id="rId95" Type="http://schemas.openxmlformats.org/officeDocument/2006/relationships/hyperlink" Target="http://www.aph.gov.au/Parliamentary_Business/Bills_Legislation/Bills_Search_Results/Result?bId=r5794" TargetMode="External"/><Relationship Id="rId160" Type="http://schemas.openxmlformats.org/officeDocument/2006/relationships/hyperlink" Target="https://www.stayinontrack.com/Default.aspx" TargetMode="External"/><Relationship Id="rId216" Type="http://schemas.openxmlformats.org/officeDocument/2006/relationships/hyperlink" Target="https://www.childabuseroyalcommission.gov.au/about-us/our-reports/interim-report-html" TargetMode="External"/><Relationship Id="rId258" Type="http://schemas.openxmlformats.org/officeDocument/2006/relationships/hyperlink" Target="https://childabuseroyalcommission.gov.au/policy-and-research/our-research/published-research/the-role-of-organisational-culture-in-child-sexual" TargetMode="External"/><Relationship Id="rId22" Type="http://schemas.openxmlformats.org/officeDocument/2006/relationships/hyperlink" Target="https://aifs.gov.au/publications/self-harm-and-suicidal-behaviour-young-people-aged-14-15-years-old?utm_source=AIFS+Mailing+List&amp;utm_campaign=0e5549d902-EMAIL_CAMPAIGN_2017_08_28&amp;utm_medium=email&amp;utm_term=0_3ad49f5cbc-0e5549d902-193857585" TargetMode="External"/><Relationship Id="rId64" Type="http://schemas.openxmlformats.org/officeDocument/2006/relationships/hyperlink" Target="http://www.aph.gov.au/Parliamentary_Business/Bills_Legislation/Bills_Search_Results/Result?bId=r5696" TargetMode="External"/><Relationship Id="rId118" Type="http://schemas.openxmlformats.org/officeDocument/2006/relationships/hyperlink" Target="http://www.aph.gov.au/Parliamentary_Business/Bills_Legislation/Bills_Search_Results/Result?bId=r5838" TargetMode="External"/><Relationship Id="rId171" Type="http://schemas.openxmlformats.org/officeDocument/2006/relationships/hyperlink" Target="https://aifs.gov.au/cfca/publications/child-abuse-and-neglect-statistics" TargetMode="External"/><Relationship Id="rId227" Type="http://schemas.openxmlformats.org/officeDocument/2006/relationships/hyperlink" Target="https://childabuseroyalcommission.gov.au/policy-and-research/our-research/published-research/our-safety-cou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Submis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1864A-B330-A542-992E-14326F547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G:\Templates\Commission\Submission.dot</Template>
  <TotalTime>607</TotalTime>
  <Pages>1</Pages>
  <Words>86705</Words>
  <Characters>494221</Characters>
  <Application>Microsoft Office Word</Application>
  <DocSecurity>0</DocSecurity>
  <Lines>4118</Lines>
  <Paragraphs>1159</Paragraphs>
  <ScaleCrop>false</ScaleCrop>
  <HeadingPairs>
    <vt:vector size="2" baseType="variant">
      <vt:variant>
        <vt:lpstr>Titolo</vt:lpstr>
      </vt:variant>
      <vt:variant>
        <vt:i4>1</vt:i4>
      </vt:variant>
    </vt:vector>
  </HeadingPairs>
  <TitlesOfParts>
    <vt:vector size="1" baseType="lpstr">
      <vt:lpstr>Year</vt:lpstr>
    </vt:vector>
  </TitlesOfParts>
  <Company>Human Rights and Equal Opportunity Commission</Company>
  <LinksUpToDate>false</LinksUpToDate>
  <CharactersWithSpaces>579767</CharactersWithSpaces>
  <SharedDoc>false</SharedDoc>
  <HLinks>
    <vt:vector size="42" baseType="variant">
      <vt:variant>
        <vt:i4>1572920</vt:i4>
      </vt:variant>
      <vt:variant>
        <vt:i4>38</vt:i4>
      </vt:variant>
      <vt:variant>
        <vt:i4>0</vt:i4>
      </vt:variant>
      <vt:variant>
        <vt:i4>5</vt:i4>
      </vt:variant>
      <vt:variant>
        <vt:lpwstr/>
      </vt:variant>
      <vt:variant>
        <vt:lpwstr>_Toc209941772</vt:lpwstr>
      </vt:variant>
      <vt:variant>
        <vt:i4>1572920</vt:i4>
      </vt:variant>
      <vt:variant>
        <vt:i4>32</vt:i4>
      </vt:variant>
      <vt:variant>
        <vt:i4>0</vt:i4>
      </vt:variant>
      <vt:variant>
        <vt:i4>5</vt:i4>
      </vt:variant>
      <vt:variant>
        <vt:lpwstr/>
      </vt:variant>
      <vt:variant>
        <vt:lpwstr>_Toc209941771</vt:lpwstr>
      </vt:variant>
      <vt:variant>
        <vt:i4>1572920</vt:i4>
      </vt:variant>
      <vt:variant>
        <vt:i4>26</vt:i4>
      </vt:variant>
      <vt:variant>
        <vt:i4>0</vt:i4>
      </vt:variant>
      <vt:variant>
        <vt:i4>5</vt:i4>
      </vt:variant>
      <vt:variant>
        <vt:lpwstr/>
      </vt:variant>
      <vt:variant>
        <vt:lpwstr>_Toc209941770</vt:lpwstr>
      </vt:variant>
      <vt:variant>
        <vt:i4>1638456</vt:i4>
      </vt:variant>
      <vt:variant>
        <vt:i4>20</vt:i4>
      </vt:variant>
      <vt:variant>
        <vt:i4>0</vt:i4>
      </vt:variant>
      <vt:variant>
        <vt:i4>5</vt:i4>
      </vt:variant>
      <vt:variant>
        <vt:lpwstr/>
      </vt:variant>
      <vt:variant>
        <vt:lpwstr>_Toc209941769</vt:lpwstr>
      </vt:variant>
      <vt:variant>
        <vt:i4>1638456</vt:i4>
      </vt:variant>
      <vt:variant>
        <vt:i4>14</vt:i4>
      </vt:variant>
      <vt:variant>
        <vt:i4>0</vt:i4>
      </vt:variant>
      <vt:variant>
        <vt:i4>5</vt:i4>
      </vt:variant>
      <vt:variant>
        <vt:lpwstr/>
      </vt:variant>
      <vt:variant>
        <vt:lpwstr>_Toc209941768</vt:lpwstr>
      </vt:variant>
      <vt:variant>
        <vt:i4>1638456</vt:i4>
      </vt:variant>
      <vt:variant>
        <vt:i4>8</vt:i4>
      </vt:variant>
      <vt:variant>
        <vt:i4>0</vt:i4>
      </vt:variant>
      <vt:variant>
        <vt:i4>5</vt:i4>
      </vt:variant>
      <vt:variant>
        <vt:lpwstr/>
      </vt:variant>
      <vt:variant>
        <vt:lpwstr>_Toc209941767</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Clare Patterson</dc:creator>
  <cp:keywords/>
  <cp:lastModifiedBy>Jo</cp:lastModifiedBy>
  <cp:revision>185</cp:revision>
  <cp:lastPrinted>2017-11-01T00:28:00Z</cp:lastPrinted>
  <dcterms:created xsi:type="dcterms:W3CDTF">2017-12-02T10:36:00Z</dcterms:created>
  <dcterms:modified xsi:type="dcterms:W3CDTF">2018-02-14T04:07:00Z</dcterms:modified>
</cp:coreProperties>
</file>